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C3" w:rsidRDefault="00595BC3" w:rsidP="00126E97">
      <w:pPr>
        <w:spacing w:after="0" w:line="20" w:lineRule="atLeast"/>
        <w:jc w:val="both"/>
        <w:rPr>
          <w:rFonts w:ascii="Verdana" w:eastAsia="Batang" w:hAnsi="Verdana" w:cs="Times"/>
          <w:sz w:val="20"/>
          <w:szCs w:val="24"/>
          <w:lang w:val="en-US" w:eastAsia="es-CR"/>
        </w:rPr>
      </w:pPr>
    </w:p>
    <w:p w:rsidR="007877C0" w:rsidRDefault="007877C0" w:rsidP="00126E97">
      <w:pPr>
        <w:spacing w:after="0" w:line="20" w:lineRule="atLeast"/>
        <w:jc w:val="both"/>
        <w:rPr>
          <w:rFonts w:ascii="Verdana" w:eastAsia="Batang" w:hAnsi="Verdana" w:cs="Times"/>
          <w:sz w:val="20"/>
          <w:szCs w:val="24"/>
          <w:lang w:val="en-US" w:eastAsia="es-CR"/>
        </w:rPr>
      </w:pPr>
    </w:p>
    <w:p w:rsidR="007877C0" w:rsidRDefault="007877C0" w:rsidP="00126E97">
      <w:pPr>
        <w:spacing w:after="0" w:line="20" w:lineRule="atLeast"/>
        <w:jc w:val="both"/>
        <w:rPr>
          <w:rFonts w:ascii="Verdana" w:eastAsia="Batang" w:hAnsi="Verdana" w:cs="Times"/>
          <w:sz w:val="20"/>
          <w:szCs w:val="24"/>
          <w:lang w:val="en-US" w:eastAsia="es-CR"/>
        </w:rPr>
      </w:pPr>
    </w:p>
    <w:p w:rsidR="007877C0" w:rsidRDefault="007877C0" w:rsidP="00126E97">
      <w:pPr>
        <w:spacing w:after="0" w:line="20" w:lineRule="atLeast"/>
        <w:jc w:val="both"/>
        <w:rPr>
          <w:rFonts w:ascii="Verdana" w:eastAsia="Batang" w:hAnsi="Verdana" w:cs="Times"/>
          <w:sz w:val="20"/>
          <w:szCs w:val="24"/>
          <w:lang w:val="en-US" w:eastAsia="es-CR"/>
        </w:rPr>
      </w:pPr>
    </w:p>
    <w:p w:rsidR="007877C0" w:rsidRDefault="007877C0" w:rsidP="00126E97">
      <w:pPr>
        <w:spacing w:after="0" w:line="20" w:lineRule="atLeast"/>
        <w:jc w:val="both"/>
        <w:rPr>
          <w:rFonts w:ascii="Verdana" w:eastAsia="Batang" w:hAnsi="Verdana" w:cs="Times"/>
          <w:sz w:val="20"/>
          <w:szCs w:val="24"/>
          <w:lang w:val="en-US" w:eastAsia="es-CR"/>
        </w:rPr>
      </w:pPr>
    </w:p>
    <w:p w:rsidR="009F3810" w:rsidRDefault="009F3810" w:rsidP="00126E97">
      <w:pPr>
        <w:spacing w:after="0" w:line="20" w:lineRule="atLeast"/>
        <w:jc w:val="both"/>
        <w:rPr>
          <w:rFonts w:ascii="Verdana" w:eastAsia="Batang" w:hAnsi="Verdana" w:cs="Times"/>
          <w:sz w:val="20"/>
          <w:szCs w:val="24"/>
          <w:lang w:val="en-US" w:eastAsia="es-CR"/>
        </w:rPr>
      </w:pPr>
    </w:p>
    <w:p w:rsidR="00595BC3" w:rsidRPr="00595BC3" w:rsidRDefault="00595BC3" w:rsidP="00126E97">
      <w:pPr>
        <w:spacing w:after="0" w:line="20" w:lineRule="atLeast"/>
        <w:jc w:val="both"/>
        <w:rPr>
          <w:rFonts w:ascii="Verdana" w:eastAsia="Batang" w:hAnsi="Verdana" w:cs="Times"/>
          <w:sz w:val="20"/>
          <w:szCs w:val="24"/>
          <w:lang w:val="en-US" w:eastAsia="es-CR"/>
        </w:rPr>
      </w:pPr>
    </w:p>
    <w:p w:rsidR="00595BC3" w:rsidRPr="00873FEC" w:rsidRDefault="00595BC3" w:rsidP="00126E97">
      <w:pPr>
        <w:spacing w:after="0" w:line="20" w:lineRule="atLeast"/>
        <w:jc w:val="center"/>
        <w:rPr>
          <w:rFonts w:ascii="Verdana" w:eastAsia="MS Mincho" w:hAnsi="Verdana" w:cs="Times New Roman"/>
          <w:b/>
          <w:sz w:val="20"/>
          <w:szCs w:val="20"/>
          <w:lang w:val="es-CR" w:eastAsia="es-CR"/>
        </w:rPr>
      </w:pPr>
      <w:r w:rsidRPr="00873FEC">
        <w:rPr>
          <w:rFonts w:ascii="Verdana" w:eastAsia="MS Mincho" w:hAnsi="Verdana" w:cs="Times New Roman"/>
          <w:b/>
          <w:sz w:val="20"/>
          <w:szCs w:val="20"/>
          <w:lang w:val="es-CR" w:eastAsia="es-CR"/>
        </w:rPr>
        <w:t>CORTE INTERAMERICANA DE DERECHOS HUMANOS</w:t>
      </w:r>
    </w:p>
    <w:p w:rsidR="00595BC3" w:rsidRPr="00873FEC" w:rsidRDefault="00595BC3" w:rsidP="00126E97">
      <w:pPr>
        <w:spacing w:after="0" w:line="20" w:lineRule="atLeast"/>
        <w:jc w:val="center"/>
        <w:rPr>
          <w:rFonts w:ascii="Verdana" w:eastAsia="MS Mincho" w:hAnsi="Verdana" w:cs="Times New Roman"/>
          <w:b/>
          <w:sz w:val="20"/>
          <w:szCs w:val="20"/>
          <w:lang w:val="es-CR" w:eastAsia="es-CR"/>
        </w:rPr>
      </w:pPr>
    </w:p>
    <w:p w:rsidR="00595BC3" w:rsidRPr="00873FEC" w:rsidRDefault="00595BC3" w:rsidP="00126E97">
      <w:pPr>
        <w:spacing w:after="0" w:line="20" w:lineRule="atLeast"/>
        <w:jc w:val="center"/>
        <w:rPr>
          <w:rFonts w:ascii="Verdana" w:eastAsia="MS Mincho" w:hAnsi="Verdana" w:cs="Times New Roman"/>
          <w:b/>
          <w:sz w:val="20"/>
          <w:szCs w:val="20"/>
          <w:lang w:val="es-CR" w:eastAsia="es-CR"/>
        </w:rPr>
      </w:pPr>
      <w:r w:rsidRPr="00873FEC">
        <w:rPr>
          <w:rFonts w:ascii="Verdana" w:eastAsia="MS Mincho" w:hAnsi="Verdana" w:cs="Times New Roman"/>
          <w:b/>
          <w:sz w:val="20"/>
          <w:szCs w:val="20"/>
          <w:lang w:val="es-CR" w:eastAsia="es-CR"/>
        </w:rPr>
        <w:t>CASO COC MAX Y OTROS (MASACRE DE XAMÁN) VS. GUATEMALA</w:t>
      </w:r>
    </w:p>
    <w:p w:rsidR="00595BC3" w:rsidRPr="00873FEC" w:rsidRDefault="00595BC3" w:rsidP="00126E97">
      <w:pPr>
        <w:spacing w:after="0" w:line="20" w:lineRule="atLeast"/>
        <w:jc w:val="center"/>
        <w:rPr>
          <w:rFonts w:ascii="Verdana" w:eastAsia="MS Mincho" w:hAnsi="Verdana" w:cs="Times New Roman"/>
          <w:b/>
          <w:sz w:val="20"/>
          <w:szCs w:val="20"/>
          <w:lang w:val="es-CR" w:eastAsia="es-CR"/>
        </w:rPr>
      </w:pPr>
    </w:p>
    <w:p w:rsidR="00595BC3" w:rsidRPr="00873FEC" w:rsidRDefault="00595BC3" w:rsidP="00126E97">
      <w:pPr>
        <w:spacing w:after="0" w:line="20" w:lineRule="atLeast"/>
        <w:jc w:val="center"/>
        <w:rPr>
          <w:rFonts w:ascii="Verdana" w:eastAsia="MS Mincho" w:hAnsi="Verdana" w:cs="Times New Roman"/>
          <w:b/>
          <w:sz w:val="20"/>
          <w:szCs w:val="20"/>
          <w:lang w:val="es-CR" w:eastAsia="es-CR"/>
        </w:rPr>
      </w:pPr>
      <w:r w:rsidRPr="00873FEC">
        <w:rPr>
          <w:rFonts w:ascii="Verdana" w:eastAsia="MS Mincho" w:hAnsi="Verdana" w:cs="Times New Roman"/>
          <w:b/>
          <w:sz w:val="20"/>
          <w:szCs w:val="20"/>
          <w:lang w:val="es-CR" w:eastAsia="es-CR"/>
        </w:rPr>
        <w:t>SENTENCIA DE 22 DE AGOSTO DE 2018</w:t>
      </w:r>
    </w:p>
    <w:p w:rsidR="00595BC3" w:rsidRPr="00873FEC" w:rsidRDefault="00595BC3" w:rsidP="00126E97">
      <w:pPr>
        <w:spacing w:after="0" w:line="20" w:lineRule="atLeast"/>
        <w:jc w:val="center"/>
        <w:rPr>
          <w:rFonts w:ascii="Verdana" w:eastAsia="Batang" w:hAnsi="Verdana" w:cs="Times"/>
          <w:b/>
          <w:i/>
          <w:smallCaps/>
          <w:sz w:val="20"/>
          <w:szCs w:val="20"/>
          <w:lang w:val="es-CR" w:eastAsia="es-CR"/>
        </w:rPr>
      </w:pPr>
      <w:r w:rsidRPr="00873FEC">
        <w:rPr>
          <w:rFonts w:ascii="Verdana" w:eastAsia="MS Mincho" w:hAnsi="Verdana" w:cs="Times New Roman"/>
          <w:b/>
          <w:i/>
          <w:sz w:val="20"/>
          <w:szCs w:val="20"/>
          <w:lang w:val="es-CR" w:eastAsia="es-CR"/>
        </w:rPr>
        <w:t>(Fondo, Reparaciones y Costas)</w:t>
      </w:r>
    </w:p>
    <w:p w:rsidR="00595BC3" w:rsidRPr="00873FEC" w:rsidRDefault="00595BC3" w:rsidP="00126E97">
      <w:pPr>
        <w:spacing w:after="0" w:line="20" w:lineRule="atLeast"/>
        <w:ind w:right="-4"/>
        <w:jc w:val="center"/>
        <w:rPr>
          <w:rFonts w:ascii="Verdana" w:eastAsia="Batang" w:hAnsi="Verdana" w:cs="Verdana Bold"/>
          <w:b/>
          <w:i/>
          <w:caps/>
          <w:sz w:val="20"/>
          <w:szCs w:val="20"/>
          <w:lang w:val="es-CR" w:eastAsia="es-CR"/>
        </w:rPr>
      </w:pPr>
      <w:r w:rsidRPr="00873FEC">
        <w:rPr>
          <w:rFonts w:ascii="Verdana" w:eastAsia="Batang" w:hAnsi="Verdana" w:cs="Verdana Bold"/>
          <w:b/>
          <w:i/>
          <w:caps/>
          <w:sz w:val="20"/>
          <w:szCs w:val="20"/>
          <w:lang w:val="es-CR" w:eastAsia="es-CR"/>
        </w:rPr>
        <w:t xml:space="preserve"> </w:t>
      </w:r>
    </w:p>
    <w:p w:rsidR="00595BC3" w:rsidRPr="00873FEC" w:rsidRDefault="00595BC3" w:rsidP="00126E97">
      <w:pPr>
        <w:spacing w:after="0" w:line="20" w:lineRule="atLeast"/>
        <w:ind w:left="-142" w:right="-4"/>
        <w:jc w:val="both"/>
        <w:rPr>
          <w:rFonts w:ascii="Verdana" w:eastAsia="Batang" w:hAnsi="Verdana" w:cs="Times"/>
          <w:sz w:val="20"/>
          <w:szCs w:val="20"/>
          <w:lang w:val="es-CR" w:eastAsia="es-CR"/>
        </w:rPr>
      </w:pPr>
    </w:p>
    <w:p w:rsidR="00595BC3" w:rsidRPr="00873FEC" w:rsidRDefault="00595BC3" w:rsidP="00126E97">
      <w:pPr>
        <w:spacing w:after="0" w:line="20" w:lineRule="atLeast"/>
        <w:ind w:left="-142" w:right="-4"/>
        <w:jc w:val="both"/>
        <w:rPr>
          <w:rFonts w:ascii="Verdana" w:eastAsia="Batang" w:hAnsi="Verdana" w:cs="Times"/>
          <w:sz w:val="20"/>
          <w:szCs w:val="20"/>
          <w:lang w:val="es-CR" w:eastAsia="es-CR"/>
        </w:rPr>
      </w:pPr>
    </w:p>
    <w:p w:rsidR="00595BC3" w:rsidRPr="00873FEC" w:rsidRDefault="00595BC3" w:rsidP="00126E97">
      <w:pPr>
        <w:spacing w:after="0" w:line="20" w:lineRule="atLeast"/>
        <w:jc w:val="both"/>
        <w:rPr>
          <w:rFonts w:ascii="Verdana" w:eastAsia="Batang" w:hAnsi="Verdana" w:cs="Times"/>
          <w:sz w:val="20"/>
          <w:szCs w:val="20"/>
          <w:lang w:val="es-CR" w:eastAsia="es-CR"/>
        </w:rPr>
      </w:pPr>
      <w:r w:rsidRPr="00873FEC">
        <w:rPr>
          <w:rFonts w:ascii="Verdana" w:eastAsia="Batang" w:hAnsi="Verdana" w:cs="Times"/>
          <w:sz w:val="20"/>
          <w:szCs w:val="20"/>
          <w:lang w:val="es-CR" w:eastAsia="es-CR"/>
        </w:rPr>
        <w:t xml:space="preserve">En el caso </w:t>
      </w:r>
      <w:proofErr w:type="spellStart"/>
      <w:r w:rsidRPr="00873FEC">
        <w:rPr>
          <w:rFonts w:ascii="Verdana" w:eastAsia="Batang" w:hAnsi="Verdana" w:cs="Times"/>
          <w:i/>
          <w:sz w:val="20"/>
          <w:szCs w:val="20"/>
          <w:lang w:val="es-CR" w:eastAsia="es-CR"/>
        </w:rPr>
        <w:t>Coc</w:t>
      </w:r>
      <w:proofErr w:type="spellEnd"/>
      <w:r w:rsidRPr="00873FEC">
        <w:rPr>
          <w:rFonts w:ascii="Verdana" w:eastAsia="Batang" w:hAnsi="Verdana" w:cs="Times"/>
          <w:i/>
          <w:sz w:val="20"/>
          <w:szCs w:val="20"/>
          <w:lang w:val="es-CR" w:eastAsia="es-CR"/>
        </w:rPr>
        <w:t xml:space="preserve"> Max y otros (Masacre de </w:t>
      </w:r>
      <w:proofErr w:type="spellStart"/>
      <w:r w:rsidRPr="00873FEC">
        <w:rPr>
          <w:rFonts w:ascii="Verdana" w:eastAsia="Batang" w:hAnsi="Verdana" w:cs="Times"/>
          <w:i/>
          <w:sz w:val="20"/>
          <w:szCs w:val="20"/>
          <w:lang w:val="es-CR" w:eastAsia="es-CR"/>
        </w:rPr>
        <w:t>Xamán</w:t>
      </w:r>
      <w:proofErr w:type="spellEnd"/>
      <w:r w:rsidRPr="00873FEC">
        <w:rPr>
          <w:rFonts w:ascii="Verdana" w:eastAsia="Batang" w:hAnsi="Verdana" w:cs="Times"/>
          <w:i/>
          <w:sz w:val="20"/>
          <w:szCs w:val="20"/>
          <w:lang w:val="es-CR" w:eastAsia="es-CR"/>
        </w:rPr>
        <w:t>) vs. Guatemala,</w:t>
      </w:r>
    </w:p>
    <w:p w:rsidR="00595BC3" w:rsidRPr="00873FEC" w:rsidRDefault="00595BC3" w:rsidP="00126E97">
      <w:pPr>
        <w:spacing w:after="0" w:line="20" w:lineRule="atLeast"/>
        <w:ind w:left="-142" w:right="-138"/>
        <w:jc w:val="both"/>
        <w:rPr>
          <w:rFonts w:ascii="Verdana" w:eastAsia="Batang" w:hAnsi="Verdana" w:cs="Times"/>
          <w:sz w:val="20"/>
          <w:szCs w:val="20"/>
          <w:lang w:val="es-CR" w:eastAsia="es-CR"/>
        </w:rPr>
      </w:pPr>
    </w:p>
    <w:p w:rsidR="009F3810" w:rsidRPr="00873FEC" w:rsidRDefault="009F3810" w:rsidP="00126E97">
      <w:pPr>
        <w:spacing w:after="0" w:line="20" w:lineRule="atLeast"/>
        <w:ind w:left="-142" w:right="-138"/>
        <w:jc w:val="both"/>
        <w:rPr>
          <w:rFonts w:ascii="Verdana" w:eastAsia="Batang" w:hAnsi="Verdana" w:cs="Times"/>
          <w:sz w:val="20"/>
          <w:szCs w:val="20"/>
          <w:lang w:val="es-CR" w:eastAsia="es-CR"/>
        </w:rPr>
      </w:pPr>
    </w:p>
    <w:p w:rsidR="00595BC3" w:rsidRPr="00873FEC" w:rsidRDefault="00595BC3" w:rsidP="00126E97">
      <w:pPr>
        <w:spacing w:after="0" w:line="20" w:lineRule="atLeast"/>
        <w:ind w:right="-138"/>
        <w:jc w:val="both"/>
        <w:rPr>
          <w:rFonts w:ascii="Verdana" w:eastAsia="Batang" w:hAnsi="Verdana" w:cs="Times"/>
          <w:sz w:val="20"/>
          <w:szCs w:val="20"/>
          <w:lang w:val="es-CR" w:eastAsia="es-CR"/>
        </w:rPr>
      </w:pPr>
      <w:proofErr w:type="gramStart"/>
      <w:r w:rsidRPr="00873FEC">
        <w:rPr>
          <w:rFonts w:ascii="Verdana" w:eastAsia="Batang" w:hAnsi="Verdana" w:cs="Times"/>
          <w:sz w:val="20"/>
          <w:szCs w:val="20"/>
          <w:lang w:val="es-CR" w:eastAsia="es-CR"/>
        </w:rPr>
        <w:t>la</w:t>
      </w:r>
      <w:proofErr w:type="gramEnd"/>
      <w:r w:rsidRPr="00873FEC">
        <w:rPr>
          <w:rFonts w:ascii="Verdana" w:eastAsia="Batang" w:hAnsi="Verdana" w:cs="Times"/>
          <w:sz w:val="20"/>
          <w:szCs w:val="20"/>
          <w:lang w:val="es-CR" w:eastAsia="es-CR"/>
        </w:rPr>
        <w:t xml:space="preserve"> Corte Interamericana de Derechos Humanos (en adelante</w:t>
      </w:r>
      <w:r w:rsidR="005D3A78" w:rsidRPr="00873FEC">
        <w:rPr>
          <w:rFonts w:ascii="Verdana" w:eastAsia="Batang" w:hAnsi="Verdana" w:cs="Times"/>
          <w:sz w:val="20"/>
          <w:szCs w:val="20"/>
          <w:lang w:val="es-CR" w:eastAsia="es-CR"/>
        </w:rPr>
        <w:t xml:space="preserve"> también</w:t>
      </w:r>
      <w:r w:rsidRPr="00873FEC">
        <w:rPr>
          <w:rFonts w:ascii="Verdana" w:eastAsia="Batang" w:hAnsi="Verdana" w:cs="Times"/>
          <w:sz w:val="20"/>
          <w:szCs w:val="20"/>
          <w:lang w:val="es-CR" w:eastAsia="es-CR"/>
        </w:rPr>
        <w:t xml:space="preserve"> “la Corte Interamericana”, “la Corte” o “el Tribunal”), integrada por los siguientes Jueces</w:t>
      </w:r>
      <w:r w:rsidRPr="00873FEC">
        <w:rPr>
          <w:rFonts w:ascii="Verdana" w:eastAsia="Batang" w:hAnsi="Verdana" w:cs="Times New Roman"/>
          <w:sz w:val="20"/>
          <w:szCs w:val="20"/>
          <w:vertAlign w:val="superscript"/>
          <w:lang w:val="es-CR" w:eastAsia="x-none"/>
        </w:rPr>
        <w:footnoteReference w:customMarkFollows="1" w:id="1"/>
        <w:t>*</w:t>
      </w:r>
      <w:r w:rsidRPr="00873FEC">
        <w:rPr>
          <w:rFonts w:ascii="Verdana" w:eastAsia="Batang" w:hAnsi="Verdana" w:cs="Times"/>
          <w:sz w:val="20"/>
          <w:szCs w:val="20"/>
          <w:lang w:val="es-CR" w:eastAsia="es-CR"/>
        </w:rPr>
        <w:t>:</w:t>
      </w:r>
    </w:p>
    <w:p w:rsidR="00595BC3" w:rsidRPr="00873FEC" w:rsidRDefault="00595BC3" w:rsidP="00126E97">
      <w:pPr>
        <w:spacing w:after="0" w:line="20" w:lineRule="atLeast"/>
        <w:ind w:right="-138"/>
        <w:jc w:val="both"/>
        <w:rPr>
          <w:rFonts w:ascii="Verdana" w:eastAsia="Batang" w:hAnsi="Verdana" w:cs="Times"/>
          <w:sz w:val="20"/>
          <w:szCs w:val="20"/>
          <w:lang w:val="es-CR" w:eastAsia="es-CR"/>
        </w:rPr>
      </w:pPr>
    </w:p>
    <w:p w:rsidR="00595BC3" w:rsidRPr="00873FEC" w:rsidRDefault="00595BC3" w:rsidP="00126E97">
      <w:pPr>
        <w:spacing w:after="0" w:line="20" w:lineRule="atLeast"/>
        <w:ind w:right="-138"/>
        <w:jc w:val="both"/>
        <w:rPr>
          <w:rFonts w:ascii="Verdana" w:eastAsia="Times New Roman" w:hAnsi="Verdana" w:cs="Times New Roman"/>
          <w:sz w:val="20"/>
          <w:szCs w:val="20"/>
          <w:lang w:val="pt-BR" w:eastAsia="es-CR"/>
        </w:rPr>
      </w:pPr>
      <w:r w:rsidRPr="00873FEC">
        <w:rPr>
          <w:rFonts w:ascii="Verdana" w:eastAsia="Times New Roman" w:hAnsi="Verdana" w:cs="Times New Roman"/>
          <w:sz w:val="20"/>
          <w:szCs w:val="20"/>
          <w:lang w:val="pt-BR" w:eastAsia="es-CR"/>
        </w:rPr>
        <w:t xml:space="preserve">Eduardo Ferrer Mac-Gregor Poisot, Presidente; </w:t>
      </w:r>
    </w:p>
    <w:p w:rsidR="00595BC3" w:rsidRPr="00873FEC" w:rsidRDefault="00595BC3" w:rsidP="00126E97">
      <w:pPr>
        <w:spacing w:after="0" w:line="20" w:lineRule="atLeast"/>
        <w:ind w:right="-138"/>
        <w:jc w:val="both"/>
        <w:rPr>
          <w:rFonts w:ascii="Verdana" w:eastAsia="Times New Roman" w:hAnsi="Verdana" w:cs="Times New Roman"/>
          <w:sz w:val="20"/>
          <w:szCs w:val="20"/>
          <w:lang w:val="es-CR" w:eastAsia="es-CR"/>
        </w:rPr>
      </w:pPr>
      <w:r w:rsidRPr="00873FEC">
        <w:rPr>
          <w:rFonts w:ascii="Verdana" w:eastAsia="Times New Roman" w:hAnsi="Verdana" w:cs="Times New Roman"/>
          <w:sz w:val="20"/>
          <w:szCs w:val="20"/>
          <w:lang w:val="es-CR" w:eastAsia="es-CR"/>
        </w:rPr>
        <w:t>Humberto Antonio Sierra Porto, Juez;</w:t>
      </w:r>
    </w:p>
    <w:p w:rsidR="00595BC3" w:rsidRPr="00873FEC" w:rsidRDefault="00595BC3" w:rsidP="00126E97">
      <w:pPr>
        <w:spacing w:after="0" w:line="20" w:lineRule="atLeast"/>
        <w:ind w:right="-138"/>
        <w:jc w:val="both"/>
        <w:rPr>
          <w:rFonts w:ascii="Verdana" w:eastAsia="Times New Roman" w:hAnsi="Verdana" w:cs="Times New Roman"/>
          <w:sz w:val="20"/>
          <w:szCs w:val="20"/>
          <w:lang w:val="es-CR" w:eastAsia="es-CR"/>
        </w:rPr>
      </w:pPr>
      <w:r w:rsidRPr="00873FEC">
        <w:rPr>
          <w:rFonts w:ascii="Verdana" w:eastAsia="Times New Roman" w:hAnsi="Verdana" w:cs="Times New Roman"/>
          <w:sz w:val="20"/>
          <w:szCs w:val="20"/>
          <w:lang w:val="es-CR" w:eastAsia="es-CR"/>
        </w:rPr>
        <w:t xml:space="preserve">Elizabeth Odio Benito, Jueza; </w:t>
      </w:r>
    </w:p>
    <w:p w:rsidR="00595BC3" w:rsidRPr="00873FEC" w:rsidRDefault="00595BC3" w:rsidP="00126E97">
      <w:pPr>
        <w:spacing w:after="0" w:line="20" w:lineRule="atLeast"/>
        <w:ind w:right="-138"/>
        <w:jc w:val="both"/>
        <w:rPr>
          <w:rFonts w:ascii="Verdana" w:eastAsia="Times New Roman" w:hAnsi="Verdana" w:cs="Times New Roman"/>
          <w:sz w:val="20"/>
          <w:szCs w:val="20"/>
          <w:lang w:val="es-CR" w:eastAsia="es-CR"/>
        </w:rPr>
      </w:pPr>
      <w:r w:rsidRPr="00873FEC">
        <w:rPr>
          <w:rFonts w:ascii="Verdana" w:eastAsia="Times New Roman" w:hAnsi="Verdana" w:cs="Times New Roman"/>
          <w:sz w:val="20"/>
          <w:szCs w:val="20"/>
          <w:lang w:val="es-CR" w:eastAsia="es-CR"/>
        </w:rPr>
        <w:t xml:space="preserve">Eugenio Raúl </w:t>
      </w:r>
      <w:proofErr w:type="spellStart"/>
      <w:r w:rsidRPr="00873FEC">
        <w:rPr>
          <w:rFonts w:ascii="Verdana" w:eastAsia="Times New Roman" w:hAnsi="Verdana" w:cs="Times New Roman"/>
          <w:sz w:val="20"/>
          <w:szCs w:val="20"/>
          <w:lang w:val="es-CR" w:eastAsia="es-CR"/>
        </w:rPr>
        <w:t>Zaffaroni</w:t>
      </w:r>
      <w:proofErr w:type="spellEnd"/>
      <w:r w:rsidRPr="00873FEC">
        <w:rPr>
          <w:rFonts w:ascii="Verdana" w:eastAsia="Times New Roman" w:hAnsi="Verdana" w:cs="Times New Roman"/>
          <w:sz w:val="20"/>
          <w:szCs w:val="20"/>
          <w:lang w:val="es-CR" w:eastAsia="es-CR"/>
        </w:rPr>
        <w:t xml:space="preserve">, Juez, y </w:t>
      </w:r>
    </w:p>
    <w:p w:rsidR="00595BC3" w:rsidRPr="00873FEC" w:rsidRDefault="00595BC3" w:rsidP="00126E97">
      <w:pPr>
        <w:spacing w:after="0" w:line="20" w:lineRule="atLeast"/>
        <w:ind w:right="-138"/>
        <w:jc w:val="both"/>
        <w:rPr>
          <w:rFonts w:ascii="Verdana" w:eastAsia="Batang" w:hAnsi="Verdana" w:cs="Times"/>
          <w:sz w:val="20"/>
          <w:szCs w:val="20"/>
          <w:lang w:val="es-CR" w:eastAsia="es-CR"/>
        </w:rPr>
      </w:pPr>
      <w:r w:rsidRPr="00873FEC">
        <w:rPr>
          <w:rFonts w:ascii="Verdana" w:eastAsia="Batang" w:hAnsi="Verdana" w:cs="Times"/>
          <w:sz w:val="20"/>
          <w:szCs w:val="20"/>
          <w:lang w:val="es-CR" w:eastAsia="es-CR"/>
        </w:rPr>
        <w:t xml:space="preserve">L. Patricio Pazmiño Freire, Juez; </w:t>
      </w:r>
    </w:p>
    <w:p w:rsidR="00595BC3" w:rsidRPr="00873FEC" w:rsidRDefault="00595BC3" w:rsidP="00126E97">
      <w:pPr>
        <w:spacing w:after="0" w:line="20" w:lineRule="atLeast"/>
        <w:ind w:right="-138"/>
        <w:jc w:val="both"/>
        <w:rPr>
          <w:rFonts w:ascii="Verdana" w:eastAsia="Batang" w:hAnsi="Verdana" w:cs="Times"/>
          <w:sz w:val="20"/>
          <w:szCs w:val="20"/>
          <w:lang w:val="es-CR" w:eastAsia="es-CR"/>
        </w:rPr>
      </w:pPr>
    </w:p>
    <w:p w:rsidR="00595BC3" w:rsidRPr="00873FEC" w:rsidRDefault="00595BC3" w:rsidP="00126E97">
      <w:pPr>
        <w:spacing w:after="0" w:line="20" w:lineRule="atLeast"/>
        <w:ind w:right="-138"/>
        <w:jc w:val="both"/>
        <w:rPr>
          <w:rFonts w:ascii="Verdana" w:eastAsia="Batang" w:hAnsi="Verdana" w:cs="Times"/>
          <w:sz w:val="20"/>
          <w:szCs w:val="20"/>
          <w:lang w:val="es-CR" w:eastAsia="es-CR"/>
        </w:rPr>
      </w:pPr>
      <w:proofErr w:type="gramStart"/>
      <w:r w:rsidRPr="00873FEC">
        <w:rPr>
          <w:rFonts w:ascii="Verdana" w:eastAsia="Batang" w:hAnsi="Verdana" w:cs="Times"/>
          <w:sz w:val="20"/>
          <w:szCs w:val="20"/>
          <w:lang w:val="es-CR" w:eastAsia="es-CR"/>
        </w:rPr>
        <w:t>presentes</w:t>
      </w:r>
      <w:proofErr w:type="gramEnd"/>
      <w:r w:rsidRPr="00873FEC">
        <w:rPr>
          <w:rFonts w:ascii="Verdana" w:eastAsia="Batang" w:hAnsi="Verdana" w:cs="Times"/>
          <w:sz w:val="20"/>
          <w:szCs w:val="20"/>
          <w:lang w:val="es-CR" w:eastAsia="es-CR"/>
        </w:rPr>
        <w:t>, además,</w:t>
      </w:r>
    </w:p>
    <w:p w:rsidR="00595BC3" w:rsidRPr="00873FEC" w:rsidRDefault="00595BC3" w:rsidP="00126E97">
      <w:pPr>
        <w:spacing w:after="0" w:line="20" w:lineRule="atLeast"/>
        <w:ind w:right="-138"/>
        <w:jc w:val="both"/>
        <w:rPr>
          <w:rFonts w:ascii="Verdana" w:eastAsia="Batang" w:hAnsi="Verdana" w:cs="Times"/>
          <w:sz w:val="20"/>
          <w:szCs w:val="20"/>
          <w:lang w:val="es-CR" w:eastAsia="es-CR"/>
        </w:rPr>
      </w:pPr>
    </w:p>
    <w:p w:rsidR="00595BC3" w:rsidRPr="00873FEC" w:rsidRDefault="00595BC3" w:rsidP="00126E97">
      <w:pPr>
        <w:spacing w:after="0" w:line="20" w:lineRule="atLeast"/>
        <w:jc w:val="both"/>
        <w:rPr>
          <w:rFonts w:ascii="Verdana" w:eastAsia="Batang" w:hAnsi="Verdana" w:cs="Times"/>
          <w:sz w:val="20"/>
          <w:szCs w:val="20"/>
          <w:lang w:val="es-CR" w:eastAsia="es-CR"/>
        </w:rPr>
      </w:pPr>
      <w:r w:rsidRPr="00873FEC">
        <w:rPr>
          <w:rFonts w:ascii="Verdana" w:eastAsia="Batang" w:hAnsi="Verdana" w:cs="Times"/>
          <w:sz w:val="20"/>
          <w:szCs w:val="20"/>
          <w:lang w:val="es-CR" w:eastAsia="es-CR"/>
        </w:rPr>
        <w:t>Pablo Saavedra Alessandri, Secretario, y</w:t>
      </w:r>
    </w:p>
    <w:p w:rsidR="00595BC3" w:rsidRPr="00873FEC" w:rsidRDefault="00595BC3" w:rsidP="00126E97">
      <w:pPr>
        <w:spacing w:after="0" w:line="20" w:lineRule="atLeast"/>
        <w:ind w:right="-138"/>
        <w:jc w:val="both"/>
        <w:rPr>
          <w:rFonts w:ascii="Verdana" w:eastAsia="Batang" w:hAnsi="Verdana" w:cs="Times"/>
          <w:sz w:val="20"/>
          <w:szCs w:val="20"/>
          <w:lang w:val="es-CR" w:eastAsia="es-CR"/>
        </w:rPr>
      </w:pPr>
      <w:r w:rsidRPr="00873FEC">
        <w:rPr>
          <w:rFonts w:ascii="Verdana" w:eastAsia="Batang" w:hAnsi="Verdana" w:cs="Times"/>
          <w:sz w:val="20"/>
          <w:szCs w:val="20"/>
          <w:lang w:val="es-CR" w:eastAsia="es-CR"/>
        </w:rPr>
        <w:t>Emilia Segares Rodríguez, Secretaria Adjunta,</w:t>
      </w:r>
    </w:p>
    <w:p w:rsidR="00595BC3" w:rsidRPr="00873FEC" w:rsidRDefault="00595BC3" w:rsidP="00126E97">
      <w:pPr>
        <w:spacing w:after="0" w:line="20" w:lineRule="atLeast"/>
        <w:ind w:right="-138"/>
        <w:jc w:val="both"/>
        <w:rPr>
          <w:rFonts w:ascii="Verdana" w:eastAsia="Batang" w:hAnsi="Verdana" w:cs="Times"/>
          <w:sz w:val="20"/>
          <w:szCs w:val="20"/>
          <w:lang w:val="es-CR" w:eastAsia="es-CR"/>
        </w:rPr>
      </w:pPr>
    </w:p>
    <w:p w:rsidR="009F3810" w:rsidRPr="00873FEC" w:rsidRDefault="009F3810" w:rsidP="00126E97">
      <w:pPr>
        <w:spacing w:after="0" w:line="20" w:lineRule="atLeast"/>
        <w:ind w:right="-138"/>
        <w:jc w:val="both"/>
        <w:rPr>
          <w:rFonts w:ascii="Verdana" w:eastAsia="Batang" w:hAnsi="Verdana" w:cs="Times"/>
          <w:sz w:val="20"/>
          <w:szCs w:val="20"/>
          <w:lang w:val="es-CR" w:eastAsia="es-CR"/>
        </w:rPr>
      </w:pPr>
    </w:p>
    <w:p w:rsidR="00E221AF" w:rsidRPr="00873FEC" w:rsidRDefault="00595BC3" w:rsidP="00126E97">
      <w:pPr>
        <w:spacing w:after="0" w:line="20" w:lineRule="atLeast"/>
        <w:jc w:val="both"/>
        <w:rPr>
          <w:rFonts w:ascii="Verdana" w:eastAsia="Batang" w:hAnsi="Verdana" w:cs="Times"/>
          <w:sz w:val="20"/>
          <w:szCs w:val="20"/>
          <w:lang w:val="es-CR" w:eastAsia="es-CR"/>
        </w:rPr>
      </w:pPr>
      <w:proofErr w:type="gramStart"/>
      <w:r w:rsidRPr="00873FEC">
        <w:rPr>
          <w:rFonts w:ascii="Verdana" w:eastAsia="Batang" w:hAnsi="Verdana" w:cs="Times"/>
          <w:sz w:val="20"/>
          <w:szCs w:val="20"/>
          <w:lang w:val="es-CR" w:eastAsia="es-CR"/>
        </w:rPr>
        <w:t>de</w:t>
      </w:r>
      <w:proofErr w:type="gramEnd"/>
      <w:r w:rsidRPr="00873FEC">
        <w:rPr>
          <w:rFonts w:ascii="Verdana" w:eastAsia="Batang" w:hAnsi="Verdana" w:cs="Times"/>
          <w:sz w:val="20"/>
          <w:szCs w:val="20"/>
          <w:lang w:val="es-CR" w:eastAsia="es-CR"/>
        </w:rPr>
        <w:t xml:space="preserve"> conformidad con los artículos 62.3 y 63.1 de la Convención Americana sobre Derechos Humanos</w:t>
      </w:r>
      <w:r w:rsidR="005D3A78" w:rsidRPr="00873FEC">
        <w:rPr>
          <w:rFonts w:ascii="Verdana" w:eastAsia="Batang" w:hAnsi="Verdana" w:cs="Times"/>
          <w:sz w:val="20"/>
          <w:szCs w:val="20"/>
          <w:lang w:val="es-CR" w:eastAsia="es-CR"/>
        </w:rPr>
        <w:t xml:space="preserve"> (en adelante también </w:t>
      </w:r>
      <w:r w:rsidRPr="00873FEC">
        <w:rPr>
          <w:rFonts w:ascii="Verdana" w:eastAsia="Batang" w:hAnsi="Verdana" w:cs="Times"/>
          <w:sz w:val="20"/>
          <w:szCs w:val="20"/>
          <w:lang w:val="es-CR" w:eastAsia="es-CR"/>
        </w:rPr>
        <w:t>“Convención Americana” o “Convención”) y con los artículos 31, 32, 65 y 67 del Reglamento de la Corte (en adelante “el Reglamento”), dicta la presente Sentencia que se estructura en el siguiente orden:</w:t>
      </w:r>
    </w:p>
    <w:p w:rsidR="006166D8" w:rsidRPr="00873FEC" w:rsidRDefault="006166D8" w:rsidP="00126E97">
      <w:pPr>
        <w:spacing w:after="0" w:line="20" w:lineRule="atLeast"/>
        <w:rPr>
          <w:lang w:val="es-CR"/>
        </w:rPr>
      </w:pPr>
    </w:p>
    <w:p w:rsidR="00595BC3" w:rsidRPr="00873FEC" w:rsidRDefault="00595BC3" w:rsidP="00126E97">
      <w:pPr>
        <w:spacing w:after="0" w:line="20" w:lineRule="atLeast"/>
        <w:rPr>
          <w:lang w:val="es-CR"/>
        </w:rPr>
      </w:pPr>
      <w:r w:rsidRPr="00873FEC">
        <w:rPr>
          <w:lang w:val="es-CR"/>
        </w:rPr>
        <w:br w:type="page"/>
      </w:r>
    </w:p>
    <w:p w:rsidR="00595BC3" w:rsidRPr="00873FEC" w:rsidRDefault="00595BC3" w:rsidP="00126E97">
      <w:pPr>
        <w:tabs>
          <w:tab w:val="right" w:pos="9214"/>
        </w:tabs>
        <w:spacing w:after="0" w:line="20" w:lineRule="atLeast"/>
        <w:ind w:right="-283"/>
        <w:jc w:val="center"/>
        <w:rPr>
          <w:rFonts w:ascii="Verdana" w:eastAsia="Batang" w:hAnsi="Verdana" w:cs="Times"/>
          <w:b/>
          <w:sz w:val="20"/>
          <w:szCs w:val="24"/>
          <w:lang w:val="es-CR" w:eastAsia="es-CR"/>
        </w:rPr>
      </w:pPr>
      <w:r w:rsidRPr="00873FEC">
        <w:rPr>
          <w:rFonts w:ascii="Verdana" w:eastAsia="Batang" w:hAnsi="Verdana" w:cs="Times"/>
          <w:b/>
          <w:sz w:val="20"/>
          <w:szCs w:val="24"/>
          <w:lang w:val="es-CR" w:eastAsia="es-CR"/>
        </w:rPr>
        <w:lastRenderedPageBreak/>
        <w:t>TABLA DE CONTENIDO</w:t>
      </w:r>
    </w:p>
    <w:p w:rsidR="00595BC3" w:rsidRPr="00873FEC" w:rsidRDefault="00595BC3" w:rsidP="00126E97">
      <w:pPr>
        <w:tabs>
          <w:tab w:val="right" w:pos="9214"/>
        </w:tabs>
        <w:spacing w:after="0" w:line="20" w:lineRule="atLeast"/>
        <w:ind w:right="-283"/>
        <w:jc w:val="both"/>
        <w:rPr>
          <w:rFonts w:ascii="Verdana" w:eastAsia="Batang" w:hAnsi="Verdana" w:cs="Times"/>
          <w:b/>
          <w:sz w:val="20"/>
          <w:szCs w:val="20"/>
          <w:lang w:val="es-CR" w:eastAsia="es-CR"/>
        </w:rPr>
      </w:pPr>
    </w:p>
    <w:p w:rsidR="00873FEC" w:rsidRPr="000624C7" w:rsidRDefault="00595BC3" w:rsidP="00126E97">
      <w:pPr>
        <w:pStyle w:val="TOC1"/>
        <w:tabs>
          <w:tab w:val="right" w:leader="dot" w:pos="8828"/>
        </w:tabs>
        <w:spacing w:before="0" w:after="0" w:line="20" w:lineRule="atLeast"/>
        <w:jc w:val="both"/>
        <w:rPr>
          <w:rFonts w:ascii="Verdana" w:eastAsiaTheme="minorEastAsia" w:hAnsi="Verdana"/>
          <w:b w:val="0"/>
          <w:bCs w:val="0"/>
          <w:caps w:val="0"/>
          <w:noProof/>
          <w:lang w:val="es-CR" w:eastAsia="es-CR"/>
        </w:rPr>
      </w:pPr>
      <w:r w:rsidRPr="000624C7">
        <w:rPr>
          <w:rFonts w:ascii="Verdana" w:eastAsia="Batang" w:hAnsi="Verdana" w:cs="Times"/>
          <w:b w:val="0"/>
          <w:lang w:val="es-CR" w:eastAsia="es-CR"/>
        </w:rPr>
        <w:fldChar w:fldCharType="begin"/>
      </w:r>
      <w:r w:rsidRPr="000624C7">
        <w:rPr>
          <w:rFonts w:ascii="Verdana" w:eastAsia="Batang" w:hAnsi="Verdana" w:cs="Times"/>
          <w:b w:val="0"/>
          <w:lang w:val="es-CR" w:eastAsia="es-CR"/>
        </w:rPr>
        <w:instrText xml:space="preserve"> TOC \o \h \z \u </w:instrText>
      </w:r>
      <w:r w:rsidRPr="000624C7">
        <w:rPr>
          <w:rFonts w:ascii="Verdana" w:eastAsia="Batang" w:hAnsi="Verdana" w:cs="Times"/>
          <w:b w:val="0"/>
          <w:lang w:val="es-CR" w:eastAsia="es-CR"/>
        </w:rPr>
        <w:fldChar w:fldCharType="separate"/>
      </w:r>
      <w:hyperlink w:anchor="_Toc525201143" w:history="1">
        <w:r w:rsidR="00873FEC" w:rsidRPr="000624C7">
          <w:rPr>
            <w:rStyle w:val="Hyperlink"/>
            <w:rFonts w:ascii="Verdana" w:eastAsia="Batang" w:hAnsi="Verdana" w:cs="Times"/>
            <w:noProof/>
            <w:color w:val="auto"/>
            <w:u w:val="none"/>
            <w:lang w:val="es-CR" w:eastAsia="es-CR"/>
          </w:rPr>
          <w:t>I INTRODUCCIÓN DE LA CAUSA Y OBJETO DE LA CONTROVERSIA</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_Toc525201143 \h </w:instrText>
        </w:r>
        <w:r w:rsidR="00873FEC" w:rsidRPr="000624C7">
          <w:rPr>
            <w:rFonts w:ascii="Verdana" w:hAnsi="Verdana"/>
            <w:noProof/>
            <w:webHidden/>
          </w:rPr>
        </w:r>
        <w:r w:rsidR="00873FEC" w:rsidRPr="000624C7">
          <w:rPr>
            <w:rFonts w:ascii="Verdana" w:hAnsi="Verdana"/>
            <w:noProof/>
            <w:webHidden/>
          </w:rPr>
          <w:fldChar w:fldCharType="separate"/>
        </w:r>
        <w:r w:rsidR="00B9342F">
          <w:rPr>
            <w:rFonts w:ascii="Verdana" w:hAnsi="Verdana"/>
            <w:noProof/>
            <w:webHidden/>
          </w:rPr>
          <w:t>4</w:t>
        </w:r>
        <w:r w:rsidR="00873FEC" w:rsidRPr="000624C7">
          <w:rPr>
            <w:rFonts w:ascii="Verdana" w:hAnsi="Verdana"/>
            <w:noProof/>
            <w:webHidden/>
          </w:rPr>
          <w:fldChar w:fldCharType="end"/>
        </w:r>
      </w:hyperlink>
    </w:p>
    <w:p w:rsidR="00873FEC" w:rsidRPr="000624C7" w:rsidRDefault="00B9342F" w:rsidP="00126E97">
      <w:pPr>
        <w:pStyle w:val="TOC1"/>
        <w:tabs>
          <w:tab w:val="right" w:leader="dot" w:pos="8828"/>
        </w:tabs>
        <w:spacing w:before="0" w:after="0" w:line="20" w:lineRule="atLeast"/>
        <w:jc w:val="both"/>
        <w:rPr>
          <w:rFonts w:ascii="Verdana" w:eastAsiaTheme="minorEastAsia" w:hAnsi="Verdana"/>
          <w:b w:val="0"/>
          <w:bCs w:val="0"/>
          <w:caps w:val="0"/>
          <w:noProof/>
          <w:lang w:val="es-CR" w:eastAsia="es-CR"/>
        </w:rPr>
      </w:pPr>
      <w:hyperlink w:anchor="_Toc525201144" w:history="1">
        <w:r w:rsidR="00873FEC" w:rsidRPr="000624C7">
          <w:rPr>
            <w:rStyle w:val="Hyperlink"/>
            <w:rFonts w:ascii="Verdana" w:eastAsia="Times New Roman" w:hAnsi="Verdana" w:cs="Verdana"/>
            <w:noProof/>
            <w:color w:val="auto"/>
            <w:u w:val="none"/>
            <w:lang w:val="es-CR" w:eastAsia="es-CR"/>
          </w:rPr>
          <w:t>II PROCEDIMIENTO ANTE LA CORTE</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_Toc525201144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5</w:t>
        </w:r>
        <w:r w:rsidR="00873FEC" w:rsidRPr="000624C7">
          <w:rPr>
            <w:rFonts w:ascii="Verdana" w:hAnsi="Verdana"/>
            <w:noProof/>
            <w:webHidden/>
          </w:rPr>
          <w:fldChar w:fldCharType="end"/>
        </w:r>
      </w:hyperlink>
    </w:p>
    <w:p w:rsidR="00873FEC" w:rsidRPr="000624C7" w:rsidRDefault="00B9342F" w:rsidP="00126E97">
      <w:pPr>
        <w:pStyle w:val="TOC1"/>
        <w:tabs>
          <w:tab w:val="right" w:leader="dot" w:pos="8828"/>
        </w:tabs>
        <w:spacing w:before="0" w:after="0" w:line="20" w:lineRule="atLeast"/>
        <w:jc w:val="both"/>
        <w:rPr>
          <w:rFonts w:ascii="Verdana" w:eastAsiaTheme="minorEastAsia" w:hAnsi="Verdana"/>
          <w:b w:val="0"/>
          <w:bCs w:val="0"/>
          <w:caps w:val="0"/>
          <w:noProof/>
          <w:lang w:val="es-CR" w:eastAsia="es-CR"/>
        </w:rPr>
      </w:pPr>
      <w:hyperlink w:anchor="_Toc525201145" w:history="1">
        <w:r w:rsidR="00873FEC" w:rsidRPr="000624C7">
          <w:rPr>
            <w:rStyle w:val="Hyperlink"/>
            <w:rFonts w:ascii="Verdana" w:eastAsia="Calibri" w:hAnsi="Verdana" w:cs="Verdana"/>
            <w:noProof/>
            <w:color w:val="auto"/>
            <w:spacing w:val="-5"/>
            <w:u w:val="none"/>
            <w:lang w:val="es-CR" w:eastAsia="es-CR"/>
          </w:rPr>
          <w:t>III</w:t>
        </w:r>
      </w:hyperlink>
      <w:r w:rsidR="00873FEC" w:rsidRPr="000624C7">
        <w:rPr>
          <w:rStyle w:val="Hyperlink"/>
          <w:rFonts w:ascii="Verdana" w:hAnsi="Verdana"/>
          <w:noProof/>
          <w:color w:val="auto"/>
          <w:u w:val="none"/>
        </w:rPr>
        <w:t xml:space="preserve"> </w:t>
      </w:r>
      <w:hyperlink w:anchor="_Toc525201146" w:history="1">
        <w:r w:rsidR="00873FEC" w:rsidRPr="000624C7">
          <w:rPr>
            <w:rStyle w:val="Hyperlink"/>
            <w:rFonts w:ascii="Verdana" w:eastAsia="Times New Roman" w:hAnsi="Verdana" w:cs="Verdana"/>
            <w:noProof/>
            <w:color w:val="auto"/>
            <w:spacing w:val="-5"/>
            <w:u w:val="none"/>
            <w:lang w:val="es-CR" w:eastAsia="es-CR"/>
          </w:rPr>
          <w:t>COMPETENCIA</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_Toc525201146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7</w:t>
        </w:r>
        <w:r w:rsidR="00873FEC" w:rsidRPr="000624C7">
          <w:rPr>
            <w:rFonts w:ascii="Verdana" w:hAnsi="Verdana"/>
            <w:noProof/>
            <w:webHidden/>
          </w:rPr>
          <w:fldChar w:fldCharType="end"/>
        </w:r>
      </w:hyperlink>
    </w:p>
    <w:p w:rsidR="00873FEC" w:rsidRPr="000624C7" w:rsidRDefault="00B9342F" w:rsidP="00126E97">
      <w:pPr>
        <w:pStyle w:val="TOC1"/>
        <w:tabs>
          <w:tab w:val="right" w:leader="dot" w:pos="8828"/>
        </w:tabs>
        <w:spacing w:before="0" w:after="0" w:line="20" w:lineRule="atLeast"/>
        <w:jc w:val="both"/>
        <w:rPr>
          <w:rFonts w:ascii="Verdana" w:eastAsiaTheme="minorEastAsia" w:hAnsi="Verdana"/>
          <w:b w:val="0"/>
          <w:bCs w:val="0"/>
          <w:caps w:val="0"/>
          <w:noProof/>
          <w:lang w:val="es-CR" w:eastAsia="es-CR"/>
        </w:rPr>
      </w:pPr>
      <w:hyperlink w:anchor="_Toc525201147" w:history="1">
        <w:r w:rsidR="00873FEC" w:rsidRPr="000624C7">
          <w:rPr>
            <w:rStyle w:val="Hyperlink"/>
            <w:rFonts w:ascii="Verdana" w:eastAsia="Calibri" w:hAnsi="Verdana" w:cs="Verdana"/>
            <w:noProof/>
            <w:color w:val="auto"/>
            <w:spacing w:val="-5"/>
            <w:u w:val="none"/>
            <w:lang w:val="es-CR" w:eastAsia="es-CR"/>
          </w:rPr>
          <w:t>IV</w:t>
        </w:r>
      </w:hyperlink>
      <w:r w:rsidR="000624C7" w:rsidRPr="000624C7">
        <w:rPr>
          <w:rStyle w:val="Hyperlink"/>
          <w:rFonts w:ascii="Verdana" w:hAnsi="Verdana"/>
          <w:noProof/>
          <w:color w:val="auto"/>
          <w:u w:val="none"/>
        </w:rPr>
        <w:t xml:space="preserve"> </w:t>
      </w:r>
      <w:hyperlink w:anchor="_Toc525201148" w:history="1">
        <w:r w:rsidR="00873FEC" w:rsidRPr="000624C7">
          <w:rPr>
            <w:rStyle w:val="Hyperlink"/>
            <w:rFonts w:ascii="Verdana" w:eastAsia="Times New Roman" w:hAnsi="Verdana" w:cs="Verdana"/>
            <w:noProof/>
            <w:color w:val="auto"/>
            <w:spacing w:val="-5"/>
            <w:u w:val="none"/>
            <w:lang w:val="es-CR" w:eastAsia="es-CR"/>
          </w:rPr>
          <w:t>CONSIDERACIÓN PREVIA SOBRE LA DETERMINACIÓN DE PRESUNTAS VÍCTIMAS</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_Toc525201148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7</w:t>
        </w:r>
        <w:r w:rsidR="00873FEC" w:rsidRPr="000624C7">
          <w:rPr>
            <w:rFonts w:ascii="Verdana" w:hAnsi="Verdana"/>
            <w:noProof/>
            <w:webHidden/>
          </w:rPr>
          <w:fldChar w:fldCharType="end"/>
        </w:r>
      </w:hyperlink>
    </w:p>
    <w:p w:rsidR="00873FEC" w:rsidRPr="000624C7" w:rsidRDefault="00B9342F" w:rsidP="00126E97">
      <w:pPr>
        <w:pStyle w:val="TOC2"/>
        <w:tabs>
          <w:tab w:val="left" w:pos="880"/>
          <w:tab w:val="right" w:leader="dot" w:pos="8828"/>
        </w:tabs>
        <w:spacing w:line="20" w:lineRule="atLeast"/>
        <w:jc w:val="both"/>
        <w:rPr>
          <w:rFonts w:ascii="Verdana" w:eastAsiaTheme="minorEastAsia" w:hAnsi="Verdana"/>
          <w:smallCaps w:val="0"/>
          <w:noProof/>
          <w:lang w:val="es-CR" w:eastAsia="es-CR"/>
        </w:rPr>
      </w:pPr>
      <w:hyperlink w:anchor="_Toc525201149" w:history="1">
        <w:r w:rsidR="00873FEC" w:rsidRPr="000624C7">
          <w:rPr>
            <w:rStyle w:val="Hyperlink"/>
            <w:rFonts w:ascii="Verdana" w:eastAsia="Calibri" w:hAnsi="Verdana" w:cs="Times"/>
            <w:i/>
            <w:noProof/>
            <w:color w:val="auto"/>
            <w:u w:val="none"/>
            <w:lang w:val="es-CR" w:eastAsia="es-CR"/>
          </w:rPr>
          <w:t>A.Alegatos de la Comisión y de la partes</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_Toc525201149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7</w:t>
        </w:r>
        <w:r w:rsidR="00873FEC" w:rsidRPr="000624C7">
          <w:rPr>
            <w:rFonts w:ascii="Verdana" w:hAnsi="Verdana"/>
            <w:noProof/>
            <w:webHidden/>
          </w:rPr>
          <w:fldChar w:fldCharType="end"/>
        </w:r>
      </w:hyperlink>
    </w:p>
    <w:p w:rsidR="00873FEC" w:rsidRPr="000624C7" w:rsidRDefault="00B9342F" w:rsidP="00126E97">
      <w:pPr>
        <w:pStyle w:val="TOC2"/>
        <w:tabs>
          <w:tab w:val="left" w:pos="880"/>
          <w:tab w:val="right" w:leader="dot" w:pos="8828"/>
        </w:tabs>
        <w:spacing w:line="20" w:lineRule="atLeast"/>
        <w:jc w:val="both"/>
        <w:rPr>
          <w:rFonts w:ascii="Verdana" w:eastAsiaTheme="minorEastAsia" w:hAnsi="Verdana"/>
          <w:smallCaps w:val="0"/>
          <w:noProof/>
          <w:lang w:val="es-CR" w:eastAsia="es-CR"/>
        </w:rPr>
      </w:pPr>
      <w:hyperlink w:anchor="_Toc525201150" w:history="1">
        <w:r w:rsidR="00873FEC" w:rsidRPr="000624C7">
          <w:rPr>
            <w:rStyle w:val="Hyperlink"/>
            <w:rFonts w:ascii="Verdana" w:eastAsia="Calibri" w:hAnsi="Verdana" w:cs="Times"/>
            <w:i/>
            <w:noProof/>
            <w:color w:val="auto"/>
            <w:u w:val="none"/>
            <w:lang w:val="es-CR" w:eastAsia="es-CR"/>
          </w:rPr>
          <w:t>B.Consideraciones de la Corte</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_Toc525201150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7</w:t>
        </w:r>
        <w:r w:rsidR="00873FEC" w:rsidRPr="000624C7">
          <w:rPr>
            <w:rFonts w:ascii="Verdana" w:hAnsi="Verdana"/>
            <w:noProof/>
            <w:webHidden/>
          </w:rPr>
          <w:fldChar w:fldCharType="end"/>
        </w:r>
      </w:hyperlink>
    </w:p>
    <w:p w:rsidR="00873FEC" w:rsidRPr="000624C7" w:rsidRDefault="00B9342F" w:rsidP="00126E97">
      <w:pPr>
        <w:pStyle w:val="TOC1"/>
        <w:tabs>
          <w:tab w:val="right" w:leader="dot" w:pos="8828"/>
        </w:tabs>
        <w:spacing w:before="0" w:after="0" w:line="20" w:lineRule="atLeast"/>
        <w:jc w:val="both"/>
        <w:rPr>
          <w:rFonts w:ascii="Verdana" w:eastAsiaTheme="minorEastAsia" w:hAnsi="Verdana"/>
          <w:b w:val="0"/>
          <w:bCs w:val="0"/>
          <w:caps w:val="0"/>
          <w:noProof/>
          <w:lang w:val="es-CR" w:eastAsia="es-CR"/>
        </w:rPr>
      </w:pPr>
      <w:hyperlink w:anchor="_Toc525201151" w:history="1">
        <w:r w:rsidR="00873FEC" w:rsidRPr="000624C7">
          <w:rPr>
            <w:rStyle w:val="Hyperlink"/>
            <w:rFonts w:ascii="Verdana" w:eastAsia="Calibri" w:hAnsi="Verdana" w:cs="Times"/>
            <w:noProof/>
            <w:color w:val="auto"/>
            <w:u w:val="none"/>
            <w:lang w:eastAsia="es-CR"/>
          </w:rPr>
          <w:t>V</w:t>
        </w:r>
      </w:hyperlink>
      <w:r w:rsidR="00873FEC" w:rsidRPr="000624C7">
        <w:rPr>
          <w:rStyle w:val="Hyperlink"/>
          <w:rFonts w:ascii="Verdana" w:hAnsi="Verdana"/>
          <w:noProof/>
          <w:color w:val="auto"/>
          <w:u w:val="none"/>
        </w:rPr>
        <w:t xml:space="preserve"> </w:t>
      </w:r>
      <w:hyperlink w:anchor="_Toc525201152" w:history="1">
        <w:r w:rsidR="00873FEC" w:rsidRPr="000624C7">
          <w:rPr>
            <w:rStyle w:val="Hyperlink"/>
            <w:rFonts w:ascii="Verdana" w:eastAsia="Calibri" w:hAnsi="Verdana" w:cs="Times"/>
            <w:noProof/>
            <w:color w:val="auto"/>
            <w:u w:val="none"/>
            <w:lang w:eastAsia="es-CR"/>
          </w:rPr>
          <w:t>PRUEBA</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_Toc525201152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8</w:t>
        </w:r>
        <w:r w:rsidR="00873FEC" w:rsidRPr="000624C7">
          <w:rPr>
            <w:rFonts w:ascii="Verdana" w:hAnsi="Verdana"/>
            <w:noProof/>
            <w:webHidden/>
          </w:rPr>
          <w:fldChar w:fldCharType="end"/>
        </w:r>
      </w:hyperlink>
    </w:p>
    <w:p w:rsidR="00873FEC" w:rsidRPr="000624C7" w:rsidRDefault="00B9342F" w:rsidP="00126E97">
      <w:pPr>
        <w:pStyle w:val="TOC2"/>
        <w:tabs>
          <w:tab w:val="left" w:pos="880"/>
          <w:tab w:val="right" w:leader="dot" w:pos="8828"/>
        </w:tabs>
        <w:spacing w:line="20" w:lineRule="atLeast"/>
        <w:jc w:val="both"/>
        <w:rPr>
          <w:rFonts w:ascii="Verdana" w:eastAsiaTheme="minorEastAsia" w:hAnsi="Verdana"/>
          <w:smallCaps w:val="0"/>
          <w:noProof/>
          <w:lang w:val="es-CR" w:eastAsia="es-CR"/>
        </w:rPr>
      </w:pPr>
      <w:hyperlink w:anchor="_Toc525201153" w:history="1">
        <w:r w:rsidR="00873FEC" w:rsidRPr="000624C7">
          <w:rPr>
            <w:rStyle w:val="Hyperlink"/>
            <w:rFonts w:ascii="Verdana" w:eastAsia="Calibri" w:hAnsi="Verdana" w:cs="Times"/>
            <w:i/>
            <w:noProof/>
            <w:color w:val="auto"/>
            <w:u w:val="none"/>
            <w:lang w:eastAsia="es-CR"/>
          </w:rPr>
          <w:t>A.</w:t>
        </w:r>
        <w:r w:rsidR="000624C7" w:rsidRPr="000624C7">
          <w:rPr>
            <w:rFonts w:ascii="Verdana" w:eastAsiaTheme="minorEastAsia" w:hAnsi="Verdana"/>
            <w:smallCaps w:val="0"/>
            <w:noProof/>
            <w:lang w:val="es-CR" w:eastAsia="es-CR"/>
          </w:rPr>
          <w:t xml:space="preserve"> </w:t>
        </w:r>
        <w:r w:rsidR="00873FEC" w:rsidRPr="000624C7">
          <w:rPr>
            <w:rStyle w:val="Hyperlink"/>
            <w:rFonts w:ascii="Verdana" w:eastAsia="Calibri" w:hAnsi="Verdana" w:cs="Times"/>
            <w:i/>
            <w:noProof/>
            <w:color w:val="auto"/>
            <w:u w:val="none"/>
            <w:lang w:eastAsia="es-CR"/>
          </w:rPr>
          <w:t>Admisibilidad de la prueba documental</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_Toc525201153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8</w:t>
        </w:r>
        <w:r w:rsidR="00873FEC" w:rsidRPr="000624C7">
          <w:rPr>
            <w:rFonts w:ascii="Verdana" w:hAnsi="Verdana"/>
            <w:noProof/>
            <w:webHidden/>
          </w:rPr>
          <w:fldChar w:fldCharType="end"/>
        </w:r>
      </w:hyperlink>
    </w:p>
    <w:p w:rsidR="00873FEC" w:rsidRPr="000624C7" w:rsidRDefault="00B9342F" w:rsidP="00126E97">
      <w:pPr>
        <w:pStyle w:val="TOC2"/>
        <w:tabs>
          <w:tab w:val="right" w:leader="dot" w:pos="8828"/>
        </w:tabs>
        <w:spacing w:line="20" w:lineRule="atLeast"/>
        <w:jc w:val="both"/>
        <w:rPr>
          <w:rFonts w:ascii="Verdana" w:eastAsiaTheme="minorEastAsia" w:hAnsi="Verdana"/>
          <w:smallCaps w:val="0"/>
          <w:noProof/>
          <w:lang w:val="es-CR" w:eastAsia="es-CR"/>
        </w:rPr>
      </w:pPr>
      <w:hyperlink w:anchor="_Toc525201154" w:history="1">
        <w:r w:rsidR="00873FEC" w:rsidRPr="000624C7">
          <w:rPr>
            <w:rStyle w:val="Hyperlink"/>
            <w:rFonts w:ascii="Verdana" w:eastAsia="Calibri" w:hAnsi="Verdana" w:cs="Times"/>
            <w:i/>
            <w:noProof/>
            <w:color w:val="auto"/>
            <w:u w:val="none"/>
            <w:lang w:val="es-CR" w:eastAsia="es-CR"/>
          </w:rPr>
          <w:t>B. Admisibilidad de la prueba testimonial y pericial</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_Toc525201154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10</w:t>
        </w:r>
        <w:r w:rsidR="00873FEC" w:rsidRPr="000624C7">
          <w:rPr>
            <w:rFonts w:ascii="Verdana" w:hAnsi="Verdana"/>
            <w:noProof/>
            <w:webHidden/>
          </w:rPr>
          <w:fldChar w:fldCharType="end"/>
        </w:r>
      </w:hyperlink>
    </w:p>
    <w:p w:rsidR="00873FEC" w:rsidRPr="000624C7" w:rsidRDefault="00B9342F" w:rsidP="00126E97">
      <w:pPr>
        <w:pStyle w:val="TOC1"/>
        <w:tabs>
          <w:tab w:val="right" w:leader="dot" w:pos="8828"/>
        </w:tabs>
        <w:spacing w:before="0" w:after="0" w:line="20" w:lineRule="atLeast"/>
        <w:jc w:val="both"/>
        <w:rPr>
          <w:rFonts w:ascii="Verdana" w:eastAsiaTheme="minorEastAsia" w:hAnsi="Verdana"/>
          <w:b w:val="0"/>
          <w:bCs w:val="0"/>
          <w:caps w:val="0"/>
          <w:noProof/>
          <w:lang w:val="es-CR" w:eastAsia="es-CR"/>
        </w:rPr>
      </w:pPr>
      <w:hyperlink w:anchor="_Toc525201155" w:history="1">
        <w:r w:rsidR="00873FEC" w:rsidRPr="000624C7">
          <w:rPr>
            <w:rStyle w:val="Hyperlink"/>
            <w:rFonts w:ascii="Verdana" w:eastAsia="Times New Roman" w:hAnsi="Verdana" w:cs="Verdana"/>
            <w:noProof/>
            <w:color w:val="auto"/>
            <w:u w:val="none"/>
            <w:lang w:val="es-CR" w:eastAsia="es-CR"/>
          </w:rPr>
          <w:t>VI</w:t>
        </w:r>
      </w:hyperlink>
      <w:r w:rsidR="000624C7" w:rsidRPr="000624C7">
        <w:rPr>
          <w:rStyle w:val="Hyperlink"/>
          <w:rFonts w:ascii="Verdana" w:hAnsi="Verdana"/>
          <w:noProof/>
          <w:color w:val="auto"/>
          <w:u w:val="none"/>
        </w:rPr>
        <w:t xml:space="preserve"> </w:t>
      </w:r>
      <w:hyperlink w:anchor="_Toc525201156" w:history="1">
        <w:r w:rsidR="00873FEC" w:rsidRPr="000624C7">
          <w:rPr>
            <w:rStyle w:val="Hyperlink"/>
            <w:rFonts w:ascii="Verdana" w:eastAsia="Times New Roman" w:hAnsi="Verdana" w:cs="Verdana"/>
            <w:noProof/>
            <w:color w:val="auto"/>
            <w:u w:val="none"/>
            <w:lang w:val="es-CR" w:eastAsia="es-CR"/>
          </w:rPr>
          <w:t>HECHOS</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_Toc525201156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10</w:t>
        </w:r>
        <w:r w:rsidR="00873FEC" w:rsidRPr="000624C7">
          <w:rPr>
            <w:rFonts w:ascii="Verdana" w:hAnsi="Verdana"/>
            <w:noProof/>
            <w:webHidden/>
          </w:rPr>
          <w:fldChar w:fldCharType="end"/>
        </w:r>
      </w:hyperlink>
    </w:p>
    <w:p w:rsidR="00873FEC" w:rsidRPr="000624C7" w:rsidRDefault="00B9342F" w:rsidP="00126E97">
      <w:pPr>
        <w:pStyle w:val="TOC2"/>
        <w:tabs>
          <w:tab w:val="right" w:leader="dot" w:pos="8828"/>
        </w:tabs>
        <w:spacing w:line="20" w:lineRule="atLeast"/>
        <w:jc w:val="both"/>
        <w:rPr>
          <w:rFonts w:ascii="Verdana" w:eastAsiaTheme="minorEastAsia" w:hAnsi="Verdana"/>
          <w:smallCaps w:val="0"/>
          <w:noProof/>
          <w:lang w:val="es-CR" w:eastAsia="es-CR"/>
        </w:rPr>
      </w:pPr>
      <w:hyperlink w:anchor="_Toc525201157" w:history="1">
        <w:r w:rsidR="00873FEC" w:rsidRPr="000624C7">
          <w:rPr>
            <w:rStyle w:val="Hyperlink"/>
            <w:rFonts w:ascii="Verdana" w:eastAsia="Batang" w:hAnsi="Verdana" w:cs="Times"/>
            <w:i/>
            <w:noProof/>
            <w:color w:val="auto"/>
            <w:u w:val="none"/>
            <w:lang w:val="es-CR" w:eastAsia="es-CR"/>
          </w:rPr>
          <w:t>A. Contexto</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_Toc525201157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11</w:t>
        </w:r>
        <w:r w:rsidR="00873FEC" w:rsidRPr="000624C7">
          <w:rPr>
            <w:rFonts w:ascii="Verdana" w:hAnsi="Verdana"/>
            <w:noProof/>
            <w:webHidden/>
          </w:rPr>
          <w:fldChar w:fldCharType="end"/>
        </w:r>
      </w:hyperlink>
    </w:p>
    <w:p w:rsidR="00873FEC" w:rsidRPr="000624C7" w:rsidRDefault="00B9342F" w:rsidP="00126E97">
      <w:pPr>
        <w:pStyle w:val="TOC3"/>
        <w:tabs>
          <w:tab w:val="right" w:leader="dot" w:pos="8828"/>
        </w:tabs>
        <w:spacing w:line="20" w:lineRule="atLeast"/>
        <w:jc w:val="both"/>
        <w:rPr>
          <w:rFonts w:ascii="Verdana" w:eastAsiaTheme="minorEastAsia" w:hAnsi="Verdana"/>
          <w:i w:val="0"/>
          <w:iCs w:val="0"/>
          <w:noProof/>
          <w:lang w:val="es-CR" w:eastAsia="es-CR"/>
        </w:rPr>
      </w:pPr>
      <w:hyperlink w:anchor="_Toc525201158" w:history="1">
        <w:r w:rsidR="00873FEC" w:rsidRPr="000624C7">
          <w:rPr>
            <w:rStyle w:val="Hyperlink"/>
            <w:rFonts w:ascii="Verdana" w:eastAsia="Cambria" w:hAnsi="Verdana" w:cs="Times"/>
            <w:noProof/>
            <w:color w:val="auto"/>
            <w:u w:val="none"/>
            <w:lang w:val="es-CR" w:eastAsia="es-CR"/>
          </w:rPr>
          <w:t>A.1 El conflicto armado interno y la violencia contra el pueblo maya</w:t>
        </w:r>
        <w:r w:rsidR="00873FEC" w:rsidRPr="000624C7">
          <w:rPr>
            <w:rFonts w:ascii="Verdana" w:hAnsi="Verdana"/>
            <w:noProof/>
            <w:webHidden/>
          </w:rPr>
          <w:tab/>
        </w:r>
        <w:r w:rsidR="00873FEC" w:rsidRPr="001808D1">
          <w:rPr>
            <w:rFonts w:ascii="Verdana" w:hAnsi="Verdana"/>
            <w:i w:val="0"/>
            <w:noProof/>
            <w:webHidden/>
          </w:rPr>
          <w:fldChar w:fldCharType="begin"/>
        </w:r>
        <w:r w:rsidR="00873FEC" w:rsidRPr="001808D1">
          <w:rPr>
            <w:rFonts w:ascii="Verdana" w:hAnsi="Verdana"/>
            <w:i w:val="0"/>
            <w:noProof/>
            <w:webHidden/>
          </w:rPr>
          <w:instrText xml:space="preserve"> PAGEREF _Toc525201158 \h </w:instrText>
        </w:r>
        <w:r w:rsidR="00873FEC" w:rsidRPr="001808D1">
          <w:rPr>
            <w:rFonts w:ascii="Verdana" w:hAnsi="Verdana"/>
            <w:i w:val="0"/>
            <w:noProof/>
            <w:webHidden/>
          </w:rPr>
        </w:r>
        <w:r w:rsidR="00873FEC" w:rsidRPr="001808D1">
          <w:rPr>
            <w:rFonts w:ascii="Verdana" w:hAnsi="Verdana"/>
            <w:i w:val="0"/>
            <w:noProof/>
            <w:webHidden/>
          </w:rPr>
          <w:fldChar w:fldCharType="separate"/>
        </w:r>
        <w:r>
          <w:rPr>
            <w:rFonts w:ascii="Verdana" w:hAnsi="Verdana"/>
            <w:i w:val="0"/>
            <w:noProof/>
            <w:webHidden/>
          </w:rPr>
          <w:t>11</w:t>
        </w:r>
        <w:r w:rsidR="00873FEC" w:rsidRPr="001808D1">
          <w:rPr>
            <w:rFonts w:ascii="Verdana" w:hAnsi="Verdana"/>
            <w:i w:val="0"/>
            <w:noProof/>
            <w:webHidden/>
          </w:rPr>
          <w:fldChar w:fldCharType="end"/>
        </w:r>
      </w:hyperlink>
    </w:p>
    <w:p w:rsidR="00873FEC" w:rsidRPr="000624C7" w:rsidRDefault="00B9342F" w:rsidP="00126E97">
      <w:pPr>
        <w:pStyle w:val="TOC3"/>
        <w:tabs>
          <w:tab w:val="right" w:leader="dot" w:pos="8828"/>
        </w:tabs>
        <w:spacing w:line="20" w:lineRule="atLeast"/>
        <w:jc w:val="both"/>
        <w:rPr>
          <w:rFonts w:ascii="Verdana" w:eastAsiaTheme="minorEastAsia" w:hAnsi="Verdana"/>
          <w:i w:val="0"/>
          <w:iCs w:val="0"/>
          <w:noProof/>
          <w:lang w:val="es-CR" w:eastAsia="es-CR"/>
        </w:rPr>
      </w:pPr>
      <w:hyperlink w:anchor="_Toc525201159" w:history="1">
        <w:r w:rsidR="00873FEC" w:rsidRPr="000624C7">
          <w:rPr>
            <w:rStyle w:val="Hyperlink"/>
            <w:rFonts w:ascii="Verdana" w:eastAsia="Calibri" w:hAnsi="Verdana" w:cs="Times"/>
            <w:noProof/>
            <w:color w:val="auto"/>
            <w:u w:val="none"/>
            <w:lang w:val="es-CR" w:eastAsia="es-CR"/>
          </w:rPr>
          <w:t>A.2. Desplazamiento y retorno de personas afectadas por el conflicto</w:t>
        </w:r>
        <w:r w:rsidR="00873FEC" w:rsidRPr="000624C7">
          <w:rPr>
            <w:rFonts w:ascii="Verdana" w:hAnsi="Verdana"/>
            <w:noProof/>
            <w:webHidden/>
          </w:rPr>
          <w:tab/>
        </w:r>
        <w:r w:rsidR="00873FEC" w:rsidRPr="001808D1">
          <w:rPr>
            <w:rFonts w:ascii="Verdana" w:hAnsi="Verdana"/>
            <w:i w:val="0"/>
            <w:noProof/>
            <w:webHidden/>
          </w:rPr>
          <w:fldChar w:fldCharType="begin"/>
        </w:r>
        <w:r w:rsidR="00873FEC" w:rsidRPr="001808D1">
          <w:rPr>
            <w:rFonts w:ascii="Verdana" w:hAnsi="Verdana"/>
            <w:i w:val="0"/>
            <w:noProof/>
            <w:webHidden/>
          </w:rPr>
          <w:instrText xml:space="preserve"> PAGEREF _Toc525201159 \h </w:instrText>
        </w:r>
        <w:r w:rsidR="00873FEC" w:rsidRPr="001808D1">
          <w:rPr>
            <w:rFonts w:ascii="Verdana" w:hAnsi="Verdana"/>
            <w:i w:val="0"/>
            <w:noProof/>
            <w:webHidden/>
          </w:rPr>
        </w:r>
        <w:r w:rsidR="00873FEC" w:rsidRPr="001808D1">
          <w:rPr>
            <w:rFonts w:ascii="Verdana" w:hAnsi="Verdana"/>
            <w:i w:val="0"/>
            <w:noProof/>
            <w:webHidden/>
          </w:rPr>
          <w:fldChar w:fldCharType="separate"/>
        </w:r>
        <w:r>
          <w:rPr>
            <w:rFonts w:ascii="Verdana" w:hAnsi="Verdana"/>
            <w:i w:val="0"/>
            <w:noProof/>
            <w:webHidden/>
          </w:rPr>
          <w:t>12</w:t>
        </w:r>
        <w:r w:rsidR="00873FEC" w:rsidRPr="001808D1">
          <w:rPr>
            <w:rFonts w:ascii="Verdana" w:hAnsi="Verdana"/>
            <w:i w:val="0"/>
            <w:noProof/>
            <w:webHidden/>
          </w:rPr>
          <w:fldChar w:fldCharType="end"/>
        </w:r>
      </w:hyperlink>
    </w:p>
    <w:p w:rsidR="00873FEC" w:rsidRPr="000624C7" w:rsidRDefault="00B9342F" w:rsidP="00126E97">
      <w:pPr>
        <w:pStyle w:val="TOC2"/>
        <w:tabs>
          <w:tab w:val="right" w:leader="dot" w:pos="8828"/>
        </w:tabs>
        <w:spacing w:line="20" w:lineRule="atLeast"/>
        <w:jc w:val="both"/>
        <w:rPr>
          <w:rFonts w:ascii="Verdana" w:eastAsiaTheme="minorEastAsia" w:hAnsi="Verdana"/>
          <w:smallCaps w:val="0"/>
          <w:noProof/>
          <w:lang w:val="es-CR" w:eastAsia="es-CR"/>
        </w:rPr>
      </w:pPr>
      <w:hyperlink w:anchor="_Toc525201160" w:history="1">
        <w:r w:rsidR="00873FEC" w:rsidRPr="000624C7">
          <w:rPr>
            <w:rStyle w:val="Hyperlink"/>
            <w:rFonts w:ascii="Verdana" w:eastAsia="Times New Roman" w:hAnsi="Verdana" w:cs="Times"/>
            <w:i/>
            <w:noProof/>
            <w:color w:val="auto"/>
            <w:u w:val="none"/>
            <w:lang w:val="es-CR" w:eastAsia="es-CR"/>
          </w:rPr>
          <w:t>B. Sobre la Comunidad “Aurora 8 de octubre” en la finca Xamán</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_Toc525201160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13</w:t>
        </w:r>
        <w:r w:rsidR="00873FEC" w:rsidRPr="000624C7">
          <w:rPr>
            <w:rFonts w:ascii="Verdana" w:hAnsi="Verdana"/>
            <w:noProof/>
            <w:webHidden/>
          </w:rPr>
          <w:fldChar w:fldCharType="end"/>
        </w:r>
      </w:hyperlink>
    </w:p>
    <w:p w:rsidR="00873FEC" w:rsidRPr="000624C7" w:rsidRDefault="00B9342F" w:rsidP="00126E97">
      <w:pPr>
        <w:pStyle w:val="TOC2"/>
        <w:tabs>
          <w:tab w:val="left" w:pos="660"/>
          <w:tab w:val="right" w:leader="dot" w:pos="8828"/>
        </w:tabs>
        <w:spacing w:line="20" w:lineRule="atLeast"/>
        <w:jc w:val="both"/>
        <w:rPr>
          <w:rFonts w:ascii="Verdana" w:eastAsiaTheme="minorEastAsia" w:hAnsi="Verdana"/>
          <w:smallCaps w:val="0"/>
          <w:noProof/>
          <w:lang w:val="es-CR" w:eastAsia="es-CR"/>
        </w:rPr>
      </w:pPr>
      <w:hyperlink w:anchor="_Toc525201161" w:history="1">
        <w:r w:rsidR="00873FEC" w:rsidRPr="000624C7">
          <w:rPr>
            <w:rStyle w:val="Hyperlink"/>
            <w:rFonts w:ascii="Verdana" w:eastAsia="Calibri" w:hAnsi="Verdana" w:cs="Times"/>
            <w:i/>
            <w:noProof/>
            <w:color w:val="auto"/>
            <w:u w:val="none"/>
            <w:lang w:val="es-CR" w:eastAsia="es-CR"/>
          </w:rPr>
          <w:t>C.Sobre los hechos sucedidos en octubre de 1995 en la finca Xamán</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_Toc525201161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13</w:t>
        </w:r>
        <w:r w:rsidR="00873FEC" w:rsidRPr="000624C7">
          <w:rPr>
            <w:rFonts w:ascii="Verdana" w:hAnsi="Verdana"/>
            <w:noProof/>
            <w:webHidden/>
          </w:rPr>
          <w:fldChar w:fldCharType="end"/>
        </w:r>
      </w:hyperlink>
    </w:p>
    <w:p w:rsidR="00873FEC" w:rsidRPr="000624C7" w:rsidRDefault="00B9342F" w:rsidP="00126E97">
      <w:pPr>
        <w:pStyle w:val="TOC2"/>
        <w:tabs>
          <w:tab w:val="left" w:pos="880"/>
          <w:tab w:val="right" w:leader="dot" w:pos="8828"/>
        </w:tabs>
        <w:spacing w:line="20" w:lineRule="atLeast"/>
        <w:jc w:val="both"/>
        <w:rPr>
          <w:rFonts w:ascii="Verdana" w:eastAsiaTheme="minorEastAsia" w:hAnsi="Verdana"/>
          <w:smallCaps w:val="0"/>
          <w:noProof/>
          <w:lang w:val="es-CR" w:eastAsia="es-CR"/>
        </w:rPr>
      </w:pPr>
      <w:hyperlink w:anchor="_Toc525201162" w:history="1">
        <w:r w:rsidR="00873FEC" w:rsidRPr="000624C7">
          <w:rPr>
            <w:rStyle w:val="Hyperlink"/>
            <w:rFonts w:ascii="Verdana" w:eastAsia="Times New Roman" w:hAnsi="Verdana" w:cs="Times"/>
            <w:i/>
            <w:noProof/>
            <w:color w:val="auto"/>
            <w:u w:val="none"/>
            <w:lang w:val="en-US" w:eastAsia="es-CR"/>
          </w:rPr>
          <w:t>D.Sobre las actuaciones realizadas</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_Toc525201162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15</w:t>
        </w:r>
        <w:r w:rsidR="00873FEC" w:rsidRPr="000624C7">
          <w:rPr>
            <w:rFonts w:ascii="Verdana" w:hAnsi="Verdana"/>
            <w:noProof/>
            <w:webHidden/>
          </w:rPr>
          <w:fldChar w:fldCharType="end"/>
        </w:r>
      </w:hyperlink>
    </w:p>
    <w:p w:rsidR="00873FEC" w:rsidRPr="000624C7" w:rsidRDefault="00B9342F" w:rsidP="00126E97">
      <w:pPr>
        <w:pStyle w:val="TOC1"/>
        <w:tabs>
          <w:tab w:val="right" w:leader="dot" w:pos="8828"/>
        </w:tabs>
        <w:spacing w:before="0" w:after="0" w:line="20" w:lineRule="atLeast"/>
        <w:jc w:val="both"/>
        <w:rPr>
          <w:rFonts w:ascii="Verdana" w:eastAsiaTheme="minorEastAsia" w:hAnsi="Verdana"/>
          <w:b w:val="0"/>
          <w:bCs w:val="0"/>
          <w:caps w:val="0"/>
          <w:noProof/>
          <w:lang w:val="es-CR" w:eastAsia="es-CR"/>
        </w:rPr>
      </w:pPr>
      <w:hyperlink w:anchor="_Toc525201163" w:history="1">
        <w:r w:rsidR="00873FEC" w:rsidRPr="000624C7">
          <w:rPr>
            <w:rStyle w:val="Hyperlink"/>
            <w:rFonts w:ascii="Verdana" w:eastAsia="Times New Roman" w:hAnsi="Verdana" w:cs="Verdana"/>
            <w:noProof/>
            <w:color w:val="auto"/>
            <w:u w:val="none"/>
            <w:lang w:val="es-CR" w:eastAsia="es-CR"/>
          </w:rPr>
          <w:t>VIi</w:t>
        </w:r>
      </w:hyperlink>
      <w:r w:rsidR="000624C7" w:rsidRPr="000624C7">
        <w:rPr>
          <w:rStyle w:val="Hyperlink"/>
          <w:rFonts w:ascii="Verdana" w:hAnsi="Verdana"/>
          <w:noProof/>
          <w:color w:val="auto"/>
          <w:u w:val="none"/>
        </w:rPr>
        <w:t xml:space="preserve"> </w:t>
      </w:r>
      <w:hyperlink w:anchor="_Toc525201164" w:history="1">
        <w:r w:rsidR="00873FEC" w:rsidRPr="000624C7">
          <w:rPr>
            <w:rStyle w:val="Hyperlink"/>
            <w:rFonts w:ascii="Verdana" w:eastAsia="Times New Roman" w:hAnsi="Verdana" w:cs="Verdana"/>
            <w:noProof/>
            <w:color w:val="auto"/>
            <w:u w:val="none"/>
            <w:lang w:val="es-CR" w:eastAsia="es-CR"/>
          </w:rPr>
          <w:t>FONDO</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_Toc525201164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21</w:t>
        </w:r>
        <w:r w:rsidR="00873FEC" w:rsidRPr="000624C7">
          <w:rPr>
            <w:rFonts w:ascii="Verdana" w:hAnsi="Verdana"/>
            <w:noProof/>
            <w:webHidden/>
          </w:rPr>
          <w:fldChar w:fldCharType="end"/>
        </w:r>
      </w:hyperlink>
    </w:p>
    <w:p w:rsidR="00873FEC" w:rsidRPr="000624C7" w:rsidRDefault="00B9342F" w:rsidP="00126E97">
      <w:pPr>
        <w:pStyle w:val="TOC1"/>
        <w:tabs>
          <w:tab w:val="right" w:leader="dot" w:pos="8828"/>
        </w:tabs>
        <w:spacing w:before="0" w:after="0" w:line="20" w:lineRule="atLeast"/>
        <w:jc w:val="both"/>
        <w:rPr>
          <w:rFonts w:ascii="Verdana" w:eastAsiaTheme="minorEastAsia" w:hAnsi="Verdana"/>
          <w:b w:val="0"/>
          <w:bCs w:val="0"/>
          <w:caps w:val="0"/>
          <w:noProof/>
          <w:lang w:val="es-CR" w:eastAsia="es-CR"/>
        </w:rPr>
      </w:pPr>
      <w:hyperlink w:anchor="_Toc525201165" w:history="1">
        <w:r w:rsidR="00873FEC" w:rsidRPr="000624C7">
          <w:rPr>
            <w:rStyle w:val="Hyperlink"/>
            <w:rFonts w:ascii="Verdana" w:eastAsia="Times New Roman" w:hAnsi="Verdana" w:cs="Verdana"/>
            <w:noProof/>
            <w:color w:val="auto"/>
            <w:u w:val="none"/>
            <w:lang w:val="es-CR" w:eastAsia="es-CR"/>
          </w:rPr>
          <w:t>ViI.1</w:t>
        </w:r>
      </w:hyperlink>
      <w:r w:rsidR="000624C7" w:rsidRPr="000624C7">
        <w:rPr>
          <w:rStyle w:val="Hyperlink"/>
          <w:rFonts w:ascii="Verdana" w:hAnsi="Verdana"/>
          <w:noProof/>
          <w:color w:val="auto"/>
          <w:u w:val="none"/>
        </w:rPr>
        <w:t xml:space="preserve"> </w:t>
      </w:r>
      <w:hyperlink w:anchor="_Toc525201166" w:history="1">
        <w:r w:rsidR="00873FEC" w:rsidRPr="000624C7">
          <w:rPr>
            <w:rStyle w:val="Hyperlink"/>
            <w:rFonts w:ascii="Verdana" w:eastAsia="Batang" w:hAnsi="Verdana" w:cs="Verdana"/>
            <w:noProof/>
            <w:color w:val="auto"/>
            <w:u w:val="none"/>
            <w:lang w:val="es-CR" w:eastAsia="es-CR"/>
          </w:rPr>
          <w:t>DERECHOS A LAS GARANTÍAS JUDICIALES Y A LA PROTECCIÓN JUDICIAL</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_Toc525201166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23</w:t>
        </w:r>
        <w:r w:rsidR="00873FEC" w:rsidRPr="000624C7">
          <w:rPr>
            <w:rFonts w:ascii="Verdana" w:hAnsi="Verdana"/>
            <w:noProof/>
            <w:webHidden/>
          </w:rPr>
          <w:fldChar w:fldCharType="end"/>
        </w:r>
      </w:hyperlink>
    </w:p>
    <w:p w:rsidR="00873FEC" w:rsidRPr="000624C7" w:rsidRDefault="00B9342F" w:rsidP="00126E97">
      <w:pPr>
        <w:pStyle w:val="TOC2"/>
        <w:tabs>
          <w:tab w:val="left" w:pos="880"/>
          <w:tab w:val="right" w:leader="dot" w:pos="8828"/>
        </w:tabs>
        <w:spacing w:line="20" w:lineRule="atLeast"/>
        <w:jc w:val="both"/>
        <w:rPr>
          <w:rFonts w:ascii="Verdana" w:eastAsiaTheme="minorEastAsia" w:hAnsi="Verdana"/>
          <w:smallCaps w:val="0"/>
          <w:noProof/>
          <w:lang w:val="es-CR" w:eastAsia="es-CR"/>
        </w:rPr>
      </w:pPr>
      <w:hyperlink w:anchor="_Toc525201167" w:history="1">
        <w:r w:rsidR="00873FEC" w:rsidRPr="000624C7">
          <w:rPr>
            <w:rStyle w:val="Hyperlink"/>
            <w:rFonts w:ascii="Verdana" w:eastAsia="Calibri" w:hAnsi="Verdana" w:cs="Times"/>
            <w:i/>
            <w:noProof/>
            <w:color w:val="auto"/>
            <w:u w:val="none"/>
            <w:lang w:val="es-CR" w:eastAsia="es-CR"/>
          </w:rPr>
          <w:t>A.Argumentos de la Comisión y las partes</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_Toc525201167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23</w:t>
        </w:r>
        <w:r w:rsidR="00873FEC" w:rsidRPr="000624C7">
          <w:rPr>
            <w:rFonts w:ascii="Verdana" w:hAnsi="Verdana"/>
            <w:noProof/>
            <w:webHidden/>
          </w:rPr>
          <w:fldChar w:fldCharType="end"/>
        </w:r>
      </w:hyperlink>
    </w:p>
    <w:p w:rsidR="00873FEC" w:rsidRPr="000624C7" w:rsidRDefault="00B9342F" w:rsidP="00126E97">
      <w:pPr>
        <w:pStyle w:val="TOC2"/>
        <w:tabs>
          <w:tab w:val="left" w:pos="880"/>
          <w:tab w:val="right" w:leader="dot" w:pos="8828"/>
        </w:tabs>
        <w:spacing w:line="20" w:lineRule="atLeast"/>
        <w:jc w:val="both"/>
        <w:rPr>
          <w:rFonts w:ascii="Verdana" w:eastAsiaTheme="minorEastAsia" w:hAnsi="Verdana"/>
          <w:smallCaps w:val="0"/>
          <w:noProof/>
          <w:lang w:val="es-CR" w:eastAsia="es-CR"/>
        </w:rPr>
      </w:pPr>
      <w:hyperlink w:anchor="_Toc525201168" w:history="1">
        <w:r w:rsidR="00873FEC" w:rsidRPr="000624C7">
          <w:rPr>
            <w:rStyle w:val="Hyperlink"/>
            <w:rFonts w:ascii="Verdana" w:eastAsia="Calibri" w:hAnsi="Verdana" w:cs="Times"/>
            <w:i/>
            <w:noProof/>
            <w:color w:val="auto"/>
            <w:u w:val="none"/>
            <w:lang w:val="es-CR" w:eastAsia="es-CR"/>
          </w:rPr>
          <w:t>B.Consideraciones de la Corte</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_Toc525201168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25</w:t>
        </w:r>
        <w:r w:rsidR="00873FEC" w:rsidRPr="000624C7">
          <w:rPr>
            <w:rFonts w:ascii="Verdana" w:hAnsi="Verdana"/>
            <w:noProof/>
            <w:webHidden/>
          </w:rPr>
          <w:fldChar w:fldCharType="end"/>
        </w:r>
      </w:hyperlink>
    </w:p>
    <w:p w:rsidR="00873FEC" w:rsidRPr="000624C7" w:rsidRDefault="00B9342F" w:rsidP="00126E97">
      <w:pPr>
        <w:pStyle w:val="TOC3"/>
        <w:tabs>
          <w:tab w:val="right" w:leader="dot" w:pos="8828"/>
        </w:tabs>
        <w:spacing w:line="20" w:lineRule="atLeast"/>
        <w:jc w:val="both"/>
        <w:rPr>
          <w:rFonts w:ascii="Verdana" w:eastAsiaTheme="minorEastAsia" w:hAnsi="Verdana"/>
          <w:i w:val="0"/>
          <w:iCs w:val="0"/>
          <w:noProof/>
          <w:lang w:val="es-CR" w:eastAsia="es-CR"/>
        </w:rPr>
      </w:pPr>
      <w:hyperlink w:anchor="_Toc525201169" w:history="1">
        <w:r w:rsidR="00873FEC" w:rsidRPr="000624C7">
          <w:rPr>
            <w:rStyle w:val="Hyperlink"/>
            <w:rFonts w:ascii="Verdana" w:eastAsia="Calibri" w:hAnsi="Verdana" w:cs="Times New Roman"/>
            <w:noProof/>
            <w:color w:val="auto"/>
            <w:u w:val="none"/>
            <w:lang w:val="es-CR" w:eastAsia="es-CR"/>
          </w:rPr>
          <w:t>B.1.Consideraciones generales</w:t>
        </w:r>
        <w:r w:rsidR="00873FEC" w:rsidRPr="000624C7">
          <w:rPr>
            <w:rFonts w:ascii="Verdana" w:hAnsi="Verdana"/>
            <w:noProof/>
            <w:webHidden/>
          </w:rPr>
          <w:tab/>
        </w:r>
        <w:r w:rsidR="00873FEC" w:rsidRPr="001808D1">
          <w:rPr>
            <w:rFonts w:ascii="Verdana" w:hAnsi="Verdana"/>
            <w:i w:val="0"/>
            <w:noProof/>
            <w:webHidden/>
          </w:rPr>
          <w:fldChar w:fldCharType="begin"/>
        </w:r>
        <w:r w:rsidR="00873FEC" w:rsidRPr="001808D1">
          <w:rPr>
            <w:rFonts w:ascii="Verdana" w:hAnsi="Verdana"/>
            <w:i w:val="0"/>
            <w:noProof/>
            <w:webHidden/>
          </w:rPr>
          <w:instrText xml:space="preserve"> PAGEREF _Toc525201169 \h </w:instrText>
        </w:r>
        <w:r w:rsidR="00873FEC" w:rsidRPr="001808D1">
          <w:rPr>
            <w:rFonts w:ascii="Verdana" w:hAnsi="Verdana"/>
            <w:i w:val="0"/>
            <w:noProof/>
            <w:webHidden/>
          </w:rPr>
        </w:r>
        <w:r w:rsidR="00873FEC" w:rsidRPr="001808D1">
          <w:rPr>
            <w:rFonts w:ascii="Verdana" w:hAnsi="Verdana"/>
            <w:i w:val="0"/>
            <w:noProof/>
            <w:webHidden/>
          </w:rPr>
          <w:fldChar w:fldCharType="separate"/>
        </w:r>
        <w:r>
          <w:rPr>
            <w:rFonts w:ascii="Verdana" w:hAnsi="Verdana"/>
            <w:i w:val="0"/>
            <w:noProof/>
            <w:webHidden/>
          </w:rPr>
          <w:t>25</w:t>
        </w:r>
        <w:r w:rsidR="00873FEC" w:rsidRPr="001808D1">
          <w:rPr>
            <w:rFonts w:ascii="Verdana" w:hAnsi="Verdana"/>
            <w:i w:val="0"/>
            <w:noProof/>
            <w:webHidden/>
          </w:rPr>
          <w:fldChar w:fldCharType="end"/>
        </w:r>
      </w:hyperlink>
    </w:p>
    <w:p w:rsidR="00873FEC" w:rsidRPr="000624C7" w:rsidRDefault="00B9342F" w:rsidP="00126E97">
      <w:pPr>
        <w:pStyle w:val="TOC3"/>
        <w:tabs>
          <w:tab w:val="right" w:leader="dot" w:pos="8828"/>
        </w:tabs>
        <w:spacing w:line="20" w:lineRule="atLeast"/>
        <w:jc w:val="both"/>
        <w:rPr>
          <w:rFonts w:ascii="Verdana" w:eastAsiaTheme="minorEastAsia" w:hAnsi="Verdana"/>
          <w:i w:val="0"/>
          <w:iCs w:val="0"/>
          <w:noProof/>
          <w:lang w:val="es-CR" w:eastAsia="es-CR"/>
        </w:rPr>
      </w:pPr>
      <w:hyperlink w:anchor="_Toc525201170" w:history="1">
        <w:r w:rsidR="00873FEC" w:rsidRPr="000624C7">
          <w:rPr>
            <w:rStyle w:val="Hyperlink"/>
            <w:rFonts w:ascii="Verdana" w:eastAsia="Cambria" w:hAnsi="Verdana" w:cs="Times"/>
            <w:noProof/>
            <w:color w:val="auto"/>
            <w:u w:val="none"/>
            <w:lang w:val="en-US" w:eastAsia="es-CR"/>
          </w:rPr>
          <w:t>B.2</w:t>
        </w:r>
        <w:r w:rsidR="00013017">
          <w:rPr>
            <w:rStyle w:val="Hyperlink"/>
            <w:rFonts w:ascii="Verdana" w:eastAsia="Cambria" w:hAnsi="Verdana" w:cs="Times"/>
            <w:noProof/>
            <w:color w:val="auto"/>
            <w:u w:val="none"/>
            <w:lang w:val="en-US" w:eastAsia="es-CR"/>
          </w:rPr>
          <w:t>.</w:t>
        </w:r>
        <w:r w:rsidR="00873FEC" w:rsidRPr="000624C7">
          <w:rPr>
            <w:rStyle w:val="Hyperlink"/>
            <w:rFonts w:ascii="Verdana" w:eastAsia="Cambria" w:hAnsi="Verdana" w:cs="Times"/>
            <w:noProof/>
            <w:color w:val="auto"/>
            <w:u w:val="none"/>
            <w:lang w:val="en-US" w:eastAsia="es-CR"/>
          </w:rPr>
          <w:t xml:space="preserve"> Fuero militar</w:t>
        </w:r>
        <w:r w:rsidR="00873FEC" w:rsidRPr="000624C7">
          <w:rPr>
            <w:rFonts w:ascii="Verdana" w:hAnsi="Verdana"/>
            <w:noProof/>
            <w:webHidden/>
          </w:rPr>
          <w:tab/>
        </w:r>
        <w:r w:rsidR="00873FEC" w:rsidRPr="001808D1">
          <w:rPr>
            <w:rFonts w:ascii="Verdana" w:hAnsi="Verdana"/>
            <w:i w:val="0"/>
            <w:noProof/>
            <w:webHidden/>
          </w:rPr>
          <w:fldChar w:fldCharType="begin"/>
        </w:r>
        <w:r w:rsidR="00873FEC" w:rsidRPr="001808D1">
          <w:rPr>
            <w:rFonts w:ascii="Verdana" w:hAnsi="Verdana"/>
            <w:i w:val="0"/>
            <w:noProof/>
            <w:webHidden/>
          </w:rPr>
          <w:instrText xml:space="preserve"> PAGEREF _Toc525201170 \h </w:instrText>
        </w:r>
        <w:r w:rsidR="00873FEC" w:rsidRPr="001808D1">
          <w:rPr>
            <w:rFonts w:ascii="Verdana" w:hAnsi="Verdana"/>
            <w:i w:val="0"/>
            <w:noProof/>
            <w:webHidden/>
          </w:rPr>
        </w:r>
        <w:r w:rsidR="00873FEC" w:rsidRPr="001808D1">
          <w:rPr>
            <w:rFonts w:ascii="Verdana" w:hAnsi="Verdana"/>
            <w:i w:val="0"/>
            <w:noProof/>
            <w:webHidden/>
          </w:rPr>
          <w:fldChar w:fldCharType="separate"/>
        </w:r>
        <w:r>
          <w:rPr>
            <w:rFonts w:ascii="Verdana" w:hAnsi="Verdana"/>
            <w:i w:val="0"/>
            <w:noProof/>
            <w:webHidden/>
          </w:rPr>
          <w:t>27</w:t>
        </w:r>
        <w:r w:rsidR="00873FEC" w:rsidRPr="001808D1">
          <w:rPr>
            <w:rFonts w:ascii="Verdana" w:hAnsi="Verdana"/>
            <w:i w:val="0"/>
            <w:noProof/>
            <w:webHidden/>
          </w:rPr>
          <w:fldChar w:fldCharType="end"/>
        </w:r>
      </w:hyperlink>
    </w:p>
    <w:p w:rsidR="00873FEC" w:rsidRPr="000624C7" w:rsidRDefault="00B9342F" w:rsidP="00126E97">
      <w:pPr>
        <w:pStyle w:val="TOC3"/>
        <w:tabs>
          <w:tab w:val="right" w:leader="dot" w:pos="8828"/>
        </w:tabs>
        <w:spacing w:line="20" w:lineRule="atLeast"/>
        <w:jc w:val="both"/>
        <w:rPr>
          <w:rFonts w:ascii="Verdana" w:eastAsiaTheme="minorEastAsia" w:hAnsi="Verdana"/>
          <w:i w:val="0"/>
          <w:iCs w:val="0"/>
          <w:noProof/>
          <w:lang w:val="es-CR" w:eastAsia="es-CR"/>
        </w:rPr>
      </w:pPr>
      <w:hyperlink w:anchor="_Toc525201171" w:history="1">
        <w:r w:rsidR="00873FEC" w:rsidRPr="000624C7">
          <w:rPr>
            <w:rStyle w:val="Hyperlink"/>
            <w:rFonts w:ascii="Verdana" w:eastAsia="Cambria" w:hAnsi="Verdana" w:cs="Times"/>
            <w:noProof/>
            <w:color w:val="auto"/>
            <w:u w:val="none"/>
            <w:lang w:val="es-CR" w:eastAsia="es-CR"/>
          </w:rPr>
          <w:t>B.3. Investigación de autores intelectuales y de la “cadena de mando”</w:t>
        </w:r>
        <w:r w:rsidR="00873FEC" w:rsidRPr="000624C7">
          <w:rPr>
            <w:rFonts w:ascii="Verdana" w:hAnsi="Verdana"/>
            <w:noProof/>
            <w:webHidden/>
          </w:rPr>
          <w:tab/>
        </w:r>
        <w:r w:rsidR="00873FEC" w:rsidRPr="001808D1">
          <w:rPr>
            <w:rFonts w:ascii="Verdana" w:hAnsi="Verdana"/>
            <w:i w:val="0"/>
            <w:noProof/>
            <w:webHidden/>
          </w:rPr>
          <w:fldChar w:fldCharType="begin"/>
        </w:r>
        <w:r w:rsidR="00873FEC" w:rsidRPr="001808D1">
          <w:rPr>
            <w:rFonts w:ascii="Verdana" w:hAnsi="Verdana"/>
            <w:i w:val="0"/>
            <w:noProof/>
            <w:webHidden/>
          </w:rPr>
          <w:instrText xml:space="preserve"> PAGEREF _Toc525201171 \h </w:instrText>
        </w:r>
        <w:r w:rsidR="00873FEC" w:rsidRPr="001808D1">
          <w:rPr>
            <w:rFonts w:ascii="Verdana" w:hAnsi="Verdana"/>
            <w:i w:val="0"/>
            <w:noProof/>
            <w:webHidden/>
          </w:rPr>
        </w:r>
        <w:r w:rsidR="00873FEC" w:rsidRPr="001808D1">
          <w:rPr>
            <w:rFonts w:ascii="Verdana" w:hAnsi="Verdana"/>
            <w:i w:val="0"/>
            <w:noProof/>
            <w:webHidden/>
          </w:rPr>
          <w:fldChar w:fldCharType="separate"/>
        </w:r>
        <w:r>
          <w:rPr>
            <w:rFonts w:ascii="Verdana" w:hAnsi="Verdana"/>
            <w:i w:val="0"/>
            <w:noProof/>
            <w:webHidden/>
          </w:rPr>
          <w:t>28</w:t>
        </w:r>
        <w:r w:rsidR="00873FEC" w:rsidRPr="001808D1">
          <w:rPr>
            <w:rFonts w:ascii="Verdana" w:hAnsi="Verdana"/>
            <w:i w:val="0"/>
            <w:noProof/>
            <w:webHidden/>
          </w:rPr>
          <w:fldChar w:fldCharType="end"/>
        </w:r>
      </w:hyperlink>
    </w:p>
    <w:p w:rsidR="00873FEC" w:rsidRPr="000624C7" w:rsidRDefault="00B9342F" w:rsidP="00126E97">
      <w:pPr>
        <w:pStyle w:val="TOC3"/>
        <w:tabs>
          <w:tab w:val="right" w:leader="dot" w:pos="8828"/>
        </w:tabs>
        <w:spacing w:line="20" w:lineRule="atLeast"/>
        <w:jc w:val="both"/>
        <w:rPr>
          <w:rFonts w:ascii="Verdana" w:eastAsiaTheme="minorEastAsia" w:hAnsi="Verdana"/>
          <w:i w:val="0"/>
          <w:iCs w:val="0"/>
          <w:noProof/>
          <w:lang w:val="es-CR" w:eastAsia="es-CR"/>
        </w:rPr>
      </w:pPr>
      <w:hyperlink w:anchor="_Toc525201172" w:history="1">
        <w:r w:rsidR="00873FEC" w:rsidRPr="000624C7">
          <w:rPr>
            <w:rStyle w:val="Hyperlink"/>
            <w:rFonts w:ascii="Verdana" w:eastAsia="Calibri" w:hAnsi="Verdana" w:cs="Times"/>
            <w:noProof/>
            <w:color w:val="auto"/>
            <w:u w:val="none"/>
            <w:lang w:val="es-CR" w:eastAsia="es-CR"/>
          </w:rPr>
          <w:t>B.4. Reducción del tiempo de condena y liberación de condenados</w:t>
        </w:r>
        <w:r w:rsidR="00873FEC" w:rsidRPr="000624C7">
          <w:rPr>
            <w:rFonts w:ascii="Verdana" w:hAnsi="Verdana"/>
            <w:noProof/>
            <w:webHidden/>
          </w:rPr>
          <w:tab/>
        </w:r>
        <w:r w:rsidR="00873FEC" w:rsidRPr="001808D1">
          <w:rPr>
            <w:rFonts w:ascii="Verdana" w:hAnsi="Verdana"/>
            <w:i w:val="0"/>
            <w:noProof/>
            <w:webHidden/>
          </w:rPr>
          <w:fldChar w:fldCharType="begin"/>
        </w:r>
        <w:r w:rsidR="00873FEC" w:rsidRPr="001808D1">
          <w:rPr>
            <w:rFonts w:ascii="Verdana" w:hAnsi="Verdana"/>
            <w:i w:val="0"/>
            <w:noProof/>
            <w:webHidden/>
          </w:rPr>
          <w:instrText xml:space="preserve"> PAGEREF _Toc525201172 \h </w:instrText>
        </w:r>
        <w:r w:rsidR="00873FEC" w:rsidRPr="001808D1">
          <w:rPr>
            <w:rFonts w:ascii="Verdana" w:hAnsi="Verdana"/>
            <w:i w:val="0"/>
            <w:noProof/>
            <w:webHidden/>
          </w:rPr>
        </w:r>
        <w:r w:rsidR="00873FEC" w:rsidRPr="001808D1">
          <w:rPr>
            <w:rFonts w:ascii="Verdana" w:hAnsi="Verdana"/>
            <w:i w:val="0"/>
            <w:noProof/>
            <w:webHidden/>
          </w:rPr>
          <w:fldChar w:fldCharType="separate"/>
        </w:r>
        <w:r>
          <w:rPr>
            <w:rFonts w:ascii="Verdana" w:hAnsi="Verdana"/>
            <w:i w:val="0"/>
            <w:noProof/>
            <w:webHidden/>
          </w:rPr>
          <w:t>28</w:t>
        </w:r>
        <w:r w:rsidR="00873FEC" w:rsidRPr="001808D1">
          <w:rPr>
            <w:rFonts w:ascii="Verdana" w:hAnsi="Verdana"/>
            <w:i w:val="0"/>
            <w:noProof/>
            <w:webHidden/>
          </w:rPr>
          <w:fldChar w:fldCharType="end"/>
        </w:r>
      </w:hyperlink>
    </w:p>
    <w:p w:rsidR="00873FEC" w:rsidRPr="000624C7" w:rsidRDefault="00B9342F" w:rsidP="00126E97">
      <w:pPr>
        <w:pStyle w:val="TOC3"/>
        <w:tabs>
          <w:tab w:val="right" w:leader="dot" w:pos="8828"/>
        </w:tabs>
        <w:spacing w:line="20" w:lineRule="atLeast"/>
        <w:jc w:val="both"/>
        <w:rPr>
          <w:rFonts w:ascii="Verdana" w:eastAsiaTheme="minorEastAsia" w:hAnsi="Verdana"/>
          <w:i w:val="0"/>
          <w:iCs w:val="0"/>
          <w:noProof/>
          <w:lang w:val="es-CR" w:eastAsia="es-CR"/>
        </w:rPr>
      </w:pPr>
      <w:hyperlink w:anchor="_Toc525201173" w:history="1">
        <w:r w:rsidR="00873FEC" w:rsidRPr="000624C7">
          <w:rPr>
            <w:rStyle w:val="Hyperlink"/>
            <w:rFonts w:ascii="Verdana" w:eastAsia="Calibri" w:hAnsi="Verdana" w:cs="Times"/>
            <w:noProof/>
            <w:color w:val="auto"/>
            <w:u w:val="none"/>
            <w:lang w:val="es-CR" w:eastAsia="es-CR"/>
          </w:rPr>
          <w:t>B.5. Sobre personas prófugas</w:t>
        </w:r>
        <w:r w:rsidR="00873FEC" w:rsidRPr="000624C7">
          <w:rPr>
            <w:rFonts w:ascii="Verdana" w:hAnsi="Verdana"/>
            <w:noProof/>
            <w:webHidden/>
          </w:rPr>
          <w:tab/>
        </w:r>
        <w:r w:rsidR="00873FEC" w:rsidRPr="001808D1">
          <w:rPr>
            <w:rFonts w:ascii="Verdana" w:hAnsi="Verdana"/>
            <w:i w:val="0"/>
            <w:noProof/>
            <w:webHidden/>
          </w:rPr>
          <w:fldChar w:fldCharType="begin"/>
        </w:r>
        <w:r w:rsidR="00873FEC" w:rsidRPr="001808D1">
          <w:rPr>
            <w:rFonts w:ascii="Verdana" w:hAnsi="Verdana"/>
            <w:i w:val="0"/>
            <w:noProof/>
            <w:webHidden/>
          </w:rPr>
          <w:instrText xml:space="preserve"> PAGEREF _Toc525201173 \h </w:instrText>
        </w:r>
        <w:r w:rsidR="00873FEC" w:rsidRPr="001808D1">
          <w:rPr>
            <w:rFonts w:ascii="Verdana" w:hAnsi="Verdana"/>
            <w:i w:val="0"/>
            <w:noProof/>
            <w:webHidden/>
          </w:rPr>
        </w:r>
        <w:r w:rsidR="00873FEC" w:rsidRPr="001808D1">
          <w:rPr>
            <w:rFonts w:ascii="Verdana" w:hAnsi="Verdana"/>
            <w:i w:val="0"/>
            <w:noProof/>
            <w:webHidden/>
          </w:rPr>
          <w:fldChar w:fldCharType="separate"/>
        </w:r>
        <w:r>
          <w:rPr>
            <w:rFonts w:ascii="Verdana" w:hAnsi="Verdana"/>
            <w:i w:val="0"/>
            <w:noProof/>
            <w:webHidden/>
          </w:rPr>
          <w:t>28</w:t>
        </w:r>
        <w:r w:rsidR="00873FEC" w:rsidRPr="001808D1">
          <w:rPr>
            <w:rFonts w:ascii="Verdana" w:hAnsi="Verdana"/>
            <w:i w:val="0"/>
            <w:noProof/>
            <w:webHidden/>
          </w:rPr>
          <w:fldChar w:fldCharType="end"/>
        </w:r>
      </w:hyperlink>
    </w:p>
    <w:p w:rsidR="00873FEC" w:rsidRPr="000624C7" w:rsidRDefault="00B9342F" w:rsidP="00126E97">
      <w:pPr>
        <w:pStyle w:val="TOC3"/>
        <w:tabs>
          <w:tab w:val="right" w:leader="dot" w:pos="8828"/>
        </w:tabs>
        <w:spacing w:line="20" w:lineRule="atLeast"/>
        <w:jc w:val="both"/>
        <w:rPr>
          <w:rFonts w:ascii="Verdana" w:eastAsiaTheme="minorEastAsia" w:hAnsi="Verdana"/>
          <w:i w:val="0"/>
          <w:iCs w:val="0"/>
          <w:noProof/>
          <w:lang w:val="es-CR" w:eastAsia="es-CR"/>
        </w:rPr>
      </w:pPr>
      <w:hyperlink w:anchor="_Toc525201174" w:history="1">
        <w:r w:rsidR="00873FEC" w:rsidRPr="000624C7">
          <w:rPr>
            <w:rStyle w:val="Hyperlink"/>
            <w:rFonts w:ascii="Verdana" w:eastAsia="Calibri" w:hAnsi="Verdana" w:cs="Times New Roman"/>
            <w:noProof/>
            <w:color w:val="auto"/>
            <w:u w:val="none"/>
            <w:lang w:val="es-CR" w:eastAsia="es-CR"/>
          </w:rPr>
          <w:t>B.6. Duración de las actuaciones</w:t>
        </w:r>
        <w:r w:rsidR="00873FEC" w:rsidRPr="000624C7">
          <w:rPr>
            <w:rFonts w:ascii="Verdana" w:hAnsi="Verdana"/>
            <w:noProof/>
            <w:webHidden/>
          </w:rPr>
          <w:tab/>
        </w:r>
        <w:r w:rsidR="00873FEC" w:rsidRPr="001808D1">
          <w:rPr>
            <w:rFonts w:ascii="Verdana" w:hAnsi="Verdana"/>
            <w:i w:val="0"/>
            <w:noProof/>
            <w:webHidden/>
          </w:rPr>
          <w:fldChar w:fldCharType="begin"/>
        </w:r>
        <w:r w:rsidR="00873FEC" w:rsidRPr="001808D1">
          <w:rPr>
            <w:rFonts w:ascii="Verdana" w:hAnsi="Verdana"/>
            <w:i w:val="0"/>
            <w:noProof/>
            <w:webHidden/>
          </w:rPr>
          <w:instrText xml:space="preserve"> PAGEREF _Toc525201174 \h </w:instrText>
        </w:r>
        <w:r w:rsidR="00873FEC" w:rsidRPr="001808D1">
          <w:rPr>
            <w:rFonts w:ascii="Verdana" w:hAnsi="Verdana"/>
            <w:i w:val="0"/>
            <w:noProof/>
            <w:webHidden/>
          </w:rPr>
        </w:r>
        <w:r w:rsidR="00873FEC" w:rsidRPr="001808D1">
          <w:rPr>
            <w:rFonts w:ascii="Verdana" w:hAnsi="Verdana"/>
            <w:i w:val="0"/>
            <w:noProof/>
            <w:webHidden/>
          </w:rPr>
          <w:fldChar w:fldCharType="separate"/>
        </w:r>
        <w:r>
          <w:rPr>
            <w:rFonts w:ascii="Verdana" w:hAnsi="Verdana"/>
            <w:i w:val="0"/>
            <w:noProof/>
            <w:webHidden/>
          </w:rPr>
          <w:t>30</w:t>
        </w:r>
        <w:r w:rsidR="00873FEC" w:rsidRPr="001808D1">
          <w:rPr>
            <w:rFonts w:ascii="Verdana" w:hAnsi="Verdana"/>
            <w:i w:val="0"/>
            <w:noProof/>
            <w:webHidden/>
          </w:rPr>
          <w:fldChar w:fldCharType="end"/>
        </w:r>
      </w:hyperlink>
    </w:p>
    <w:p w:rsidR="00873FEC" w:rsidRPr="000624C7" w:rsidRDefault="00B9342F" w:rsidP="00126E97">
      <w:pPr>
        <w:pStyle w:val="TOC3"/>
        <w:tabs>
          <w:tab w:val="right" w:leader="dot" w:pos="8828"/>
        </w:tabs>
        <w:spacing w:line="20" w:lineRule="atLeast"/>
        <w:jc w:val="both"/>
        <w:rPr>
          <w:rFonts w:ascii="Verdana" w:eastAsiaTheme="minorEastAsia" w:hAnsi="Verdana"/>
          <w:i w:val="0"/>
          <w:iCs w:val="0"/>
          <w:noProof/>
          <w:lang w:val="es-CR" w:eastAsia="es-CR"/>
        </w:rPr>
      </w:pPr>
      <w:hyperlink w:anchor="_Toc525201175" w:history="1">
        <w:r w:rsidR="00873FEC" w:rsidRPr="000624C7">
          <w:rPr>
            <w:rStyle w:val="Hyperlink"/>
            <w:rFonts w:ascii="Verdana" w:eastAsia="Calibri" w:hAnsi="Verdana" w:cs="Times"/>
            <w:noProof/>
            <w:color w:val="auto"/>
            <w:u w:val="none"/>
            <w:lang w:val="es-CR" w:eastAsia="es-CR"/>
          </w:rPr>
          <w:t>B.7. Conclusión</w:t>
        </w:r>
        <w:r w:rsidR="00873FEC" w:rsidRPr="000624C7">
          <w:rPr>
            <w:rFonts w:ascii="Verdana" w:hAnsi="Verdana"/>
            <w:noProof/>
            <w:webHidden/>
          </w:rPr>
          <w:tab/>
        </w:r>
        <w:r w:rsidR="00873FEC" w:rsidRPr="001808D1">
          <w:rPr>
            <w:rFonts w:ascii="Verdana" w:hAnsi="Verdana"/>
            <w:i w:val="0"/>
            <w:noProof/>
            <w:webHidden/>
          </w:rPr>
          <w:fldChar w:fldCharType="begin"/>
        </w:r>
        <w:r w:rsidR="00873FEC" w:rsidRPr="001808D1">
          <w:rPr>
            <w:rFonts w:ascii="Verdana" w:hAnsi="Verdana"/>
            <w:i w:val="0"/>
            <w:noProof/>
            <w:webHidden/>
          </w:rPr>
          <w:instrText xml:space="preserve"> PAGEREF _Toc525201175 \h </w:instrText>
        </w:r>
        <w:r w:rsidR="00873FEC" w:rsidRPr="001808D1">
          <w:rPr>
            <w:rFonts w:ascii="Verdana" w:hAnsi="Verdana"/>
            <w:i w:val="0"/>
            <w:noProof/>
            <w:webHidden/>
          </w:rPr>
        </w:r>
        <w:r w:rsidR="00873FEC" w:rsidRPr="001808D1">
          <w:rPr>
            <w:rFonts w:ascii="Verdana" w:hAnsi="Verdana"/>
            <w:i w:val="0"/>
            <w:noProof/>
            <w:webHidden/>
          </w:rPr>
          <w:fldChar w:fldCharType="separate"/>
        </w:r>
        <w:r>
          <w:rPr>
            <w:rFonts w:ascii="Verdana" w:hAnsi="Verdana"/>
            <w:i w:val="0"/>
            <w:noProof/>
            <w:webHidden/>
          </w:rPr>
          <w:t>31</w:t>
        </w:r>
        <w:r w:rsidR="00873FEC" w:rsidRPr="001808D1">
          <w:rPr>
            <w:rFonts w:ascii="Verdana" w:hAnsi="Verdana"/>
            <w:i w:val="0"/>
            <w:noProof/>
            <w:webHidden/>
          </w:rPr>
          <w:fldChar w:fldCharType="end"/>
        </w:r>
      </w:hyperlink>
    </w:p>
    <w:p w:rsidR="00873FEC" w:rsidRPr="000624C7" w:rsidRDefault="00B9342F" w:rsidP="00126E97">
      <w:pPr>
        <w:pStyle w:val="TOC1"/>
        <w:tabs>
          <w:tab w:val="right" w:leader="dot" w:pos="8828"/>
        </w:tabs>
        <w:spacing w:before="0" w:after="0" w:line="20" w:lineRule="atLeast"/>
        <w:jc w:val="both"/>
        <w:rPr>
          <w:rFonts w:ascii="Verdana" w:eastAsiaTheme="minorEastAsia" w:hAnsi="Verdana"/>
          <w:b w:val="0"/>
          <w:bCs w:val="0"/>
          <w:caps w:val="0"/>
          <w:noProof/>
          <w:lang w:val="es-CR" w:eastAsia="es-CR"/>
        </w:rPr>
      </w:pPr>
      <w:hyperlink w:anchor="_Toc525201176" w:history="1">
        <w:r w:rsidR="00873FEC" w:rsidRPr="000624C7">
          <w:rPr>
            <w:rStyle w:val="Hyperlink"/>
            <w:rFonts w:ascii="Verdana" w:eastAsia="Times New Roman" w:hAnsi="Verdana" w:cs="Times New Roman"/>
            <w:noProof/>
            <w:color w:val="auto"/>
            <w:u w:val="none"/>
            <w:lang w:val="es-CR" w:eastAsia="es-CR"/>
          </w:rPr>
          <w:t>ViI.2</w:t>
        </w:r>
      </w:hyperlink>
      <w:r w:rsidR="000624C7" w:rsidRPr="000624C7">
        <w:rPr>
          <w:rStyle w:val="Hyperlink"/>
          <w:rFonts w:ascii="Verdana" w:hAnsi="Verdana"/>
          <w:noProof/>
          <w:color w:val="auto"/>
          <w:u w:val="none"/>
        </w:rPr>
        <w:t xml:space="preserve"> </w:t>
      </w:r>
      <w:hyperlink w:anchor="_Toc525201177" w:history="1">
        <w:r w:rsidR="00873FEC" w:rsidRPr="000624C7">
          <w:rPr>
            <w:rStyle w:val="Hyperlink"/>
            <w:rFonts w:ascii="Verdana" w:eastAsia="Times New Roman" w:hAnsi="Verdana" w:cs="Times New Roman"/>
            <w:noProof/>
            <w:color w:val="auto"/>
            <w:u w:val="none"/>
            <w:lang w:val="es-CR" w:eastAsia="es-CR"/>
          </w:rPr>
          <w:t>DERECHOS A LA VIDA, INTEGRIDAD PERSONAL Y DERECHOS DEL NIÑO EN RELACIÓN CON LA OBLIGACIÓN DE RESPETAR LOS DERECHOS SIN DISCRIMINACIÓN</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_Toc525201177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31</w:t>
        </w:r>
        <w:r w:rsidR="00873FEC" w:rsidRPr="000624C7">
          <w:rPr>
            <w:rFonts w:ascii="Verdana" w:hAnsi="Verdana"/>
            <w:noProof/>
            <w:webHidden/>
          </w:rPr>
          <w:fldChar w:fldCharType="end"/>
        </w:r>
      </w:hyperlink>
    </w:p>
    <w:p w:rsidR="00873FEC" w:rsidRPr="000624C7" w:rsidRDefault="00B9342F" w:rsidP="00126E97">
      <w:pPr>
        <w:pStyle w:val="TOC2"/>
        <w:tabs>
          <w:tab w:val="left" w:pos="880"/>
          <w:tab w:val="right" w:leader="dot" w:pos="8828"/>
        </w:tabs>
        <w:spacing w:line="20" w:lineRule="atLeast"/>
        <w:jc w:val="both"/>
        <w:rPr>
          <w:rFonts w:ascii="Verdana" w:eastAsiaTheme="minorEastAsia" w:hAnsi="Verdana"/>
          <w:smallCaps w:val="0"/>
          <w:noProof/>
          <w:lang w:val="es-CR" w:eastAsia="es-CR"/>
        </w:rPr>
      </w:pPr>
      <w:hyperlink w:anchor="_Toc525201178" w:history="1">
        <w:r w:rsidR="00873FEC" w:rsidRPr="000624C7">
          <w:rPr>
            <w:rStyle w:val="Hyperlink"/>
            <w:rFonts w:ascii="Verdana" w:eastAsia="Cambria" w:hAnsi="Verdana" w:cs="Times New Roman"/>
            <w:i/>
            <w:noProof/>
            <w:color w:val="auto"/>
            <w:u w:val="none"/>
            <w:lang w:val="es-CR" w:eastAsia="es-CR"/>
          </w:rPr>
          <w:t>A.</w:t>
        </w:r>
        <w:r w:rsidR="000624C7" w:rsidRPr="000624C7">
          <w:rPr>
            <w:rStyle w:val="Hyperlink"/>
            <w:rFonts w:ascii="Verdana" w:eastAsia="Cambria" w:hAnsi="Verdana" w:cs="Times New Roman"/>
            <w:i/>
            <w:noProof/>
            <w:color w:val="auto"/>
            <w:u w:val="none"/>
            <w:lang w:val="es-CR" w:eastAsia="es-CR"/>
          </w:rPr>
          <w:t xml:space="preserve"> </w:t>
        </w:r>
        <w:r w:rsidR="00873FEC" w:rsidRPr="000624C7">
          <w:rPr>
            <w:rStyle w:val="Hyperlink"/>
            <w:rFonts w:ascii="Verdana" w:eastAsia="Cambria" w:hAnsi="Verdana" w:cs="Times New Roman"/>
            <w:i/>
            <w:noProof/>
            <w:color w:val="auto"/>
            <w:u w:val="none"/>
            <w:lang w:val="es-CR" w:eastAsia="es-CR"/>
          </w:rPr>
          <w:t>Alegatos de la Comisión y de las partes</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_Toc525201178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31</w:t>
        </w:r>
        <w:r w:rsidR="00873FEC" w:rsidRPr="000624C7">
          <w:rPr>
            <w:rFonts w:ascii="Verdana" w:hAnsi="Verdana"/>
            <w:noProof/>
            <w:webHidden/>
          </w:rPr>
          <w:fldChar w:fldCharType="end"/>
        </w:r>
      </w:hyperlink>
    </w:p>
    <w:p w:rsidR="00873FEC" w:rsidRPr="000624C7" w:rsidRDefault="00B9342F" w:rsidP="00126E97">
      <w:pPr>
        <w:pStyle w:val="TOC2"/>
        <w:tabs>
          <w:tab w:val="left" w:pos="880"/>
          <w:tab w:val="right" w:leader="dot" w:pos="8828"/>
        </w:tabs>
        <w:spacing w:line="20" w:lineRule="atLeast"/>
        <w:jc w:val="both"/>
        <w:rPr>
          <w:rFonts w:ascii="Verdana" w:eastAsiaTheme="minorEastAsia" w:hAnsi="Verdana"/>
          <w:smallCaps w:val="0"/>
          <w:noProof/>
          <w:lang w:val="es-CR" w:eastAsia="es-CR"/>
        </w:rPr>
      </w:pPr>
      <w:hyperlink w:anchor="_Toc525201179" w:history="1">
        <w:r w:rsidR="00873FEC" w:rsidRPr="000624C7">
          <w:rPr>
            <w:rStyle w:val="Hyperlink"/>
            <w:rFonts w:ascii="Verdana" w:eastAsia="Calibri" w:hAnsi="Verdana" w:cs="Times New Roman"/>
            <w:i/>
            <w:noProof/>
            <w:color w:val="auto"/>
            <w:u w:val="none"/>
            <w:lang w:val="es-CR" w:eastAsia="es-CR"/>
          </w:rPr>
          <w:t>B.</w:t>
        </w:r>
        <w:r w:rsidR="000624C7" w:rsidRPr="000624C7">
          <w:rPr>
            <w:rStyle w:val="Hyperlink"/>
            <w:rFonts w:ascii="Verdana" w:eastAsia="Calibri" w:hAnsi="Verdana" w:cs="Times New Roman"/>
            <w:i/>
            <w:noProof/>
            <w:color w:val="auto"/>
            <w:u w:val="none"/>
            <w:lang w:val="es-CR" w:eastAsia="es-CR"/>
          </w:rPr>
          <w:t xml:space="preserve"> </w:t>
        </w:r>
        <w:r w:rsidR="00873FEC" w:rsidRPr="000624C7">
          <w:rPr>
            <w:rStyle w:val="Hyperlink"/>
            <w:rFonts w:ascii="Verdana" w:eastAsia="Calibri" w:hAnsi="Verdana" w:cs="Times New Roman"/>
            <w:i/>
            <w:noProof/>
            <w:color w:val="auto"/>
            <w:u w:val="none"/>
            <w:lang w:val="es-CR" w:eastAsia="es-CR"/>
          </w:rPr>
          <w:t>Consideraciones de la Corte</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_Toc525201179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33</w:t>
        </w:r>
        <w:r w:rsidR="00873FEC" w:rsidRPr="000624C7">
          <w:rPr>
            <w:rFonts w:ascii="Verdana" w:hAnsi="Verdana"/>
            <w:noProof/>
            <w:webHidden/>
          </w:rPr>
          <w:fldChar w:fldCharType="end"/>
        </w:r>
      </w:hyperlink>
    </w:p>
    <w:p w:rsidR="00873FEC" w:rsidRPr="000624C7" w:rsidRDefault="00B9342F" w:rsidP="00126E97">
      <w:pPr>
        <w:pStyle w:val="TOC3"/>
        <w:tabs>
          <w:tab w:val="right" w:leader="dot" w:pos="8828"/>
        </w:tabs>
        <w:spacing w:line="20" w:lineRule="atLeast"/>
        <w:jc w:val="both"/>
        <w:rPr>
          <w:rFonts w:ascii="Verdana" w:eastAsiaTheme="minorEastAsia" w:hAnsi="Verdana"/>
          <w:i w:val="0"/>
          <w:iCs w:val="0"/>
          <w:noProof/>
          <w:lang w:val="es-CR" w:eastAsia="es-CR"/>
        </w:rPr>
      </w:pPr>
      <w:hyperlink w:anchor="_Toc525201180" w:history="1">
        <w:r w:rsidR="00873FEC" w:rsidRPr="000624C7">
          <w:rPr>
            <w:rStyle w:val="Hyperlink"/>
            <w:rFonts w:ascii="Verdana" w:eastAsia="Batang" w:hAnsi="Verdana" w:cs="Times"/>
            <w:noProof/>
            <w:color w:val="auto"/>
            <w:u w:val="none"/>
            <w:lang w:val="es-CR" w:eastAsia="es-CR"/>
          </w:rPr>
          <w:t>B.1. Consideraciones generales</w:t>
        </w:r>
        <w:r w:rsidR="00873FEC" w:rsidRPr="000624C7">
          <w:rPr>
            <w:rFonts w:ascii="Verdana" w:hAnsi="Verdana"/>
            <w:noProof/>
            <w:webHidden/>
          </w:rPr>
          <w:tab/>
        </w:r>
        <w:r w:rsidR="00873FEC" w:rsidRPr="001808D1">
          <w:rPr>
            <w:rFonts w:ascii="Verdana" w:hAnsi="Verdana"/>
            <w:i w:val="0"/>
            <w:noProof/>
            <w:webHidden/>
          </w:rPr>
          <w:fldChar w:fldCharType="begin"/>
        </w:r>
        <w:r w:rsidR="00873FEC" w:rsidRPr="001808D1">
          <w:rPr>
            <w:rFonts w:ascii="Verdana" w:hAnsi="Verdana"/>
            <w:i w:val="0"/>
            <w:noProof/>
            <w:webHidden/>
          </w:rPr>
          <w:instrText xml:space="preserve"> PAGEREF _Toc525201180 \h </w:instrText>
        </w:r>
        <w:r w:rsidR="00873FEC" w:rsidRPr="001808D1">
          <w:rPr>
            <w:rFonts w:ascii="Verdana" w:hAnsi="Verdana"/>
            <w:i w:val="0"/>
            <w:noProof/>
            <w:webHidden/>
          </w:rPr>
        </w:r>
        <w:r w:rsidR="00873FEC" w:rsidRPr="001808D1">
          <w:rPr>
            <w:rFonts w:ascii="Verdana" w:hAnsi="Verdana"/>
            <w:i w:val="0"/>
            <w:noProof/>
            <w:webHidden/>
          </w:rPr>
          <w:fldChar w:fldCharType="separate"/>
        </w:r>
        <w:r>
          <w:rPr>
            <w:rFonts w:ascii="Verdana" w:hAnsi="Verdana"/>
            <w:i w:val="0"/>
            <w:noProof/>
            <w:webHidden/>
          </w:rPr>
          <w:t>33</w:t>
        </w:r>
        <w:r w:rsidR="00873FEC" w:rsidRPr="001808D1">
          <w:rPr>
            <w:rFonts w:ascii="Verdana" w:hAnsi="Verdana"/>
            <w:i w:val="0"/>
            <w:noProof/>
            <w:webHidden/>
          </w:rPr>
          <w:fldChar w:fldCharType="end"/>
        </w:r>
      </w:hyperlink>
    </w:p>
    <w:p w:rsidR="00873FEC" w:rsidRPr="000624C7" w:rsidRDefault="00B9342F" w:rsidP="00126E97">
      <w:pPr>
        <w:pStyle w:val="TOC3"/>
        <w:tabs>
          <w:tab w:val="right" w:leader="dot" w:pos="8828"/>
        </w:tabs>
        <w:spacing w:line="20" w:lineRule="atLeast"/>
        <w:jc w:val="both"/>
        <w:rPr>
          <w:rFonts w:ascii="Verdana" w:eastAsiaTheme="minorEastAsia" w:hAnsi="Verdana"/>
          <w:i w:val="0"/>
          <w:iCs w:val="0"/>
          <w:noProof/>
          <w:lang w:val="es-CR" w:eastAsia="es-CR"/>
        </w:rPr>
      </w:pPr>
      <w:hyperlink w:anchor="_Toc525201181" w:history="1">
        <w:r w:rsidR="00873FEC" w:rsidRPr="000624C7">
          <w:rPr>
            <w:rStyle w:val="Hyperlink"/>
            <w:rFonts w:ascii="Verdana" w:eastAsia="Batang" w:hAnsi="Verdana" w:cs="Times New Roman"/>
            <w:noProof/>
            <w:color w:val="auto"/>
            <w:u w:val="none"/>
            <w:lang w:val="es-CR" w:eastAsia="es-CR"/>
          </w:rPr>
          <w:t>B.2. Derechos a la vida e integridad personal</w:t>
        </w:r>
        <w:r w:rsidR="00873FEC" w:rsidRPr="000624C7">
          <w:rPr>
            <w:rFonts w:ascii="Verdana" w:hAnsi="Verdana"/>
            <w:noProof/>
            <w:webHidden/>
          </w:rPr>
          <w:tab/>
        </w:r>
        <w:r w:rsidR="00873FEC" w:rsidRPr="001808D1">
          <w:rPr>
            <w:rFonts w:ascii="Verdana" w:hAnsi="Verdana"/>
            <w:i w:val="0"/>
            <w:noProof/>
            <w:webHidden/>
          </w:rPr>
          <w:fldChar w:fldCharType="begin"/>
        </w:r>
        <w:r w:rsidR="00873FEC" w:rsidRPr="001808D1">
          <w:rPr>
            <w:rFonts w:ascii="Verdana" w:hAnsi="Verdana"/>
            <w:i w:val="0"/>
            <w:noProof/>
            <w:webHidden/>
          </w:rPr>
          <w:instrText xml:space="preserve"> PAGEREF _Toc525201181 \h </w:instrText>
        </w:r>
        <w:r w:rsidR="00873FEC" w:rsidRPr="001808D1">
          <w:rPr>
            <w:rFonts w:ascii="Verdana" w:hAnsi="Verdana"/>
            <w:i w:val="0"/>
            <w:noProof/>
            <w:webHidden/>
          </w:rPr>
        </w:r>
        <w:r w:rsidR="00873FEC" w:rsidRPr="001808D1">
          <w:rPr>
            <w:rFonts w:ascii="Verdana" w:hAnsi="Verdana"/>
            <w:i w:val="0"/>
            <w:noProof/>
            <w:webHidden/>
          </w:rPr>
          <w:fldChar w:fldCharType="separate"/>
        </w:r>
        <w:r>
          <w:rPr>
            <w:rFonts w:ascii="Verdana" w:hAnsi="Verdana"/>
            <w:i w:val="0"/>
            <w:noProof/>
            <w:webHidden/>
          </w:rPr>
          <w:t>34</w:t>
        </w:r>
        <w:r w:rsidR="00873FEC" w:rsidRPr="001808D1">
          <w:rPr>
            <w:rFonts w:ascii="Verdana" w:hAnsi="Verdana"/>
            <w:i w:val="0"/>
            <w:noProof/>
            <w:webHidden/>
          </w:rPr>
          <w:fldChar w:fldCharType="end"/>
        </w:r>
      </w:hyperlink>
    </w:p>
    <w:p w:rsidR="00873FEC" w:rsidRPr="000624C7" w:rsidRDefault="00B9342F" w:rsidP="00126E97">
      <w:pPr>
        <w:pStyle w:val="TOC3"/>
        <w:tabs>
          <w:tab w:val="right" w:leader="dot" w:pos="8828"/>
        </w:tabs>
        <w:spacing w:line="20" w:lineRule="atLeast"/>
        <w:jc w:val="both"/>
        <w:rPr>
          <w:rFonts w:ascii="Verdana" w:eastAsiaTheme="minorEastAsia" w:hAnsi="Verdana"/>
          <w:i w:val="0"/>
          <w:iCs w:val="0"/>
          <w:noProof/>
          <w:lang w:val="es-CR" w:eastAsia="es-CR"/>
        </w:rPr>
      </w:pPr>
      <w:hyperlink w:anchor="_Toc525201182" w:history="1">
        <w:r w:rsidR="00873FEC" w:rsidRPr="000624C7">
          <w:rPr>
            <w:rStyle w:val="Hyperlink"/>
            <w:rFonts w:ascii="Verdana" w:eastAsia="Batang" w:hAnsi="Verdana" w:cs="Times New Roman"/>
            <w:noProof/>
            <w:color w:val="auto"/>
            <w:u w:val="none"/>
            <w:lang w:val="es-CR" w:eastAsia="es-CR"/>
          </w:rPr>
          <w:t>B.3. Derechos del niño</w:t>
        </w:r>
        <w:r w:rsidR="00873FEC" w:rsidRPr="000624C7">
          <w:rPr>
            <w:rFonts w:ascii="Verdana" w:hAnsi="Verdana"/>
            <w:noProof/>
            <w:webHidden/>
          </w:rPr>
          <w:tab/>
        </w:r>
        <w:r w:rsidR="00873FEC" w:rsidRPr="001808D1">
          <w:rPr>
            <w:rFonts w:ascii="Verdana" w:hAnsi="Verdana"/>
            <w:i w:val="0"/>
            <w:noProof/>
            <w:webHidden/>
          </w:rPr>
          <w:fldChar w:fldCharType="begin"/>
        </w:r>
        <w:r w:rsidR="00873FEC" w:rsidRPr="001808D1">
          <w:rPr>
            <w:rFonts w:ascii="Verdana" w:hAnsi="Verdana"/>
            <w:i w:val="0"/>
            <w:noProof/>
            <w:webHidden/>
          </w:rPr>
          <w:instrText xml:space="preserve"> PAGEREF _Toc525201182 \h </w:instrText>
        </w:r>
        <w:r w:rsidR="00873FEC" w:rsidRPr="001808D1">
          <w:rPr>
            <w:rFonts w:ascii="Verdana" w:hAnsi="Verdana"/>
            <w:i w:val="0"/>
            <w:noProof/>
            <w:webHidden/>
          </w:rPr>
        </w:r>
        <w:r w:rsidR="00873FEC" w:rsidRPr="001808D1">
          <w:rPr>
            <w:rFonts w:ascii="Verdana" w:hAnsi="Verdana"/>
            <w:i w:val="0"/>
            <w:noProof/>
            <w:webHidden/>
          </w:rPr>
          <w:fldChar w:fldCharType="separate"/>
        </w:r>
        <w:r>
          <w:rPr>
            <w:rFonts w:ascii="Verdana" w:hAnsi="Verdana"/>
            <w:i w:val="0"/>
            <w:noProof/>
            <w:webHidden/>
          </w:rPr>
          <w:t>35</w:t>
        </w:r>
        <w:r w:rsidR="00873FEC" w:rsidRPr="001808D1">
          <w:rPr>
            <w:rFonts w:ascii="Verdana" w:hAnsi="Verdana"/>
            <w:i w:val="0"/>
            <w:noProof/>
            <w:webHidden/>
          </w:rPr>
          <w:fldChar w:fldCharType="end"/>
        </w:r>
      </w:hyperlink>
    </w:p>
    <w:p w:rsidR="00873FEC" w:rsidRPr="000624C7" w:rsidRDefault="00B9342F" w:rsidP="00126E97">
      <w:pPr>
        <w:pStyle w:val="TOC3"/>
        <w:tabs>
          <w:tab w:val="right" w:leader="dot" w:pos="8828"/>
        </w:tabs>
        <w:spacing w:line="20" w:lineRule="atLeast"/>
        <w:jc w:val="both"/>
        <w:rPr>
          <w:rFonts w:ascii="Verdana" w:eastAsiaTheme="minorEastAsia" w:hAnsi="Verdana"/>
          <w:i w:val="0"/>
          <w:iCs w:val="0"/>
          <w:noProof/>
          <w:lang w:val="es-CR" w:eastAsia="es-CR"/>
        </w:rPr>
      </w:pPr>
      <w:hyperlink w:anchor="_Toc525201183" w:history="1">
        <w:r w:rsidR="00873FEC" w:rsidRPr="000624C7">
          <w:rPr>
            <w:rStyle w:val="Hyperlink"/>
            <w:rFonts w:ascii="Verdana" w:eastAsia="Calibri" w:hAnsi="Verdana" w:cs="Times"/>
            <w:noProof/>
            <w:color w:val="auto"/>
            <w:u w:val="none"/>
            <w:lang w:eastAsia="es-CR"/>
          </w:rPr>
          <w:t>B.4. Obligación de respetar los derechos sin discriminación</w:t>
        </w:r>
        <w:r w:rsidR="00873FEC" w:rsidRPr="000624C7">
          <w:rPr>
            <w:rFonts w:ascii="Verdana" w:hAnsi="Verdana"/>
            <w:noProof/>
            <w:webHidden/>
          </w:rPr>
          <w:tab/>
        </w:r>
        <w:r w:rsidR="00873FEC" w:rsidRPr="001808D1">
          <w:rPr>
            <w:rFonts w:ascii="Verdana" w:hAnsi="Verdana"/>
            <w:i w:val="0"/>
            <w:noProof/>
            <w:webHidden/>
          </w:rPr>
          <w:fldChar w:fldCharType="begin"/>
        </w:r>
        <w:r w:rsidR="00873FEC" w:rsidRPr="001808D1">
          <w:rPr>
            <w:rFonts w:ascii="Verdana" w:hAnsi="Verdana"/>
            <w:i w:val="0"/>
            <w:noProof/>
            <w:webHidden/>
          </w:rPr>
          <w:instrText xml:space="preserve"> PAGEREF _Toc525201183 \h </w:instrText>
        </w:r>
        <w:r w:rsidR="00873FEC" w:rsidRPr="001808D1">
          <w:rPr>
            <w:rFonts w:ascii="Verdana" w:hAnsi="Verdana"/>
            <w:i w:val="0"/>
            <w:noProof/>
            <w:webHidden/>
          </w:rPr>
        </w:r>
        <w:r w:rsidR="00873FEC" w:rsidRPr="001808D1">
          <w:rPr>
            <w:rFonts w:ascii="Verdana" w:hAnsi="Verdana"/>
            <w:i w:val="0"/>
            <w:noProof/>
            <w:webHidden/>
          </w:rPr>
          <w:fldChar w:fldCharType="separate"/>
        </w:r>
        <w:r>
          <w:rPr>
            <w:rFonts w:ascii="Verdana" w:hAnsi="Verdana"/>
            <w:i w:val="0"/>
            <w:noProof/>
            <w:webHidden/>
          </w:rPr>
          <w:t>36</w:t>
        </w:r>
        <w:r w:rsidR="00873FEC" w:rsidRPr="001808D1">
          <w:rPr>
            <w:rFonts w:ascii="Verdana" w:hAnsi="Verdana"/>
            <w:i w:val="0"/>
            <w:noProof/>
            <w:webHidden/>
          </w:rPr>
          <w:fldChar w:fldCharType="end"/>
        </w:r>
      </w:hyperlink>
    </w:p>
    <w:p w:rsidR="00873FEC" w:rsidRPr="000624C7" w:rsidRDefault="00B9342F" w:rsidP="00126E97">
      <w:pPr>
        <w:pStyle w:val="TOC3"/>
        <w:tabs>
          <w:tab w:val="right" w:leader="dot" w:pos="8828"/>
        </w:tabs>
        <w:spacing w:line="20" w:lineRule="atLeast"/>
        <w:jc w:val="both"/>
        <w:rPr>
          <w:rFonts w:ascii="Verdana" w:eastAsiaTheme="minorEastAsia" w:hAnsi="Verdana"/>
          <w:i w:val="0"/>
          <w:iCs w:val="0"/>
          <w:noProof/>
          <w:lang w:val="es-CR" w:eastAsia="es-CR"/>
        </w:rPr>
      </w:pPr>
      <w:hyperlink w:anchor="_Toc525201184" w:history="1">
        <w:r w:rsidR="00873FEC" w:rsidRPr="000624C7">
          <w:rPr>
            <w:rStyle w:val="Hyperlink"/>
            <w:rFonts w:ascii="Verdana" w:eastAsia="Calibri" w:hAnsi="Verdana" w:cs="Times New Roman"/>
            <w:noProof/>
            <w:color w:val="auto"/>
            <w:u w:val="none"/>
            <w:lang w:val="es-CR" w:eastAsia="es-CR"/>
          </w:rPr>
          <w:t>B.5. Conclusión</w:t>
        </w:r>
        <w:r w:rsidR="00873FEC" w:rsidRPr="000624C7">
          <w:rPr>
            <w:rFonts w:ascii="Verdana" w:hAnsi="Verdana"/>
            <w:noProof/>
            <w:webHidden/>
          </w:rPr>
          <w:tab/>
        </w:r>
        <w:r w:rsidR="00873FEC" w:rsidRPr="001808D1">
          <w:rPr>
            <w:rFonts w:ascii="Verdana" w:hAnsi="Verdana"/>
            <w:i w:val="0"/>
            <w:noProof/>
            <w:webHidden/>
          </w:rPr>
          <w:fldChar w:fldCharType="begin"/>
        </w:r>
        <w:r w:rsidR="00873FEC" w:rsidRPr="001808D1">
          <w:rPr>
            <w:rFonts w:ascii="Verdana" w:hAnsi="Verdana"/>
            <w:i w:val="0"/>
            <w:noProof/>
            <w:webHidden/>
          </w:rPr>
          <w:instrText xml:space="preserve"> PAGEREF _Toc525201184 \h </w:instrText>
        </w:r>
        <w:r w:rsidR="00873FEC" w:rsidRPr="001808D1">
          <w:rPr>
            <w:rFonts w:ascii="Verdana" w:hAnsi="Verdana"/>
            <w:i w:val="0"/>
            <w:noProof/>
            <w:webHidden/>
          </w:rPr>
        </w:r>
        <w:r w:rsidR="00873FEC" w:rsidRPr="001808D1">
          <w:rPr>
            <w:rFonts w:ascii="Verdana" w:hAnsi="Verdana"/>
            <w:i w:val="0"/>
            <w:noProof/>
            <w:webHidden/>
          </w:rPr>
          <w:fldChar w:fldCharType="separate"/>
        </w:r>
        <w:r>
          <w:rPr>
            <w:rFonts w:ascii="Verdana" w:hAnsi="Verdana"/>
            <w:i w:val="0"/>
            <w:noProof/>
            <w:webHidden/>
          </w:rPr>
          <w:t>37</w:t>
        </w:r>
        <w:r w:rsidR="00873FEC" w:rsidRPr="001808D1">
          <w:rPr>
            <w:rFonts w:ascii="Verdana" w:hAnsi="Verdana"/>
            <w:i w:val="0"/>
            <w:noProof/>
            <w:webHidden/>
          </w:rPr>
          <w:fldChar w:fldCharType="end"/>
        </w:r>
      </w:hyperlink>
    </w:p>
    <w:p w:rsidR="00873FEC" w:rsidRPr="000624C7" w:rsidRDefault="00B9342F" w:rsidP="00126E97">
      <w:pPr>
        <w:pStyle w:val="TOC1"/>
        <w:tabs>
          <w:tab w:val="right" w:leader="dot" w:pos="8828"/>
        </w:tabs>
        <w:spacing w:before="0" w:after="0" w:line="20" w:lineRule="atLeast"/>
        <w:jc w:val="both"/>
        <w:rPr>
          <w:rFonts w:ascii="Verdana" w:eastAsiaTheme="minorEastAsia" w:hAnsi="Verdana"/>
          <w:b w:val="0"/>
          <w:bCs w:val="0"/>
          <w:caps w:val="0"/>
          <w:noProof/>
          <w:lang w:val="es-CR" w:eastAsia="es-CR"/>
        </w:rPr>
      </w:pPr>
      <w:hyperlink w:anchor="_Toc525201185" w:history="1">
        <w:r w:rsidR="00873FEC" w:rsidRPr="000624C7">
          <w:rPr>
            <w:rStyle w:val="Hyperlink"/>
            <w:rFonts w:ascii="Verdana" w:hAnsi="Verdana"/>
            <w:noProof/>
            <w:color w:val="auto"/>
            <w:u w:val="none"/>
            <w:lang w:val="es-CR"/>
          </w:rPr>
          <w:t>VII.3.</w:t>
        </w:r>
      </w:hyperlink>
      <w:r w:rsidR="000624C7" w:rsidRPr="000624C7">
        <w:rPr>
          <w:rStyle w:val="Hyperlink"/>
          <w:rFonts w:ascii="Verdana" w:hAnsi="Verdana"/>
          <w:noProof/>
          <w:color w:val="auto"/>
          <w:u w:val="none"/>
        </w:rPr>
        <w:t xml:space="preserve"> </w:t>
      </w:r>
      <w:hyperlink w:anchor="_Toc525201186" w:history="1">
        <w:r w:rsidR="00873FEC" w:rsidRPr="000624C7">
          <w:rPr>
            <w:rStyle w:val="Hyperlink"/>
            <w:rFonts w:ascii="Verdana" w:hAnsi="Verdana"/>
            <w:noProof/>
            <w:color w:val="auto"/>
            <w:u w:val="none"/>
            <w:lang w:val="es-CR"/>
          </w:rPr>
          <w:t>DERECHO A LA INTEGRIDAD PERSONAL DE FAMILIARES DE PERSONAS MUERTAS Y HERIDAS</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_Toc525201186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38</w:t>
        </w:r>
        <w:r w:rsidR="00873FEC" w:rsidRPr="000624C7">
          <w:rPr>
            <w:rFonts w:ascii="Verdana" w:hAnsi="Verdana"/>
            <w:noProof/>
            <w:webHidden/>
          </w:rPr>
          <w:fldChar w:fldCharType="end"/>
        </w:r>
      </w:hyperlink>
    </w:p>
    <w:p w:rsidR="00873FEC" w:rsidRPr="000624C7" w:rsidRDefault="00B9342F" w:rsidP="00126E97">
      <w:pPr>
        <w:pStyle w:val="TOC2"/>
        <w:tabs>
          <w:tab w:val="left" w:pos="660"/>
          <w:tab w:val="right" w:leader="dot" w:pos="8828"/>
        </w:tabs>
        <w:spacing w:line="20" w:lineRule="atLeast"/>
        <w:jc w:val="both"/>
        <w:rPr>
          <w:rFonts w:ascii="Verdana" w:eastAsiaTheme="minorEastAsia" w:hAnsi="Verdana"/>
          <w:smallCaps w:val="0"/>
          <w:noProof/>
          <w:lang w:val="es-CR" w:eastAsia="es-CR"/>
        </w:rPr>
      </w:pPr>
      <w:hyperlink w:anchor="_Toc525201187" w:history="1">
        <w:r w:rsidR="00873FEC" w:rsidRPr="000624C7">
          <w:rPr>
            <w:rStyle w:val="Hyperlink"/>
            <w:rFonts w:ascii="Verdana" w:hAnsi="Verdana" w:cs="Times New Roman"/>
            <w:i/>
            <w:noProof/>
            <w:color w:val="auto"/>
            <w:u w:val="none"/>
            <w:lang w:val="es-CR"/>
          </w:rPr>
          <w:t>A.</w:t>
        </w:r>
        <w:r w:rsidR="000624C7" w:rsidRPr="000624C7">
          <w:rPr>
            <w:rStyle w:val="Hyperlink"/>
            <w:rFonts w:ascii="Verdana" w:hAnsi="Verdana" w:cs="Times New Roman"/>
            <w:i/>
            <w:noProof/>
            <w:color w:val="auto"/>
            <w:u w:val="none"/>
            <w:lang w:val="es-CR"/>
          </w:rPr>
          <w:t xml:space="preserve"> </w:t>
        </w:r>
        <w:r w:rsidR="00873FEC" w:rsidRPr="000624C7">
          <w:rPr>
            <w:rStyle w:val="Hyperlink"/>
            <w:rFonts w:ascii="Verdana" w:hAnsi="Verdana" w:cs="Times New Roman"/>
            <w:i/>
            <w:noProof/>
            <w:color w:val="auto"/>
            <w:u w:val="none"/>
            <w:lang w:val="es-CR"/>
          </w:rPr>
          <w:t>Alegatos de la Comisión y de las partes</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_Toc525201187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38</w:t>
        </w:r>
        <w:r w:rsidR="00873FEC" w:rsidRPr="000624C7">
          <w:rPr>
            <w:rFonts w:ascii="Verdana" w:hAnsi="Verdana"/>
            <w:noProof/>
            <w:webHidden/>
          </w:rPr>
          <w:fldChar w:fldCharType="end"/>
        </w:r>
      </w:hyperlink>
    </w:p>
    <w:p w:rsidR="00873FEC" w:rsidRPr="000624C7" w:rsidRDefault="00B9342F" w:rsidP="00126E97">
      <w:pPr>
        <w:pStyle w:val="TOC2"/>
        <w:tabs>
          <w:tab w:val="left" w:pos="660"/>
          <w:tab w:val="right" w:leader="dot" w:pos="8828"/>
        </w:tabs>
        <w:spacing w:line="20" w:lineRule="atLeast"/>
        <w:jc w:val="both"/>
        <w:rPr>
          <w:rFonts w:ascii="Verdana" w:eastAsiaTheme="minorEastAsia" w:hAnsi="Verdana"/>
          <w:smallCaps w:val="0"/>
          <w:noProof/>
          <w:lang w:val="es-CR" w:eastAsia="es-CR"/>
        </w:rPr>
      </w:pPr>
      <w:hyperlink w:anchor="_Toc525201188" w:history="1">
        <w:r w:rsidR="00873FEC" w:rsidRPr="000624C7">
          <w:rPr>
            <w:rStyle w:val="Hyperlink"/>
            <w:rFonts w:ascii="Verdana" w:hAnsi="Verdana" w:cs="Times New Roman"/>
            <w:i/>
            <w:noProof/>
            <w:color w:val="auto"/>
            <w:u w:val="none"/>
            <w:lang w:val="es-CR"/>
          </w:rPr>
          <w:t>B.</w:t>
        </w:r>
        <w:r w:rsidR="000624C7" w:rsidRPr="000624C7">
          <w:rPr>
            <w:rStyle w:val="Hyperlink"/>
            <w:rFonts w:ascii="Verdana" w:hAnsi="Verdana" w:cs="Times New Roman"/>
            <w:i/>
            <w:noProof/>
            <w:color w:val="auto"/>
            <w:u w:val="none"/>
            <w:lang w:val="es-CR"/>
          </w:rPr>
          <w:t xml:space="preserve"> </w:t>
        </w:r>
        <w:r w:rsidR="00873FEC" w:rsidRPr="000624C7">
          <w:rPr>
            <w:rStyle w:val="Hyperlink"/>
            <w:rFonts w:ascii="Verdana" w:hAnsi="Verdana" w:cs="Times New Roman"/>
            <w:i/>
            <w:noProof/>
            <w:color w:val="auto"/>
            <w:u w:val="none"/>
            <w:lang w:val="es-CR"/>
          </w:rPr>
          <w:t>Consideraciones de la Corte</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_Toc525201188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38</w:t>
        </w:r>
        <w:r w:rsidR="00873FEC" w:rsidRPr="000624C7">
          <w:rPr>
            <w:rFonts w:ascii="Verdana" w:hAnsi="Verdana"/>
            <w:noProof/>
            <w:webHidden/>
          </w:rPr>
          <w:fldChar w:fldCharType="end"/>
        </w:r>
      </w:hyperlink>
    </w:p>
    <w:p w:rsidR="00873FEC" w:rsidRPr="000624C7" w:rsidRDefault="00B9342F" w:rsidP="00126E97">
      <w:pPr>
        <w:pStyle w:val="TOC1"/>
        <w:tabs>
          <w:tab w:val="right" w:leader="dot" w:pos="8828"/>
        </w:tabs>
        <w:spacing w:before="0" w:after="0" w:line="20" w:lineRule="atLeast"/>
        <w:jc w:val="both"/>
        <w:rPr>
          <w:rFonts w:ascii="Verdana" w:eastAsiaTheme="minorEastAsia" w:hAnsi="Verdana"/>
          <w:b w:val="0"/>
          <w:bCs w:val="0"/>
          <w:caps w:val="0"/>
          <w:noProof/>
          <w:lang w:val="es-CR" w:eastAsia="es-CR"/>
        </w:rPr>
      </w:pPr>
      <w:hyperlink w:anchor="_Toc525201189" w:history="1">
        <w:r w:rsidR="00873FEC" w:rsidRPr="000624C7">
          <w:rPr>
            <w:rStyle w:val="Hyperlink"/>
            <w:rFonts w:ascii="Verdana" w:hAnsi="Verdana" w:cs="Times New Roman"/>
            <w:noProof/>
            <w:color w:val="auto"/>
            <w:u w:val="none"/>
          </w:rPr>
          <w:t>VII.4</w:t>
        </w:r>
      </w:hyperlink>
      <w:r w:rsidR="000624C7" w:rsidRPr="000624C7">
        <w:rPr>
          <w:rStyle w:val="Hyperlink"/>
          <w:rFonts w:ascii="Verdana" w:hAnsi="Verdana"/>
          <w:noProof/>
          <w:color w:val="auto"/>
          <w:u w:val="none"/>
        </w:rPr>
        <w:t xml:space="preserve"> </w:t>
      </w:r>
      <w:hyperlink w:anchor="_Toc525201190" w:history="1">
        <w:r w:rsidR="00873FEC" w:rsidRPr="000624C7">
          <w:rPr>
            <w:rStyle w:val="Hyperlink"/>
            <w:rFonts w:ascii="Verdana" w:hAnsi="Verdana" w:cs="Times New Roman"/>
            <w:noProof/>
            <w:color w:val="auto"/>
            <w:u w:val="none"/>
          </w:rPr>
          <w:t>ALEGADA VIOLACIÓN AL DERECHO A LA PROPIEDAD PRIVADA</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_Toc525201190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40</w:t>
        </w:r>
        <w:r w:rsidR="00873FEC" w:rsidRPr="000624C7">
          <w:rPr>
            <w:rFonts w:ascii="Verdana" w:hAnsi="Verdana"/>
            <w:noProof/>
            <w:webHidden/>
          </w:rPr>
          <w:fldChar w:fldCharType="end"/>
        </w:r>
      </w:hyperlink>
    </w:p>
    <w:p w:rsidR="00873FEC" w:rsidRPr="000624C7" w:rsidRDefault="00B9342F" w:rsidP="00126E97">
      <w:pPr>
        <w:pStyle w:val="TOC2"/>
        <w:tabs>
          <w:tab w:val="left" w:pos="880"/>
          <w:tab w:val="right" w:leader="dot" w:pos="8828"/>
        </w:tabs>
        <w:spacing w:line="20" w:lineRule="atLeast"/>
        <w:jc w:val="both"/>
        <w:rPr>
          <w:rFonts w:ascii="Verdana" w:eastAsiaTheme="minorEastAsia" w:hAnsi="Verdana"/>
          <w:smallCaps w:val="0"/>
          <w:noProof/>
          <w:lang w:val="es-CR" w:eastAsia="es-CR"/>
        </w:rPr>
      </w:pPr>
      <w:hyperlink w:anchor="_Toc525201191" w:history="1">
        <w:r w:rsidR="00873FEC" w:rsidRPr="000624C7">
          <w:rPr>
            <w:rStyle w:val="Hyperlink"/>
            <w:rFonts w:ascii="Verdana" w:hAnsi="Verdana" w:cs="Times New Roman"/>
            <w:i/>
            <w:noProof/>
            <w:color w:val="auto"/>
            <w:u w:val="none"/>
            <w:lang w:val="es-CR"/>
          </w:rPr>
          <w:t>A.</w:t>
        </w:r>
        <w:r w:rsidR="000624C7" w:rsidRPr="000624C7">
          <w:rPr>
            <w:rStyle w:val="Hyperlink"/>
            <w:rFonts w:ascii="Verdana" w:hAnsi="Verdana" w:cs="Times New Roman"/>
            <w:i/>
            <w:noProof/>
            <w:color w:val="auto"/>
            <w:u w:val="none"/>
            <w:lang w:val="es-CR"/>
          </w:rPr>
          <w:t xml:space="preserve"> </w:t>
        </w:r>
        <w:r w:rsidR="00873FEC" w:rsidRPr="000624C7">
          <w:rPr>
            <w:rStyle w:val="Hyperlink"/>
            <w:rFonts w:ascii="Verdana" w:hAnsi="Verdana" w:cs="Times New Roman"/>
            <w:i/>
            <w:noProof/>
            <w:color w:val="auto"/>
            <w:u w:val="none"/>
            <w:lang w:val="es-CR"/>
          </w:rPr>
          <w:t>Alegatos de las partes</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_Toc525201191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40</w:t>
        </w:r>
        <w:r w:rsidR="00873FEC" w:rsidRPr="000624C7">
          <w:rPr>
            <w:rFonts w:ascii="Verdana" w:hAnsi="Verdana"/>
            <w:noProof/>
            <w:webHidden/>
          </w:rPr>
          <w:fldChar w:fldCharType="end"/>
        </w:r>
      </w:hyperlink>
    </w:p>
    <w:p w:rsidR="00873FEC" w:rsidRPr="000624C7" w:rsidRDefault="00B9342F" w:rsidP="00126E97">
      <w:pPr>
        <w:pStyle w:val="TOC2"/>
        <w:tabs>
          <w:tab w:val="left" w:pos="660"/>
          <w:tab w:val="right" w:leader="dot" w:pos="8828"/>
        </w:tabs>
        <w:spacing w:line="20" w:lineRule="atLeast"/>
        <w:jc w:val="both"/>
        <w:rPr>
          <w:rFonts w:ascii="Verdana" w:eastAsiaTheme="minorEastAsia" w:hAnsi="Verdana"/>
          <w:smallCaps w:val="0"/>
          <w:noProof/>
          <w:lang w:val="es-CR" w:eastAsia="es-CR"/>
        </w:rPr>
      </w:pPr>
      <w:hyperlink w:anchor="_Toc525201192" w:history="1">
        <w:r w:rsidR="00873FEC" w:rsidRPr="000624C7">
          <w:rPr>
            <w:rStyle w:val="Hyperlink"/>
            <w:rFonts w:ascii="Verdana" w:hAnsi="Verdana"/>
            <w:i/>
            <w:noProof/>
            <w:color w:val="auto"/>
            <w:u w:val="none"/>
            <w:lang w:val="es-CR"/>
          </w:rPr>
          <w:t>B.Consideraciones de la Corte</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_Toc525201192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41</w:t>
        </w:r>
        <w:r w:rsidR="00873FEC" w:rsidRPr="000624C7">
          <w:rPr>
            <w:rFonts w:ascii="Verdana" w:hAnsi="Verdana"/>
            <w:noProof/>
            <w:webHidden/>
          </w:rPr>
          <w:fldChar w:fldCharType="end"/>
        </w:r>
      </w:hyperlink>
    </w:p>
    <w:p w:rsidR="00873FEC" w:rsidRPr="000624C7" w:rsidRDefault="00B9342F" w:rsidP="00126E97">
      <w:pPr>
        <w:pStyle w:val="TOC1"/>
        <w:tabs>
          <w:tab w:val="right" w:leader="dot" w:pos="8828"/>
        </w:tabs>
        <w:spacing w:before="0" w:after="0" w:line="20" w:lineRule="atLeast"/>
        <w:jc w:val="both"/>
        <w:rPr>
          <w:rFonts w:ascii="Verdana" w:eastAsiaTheme="minorEastAsia" w:hAnsi="Verdana"/>
          <w:b w:val="0"/>
          <w:bCs w:val="0"/>
          <w:caps w:val="0"/>
          <w:noProof/>
          <w:lang w:val="es-CR" w:eastAsia="es-CR"/>
        </w:rPr>
      </w:pPr>
      <w:hyperlink w:anchor="_Toc525201193" w:history="1">
        <w:r w:rsidR="00873FEC" w:rsidRPr="000624C7">
          <w:rPr>
            <w:rStyle w:val="Hyperlink"/>
            <w:rFonts w:ascii="Verdana" w:hAnsi="Verdana"/>
            <w:noProof/>
            <w:color w:val="auto"/>
            <w:u w:val="none"/>
            <w:lang w:val="es-CR"/>
          </w:rPr>
          <w:t>VII.5</w:t>
        </w:r>
      </w:hyperlink>
      <w:r w:rsidR="000624C7" w:rsidRPr="000624C7">
        <w:rPr>
          <w:rStyle w:val="Hyperlink"/>
          <w:rFonts w:ascii="Verdana" w:hAnsi="Verdana"/>
          <w:noProof/>
          <w:color w:val="auto"/>
          <w:u w:val="none"/>
        </w:rPr>
        <w:t xml:space="preserve"> </w:t>
      </w:r>
      <w:hyperlink w:anchor="_Toc525201194" w:history="1">
        <w:r w:rsidR="00873FEC" w:rsidRPr="000624C7">
          <w:rPr>
            <w:rStyle w:val="Hyperlink"/>
            <w:rFonts w:ascii="Verdana" w:hAnsi="Verdana"/>
            <w:noProof/>
            <w:color w:val="auto"/>
            <w:u w:val="none"/>
            <w:lang w:val="es-CR"/>
          </w:rPr>
          <w:t>ALEGADA VIOLACIÓN AL DERECHO A LA IGUALDAD ANTE LA LEY</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_Toc525201194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41</w:t>
        </w:r>
        <w:r w:rsidR="00873FEC" w:rsidRPr="000624C7">
          <w:rPr>
            <w:rFonts w:ascii="Verdana" w:hAnsi="Verdana"/>
            <w:noProof/>
            <w:webHidden/>
          </w:rPr>
          <w:fldChar w:fldCharType="end"/>
        </w:r>
      </w:hyperlink>
    </w:p>
    <w:p w:rsidR="00873FEC" w:rsidRPr="000624C7" w:rsidRDefault="00B9342F" w:rsidP="00126E97">
      <w:pPr>
        <w:pStyle w:val="TOC2"/>
        <w:tabs>
          <w:tab w:val="left" w:pos="660"/>
          <w:tab w:val="right" w:leader="dot" w:pos="8828"/>
        </w:tabs>
        <w:spacing w:line="20" w:lineRule="atLeast"/>
        <w:jc w:val="both"/>
        <w:rPr>
          <w:rFonts w:ascii="Verdana" w:eastAsiaTheme="minorEastAsia" w:hAnsi="Verdana"/>
          <w:smallCaps w:val="0"/>
          <w:noProof/>
          <w:lang w:val="es-CR" w:eastAsia="es-CR"/>
        </w:rPr>
      </w:pPr>
      <w:hyperlink w:anchor="_Toc525201195" w:history="1">
        <w:r w:rsidR="00873FEC" w:rsidRPr="000624C7">
          <w:rPr>
            <w:rStyle w:val="Hyperlink"/>
            <w:rFonts w:ascii="Verdana" w:hAnsi="Verdana"/>
            <w:i/>
            <w:noProof/>
            <w:color w:val="auto"/>
            <w:u w:val="none"/>
            <w:lang w:val="es-CR"/>
          </w:rPr>
          <w:t>A.Alegatos de la Comisión y de las partes</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_Toc525201195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41</w:t>
        </w:r>
        <w:r w:rsidR="00873FEC" w:rsidRPr="000624C7">
          <w:rPr>
            <w:rFonts w:ascii="Verdana" w:hAnsi="Verdana"/>
            <w:noProof/>
            <w:webHidden/>
          </w:rPr>
          <w:fldChar w:fldCharType="end"/>
        </w:r>
      </w:hyperlink>
    </w:p>
    <w:p w:rsidR="00873FEC" w:rsidRPr="000624C7" w:rsidRDefault="00B9342F" w:rsidP="00126E97">
      <w:pPr>
        <w:pStyle w:val="TOC2"/>
        <w:tabs>
          <w:tab w:val="left" w:pos="660"/>
          <w:tab w:val="right" w:leader="dot" w:pos="8828"/>
        </w:tabs>
        <w:spacing w:line="20" w:lineRule="atLeast"/>
        <w:jc w:val="both"/>
        <w:rPr>
          <w:rFonts w:ascii="Verdana" w:eastAsiaTheme="minorEastAsia" w:hAnsi="Verdana"/>
          <w:smallCaps w:val="0"/>
          <w:noProof/>
          <w:lang w:val="es-CR" w:eastAsia="es-CR"/>
        </w:rPr>
      </w:pPr>
      <w:hyperlink w:anchor="_Toc525201196" w:history="1">
        <w:r w:rsidR="00873FEC" w:rsidRPr="000624C7">
          <w:rPr>
            <w:rStyle w:val="Hyperlink"/>
            <w:rFonts w:ascii="Verdana" w:hAnsi="Verdana"/>
            <w:i/>
            <w:noProof/>
            <w:color w:val="auto"/>
            <w:u w:val="none"/>
            <w:lang w:val="es-CR"/>
          </w:rPr>
          <w:t>B.Consideraciones de la Corte</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_Toc525201196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42</w:t>
        </w:r>
        <w:r w:rsidR="00873FEC" w:rsidRPr="000624C7">
          <w:rPr>
            <w:rFonts w:ascii="Verdana" w:hAnsi="Verdana"/>
            <w:noProof/>
            <w:webHidden/>
          </w:rPr>
          <w:fldChar w:fldCharType="end"/>
        </w:r>
      </w:hyperlink>
    </w:p>
    <w:p w:rsidR="00873FEC" w:rsidRPr="000624C7" w:rsidRDefault="00B9342F" w:rsidP="00126E97">
      <w:pPr>
        <w:pStyle w:val="TOC1"/>
        <w:tabs>
          <w:tab w:val="right" w:leader="dot" w:pos="8828"/>
        </w:tabs>
        <w:spacing w:before="0" w:after="0" w:line="20" w:lineRule="atLeast"/>
        <w:jc w:val="both"/>
        <w:rPr>
          <w:rFonts w:ascii="Verdana" w:eastAsiaTheme="minorEastAsia" w:hAnsi="Verdana"/>
          <w:b w:val="0"/>
          <w:bCs w:val="0"/>
          <w:caps w:val="0"/>
          <w:noProof/>
          <w:lang w:val="es-CR" w:eastAsia="es-CR"/>
        </w:rPr>
      </w:pPr>
      <w:hyperlink w:anchor="_Toc525201197" w:history="1">
        <w:r w:rsidR="00873FEC" w:rsidRPr="000624C7">
          <w:rPr>
            <w:rStyle w:val="Hyperlink"/>
            <w:rFonts w:ascii="Verdana" w:eastAsia="Calibri" w:hAnsi="Verdana" w:cs="Times"/>
            <w:noProof/>
            <w:color w:val="auto"/>
            <w:u w:val="none"/>
            <w:lang w:eastAsia="es-CR"/>
          </w:rPr>
          <w:t>VIII</w:t>
        </w:r>
      </w:hyperlink>
      <w:r w:rsidR="000624C7" w:rsidRPr="000624C7">
        <w:rPr>
          <w:rStyle w:val="Hyperlink"/>
          <w:rFonts w:ascii="Verdana" w:hAnsi="Verdana"/>
          <w:noProof/>
          <w:color w:val="auto"/>
          <w:u w:val="none"/>
        </w:rPr>
        <w:t xml:space="preserve"> </w:t>
      </w:r>
      <w:hyperlink w:anchor="_Toc525201198" w:history="1">
        <w:r w:rsidR="00873FEC" w:rsidRPr="000624C7">
          <w:rPr>
            <w:rStyle w:val="Hyperlink"/>
            <w:rFonts w:ascii="Verdana" w:eastAsia="Calibri" w:hAnsi="Verdana" w:cs="Times"/>
            <w:noProof/>
            <w:color w:val="auto"/>
            <w:u w:val="none"/>
            <w:lang w:eastAsia="es-CR"/>
          </w:rPr>
          <w:t>REPARACIONES</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_Toc525201198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43</w:t>
        </w:r>
        <w:r w:rsidR="00873FEC" w:rsidRPr="000624C7">
          <w:rPr>
            <w:rFonts w:ascii="Verdana" w:hAnsi="Verdana"/>
            <w:noProof/>
            <w:webHidden/>
          </w:rPr>
          <w:fldChar w:fldCharType="end"/>
        </w:r>
      </w:hyperlink>
    </w:p>
    <w:p w:rsidR="00873FEC" w:rsidRPr="000624C7" w:rsidRDefault="00873FEC" w:rsidP="00126E97">
      <w:pPr>
        <w:pStyle w:val="TOC1"/>
        <w:tabs>
          <w:tab w:val="right" w:leader="dot" w:pos="8828"/>
        </w:tabs>
        <w:spacing w:before="0" w:after="0" w:line="20" w:lineRule="atLeast"/>
        <w:jc w:val="both"/>
        <w:rPr>
          <w:rFonts w:ascii="Verdana" w:eastAsiaTheme="minorEastAsia" w:hAnsi="Verdana"/>
          <w:b w:val="0"/>
          <w:bCs w:val="0"/>
          <w:caps w:val="0"/>
          <w:noProof/>
          <w:lang w:val="es-CR" w:eastAsia="es-CR"/>
        </w:rPr>
      </w:pPr>
    </w:p>
    <w:p w:rsidR="00873FEC" w:rsidRPr="000624C7" w:rsidRDefault="00B9342F" w:rsidP="00126E97">
      <w:pPr>
        <w:pStyle w:val="TOC2"/>
        <w:tabs>
          <w:tab w:val="left" w:pos="880"/>
          <w:tab w:val="right" w:leader="dot" w:pos="8828"/>
        </w:tabs>
        <w:spacing w:line="20" w:lineRule="atLeast"/>
        <w:jc w:val="both"/>
        <w:rPr>
          <w:rFonts w:ascii="Verdana" w:eastAsiaTheme="minorEastAsia" w:hAnsi="Verdana"/>
          <w:smallCaps w:val="0"/>
          <w:noProof/>
          <w:lang w:val="es-CR" w:eastAsia="es-CR"/>
        </w:rPr>
      </w:pPr>
      <w:hyperlink w:anchor="_Toc525201200" w:history="1">
        <w:r w:rsidR="00873FEC" w:rsidRPr="000624C7">
          <w:rPr>
            <w:rStyle w:val="Hyperlink"/>
            <w:rFonts w:ascii="Verdana" w:eastAsia="Cambria" w:hAnsi="Verdana" w:cs="Times"/>
            <w:i/>
            <w:noProof/>
            <w:color w:val="auto"/>
            <w:u w:val="none"/>
            <w:lang w:val="en-US" w:eastAsia="es-CR"/>
          </w:rPr>
          <w:t>A.</w:t>
        </w:r>
        <w:r w:rsidR="000624C7" w:rsidRPr="000624C7">
          <w:rPr>
            <w:rStyle w:val="Hyperlink"/>
            <w:rFonts w:ascii="Verdana" w:eastAsia="Cambria" w:hAnsi="Verdana" w:cs="Times"/>
            <w:i/>
            <w:noProof/>
            <w:color w:val="auto"/>
            <w:u w:val="none"/>
            <w:lang w:val="en-US" w:eastAsia="es-CR"/>
          </w:rPr>
          <w:t xml:space="preserve"> </w:t>
        </w:r>
        <w:r w:rsidR="00873FEC" w:rsidRPr="000624C7">
          <w:rPr>
            <w:rStyle w:val="Hyperlink"/>
            <w:rFonts w:ascii="Verdana" w:eastAsia="Cambria" w:hAnsi="Verdana" w:cs="Times"/>
            <w:i/>
            <w:noProof/>
            <w:color w:val="auto"/>
            <w:u w:val="none"/>
            <w:lang w:val="en-US" w:eastAsia="es-CR"/>
          </w:rPr>
          <w:t>Parte Lesionada</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_Toc525201200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44</w:t>
        </w:r>
        <w:r w:rsidR="00873FEC" w:rsidRPr="000624C7">
          <w:rPr>
            <w:rFonts w:ascii="Verdana" w:hAnsi="Verdana"/>
            <w:noProof/>
            <w:webHidden/>
          </w:rPr>
          <w:fldChar w:fldCharType="end"/>
        </w:r>
      </w:hyperlink>
    </w:p>
    <w:p w:rsidR="00873FEC" w:rsidRPr="000624C7" w:rsidRDefault="00B9342F" w:rsidP="00126E97">
      <w:pPr>
        <w:pStyle w:val="TOC2"/>
        <w:tabs>
          <w:tab w:val="left" w:pos="880"/>
          <w:tab w:val="right" w:leader="dot" w:pos="8828"/>
        </w:tabs>
        <w:spacing w:line="20" w:lineRule="atLeast"/>
        <w:jc w:val="both"/>
        <w:rPr>
          <w:rFonts w:ascii="Verdana" w:eastAsiaTheme="minorEastAsia" w:hAnsi="Verdana"/>
          <w:smallCaps w:val="0"/>
          <w:noProof/>
          <w:lang w:val="es-CR" w:eastAsia="es-CR"/>
        </w:rPr>
      </w:pPr>
      <w:hyperlink w:anchor="_Toc525201201" w:history="1">
        <w:r w:rsidR="00873FEC" w:rsidRPr="000624C7">
          <w:rPr>
            <w:rStyle w:val="Hyperlink"/>
            <w:rFonts w:ascii="Verdana" w:eastAsia="Cambria" w:hAnsi="Verdana" w:cs="Times"/>
            <w:i/>
            <w:noProof/>
            <w:color w:val="auto"/>
            <w:u w:val="none"/>
            <w:lang w:val="es-CR" w:eastAsia="es-CR"/>
          </w:rPr>
          <w:t>B.</w:t>
        </w:r>
        <w:r w:rsidR="00873FEC" w:rsidRPr="000624C7">
          <w:rPr>
            <w:rStyle w:val="Hyperlink"/>
            <w:rFonts w:ascii="Verdana" w:eastAsia="MS Mincho" w:hAnsi="Verdana" w:cs="Times"/>
            <w:i/>
            <w:noProof/>
            <w:color w:val="auto"/>
            <w:u w:val="none"/>
            <w:lang w:val="es-CR" w:eastAsia="es-CR"/>
          </w:rPr>
          <w:t>Obligación de investigar los hechos del caso y, en su caso, juzgar y sancionar a los responsables</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_Toc525201201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44</w:t>
        </w:r>
        <w:r w:rsidR="00873FEC" w:rsidRPr="000624C7">
          <w:rPr>
            <w:rFonts w:ascii="Verdana" w:hAnsi="Verdana"/>
            <w:noProof/>
            <w:webHidden/>
          </w:rPr>
          <w:fldChar w:fldCharType="end"/>
        </w:r>
      </w:hyperlink>
    </w:p>
    <w:p w:rsidR="00873FEC" w:rsidRPr="000624C7" w:rsidRDefault="00B9342F" w:rsidP="00126E97">
      <w:pPr>
        <w:pStyle w:val="TOC2"/>
        <w:tabs>
          <w:tab w:val="left" w:pos="660"/>
          <w:tab w:val="right" w:leader="dot" w:pos="8828"/>
        </w:tabs>
        <w:spacing w:line="20" w:lineRule="atLeast"/>
        <w:jc w:val="both"/>
        <w:rPr>
          <w:rFonts w:ascii="Verdana" w:eastAsiaTheme="minorEastAsia" w:hAnsi="Verdana"/>
          <w:smallCaps w:val="0"/>
          <w:noProof/>
          <w:lang w:val="es-CR" w:eastAsia="es-CR"/>
        </w:rPr>
      </w:pPr>
      <w:hyperlink w:anchor="_Toc525201202" w:history="1">
        <w:r w:rsidR="00873FEC" w:rsidRPr="000624C7">
          <w:rPr>
            <w:rStyle w:val="Hyperlink"/>
            <w:rFonts w:ascii="Verdana" w:eastAsia="MS Mincho" w:hAnsi="Verdana" w:cs="Times"/>
            <w:i/>
            <w:noProof/>
            <w:color w:val="auto"/>
            <w:u w:val="none"/>
            <w:lang w:val="es-CR" w:eastAsia="es-CR"/>
          </w:rPr>
          <w:t>C.</w:t>
        </w:r>
        <w:r w:rsidR="000624C7" w:rsidRPr="000624C7">
          <w:rPr>
            <w:rFonts w:ascii="Verdana" w:eastAsiaTheme="minorEastAsia" w:hAnsi="Verdana"/>
            <w:smallCaps w:val="0"/>
            <w:noProof/>
            <w:lang w:val="es-CR" w:eastAsia="es-CR"/>
          </w:rPr>
          <w:t xml:space="preserve"> </w:t>
        </w:r>
        <w:r w:rsidR="00873FEC" w:rsidRPr="000624C7">
          <w:rPr>
            <w:rStyle w:val="Hyperlink"/>
            <w:rFonts w:ascii="Verdana" w:eastAsia="MS Mincho" w:hAnsi="Verdana" w:cs="Times"/>
            <w:i/>
            <w:noProof/>
            <w:color w:val="auto"/>
            <w:u w:val="none"/>
            <w:lang w:val="es-CR" w:eastAsia="es-CR"/>
          </w:rPr>
          <w:t>Medidas de rehabilitación, satisfacción y garantías de no repetición</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_Toc525201202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45</w:t>
        </w:r>
        <w:r w:rsidR="00873FEC" w:rsidRPr="000624C7">
          <w:rPr>
            <w:rFonts w:ascii="Verdana" w:hAnsi="Verdana"/>
            <w:noProof/>
            <w:webHidden/>
          </w:rPr>
          <w:fldChar w:fldCharType="end"/>
        </w:r>
      </w:hyperlink>
    </w:p>
    <w:p w:rsidR="00873FEC" w:rsidRPr="000624C7" w:rsidRDefault="00B9342F" w:rsidP="00126E97">
      <w:pPr>
        <w:pStyle w:val="TOC3"/>
        <w:tabs>
          <w:tab w:val="right" w:leader="dot" w:pos="8828"/>
        </w:tabs>
        <w:spacing w:line="20" w:lineRule="atLeast"/>
        <w:jc w:val="both"/>
        <w:rPr>
          <w:rFonts w:ascii="Verdana" w:eastAsiaTheme="minorEastAsia" w:hAnsi="Verdana"/>
          <w:i w:val="0"/>
          <w:iCs w:val="0"/>
          <w:noProof/>
          <w:lang w:val="es-CR" w:eastAsia="es-CR"/>
        </w:rPr>
      </w:pPr>
      <w:hyperlink w:anchor="_Toc525201203" w:history="1">
        <w:r w:rsidR="00873FEC" w:rsidRPr="000624C7">
          <w:rPr>
            <w:rStyle w:val="Hyperlink"/>
            <w:rFonts w:ascii="Verdana" w:eastAsia="Cambria" w:hAnsi="Verdana" w:cs="Times"/>
            <w:noProof/>
            <w:color w:val="auto"/>
            <w:u w:val="none"/>
            <w:lang w:val="en-US" w:eastAsia="es-CR"/>
          </w:rPr>
          <w:t>C.1. Medidas de rehabilitación</w:t>
        </w:r>
        <w:r w:rsidR="00873FEC" w:rsidRPr="000624C7">
          <w:rPr>
            <w:rFonts w:ascii="Verdana" w:hAnsi="Verdana"/>
            <w:noProof/>
            <w:webHidden/>
          </w:rPr>
          <w:tab/>
        </w:r>
        <w:r w:rsidR="00873FEC" w:rsidRPr="001808D1">
          <w:rPr>
            <w:rFonts w:ascii="Verdana" w:hAnsi="Verdana"/>
            <w:i w:val="0"/>
            <w:noProof/>
            <w:webHidden/>
          </w:rPr>
          <w:fldChar w:fldCharType="begin"/>
        </w:r>
        <w:r w:rsidR="00873FEC" w:rsidRPr="001808D1">
          <w:rPr>
            <w:rFonts w:ascii="Verdana" w:hAnsi="Verdana"/>
            <w:i w:val="0"/>
            <w:noProof/>
            <w:webHidden/>
          </w:rPr>
          <w:instrText xml:space="preserve"> PAGEREF _Toc525201203 \h </w:instrText>
        </w:r>
        <w:r w:rsidR="00873FEC" w:rsidRPr="001808D1">
          <w:rPr>
            <w:rFonts w:ascii="Verdana" w:hAnsi="Verdana"/>
            <w:i w:val="0"/>
            <w:noProof/>
            <w:webHidden/>
          </w:rPr>
        </w:r>
        <w:r w:rsidR="00873FEC" w:rsidRPr="001808D1">
          <w:rPr>
            <w:rFonts w:ascii="Verdana" w:hAnsi="Verdana"/>
            <w:i w:val="0"/>
            <w:noProof/>
            <w:webHidden/>
          </w:rPr>
          <w:fldChar w:fldCharType="separate"/>
        </w:r>
        <w:r>
          <w:rPr>
            <w:rFonts w:ascii="Verdana" w:hAnsi="Verdana"/>
            <w:i w:val="0"/>
            <w:noProof/>
            <w:webHidden/>
          </w:rPr>
          <w:t>45</w:t>
        </w:r>
        <w:r w:rsidR="00873FEC" w:rsidRPr="001808D1">
          <w:rPr>
            <w:rFonts w:ascii="Verdana" w:hAnsi="Verdana"/>
            <w:i w:val="0"/>
            <w:noProof/>
            <w:webHidden/>
          </w:rPr>
          <w:fldChar w:fldCharType="end"/>
        </w:r>
      </w:hyperlink>
    </w:p>
    <w:p w:rsidR="00873FEC" w:rsidRPr="000624C7" w:rsidRDefault="00B9342F" w:rsidP="00126E97">
      <w:pPr>
        <w:pStyle w:val="TOC3"/>
        <w:tabs>
          <w:tab w:val="right" w:leader="dot" w:pos="8828"/>
        </w:tabs>
        <w:spacing w:line="20" w:lineRule="atLeast"/>
        <w:jc w:val="both"/>
        <w:rPr>
          <w:rFonts w:ascii="Verdana" w:eastAsiaTheme="minorEastAsia" w:hAnsi="Verdana"/>
          <w:i w:val="0"/>
          <w:iCs w:val="0"/>
          <w:noProof/>
          <w:lang w:val="es-CR" w:eastAsia="es-CR"/>
        </w:rPr>
      </w:pPr>
      <w:hyperlink w:anchor="_Toc525201204" w:history="1">
        <w:r w:rsidR="00873FEC" w:rsidRPr="000624C7">
          <w:rPr>
            <w:rStyle w:val="Hyperlink"/>
            <w:rFonts w:ascii="Verdana" w:eastAsia="Cambria" w:hAnsi="Verdana" w:cs="Times"/>
            <w:noProof/>
            <w:color w:val="auto"/>
            <w:u w:val="none"/>
            <w:lang w:val="es-CR" w:eastAsia="es-CR"/>
          </w:rPr>
          <w:t>C.2. Medidas de satisfacción</w:t>
        </w:r>
        <w:r w:rsidR="00873FEC" w:rsidRPr="000624C7">
          <w:rPr>
            <w:rFonts w:ascii="Verdana" w:hAnsi="Verdana"/>
            <w:noProof/>
            <w:webHidden/>
          </w:rPr>
          <w:tab/>
        </w:r>
        <w:r w:rsidR="00873FEC" w:rsidRPr="001808D1">
          <w:rPr>
            <w:rFonts w:ascii="Verdana" w:hAnsi="Verdana"/>
            <w:i w:val="0"/>
            <w:noProof/>
            <w:webHidden/>
          </w:rPr>
          <w:fldChar w:fldCharType="begin"/>
        </w:r>
        <w:r w:rsidR="00873FEC" w:rsidRPr="001808D1">
          <w:rPr>
            <w:rFonts w:ascii="Verdana" w:hAnsi="Verdana"/>
            <w:i w:val="0"/>
            <w:noProof/>
            <w:webHidden/>
          </w:rPr>
          <w:instrText xml:space="preserve"> PAGEREF _Toc525201204 \h </w:instrText>
        </w:r>
        <w:r w:rsidR="00873FEC" w:rsidRPr="001808D1">
          <w:rPr>
            <w:rFonts w:ascii="Verdana" w:hAnsi="Verdana"/>
            <w:i w:val="0"/>
            <w:noProof/>
            <w:webHidden/>
          </w:rPr>
        </w:r>
        <w:r w:rsidR="00873FEC" w:rsidRPr="001808D1">
          <w:rPr>
            <w:rFonts w:ascii="Verdana" w:hAnsi="Verdana"/>
            <w:i w:val="0"/>
            <w:noProof/>
            <w:webHidden/>
          </w:rPr>
          <w:fldChar w:fldCharType="separate"/>
        </w:r>
        <w:r>
          <w:rPr>
            <w:rFonts w:ascii="Verdana" w:hAnsi="Verdana"/>
            <w:i w:val="0"/>
            <w:noProof/>
            <w:webHidden/>
          </w:rPr>
          <w:t>46</w:t>
        </w:r>
        <w:r w:rsidR="00873FEC" w:rsidRPr="001808D1">
          <w:rPr>
            <w:rFonts w:ascii="Verdana" w:hAnsi="Verdana"/>
            <w:i w:val="0"/>
            <w:noProof/>
            <w:webHidden/>
          </w:rPr>
          <w:fldChar w:fldCharType="end"/>
        </w:r>
      </w:hyperlink>
    </w:p>
    <w:p w:rsidR="00873FEC" w:rsidRPr="000624C7" w:rsidRDefault="00B9342F" w:rsidP="00126E97">
      <w:pPr>
        <w:pStyle w:val="TOC4"/>
        <w:tabs>
          <w:tab w:val="right" w:leader="dot" w:pos="8828"/>
        </w:tabs>
        <w:spacing w:line="20" w:lineRule="atLeast"/>
        <w:jc w:val="both"/>
        <w:rPr>
          <w:rFonts w:ascii="Verdana" w:eastAsiaTheme="minorEastAsia" w:hAnsi="Verdana"/>
          <w:noProof/>
          <w:sz w:val="20"/>
          <w:szCs w:val="20"/>
          <w:lang w:val="es-CR" w:eastAsia="es-CR"/>
        </w:rPr>
      </w:pPr>
      <w:hyperlink w:anchor="_Toc525201205" w:history="1">
        <w:r w:rsidR="00873FEC" w:rsidRPr="000624C7">
          <w:rPr>
            <w:rStyle w:val="Hyperlink"/>
            <w:rFonts w:ascii="Verdana" w:eastAsia="Cambria" w:hAnsi="Verdana" w:cs="Times"/>
            <w:i/>
            <w:noProof/>
            <w:color w:val="auto"/>
            <w:sz w:val="20"/>
            <w:szCs w:val="20"/>
            <w:u w:val="none"/>
            <w:lang w:eastAsia="es-CR"/>
          </w:rPr>
          <w:t>C.2.1. Publicación de la Sentencia</w:t>
        </w:r>
        <w:r w:rsidR="00873FEC" w:rsidRPr="000624C7">
          <w:rPr>
            <w:rFonts w:ascii="Verdana" w:hAnsi="Verdana"/>
            <w:noProof/>
            <w:webHidden/>
            <w:sz w:val="20"/>
            <w:szCs w:val="20"/>
          </w:rPr>
          <w:tab/>
        </w:r>
        <w:r w:rsidR="00873FEC" w:rsidRPr="000624C7">
          <w:rPr>
            <w:rFonts w:ascii="Verdana" w:hAnsi="Verdana"/>
            <w:noProof/>
            <w:webHidden/>
            <w:sz w:val="20"/>
            <w:szCs w:val="20"/>
          </w:rPr>
          <w:fldChar w:fldCharType="begin"/>
        </w:r>
        <w:r w:rsidR="00873FEC" w:rsidRPr="000624C7">
          <w:rPr>
            <w:rFonts w:ascii="Verdana" w:hAnsi="Verdana"/>
            <w:noProof/>
            <w:webHidden/>
            <w:sz w:val="20"/>
            <w:szCs w:val="20"/>
          </w:rPr>
          <w:instrText xml:space="preserve"> PAGEREF _Toc525201205 \h </w:instrText>
        </w:r>
        <w:r w:rsidR="00873FEC" w:rsidRPr="000624C7">
          <w:rPr>
            <w:rFonts w:ascii="Verdana" w:hAnsi="Verdana"/>
            <w:noProof/>
            <w:webHidden/>
            <w:sz w:val="20"/>
            <w:szCs w:val="20"/>
          </w:rPr>
        </w:r>
        <w:r w:rsidR="00873FEC" w:rsidRPr="000624C7">
          <w:rPr>
            <w:rFonts w:ascii="Verdana" w:hAnsi="Verdana"/>
            <w:noProof/>
            <w:webHidden/>
            <w:sz w:val="20"/>
            <w:szCs w:val="20"/>
          </w:rPr>
          <w:fldChar w:fldCharType="separate"/>
        </w:r>
        <w:r>
          <w:rPr>
            <w:rFonts w:ascii="Verdana" w:hAnsi="Verdana"/>
            <w:noProof/>
            <w:webHidden/>
            <w:sz w:val="20"/>
            <w:szCs w:val="20"/>
          </w:rPr>
          <w:t>46</w:t>
        </w:r>
        <w:r w:rsidR="00873FEC" w:rsidRPr="000624C7">
          <w:rPr>
            <w:rFonts w:ascii="Verdana" w:hAnsi="Verdana"/>
            <w:noProof/>
            <w:webHidden/>
            <w:sz w:val="20"/>
            <w:szCs w:val="20"/>
          </w:rPr>
          <w:fldChar w:fldCharType="end"/>
        </w:r>
      </w:hyperlink>
    </w:p>
    <w:p w:rsidR="00873FEC" w:rsidRPr="000624C7" w:rsidRDefault="00B9342F" w:rsidP="00126E97">
      <w:pPr>
        <w:pStyle w:val="TOC4"/>
        <w:tabs>
          <w:tab w:val="right" w:leader="dot" w:pos="8828"/>
        </w:tabs>
        <w:spacing w:line="20" w:lineRule="atLeast"/>
        <w:jc w:val="both"/>
        <w:rPr>
          <w:rFonts w:ascii="Verdana" w:eastAsiaTheme="minorEastAsia" w:hAnsi="Verdana"/>
          <w:noProof/>
          <w:sz w:val="20"/>
          <w:szCs w:val="20"/>
          <w:lang w:val="es-CR" w:eastAsia="es-CR"/>
        </w:rPr>
      </w:pPr>
      <w:hyperlink w:anchor="_Toc525201206" w:history="1">
        <w:r w:rsidR="00873FEC" w:rsidRPr="000624C7">
          <w:rPr>
            <w:rStyle w:val="Hyperlink"/>
            <w:rFonts w:ascii="Verdana" w:eastAsia="MS Mincho" w:hAnsi="Verdana" w:cs="Times"/>
            <w:i/>
            <w:noProof/>
            <w:color w:val="auto"/>
            <w:sz w:val="20"/>
            <w:szCs w:val="20"/>
            <w:u w:val="none"/>
            <w:lang w:eastAsia="es-CR"/>
          </w:rPr>
          <w:t>C.2.2. Acto público de reconocimiento de responsabilidad</w:t>
        </w:r>
        <w:r w:rsidR="00873FEC" w:rsidRPr="000624C7">
          <w:rPr>
            <w:rFonts w:ascii="Verdana" w:hAnsi="Verdana"/>
            <w:noProof/>
            <w:webHidden/>
            <w:sz w:val="20"/>
            <w:szCs w:val="20"/>
          </w:rPr>
          <w:tab/>
        </w:r>
        <w:r w:rsidR="00873FEC" w:rsidRPr="000624C7">
          <w:rPr>
            <w:rFonts w:ascii="Verdana" w:hAnsi="Verdana"/>
            <w:noProof/>
            <w:webHidden/>
            <w:sz w:val="20"/>
            <w:szCs w:val="20"/>
          </w:rPr>
          <w:fldChar w:fldCharType="begin"/>
        </w:r>
        <w:r w:rsidR="00873FEC" w:rsidRPr="000624C7">
          <w:rPr>
            <w:rFonts w:ascii="Verdana" w:hAnsi="Verdana"/>
            <w:noProof/>
            <w:webHidden/>
            <w:sz w:val="20"/>
            <w:szCs w:val="20"/>
          </w:rPr>
          <w:instrText xml:space="preserve"> PAGEREF _Toc525201206 \h </w:instrText>
        </w:r>
        <w:r w:rsidR="00873FEC" w:rsidRPr="000624C7">
          <w:rPr>
            <w:rFonts w:ascii="Verdana" w:hAnsi="Verdana"/>
            <w:noProof/>
            <w:webHidden/>
            <w:sz w:val="20"/>
            <w:szCs w:val="20"/>
          </w:rPr>
        </w:r>
        <w:r w:rsidR="00873FEC" w:rsidRPr="000624C7">
          <w:rPr>
            <w:rFonts w:ascii="Verdana" w:hAnsi="Verdana"/>
            <w:noProof/>
            <w:webHidden/>
            <w:sz w:val="20"/>
            <w:szCs w:val="20"/>
          </w:rPr>
          <w:fldChar w:fldCharType="separate"/>
        </w:r>
        <w:r>
          <w:rPr>
            <w:rFonts w:ascii="Verdana" w:hAnsi="Verdana"/>
            <w:noProof/>
            <w:webHidden/>
            <w:sz w:val="20"/>
            <w:szCs w:val="20"/>
          </w:rPr>
          <w:t>46</w:t>
        </w:r>
        <w:r w:rsidR="00873FEC" w:rsidRPr="000624C7">
          <w:rPr>
            <w:rFonts w:ascii="Verdana" w:hAnsi="Verdana"/>
            <w:noProof/>
            <w:webHidden/>
            <w:sz w:val="20"/>
            <w:szCs w:val="20"/>
          </w:rPr>
          <w:fldChar w:fldCharType="end"/>
        </w:r>
      </w:hyperlink>
    </w:p>
    <w:p w:rsidR="00873FEC" w:rsidRPr="000624C7" w:rsidRDefault="00B9342F" w:rsidP="00126E97">
      <w:pPr>
        <w:pStyle w:val="TOC4"/>
        <w:tabs>
          <w:tab w:val="right" w:leader="dot" w:pos="8828"/>
        </w:tabs>
        <w:spacing w:line="20" w:lineRule="atLeast"/>
        <w:jc w:val="both"/>
        <w:rPr>
          <w:rFonts w:ascii="Verdana" w:eastAsiaTheme="minorEastAsia" w:hAnsi="Verdana"/>
          <w:noProof/>
          <w:sz w:val="20"/>
          <w:szCs w:val="20"/>
          <w:lang w:val="es-CR" w:eastAsia="es-CR"/>
        </w:rPr>
      </w:pPr>
      <w:hyperlink w:anchor="_Toc525201207" w:history="1">
        <w:r w:rsidR="00873FEC" w:rsidRPr="000624C7">
          <w:rPr>
            <w:rStyle w:val="Hyperlink"/>
            <w:rFonts w:ascii="Verdana" w:eastAsia="Cambria" w:hAnsi="Verdana" w:cs="Times"/>
            <w:i/>
            <w:noProof/>
            <w:color w:val="auto"/>
            <w:sz w:val="20"/>
            <w:szCs w:val="20"/>
            <w:u w:val="none"/>
            <w:lang w:eastAsia="es-CR"/>
          </w:rPr>
          <w:t>C.2.3. Centro de Salud</w:t>
        </w:r>
        <w:r w:rsidR="00873FEC" w:rsidRPr="000624C7">
          <w:rPr>
            <w:rFonts w:ascii="Verdana" w:hAnsi="Verdana"/>
            <w:noProof/>
            <w:webHidden/>
            <w:sz w:val="20"/>
            <w:szCs w:val="20"/>
          </w:rPr>
          <w:tab/>
        </w:r>
        <w:r w:rsidR="00873FEC" w:rsidRPr="000624C7">
          <w:rPr>
            <w:rFonts w:ascii="Verdana" w:hAnsi="Verdana"/>
            <w:noProof/>
            <w:webHidden/>
            <w:sz w:val="20"/>
            <w:szCs w:val="20"/>
          </w:rPr>
          <w:fldChar w:fldCharType="begin"/>
        </w:r>
        <w:r w:rsidR="00873FEC" w:rsidRPr="000624C7">
          <w:rPr>
            <w:rFonts w:ascii="Verdana" w:hAnsi="Verdana"/>
            <w:noProof/>
            <w:webHidden/>
            <w:sz w:val="20"/>
            <w:szCs w:val="20"/>
          </w:rPr>
          <w:instrText xml:space="preserve"> PAGEREF _Toc525201207 \h </w:instrText>
        </w:r>
        <w:r w:rsidR="00873FEC" w:rsidRPr="000624C7">
          <w:rPr>
            <w:rFonts w:ascii="Verdana" w:hAnsi="Verdana"/>
            <w:noProof/>
            <w:webHidden/>
            <w:sz w:val="20"/>
            <w:szCs w:val="20"/>
          </w:rPr>
        </w:r>
        <w:r w:rsidR="00873FEC" w:rsidRPr="000624C7">
          <w:rPr>
            <w:rFonts w:ascii="Verdana" w:hAnsi="Verdana"/>
            <w:noProof/>
            <w:webHidden/>
            <w:sz w:val="20"/>
            <w:szCs w:val="20"/>
          </w:rPr>
          <w:fldChar w:fldCharType="separate"/>
        </w:r>
        <w:r>
          <w:rPr>
            <w:rFonts w:ascii="Verdana" w:hAnsi="Verdana"/>
            <w:noProof/>
            <w:webHidden/>
            <w:sz w:val="20"/>
            <w:szCs w:val="20"/>
          </w:rPr>
          <w:t>47</w:t>
        </w:r>
        <w:r w:rsidR="00873FEC" w:rsidRPr="000624C7">
          <w:rPr>
            <w:rFonts w:ascii="Verdana" w:hAnsi="Verdana"/>
            <w:noProof/>
            <w:webHidden/>
            <w:sz w:val="20"/>
            <w:szCs w:val="20"/>
          </w:rPr>
          <w:fldChar w:fldCharType="end"/>
        </w:r>
      </w:hyperlink>
    </w:p>
    <w:p w:rsidR="00873FEC" w:rsidRPr="000624C7" w:rsidRDefault="00B9342F" w:rsidP="00126E97">
      <w:pPr>
        <w:pStyle w:val="TOC4"/>
        <w:tabs>
          <w:tab w:val="right" w:leader="dot" w:pos="8828"/>
        </w:tabs>
        <w:spacing w:line="20" w:lineRule="atLeast"/>
        <w:jc w:val="both"/>
        <w:rPr>
          <w:rFonts w:ascii="Verdana" w:eastAsiaTheme="minorEastAsia" w:hAnsi="Verdana"/>
          <w:noProof/>
          <w:sz w:val="20"/>
          <w:szCs w:val="20"/>
          <w:lang w:val="es-CR" w:eastAsia="es-CR"/>
        </w:rPr>
      </w:pPr>
      <w:hyperlink w:anchor="_Toc525201208" w:history="1">
        <w:r w:rsidR="00873FEC" w:rsidRPr="000624C7">
          <w:rPr>
            <w:rStyle w:val="Hyperlink"/>
            <w:rFonts w:ascii="Verdana" w:eastAsia="Cambria" w:hAnsi="Verdana" w:cs="Times"/>
            <w:i/>
            <w:noProof/>
            <w:color w:val="auto"/>
            <w:sz w:val="20"/>
            <w:szCs w:val="20"/>
            <w:u w:val="none"/>
            <w:lang w:eastAsia="es-CR"/>
          </w:rPr>
          <w:t>C.2.4. Ampliación y asfalto de una carretera</w:t>
        </w:r>
        <w:r w:rsidR="00873FEC" w:rsidRPr="000624C7">
          <w:rPr>
            <w:rFonts w:ascii="Verdana" w:hAnsi="Verdana"/>
            <w:noProof/>
            <w:webHidden/>
            <w:sz w:val="20"/>
            <w:szCs w:val="20"/>
          </w:rPr>
          <w:tab/>
        </w:r>
        <w:r w:rsidR="00873FEC" w:rsidRPr="000624C7">
          <w:rPr>
            <w:rFonts w:ascii="Verdana" w:hAnsi="Verdana"/>
            <w:noProof/>
            <w:webHidden/>
            <w:sz w:val="20"/>
            <w:szCs w:val="20"/>
          </w:rPr>
          <w:fldChar w:fldCharType="begin"/>
        </w:r>
        <w:r w:rsidR="00873FEC" w:rsidRPr="000624C7">
          <w:rPr>
            <w:rFonts w:ascii="Verdana" w:hAnsi="Verdana"/>
            <w:noProof/>
            <w:webHidden/>
            <w:sz w:val="20"/>
            <w:szCs w:val="20"/>
          </w:rPr>
          <w:instrText xml:space="preserve"> PAGEREF _Toc525201208 \h </w:instrText>
        </w:r>
        <w:r w:rsidR="00873FEC" w:rsidRPr="000624C7">
          <w:rPr>
            <w:rFonts w:ascii="Verdana" w:hAnsi="Verdana"/>
            <w:noProof/>
            <w:webHidden/>
            <w:sz w:val="20"/>
            <w:szCs w:val="20"/>
          </w:rPr>
        </w:r>
        <w:r w:rsidR="00873FEC" w:rsidRPr="000624C7">
          <w:rPr>
            <w:rFonts w:ascii="Verdana" w:hAnsi="Verdana"/>
            <w:noProof/>
            <w:webHidden/>
            <w:sz w:val="20"/>
            <w:szCs w:val="20"/>
          </w:rPr>
          <w:fldChar w:fldCharType="separate"/>
        </w:r>
        <w:r>
          <w:rPr>
            <w:rFonts w:ascii="Verdana" w:hAnsi="Verdana"/>
            <w:noProof/>
            <w:webHidden/>
            <w:sz w:val="20"/>
            <w:szCs w:val="20"/>
          </w:rPr>
          <w:t>48</w:t>
        </w:r>
        <w:r w:rsidR="00873FEC" w:rsidRPr="000624C7">
          <w:rPr>
            <w:rFonts w:ascii="Verdana" w:hAnsi="Verdana"/>
            <w:noProof/>
            <w:webHidden/>
            <w:sz w:val="20"/>
            <w:szCs w:val="20"/>
          </w:rPr>
          <w:fldChar w:fldCharType="end"/>
        </w:r>
      </w:hyperlink>
    </w:p>
    <w:p w:rsidR="00873FEC" w:rsidRPr="000624C7" w:rsidRDefault="00B9342F" w:rsidP="00126E97">
      <w:pPr>
        <w:pStyle w:val="TOC4"/>
        <w:tabs>
          <w:tab w:val="right" w:leader="dot" w:pos="8828"/>
        </w:tabs>
        <w:spacing w:line="20" w:lineRule="atLeast"/>
        <w:jc w:val="both"/>
        <w:rPr>
          <w:rFonts w:ascii="Verdana" w:eastAsiaTheme="minorEastAsia" w:hAnsi="Verdana"/>
          <w:noProof/>
          <w:sz w:val="20"/>
          <w:szCs w:val="20"/>
          <w:lang w:val="es-CR" w:eastAsia="es-CR"/>
        </w:rPr>
      </w:pPr>
      <w:hyperlink w:anchor="_Toc525201209" w:history="1">
        <w:r w:rsidR="00873FEC" w:rsidRPr="000624C7">
          <w:rPr>
            <w:rStyle w:val="Hyperlink"/>
            <w:rFonts w:ascii="Verdana" w:eastAsia="Cambria" w:hAnsi="Verdana" w:cs="Times"/>
            <w:i/>
            <w:noProof/>
            <w:color w:val="auto"/>
            <w:sz w:val="20"/>
            <w:szCs w:val="20"/>
            <w:u w:val="none"/>
            <w:lang w:val="es-CR" w:eastAsia="es-CR"/>
          </w:rPr>
          <w:t>C.2.5. Visita de la Corte</w:t>
        </w:r>
        <w:r w:rsidR="00873FEC" w:rsidRPr="000624C7">
          <w:rPr>
            <w:rFonts w:ascii="Verdana" w:hAnsi="Verdana"/>
            <w:noProof/>
            <w:webHidden/>
            <w:sz w:val="20"/>
            <w:szCs w:val="20"/>
          </w:rPr>
          <w:tab/>
        </w:r>
        <w:r w:rsidR="00873FEC" w:rsidRPr="000624C7">
          <w:rPr>
            <w:rFonts w:ascii="Verdana" w:hAnsi="Verdana"/>
            <w:noProof/>
            <w:webHidden/>
            <w:sz w:val="20"/>
            <w:szCs w:val="20"/>
          </w:rPr>
          <w:fldChar w:fldCharType="begin"/>
        </w:r>
        <w:r w:rsidR="00873FEC" w:rsidRPr="000624C7">
          <w:rPr>
            <w:rFonts w:ascii="Verdana" w:hAnsi="Verdana"/>
            <w:noProof/>
            <w:webHidden/>
            <w:sz w:val="20"/>
            <w:szCs w:val="20"/>
          </w:rPr>
          <w:instrText xml:space="preserve"> PAGEREF _Toc525201209 \h </w:instrText>
        </w:r>
        <w:r w:rsidR="00873FEC" w:rsidRPr="000624C7">
          <w:rPr>
            <w:rFonts w:ascii="Verdana" w:hAnsi="Verdana"/>
            <w:noProof/>
            <w:webHidden/>
            <w:sz w:val="20"/>
            <w:szCs w:val="20"/>
          </w:rPr>
        </w:r>
        <w:r w:rsidR="00873FEC" w:rsidRPr="000624C7">
          <w:rPr>
            <w:rFonts w:ascii="Verdana" w:hAnsi="Verdana"/>
            <w:noProof/>
            <w:webHidden/>
            <w:sz w:val="20"/>
            <w:szCs w:val="20"/>
          </w:rPr>
          <w:fldChar w:fldCharType="separate"/>
        </w:r>
        <w:r>
          <w:rPr>
            <w:rFonts w:ascii="Verdana" w:hAnsi="Verdana"/>
            <w:noProof/>
            <w:webHidden/>
            <w:sz w:val="20"/>
            <w:szCs w:val="20"/>
          </w:rPr>
          <w:t>48</w:t>
        </w:r>
        <w:r w:rsidR="00873FEC" w:rsidRPr="000624C7">
          <w:rPr>
            <w:rFonts w:ascii="Verdana" w:hAnsi="Verdana"/>
            <w:noProof/>
            <w:webHidden/>
            <w:sz w:val="20"/>
            <w:szCs w:val="20"/>
          </w:rPr>
          <w:fldChar w:fldCharType="end"/>
        </w:r>
      </w:hyperlink>
    </w:p>
    <w:p w:rsidR="00873FEC" w:rsidRPr="000624C7" w:rsidRDefault="00B9342F" w:rsidP="00126E97">
      <w:pPr>
        <w:pStyle w:val="TOC2"/>
        <w:tabs>
          <w:tab w:val="left" w:pos="880"/>
          <w:tab w:val="right" w:leader="dot" w:pos="8828"/>
        </w:tabs>
        <w:spacing w:line="20" w:lineRule="atLeast"/>
        <w:jc w:val="both"/>
        <w:rPr>
          <w:rFonts w:ascii="Verdana" w:eastAsiaTheme="minorEastAsia" w:hAnsi="Verdana"/>
          <w:smallCaps w:val="0"/>
          <w:noProof/>
          <w:lang w:val="es-CR" w:eastAsia="es-CR"/>
        </w:rPr>
      </w:pPr>
      <w:hyperlink w:anchor="_Toc525201210" w:history="1">
        <w:r w:rsidR="00873FEC" w:rsidRPr="000624C7">
          <w:rPr>
            <w:rStyle w:val="Hyperlink"/>
            <w:rFonts w:ascii="Verdana" w:eastAsia="Cambria" w:hAnsi="Verdana" w:cs="Times"/>
            <w:i/>
            <w:noProof/>
            <w:color w:val="auto"/>
            <w:u w:val="none"/>
            <w:lang w:eastAsia="es-CR"/>
          </w:rPr>
          <w:t>D.</w:t>
        </w:r>
        <w:r w:rsidR="000624C7" w:rsidRPr="000624C7">
          <w:rPr>
            <w:rFonts w:ascii="Verdana" w:eastAsiaTheme="minorEastAsia" w:hAnsi="Verdana"/>
            <w:smallCaps w:val="0"/>
            <w:noProof/>
            <w:lang w:val="es-CR" w:eastAsia="es-CR"/>
          </w:rPr>
          <w:t xml:space="preserve"> </w:t>
        </w:r>
        <w:r w:rsidR="00873FEC" w:rsidRPr="000624C7">
          <w:rPr>
            <w:rStyle w:val="Hyperlink"/>
            <w:rFonts w:ascii="Verdana" w:eastAsia="Cambria" w:hAnsi="Verdana" w:cs="Times"/>
            <w:i/>
            <w:noProof/>
            <w:color w:val="auto"/>
            <w:u w:val="none"/>
            <w:lang w:eastAsia="es-CR"/>
          </w:rPr>
          <w:t>Otras medidas solicitadas</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_Toc525201210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48</w:t>
        </w:r>
        <w:r w:rsidR="00873FEC" w:rsidRPr="000624C7">
          <w:rPr>
            <w:rFonts w:ascii="Verdana" w:hAnsi="Verdana"/>
            <w:noProof/>
            <w:webHidden/>
          </w:rPr>
          <w:fldChar w:fldCharType="end"/>
        </w:r>
      </w:hyperlink>
    </w:p>
    <w:p w:rsidR="00873FEC" w:rsidRPr="000624C7" w:rsidRDefault="00B9342F" w:rsidP="00126E97">
      <w:pPr>
        <w:pStyle w:val="TOC2"/>
        <w:tabs>
          <w:tab w:val="left" w:pos="660"/>
          <w:tab w:val="right" w:leader="dot" w:pos="8828"/>
        </w:tabs>
        <w:spacing w:line="20" w:lineRule="atLeast"/>
        <w:jc w:val="both"/>
        <w:rPr>
          <w:rFonts w:ascii="Verdana" w:eastAsiaTheme="minorEastAsia" w:hAnsi="Verdana"/>
          <w:smallCaps w:val="0"/>
          <w:noProof/>
          <w:lang w:val="es-CR" w:eastAsia="es-CR"/>
        </w:rPr>
      </w:pPr>
      <w:hyperlink w:anchor="_Toc525201211" w:history="1">
        <w:r w:rsidR="00873FEC" w:rsidRPr="000624C7">
          <w:rPr>
            <w:rStyle w:val="Hyperlink"/>
            <w:rFonts w:ascii="Verdana" w:eastAsia="Batang" w:hAnsi="Verdana" w:cs="Times"/>
            <w:i/>
            <w:noProof/>
            <w:color w:val="auto"/>
            <w:u w:val="none"/>
            <w:lang w:val="es-CR" w:eastAsia="es-CR"/>
          </w:rPr>
          <w:t>E.Indemnizaciones compensatorias</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_Toc525201211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50</w:t>
        </w:r>
        <w:r w:rsidR="00873FEC" w:rsidRPr="000624C7">
          <w:rPr>
            <w:rFonts w:ascii="Verdana" w:hAnsi="Verdana"/>
            <w:noProof/>
            <w:webHidden/>
          </w:rPr>
          <w:fldChar w:fldCharType="end"/>
        </w:r>
      </w:hyperlink>
    </w:p>
    <w:p w:rsidR="00873FEC" w:rsidRPr="000624C7" w:rsidRDefault="00B9342F" w:rsidP="00126E97">
      <w:pPr>
        <w:pStyle w:val="TOC3"/>
        <w:tabs>
          <w:tab w:val="right" w:leader="dot" w:pos="8828"/>
        </w:tabs>
        <w:spacing w:line="20" w:lineRule="atLeast"/>
        <w:jc w:val="both"/>
        <w:rPr>
          <w:rFonts w:ascii="Verdana" w:eastAsiaTheme="minorEastAsia" w:hAnsi="Verdana"/>
          <w:i w:val="0"/>
          <w:iCs w:val="0"/>
          <w:noProof/>
          <w:lang w:val="es-CR" w:eastAsia="es-CR"/>
        </w:rPr>
      </w:pPr>
      <w:hyperlink w:anchor="_Toc525201212" w:history="1">
        <w:r w:rsidR="00873FEC" w:rsidRPr="000624C7">
          <w:rPr>
            <w:rStyle w:val="Hyperlink"/>
            <w:rFonts w:ascii="Verdana" w:eastAsia="Cambria" w:hAnsi="Verdana" w:cs="Times"/>
            <w:noProof/>
            <w:color w:val="auto"/>
            <w:u w:val="none"/>
            <w:lang w:val="en-US" w:eastAsia="es-CR"/>
          </w:rPr>
          <w:t>E.1. Daño material</w:t>
        </w:r>
        <w:r w:rsidR="00873FEC" w:rsidRPr="000624C7">
          <w:rPr>
            <w:rFonts w:ascii="Verdana" w:hAnsi="Verdana"/>
            <w:noProof/>
            <w:webHidden/>
          </w:rPr>
          <w:tab/>
        </w:r>
        <w:r w:rsidR="00873FEC" w:rsidRPr="001808D1">
          <w:rPr>
            <w:rFonts w:ascii="Verdana" w:hAnsi="Verdana"/>
            <w:i w:val="0"/>
            <w:noProof/>
            <w:webHidden/>
          </w:rPr>
          <w:fldChar w:fldCharType="begin"/>
        </w:r>
        <w:r w:rsidR="00873FEC" w:rsidRPr="001808D1">
          <w:rPr>
            <w:rFonts w:ascii="Verdana" w:hAnsi="Verdana"/>
            <w:i w:val="0"/>
            <w:noProof/>
            <w:webHidden/>
          </w:rPr>
          <w:instrText xml:space="preserve"> PAGEREF _Toc525201212 \h </w:instrText>
        </w:r>
        <w:r w:rsidR="00873FEC" w:rsidRPr="001808D1">
          <w:rPr>
            <w:rFonts w:ascii="Verdana" w:hAnsi="Verdana"/>
            <w:i w:val="0"/>
            <w:noProof/>
            <w:webHidden/>
          </w:rPr>
        </w:r>
        <w:r w:rsidR="00873FEC" w:rsidRPr="001808D1">
          <w:rPr>
            <w:rFonts w:ascii="Verdana" w:hAnsi="Verdana"/>
            <w:i w:val="0"/>
            <w:noProof/>
            <w:webHidden/>
          </w:rPr>
          <w:fldChar w:fldCharType="separate"/>
        </w:r>
        <w:r>
          <w:rPr>
            <w:rFonts w:ascii="Verdana" w:hAnsi="Verdana"/>
            <w:i w:val="0"/>
            <w:noProof/>
            <w:webHidden/>
          </w:rPr>
          <w:t>50</w:t>
        </w:r>
        <w:r w:rsidR="00873FEC" w:rsidRPr="001808D1">
          <w:rPr>
            <w:rFonts w:ascii="Verdana" w:hAnsi="Verdana"/>
            <w:i w:val="0"/>
            <w:noProof/>
            <w:webHidden/>
          </w:rPr>
          <w:fldChar w:fldCharType="end"/>
        </w:r>
      </w:hyperlink>
    </w:p>
    <w:p w:rsidR="00873FEC" w:rsidRPr="000624C7" w:rsidRDefault="00B9342F" w:rsidP="00126E97">
      <w:pPr>
        <w:pStyle w:val="TOC4"/>
        <w:tabs>
          <w:tab w:val="right" w:leader="dot" w:pos="8828"/>
        </w:tabs>
        <w:spacing w:line="20" w:lineRule="atLeast"/>
        <w:jc w:val="both"/>
        <w:rPr>
          <w:rFonts w:ascii="Verdana" w:eastAsiaTheme="minorEastAsia" w:hAnsi="Verdana"/>
          <w:noProof/>
          <w:sz w:val="20"/>
          <w:szCs w:val="20"/>
          <w:lang w:val="es-CR" w:eastAsia="es-CR"/>
        </w:rPr>
      </w:pPr>
      <w:hyperlink w:anchor="_Toc525201213" w:history="1">
        <w:r w:rsidR="00873FEC" w:rsidRPr="000624C7">
          <w:rPr>
            <w:rStyle w:val="Hyperlink"/>
            <w:rFonts w:ascii="Verdana" w:eastAsia="Cambria" w:hAnsi="Verdana" w:cs="Times"/>
            <w:i/>
            <w:noProof/>
            <w:color w:val="auto"/>
            <w:sz w:val="20"/>
            <w:szCs w:val="20"/>
            <w:u w:val="none"/>
            <w:lang w:eastAsia="es-CR"/>
          </w:rPr>
          <w:t>E.1.1. Daño Emergente</w:t>
        </w:r>
        <w:r w:rsidR="00873FEC" w:rsidRPr="000624C7">
          <w:rPr>
            <w:rFonts w:ascii="Verdana" w:hAnsi="Verdana"/>
            <w:noProof/>
            <w:webHidden/>
            <w:sz w:val="20"/>
            <w:szCs w:val="20"/>
          </w:rPr>
          <w:tab/>
        </w:r>
        <w:r w:rsidR="00873FEC" w:rsidRPr="000624C7">
          <w:rPr>
            <w:rFonts w:ascii="Verdana" w:hAnsi="Verdana"/>
            <w:noProof/>
            <w:webHidden/>
            <w:sz w:val="20"/>
            <w:szCs w:val="20"/>
          </w:rPr>
          <w:fldChar w:fldCharType="begin"/>
        </w:r>
        <w:r w:rsidR="00873FEC" w:rsidRPr="000624C7">
          <w:rPr>
            <w:rFonts w:ascii="Verdana" w:hAnsi="Verdana"/>
            <w:noProof/>
            <w:webHidden/>
            <w:sz w:val="20"/>
            <w:szCs w:val="20"/>
          </w:rPr>
          <w:instrText xml:space="preserve"> PAGEREF _Toc525201213 \h </w:instrText>
        </w:r>
        <w:r w:rsidR="00873FEC" w:rsidRPr="000624C7">
          <w:rPr>
            <w:rFonts w:ascii="Verdana" w:hAnsi="Verdana"/>
            <w:noProof/>
            <w:webHidden/>
            <w:sz w:val="20"/>
            <w:szCs w:val="20"/>
          </w:rPr>
        </w:r>
        <w:r w:rsidR="00873FEC" w:rsidRPr="000624C7">
          <w:rPr>
            <w:rFonts w:ascii="Verdana" w:hAnsi="Verdana"/>
            <w:noProof/>
            <w:webHidden/>
            <w:sz w:val="20"/>
            <w:szCs w:val="20"/>
          </w:rPr>
          <w:fldChar w:fldCharType="separate"/>
        </w:r>
        <w:r>
          <w:rPr>
            <w:rFonts w:ascii="Verdana" w:hAnsi="Verdana"/>
            <w:noProof/>
            <w:webHidden/>
            <w:sz w:val="20"/>
            <w:szCs w:val="20"/>
          </w:rPr>
          <w:t>51</w:t>
        </w:r>
        <w:r w:rsidR="00873FEC" w:rsidRPr="000624C7">
          <w:rPr>
            <w:rFonts w:ascii="Verdana" w:hAnsi="Verdana"/>
            <w:noProof/>
            <w:webHidden/>
            <w:sz w:val="20"/>
            <w:szCs w:val="20"/>
          </w:rPr>
          <w:fldChar w:fldCharType="end"/>
        </w:r>
      </w:hyperlink>
    </w:p>
    <w:p w:rsidR="00873FEC" w:rsidRPr="000624C7" w:rsidRDefault="00B9342F" w:rsidP="00126E97">
      <w:pPr>
        <w:pStyle w:val="TOC4"/>
        <w:tabs>
          <w:tab w:val="right" w:leader="dot" w:pos="8828"/>
        </w:tabs>
        <w:spacing w:line="20" w:lineRule="atLeast"/>
        <w:jc w:val="both"/>
        <w:rPr>
          <w:rFonts w:ascii="Verdana" w:eastAsiaTheme="minorEastAsia" w:hAnsi="Verdana"/>
          <w:noProof/>
          <w:sz w:val="20"/>
          <w:szCs w:val="20"/>
          <w:lang w:val="es-CR" w:eastAsia="es-CR"/>
        </w:rPr>
      </w:pPr>
      <w:hyperlink w:anchor="_Toc525201214" w:history="1">
        <w:r w:rsidR="00873FEC" w:rsidRPr="000624C7">
          <w:rPr>
            <w:rStyle w:val="Hyperlink"/>
            <w:rFonts w:ascii="Verdana" w:eastAsia="Cambria" w:hAnsi="Verdana" w:cs="Times"/>
            <w:i/>
            <w:noProof/>
            <w:color w:val="auto"/>
            <w:sz w:val="20"/>
            <w:szCs w:val="20"/>
            <w:u w:val="none"/>
            <w:lang w:eastAsia="es-CR"/>
          </w:rPr>
          <w:t>E.1.2. Lucro Cesante</w:t>
        </w:r>
        <w:r w:rsidR="00873FEC" w:rsidRPr="000624C7">
          <w:rPr>
            <w:rFonts w:ascii="Verdana" w:hAnsi="Verdana"/>
            <w:noProof/>
            <w:webHidden/>
            <w:sz w:val="20"/>
            <w:szCs w:val="20"/>
          </w:rPr>
          <w:tab/>
        </w:r>
        <w:r w:rsidR="00873FEC" w:rsidRPr="000624C7">
          <w:rPr>
            <w:rFonts w:ascii="Verdana" w:hAnsi="Verdana"/>
            <w:noProof/>
            <w:webHidden/>
            <w:sz w:val="20"/>
            <w:szCs w:val="20"/>
          </w:rPr>
          <w:fldChar w:fldCharType="begin"/>
        </w:r>
        <w:r w:rsidR="00873FEC" w:rsidRPr="000624C7">
          <w:rPr>
            <w:rFonts w:ascii="Verdana" w:hAnsi="Verdana"/>
            <w:noProof/>
            <w:webHidden/>
            <w:sz w:val="20"/>
            <w:szCs w:val="20"/>
          </w:rPr>
          <w:instrText xml:space="preserve"> PAGEREF _Toc525201214 \h </w:instrText>
        </w:r>
        <w:r w:rsidR="00873FEC" w:rsidRPr="000624C7">
          <w:rPr>
            <w:rFonts w:ascii="Verdana" w:hAnsi="Verdana"/>
            <w:noProof/>
            <w:webHidden/>
            <w:sz w:val="20"/>
            <w:szCs w:val="20"/>
          </w:rPr>
        </w:r>
        <w:r w:rsidR="00873FEC" w:rsidRPr="000624C7">
          <w:rPr>
            <w:rFonts w:ascii="Verdana" w:hAnsi="Verdana"/>
            <w:noProof/>
            <w:webHidden/>
            <w:sz w:val="20"/>
            <w:szCs w:val="20"/>
          </w:rPr>
          <w:fldChar w:fldCharType="separate"/>
        </w:r>
        <w:r>
          <w:rPr>
            <w:rFonts w:ascii="Verdana" w:hAnsi="Verdana"/>
            <w:noProof/>
            <w:webHidden/>
            <w:sz w:val="20"/>
            <w:szCs w:val="20"/>
          </w:rPr>
          <w:t>51</w:t>
        </w:r>
        <w:r w:rsidR="00873FEC" w:rsidRPr="000624C7">
          <w:rPr>
            <w:rFonts w:ascii="Verdana" w:hAnsi="Verdana"/>
            <w:noProof/>
            <w:webHidden/>
            <w:sz w:val="20"/>
            <w:szCs w:val="20"/>
          </w:rPr>
          <w:fldChar w:fldCharType="end"/>
        </w:r>
      </w:hyperlink>
    </w:p>
    <w:p w:rsidR="00873FEC" w:rsidRPr="000624C7" w:rsidRDefault="00B9342F" w:rsidP="00126E97">
      <w:pPr>
        <w:pStyle w:val="TOC3"/>
        <w:tabs>
          <w:tab w:val="right" w:leader="dot" w:pos="8828"/>
        </w:tabs>
        <w:spacing w:line="20" w:lineRule="atLeast"/>
        <w:jc w:val="both"/>
        <w:rPr>
          <w:rFonts w:ascii="Verdana" w:eastAsiaTheme="minorEastAsia" w:hAnsi="Verdana"/>
          <w:i w:val="0"/>
          <w:iCs w:val="0"/>
          <w:noProof/>
          <w:lang w:val="es-CR" w:eastAsia="es-CR"/>
        </w:rPr>
      </w:pPr>
      <w:hyperlink w:anchor="_Toc525201215" w:history="1">
        <w:r w:rsidR="00873FEC" w:rsidRPr="000624C7">
          <w:rPr>
            <w:rStyle w:val="Hyperlink"/>
            <w:rFonts w:ascii="Verdana" w:eastAsia="Cambria" w:hAnsi="Verdana" w:cs="Times"/>
            <w:noProof/>
            <w:color w:val="auto"/>
            <w:u w:val="none"/>
            <w:lang w:val="en-US" w:eastAsia="es-CR"/>
          </w:rPr>
          <w:t>E.2. Daño inmaterial</w:t>
        </w:r>
        <w:r w:rsidR="00873FEC" w:rsidRPr="000624C7">
          <w:rPr>
            <w:rFonts w:ascii="Verdana" w:hAnsi="Verdana"/>
            <w:noProof/>
            <w:webHidden/>
          </w:rPr>
          <w:tab/>
        </w:r>
        <w:r w:rsidR="00873FEC" w:rsidRPr="001808D1">
          <w:rPr>
            <w:rFonts w:ascii="Verdana" w:hAnsi="Verdana"/>
            <w:i w:val="0"/>
            <w:noProof/>
            <w:webHidden/>
          </w:rPr>
          <w:fldChar w:fldCharType="begin"/>
        </w:r>
        <w:r w:rsidR="00873FEC" w:rsidRPr="001808D1">
          <w:rPr>
            <w:rFonts w:ascii="Verdana" w:hAnsi="Verdana"/>
            <w:i w:val="0"/>
            <w:noProof/>
            <w:webHidden/>
          </w:rPr>
          <w:instrText xml:space="preserve"> PAGEREF _Toc525201215 \h </w:instrText>
        </w:r>
        <w:r w:rsidR="00873FEC" w:rsidRPr="001808D1">
          <w:rPr>
            <w:rFonts w:ascii="Verdana" w:hAnsi="Verdana"/>
            <w:i w:val="0"/>
            <w:noProof/>
            <w:webHidden/>
          </w:rPr>
        </w:r>
        <w:r w:rsidR="00873FEC" w:rsidRPr="001808D1">
          <w:rPr>
            <w:rFonts w:ascii="Verdana" w:hAnsi="Verdana"/>
            <w:i w:val="0"/>
            <w:noProof/>
            <w:webHidden/>
          </w:rPr>
          <w:fldChar w:fldCharType="separate"/>
        </w:r>
        <w:r>
          <w:rPr>
            <w:rFonts w:ascii="Verdana" w:hAnsi="Verdana"/>
            <w:i w:val="0"/>
            <w:noProof/>
            <w:webHidden/>
          </w:rPr>
          <w:t>53</w:t>
        </w:r>
        <w:r w:rsidR="00873FEC" w:rsidRPr="001808D1">
          <w:rPr>
            <w:rFonts w:ascii="Verdana" w:hAnsi="Verdana"/>
            <w:i w:val="0"/>
            <w:noProof/>
            <w:webHidden/>
          </w:rPr>
          <w:fldChar w:fldCharType="end"/>
        </w:r>
      </w:hyperlink>
    </w:p>
    <w:p w:rsidR="00873FEC" w:rsidRPr="000624C7" w:rsidRDefault="00B9342F" w:rsidP="00126E97">
      <w:pPr>
        <w:pStyle w:val="TOC2"/>
        <w:tabs>
          <w:tab w:val="left" w:pos="660"/>
          <w:tab w:val="right" w:leader="dot" w:pos="8828"/>
        </w:tabs>
        <w:spacing w:line="20" w:lineRule="atLeast"/>
        <w:jc w:val="both"/>
        <w:rPr>
          <w:rFonts w:ascii="Verdana" w:eastAsiaTheme="minorEastAsia" w:hAnsi="Verdana"/>
          <w:smallCaps w:val="0"/>
          <w:noProof/>
          <w:lang w:val="es-CR" w:eastAsia="es-CR"/>
        </w:rPr>
      </w:pPr>
      <w:hyperlink w:anchor="_Toc525201216" w:history="1">
        <w:r w:rsidR="00873FEC" w:rsidRPr="000624C7">
          <w:rPr>
            <w:rStyle w:val="Hyperlink"/>
            <w:rFonts w:ascii="Verdana" w:eastAsia="Cambria" w:hAnsi="Verdana" w:cs="Times"/>
            <w:i/>
            <w:noProof/>
            <w:color w:val="auto"/>
            <w:u w:val="none"/>
            <w:lang w:eastAsia="es-CR"/>
          </w:rPr>
          <w:t>F.</w:t>
        </w:r>
        <w:r w:rsidR="000624C7" w:rsidRPr="000624C7">
          <w:rPr>
            <w:rFonts w:ascii="Verdana" w:eastAsiaTheme="minorEastAsia" w:hAnsi="Verdana"/>
            <w:smallCaps w:val="0"/>
            <w:noProof/>
            <w:lang w:val="es-CR" w:eastAsia="es-CR"/>
          </w:rPr>
          <w:t xml:space="preserve"> </w:t>
        </w:r>
        <w:r w:rsidR="00873FEC" w:rsidRPr="000624C7">
          <w:rPr>
            <w:rStyle w:val="Hyperlink"/>
            <w:rFonts w:ascii="Verdana" w:eastAsia="Cambria" w:hAnsi="Verdana" w:cs="Times"/>
            <w:i/>
            <w:noProof/>
            <w:color w:val="auto"/>
            <w:u w:val="none"/>
            <w:lang w:val="en-US" w:eastAsia="es-CR"/>
          </w:rPr>
          <w:t>Costas y Gastos</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_Toc525201216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55</w:t>
        </w:r>
        <w:r w:rsidR="00873FEC" w:rsidRPr="000624C7">
          <w:rPr>
            <w:rFonts w:ascii="Verdana" w:hAnsi="Verdana"/>
            <w:noProof/>
            <w:webHidden/>
          </w:rPr>
          <w:fldChar w:fldCharType="end"/>
        </w:r>
      </w:hyperlink>
    </w:p>
    <w:p w:rsidR="00873FEC" w:rsidRPr="000624C7" w:rsidRDefault="00B9342F" w:rsidP="00126E97">
      <w:pPr>
        <w:pStyle w:val="TOC2"/>
        <w:tabs>
          <w:tab w:val="left" w:pos="880"/>
          <w:tab w:val="right" w:leader="dot" w:pos="8828"/>
        </w:tabs>
        <w:spacing w:line="20" w:lineRule="atLeast"/>
        <w:jc w:val="both"/>
        <w:rPr>
          <w:rFonts w:ascii="Verdana" w:eastAsiaTheme="minorEastAsia" w:hAnsi="Verdana"/>
          <w:smallCaps w:val="0"/>
          <w:noProof/>
          <w:lang w:val="es-CR" w:eastAsia="es-CR"/>
        </w:rPr>
      </w:pPr>
      <w:hyperlink w:anchor="_Toc525201217" w:history="1">
        <w:r w:rsidR="00873FEC" w:rsidRPr="000624C7">
          <w:rPr>
            <w:rStyle w:val="Hyperlink"/>
            <w:rFonts w:ascii="Verdana" w:eastAsia="Cambria" w:hAnsi="Verdana" w:cs="Times"/>
            <w:i/>
            <w:noProof/>
            <w:color w:val="auto"/>
            <w:u w:val="none"/>
            <w:lang w:val="es-CR" w:eastAsia="es-CR"/>
          </w:rPr>
          <w:t>G.</w:t>
        </w:r>
        <w:r w:rsidR="000624C7" w:rsidRPr="000624C7">
          <w:rPr>
            <w:rFonts w:ascii="Verdana" w:eastAsiaTheme="minorEastAsia" w:hAnsi="Verdana"/>
            <w:smallCaps w:val="0"/>
            <w:noProof/>
            <w:lang w:val="es-CR" w:eastAsia="es-CR"/>
          </w:rPr>
          <w:t xml:space="preserve"> </w:t>
        </w:r>
        <w:r w:rsidR="00873FEC" w:rsidRPr="000624C7">
          <w:rPr>
            <w:rStyle w:val="Hyperlink"/>
            <w:rFonts w:ascii="Verdana" w:eastAsia="Cambria" w:hAnsi="Verdana" w:cs="Times"/>
            <w:i/>
            <w:noProof/>
            <w:color w:val="auto"/>
            <w:u w:val="none"/>
            <w:lang w:val="es-CR" w:eastAsia="es-CR"/>
          </w:rPr>
          <w:t>Modalidad de cumplimiento de los pagos ordenados</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_Toc525201217 \h </w:instrText>
        </w:r>
        <w:r w:rsidR="00873FEC" w:rsidRPr="000624C7">
          <w:rPr>
            <w:rFonts w:ascii="Verdana" w:hAnsi="Verdana"/>
            <w:noProof/>
            <w:webHidden/>
          </w:rPr>
        </w:r>
        <w:r w:rsidR="00873FEC" w:rsidRPr="000624C7">
          <w:rPr>
            <w:rFonts w:ascii="Verdana" w:hAnsi="Verdana"/>
            <w:noProof/>
            <w:webHidden/>
          </w:rPr>
          <w:fldChar w:fldCharType="separate"/>
        </w:r>
        <w:r>
          <w:rPr>
            <w:rFonts w:ascii="Verdana" w:hAnsi="Verdana"/>
            <w:noProof/>
            <w:webHidden/>
          </w:rPr>
          <w:t>56</w:t>
        </w:r>
        <w:r w:rsidR="00873FEC" w:rsidRPr="000624C7">
          <w:rPr>
            <w:rFonts w:ascii="Verdana" w:hAnsi="Verdana"/>
            <w:noProof/>
            <w:webHidden/>
          </w:rPr>
          <w:fldChar w:fldCharType="end"/>
        </w:r>
      </w:hyperlink>
    </w:p>
    <w:p w:rsidR="00873FEC" w:rsidRPr="000624C7" w:rsidRDefault="001E3D1E" w:rsidP="00126E97">
      <w:pPr>
        <w:pStyle w:val="TOC1"/>
        <w:tabs>
          <w:tab w:val="right" w:leader="dot" w:pos="8828"/>
        </w:tabs>
        <w:spacing w:before="0" w:after="0" w:line="20" w:lineRule="atLeast"/>
        <w:jc w:val="both"/>
        <w:rPr>
          <w:rFonts w:ascii="Verdana" w:eastAsiaTheme="minorEastAsia" w:hAnsi="Verdana"/>
          <w:b w:val="0"/>
          <w:bCs w:val="0"/>
          <w:caps w:val="0"/>
          <w:noProof/>
          <w:lang w:val="es-CR" w:eastAsia="es-CR"/>
        </w:rPr>
      </w:pPr>
      <w:r w:rsidRPr="001E3D1E">
        <w:rPr>
          <w:rFonts w:ascii="Verdana" w:hAnsi="Verdana"/>
        </w:rPr>
        <w:t>I</w:t>
      </w:r>
      <w:hyperlink w:anchor="_Toc525201218" w:history="1">
        <w:r w:rsidR="00873FEC" w:rsidRPr="000624C7">
          <w:rPr>
            <w:rStyle w:val="Hyperlink"/>
            <w:rFonts w:ascii="Verdana" w:eastAsia="Calibri" w:hAnsi="Verdana" w:cs="Times"/>
            <w:noProof/>
            <w:color w:val="auto"/>
            <w:u w:val="none"/>
            <w:lang w:eastAsia="es-CR"/>
          </w:rPr>
          <w:t>X</w:t>
        </w:r>
      </w:hyperlink>
      <w:r w:rsidR="000624C7" w:rsidRPr="000624C7">
        <w:rPr>
          <w:rStyle w:val="Hyperlink"/>
          <w:rFonts w:ascii="Verdana" w:hAnsi="Verdana"/>
          <w:noProof/>
          <w:color w:val="auto"/>
          <w:u w:val="none"/>
        </w:rPr>
        <w:t xml:space="preserve"> </w:t>
      </w:r>
      <w:hyperlink w:anchor="_Toc525201219" w:history="1">
        <w:r w:rsidR="00873FEC" w:rsidRPr="000624C7">
          <w:rPr>
            <w:rStyle w:val="Hyperlink"/>
            <w:rFonts w:ascii="Verdana" w:eastAsia="Calibri" w:hAnsi="Verdana" w:cs="Times"/>
            <w:noProof/>
            <w:color w:val="auto"/>
            <w:u w:val="none"/>
            <w:lang w:eastAsia="es-CR"/>
          </w:rPr>
          <w:t>PUNTOS RESOLUTIVOS</w:t>
        </w:r>
        <w:r w:rsidR="00873FEC" w:rsidRPr="000624C7">
          <w:rPr>
            <w:rFonts w:ascii="Verdana" w:hAnsi="Verdana"/>
            <w:noProof/>
            <w:webHidden/>
          </w:rPr>
          <w:tab/>
        </w:r>
        <w:r w:rsidR="00873FEC" w:rsidRPr="000624C7">
          <w:rPr>
            <w:rFonts w:ascii="Verdana" w:hAnsi="Verdana"/>
            <w:noProof/>
            <w:webHidden/>
          </w:rPr>
          <w:fldChar w:fldCharType="begin"/>
        </w:r>
        <w:r w:rsidR="00873FEC" w:rsidRPr="000624C7">
          <w:rPr>
            <w:rFonts w:ascii="Verdana" w:hAnsi="Verdana"/>
            <w:noProof/>
            <w:webHidden/>
          </w:rPr>
          <w:instrText xml:space="preserve"> PAGEREF _Toc525201219 \h </w:instrText>
        </w:r>
        <w:r w:rsidR="00873FEC" w:rsidRPr="000624C7">
          <w:rPr>
            <w:rFonts w:ascii="Verdana" w:hAnsi="Verdana"/>
            <w:noProof/>
            <w:webHidden/>
          </w:rPr>
        </w:r>
        <w:r w:rsidR="00873FEC" w:rsidRPr="000624C7">
          <w:rPr>
            <w:rFonts w:ascii="Verdana" w:hAnsi="Verdana"/>
            <w:noProof/>
            <w:webHidden/>
          </w:rPr>
          <w:fldChar w:fldCharType="separate"/>
        </w:r>
        <w:r w:rsidR="00B9342F">
          <w:rPr>
            <w:rFonts w:ascii="Verdana" w:hAnsi="Verdana"/>
            <w:noProof/>
            <w:webHidden/>
          </w:rPr>
          <w:t>57</w:t>
        </w:r>
        <w:r w:rsidR="00873FEC" w:rsidRPr="000624C7">
          <w:rPr>
            <w:rFonts w:ascii="Verdana" w:hAnsi="Verdana"/>
            <w:noProof/>
            <w:webHidden/>
          </w:rPr>
          <w:fldChar w:fldCharType="end"/>
        </w:r>
      </w:hyperlink>
    </w:p>
    <w:p w:rsidR="00595BC3" w:rsidRPr="00873FEC" w:rsidRDefault="00595BC3" w:rsidP="00126E97">
      <w:pPr>
        <w:tabs>
          <w:tab w:val="right" w:pos="9214"/>
        </w:tabs>
        <w:spacing w:after="0" w:line="20" w:lineRule="atLeast"/>
        <w:ind w:right="-283"/>
        <w:jc w:val="both"/>
        <w:rPr>
          <w:rFonts w:ascii="Verdana" w:eastAsia="Batang" w:hAnsi="Verdana" w:cs="Times"/>
          <w:b/>
          <w:sz w:val="20"/>
          <w:szCs w:val="24"/>
          <w:lang w:val="es-CR" w:eastAsia="es-CR"/>
        </w:rPr>
      </w:pPr>
      <w:r w:rsidRPr="000624C7">
        <w:rPr>
          <w:rFonts w:ascii="Verdana" w:eastAsia="Batang" w:hAnsi="Verdana" w:cs="Times"/>
          <w:b/>
          <w:sz w:val="20"/>
          <w:szCs w:val="20"/>
          <w:lang w:val="es-CR" w:eastAsia="es-CR"/>
        </w:rPr>
        <w:fldChar w:fldCharType="end"/>
      </w:r>
    </w:p>
    <w:p w:rsidR="00595BC3" w:rsidRPr="00873FEC" w:rsidRDefault="00595BC3" w:rsidP="00126E97">
      <w:pPr>
        <w:tabs>
          <w:tab w:val="right" w:pos="9214"/>
        </w:tabs>
        <w:spacing w:after="0" w:line="20" w:lineRule="atLeast"/>
        <w:ind w:right="-283"/>
        <w:jc w:val="center"/>
        <w:rPr>
          <w:rFonts w:ascii="Verdana" w:eastAsia="Batang" w:hAnsi="Verdana" w:cs="Times"/>
          <w:b/>
          <w:sz w:val="20"/>
          <w:szCs w:val="24"/>
          <w:lang w:val="es-CR" w:eastAsia="es-CR"/>
        </w:rPr>
      </w:pPr>
      <w:r w:rsidRPr="00873FEC">
        <w:rPr>
          <w:rFonts w:ascii="Verdana" w:eastAsia="Batang" w:hAnsi="Verdana" w:cs="Times"/>
          <w:b/>
          <w:sz w:val="20"/>
          <w:szCs w:val="24"/>
          <w:lang w:val="es-CR" w:eastAsia="es-CR"/>
        </w:rPr>
        <w:br w:type="page"/>
      </w:r>
    </w:p>
    <w:p w:rsidR="00595BC3" w:rsidRPr="00873FEC" w:rsidRDefault="00595BC3" w:rsidP="00126E97">
      <w:pPr>
        <w:tabs>
          <w:tab w:val="right" w:pos="9214"/>
        </w:tabs>
        <w:spacing w:after="0" w:line="20" w:lineRule="atLeast"/>
        <w:ind w:right="-283"/>
        <w:jc w:val="center"/>
        <w:rPr>
          <w:rFonts w:ascii="Verdana" w:eastAsia="Batang" w:hAnsi="Verdana" w:cs="Times"/>
          <w:b/>
          <w:sz w:val="20"/>
          <w:szCs w:val="24"/>
          <w:lang w:val="es-CR" w:eastAsia="es-CR"/>
        </w:rPr>
      </w:pPr>
    </w:p>
    <w:p w:rsidR="006166D8" w:rsidRPr="00873FEC" w:rsidRDefault="006166D8" w:rsidP="00126E97">
      <w:pPr>
        <w:pStyle w:val="Heading1"/>
        <w:spacing w:before="0" w:line="20" w:lineRule="atLeast"/>
        <w:jc w:val="center"/>
        <w:rPr>
          <w:rFonts w:ascii="Verdana" w:eastAsia="Batang" w:hAnsi="Verdana" w:cs="Times"/>
          <w:color w:val="auto"/>
          <w:sz w:val="20"/>
          <w:szCs w:val="20"/>
          <w:lang w:val="es-CR" w:eastAsia="es-CR"/>
        </w:rPr>
      </w:pPr>
      <w:bookmarkStart w:id="0" w:name="_Toc525201143"/>
      <w:r w:rsidRPr="00873FEC">
        <w:rPr>
          <w:rFonts w:ascii="Verdana" w:eastAsia="Batang" w:hAnsi="Verdana" w:cs="Times"/>
          <w:color w:val="auto"/>
          <w:sz w:val="20"/>
          <w:szCs w:val="24"/>
          <w:lang w:val="es-CR" w:eastAsia="es-CR"/>
        </w:rPr>
        <w:t>I.</w:t>
      </w:r>
      <w:r w:rsidRPr="00873FEC">
        <w:rPr>
          <w:rFonts w:ascii="Verdana" w:eastAsia="Batang" w:hAnsi="Verdana" w:cs="Times"/>
          <w:color w:val="auto"/>
          <w:sz w:val="20"/>
          <w:szCs w:val="24"/>
          <w:lang w:val="es-CR" w:eastAsia="es-CR"/>
        </w:rPr>
        <w:br/>
        <w:t>INTRODUCCIÓN DE LA CAUSA Y OBJETO DE LA CONTROVERSIA</w:t>
      </w:r>
      <w:bookmarkEnd w:id="0"/>
    </w:p>
    <w:p w:rsidR="006166D8" w:rsidRPr="00873FEC" w:rsidRDefault="006166D8" w:rsidP="00126E97">
      <w:pPr>
        <w:spacing w:after="0" w:line="20" w:lineRule="atLeast"/>
        <w:jc w:val="both"/>
        <w:rPr>
          <w:rFonts w:ascii="Verdana" w:eastAsia="Batang" w:hAnsi="Verdana" w:cs="Times"/>
          <w:sz w:val="20"/>
          <w:szCs w:val="24"/>
          <w:lang w:val="es-CR" w:eastAsia="es-CR"/>
        </w:rPr>
      </w:pPr>
    </w:p>
    <w:p w:rsidR="006166D8" w:rsidRPr="00873FEC" w:rsidRDefault="006166D8" w:rsidP="00126E97">
      <w:pPr>
        <w:numPr>
          <w:ilvl w:val="0"/>
          <w:numId w:val="3"/>
        </w:numPr>
        <w:spacing w:after="0" w:line="20" w:lineRule="atLeast"/>
        <w:ind w:right="6"/>
        <w:jc w:val="both"/>
        <w:rPr>
          <w:rFonts w:ascii="Verdana" w:eastAsia="Batang" w:hAnsi="Verdana" w:cs="Times"/>
          <w:sz w:val="20"/>
          <w:szCs w:val="20"/>
          <w:lang w:val="es-CR" w:eastAsia="es-CR"/>
        </w:rPr>
      </w:pPr>
      <w:r w:rsidRPr="00873FEC">
        <w:rPr>
          <w:rFonts w:ascii="Verdana" w:eastAsia="Batang" w:hAnsi="Verdana" w:cs="Times"/>
          <w:i/>
          <w:sz w:val="20"/>
          <w:szCs w:val="20"/>
          <w:lang w:eastAsia="es-CR"/>
        </w:rPr>
        <w:t xml:space="preserve">El caso </w:t>
      </w:r>
      <w:r w:rsidRPr="00873FEC">
        <w:rPr>
          <w:rFonts w:ascii="Verdana" w:eastAsia="Batang" w:hAnsi="Verdana" w:cs="Times"/>
          <w:i/>
          <w:sz w:val="20"/>
          <w:szCs w:val="20"/>
          <w:lang w:val="es-CR" w:eastAsia="es-CR"/>
        </w:rPr>
        <w:t>sometido</w:t>
      </w:r>
      <w:r w:rsidRPr="00873FEC">
        <w:rPr>
          <w:rFonts w:ascii="Verdana" w:eastAsia="Batang" w:hAnsi="Verdana" w:cs="Times"/>
          <w:i/>
          <w:sz w:val="20"/>
          <w:szCs w:val="20"/>
          <w:lang w:eastAsia="es-CR"/>
        </w:rPr>
        <w:t xml:space="preserve"> a la Corte. </w:t>
      </w:r>
      <w:r w:rsidRPr="00873FEC">
        <w:rPr>
          <w:rFonts w:ascii="Verdana" w:eastAsia="Calibri" w:hAnsi="Verdana" w:cs="Times"/>
          <w:sz w:val="20"/>
          <w:szCs w:val="20"/>
          <w:lang w:eastAsia="es-CR"/>
        </w:rPr>
        <w:t xml:space="preserve">– </w:t>
      </w:r>
      <w:r w:rsidRPr="00873FEC">
        <w:rPr>
          <w:rFonts w:ascii="Verdana" w:eastAsia="Batang" w:hAnsi="Verdana" w:cs="Times"/>
          <w:sz w:val="20"/>
          <w:szCs w:val="20"/>
          <w:lang w:val="es-CR" w:eastAsia="es-CR"/>
        </w:rPr>
        <w:t xml:space="preserve">El 21 de septiembre de 2016 la Comisión Interamericana de Derechos Humanos (en adelante también “la Comisión Interamericana” o “la Comisión”) sometió a la Corte el caso </w:t>
      </w:r>
      <w:proofErr w:type="spellStart"/>
      <w:r w:rsidRPr="00873FEC">
        <w:rPr>
          <w:rFonts w:ascii="Verdana" w:eastAsia="Batang" w:hAnsi="Verdana" w:cs="Times"/>
          <w:i/>
          <w:sz w:val="20"/>
          <w:szCs w:val="20"/>
          <w:lang w:val="es-CR" w:eastAsia="es-CR"/>
        </w:rPr>
        <w:t>Coc</w:t>
      </w:r>
      <w:proofErr w:type="spellEnd"/>
      <w:r w:rsidRPr="00873FEC">
        <w:rPr>
          <w:rFonts w:ascii="Verdana" w:eastAsia="Batang" w:hAnsi="Verdana" w:cs="Times"/>
          <w:i/>
          <w:sz w:val="20"/>
          <w:szCs w:val="20"/>
          <w:lang w:val="es-CR" w:eastAsia="es-CR"/>
        </w:rPr>
        <w:t xml:space="preserve"> Max y otros (Masacre de </w:t>
      </w:r>
      <w:proofErr w:type="spellStart"/>
      <w:r w:rsidRPr="00873FEC">
        <w:rPr>
          <w:rFonts w:ascii="Verdana" w:eastAsia="Batang" w:hAnsi="Verdana" w:cs="Times"/>
          <w:i/>
          <w:sz w:val="20"/>
          <w:szCs w:val="20"/>
          <w:lang w:val="es-CR" w:eastAsia="es-CR"/>
        </w:rPr>
        <w:t>Xamán</w:t>
      </w:r>
      <w:proofErr w:type="spellEnd"/>
      <w:r w:rsidRPr="00873FEC">
        <w:rPr>
          <w:rFonts w:ascii="Verdana" w:eastAsia="Batang" w:hAnsi="Verdana" w:cs="Times"/>
          <w:i/>
          <w:sz w:val="20"/>
          <w:szCs w:val="20"/>
          <w:lang w:val="es-CR" w:eastAsia="es-CR"/>
        </w:rPr>
        <w:t>) contra la República de Guatemala</w:t>
      </w:r>
      <w:r w:rsidRPr="00873FEC">
        <w:rPr>
          <w:rFonts w:ascii="Verdana" w:eastAsia="Batang" w:hAnsi="Verdana" w:cs="Times"/>
          <w:sz w:val="20"/>
          <w:szCs w:val="20"/>
          <w:lang w:val="es-CR" w:eastAsia="es-CR"/>
        </w:rPr>
        <w:t>.</w:t>
      </w:r>
      <w:r w:rsidRPr="00873FEC">
        <w:rPr>
          <w:rFonts w:ascii="Verdana" w:eastAsia="Batang" w:hAnsi="Verdana" w:cs="Times"/>
          <w:color w:val="000000"/>
          <w:sz w:val="20"/>
          <w:szCs w:val="20"/>
          <w:lang w:val="es-CR" w:eastAsia="es-CR"/>
        </w:rPr>
        <w:t xml:space="preserve"> De acuerdo con lo indicado por la Comisión, </w:t>
      </w:r>
      <w:r w:rsidRPr="00873FEC">
        <w:rPr>
          <w:rFonts w:ascii="Verdana" w:eastAsia="Batang" w:hAnsi="Verdana" w:cs="Times"/>
          <w:sz w:val="20"/>
          <w:szCs w:val="20"/>
          <w:lang w:val="es-CR" w:eastAsia="es-CR"/>
        </w:rPr>
        <w:t xml:space="preserve">el caso se refiere a la presunta ejecución de una “masacre” por miembros de las Fuerzas Armadas de la República de Guatemala el 5 de octubre de 1995 en contra de 11 personas, incluyendo una niña y dos niños, que formaban parte de la población indígena </w:t>
      </w:r>
      <w:proofErr w:type="spellStart"/>
      <w:r w:rsidRPr="00873FEC">
        <w:rPr>
          <w:rFonts w:ascii="Verdana" w:eastAsia="Batang" w:hAnsi="Verdana" w:cs="Times"/>
          <w:sz w:val="20"/>
          <w:szCs w:val="20"/>
          <w:lang w:val="es-CR" w:eastAsia="es-CR"/>
        </w:rPr>
        <w:t>q'eqchi</w:t>
      </w:r>
      <w:proofErr w:type="spellEnd"/>
      <w:r w:rsidRPr="00873FEC">
        <w:rPr>
          <w:rFonts w:ascii="Verdana" w:eastAsia="Batang" w:hAnsi="Verdana" w:cs="Times"/>
          <w:sz w:val="20"/>
          <w:szCs w:val="20"/>
          <w:lang w:val="es-CR" w:eastAsia="es-CR"/>
        </w:rPr>
        <w:t xml:space="preserve">', </w:t>
      </w:r>
      <w:proofErr w:type="spellStart"/>
      <w:r w:rsidRPr="00873FEC">
        <w:rPr>
          <w:rFonts w:ascii="Verdana" w:eastAsia="Batang" w:hAnsi="Verdana" w:cs="Times"/>
          <w:sz w:val="20"/>
          <w:szCs w:val="20"/>
          <w:lang w:val="es-CR" w:eastAsia="es-CR"/>
        </w:rPr>
        <w:t>mam</w:t>
      </w:r>
      <w:proofErr w:type="spellEnd"/>
      <w:r w:rsidRPr="00873FEC">
        <w:rPr>
          <w:rFonts w:ascii="Verdana" w:eastAsia="Batang" w:hAnsi="Verdana" w:cs="Times"/>
          <w:sz w:val="20"/>
          <w:szCs w:val="20"/>
          <w:lang w:val="es-CR" w:eastAsia="es-CR"/>
        </w:rPr>
        <w:t xml:space="preserve">, </w:t>
      </w:r>
      <w:proofErr w:type="spellStart"/>
      <w:r w:rsidRPr="00873FEC">
        <w:rPr>
          <w:rFonts w:ascii="Verdana" w:eastAsia="Batang" w:hAnsi="Verdana" w:cs="Times"/>
          <w:sz w:val="20"/>
          <w:szCs w:val="20"/>
          <w:lang w:val="es-CR" w:eastAsia="es-CR"/>
        </w:rPr>
        <w:t>q'anjob'al</w:t>
      </w:r>
      <w:proofErr w:type="spellEnd"/>
      <w:r w:rsidRPr="00873FEC">
        <w:rPr>
          <w:rFonts w:ascii="Verdana" w:eastAsia="Batang" w:hAnsi="Verdana" w:cs="Times"/>
          <w:sz w:val="20"/>
          <w:szCs w:val="20"/>
          <w:lang w:val="es-CR" w:eastAsia="es-CR"/>
        </w:rPr>
        <w:t xml:space="preserve">, </w:t>
      </w:r>
      <w:proofErr w:type="spellStart"/>
      <w:r w:rsidRPr="00873FEC">
        <w:rPr>
          <w:rFonts w:ascii="Verdana" w:eastAsia="Batang" w:hAnsi="Verdana" w:cs="Times"/>
          <w:sz w:val="20"/>
          <w:szCs w:val="20"/>
          <w:lang w:val="es-CR" w:eastAsia="es-CR"/>
        </w:rPr>
        <w:t>ixil</w:t>
      </w:r>
      <w:proofErr w:type="spellEnd"/>
      <w:r w:rsidRPr="00873FEC">
        <w:rPr>
          <w:rFonts w:ascii="Verdana" w:eastAsia="Batang" w:hAnsi="Verdana" w:cs="Times"/>
          <w:sz w:val="20"/>
          <w:szCs w:val="20"/>
          <w:lang w:val="es-CR" w:eastAsia="es-CR"/>
        </w:rPr>
        <w:t xml:space="preserve"> y </w:t>
      </w:r>
      <w:proofErr w:type="spellStart"/>
      <w:r w:rsidRPr="00873FEC">
        <w:rPr>
          <w:rFonts w:ascii="Verdana" w:eastAsia="Batang" w:hAnsi="Verdana" w:cs="Times"/>
          <w:sz w:val="20"/>
          <w:szCs w:val="20"/>
          <w:lang w:val="es-CR" w:eastAsia="es-CR"/>
        </w:rPr>
        <w:t>k'iche</w:t>
      </w:r>
      <w:proofErr w:type="spellEnd"/>
      <w:r w:rsidRPr="00873FEC">
        <w:rPr>
          <w:rFonts w:ascii="Verdana" w:eastAsia="Batang" w:hAnsi="Verdana" w:cs="Times"/>
          <w:sz w:val="20"/>
          <w:szCs w:val="20"/>
          <w:lang w:val="es-CR" w:eastAsia="es-CR"/>
        </w:rPr>
        <w:t xml:space="preserve">, que ocupaba la finca </w:t>
      </w:r>
      <w:proofErr w:type="spellStart"/>
      <w:r w:rsidRPr="00873FEC">
        <w:rPr>
          <w:rFonts w:ascii="Verdana" w:eastAsia="Batang" w:hAnsi="Verdana" w:cs="Times"/>
          <w:sz w:val="20"/>
          <w:szCs w:val="20"/>
          <w:lang w:val="es-CR" w:eastAsia="es-CR"/>
        </w:rPr>
        <w:t>Xamán</w:t>
      </w:r>
      <w:proofErr w:type="spellEnd"/>
      <w:r w:rsidRPr="00873FEC">
        <w:rPr>
          <w:rFonts w:ascii="Verdana" w:eastAsia="Batang" w:hAnsi="Verdana" w:cs="Times"/>
          <w:sz w:val="20"/>
          <w:szCs w:val="20"/>
          <w:lang w:val="es-CR" w:eastAsia="es-CR"/>
        </w:rPr>
        <w:t xml:space="preserve"> tras haber estado “refugiada” en México. La Comisión expresó que en los mismos hechos 29 personas resultaron heridas, tres de las cuales murieron con posterioridad. Además, aunque 14 personas fueron condenadas, el caso trata sobre la alegada falta de una investigación independiente e imparcial que, en un plazo razonable, procurase lograr la sanción de todas las personas responsables. Por último, la Comisión determinó que los hechos afectaron también </w:t>
      </w:r>
      <w:r w:rsidR="003F67FE" w:rsidRPr="00873FEC">
        <w:rPr>
          <w:rFonts w:ascii="Verdana" w:eastAsia="Batang" w:hAnsi="Verdana" w:cs="Times"/>
          <w:sz w:val="20"/>
          <w:szCs w:val="20"/>
          <w:lang w:val="es-CR" w:eastAsia="es-CR"/>
        </w:rPr>
        <w:t>a 59</w:t>
      </w:r>
      <w:r w:rsidRPr="00873FEC">
        <w:rPr>
          <w:rFonts w:ascii="Verdana" w:eastAsia="Batang" w:hAnsi="Verdana" w:cs="Times"/>
          <w:sz w:val="20"/>
          <w:szCs w:val="20"/>
          <w:lang w:val="es-CR" w:eastAsia="es-CR"/>
        </w:rPr>
        <w:t xml:space="preserve"> familiares de las personas muertas y heridas, y señaló que constituyeron una expresión de discriminación racial ejercida contra el pueblo maya durante el conflicto armado interno en Guatemala</w:t>
      </w:r>
      <w:r w:rsidR="00767A0F" w:rsidRPr="00873FEC">
        <w:rPr>
          <w:rFonts w:ascii="Verdana" w:eastAsia="Batang" w:hAnsi="Verdana" w:cs="Times"/>
          <w:sz w:val="20"/>
          <w:szCs w:val="20"/>
          <w:lang w:val="es-CR" w:eastAsia="es-CR"/>
        </w:rPr>
        <w:t xml:space="preserve"> (en adelante también “el conflicto” o “el conflicto armado”)</w:t>
      </w:r>
      <w:r w:rsidRPr="00873FEC">
        <w:rPr>
          <w:rFonts w:ascii="Verdana" w:eastAsia="Batang" w:hAnsi="Verdana" w:cs="Times"/>
          <w:sz w:val="20"/>
          <w:szCs w:val="20"/>
          <w:lang w:val="es-CR" w:eastAsia="es-CR"/>
        </w:rPr>
        <w:t xml:space="preserve">. Los nombres de todas las personas aludidas se encuentran en el </w:t>
      </w:r>
      <w:r w:rsidR="00872671" w:rsidRPr="00873FEC">
        <w:rPr>
          <w:rFonts w:ascii="Verdana" w:eastAsia="Batang" w:hAnsi="Verdana" w:cs="Times"/>
          <w:sz w:val="20"/>
          <w:szCs w:val="20"/>
          <w:lang w:val="es-CR" w:eastAsia="es-CR"/>
        </w:rPr>
        <w:t>A</w:t>
      </w:r>
      <w:r w:rsidRPr="00873FEC">
        <w:rPr>
          <w:rFonts w:ascii="Verdana" w:eastAsia="Batang" w:hAnsi="Verdana" w:cs="Times"/>
          <w:sz w:val="20"/>
          <w:szCs w:val="20"/>
          <w:lang w:val="es-CR" w:eastAsia="es-CR"/>
        </w:rPr>
        <w:t xml:space="preserve">nexo A de la presente Sentencia, que integra la misma. </w:t>
      </w:r>
    </w:p>
    <w:p w:rsidR="006166D8" w:rsidRPr="00873FEC" w:rsidRDefault="006166D8" w:rsidP="00126E97">
      <w:pPr>
        <w:spacing w:after="0" w:line="20" w:lineRule="atLeast"/>
        <w:ind w:right="4"/>
        <w:jc w:val="both"/>
        <w:rPr>
          <w:rFonts w:ascii="Verdana" w:eastAsia="Batang" w:hAnsi="Verdana" w:cs="Times"/>
          <w:sz w:val="20"/>
          <w:szCs w:val="20"/>
          <w:lang w:val="es-CR" w:eastAsia="es-CR"/>
        </w:rPr>
      </w:pPr>
    </w:p>
    <w:p w:rsidR="006166D8" w:rsidRPr="00873FEC" w:rsidRDefault="006166D8" w:rsidP="00126E97">
      <w:pPr>
        <w:numPr>
          <w:ilvl w:val="0"/>
          <w:numId w:val="3"/>
        </w:numPr>
        <w:spacing w:after="0" w:line="20" w:lineRule="atLeast"/>
        <w:ind w:right="4"/>
        <w:jc w:val="both"/>
        <w:rPr>
          <w:rFonts w:ascii="Verdana" w:eastAsia="Batang" w:hAnsi="Verdana" w:cs="Times"/>
          <w:sz w:val="20"/>
          <w:szCs w:val="20"/>
          <w:lang w:val="es-CR" w:eastAsia="es-CR"/>
        </w:rPr>
      </w:pPr>
      <w:r w:rsidRPr="00873FEC">
        <w:rPr>
          <w:rFonts w:ascii="Verdana" w:eastAsia="Batang" w:hAnsi="Verdana" w:cs="Times"/>
          <w:i/>
          <w:sz w:val="20"/>
          <w:szCs w:val="20"/>
          <w:lang w:val="es-CR" w:eastAsia="es-CR"/>
        </w:rPr>
        <w:t xml:space="preserve">Trámite ante la Comisión. </w:t>
      </w:r>
      <w:r w:rsidRPr="00873FEC">
        <w:rPr>
          <w:rFonts w:ascii="Verdana" w:eastAsia="Batang" w:hAnsi="Verdana" w:cs="Times"/>
          <w:sz w:val="20"/>
          <w:szCs w:val="20"/>
          <w:lang w:val="es-CR" w:eastAsia="es-CR"/>
        </w:rPr>
        <w:t>– El trámite del caso ante la Comisión fue el siguiente:</w:t>
      </w:r>
    </w:p>
    <w:p w:rsidR="006166D8" w:rsidRPr="00873FEC" w:rsidRDefault="006166D8" w:rsidP="00126E97">
      <w:pPr>
        <w:numPr>
          <w:ilvl w:val="0"/>
          <w:numId w:val="4"/>
        </w:numPr>
        <w:spacing w:after="0" w:line="20" w:lineRule="atLeast"/>
        <w:ind w:left="720" w:right="4" w:hanging="360"/>
        <w:jc w:val="both"/>
        <w:rPr>
          <w:rFonts w:ascii="Verdana" w:eastAsia="Batang" w:hAnsi="Verdana" w:cs="Times"/>
          <w:sz w:val="20"/>
          <w:szCs w:val="20"/>
          <w:lang w:val="es-ES" w:eastAsia="es-CR"/>
        </w:rPr>
      </w:pPr>
      <w:r w:rsidRPr="00873FEC">
        <w:rPr>
          <w:rFonts w:ascii="Verdana" w:eastAsia="Batang" w:hAnsi="Verdana" w:cs="Times"/>
          <w:i/>
          <w:sz w:val="20"/>
          <w:szCs w:val="20"/>
          <w:lang w:val="es-CR" w:eastAsia="es-CR"/>
        </w:rPr>
        <w:t>Petición</w:t>
      </w:r>
      <w:proofErr w:type="gramStart"/>
      <w:r w:rsidRPr="00873FEC">
        <w:rPr>
          <w:rFonts w:ascii="Verdana" w:eastAsia="Batang" w:hAnsi="Verdana" w:cs="Times"/>
          <w:i/>
          <w:sz w:val="20"/>
          <w:szCs w:val="20"/>
          <w:lang w:val="es-CR" w:eastAsia="es-CR"/>
        </w:rPr>
        <w:t>.–</w:t>
      </w:r>
      <w:proofErr w:type="gramEnd"/>
      <w:r w:rsidRPr="00873FEC">
        <w:rPr>
          <w:rFonts w:ascii="Verdana" w:eastAsia="Batang" w:hAnsi="Verdana" w:cs="Times"/>
          <w:i/>
          <w:sz w:val="20"/>
          <w:szCs w:val="20"/>
          <w:lang w:val="es-CR" w:eastAsia="es-CR"/>
        </w:rPr>
        <w:t xml:space="preserve"> </w:t>
      </w:r>
      <w:r w:rsidRPr="00873FEC">
        <w:rPr>
          <w:rFonts w:ascii="Verdana" w:eastAsia="Batang" w:hAnsi="Verdana" w:cs="Times"/>
          <w:sz w:val="20"/>
          <w:szCs w:val="20"/>
          <w:lang w:val="es-CR" w:eastAsia="es-CR"/>
        </w:rPr>
        <w:t xml:space="preserve">El 16 de noviembre de 1995 la Comisión recibió la petición inicial presentada por Rigoberta Menchú </w:t>
      </w:r>
      <w:proofErr w:type="spellStart"/>
      <w:r w:rsidRPr="00873FEC">
        <w:rPr>
          <w:rFonts w:ascii="Verdana" w:eastAsia="Batang" w:hAnsi="Verdana" w:cs="Times"/>
          <w:sz w:val="20"/>
          <w:szCs w:val="20"/>
          <w:lang w:val="es-CR" w:eastAsia="es-CR"/>
        </w:rPr>
        <w:t>Tum</w:t>
      </w:r>
      <w:proofErr w:type="spellEnd"/>
      <w:r w:rsidRPr="00873FEC">
        <w:rPr>
          <w:rFonts w:ascii="Verdana" w:eastAsia="Batang" w:hAnsi="Verdana" w:cs="Times"/>
          <w:sz w:val="20"/>
          <w:szCs w:val="20"/>
          <w:lang w:val="es-CR" w:eastAsia="es-CR"/>
        </w:rPr>
        <w:t xml:space="preserve">, Eduardo Antonio Salerno y María </w:t>
      </w:r>
      <w:proofErr w:type="spellStart"/>
      <w:r w:rsidRPr="00873FEC">
        <w:rPr>
          <w:rFonts w:ascii="Verdana" w:eastAsia="Batang" w:hAnsi="Verdana" w:cs="Times"/>
          <w:sz w:val="20"/>
          <w:szCs w:val="20"/>
          <w:lang w:val="es-CR" w:eastAsia="es-CR"/>
        </w:rPr>
        <w:t>Lopez</w:t>
      </w:r>
      <w:proofErr w:type="spellEnd"/>
      <w:r w:rsidRPr="00873FEC">
        <w:rPr>
          <w:rFonts w:ascii="Verdana" w:eastAsia="Batang" w:hAnsi="Verdana" w:cs="Times"/>
          <w:sz w:val="20"/>
          <w:szCs w:val="20"/>
          <w:lang w:val="es-CR" w:eastAsia="es-CR"/>
        </w:rPr>
        <w:t xml:space="preserve"> Funes, a la cual le fue asignado el número de caso 11.550.</w:t>
      </w:r>
      <w:r w:rsidRPr="00873FEC">
        <w:rPr>
          <w:rFonts w:ascii="Verdana" w:eastAsia="Batang" w:hAnsi="Verdana" w:cs="Times"/>
          <w:b/>
          <w:sz w:val="16"/>
          <w:szCs w:val="16"/>
          <w:lang w:val="es-CR" w:eastAsia="es-CR"/>
        </w:rPr>
        <w:t xml:space="preserve"> </w:t>
      </w:r>
      <w:r w:rsidRPr="00873FEC">
        <w:rPr>
          <w:rFonts w:ascii="Verdana" w:eastAsia="Batang" w:hAnsi="Verdana" w:cs="Times"/>
          <w:sz w:val="20"/>
          <w:szCs w:val="20"/>
          <w:lang w:val="es-CR" w:eastAsia="es-CR"/>
        </w:rPr>
        <w:t>Posteriormente se constituyó como peticionario el Grupo de Apoyo Mutuo –GAM.</w:t>
      </w:r>
    </w:p>
    <w:p w:rsidR="006166D8" w:rsidRPr="00873FEC" w:rsidRDefault="006166D8" w:rsidP="00126E97">
      <w:pPr>
        <w:numPr>
          <w:ilvl w:val="0"/>
          <w:numId w:val="4"/>
        </w:numPr>
        <w:spacing w:after="0" w:line="20" w:lineRule="atLeast"/>
        <w:ind w:left="720" w:right="4" w:hanging="360"/>
        <w:jc w:val="both"/>
        <w:rPr>
          <w:rFonts w:ascii="Verdana" w:eastAsia="Batang" w:hAnsi="Verdana" w:cs="Times"/>
          <w:sz w:val="20"/>
          <w:szCs w:val="20"/>
          <w:lang w:val="es-CR" w:eastAsia="es-CR"/>
        </w:rPr>
      </w:pPr>
      <w:r w:rsidRPr="00873FEC">
        <w:rPr>
          <w:rFonts w:ascii="Verdana" w:eastAsia="Batang" w:hAnsi="Verdana" w:cs="Times"/>
          <w:i/>
          <w:sz w:val="20"/>
          <w:szCs w:val="20"/>
          <w:lang w:val="es-CR" w:eastAsia="es-CR"/>
        </w:rPr>
        <w:t xml:space="preserve">Informe de Admisibilidad y Fondo.- </w:t>
      </w:r>
      <w:r w:rsidRPr="00873FEC">
        <w:rPr>
          <w:rFonts w:ascii="Verdana" w:eastAsia="Batang" w:hAnsi="Verdana" w:cs="Times"/>
          <w:sz w:val="20"/>
          <w:szCs w:val="20"/>
          <w:lang w:val="es-CR" w:eastAsia="es-CR"/>
        </w:rPr>
        <w:t>El 18 de diciembre de 2002 la Comisión comunicó a las partes su decisión de diferir el análisis de la admisibilidad de la petición hasta la decisión sobre el fondo, en aplicación del artículo 37.3 de su Reglamento entonces vigente.</w:t>
      </w:r>
      <w:r w:rsidRPr="00873FEC">
        <w:rPr>
          <w:rFonts w:ascii="Verdana" w:eastAsia="Batang" w:hAnsi="Verdana" w:cs="Times"/>
          <w:sz w:val="20"/>
          <w:szCs w:val="24"/>
          <w:lang w:val="es-CR" w:eastAsia="es-CR"/>
        </w:rPr>
        <w:t xml:space="preserve"> </w:t>
      </w:r>
      <w:r w:rsidRPr="00873FEC">
        <w:rPr>
          <w:rFonts w:ascii="Verdana" w:eastAsia="Batang" w:hAnsi="Verdana" w:cs="Times"/>
          <w:sz w:val="20"/>
          <w:szCs w:val="20"/>
          <w:lang w:val="es-CR" w:eastAsia="es-CR"/>
        </w:rPr>
        <w:t xml:space="preserve">Tras la recepción de diversos escritos y un procedimiento tendiente a lograr una solución amistosa que no prosperó, el 10 de junio de 2016 la Comisión aprobó el Informe de Admisibilidad y Fondo No. 28/16 (en adelante “Informe de Fondo”), </w:t>
      </w:r>
      <w:r w:rsidRPr="00873FEC">
        <w:rPr>
          <w:rFonts w:ascii="Verdana" w:eastAsia="Calibri" w:hAnsi="Verdana" w:cs="Verdana"/>
          <w:sz w:val="20"/>
          <w:szCs w:val="20"/>
          <w:lang w:val="es-CR" w:eastAsia="es-CR"/>
        </w:rPr>
        <w:t>en el cual llegó a una serie de conclusiones y formuló</w:t>
      </w:r>
      <w:r w:rsidRPr="00873FEC">
        <w:rPr>
          <w:rFonts w:ascii="Verdana" w:eastAsia="Batang" w:hAnsi="Verdana" w:cs="Times"/>
          <w:sz w:val="20"/>
          <w:szCs w:val="20"/>
          <w:lang w:val="es-CR" w:eastAsia="es-CR"/>
        </w:rPr>
        <w:t xml:space="preserve"> </w:t>
      </w:r>
      <w:r w:rsidRPr="00873FEC">
        <w:rPr>
          <w:rFonts w:ascii="Verdana" w:eastAsia="Calibri" w:hAnsi="Verdana" w:cs="Verdana"/>
          <w:sz w:val="20"/>
          <w:szCs w:val="20"/>
          <w:lang w:val="es-CR" w:eastAsia="es-CR"/>
        </w:rPr>
        <w:t>varias recomendaciones a la República de Guatemala (en adelante, “Guatemala” o “el Estado”):</w:t>
      </w:r>
    </w:p>
    <w:p w:rsidR="006166D8" w:rsidRPr="00873FEC" w:rsidRDefault="006166D8" w:rsidP="00126E97">
      <w:pPr>
        <w:numPr>
          <w:ilvl w:val="0"/>
          <w:numId w:val="2"/>
        </w:numPr>
        <w:spacing w:after="0" w:line="20" w:lineRule="atLeast"/>
        <w:ind w:left="1701" w:right="29" w:hanging="720"/>
        <w:jc w:val="both"/>
        <w:rPr>
          <w:rFonts w:ascii="Verdana" w:eastAsia="Calibri" w:hAnsi="Verdana" w:cs="Times New Roman"/>
          <w:sz w:val="20"/>
          <w:szCs w:val="20"/>
          <w:lang w:val="es-CR" w:eastAsia="es-CR"/>
        </w:rPr>
      </w:pPr>
      <w:r w:rsidRPr="00873FEC">
        <w:rPr>
          <w:rFonts w:ascii="Verdana" w:eastAsia="Calibri" w:hAnsi="Verdana" w:cs="Times New Roman"/>
          <w:i/>
          <w:sz w:val="20"/>
          <w:szCs w:val="20"/>
          <w:lang w:val="es-CR" w:eastAsia="es-CR"/>
        </w:rPr>
        <w:t xml:space="preserve">Conclusiones.- </w:t>
      </w:r>
      <w:r w:rsidRPr="00873FEC">
        <w:rPr>
          <w:rFonts w:ascii="Verdana" w:eastAsia="Calibri" w:hAnsi="Verdana" w:cs="Times New Roman"/>
          <w:sz w:val="20"/>
          <w:szCs w:val="20"/>
          <w:lang w:val="es-CR" w:eastAsia="es-CR"/>
        </w:rPr>
        <w:t>La Comisión concluyó que Guatemala es responsable internacionalmente por l</w:t>
      </w:r>
      <w:r w:rsidRPr="00873FEC">
        <w:rPr>
          <w:rFonts w:ascii="Verdana" w:eastAsia="Batang" w:hAnsi="Verdana" w:cs="Times"/>
          <w:sz w:val="20"/>
          <w:szCs w:val="20"/>
          <w:lang w:val="es-CR" w:eastAsia="es-CR"/>
        </w:rPr>
        <w:t>a violación de los derechos a la vida, a la integridad personal, a las garantías judiciales, los derechos del niño, el derecho a la igualdad ante la ley y el derecho a la protección judicial, receptados, respectivamente, por los artículos 4.1, 5.1, 8.1, 19, 24 y 25.1 de la Convención Americana sobre Derechos Humanos, en relación con las obligaciones establecidas en el artículo 1.1 del mismo tratado.</w:t>
      </w:r>
    </w:p>
    <w:p w:rsidR="006166D8" w:rsidRPr="00873FEC" w:rsidRDefault="006166D8" w:rsidP="00126E97">
      <w:pPr>
        <w:numPr>
          <w:ilvl w:val="0"/>
          <w:numId w:val="2"/>
        </w:numPr>
        <w:spacing w:after="0" w:line="20" w:lineRule="atLeast"/>
        <w:ind w:left="1701" w:right="29" w:hanging="720"/>
        <w:jc w:val="both"/>
        <w:rPr>
          <w:rFonts w:ascii="Verdana" w:eastAsia="Calibri" w:hAnsi="Verdana" w:cs="Times New Roman"/>
          <w:sz w:val="20"/>
          <w:szCs w:val="20"/>
          <w:lang w:val="es-CR" w:eastAsia="es-CR"/>
        </w:rPr>
      </w:pPr>
      <w:r w:rsidRPr="00873FEC">
        <w:rPr>
          <w:rFonts w:ascii="Verdana" w:eastAsia="Calibri" w:hAnsi="Verdana" w:cs="Verdana"/>
          <w:i/>
          <w:sz w:val="20"/>
          <w:szCs w:val="20"/>
          <w:lang w:val="es-CR" w:eastAsia="es-CR"/>
        </w:rPr>
        <w:t>Recomendaciones</w:t>
      </w:r>
      <w:r w:rsidRPr="00873FEC">
        <w:rPr>
          <w:rFonts w:ascii="Verdana" w:eastAsia="Calibri" w:hAnsi="Verdana" w:cs="Verdana"/>
          <w:sz w:val="20"/>
          <w:szCs w:val="20"/>
          <w:lang w:val="es-CR" w:eastAsia="es-CR"/>
        </w:rPr>
        <w:t xml:space="preserve">.– </w:t>
      </w:r>
      <w:r w:rsidRPr="00873FEC">
        <w:rPr>
          <w:rFonts w:ascii="Verdana" w:eastAsia="Calibri" w:hAnsi="Verdana" w:cs="Times New Roman"/>
          <w:sz w:val="20"/>
          <w:szCs w:val="20"/>
          <w:lang w:val="es-CR" w:eastAsia="es-CR"/>
        </w:rPr>
        <w:t xml:space="preserve">En consecuencia, la Comisión recomendó al Estado lo siguiente: </w:t>
      </w:r>
    </w:p>
    <w:p w:rsidR="006166D8" w:rsidRPr="00873FEC" w:rsidRDefault="006166D8" w:rsidP="00126E97">
      <w:pPr>
        <w:numPr>
          <w:ilvl w:val="0"/>
          <w:numId w:val="1"/>
        </w:numPr>
        <w:spacing w:after="0" w:line="20" w:lineRule="atLeast"/>
        <w:ind w:left="2058" w:right="28" w:hanging="357"/>
        <w:contextualSpacing/>
        <w:jc w:val="both"/>
        <w:rPr>
          <w:rFonts w:ascii="Verdana" w:eastAsia="Calibri" w:hAnsi="Verdana" w:cs="Times New Roman"/>
          <w:sz w:val="20"/>
          <w:szCs w:val="20"/>
          <w:lang w:val="es-CR" w:eastAsia="es-CR"/>
        </w:rPr>
      </w:pPr>
      <w:r w:rsidRPr="00873FEC">
        <w:rPr>
          <w:rFonts w:ascii="Verdana" w:eastAsia="Calibri" w:hAnsi="Verdana" w:cs="Times"/>
          <w:sz w:val="20"/>
          <w:szCs w:val="20"/>
          <w:lang w:val="es-CR" w:eastAsia="es-CR"/>
        </w:rPr>
        <w:t xml:space="preserve">Reparar integralmente las violaciones declaradas en el Informe de Fondo “en el aspecto material, moral y cultural, incluyendo: i) una justa compensación; ii) medidas de satisfacción para la recuperación de la memoria de las víctimas y para el reconocimiento público de la responsabilidad estatal por los </w:t>
      </w:r>
      <w:r w:rsidRPr="00873FEC">
        <w:rPr>
          <w:rFonts w:ascii="Verdana" w:eastAsia="Calibri" w:hAnsi="Verdana" w:cs="Times"/>
          <w:sz w:val="20"/>
          <w:szCs w:val="20"/>
          <w:lang w:val="es-CR" w:eastAsia="es-CR"/>
        </w:rPr>
        <w:lastRenderedPageBreak/>
        <w:t>hechos[,] y iii) medidas de rehabilitación mediante la implementación de un programa de atención en salud física y mental y/o psicosocial culturalmente adecuado a los sobrevivientes y familiares de las víctimas”, y</w:t>
      </w:r>
    </w:p>
    <w:p w:rsidR="006166D8" w:rsidRPr="00873FEC" w:rsidRDefault="006166D8" w:rsidP="00126E97">
      <w:pPr>
        <w:numPr>
          <w:ilvl w:val="0"/>
          <w:numId w:val="1"/>
        </w:numPr>
        <w:spacing w:after="0" w:line="20" w:lineRule="atLeast"/>
        <w:ind w:left="2058" w:right="28" w:hanging="357"/>
        <w:contextualSpacing/>
        <w:jc w:val="both"/>
        <w:rPr>
          <w:rFonts w:ascii="Verdana" w:eastAsia="Calibri" w:hAnsi="Verdana" w:cs="Times New Roman"/>
          <w:sz w:val="20"/>
          <w:szCs w:val="20"/>
          <w:lang w:val="es-CR" w:eastAsia="es-CR"/>
        </w:rPr>
      </w:pPr>
      <w:r w:rsidRPr="00873FEC">
        <w:rPr>
          <w:rFonts w:ascii="Verdana" w:eastAsia="Batang" w:hAnsi="Verdana" w:cs="Times"/>
          <w:sz w:val="20"/>
          <w:szCs w:val="20"/>
          <w:lang w:val="es-CR" w:eastAsia="es-CR"/>
        </w:rPr>
        <w:t xml:space="preserve">“Adoptar las medidas necesarias para evitar que en el futuro se produzcan hechos similares[,] </w:t>
      </w:r>
      <w:proofErr w:type="spellStart"/>
      <w:r w:rsidRPr="00873FEC">
        <w:rPr>
          <w:rFonts w:ascii="Verdana" w:eastAsia="Batang" w:hAnsi="Verdana" w:cs="Times"/>
          <w:sz w:val="20"/>
          <w:szCs w:val="20"/>
          <w:lang w:val="es-CR" w:eastAsia="es-CR"/>
        </w:rPr>
        <w:t>inclu</w:t>
      </w:r>
      <w:proofErr w:type="spellEnd"/>
      <w:r w:rsidRPr="00873FEC">
        <w:rPr>
          <w:rFonts w:ascii="Verdana" w:eastAsia="Batang" w:hAnsi="Verdana" w:cs="Times"/>
          <w:sz w:val="20"/>
          <w:szCs w:val="20"/>
          <w:lang w:val="es-CR" w:eastAsia="es-CR"/>
        </w:rPr>
        <w:t>[yendo]: i) […] programas permanentes de derechos humanos y derecho internacional humanitario en las escuelas de formación de las Fuerzas Armadas; ii) el fortalecimiento de la capacidad institucional para investigar las graves violaciones de derechos humanos ocurridas durante el conflicto armado interno[,] y iii) adoptar mecanismos eficaces para enfrentar las amenazas y hostigamientos contra operadores jurídicos, víctimas y testigos en el marco de dichas investigaciones”.</w:t>
      </w:r>
    </w:p>
    <w:p w:rsidR="006166D8" w:rsidRPr="00873FEC" w:rsidRDefault="006166D8" w:rsidP="00126E97">
      <w:pPr>
        <w:numPr>
          <w:ilvl w:val="0"/>
          <w:numId w:val="4"/>
        </w:numPr>
        <w:spacing w:after="0" w:line="20" w:lineRule="atLeast"/>
        <w:ind w:left="720" w:right="4" w:hanging="360"/>
        <w:jc w:val="both"/>
        <w:rPr>
          <w:rFonts w:ascii="Verdana" w:eastAsia="Batang" w:hAnsi="Verdana" w:cs="Times"/>
          <w:sz w:val="20"/>
          <w:szCs w:val="20"/>
          <w:lang w:val="es-CR" w:eastAsia="es-CR"/>
        </w:rPr>
      </w:pPr>
      <w:r w:rsidRPr="00873FEC">
        <w:rPr>
          <w:rFonts w:ascii="Verdana" w:eastAsia="Batang" w:hAnsi="Verdana" w:cs="Times"/>
          <w:i/>
          <w:sz w:val="20"/>
          <w:szCs w:val="20"/>
          <w:lang w:val="es-CR" w:eastAsia="es-CR"/>
        </w:rPr>
        <w:t>Notificación al Estado</w:t>
      </w:r>
      <w:proofErr w:type="gramStart"/>
      <w:r w:rsidRPr="00873FEC">
        <w:rPr>
          <w:rFonts w:ascii="Verdana" w:eastAsia="Batang" w:hAnsi="Verdana" w:cs="Times"/>
          <w:i/>
          <w:sz w:val="20"/>
          <w:szCs w:val="20"/>
          <w:lang w:val="es-CR" w:eastAsia="es-CR"/>
        </w:rPr>
        <w:t>.–</w:t>
      </w:r>
      <w:proofErr w:type="gramEnd"/>
      <w:r w:rsidRPr="00873FEC">
        <w:rPr>
          <w:rFonts w:ascii="Verdana" w:eastAsia="Batang" w:hAnsi="Verdana" w:cs="Times"/>
          <w:i/>
          <w:sz w:val="20"/>
          <w:szCs w:val="20"/>
          <w:lang w:val="es-CR" w:eastAsia="es-CR"/>
        </w:rPr>
        <w:t xml:space="preserve"> </w:t>
      </w:r>
      <w:r w:rsidRPr="00873FEC">
        <w:rPr>
          <w:rFonts w:ascii="Verdana" w:eastAsia="Batang" w:hAnsi="Verdana" w:cs="Times"/>
          <w:sz w:val="20"/>
          <w:szCs w:val="20"/>
          <w:lang w:val="es-CR" w:eastAsia="es-CR"/>
        </w:rPr>
        <w:t xml:space="preserve">La Comisión indicó que el Informe de Fondo fue notificado al Estado el 21 de junio de 2016, otorgándole un plazo de dos meses para informar sobre el cumplimiento de las recomendaciones. La Comisión señaló que fue informada de “acercamientos” entre el Estado y los peticionarios, pero éstos solicitaron el envío del caso a la Corte y Guatemala no solicitó suspender el plazo previsto en el artículo 51 de la Convención. </w:t>
      </w:r>
    </w:p>
    <w:p w:rsidR="006166D8" w:rsidRPr="00873FEC" w:rsidRDefault="006166D8" w:rsidP="00126E97">
      <w:pPr>
        <w:spacing w:after="0" w:line="20" w:lineRule="atLeast"/>
        <w:jc w:val="both"/>
        <w:rPr>
          <w:rFonts w:ascii="Verdana" w:eastAsia="Batang" w:hAnsi="Verdana" w:cs="Verdana"/>
          <w:sz w:val="20"/>
          <w:szCs w:val="20"/>
          <w:lang w:val="es-CR" w:eastAsia="es-CR"/>
        </w:rPr>
      </w:pPr>
    </w:p>
    <w:p w:rsidR="006166D8" w:rsidRPr="00873FEC" w:rsidRDefault="006166D8" w:rsidP="00126E97">
      <w:pPr>
        <w:numPr>
          <w:ilvl w:val="0"/>
          <w:numId w:val="3"/>
        </w:numPr>
        <w:spacing w:after="0" w:line="20" w:lineRule="atLeast"/>
        <w:ind w:right="6"/>
        <w:jc w:val="both"/>
        <w:rPr>
          <w:rFonts w:ascii="Verdana" w:eastAsia="Batang" w:hAnsi="Verdana" w:cs="Verdana"/>
          <w:sz w:val="20"/>
          <w:szCs w:val="20"/>
          <w:lang w:val="es-CR" w:eastAsia="es-CR"/>
        </w:rPr>
      </w:pPr>
      <w:r w:rsidRPr="00873FEC">
        <w:rPr>
          <w:rFonts w:ascii="Verdana" w:eastAsia="Batang" w:hAnsi="Verdana" w:cs="Verdana"/>
          <w:i/>
          <w:sz w:val="20"/>
          <w:szCs w:val="20"/>
          <w:lang w:val="es-CR" w:eastAsia="es-CR"/>
        </w:rPr>
        <w:t>Sometimiento a la Corte.</w:t>
      </w:r>
      <w:r w:rsidRPr="00873FEC">
        <w:rPr>
          <w:rFonts w:ascii="Verdana" w:eastAsia="Batang" w:hAnsi="Verdana" w:cs="Verdana"/>
          <w:sz w:val="20"/>
          <w:szCs w:val="20"/>
          <w:lang w:val="es-CR" w:eastAsia="es-CR"/>
        </w:rPr>
        <w:t xml:space="preserve">- </w:t>
      </w:r>
      <w:r w:rsidRPr="00873FEC">
        <w:rPr>
          <w:rFonts w:ascii="Verdana" w:eastAsia="Batang" w:hAnsi="Verdana" w:cs="Verdana"/>
          <w:sz w:val="20"/>
          <w:szCs w:val="20"/>
          <w:lang w:eastAsia="es-CR"/>
        </w:rPr>
        <w:t>El 21 de septiembre de 2016 la Comisión sometió a la Corte “la totalidad de los hechos y violaciones” descritos en el Informe de Fondo</w:t>
      </w:r>
      <w:r w:rsidRPr="00873FEC">
        <w:rPr>
          <w:rFonts w:ascii="Verdana" w:eastAsia="Batang" w:hAnsi="Verdana" w:cs="Times New Roman"/>
          <w:sz w:val="20"/>
          <w:szCs w:val="20"/>
          <w:vertAlign w:val="superscript"/>
          <w:lang w:eastAsia="x-none"/>
        </w:rPr>
        <w:footnoteReference w:id="2"/>
      </w:r>
      <w:r w:rsidRPr="00873FEC">
        <w:rPr>
          <w:rFonts w:ascii="Verdana" w:eastAsia="Batang" w:hAnsi="Verdana" w:cs="Verdana"/>
          <w:sz w:val="20"/>
          <w:szCs w:val="20"/>
          <w:lang w:eastAsia="es-CR"/>
        </w:rPr>
        <w:t xml:space="preserve">. </w:t>
      </w:r>
    </w:p>
    <w:p w:rsidR="006166D8" w:rsidRPr="00873FEC" w:rsidRDefault="006166D8" w:rsidP="00126E97">
      <w:pPr>
        <w:spacing w:after="0" w:line="20" w:lineRule="atLeast"/>
        <w:ind w:right="6"/>
        <w:jc w:val="both"/>
        <w:rPr>
          <w:rFonts w:ascii="Verdana" w:eastAsia="Batang" w:hAnsi="Verdana" w:cs="Verdana"/>
          <w:sz w:val="20"/>
          <w:szCs w:val="20"/>
          <w:lang w:val="es-CR" w:eastAsia="es-CR"/>
        </w:rPr>
      </w:pPr>
    </w:p>
    <w:p w:rsidR="006166D8" w:rsidRPr="00873FEC" w:rsidRDefault="006166D8" w:rsidP="00126E97">
      <w:pPr>
        <w:numPr>
          <w:ilvl w:val="0"/>
          <w:numId w:val="3"/>
        </w:numPr>
        <w:spacing w:after="0" w:line="20" w:lineRule="atLeast"/>
        <w:ind w:right="6"/>
        <w:jc w:val="both"/>
        <w:rPr>
          <w:rFonts w:ascii="Verdana" w:eastAsia="Batang" w:hAnsi="Verdana" w:cs="Times"/>
          <w:sz w:val="20"/>
          <w:szCs w:val="20"/>
          <w:lang w:val="es-CR" w:eastAsia="es-CR"/>
        </w:rPr>
      </w:pPr>
      <w:r w:rsidRPr="00873FEC">
        <w:rPr>
          <w:rFonts w:ascii="Verdana" w:eastAsia="Batang" w:hAnsi="Verdana" w:cs="Verdana"/>
          <w:i/>
          <w:sz w:val="20"/>
          <w:szCs w:val="20"/>
          <w:lang w:val="es-CR" w:eastAsia="es-CR"/>
        </w:rPr>
        <w:t>Solicitudes de la Comisión</w:t>
      </w:r>
      <w:proofErr w:type="gramStart"/>
      <w:r w:rsidRPr="00873FEC">
        <w:rPr>
          <w:rFonts w:ascii="Verdana" w:eastAsia="Batang" w:hAnsi="Verdana" w:cs="Verdana"/>
          <w:i/>
          <w:sz w:val="20"/>
          <w:szCs w:val="20"/>
          <w:lang w:val="es-CR" w:eastAsia="es-CR"/>
        </w:rPr>
        <w:t>.–</w:t>
      </w:r>
      <w:proofErr w:type="gramEnd"/>
      <w:r w:rsidRPr="00873FEC">
        <w:rPr>
          <w:rFonts w:ascii="Verdana" w:eastAsia="Batang" w:hAnsi="Verdana" w:cs="Verdana"/>
          <w:i/>
          <w:sz w:val="20"/>
          <w:szCs w:val="20"/>
          <w:lang w:val="es-CR" w:eastAsia="es-CR"/>
        </w:rPr>
        <w:t xml:space="preserve"> </w:t>
      </w:r>
      <w:r w:rsidRPr="00873FEC">
        <w:rPr>
          <w:rFonts w:ascii="Verdana" w:eastAsia="Batang" w:hAnsi="Verdana" w:cs="Verdana"/>
          <w:sz w:val="20"/>
          <w:szCs w:val="20"/>
          <w:lang w:val="es-CR" w:eastAsia="es-CR"/>
        </w:rPr>
        <w:t xml:space="preserve">Con base en lo anterior, la Comisión solicitó a este </w:t>
      </w:r>
      <w:r w:rsidRPr="00873FEC">
        <w:rPr>
          <w:rFonts w:ascii="Verdana" w:eastAsia="Batang" w:hAnsi="Verdana" w:cs="Verdana"/>
          <w:sz w:val="20"/>
          <w:szCs w:val="20"/>
          <w:lang w:eastAsia="es-CR"/>
        </w:rPr>
        <w:t>Tribunal</w:t>
      </w:r>
      <w:r w:rsidRPr="00873FEC">
        <w:rPr>
          <w:rFonts w:ascii="Verdana" w:eastAsia="Batang" w:hAnsi="Verdana" w:cs="Verdana"/>
          <w:sz w:val="20"/>
          <w:szCs w:val="20"/>
          <w:lang w:val="es-CR" w:eastAsia="es-CR"/>
        </w:rPr>
        <w:t xml:space="preserve"> que “concluya y declare la responsabilidad internacional del Estado” por las violaciones contenidas en el Informe de Fondo y que ordene al Estado, como medidas de reparación, las recomendaciones incluidas en dicho Informe de Fondo. </w:t>
      </w:r>
    </w:p>
    <w:p w:rsidR="006166D8" w:rsidRPr="00873FEC" w:rsidRDefault="006166D8" w:rsidP="00126E97">
      <w:pPr>
        <w:spacing w:after="0" w:line="20" w:lineRule="atLeast"/>
        <w:ind w:right="6"/>
        <w:jc w:val="both"/>
        <w:rPr>
          <w:rFonts w:ascii="Verdana" w:eastAsia="Batang" w:hAnsi="Verdana" w:cs="Times"/>
          <w:sz w:val="20"/>
          <w:szCs w:val="20"/>
          <w:lang w:val="es-CR" w:eastAsia="es-CR"/>
        </w:rPr>
      </w:pPr>
    </w:p>
    <w:p w:rsidR="006166D8" w:rsidRPr="00873FEC" w:rsidRDefault="006166D8" w:rsidP="00126E97">
      <w:pPr>
        <w:keepNext/>
        <w:keepLines/>
        <w:spacing w:after="0" w:line="20" w:lineRule="atLeast"/>
        <w:ind w:right="-6"/>
        <w:jc w:val="center"/>
        <w:outlineLvl w:val="0"/>
        <w:rPr>
          <w:rFonts w:ascii="Verdana" w:eastAsia="Times New Roman" w:hAnsi="Verdana" w:cs="Verdana"/>
          <w:b/>
          <w:caps/>
          <w:sz w:val="20"/>
          <w:szCs w:val="20"/>
          <w:lang w:val="es-CR" w:eastAsia="es-CR"/>
        </w:rPr>
      </w:pPr>
      <w:bookmarkStart w:id="1" w:name="_Toc359314415"/>
      <w:bookmarkStart w:id="2" w:name="_Toc361671572"/>
      <w:bookmarkStart w:id="3" w:name="_Toc361671992"/>
      <w:bookmarkStart w:id="4" w:name="_Toc361732789"/>
      <w:bookmarkStart w:id="5" w:name="_Toc361732832"/>
      <w:bookmarkStart w:id="6" w:name="_Toc362456863"/>
      <w:bookmarkStart w:id="7" w:name="_Toc365021392"/>
      <w:bookmarkStart w:id="8" w:name="_Toc369076778"/>
      <w:bookmarkStart w:id="9" w:name="_Toc369989362"/>
      <w:bookmarkStart w:id="10" w:name="_Toc369989449"/>
      <w:bookmarkStart w:id="11" w:name="_Toc369989730"/>
      <w:bookmarkStart w:id="12" w:name="_Toc438132270"/>
      <w:bookmarkStart w:id="13" w:name="_Toc311128156"/>
      <w:bookmarkStart w:id="14" w:name="_Toc311128353"/>
      <w:bookmarkStart w:id="15" w:name="_Toc486693352"/>
      <w:bookmarkStart w:id="16" w:name="_Toc486842768"/>
      <w:bookmarkStart w:id="17" w:name="_Toc486842906"/>
      <w:bookmarkStart w:id="18" w:name="_Toc491935491"/>
      <w:bookmarkStart w:id="19" w:name="_Toc495497540"/>
      <w:bookmarkStart w:id="20" w:name="_Toc515350936"/>
      <w:bookmarkStart w:id="21" w:name="_Toc520207567"/>
      <w:bookmarkStart w:id="22" w:name="_Toc521694798"/>
      <w:bookmarkStart w:id="23" w:name="_Toc52520114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873FEC">
        <w:rPr>
          <w:rFonts w:ascii="Verdana" w:eastAsia="Times New Roman" w:hAnsi="Verdana" w:cs="Verdana"/>
          <w:b/>
          <w:caps/>
          <w:sz w:val="20"/>
          <w:szCs w:val="20"/>
          <w:lang w:val="es-CR" w:eastAsia="es-CR"/>
        </w:rPr>
        <w:t>II</w:t>
      </w:r>
      <w:r w:rsidRPr="00873FEC">
        <w:rPr>
          <w:rFonts w:ascii="Verdana" w:eastAsia="Times New Roman" w:hAnsi="Verdana" w:cs="Verdana"/>
          <w:b/>
          <w:caps/>
          <w:color w:val="FFFFFF"/>
          <w:sz w:val="20"/>
          <w:szCs w:val="20"/>
          <w:lang w:val="es-CR" w:eastAsia="es-CR"/>
        </w:rPr>
        <w:t>.</w:t>
      </w:r>
      <w:r w:rsidRPr="00873FEC">
        <w:rPr>
          <w:rFonts w:ascii="Verdana" w:eastAsia="Times New Roman" w:hAnsi="Verdana" w:cs="Verdana"/>
          <w:b/>
          <w:caps/>
          <w:sz w:val="20"/>
          <w:szCs w:val="20"/>
          <w:lang w:val="es-CR" w:eastAsia="es-CR"/>
        </w:rPr>
        <w:br/>
        <w:t>PROCEDIMIENTO ANTE LA CORTE</w:t>
      </w:r>
      <w:bookmarkEnd w:id="22"/>
      <w:bookmarkEnd w:id="23"/>
    </w:p>
    <w:p w:rsidR="006166D8" w:rsidRPr="00873FEC" w:rsidRDefault="006166D8" w:rsidP="00126E97">
      <w:pPr>
        <w:spacing w:after="0" w:line="20" w:lineRule="atLeast"/>
        <w:ind w:right="6"/>
        <w:jc w:val="both"/>
        <w:rPr>
          <w:rFonts w:ascii="Verdana" w:eastAsia="Batang" w:hAnsi="Verdana" w:cs="Times"/>
          <w:sz w:val="20"/>
          <w:szCs w:val="20"/>
          <w:lang w:eastAsia="es-CR"/>
        </w:rPr>
      </w:pPr>
    </w:p>
    <w:p w:rsidR="006166D8" w:rsidRPr="00873FEC" w:rsidRDefault="006166D8" w:rsidP="00126E97">
      <w:pPr>
        <w:numPr>
          <w:ilvl w:val="0"/>
          <w:numId w:val="3"/>
        </w:numPr>
        <w:spacing w:after="0" w:line="20" w:lineRule="atLeast"/>
        <w:ind w:right="-138"/>
        <w:jc w:val="both"/>
        <w:rPr>
          <w:rFonts w:ascii="Verdana" w:eastAsia="Batang" w:hAnsi="Verdana" w:cs="Times"/>
          <w:sz w:val="20"/>
          <w:szCs w:val="20"/>
          <w:lang w:eastAsia="es-CR"/>
        </w:rPr>
      </w:pPr>
      <w:r w:rsidRPr="00873FEC">
        <w:rPr>
          <w:rFonts w:ascii="Verdana" w:eastAsia="Batang" w:hAnsi="Verdana" w:cs="Times"/>
          <w:i/>
          <w:sz w:val="20"/>
          <w:szCs w:val="24"/>
          <w:lang w:val="es-CR" w:eastAsia="es-CR"/>
        </w:rPr>
        <w:t>Notificación al Estado y a los representantes.</w:t>
      </w:r>
      <w:r w:rsidRPr="00873FEC">
        <w:rPr>
          <w:rFonts w:ascii="Verdana" w:eastAsia="Batang" w:hAnsi="Verdana" w:cs="Times"/>
          <w:sz w:val="20"/>
          <w:szCs w:val="24"/>
          <w:lang w:val="es-CR" w:eastAsia="es-CR"/>
        </w:rPr>
        <w:t xml:space="preserve"> – El sometimiento del caso fue notificado al Estado y a los representantes de las presuntas víctimas</w:t>
      </w:r>
      <w:r w:rsidRPr="00873FEC">
        <w:rPr>
          <w:rFonts w:ascii="Verdana" w:eastAsia="Batang" w:hAnsi="Verdana" w:cs="Times New Roman"/>
          <w:sz w:val="20"/>
          <w:szCs w:val="20"/>
          <w:vertAlign w:val="superscript"/>
          <w:lang w:eastAsia="x-none"/>
        </w:rPr>
        <w:footnoteReference w:id="3"/>
      </w:r>
      <w:r w:rsidRPr="00873FEC">
        <w:rPr>
          <w:rFonts w:ascii="Verdana" w:eastAsia="Batang" w:hAnsi="Verdana" w:cs="Times"/>
          <w:sz w:val="20"/>
          <w:szCs w:val="24"/>
          <w:lang w:val="es-CR" w:eastAsia="es-CR"/>
        </w:rPr>
        <w:t xml:space="preserve"> los días 24 y 30 de enero de enero de 2017, respectivamente. </w:t>
      </w:r>
      <w:bookmarkStart w:id="24" w:name="_Ref499811376"/>
      <w:bookmarkEnd w:id="24"/>
    </w:p>
    <w:p w:rsidR="006166D8" w:rsidRPr="00873FEC" w:rsidRDefault="006166D8" w:rsidP="00126E97">
      <w:pPr>
        <w:spacing w:after="0" w:line="20" w:lineRule="atLeast"/>
        <w:ind w:right="-138"/>
        <w:jc w:val="both"/>
        <w:rPr>
          <w:rFonts w:ascii="Verdana" w:eastAsia="Batang" w:hAnsi="Verdana" w:cs="Times"/>
          <w:sz w:val="20"/>
          <w:szCs w:val="20"/>
          <w:lang w:eastAsia="es-CR"/>
        </w:rPr>
      </w:pPr>
    </w:p>
    <w:p w:rsidR="006166D8" w:rsidRPr="00873FEC" w:rsidRDefault="006166D8" w:rsidP="00126E97">
      <w:pPr>
        <w:numPr>
          <w:ilvl w:val="0"/>
          <w:numId w:val="3"/>
        </w:numPr>
        <w:spacing w:after="0" w:line="20" w:lineRule="atLeast"/>
        <w:ind w:right="-138"/>
        <w:jc w:val="both"/>
        <w:rPr>
          <w:rFonts w:ascii="Verdana" w:eastAsia="Batang" w:hAnsi="Verdana" w:cs="Times"/>
          <w:sz w:val="20"/>
          <w:szCs w:val="20"/>
          <w:lang w:eastAsia="es-CR"/>
        </w:rPr>
      </w:pPr>
      <w:r w:rsidRPr="00873FEC">
        <w:rPr>
          <w:rFonts w:ascii="Verdana" w:eastAsia="Batang" w:hAnsi="Verdana" w:cs="Times"/>
          <w:i/>
          <w:sz w:val="20"/>
          <w:szCs w:val="24"/>
          <w:lang w:val="es-CR" w:eastAsia="es-CR"/>
        </w:rPr>
        <w:t>Escrito de solicitudes, argumentos y pruebas.</w:t>
      </w:r>
      <w:r w:rsidRPr="00873FEC">
        <w:rPr>
          <w:rFonts w:ascii="Verdana" w:eastAsia="Batang" w:hAnsi="Verdana" w:cs="Times"/>
          <w:sz w:val="20"/>
          <w:szCs w:val="24"/>
          <w:lang w:val="es-CR" w:eastAsia="es-CR"/>
        </w:rPr>
        <w:t xml:space="preserve"> – El 31 de marzo de 2017 el Grupo de Apoyo Mutuo (en adelante también “los representantes” o “GAM”) presentó su escrito de solicitudes, argumentos y pruebas (en adelante también “escrito de solicitudes y argumentos”), conforme a los artículos 25 y 40 del Reglamento de la Corte. Coincidieron sustancialmente con los alegatos de la Comisión y solicitaron a la Corte que declarara la responsabilidad internacional del Estado por la violación de los mismos artículos de la Convención Americana alegados por la Comisión (</w:t>
      </w:r>
      <w:r w:rsidRPr="00873FEC">
        <w:rPr>
          <w:rFonts w:ascii="Verdana" w:eastAsia="Batang" w:hAnsi="Verdana" w:cs="Times"/>
          <w:i/>
          <w:sz w:val="20"/>
          <w:szCs w:val="24"/>
          <w:lang w:val="es-CR" w:eastAsia="es-CR"/>
        </w:rPr>
        <w:t>supra</w:t>
      </w:r>
      <w:r w:rsidRPr="00873FEC">
        <w:rPr>
          <w:rFonts w:ascii="Verdana" w:eastAsia="Batang" w:hAnsi="Verdana" w:cs="Times"/>
          <w:sz w:val="20"/>
          <w:szCs w:val="24"/>
          <w:lang w:val="es-CR" w:eastAsia="es-CR"/>
        </w:rPr>
        <w:t xml:space="preserve"> párr. 2). Además, alegaron la violación del derecho a la propiedad privada. Finalmente, solicitaron que se ordenara al Estado adoptar diversas medidas de reparación y el reintegro de costas y gastos. </w:t>
      </w:r>
      <w:bookmarkStart w:id="25" w:name="_Ref499811389"/>
      <w:bookmarkEnd w:id="25"/>
    </w:p>
    <w:p w:rsidR="006166D8" w:rsidRPr="00873FEC" w:rsidRDefault="006166D8" w:rsidP="00126E97">
      <w:pPr>
        <w:spacing w:after="0" w:line="20" w:lineRule="atLeast"/>
        <w:ind w:left="720"/>
        <w:contextualSpacing/>
        <w:rPr>
          <w:rFonts w:ascii="Calibri" w:eastAsia="Calibri" w:hAnsi="Calibri" w:cs="Times"/>
          <w:i/>
          <w:lang w:val="es-CR" w:eastAsia="es-CR"/>
        </w:rPr>
      </w:pPr>
    </w:p>
    <w:p w:rsidR="006166D8" w:rsidRPr="00873FEC" w:rsidRDefault="006166D8" w:rsidP="00126E97">
      <w:pPr>
        <w:numPr>
          <w:ilvl w:val="0"/>
          <w:numId w:val="3"/>
        </w:numPr>
        <w:spacing w:after="0" w:line="20" w:lineRule="atLeast"/>
        <w:ind w:right="-138"/>
        <w:jc w:val="both"/>
        <w:rPr>
          <w:rFonts w:ascii="Verdana" w:eastAsia="Batang" w:hAnsi="Verdana" w:cs="Times"/>
          <w:sz w:val="20"/>
          <w:szCs w:val="20"/>
          <w:lang w:eastAsia="es-CR"/>
        </w:rPr>
      </w:pPr>
      <w:r w:rsidRPr="00873FEC">
        <w:rPr>
          <w:rFonts w:ascii="Verdana" w:eastAsia="Batang" w:hAnsi="Verdana" w:cs="Times"/>
          <w:i/>
          <w:sz w:val="20"/>
          <w:szCs w:val="24"/>
          <w:lang w:val="es-CR" w:eastAsia="es-CR"/>
        </w:rPr>
        <w:t xml:space="preserve">Escrito de contestación. – </w:t>
      </w:r>
      <w:r w:rsidRPr="00873FEC">
        <w:rPr>
          <w:rFonts w:ascii="Verdana" w:eastAsia="Batang" w:hAnsi="Verdana" w:cs="Times"/>
          <w:sz w:val="20"/>
          <w:szCs w:val="24"/>
          <w:lang w:val="es-CR" w:eastAsia="es-CR"/>
        </w:rPr>
        <w:t>El 3 de julio de 2017 el Estado presentó su escrito de contestación al sometimiento del caso por parte de la Comisión y de observaciones al escrito de solicitudes, argumentos y pruebas (en adelante “escrito de contestación”</w:t>
      </w:r>
      <w:r w:rsidRPr="00873FEC">
        <w:rPr>
          <w:rFonts w:ascii="Verdana" w:eastAsia="Batang" w:hAnsi="Verdana" w:cs="Times"/>
          <w:sz w:val="20"/>
          <w:szCs w:val="20"/>
          <w:lang w:val="es-CR" w:eastAsia="es-CR"/>
        </w:rPr>
        <w:t>)</w:t>
      </w:r>
      <w:r w:rsidRPr="00873FEC">
        <w:rPr>
          <w:rFonts w:ascii="Verdana" w:eastAsia="Batang" w:hAnsi="Verdana" w:cs="Times New Roman"/>
          <w:sz w:val="20"/>
          <w:szCs w:val="20"/>
          <w:vertAlign w:val="superscript"/>
          <w:lang w:eastAsia="x-none"/>
        </w:rPr>
        <w:footnoteReference w:id="4"/>
      </w:r>
      <w:r w:rsidRPr="00873FEC">
        <w:rPr>
          <w:rFonts w:ascii="Verdana" w:eastAsia="Batang" w:hAnsi="Verdana" w:cs="Times"/>
          <w:sz w:val="20"/>
          <w:szCs w:val="20"/>
          <w:lang w:val="es-CR" w:eastAsia="es-CR"/>
        </w:rPr>
        <w:t>.</w:t>
      </w:r>
      <w:r w:rsidRPr="00873FEC">
        <w:rPr>
          <w:rFonts w:ascii="Verdana" w:eastAsia="Batang" w:hAnsi="Verdana" w:cs="Times"/>
          <w:sz w:val="20"/>
          <w:szCs w:val="24"/>
          <w:lang w:val="es-CR" w:eastAsia="es-CR"/>
        </w:rPr>
        <w:t xml:space="preserve"> Se opuso a las violaciones alegadas y respondió a las solicitudes de reparación. </w:t>
      </w:r>
      <w:bookmarkStart w:id="26" w:name="_Ref508208688"/>
      <w:bookmarkEnd w:id="26"/>
    </w:p>
    <w:p w:rsidR="006166D8" w:rsidRPr="00873FEC" w:rsidRDefault="006166D8" w:rsidP="00126E97">
      <w:pPr>
        <w:spacing w:after="0" w:line="20" w:lineRule="atLeast"/>
        <w:ind w:left="720"/>
        <w:contextualSpacing/>
        <w:rPr>
          <w:rFonts w:ascii="Calibri" w:eastAsia="Calibri" w:hAnsi="Calibri" w:cs="Times"/>
          <w:i/>
          <w:lang w:val="es-CR" w:eastAsia="es-CR"/>
        </w:rPr>
      </w:pPr>
    </w:p>
    <w:p w:rsidR="006166D8" w:rsidRPr="00873FEC" w:rsidRDefault="006166D8" w:rsidP="00126E97">
      <w:pPr>
        <w:numPr>
          <w:ilvl w:val="0"/>
          <w:numId w:val="3"/>
        </w:numPr>
        <w:spacing w:after="0" w:line="20" w:lineRule="atLeast"/>
        <w:ind w:right="-138"/>
        <w:jc w:val="both"/>
        <w:rPr>
          <w:rFonts w:ascii="Verdana" w:eastAsia="Batang" w:hAnsi="Verdana" w:cs="Times"/>
          <w:sz w:val="20"/>
          <w:szCs w:val="20"/>
          <w:lang w:eastAsia="es-CR"/>
        </w:rPr>
      </w:pPr>
      <w:r w:rsidRPr="00873FEC">
        <w:rPr>
          <w:rFonts w:ascii="Verdana" w:eastAsia="Batang" w:hAnsi="Verdana" w:cs="Times"/>
          <w:i/>
          <w:sz w:val="20"/>
          <w:szCs w:val="24"/>
          <w:lang w:val="es-CR" w:eastAsia="es-CR"/>
        </w:rPr>
        <w:t xml:space="preserve">Audiencia Pública. </w:t>
      </w:r>
      <w:r w:rsidRPr="00873FEC">
        <w:rPr>
          <w:rFonts w:ascii="Verdana" w:eastAsia="Batang" w:hAnsi="Verdana" w:cs="Times"/>
          <w:sz w:val="20"/>
          <w:szCs w:val="24"/>
          <w:lang w:val="es-CR" w:eastAsia="es-CR"/>
        </w:rPr>
        <w:t>– El 13 de diciembre de 2017 el Presidente de la Corte</w:t>
      </w:r>
      <w:r w:rsidRPr="00873FEC">
        <w:rPr>
          <w:rFonts w:ascii="Verdana" w:eastAsia="Batang" w:hAnsi="Verdana" w:cs="Times New Roman"/>
          <w:sz w:val="20"/>
          <w:szCs w:val="20"/>
          <w:vertAlign w:val="superscript"/>
          <w:lang w:eastAsia="x-none"/>
        </w:rPr>
        <w:footnoteReference w:id="5"/>
      </w:r>
      <w:r w:rsidRPr="00873FEC">
        <w:rPr>
          <w:rFonts w:ascii="Verdana" w:eastAsia="Batang" w:hAnsi="Verdana" w:cs="Times"/>
          <w:sz w:val="20"/>
          <w:szCs w:val="24"/>
          <w:lang w:val="es-CR" w:eastAsia="es-CR"/>
        </w:rPr>
        <w:t xml:space="preserve"> (en adelante, “el Presidente”) emitió una Resolución mediante la cual convocó al Estado, a los representantes y a la Comisión Interamericana </w:t>
      </w:r>
      <w:r w:rsidR="00191A9D" w:rsidRPr="00873FEC">
        <w:rPr>
          <w:rFonts w:ascii="Verdana" w:eastAsia="Batang" w:hAnsi="Verdana" w:cs="Times"/>
          <w:sz w:val="20"/>
          <w:szCs w:val="24"/>
          <w:lang w:val="es-CR" w:eastAsia="es-CR"/>
        </w:rPr>
        <w:t xml:space="preserve">de Derechos Humanos </w:t>
      </w:r>
      <w:r w:rsidRPr="00873FEC">
        <w:rPr>
          <w:rFonts w:ascii="Verdana" w:eastAsia="Batang" w:hAnsi="Verdana" w:cs="Times"/>
          <w:sz w:val="20"/>
          <w:szCs w:val="24"/>
          <w:lang w:val="es-CR" w:eastAsia="es-CR"/>
        </w:rPr>
        <w:t>a la celebración de una audiencia pública respecto del fondo, reparaciones y costas, para escuchar los alegatos finales orales de las partes y las observaciones finales orales de la Comisión respecto de dichos temas</w:t>
      </w:r>
      <w:bookmarkStart w:id="27" w:name="_Ref499811592"/>
      <w:bookmarkEnd w:id="27"/>
      <w:r w:rsidRPr="00873FEC">
        <w:rPr>
          <w:rFonts w:ascii="Verdana" w:eastAsia="Batang" w:hAnsi="Verdana" w:cs="Times New Roman"/>
          <w:sz w:val="20"/>
          <w:szCs w:val="20"/>
          <w:vertAlign w:val="superscript"/>
          <w:lang w:eastAsia="x-none"/>
        </w:rPr>
        <w:footnoteReference w:id="6"/>
      </w:r>
      <w:r w:rsidRPr="00873FEC">
        <w:rPr>
          <w:rFonts w:ascii="Verdana" w:eastAsia="Batang" w:hAnsi="Verdana" w:cs="Times"/>
          <w:sz w:val="20"/>
          <w:szCs w:val="20"/>
          <w:lang w:val="es-CR" w:eastAsia="es-CR"/>
        </w:rPr>
        <w:t xml:space="preserve">. </w:t>
      </w:r>
      <w:r w:rsidRPr="00873FEC">
        <w:rPr>
          <w:rFonts w:ascii="Verdana" w:eastAsia="Batang" w:hAnsi="Verdana" w:cs="Times"/>
          <w:sz w:val="20"/>
          <w:szCs w:val="24"/>
          <w:lang w:val="es-CR" w:eastAsia="es-CR"/>
        </w:rPr>
        <w:t>Además convocó a declarar en esa audiencia a dos presuntas víctimas. Asimismo, ordenó recibir las declaraciones ante fedatario público (afidávits) de una presunta víctima y una perita. La audiencia pública se celebró el 9 de febrero de 2018 durante el 121 Período Ordinario de Sesiones de la Corte, llevado a cabo en su sede</w:t>
      </w:r>
      <w:r w:rsidRPr="00873FEC">
        <w:rPr>
          <w:rFonts w:ascii="Verdana" w:eastAsia="Verdana" w:hAnsi="Verdana" w:cs="Verdana"/>
          <w:sz w:val="20"/>
          <w:szCs w:val="20"/>
          <w:vertAlign w:val="superscript"/>
          <w:lang w:val="en-US" w:eastAsia="x-none"/>
        </w:rPr>
        <w:footnoteReference w:id="7"/>
      </w:r>
      <w:r w:rsidRPr="00873FEC">
        <w:rPr>
          <w:rFonts w:ascii="Verdana" w:eastAsia="Batang" w:hAnsi="Verdana" w:cs="Times"/>
          <w:sz w:val="20"/>
          <w:szCs w:val="24"/>
          <w:lang w:val="es-CR" w:eastAsia="es-CR"/>
        </w:rPr>
        <w:t>. En el curso de dicha audiencia, los Jueces de la Corte solicitaron cierta información y explicaciones a las partes y a la Comisión.</w:t>
      </w:r>
      <w:bookmarkStart w:id="28" w:name="_Ref512937341"/>
      <w:bookmarkEnd w:id="28"/>
    </w:p>
    <w:p w:rsidR="006166D8" w:rsidRPr="00873FEC" w:rsidRDefault="006166D8" w:rsidP="00126E97">
      <w:pPr>
        <w:spacing w:after="0" w:line="20" w:lineRule="atLeast"/>
        <w:ind w:right="-138"/>
        <w:jc w:val="both"/>
        <w:rPr>
          <w:rFonts w:ascii="Verdana" w:eastAsia="Batang" w:hAnsi="Verdana" w:cs="Times"/>
          <w:sz w:val="20"/>
          <w:szCs w:val="20"/>
          <w:lang w:eastAsia="es-CR"/>
        </w:rPr>
      </w:pPr>
    </w:p>
    <w:p w:rsidR="006166D8" w:rsidRPr="00873FEC" w:rsidRDefault="006166D8" w:rsidP="00126E97">
      <w:pPr>
        <w:numPr>
          <w:ilvl w:val="0"/>
          <w:numId w:val="3"/>
        </w:numPr>
        <w:spacing w:after="0" w:line="20" w:lineRule="atLeast"/>
        <w:ind w:right="-138"/>
        <w:jc w:val="both"/>
        <w:rPr>
          <w:rFonts w:ascii="Verdana" w:eastAsia="Batang" w:hAnsi="Verdana" w:cs="Times"/>
          <w:sz w:val="20"/>
          <w:szCs w:val="20"/>
          <w:lang w:eastAsia="es-CR"/>
        </w:rPr>
      </w:pPr>
      <w:r w:rsidRPr="00873FEC">
        <w:rPr>
          <w:rFonts w:ascii="Verdana" w:eastAsia="Batang" w:hAnsi="Verdana" w:cs="Times"/>
          <w:i/>
          <w:sz w:val="20"/>
          <w:szCs w:val="24"/>
          <w:lang w:val="es-CR" w:eastAsia="es-CR"/>
        </w:rPr>
        <w:t xml:space="preserve">Alegatos y observaciones finales escritos. </w:t>
      </w:r>
      <w:r w:rsidRPr="00873FEC">
        <w:rPr>
          <w:rFonts w:ascii="Verdana" w:eastAsia="Batang" w:hAnsi="Verdana" w:cs="Times"/>
          <w:sz w:val="20"/>
          <w:szCs w:val="24"/>
          <w:lang w:val="es-CR" w:eastAsia="es-CR"/>
        </w:rPr>
        <w:t xml:space="preserve">– El 9 de marzo de 2018 los representantes y el Estado remitieron sus alegatos finales escritos, así como determinados anexos. El 12 de marzo de 2018 la Comisión presentó sus observaciones finales escritas. </w:t>
      </w:r>
      <w:bookmarkStart w:id="29" w:name="_Ref479271603"/>
      <w:bookmarkStart w:id="30" w:name="_Ref464815046"/>
      <w:bookmarkEnd w:id="29"/>
      <w:bookmarkEnd w:id="30"/>
      <w:r w:rsidRPr="00873FEC">
        <w:rPr>
          <w:rFonts w:ascii="Verdana" w:eastAsia="Batang" w:hAnsi="Verdana" w:cs="Times"/>
          <w:sz w:val="20"/>
          <w:szCs w:val="24"/>
          <w:lang w:val="es-CR" w:eastAsia="es-CR"/>
        </w:rPr>
        <w:t>El 2 de abril de 2018</w:t>
      </w:r>
      <w:r w:rsidRPr="00873FEC">
        <w:rPr>
          <w:rFonts w:ascii="Verdana" w:eastAsia="Batang" w:hAnsi="Verdana" w:cs="Times"/>
          <w:b/>
          <w:sz w:val="20"/>
          <w:szCs w:val="24"/>
          <w:lang w:val="es-CR" w:eastAsia="es-CR"/>
        </w:rPr>
        <w:t xml:space="preserve"> </w:t>
      </w:r>
      <w:r w:rsidRPr="00873FEC">
        <w:rPr>
          <w:rFonts w:ascii="Verdana" w:eastAsia="Batang" w:hAnsi="Verdana" w:cs="Times"/>
          <w:sz w:val="20"/>
          <w:szCs w:val="24"/>
          <w:lang w:val="es-CR" w:eastAsia="es-CR"/>
        </w:rPr>
        <w:t xml:space="preserve">los representantes y el Estado presentaron, respectivamente, sus observaciones a los anexos documentales presentada por la otra parte. En esa misma fecha, la Comisión informó que no tenía observaciones sobre la documentación referida. </w:t>
      </w:r>
    </w:p>
    <w:p w:rsidR="006166D8" w:rsidRPr="00873FEC" w:rsidRDefault="006166D8" w:rsidP="00126E97">
      <w:pPr>
        <w:spacing w:after="0" w:line="20" w:lineRule="atLeast"/>
        <w:ind w:left="720"/>
        <w:contextualSpacing/>
        <w:rPr>
          <w:rFonts w:ascii="Calibri" w:eastAsia="Calibri" w:hAnsi="Calibri" w:cs="Times"/>
          <w:i/>
          <w:lang w:val="es-CR" w:eastAsia="es-CR"/>
        </w:rPr>
      </w:pPr>
    </w:p>
    <w:p w:rsidR="006166D8" w:rsidRPr="00873FEC" w:rsidRDefault="006166D8" w:rsidP="00126E97">
      <w:pPr>
        <w:numPr>
          <w:ilvl w:val="0"/>
          <w:numId w:val="3"/>
        </w:numPr>
        <w:spacing w:after="0" w:line="20" w:lineRule="atLeast"/>
        <w:ind w:right="-138"/>
        <w:jc w:val="both"/>
        <w:rPr>
          <w:rFonts w:ascii="Verdana" w:eastAsia="Batang" w:hAnsi="Verdana" w:cs="Times"/>
          <w:sz w:val="20"/>
          <w:szCs w:val="20"/>
          <w:lang w:val="es-CR" w:eastAsia="es-CR"/>
        </w:rPr>
      </w:pPr>
      <w:r w:rsidRPr="00873FEC">
        <w:rPr>
          <w:rFonts w:ascii="Verdana" w:eastAsia="Batang" w:hAnsi="Verdana" w:cs="Times"/>
          <w:i/>
          <w:iCs/>
          <w:sz w:val="20"/>
          <w:szCs w:val="20"/>
          <w:lang w:val="es-CR" w:eastAsia="es-CR"/>
        </w:rPr>
        <w:t xml:space="preserve">Medidas provisionales. - </w:t>
      </w:r>
      <w:r w:rsidRPr="00873FEC">
        <w:rPr>
          <w:rFonts w:ascii="Verdana" w:eastAsia="Batang" w:hAnsi="Verdana" w:cs="Times"/>
          <w:sz w:val="20"/>
          <w:szCs w:val="20"/>
          <w:lang w:val="es-CR" w:eastAsia="es-CR"/>
        </w:rPr>
        <w:t xml:space="preserve">El 8 de febrero de 2018 la Corte adoptó medidas provisionales a favor de las presuntas víctimas Efraín Grave </w:t>
      </w:r>
      <w:proofErr w:type="spellStart"/>
      <w:r w:rsidRPr="00873FEC">
        <w:rPr>
          <w:rFonts w:ascii="Verdana" w:eastAsia="Batang" w:hAnsi="Verdana" w:cs="Times"/>
          <w:sz w:val="20"/>
          <w:szCs w:val="20"/>
          <w:lang w:val="es-CR" w:eastAsia="es-CR"/>
        </w:rPr>
        <w:t>Morente</w:t>
      </w:r>
      <w:proofErr w:type="spellEnd"/>
      <w:r w:rsidRPr="00873FEC">
        <w:rPr>
          <w:rFonts w:ascii="Verdana" w:eastAsia="Batang" w:hAnsi="Verdana" w:cs="Times"/>
          <w:sz w:val="20"/>
          <w:szCs w:val="20"/>
          <w:lang w:val="es-CR" w:eastAsia="es-CR"/>
        </w:rPr>
        <w:t>, Natividad Sales</w:t>
      </w:r>
      <w:r w:rsidR="000D5D3B">
        <w:rPr>
          <w:rFonts w:ascii="Verdana" w:eastAsia="Batang" w:hAnsi="Verdana" w:cs="Times"/>
          <w:sz w:val="20"/>
          <w:szCs w:val="20"/>
          <w:lang w:val="es-CR" w:eastAsia="es-CR"/>
        </w:rPr>
        <w:t xml:space="preserve"> Calmo</w:t>
      </w:r>
      <w:r w:rsidRPr="00873FEC">
        <w:rPr>
          <w:rFonts w:ascii="Verdana" w:eastAsia="Batang" w:hAnsi="Verdana" w:cs="Times"/>
          <w:sz w:val="20"/>
          <w:szCs w:val="20"/>
          <w:lang w:val="es-CR" w:eastAsia="es-CR"/>
        </w:rPr>
        <w:t xml:space="preserve"> y Tomás Grave </w:t>
      </w:r>
      <w:proofErr w:type="spellStart"/>
      <w:r w:rsidRPr="00873FEC">
        <w:rPr>
          <w:rFonts w:ascii="Verdana" w:eastAsia="Batang" w:hAnsi="Verdana" w:cs="Times"/>
          <w:sz w:val="20"/>
          <w:szCs w:val="20"/>
          <w:lang w:val="es-CR" w:eastAsia="es-CR"/>
        </w:rPr>
        <w:t>Morente</w:t>
      </w:r>
      <w:proofErr w:type="spellEnd"/>
      <w:r w:rsidRPr="00873FEC">
        <w:rPr>
          <w:rFonts w:ascii="Verdana" w:eastAsia="Batang" w:hAnsi="Verdana" w:cs="Times"/>
          <w:sz w:val="20"/>
          <w:szCs w:val="20"/>
          <w:lang w:val="es-CR" w:eastAsia="es-CR"/>
        </w:rPr>
        <w:t xml:space="preserve">, así como de </w:t>
      </w:r>
      <w:proofErr w:type="spellStart"/>
      <w:r w:rsidRPr="00873FEC">
        <w:rPr>
          <w:rFonts w:ascii="Verdana" w:eastAsia="Batang" w:hAnsi="Verdana" w:cs="Times"/>
          <w:sz w:val="20"/>
          <w:szCs w:val="20"/>
          <w:lang w:val="es-CR" w:eastAsia="es-CR"/>
        </w:rPr>
        <w:t>Maynor</w:t>
      </w:r>
      <w:proofErr w:type="spellEnd"/>
      <w:r w:rsidRPr="00873FEC">
        <w:rPr>
          <w:rFonts w:ascii="Verdana" w:eastAsia="Batang" w:hAnsi="Verdana" w:cs="Times"/>
          <w:sz w:val="20"/>
          <w:szCs w:val="20"/>
          <w:lang w:val="es-CR" w:eastAsia="es-CR"/>
        </w:rPr>
        <w:t xml:space="preserve"> Estuardo Alvarado Galeano y Karla Lorena Campos Flores, abogado y abogada de los representantes</w:t>
      </w:r>
      <w:r w:rsidRPr="00873FEC">
        <w:rPr>
          <w:rFonts w:ascii="Verdana" w:eastAsia="Batang" w:hAnsi="Verdana" w:cs="Times New Roman"/>
          <w:sz w:val="20"/>
          <w:szCs w:val="20"/>
          <w:vertAlign w:val="superscript"/>
          <w:lang w:val="en-US" w:eastAsia="x-none"/>
        </w:rPr>
        <w:footnoteReference w:id="8"/>
      </w:r>
      <w:r w:rsidRPr="00873FEC">
        <w:rPr>
          <w:rFonts w:ascii="Verdana" w:eastAsia="Batang" w:hAnsi="Verdana" w:cs="Times"/>
          <w:sz w:val="20"/>
          <w:szCs w:val="20"/>
          <w:lang w:val="es-CR" w:eastAsia="es-CR"/>
        </w:rPr>
        <w:t xml:space="preserve">. Las medidas provisionales continúan vigentes. </w:t>
      </w:r>
    </w:p>
    <w:p w:rsidR="006166D8" w:rsidRPr="00873FEC" w:rsidRDefault="006166D8" w:rsidP="00126E97">
      <w:pPr>
        <w:spacing w:after="0" w:line="20" w:lineRule="atLeast"/>
        <w:ind w:left="720"/>
        <w:contextualSpacing/>
        <w:rPr>
          <w:rFonts w:ascii="Calibri" w:eastAsia="Calibri" w:hAnsi="Calibri" w:cs="Times"/>
          <w:i/>
          <w:lang w:val="es-CR" w:eastAsia="es-CR"/>
        </w:rPr>
      </w:pPr>
    </w:p>
    <w:p w:rsidR="006166D8" w:rsidRPr="00873FEC" w:rsidRDefault="006166D8" w:rsidP="00126E97">
      <w:pPr>
        <w:numPr>
          <w:ilvl w:val="0"/>
          <w:numId w:val="3"/>
        </w:numPr>
        <w:spacing w:after="0" w:line="20" w:lineRule="atLeast"/>
        <w:ind w:right="-138"/>
        <w:jc w:val="both"/>
        <w:rPr>
          <w:rFonts w:ascii="Verdana" w:eastAsia="Batang" w:hAnsi="Verdana" w:cs="Times"/>
          <w:sz w:val="20"/>
          <w:szCs w:val="20"/>
          <w:lang w:eastAsia="es-CR"/>
        </w:rPr>
      </w:pPr>
      <w:r w:rsidRPr="00873FEC">
        <w:rPr>
          <w:rFonts w:ascii="Verdana" w:eastAsia="Batang" w:hAnsi="Verdana" w:cs="Times"/>
          <w:i/>
          <w:sz w:val="20"/>
          <w:szCs w:val="24"/>
          <w:lang w:val="es-CR" w:eastAsia="es-CR"/>
        </w:rPr>
        <w:t xml:space="preserve">Deliberación del presente caso. </w:t>
      </w:r>
      <w:r w:rsidRPr="00873FEC">
        <w:rPr>
          <w:rFonts w:ascii="Verdana" w:eastAsia="Batang" w:hAnsi="Verdana" w:cs="Times"/>
          <w:sz w:val="20"/>
          <w:szCs w:val="24"/>
          <w:lang w:val="es-CR" w:eastAsia="es-CR"/>
        </w:rPr>
        <w:t>– La Corte deliberó la presente Sentencia los días 21 y 22</w:t>
      </w:r>
      <w:r w:rsidRPr="00873FEC">
        <w:rPr>
          <w:rFonts w:ascii="Verdana" w:eastAsia="Batang" w:hAnsi="Verdana" w:cs="Times"/>
          <w:b/>
          <w:sz w:val="20"/>
          <w:szCs w:val="24"/>
          <w:lang w:val="es-CR" w:eastAsia="es-CR"/>
        </w:rPr>
        <w:t xml:space="preserve"> </w:t>
      </w:r>
      <w:r w:rsidRPr="00873FEC">
        <w:rPr>
          <w:rFonts w:ascii="Verdana" w:eastAsia="Batang" w:hAnsi="Verdana" w:cs="Times"/>
          <w:sz w:val="20"/>
          <w:szCs w:val="24"/>
          <w:lang w:val="es-CR" w:eastAsia="es-CR"/>
        </w:rPr>
        <w:t xml:space="preserve">de agosto de 2018. </w:t>
      </w:r>
    </w:p>
    <w:p w:rsidR="006166D8" w:rsidRPr="00873FEC" w:rsidRDefault="006166D8" w:rsidP="00126E97">
      <w:pPr>
        <w:spacing w:after="0" w:line="20" w:lineRule="atLeast"/>
        <w:ind w:left="720"/>
        <w:contextualSpacing/>
        <w:rPr>
          <w:rFonts w:ascii="Calibri" w:eastAsia="Calibri" w:hAnsi="Calibri" w:cs="Times"/>
          <w:lang w:val="es-CR" w:eastAsia="es-CR"/>
        </w:rPr>
      </w:pPr>
    </w:p>
    <w:p w:rsidR="006166D8" w:rsidRPr="00873FEC" w:rsidRDefault="006166D8" w:rsidP="00126E97">
      <w:pPr>
        <w:keepNext/>
        <w:keepLines/>
        <w:spacing w:after="0" w:line="20" w:lineRule="atLeast"/>
        <w:jc w:val="center"/>
        <w:outlineLvl w:val="0"/>
        <w:rPr>
          <w:rFonts w:ascii="Verdana" w:eastAsia="Calibri" w:hAnsi="Verdana" w:cs="Verdana"/>
          <w:b/>
          <w:caps/>
          <w:spacing w:val="-5"/>
          <w:sz w:val="20"/>
          <w:szCs w:val="20"/>
          <w:lang w:val="es-CR" w:eastAsia="es-CR"/>
        </w:rPr>
      </w:pPr>
      <w:bookmarkStart w:id="31" w:name="_Toc515350937"/>
      <w:bookmarkStart w:id="32" w:name="_Toc520207568"/>
      <w:bookmarkStart w:id="33" w:name="_Toc521694799"/>
      <w:bookmarkStart w:id="34" w:name="_Toc525201145"/>
      <w:bookmarkEnd w:id="31"/>
      <w:bookmarkEnd w:id="32"/>
      <w:r w:rsidRPr="00873FEC">
        <w:rPr>
          <w:rFonts w:ascii="Verdana" w:eastAsia="Calibri" w:hAnsi="Verdana" w:cs="Verdana"/>
          <w:b/>
          <w:caps/>
          <w:spacing w:val="-5"/>
          <w:sz w:val="20"/>
          <w:szCs w:val="20"/>
          <w:lang w:val="es-CR" w:eastAsia="es-CR"/>
        </w:rPr>
        <w:t>III</w:t>
      </w:r>
      <w:bookmarkEnd w:id="33"/>
      <w:bookmarkEnd w:id="34"/>
    </w:p>
    <w:p w:rsidR="006166D8" w:rsidRPr="00873FEC" w:rsidRDefault="006166D8" w:rsidP="00126E97">
      <w:pPr>
        <w:keepNext/>
        <w:keepLines/>
        <w:spacing w:after="0" w:line="20" w:lineRule="atLeast"/>
        <w:jc w:val="center"/>
        <w:outlineLvl w:val="0"/>
        <w:rPr>
          <w:rFonts w:ascii="Verdana" w:eastAsia="Times New Roman" w:hAnsi="Verdana" w:cs="Verdana"/>
          <w:b/>
          <w:caps/>
          <w:spacing w:val="-5"/>
          <w:sz w:val="20"/>
          <w:szCs w:val="20"/>
          <w:lang w:val="es-CR" w:eastAsia="es-CR"/>
        </w:rPr>
      </w:pPr>
      <w:bookmarkStart w:id="35" w:name="_Toc514063374"/>
      <w:bookmarkStart w:id="36" w:name="_Toc512498966"/>
      <w:bookmarkStart w:id="37" w:name="_Toc512447124"/>
      <w:bookmarkStart w:id="38" w:name="_Toc504661192"/>
      <w:bookmarkStart w:id="39" w:name="_Toc504656571"/>
      <w:bookmarkStart w:id="40" w:name="_Toc503594839"/>
      <w:bookmarkStart w:id="41" w:name="_Toc502891543"/>
      <w:bookmarkStart w:id="42" w:name="_Toc502022996"/>
      <w:bookmarkStart w:id="43" w:name="_Toc501802101"/>
      <w:bookmarkStart w:id="44" w:name="_Toc375062724"/>
      <w:bookmarkStart w:id="45" w:name="_Toc375140874"/>
      <w:bookmarkStart w:id="46" w:name="_Toc375504833"/>
      <w:bookmarkStart w:id="47" w:name="_Toc375560907"/>
      <w:bookmarkStart w:id="48" w:name="_Toc395213493"/>
      <w:bookmarkStart w:id="49" w:name="_Toc396514850"/>
      <w:bookmarkStart w:id="50" w:name="_Toc396515126"/>
      <w:bookmarkStart w:id="51" w:name="_Toc402039405"/>
      <w:bookmarkStart w:id="52" w:name="_Toc403670648"/>
      <w:bookmarkStart w:id="53" w:name="_Toc403671384"/>
      <w:bookmarkStart w:id="54" w:name="_Toc405774576"/>
      <w:bookmarkStart w:id="55" w:name="_Toc405857779"/>
      <w:bookmarkStart w:id="56" w:name="_Toc424833999"/>
      <w:bookmarkStart w:id="57" w:name="_Toc424834683"/>
      <w:bookmarkStart w:id="58" w:name="_Toc424834750"/>
      <w:bookmarkStart w:id="59" w:name="_Toc427234538"/>
      <w:bookmarkStart w:id="60" w:name="_Toc427342827"/>
      <w:bookmarkStart w:id="61" w:name="_Toc427663813"/>
      <w:bookmarkStart w:id="62" w:name="_Toc427932789"/>
      <w:bookmarkStart w:id="63" w:name="_Toc427943552"/>
      <w:bookmarkStart w:id="64" w:name="_Toc427943726"/>
      <w:bookmarkStart w:id="65" w:name="_Toc431584606"/>
      <w:bookmarkStart w:id="66" w:name="_Toc431584722"/>
      <w:bookmarkStart w:id="67" w:name="_Toc431585027"/>
      <w:bookmarkStart w:id="68" w:name="_Toc431646544"/>
      <w:bookmarkStart w:id="69" w:name="_Toc431834623"/>
      <w:bookmarkStart w:id="70" w:name="_Toc308537928"/>
      <w:bookmarkStart w:id="71" w:name="_Toc308538148"/>
      <w:bookmarkStart w:id="72" w:name="_Toc434849915"/>
      <w:bookmarkStart w:id="73" w:name="_Toc434850394"/>
      <w:bookmarkStart w:id="74" w:name="_Toc469594902"/>
      <w:bookmarkStart w:id="75" w:name="_Toc469664211"/>
      <w:bookmarkStart w:id="76" w:name="_Toc469664473"/>
      <w:bookmarkStart w:id="77" w:name="_Toc469940918"/>
      <w:bookmarkStart w:id="78" w:name="_Toc515350938"/>
      <w:bookmarkStart w:id="79" w:name="_Toc520207569"/>
      <w:bookmarkStart w:id="80" w:name="_Toc521694800"/>
      <w:bookmarkStart w:id="81" w:name="_Toc525201146"/>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873FEC">
        <w:rPr>
          <w:rFonts w:ascii="Verdana" w:eastAsia="Times New Roman" w:hAnsi="Verdana" w:cs="Verdana"/>
          <w:b/>
          <w:caps/>
          <w:spacing w:val="-5"/>
          <w:sz w:val="20"/>
          <w:szCs w:val="20"/>
          <w:lang w:val="es-CR" w:eastAsia="es-CR"/>
        </w:rPr>
        <w:t>COMPETENCIA</w:t>
      </w:r>
      <w:bookmarkEnd w:id="80"/>
      <w:bookmarkEnd w:id="81"/>
    </w:p>
    <w:p w:rsidR="006166D8" w:rsidRPr="00873FEC" w:rsidRDefault="006166D8" w:rsidP="00126E97">
      <w:pPr>
        <w:spacing w:after="0" w:line="20" w:lineRule="atLeast"/>
        <w:ind w:left="720"/>
        <w:contextualSpacing/>
        <w:rPr>
          <w:rFonts w:ascii="Calibri" w:eastAsia="Calibri" w:hAnsi="Calibri" w:cs="Times"/>
          <w:lang w:val="es-CR" w:eastAsia="es-CR"/>
        </w:rPr>
      </w:pPr>
    </w:p>
    <w:p w:rsidR="006166D8" w:rsidRPr="00873FEC" w:rsidRDefault="006166D8" w:rsidP="00126E97">
      <w:pPr>
        <w:numPr>
          <w:ilvl w:val="0"/>
          <w:numId w:val="3"/>
        </w:numPr>
        <w:spacing w:after="0" w:line="20" w:lineRule="atLeast"/>
        <w:ind w:right="-138"/>
        <w:jc w:val="both"/>
        <w:rPr>
          <w:rFonts w:ascii="Verdana" w:eastAsia="Batang" w:hAnsi="Verdana" w:cs="Times"/>
          <w:sz w:val="20"/>
          <w:szCs w:val="20"/>
          <w:lang w:eastAsia="es-CR"/>
        </w:rPr>
      </w:pPr>
      <w:r w:rsidRPr="00873FEC">
        <w:rPr>
          <w:rFonts w:ascii="Verdana" w:eastAsia="Batang" w:hAnsi="Verdana" w:cs="Times"/>
          <w:sz w:val="20"/>
          <w:szCs w:val="24"/>
          <w:lang w:val="es-CR" w:eastAsia="es-CR"/>
        </w:rPr>
        <w:t xml:space="preserve">La Corte es competente para conocer el presente caso, en los términos del artículo 62.3 de la Convención, en razón de que Guatemala es Estado Parte en la Convención Americana desde el 25 de mayo de 1978 y reconoció la competencia contenciosa de la Corte el 9 de marzo de 1987. </w:t>
      </w:r>
    </w:p>
    <w:p w:rsidR="006166D8" w:rsidRPr="00873FEC" w:rsidRDefault="006166D8" w:rsidP="00126E97">
      <w:pPr>
        <w:spacing w:after="0" w:line="20" w:lineRule="atLeast"/>
        <w:ind w:right="-138"/>
        <w:jc w:val="both"/>
        <w:rPr>
          <w:rFonts w:ascii="Verdana" w:eastAsia="Batang" w:hAnsi="Verdana" w:cs="Times"/>
          <w:sz w:val="20"/>
          <w:szCs w:val="24"/>
          <w:lang w:val="es-CR" w:eastAsia="es-CR"/>
        </w:rPr>
      </w:pPr>
    </w:p>
    <w:p w:rsidR="006166D8" w:rsidRPr="00873FEC" w:rsidRDefault="006166D8" w:rsidP="00126E97">
      <w:pPr>
        <w:keepNext/>
        <w:keepLines/>
        <w:spacing w:after="0" w:line="20" w:lineRule="atLeast"/>
        <w:jc w:val="center"/>
        <w:outlineLvl w:val="0"/>
        <w:rPr>
          <w:rFonts w:ascii="Verdana" w:eastAsia="Calibri" w:hAnsi="Verdana" w:cs="Verdana"/>
          <w:b/>
          <w:caps/>
          <w:spacing w:val="-5"/>
          <w:sz w:val="20"/>
          <w:szCs w:val="20"/>
          <w:lang w:val="es-CR" w:eastAsia="es-CR"/>
        </w:rPr>
      </w:pPr>
      <w:bookmarkStart w:id="82" w:name="_Toc515350939"/>
      <w:bookmarkStart w:id="83" w:name="_Toc520207570"/>
      <w:bookmarkStart w:id="84" w:name="_Toc521694801"/>
      <w:bookmarkStart w:id="85" w:name="_Toc525201147"/>
      <w:bookmarkEnd w:id="82"/>
      <w:bookmarkEnd w:id="83"/>
      <w:r w:rsidRPr="00873FEC">
        <w:rPr>
          <w:rFonts w:ascii="Verdana" w:eastAsia="Calibri" w:hAnsi="Verdana" w:cs="Verdana"/>
          <w:b/>
          <w:caps/>
          <w:spacing w:val="-5"/>
          <w:sz w:val="20"/>
          <w:szCs w:val="20"/>
          <w:lang w:val="es-CR" w:eastAsia="es-CR"/>
        </w:rPr>
        <w:t>IV</w:t>
      </w:r>
      <w:bookmarkEnd w:id="84"/>
      <w:bookmarkEnd w:id="85"/>
    </w:p>
    <w:p w:rsidR="006166D8" w:rsidRPr="00873FEC" w:rsidRDefault="006166D8" w:rsidP="00126E97">
      <w:pPr>
        <w:keepNext/>
        <w:keepLines/>
        <w:spacing w:after="0" w:line="20" w:lineRule="atLeast"/>
        <w:jc w:val="center"/>
        <w:outlineLvl w:val="0"/>
        <w:rPr>
          <w:rFonts w:ascii="Verdana" w:eastAsia="Times New Roman" w:hAnsi="Verdana" w:cs="Verdana"/>
          <w:b/>
          <w:caps/>
          <w:spacing w:val="-5"/>
          <w:sz w:val="20"/>
          <w:szCs w:val="20"/>
          <w:lang w:val="es-CR" w:eastAsia="es-CR"/>
        </w:rPr>
      </w:pPr>
      <w:bookmarkStart w:id="86" w:name="_Toc515350940"/>
      <w:bookmarkStart w:id="87" w:name="_Toc520207571"/>
      <w:bookmarkStart w:id="88" w:name="_Toc521694802"/>
      <w:bookmarkStart w:id="89" w:name="_Toc525201148"/>
      <w:bookmarkEnd w:id="86"/>
      <w:bookmarkEnd w:id="87"/>
      <w:r w:rsidRPr="00873FEC">
        <w:rPr>
          <w:rFonts w:ascii="Verdana" w:eastAsia="Times New Roman" w:hAnsi="Verdana" w:cs="Verdana"/>
          <w:b/>
          <w:caps/>
          <w:spacing w:val="-5"/>
          <w:sz w:val="20"/>
          <w:szCs w:val="20"/>
          <w:lang w:val="es-CR" w:eastAsia="es-CR"/>
        </w:rPr>
        <w:t>CONSIDERACIÓN PREVIA SOBRE LA DETERMINACIÓN DE PRESUNTAS VÍCTIMAS</w:t>
      </w:r>
      <w:bookmarkEnd w:id="88"/>
      <w:bookmarkEnd w:id="89"/>
    </w:p>
    <w:p w:rsidR="006166D8" w:rsidRPr="00873FEC" w:rsidRDefault="006166D8" w:rsidP="00126E97">
      <w:pPr>
        <w:spacing w:after="0" w:line="20" w:lineRule="atLeast"/>
        <w:ind w:right="-138"/>
        <w:jc w:val="both"/>
        <w:rPr>
          <w:rFonts w:ascii="Verdana" w:eastAsia="Batang" w:hAnsi="Verdana" w:cs="Times"/>
          <w:sz w:val="20"/>
          <w:szCs w:val="24"/>
          <w:lang w:val="es-CR" w:eastAsia="es-CR"/>
        </w:rPr>
      </w:pPr>
    </w:p>
    <w:p w:rsidR="006166D8" w:rsidRPr="00873FEC" w:rsidRDefault="006166D8" w:rsidP="00126E97">
      <w:pPr>
        <w:numPr>
          <w:ilvl w:val="2"/>
          <w:numId w:val="2"/>
        </w:numPr>
        <w:spacing w:after="0" w:line="20" w:lineRule="atLeast"/>
        <w:ind w:left="284" w:right="-138"/>
        <w:contextualSpacing/>
        <w:jc w:val="both"/>
        <w:outlineLvl w:val="1"/>
        <w:rPr>
          <w:rFonts w:ascii="Verdana" w:eastAsia="Calibri" w:hAnsi="Verdana" w:cs="Times"/>
          <w:b/>
          <w:i/>
          <w:sz w:val="20"/>
          <w:szCs w:val="20"/>
          <w:lang w:val="es-CR" w:eastAsia="es-CR"/>
        </w:rPr>
      </w:pPr>
      <w:bookmarkStart w:id="90" w:name="_Toc515350941"/>
      <w:bookmarkStart w:id="91" w:name="_Toc520207572"/>
      <w:bookmarkStart w:id="92" w:name="_Toc525201149"/>
      <w:bookmarkEnd w:id="90"/>
      <w:bookmarkEnd w:id="91"/>
      <w:r w:rsidRPr="00873FEC">
        <w:rPr>
          <w:rFonts w:ascii="Verdana" w:eastAsia="Calibri" w:hAnsi="Verdana" w:cs="Times"/>
          <w:b/>
          <w:i/>
          <w:sz w:val="20"/>
          <w:szCs w:val="20"/>
          <w:lang w:val="es-CR" w:eastAsia="es-CR"/>
        </w:rPr>
        <w:t>Alegatos de la Comisión y de la partes</w:t>
      </w:r>
      <w:bookmarkEnd w:id="92"/>
    </w:p>
    <w:p w:rsidR="006166D8" w:rsidRPr="00873FEC" w:rsidRDefault="006166D8" w:rsidP="00126E97">
      <w:pPr>
        <w:spacing w:after="0" w:line="20" w:lineRule="atLeast"/>
        <w:ind w:right="-138"/>
        <w:jc w:val="both"/>
        <w:rPr>
          <w:rFonts w:ascii="Verdana" w:eastAsia="Batang" w:hAnsi="Verdana" w:cs="Times"/>
          <w:sz w:val="20"/>
          <w:szCs w:val="20"/>
          <w:lang w:eastAsia="es-CR"/>
        </w:rPr>
      </w:pPr>
    </w:p>
    <w:p w:rsidR="006166D8" w:rsidRPr="00873FEC" w:rsidRDefault="006166D8" w:rsidP="00126E97">
      <w:pPr>
        <w:numPr>
          <w:ilvl w:val="0"/>
          <w:numId w:val="3"/>
        </w:numPr>
        <w:spacing w:after="0" w:line="20" w:lineRule="atLeast"/>
        <w:ind w:right="-138"/>
        <w:jc w:val="both"/>
        <w:rPr>
          <w:rFonts w:ascii="Verdana" w:eastAsia="Batang" w:hAnsi="Verdana" w:cs="Times"/>
          <w:sz w:val="20"/>
          <w:szCs w:val="20"/>
          <w:lang w:eastAsia="es-CR"/>
        </w:rPr>
      </w:pPr>
      <w:r w:rsidRPr="00873FEC">
        <w:rPr>
          <w:rFonts w:ascii="Verdana" w:eastAsia="Batang" w:hAnsi="Verdana" w:cs="Times"/>
          <w:sz w:val="20"/>
          <w:szCs w:val="20"/>
          <w:lang w:val="es-CR" w:eastAsia="es-CR"/>
        </w:rPr>
        <w:t xml:space="preserve">La </w:t>
      </w:r>
      <w:r w:rsidRPr="00873FEC">
        <w:rPr>
          <w:rFonts w:ascii="Verdana" w:eastAsia="Batang" w:hAnsi="Verdana" w:cs="Times"/>
          <w:b/>
          <w:i/>
          <w:sz w:val="20"/>
          <w:szCs w:val="20"/>
          <w:lang w:val="es-CR" w:eastAsia="es-CR"/>
        </w:rPr>
        <w:t>Comisión</w:t>
      </w:r>
      <w:r w:rsidRPr="00873FEC">
        <w:rPr>
          <w:rFonts w:ascii="Verdana" w:eastAsia="Batang" w:hAnsi="Verdana" w:cs="Times"/>
          <w:sz w:val="20"/>
          <w:szCs w:val="20"/>
          <w:lang w:val="es-CR" w:eastAsia="es-CR"/>
        </w:rPr>
        <w:t xml:space="preserve"> señaló a </w:t>
      </w:r>
      <w:r w:rsidR="003F67FE" w:rsidRPr="00873FEC">
        <w:rPr>
          <w:rFonts w:ascii="Verdana" w:eastAsia="Batang" w:hAnsi="Verdana" w:cs="Times"/>
          <w:sz w:val="20"/>
          <w:szCs w:val="20"/>
          <w:lang w:val="es-CR" w:eastAsia="es-CR"/>
        </w:rPr>
        <w:t>99</w:t>
      </w:r>
      <w:r w:rsidRPr="00873FEC">
        <w:rPr>
          <w:rFonts w:ascii="Verdana" w:eastAsia="Batang" w:hAnsi="Verdana" w:cs="Times"/>
          <w:sz w:val="20"/>
          <w:szCs w:val="20"/>
          <w:lang w:val="es-CR" w:eastAsia="es-CR"/>
        </w:rPr>
        <w:t xml:space="preserve"> personas como víctimas en el Informe de Fondo (</w:t>
      </w:r>
      <w:r w:rsidRPr="00873FEC">
        <w:rPr>
          <w:rFonts w:ascii="Verdana" w:eastAsia="Batang" w:hAnsi="Verdana" w:cs="Times"/>
          <w:i/>
          <w:sz w:val="20"/>
          <w:szCs w:val="20"/>
          <w:lang w:val="es-CR" w:eastAsia="es-CR"/>
        </w:rPr>
        <w:t>supra</w:t>
      </w:r>
      <w:r w:rsidRPr="00873FEC">
        <w:rPr>
          <w:rFonts w:ascii="Verdana" w:eastAsia="Batang" w:hAnsi="Verdana" w:cs="Times"/>
          <w:sz w:val="20"/>
          <w:szCs w:val="20"/>
          <w:lang w:val="es-CR" w:eastAsia="es-CR"/>
        </w:rPr>
        <w:t xml:space="preserve"> párr. 1). Expresó que efectuó la “individualización más precisa posible” de las mismas, pero “dejó constancia” de que existen diferencias entre los nombres de las personas respectivas en diferentes comunicaciones o en el expediente judicial</w:t>
      </w:r>
      <w:r w:rsidRPr="00873FEC">
        <w:rPr>
          <w:rFonts w:ascii="Verdana" w:eastAsia="Batang" w:hAnsi="Verdana" w:cs="Times New Roman"/>
          <w:sz w:val="20"/>
          <w:szCs w:val="20"/>
          <w:vertAlign w:val="superscript"/>
          <w:lang w:eastAsia="x-none"/>
        </w:rPr>
        <w:footnoteReference w:id="9"/>
      </w:r>
      <w:r w:rsidRPr="00873FEC">
        <w:rPr>
          <w:rFonts w:ascii="Verdana" w:eastAsia="Batang" w:hAnsi="Verdana" w:cs="Times"/>
          <w:sz w:val="20"/>
          <w:szCs w:val="20"/>
          <w:lang w:val="es-CR" w:eastAsia="es-CR"/>
        </w:rPr>
        <w:t>.</w:t>
      </w:r>
    </w:p>
    <w:p w:rsidR="006166D8" w:rsidRPr="00873FEC" w:rsidRDefault="006166D8" w:rsidP="00126E97">
      <w:pPr>
        <w:spacing w:after="0" w:line="20" w:lineRule="atLeast"/>
        <w:ind w:right="-138"/>
        <w:jc w:val="both"/>
        <w:rPr>
          <w:rFonts w:ascii="Verdana" w:eastAsia="Batang" w:hAnsi="Verdana" w:cs="Times"/>
          <w:sz w:val="20"/>
          <w:szCs w:val="20"/>
          <w:lang w:eastAsia="es-CR"/>
        </w:rPr>
      </w:pPr>
    </w:p>
    <w:p w:rsidR="006166D8" w:rsidRPr="00873FEC" w:rsidRDefault="006166D8" w:rsidP="00126E97">
      <w:pPr>
        <w:numPr>
          <w:ilvl w:val="0"/>
          <w:numId w:val="3"/>
        </w:numPr>
        <w:spacing w:after="0" w:line="20" w:lineRule="atLeast"/>
        <w:ind w:right="-138"/>
        <w:jc w:val="both"/>
        <w:rPr>
          <w:rFonts w:ascii="Verdana" w:eastAsia="Batang" w:hAnsi="Verdana" w:cs="Times"/>
          <w:sz w:val="20"/>
          <w:szCs w:val="20"/>
          <w:lang w:eastAsia="es-CR"/>
        </w:rPr>
      </w:pPr>
      <w:r w:rsidRPr="00873FEC">
        <w:rPr>
          <w:rFonts w:ascii="Verdana" w:eastAsia="Batang" w:hAnsi="Verdana" w:cs="Times"/>
          <w:sz w:val="20"/>
          <w:szCs w:val="20"/>
          <w:lang w:val="es-CR" w:eastAsia="es-CR"/>
        </w:rPr>
        <w:t xml:space="preserve">Los </w:t>
      </w:r>
      <w:r w:rsidRPr="00873FEC">
        <w:rPr>
          <w:rFonts w:ascii="Verdana" w:eastAsia="Batang" w:hAnsi="Verdana" w:cs="Times"/>
          <w:b/>
          <w:i/>
          <w:sz w:val="20"/>
          <w:szCs w:val="20"/>
          <w:lang w:val="es-CR" w:eastAsia="es-CR"/>
        </w:rPr>
        <w:t>representantes</w:t>
      </w:r>
      <w:r w:rsidRPr="00873FEC">
        <w:rPr>
          <w:rFonts w:ascii="Verdana" w:eastAsia="Batang" w:hAnsi="Verdana" w:cs="Times"/>
          <w:sz w:val="20"/>
          <w:szCs w:val="20"/>
          <w:lang w:val="es-CR" w:eastAsia="es-CR"/>
        </w:rPr>
        <w:t xml:space="preserve"> identificaron como víctima a una persona </w:t>
      </w:r>
      <w:r w:rsidR="001F48CC" w:rsidRPr="00873FEC">
        <w:rPr>
          <w:rFonts w:ascii="Verdana" w:eastAsia="Batang" w:hAnsi="Verdana" w:cs="Times"/>
          <w:sz w:val="20"/>
          <w:szCs w:val="20"/>
          <w:lang w:val="es-CR" w:eastAsia="es-CR"/>
        </w:rPr>
        <w:t>distinta de</w:t>
      </w:r>
      <w:r w:rsidRPr="00873FEC">
        <w:rPr>
          <w:rFonts w:ascii="Verdana" w:eastAsia="Batang" w:hAnsi="Verdana" w:cs="Times"/>
          <w:sz w:val="20"/>
          <w:szCs w:val="20"/>
          <w:lang w:val="es-CR" w:eastAsia="es-CR"/>
        </w:rPr>
        <w:t xml:space="preserve"> las indicadas en el Informe de Fondo:</w:t>
      </w:r>
      <w:r w:rsidRPr="00873FEC">
        <w:rPr>
          <w:rFonts w:ascii="Verdana" w:eastAsia="Batang" w:hAnsi="Verdana" w:cs="Times"/>
          <w:sz w:val="20"/>
          <w:szCs w:val="24"/>
          <w:lang w:val="es-CR" w:eastAsia="es-CR"/>
        </w:rPr>
        <w:t xml:space="preserve"> </w:t>
      </w:r>
      <w:r w:rsidRPr="00873FEC">
        <w:rPr>
          <w:rFonts w:ascii="Verdana" w:eastAsia="Batang" w:hAnsi="Verdana" w:cs="Times"/>
          <w:sz w:val="20"/>
          <w:szCs w:val="20"/>
          <w:lang w:val="es-CR" w:eastAsia="es-CR"/>
        </w:rPr>
        <w:t>Eulalia Antonio</w:t>
      </w:r>
      <w:r w:rsidR="00AE69BC" w:rsidRPr="00873FEC">
        <w:rPr>
          <w:rFonts w:ascii="Verdana" w:eastAsia="Batang" w:hAnsi="Verdana" w:cs="Times"/>
          <w:sz w:val="20"/>
          <w:szCs w:val="20"/>
          <w:lang w:val="es-CR" w:eastAsia="es-CR"/>
        </w:rPr>
        <w:t xml:space="preserve">, </w:t>
      </w:r>
      <w:r w:rsidR="004112F9" w:rsidRPr="00873FEC">
        <w:rPr>
          <w:rFonts w:ascii="Verdana" w:eastAsia="Batang" w:hAnsi="Verdana" w:cs="Times"/>
          <w:sz w:val="20"/>
          <w:szCs w:val="20"/>
          <w:lang w:val="es-CR" w:eastAsia="es-CR"/>
        </w:rPr>
        <w:t>madre de Manuela Mateo Antonio</w:t>
      </w:r>
      <w:r w:rsidRPr="00873FEC">
        <w:rPr>
          <w:rFonts w:ascii="Verdana" w:eastAsia="Batang" w:hAnsi="Verdana" w:cs="Times"/>
          <w:sz w:val="20"/>
          <w:szCs w:val="20"/>
          <w:lang w:val="es-CR" w:eastAsia="es-CR"/>
        </w:rPr>
        <w:t xml:space="preserve">. </w:t>
      </w:r>
    </w:p>
    <w:p w:rsidR="006166D8" w:rsidRPr="00873FEC" w:rsidRDefault="006166D8" w:rsidP="00126E97">
      <w:pPr>
        <w:spacing w:after="0" w:line="20" w:lineRule="atLeast"/>
        <w:ind w:left="720"/>
        <w:contextualSpacing/>
        <w:rPr>
          <w:rFonts w:ascii="Calibri" w:eastAsia="Calibri" w:hAnsi="Calibri" w:cs="Times"/>
          <w:szCs w:val="20"/>
          <w:lang w:val="es-CR" w:eastAsia="es-CR"/>
        </w:rPr>
      </w:pPr>
    </w:p>
    <w:p w:rsidR="006166D8" w:rsidRPr="00873FEC" w:rsidRDefault="006166D8" w:rsidP="00126E97">
      <w:pPr>
        <w:numPr>
          <w:ilvl w:val="0"/>
          <w:numId w:val="3"/>
        </w:numPr>
        <w:spacing w:after="0" w:line="20" w:lineRule="atLeast"/>
        <w:ind w:right="-138"/>
        <w:jc w:val="both"/>
        <w:rPr>
          <w:rFonts w:ascii="Verdana" w:eastAsia="Batang" w:hAnsi="Verdana" w:cs="Times"/>
          <w:sz w:val="20"/>
          <w:szCs w:val="20"/>
          <w:lang w:eastAsia="es-CR"/>
        </w:rPr>
      </w:pPr>
      <w:r w:rsidRPr="00873FEC">
        <w:rPr>
          <w:rFonts w:ascii="Verdana" w:eastAsia="Batang" w:hAnsi="Verdana" w:cs="Times"/>
          <w:sz w:val="20"/>
          <w:szCs w:val="20"/>
          <w:lang w:val="es-CR" w:eastAsia="es-CR"/>
        </w:rPr>
        <w:t xml:space="preserve">El </w:t>
      </w:r>
      <w:r w:rsidRPr="00873FEC">
        <w:rPr>
          <w:rFonts w:ascii="Verdana" w:eastAsia="Batang" w:hAnsi="Verdana" w:cs="Times"/>
          <w:b/>
          <w:i/>
          <w:sz w:val="20"/>
          <w:szCs w:val="20"/>
          <w:lang w:val="es-CR" w:eastAsia="es-CR"/>
        </w:rPr>
        <w:t>Estado</w:t>
      </w:r>
      <w:r w:rsidRPr="00873FEC">
        <w:rPr>
          <w:rFonts w:ascii="Verdana" w:eastAsia="Batang" w:hAnsi="Verdana" w:cs="Times"/>
          <w:sz w:val="20"/>
          <w:szCs w:val="20"/>
          <w:lang w:val="es-CR" w:eastAsia="es-CR"/>
        </w:rPr>
        <w:t xml:space="preserve"> consideró las circunstancias del caso no se ajustan a los criterios jurisprudenciales sobre la imposibilidad de determinar las presuntas víctimas, por lo que no debe aplicarse una excepción al respecto. </w:t>
      </w:r>
    </w:p>
    <w:p w:rsidR="006166D8" w:rsidRPr="00873FEC" w:rsidRDefault="006166D8" w:rsidP="00126E97">
      <w:pPr>
        <w:spacing w:after="0" w:line="20" w:lineRule="atLeast"/>
        <w:ind w:right="-138"/>
        <w:jc w:val="both"/>
        <w:rPr>
          <w:rFonts w:ascii="Verdana" w:eastAsia="Batang" w:hAnsi="Verdana" w:cs="Times"/>
          <w:sz w:val="20"/>
          <w:szCs w:val="20"/>
          <w:lang w:eastAsia="es-CR"/>
        </w:rPr>
      </w:pPr>
    </w:p>
    <w:p w:rsidR="006166D8" w:rsidRPr="00873FEC" w:rsidRDefault="006166D8" w:rsidP="00126E97">
      <w:pPr>
        <w:numPr>
          <w:ilvl w:val="2"/>
          <w:numId w:val="2"/>
        </w:numPr>
        <w:spacing w:after="0" w:line="20" w:lineRule="atLeast"/>
        <w:ind w:left="284" w:right="-138"/>
        <w:contextualSpacing/>
        <w:jc w:val="both"/>
        <w:outlineLvl w:val="1"/>
        <w:rPr>
          <w:rFonts w:ascii="Verdana" w:eastAsia="Calibri" w:hAnsi="Verdana" w:cs="Times"/>
          <w:b/>
          <w:i/>
          <w:sz w:val="20"/>
          <w:szCs w:val="20"/>
          <w:lang w:val="es-CR" w:eastAsia="es-CR"/>
        </w:rPr>
      </w:pPr>
      <w:bookmarkStart w:id="93" w:name="_Toc520207573"/>
      <w:bookmarkStart w:id="94" w:name="_Toc525201150"/>
      <w:bookmarkEnd w:id="93"/>
      <w:r w:rsidRPr="00873FEC">
        <w:rPr>
          <w:rFonts w:ascii="Verdana" w:eastAsia="Calibri" w:hAnsi="Verdana" w:cs="Times"/>
          <w:b/>
          <w:i/>
          <w:sz w:val="20"/>
          <w:szCs w:val="20"/>
          <w:lang w:val="es-CR" w:eastAsia="es-CR"/>
        </w:rPr>
        <w:t>Consideraciones de la Corte</w:t>
      </w:r>
      <w:bookmarkEnd w:id="94"/>
    </w:p>
    <w:p w:rsidR="006166D8" w:rsidRPr="00873FEC" w:rsidRDefault="006166D8" w:rsidP="00126E97">
      <w:pPr>
        <w:spacing w:after="0" w:line="20" w:lineRule="atLeast"/>
        <w:ind w:right="-138"/>
        <w:jc w:val="both"/>
        <w:rPr>
          <w:rFonts w:ascii="Verdana" w:eastAsia="Batang" w:hAnsi="Verdana" w:cs="Times"/>
          <w:sz w:val="20"/>
          <w:szCs w:val="20"/>
          <w:lang w:val="es-CR" w:eastAsia="es-CR"/>
        </w:rPr>
      </w:pPr>
    </w:p>
    <w:p w:rsidR="006166D8" w:rsidRPr="00873FEC" w:rsidRDefault="006166D8" w:rsidP="00126E97">
      <w:pPr>
        <w:numPr>
          <w:ilvl w:val="0"/>
          <w:numId w:val="3"/>
        </w:numPr>
        <w:spacing w:after="0" w:line="20" w:lineRule="atLeast"/>
        <w:ind w:right="-138"/>
        <w:jc w:val="both"/>
        <w:rPr>
          <w:rFonts w:ascii="Verdana" w:eastAsia="Batang" w:hAnsi="Verdana" w:cs="Times"/>
          <w:sz w:val="20"/>
          <w:szCs w:val="20"/>
          <w:lang w:eastAsia="es-CR"/>
        </w:rPr>
      </w:pPr>
      <w:r w:rsidRPr="00873FEC">
        <w:rPr>
          <w:rFonts w:ascii="Verdana" w:eastAsia="Batang" w:hAnsi="Verdana" w:cs="Times"/>
          <w:sz w:val="20"/>
          <w:szCs w:val="20"/>
          <w:lang w:val="es-CR" w:eastAsia="es-CR"/>
        </w:rPr>
        <w:t>De conformidad con el artículo 35.1 del Reglamento, el Informe de Fondo debe contener la identificación de las presuntas víctimas. El artículo reglamentario 35.2 prevé una excepción. La Corte ha dicho que la misma opera cuando haya “un impedimento material o práctico para identificar a presuntas víctimas en casos de violaciones masivas o colectivas a los derechos humanos”</w:t>
      </w:r>
      <w:r w:rsidRPr="00873FEC">
        <w:rPr>
          <w:rFonts w:ascii="Verdana" w:eastAsia="Batang" w:hAnsi="Verdana" w:cs="Times New Roman"/>
          <w:sz w:val="20"/>
          <w:szCs w:val="20"/>
          <w:vertAlign w:val="superscript"/>
          <w:lang w:val="es-CR" w:eastAsia="x-none"/>
        </w:rPr>
        <w:footnoteReference w:id="10"/>
      </w:r>
      <w:r w:rsidRPr="00873FEC">
        <w:rPr>
          <w:rFonts w:ascii="Verdana" w:eastAsia="Batang" w:hAnsi="Verdana" w:cs="Times"/>
          <w:sz w:val="20"/>
          <w:szCs w:val="20"/>
          <w:lang w:val="es-CR" w:eastAsia="es-CR"/>
        </w:rPr>
        <w:t>. Para determinar la procedencia de la excepción, este Tribunal ha evaluado las características particulares de cada caso</w:t>
      </w:r>
      <w:r w:rsidRPr="00873FEC">
        <w:rPr>
          <w:rFonts w:ascii="Verdana" w:eastAsia="Batang" w:hAnsi="Verdana" w:cs="Times New Roman"/>
          <w:sz w:val="20"/>
          <w:szCs w:val="20"/>
          <w:vertAlign w:val="superscript"/>
          <w:lang w:val="es-CR" w:eastAsia="x-none"/>
        </w:rPr>
        <w:footnoteReference w:id="11"/>
      </w:r>
      <w:r w:rsidRPr="00873FEC">
        <w:rPr>
          <w:rFonts w:ascii="Verdana" w:eastAsia="Batang" w:hAnsi="Verdana" w:cs="Times"/>
          <w:sz w:val="20"/>
          <w:szCs w:val="20"/>
          <w:lang w:val="es-CR" w:eastAsia="es-CR"/>
        </w:rPr>
        <w:t xml:space="preserve">. </w:t>
      </w:r>
    </w:p>
    <w:p w:rsidR="006166D8" w:rsidRPr="00873FEC" w:rsidRDefault="006166D8" w:rsidP="00126E97">
      <w:pPr>
        <w:spacing w:after="0" w:line="20" w:lineRule="atLeast"/>
        <w:ind w:right="-138"/>
        <w:jc w:val="both"/>
        <w:rPr>
          <w:rFonts w:ascii="Verdana" w:eastAsia="Batang" w:hAnsi="Verdana" w:cs="Times"/>
          <w:sz w:val="20"/>
          <w:szCs w:val="20"/>
          <w:lang w:eastAsia="es-CR"/>
        </w:rPr>
      </w:pPr>
    </w:p>
    <w:p w:rsidR="006166D8" w:rsidRPr="00873FEC" w:rsidRDefault="006166D8" w:rsidP="00126E97">
      <w:pPr>
        <w:numPr>
          <w:ilvl w:val="0"/>
          <w:numId w:val="3"/>
        </w:numPr>
        <w:spacing w:after="0" w:line="20" w:lineRule="atLeast"/>
        <w:ind w:right="-138"/>
        <w:jc w:val="both"/>
        <w:rPr>
          <w:rFonts w:ascii="Verdana" w:eastAsia="Batang" w:hAnsi="Verdana" w:cs="Times"/>
          <w:sz w:val="20"/>
          <w:szCs w:val="20"/>
          <w:lang w:eastAsia="es-CR"/>
        </w:rPr>
      </w:pPr>
      <w:r w:rsidRPr="00873FEC">
        <w:rPr>
          <w:rFonts w:ascii="Verdana" w:eastAsia="Batang" w:hAnsi="Verdana" w:cs="Times"/>
          <w:sz w:val="20"/>
          <w:szCs w:val="20"/>
          <w:lang w:val="es-CR" w:eastAsia="es-CR"/>
        </w:rPr>
        <w:t xml:space="preserve">En el presente caso, la Corte encuentra que los hechos afectaron a un número sustancial de miembros de la Comunidad </w:t>
      </w:r>
      <w:r w:rsidR="00F5049E" w:rsidRPr="00873FEC">
        <w:rPr>
          <w:rFonts w:ascii="Verdana" w:eastAsia="Batang" w:hAnsi="Verdana" w:cs="Times"/>
          <w:sz w:val="20"/>
          <w:szCs w:val="20"/>
          <w:lang w:val="es-CR" w:eastAsia="es-CR"/>
        </w:rPr>
        <w:t>“</w:t>
      </w:r>
      <w:r w:rsidRPr="00873FEC">
        <w:rPr>
          <w:rFonts w:ascii="Verdana" w:eastAsia="Batang" w:hAnsi="Verdana" w:cs="Times"/>
          <w:sz w:val="20"/>
          <w:szCs w:val="20"/>
          <w:lang w:val="es-CR" w:eastAsia="es-CR"/>
        </w:rPr>
        <w:t>Aurora 8</w:t>
      </w:r>
      <w:r w:rsidR="00F5049E" w:rsidRPr="00873FEC">
        <w:rPr>
          <w:rFonts w:ascii="Verdana" w:eastAsia="Batang" w:hAnsi="Verdana" w:cs="Times"/>
          <w:sz w:val="20"/>
          <w:szCs w:val="20"/>
          <w:lang w:val="es-CR" w:eastAsia="es-CR"/>
        </w:rPr>
        <w:t xml:space="preserve"> de Octubre” (en adelante también “la Comunidad”)</w:t>
      </w:r>
      <w:r w:rsidRPr="00873FEC">
        <w:rPr>
          <w:rFonts w:ascii="Verdana" w:eastAsia="Batang" w:hAnsi="Verdana" w:cs="Times"/>
          <w:sz w:val="20"/>
          <w:szCs w:val="20"/>
          <w:lang w:val="es-CR" w:eastAsia="es-CR"/>
        </w:rPr>
        <w:t xml:space="preserve"> y que el caso trata de una violación colectiva de derechos humanos. Por lo tanto, dadas las particularidades del caso, es aplicable la excepción prevista en el artículo 35.2 del Reglamento de la Corte. En consecuencia, este Tribunal determina que la señora Eulalia Antonio debe considerarse presunta víctima.  </w:t>
      </w:r>
    </w:p>
    <w:p w:rsidR="006166D8" w:rsidRDefault="006166D8" w:rsidP="00126E97">
      <w:pPr>
        <w:tabs>
          <w:tab w:val="left" w:pos="1860"/>
        </w:tabs>
        <w:spacing w:after="0" w:line="20" w:lineRule="atLeast"/>
        <w:ind w:left="720"/>
        <w:contextualSpacing/>
        <w:jc w:val="center"/>
        <w:rPr>
          <w:rFonts w:ascii="Verdana" w:eastAsia="Calibri" w:hAnsi="Verdana" w:cs="Times"/>
          <w:sz w:val="20"/>
          <w:szCs w:val="20"/>
          <w:lang w:eastAsia="es-CR"/>
        </w:rPr>
      </w:pPr>
    </w:p>
    <w:p w:rsidR="000624C7" w:rsidRDefault="000624C7" w:rsidP="00126E97">
      <w:pPr>
        <w:tabs>
          <w:tab w:val="left" w:pos="1860"/>
        </w:tabs>
        <w:spacing w:after="0" w:line="20" w:lineRule="atLeast"/>
        <w:ind w:left="720"/>
        <w:contextualSpacing/>
        <w:jc w:val="center"/>
        <w:rPr>
          <w:rFonts w:ascii="Verdana" w:eastAsia="Calibri" w:hAnsi="Verdana" w:cs="Times"/>
          <w:sz w:val="20"/>
          <w:szCs w:val="20"/>
          <w:lang w:eastAsia="es-CR"/>
        </w:rPr>
      </w:pPr>
    </w:p>
    <w:p w:rsidR="000624C7" w:rsidRPr="00873FEC" w:rsidRDefault="000624C7" w:rsidP="00126E97">
      <w:pPr>
        <w:tabs>
          <w:tab w:val="left" w:pos="1860"/>
        </w:tabs>
        <w:spacing w:after="0" w:line="20" w:lineRule="atLeast"/>
        <w:ind w:left="720"/>
        <w:contextualSpacing/>
        <w:jc w:val="center"/>
        <w:rPr>
          <w:rFonts w:ascii="Verdana" w:eastAsia="Calibri" w:hAnsi="Verdana" w:cs="Times"/>
          <w:sz w:val="20"/>
          <w:szCs w:val="20"/>
          <w:lang w:eastAsia="es-CR"/>
        </w:rPr>
      </w:pPr>
    </w:p>
    <w:p w:rsidR="006166D8" w:rsidRPr="00873FEC" w:rsidRDefault="006166D8" w:rsidP="00126E97">
      <w:pPr>
        <w:tabs>
          <w:tab w:val="left" w:pos="1860"/>
        </w:tabs>
        <w:spacing w:after="0" w:line="20" w:lineRule="atLeast"/>
        <w:ind w:left="720"/>
        <w:contextualSpacing/>
        <w:jc w:val="center"/>
        <w:outlineLvl w:val="0"/>
        <w:rPr>
          <w:rFonts w:ascii="Verdana" w:eastAsia="Calibri" w:hAnsi="Verdana" w:cs="Times"/>
          <w:b/>
          <w:sz w:val="20"/>
          <w:szCs w:val="20"/>
          <w:lang w:eastAsia="es-CR"/>
        </w:rPr>
      </w:pPr>
      <w:bookmarkStart w:id="95" w:name="_Toc520207574"/>
      <w:bookmarkStart w:id="96" w:name="_Toc525201151"/>
      <w:bookmarkEnd w:id="95"/>
      <w:r w:rsidRPr="00873FEC">
        <w:rPr>
          <w:rFonts w:ascii="Verdana" w:eastAsia="Calibri" w:hAnsi="Verdana" w:cs="Times"/>
          <w:b/>
          <w:sz w:val="20"/>
          <w:szCs w:val="20"/>
          <w:lang w:eastAsia="es-CR"/>
        </w:rPr>
        <w:lastRenderedPageBreak/>
        <w:t>V</w:t>
      </w:r>
      <w:bookmarkEnd w:id="96"/>
    </w:p>
    <w:p w:rsidR="006166D8" w:rsidRPr="00873FEC" w:rsidRDefault="006166D8" w:rsidP="00126E97">
      <w:pPr>
        <w:tabs>
          <w:tab w:val="left" w:pos="1860"/>
        </w:tabs>
        <w:spacing w:after="0" w:line="20" w:lineRule="atLeast"/>
        <w:ind w:left="720"/>
        <w:contextualSpacing/>
        <w:jc w:val="center"/>
        <w:outlineLvl w:val="0"/>
        <w:rPr>
          <w:rFonts w:ascii="Verdana" w:eastAsia="Calibri" w:hAnsi="Verdana" w:cs="Times"/>
          <w:b/>
          <w:sz w:val="20"/>
          <w:szCs w:val="20"/>
          <w:lang w:eastAsia="es-CR"/>
        </w:rPr>
      </w:pPr>
      <w:bookmarkStart w:id="97" w:name="_Toc520207575"/>
      <w:bookmarkStart w:id="98" w:name="_Toc525201152"/>
      <w:bookmarkEnd w:id="97"/>
      <w:r w:rsidRPr="00873FEC">
        <w:rPr>
          <w:rFonts w:ascii="Verdana" w:eastAsia="Calibri" w:hAnsi="Verdana" w:cs="Times"/>
          <w:b/>
          <w:sz w:val="20"/>
          <w:szCs w:val="20"/>
          <w:lang w:eastAsia="es-CR"/>
        </w:rPr>
        <w:t>PRUEBA</w:t>
      </w:r>
      <w:bookmarkEnd w:id="98"/>
    </w:p>
    <w:p w:rsidR="006166D8" w:rsidRPr="00873FEC" w:rsidRDefault="006166D8" w:rsidP="00126E97">
      <w:pPr>
        <w:tabs>
          <w:tab w:val="left" w:pos="1860"/>
        </w:tabs>
        <w:spacing w:after="0" w:line="20" w:lineRule="atLeast"/>
        <w:ind w:left="720"/>
        <w:contextualSpacing/>
        <w:rPr>
          <w:rFonts w:ascii="Verdana" w:eastAsia="Calibri" w:hAnsi="Verdana" w:cs="Times"/>
          <w:sz w:val="20"/>
          <w:szCs w:val="20"/>
          <w:lang w:eastAsia="es-CR"/>
        </w:rPr>
      </w:pPr>
    </w:p>
    <w:p w:rsidR="006166D8" w:rsidRPr="00873FEC" w:rsidRDefault="006166D8" w:rsidP="00126E97">
      <w:pPr>
        <w:tabs>
          <w:tab w:val="left" w:pos="1245"/>
          <w:tab w:val="left" w:pos="1860"/>
        </w:tabs>
        <w:spacing w:after="0" w:line="20" w:lineRule="atLeast"/>
        <w:ind w:left="284"/>
        <w:contextualSpacing/>
        <w:outlineLvl w:val="1"/>
        <w:rPr>
          <w:rFonts w:ascii="Verdana" w:eastAsia="Calibri" w:hAnsi="Verdana" w:cs="Times"/>
          <w:b/>
          <w:i/>
          <w:sz w:val="20"/>
          <w:szCs w:val="20"/>
          <w:lang w:eastAsia="es-CR"/>
        </w:rPr>
      </w:pPr>
      <w:bookmarkStart w:id="99" w:name="_Toc520207576"/>
      <w:bookmarkStart w:id="100" w:name="_Toc525201153"/>
      <w:bookmarkEnd w:id="99"/>
      <w:r w:rsidRPr="00873FEC">
        <w:rPr>
          <w:rFonts w:ascii="Verdana" w:eastAsia="Calibri" w:hAnsi="Verdana" w:cs="Times"/>
          <w:b/>
          <w:i/>
          <w:sz w:val="20"/>
          <w:szCs w:val="20"/>
          <w:lang w:eastAsia="es-CR"/>
        </w:rPr>
        <w:t>A.</w:t>
      </w:r>
      <w:r w:rsidRPr="00873FEC">
        <w:rPr>
          <w:rFonts w:ascii="Verdana" w:eastAsia="Calibri" w:hAnsi="Verdana" w:cs="Times"/>
          <w:b/>
          <w:i/>
          <w:sz w:val="20"/>
          <w:szCs w:val="20"/>
          <w:lang w:eastAsia="es-CR"/>
        </w:rPr>
        <w:tab/>
        <w:t xml:space="preserve"> Admisibilidad de la prueba documental</w:t>
      </w:r>
      <w:bookmarkEnd w:id="100"/>
      <w:r w:rsidRPr="00873FEC">
        <w:rPr>
          <w:rFonts w:ascii="Verdana" w:eastAsia="Calibri" w:hAnsi="Verdana" w:cs="Times"/>
          <w:b/>
          <w:i/>
          <w:sz w:val="20"/>
          <w:szCs w:val="20"/>
          <w:lang w:eastAsia="es-CR"/>
        </w:rPr>
        <w:t xml:space="preserve"> </w:t>
      </w:r>
    </w:p>
    <w:p w:rsidR="006166D8" w:rsidRPr="00873FEC" w:rsidRDefault="006166D8" w:rsidP="00126E97">
      <w:pPr>
        <w:tabs>
          <w:tab w:val="left" w:pos="1860"/>
        </w:tabs>
        <w:spacing w:after="0" w:line="20" w:lineRule="atLeast"/>
        <w:ind w:left="720"/>
        <w:contextualSpacing/>
        <w:rPr>
          <w:rFonts w:ascii="Verdana" w:eastAsia="Calibri" w:hAnsi="Verdana" w:cs="Times"/>
          <w:sz w:val="20"/>
          <w:szCs w:val="20"/>
          <w:lang w:eastAsia="es-CR"/>
        </w:rPr>
      </w:pPr>
    </w:p>
    <w:p w:rsidR="006166D8" w:rsidRPr="00873FEC" w:rsidRDefault="006166D8" w:rsidP="00126E97">
      <w:pPr>
        <w:numPr>
          <w:ilvl w:val="0"/>
          <w:numId w:val="3"/>
        </w:numPr>
        <w:spacing w:after="0" w:line="20" w:lineRule="atLeast"/>
        <w:ind w:right="-136"/>
        <w:jc w:val="both"/>
        <w:rPr>
          <w:rFonts w:ascii="Verdana" w:eastAsia="Batang" w:hAnsi="Verdana" w:cs="Times"/>
          <w:strike/>
          <w:sz w:val="20"/>
          <w:szCs w:val="24"/>
          <w:lang w:val="en-US" w:eastAsia="es-CR"/>
        </w:rPr>
      </w:pPr>
      <w:r w:rsidRPr="00873FEC">
        <w:rPr>
          <w:rFonts w:ascii="Verdana" w:eastAsia="Batang" w:hAnsi="Verdana" w:cs="Times"/>
          <w:sz w:val="20"/>
          <w:szCs w:val="20"/>
          <w:lang w:val="es-CR" w:eastAsia="es-CR"/>
        </w:rPr>
        <w:t>La Corte recibió documentos presentados como prueba por la Comisión y las partes junto a sus escritos principales (</w:t>
      </w:r>
      <w:r w:rsidRPr="00873FEC">
        <w:rPr>
          <w:rFonts w:ascii="Verdana" w:eastAsia="Batang" w:hAnsi="Verdana" w:cs="Times"/>
          <w:i/>
          <w:sz w:val="20"/>
          <w:szCs w:val="20"/>
          <w:lang w:val="es-CR" w:eastAsia="es-CR"/>
        </w:rPr>
        <w:t xml:space="preserve">supra </w:t>
      </w:r>
      <w:proofErr w:type="spellStart"/>
      <w:r w:rsidRPr="00873FEC">
        <w:rPr>
          <w:rFonts w:ascii="Verdana" w:eastAsia="Batang" w:hAnsi="Verdana" w:cs="Times"/>
          <w:sz w:val="20"/>
          <w:szCs w:val="20"/>
          <w:lang w:val="es-CR" w:eastAsia="es-CR"/>
        </w:rPr>
        <w:t>párrs</w:t>
      </w:r>
      <w:proofErr w:type="spellEnd"/>
      <w:r w:rsidRPr="00873FEC">
        <w:rPr>
          <w:rFonts w:ascii="Verdana" w:eastAsia="Batang" w:hAnsi="Verdana" w:cs="Times"/>
          <w:sz w:val="20"/>
          <w:szCs w:val="20"/>
          <w:lang w:val="es-CR" w:eastAsia="es-CR"/>
        </w:rPr>
        <w:t>. 3, 6 y 7). La Comisión solicitó la incorporación de cuatro peritajes rendidos en otros procesos (</w:t>
      </w:r>
      <w:r w:rsidRPr="00873FEC">
        <w:rPr>
          <w:rFonts w:ascii="Verdana" w:eastAsia="Batang" w:hAnsi="Verdana" w:cs="Times"/>
          <w:i/>
          <w:sz w:val="20"/>
          <w:szCs w:val="20"/>
          <w:lang w:val="es-CR" w:eastAsia="es-CR"/>
        </w:rPr>
        <w:t>infra</w:t>
      </w:r>
      <w:r w:rsidRPr="00873FEC">
        <w:rPr>
          <w:rFonts w:ascii="Verdana" w:eastAsia="Batang" w:hAnsi="Verdana" w:cs="Times"/>
          <w:sz w:val="20"/>
          <w:szCs w:val="20"/>
          <w:lang w:val="es-CR" w:eastAsia="es-CR"/>
        </w:rPr>
        <w:t xml:space="preserve"> párr. 19, y nota a pie de página 12) Además, este Tribunal recibió de los representantes un documento solicitado como prueba para mejor resolver, de acuerdo con el artículo 58 del Reglamento (</w:t>
      </w:r>
      <w:r w:rsidRPr="00873FEC">
        <w:rPr>
          <w:rFonts w:ascii="Verdana" w:eastAsia="Batang" w:hAnsi="Verdana" w:cs="Times"/>
          <w:i/>
          <w:sz w:val="20"/>
          <w:szCs w:val="20"/>
          <w:lang w:val="es-CR" w:eastAsia="es-CR"/>
        </w:rPr>
        <w:t>infra</w:t>
      </w:r>
      <w:r w:rsidRPr="00873FEC">
        <w:rPr>
          <w:rFonts w:ascii="Verdana" w:eastAsia="Batang" w:hAnsi="Verdana" w:cs="Times"/>
          <w:sz w:val="20"/>
          <w:szCs w:val="20"/>
          <w:lang w:val="es-CR" w:eastAsia="es-CR"/>
        </w:rPr>
        <w:t xml:space="preserve"> párr. 19), así como documentación sobre un hecho superviniente (</w:t>
      </w:r>
      <w:r w:rsidRPr="00873FEC">
        <w:rPr>
          <w:rFonts w:ascii="Verdana" w:eastAsia="Batang" w:hAnsi="Verdana" w:cs="Times"/>
          <w:i/>
          <w:sz w:val="20"/>
          <w:szCs w:val="20"/>
          <w:lang w:val="es-CR" w:eastAsia="es-CR"/>
        </w:rPr>
        <w:t>infra</w:t>
      </w:r>
      <w:r w:rsidRPr="00873FEC">
        <w:rPr>
          <w:rFonts w:ascii="Verdana" w:eastAsia="Batang" w:hAnsi="Verdana" w:cs="Times"/>
          <w:sz w:val="20"/>
          <w:szCs w:val="20"/>
          <w:lang w:val="es-CR" w:eastAsia="es-CR"/>
        </w:rPr>
        <w:t>, párr. 22).</w:t>
      </w:r>
      <w:r w:rsidRPr="00873FEC">
        <w:rPr>
          <w:rFonts w:ascii="Verdana" w:eastAsia="Batang" w:hAnsi="Verdana" w:cs="Times"/>
          <w:i/>
          <w:sz w:val="20"/>
          <w:szCs w:val="20"/>
          <w:lang w:val="es-CR" w:eastAsia="es-CR"/>
        </w:rPr>
        <w:t xml:space="preserve"> </w:t>
      </w:r>
      <w:r w:rsidRPr="00873FEC">
        <w:rPr>
          <w:rFonts w:ascii="Verdana" w:eastAsia="Batang" w:hAnsi="Verdana" w:cs="Times"/>
          <w:sz w:val="20"/>
          <w:szCs w:val="20"/>
          <w:lang w:val="es-CR" w:eastAsia="es-CR"/>
        </w:rPr>
        <w:t>Asimismo, recibió documentos adjuntos a los alegatos finales escritos (</w:t>
      </w:r>
      <w:r w:rsidRPr="00873FEC">
        <w:rPr>
          <w:rFonts w:ascii="Verdana" w:eastAsia="Batang" w:hAnsi="Verdana" w:cs="Times"/>
          <w:i/>
          <w:sz w:val="20"/>
          <w:szCs w:val="20"/>
          <w:lang w:val="es-CR" w:eastAsia="es-CR"/>
        </w:rPr>
        <w:t>supra</w:t>
      </w:r>
      <w:r w:rsidRPr="00873FEC">
        <w:rPr>
          <w:rFonts w:ascii="Verdana" w:eastAsia="Batang" w:hAnsi="Verdana" w:cs="Times"/>
          <w:sz w:val="20"/>
          <w:szCs w:val="20"/>
          <w:lang w:val="es-CR" w:eastAsia="es-CR"/>
        </w:rPr>
        <w:t xml:space="preserve"> párr. 9). </w:t>
      </w:r>
    </w:p>
    <w:p w:rsidR="006166D8" w:rsidRPr="00873FEC" w:rsidRDefault="006166D8" w:rsidP="00126E97">
      <w:pPr>
        <w:spacing w:after="0" w:line="20" w:lineRule="atLeast"/>
        <w:ind w:right="-138"/>
        <w:jc w:val="both"/>
        <w:rPr>
          <w:rFonts w:ascii="Verdana" w:eastAsia="Batang" w:hAnsi="Verdana" w:cs="Times"/>
          <w:sz w:val="20"/>
          <w:szCs w:val="24"/>
          <w:lang w:val="en-US" w:eastAsia="es-CR"/>
        </w:rPr>
      </w:pPr>
    </w:p>
    <w:p w:rsidR="006166D8" w:rsidRPr="00873FEC" w:rsidRDefault="006166D8" w:rsidP="00126E97">
      <w:pPr>
        <w:numPr>
          <w:ilvl w:val="0"/>
          <w:numId w:val="3"/>
        </w:numPr>
        <w:spacing w:after="0" w:line="20" w:lineRule="atLeast"/>
        <w:ind w:right="-138"/>
        <w:jc w:val="both"/>
        <w:rPr>
          <w:rFonts w:ascii="Verdana" w:eastAsia="Batang" w:hAnsi="Verdana" w:cs="Times"/>
          <w:sz w:val="20"/>
          <w:szCs w:val="24"/>
          <w:lang w:val="en-US" w:eastAsia="es-CR"/>
        </w:rPr>
      </w:pPr>
      <w:r w:rsidRPr="00873FEC">
        <w:rPr>
          <w:rFonts w:ascii="Verdana" w:eastAsia="Batang" w:hAnsi="Verdana" w:cs="Times"/>
          <w:sz w:val="20"/>
          <w:szCs w:val="20"/>
          <w:lang w:val="es-CR" w:eastAsia="es-CR"/>
        </w:rPr>
        <w:t>En el presente caso, como en otros, este Tribunal admite aquellos documentos presentados oportunamente por las partes y la Comisión o solicitados como prueba para mejor resolver por la Corte o su Presidencia cuya admisibilidad no fue controvertida ni objetada</w:t>
      </w:r>
      <w:r w:rsidRPr="00873FEC">
        <w:rPr>
          <w:rFonts w:ascii="Verdana" w:eastAsia="Batang" w:hAnsi="Verdana" w:cs="Times New Roman"/>
          <w:sz w:val="20"/>
          <w:szCs w:val="20"/>
          <w:vertAlign w:val="superscript"/>
          <w:lang w:val="es-CR" w:eastAsia="x-none"/>
        </w:rPr>
        <w:footnoteReference w:id="12"/>
      </w:r>
      <w:r w:rsidRPr="00873FEC">
        <w:rPr>
          <w:rFonts w:ascii="Verdana" w:eastAsia="Batang" w:hAnsi="Verdana" w:cs="Times"/>
          <w:sz w:val="20"/>
          <w:szCs w:val="20"/>
          <w:lang w:val="es-CR" w:eastAsia="es-CR"/>
        </w:rPr>
        <w:t xml:space="preserve">. También se encuentran admitidos documentos cuya incorporación al acervo probatorio fue decidida por el Presidente en su Resolución de </w:t>
      </w:r>
      <w:r w:rsidRPr="00873FEC">
        <w:rPr>
          <w:rFonts w:ascii="Verdana" w:eastAsia="Batang" w:hAnsi="Verdana" w:cs="Times"/>
          <w:sz w:val="20"/>
          <w:szCs w:val="24"/>
          <w:lang w:val="es-CR" w:eastAsia="es-CR"/>
        </w:rPr>
        <w:t>13 de diciembre de 2017 (</w:t>
      </w:r>
      <w:r w:rsidRPr="00873FEC">
        <w:rPr>
          <w:rFonts w:ascii="Verdana" w:eastAsia="Batang" w:hAnsi="Verdana" w:cs="Times"/>
          <w:i/>
          <w:sz w:val="20"/>
          <w:szCs w:val="24"/>
          <w:lang w:val="es-CR" w:eastAsia="es-CR"/>
        </w:rPr>
        <w:t>supra</w:t>
      </w:r>
      <w:r w:rsidRPr="00873FEC">
        <w:rPr>
          <w:rFonts w:ascii="Verdana" w:eastAsia="Batang" w:hAnsi="Verdana" w:cs="Times"/>
          <w:sz w:val="20"/>
          <w:szCs w:val="24"/>
          <w:lang w:val="es-CR" w:eastAsia="es-CR"/>
        </w:rPr>
        <w:t xml:space="preserve"> párr. 8</w:t>
      </w:r>
      <w:r w:rsidRPr="00873FEC">
        <w:rPr>
          <w:rFonts w:ascii="Verdana" w:eastAsia="Batang" w:hAnsi="Verdana" w:cs="Times"/>
          <w:sz w:val="20"/>
          <w:szCs w:val="24"/>
          <w:lang w:val="en-US" w:eastAsia="es-CR"/>
        </w:rPr>
        <w:t>)</w:t>
      </w:r>
      <w:r w:rsidRPr="00873FEC">
        <w:rPr>
          <w:rFonts w:ascii="Verdana" w:eastAsia="Batang" w:hAnsi="Verdana" w:cs="Times New Roman"/>
          <w:sz w:val="20"/>
          <w:szCs w:val="20"/>
          <w:vertAlign w:val="superscript"/>
          <w:lang w:val="en-US" w:eastAsia="x-none"/>
        </w:rPr>
        <w:footnoteReference w:id="13"/>
      </w:r>
      <w:r w:rsidRPr="00873FEC">
        <w:rPr>
          <w:rFonts w:ascii="Verdana" w:eastAsia="Batang" w:hAnsi="Verdana" w:cs="Times"/>
          <w:sz w:val="20"/>
          <w:szCs w:val="24"/>
          <w:lang w:val="en-US" w:eastAsia="es-CR"/>
        </w:rPr>
        <w:t>.</w:t>
      </w:r>
    </w:p>
    <w:p w:rsidR="006166D8" w:rsidRPr="00873FEC" w:rsidRDefault="006166D8" w:rsidP="00126E97">
      <w:pPr>
        <w:spacing w:after="0" w:line="20" w:lineRule="atLeast"/>
        <w:ind w:left="720"/>
        <w:contextualSpacing/>
        <w:rPr>
          <w:rFonts w:ascii="Calibri" w:eastAsia="Calibri" w:hAnsi="Calibri" w:cs="Times"/>
          <w:lang w:val="es-CR" w:eastAsia="es-CR"/>
        </w:rPr>
      </w:pPr>
    </w:p>
    <w:p w:rsidR="006166D8" w:rsidRPr="00873FEC" w:rsidRDefault="006166D8"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4"/>
          <w:lang w:val="es-CR" w:eastAsia="es-CR"/>
        </w:rPr>
        <w:t xml:space="preserve">El 16 de febrero de 2018 se solicitó a los representantes, con base en el artículo 58 del Reglamento, copia de una propuesta de solución amistosa. Los </w:t>
      </w:r>
      <w:r w:rsidRPr="00873FEC">
        <w:rPr>
          <w:rFonts w:ascii="Verdana" w:eastAsia="Batang" w:hAnsi="Verdana" w:cs="Times"/>
          <w:b/>
          <w:i/>
          <w:sz w:val="20"/>
          <w:szCs w:val="24"/>
          <w:lang w:val="es-CR" w:eastAsia="es-CR"/>
        </w:rPr>
        <w:t>representantes</w:t>
      </w:r>
      <w:r w:rsidRPr="00873FEC">
        <w:rPr>
          <w:rFonts w:ascii="Verdana" w:eastAsia="Batang" w:hAnsi="Verdana" w:cs="Times"/>
          <w:sz w:val="20"/>
          <w:szCs w:val="24"/>
          <w:lang w:val="es-CR" w:eastAsia="es-CR"/>
        </w:rPr>
        <w:t xml:space="preserve"> la presentaron el 21 del mismo mes, junto con otros dos documentos: una declaración jurada efectuada ante notario el día 19 anterior por quien, según se indicó, fue Presidente de COPREDEH y copia del acto de su nombramiento, de 17 de marzo de 2016. Adujeron que la declaración “</w:t>
      </w:r>
      <w:proofErr w:type="spellStart"/>
      <w:proofErr w:type="gramStart"/>
      <w:r w:rsidRPr="00873FEC">
        <w:rPr>
          <w:rFonts w:ascii="Verdana" w:eastAsia="Batang" w:hAnsi="Verdana" w:cs="Times"/>
          <w:sz w:val="20"/>
          <w:szCs w:val="24"/>
          <w:lang w:val="es-CR" w:eastAsia="es-CR"/>
        </w:rPr>
        <w:t>surg</w:t>
      </w:r>
      <w:proofErr w:type="spellEnd"/>
      <w:r w:rsidRPr="00873FEC">
        <w:rPr>
          <w:rFonts w:ascii="Verdana" w:eastAsia="Batang" w:hAnsi="Verdana" w:cs="Times"/>
          <w:sz w:val="20"/>
          <w:szCs w:val="24"/>
          <w:lang w:val="es-CR" w:eastAsia="es-CR"/>
        </w:rPr>
        <w:t>[</w:t>
      </w:r>
      <w:proofErr w:type="spellStart"/>
      <w:proofErr w:type="gramEnd"/>
      <w:r w:rsidRPr="00873FEC">
        <w:rPr>
          <w:rFonts w:ascii="Verdana" w:eastAsia="Batang" w:hAnsi="Verdana" w:cs="Times"/>
          <w:sz w:val="20"/>
          <w:szCs w:val="24"/>
          <w:lang w:val="es-CR" w:eastAsia="es-CR"/>
        </w:rPr>
        <w:t>ió</w:t>
      </w:r>
      <w:proofErr w:type="spellEnd"/>
      <w:r w:rsidRPr="00873FEC">
        <w:rPr>
          <w:rFonts w:ascii="Verdana" w:eastAsia="Batang" w:hAnsi="Verdana" w:cs="Times"/>
          <w:sz w:val="20"/>
          <w:szCs w:val="24"/>
          <w:lang w:val="es-CR" w:eastAsia="es-CR"/>
        </w:rPr>
        <w:t>] posteriormente de realizada la audiencia [pública] del [caso]”</w:t>
      </w:r>
      <w:r w:rsidR="00064130" w:rsidRPr="00873FEC">
        <w:rPr>
          <w:rFonts w:ascii="Verdana" w:eastAsia="Batang" w:hAnsi="Verdana" w:cs="Times"/>
          <w:sz w:val="20"/>
          <w:szCs w:val="24"/>
          <w:lang w:val="es-CR" w:eastAsia="es-CR"/>
        </w:rPr>
        <w:t>.</w:t>
      </w:r>
      <w:r w:rsidRPr="00873FEC">
        <w:rPr>
          <w:rFonts w:ascii="Verdana" w:eastAsia="Batang" w:hAnsi="Verdana" w:cs="Times"/>
          <w:sz w:val="20"/>
          <w:szCs w:val="24"/>
          <w:lang w:val="es-CR" w:eastAsia="es-CR"/>
        </w:rPr>
        <w:t xml:space="preserve"> El </w:t>
      </w:r>
      <w:r w:rsidRPr="00873FEC">
        <w:rPr>
          <w:rFonts w:ascii="Verdana" w:eastAsia="Batang" w:hAnsi="Verdana" w:cs="Times"/>
          <w:b/>
          <w:i/>
          <w:sz w:val="20"/>
          <w:szCs w:val="24"/>
          <w:lang w:val="es-CR" w:eastAsia="es-CR"/>
        </w:rPr>
        <w:t>Estado</w:t>
      </w:r>
      <w:r w:rsidRPr="00873FEC">
        <w:rPr>
          <w:rFonts w:ascii="Verdana" w:eastAsia="Batang" w:hAnsi="Verdana" w:cs="Times"/>
          <w:b/>
          <w:sz w:val="20"/>
          <w:szCs w:val="24"/>
          <w:lang w:val="es-CR" w:eastAsia="es-CR"/>
        </w:rPr>
        <w:t xml:space="preserve"> </w:t>
      </w:r>
      <w:r w:rsidRPr="00873FEC">
        <w:rPr>
          <w:rFonts w:ascii="Verdana" w:eastAsia="Batang" w:hAnsi="Verdana" w:cs="Times"/>
          <w:sz w:val="20"/>
          <w:szCs w:val="24"/>
          <w:lang w:val="es-CR" w:eastAsia="es-CR"/>
        </w:rPr>
        <w:t xml:space="preserve">consideró extemporánea la presentación de estos dos documentos, solicitando que no sean considerados pues “no fueron requeridos”. La </w:t>
      </w:r>
      <w:r w:rsidRPr="00873FEC">
        <w:rPr>
          <w:rFonts w:ascii="Verdana" w:eastAsia="Batang" w:hAnsi="Verdana" w:cs="Times"/>
          <w:b/>
          <w:i/>
          <w:sz w:val="20"/>
          <w:szCs w:val="24"/>
          <w:lang w:val="es-CR" w:eastAsia="es-CR"/>
        </w:rPr>
        <w:t>Corte</w:t>
      </w:r>
      <w:r w:rsidRPr="00873FEC">
        <w:rPr>
          <w:rFonts w:ascii="Verdana" w:eastAsia="Batang" w:hAnsi="Verdana" w:cs="Times"/>
          <w:sz w:val="20"/>
          <w:szCs w:val="24"/>
          <w:lang w:val="es-CR" w:eastAsia="es-CR"/>
        </w:rPr>
        <w:t xml:space="preserve"> nota que la copia del acto de nombramiento no fue solicitada. Además, de la lectura de la declaración, tampoco pedida, surge que fue hecha para ser presentada ante la Corte y que refiere a hechos previos a la audiencia. Por ende, considerando el pedido estatal, este Tribunal inadmite estos dos documentos. Sí admite la copia de la propuesta de solución amistosa, dado que fue requerida.</w:t>
      </w:r>
    </w:p>
    <w:p w:rsidR="006166D8" w:rsidRPr="00873FEC" w:rsidRDefault="006166D8" w:rsidP="00126E97">
      <w:pPr>
        <w:spacing w:after="0" w:line="20" w:lineRule="atLeast"/>
        <w:ind w:left="720"/>
        <w:contextualSpacing/>
        <w:rPr>
          <w:rFonts w:ascii="Calibri" w:eastAsia="Calibri" w:hAnsi="Calibri" w:cs="Times"/>
          <w:lang w:val="es-CR" w:eastAsia="es-CR"/>
        </w:rPr>
      </w:pPr>
    </w:p>
    <w:p w:rsidR="006166D8" w:rsidRPr="00873FEC" w:rsidRDefault="006166D8" w:rsidP="00126E97">
      <w:pPr>
        <w:numPr>
          <w:ilvl w:val="0"/>
          <w:numId w:val="3"/>
        </w:numPr>
        <w:spacing w:after="0" w:line="20" w:lineRule="atLeast"/>
        <w:ind w:right="-138"/>
        <w:jc w:val="both"/>
        <w:rPr>
          <w:rFonts w:ascii="Verdana" w:eastAsia="Batang" w:hAnsi="Verdana" w:cs="Times"/>
          <w:sz w:val="20"/>
          <w:szCs w:val="24"/>
          <w:lang w:val="es-ES" w:eastAsia="es-CR"/>
        </w:rPr>
      </w:pPr>
      <w:r w:rsidRPr="00873FEC">
        <w:rPr>
          <w:rFonts w:ascii="Verdana" w:eastAsia="Batang" w:hAnsi="Verdana" w:cs="Times"/>
          <w:sz w:val="20"/>
          <w:szCs w:val="24"/>
          <w:lang w:val="es-CR" w:eastAsia="es-CR"/>
        </w:rPr>
        <w:t>Junto con los alegatos finales escritos, el Estado presentó cinco anexos documentales</w:t>
      </w:r>
      <w:r w:rsidRPr="00873FEC">
        <w:rPr>
          <w:rFonts w:ascii="Verdana" w:eastAsia="Batang" w:hAnsi="Verdana" w:cs="Times New Roman"/>
          <w:sz w:val="20"/>
          <w:szCs w:val="20"/>
          <w:vertAlign w:val="superscript"/>
          <w:lang w:val="en-US" w:eastAsia="x-none"/>
        </w:rPr>
        <w:footnoteReference w:id="14"/>
      </w:r>
      <w:r w:rsidRPr="00873FEC">
        <w:rPr>
          <w:rFonts w:ascii="Verdana" w:eastAsia="Batang" w:hAnsi="Verdana" w:cs="Times"/>
          <w:sz w:val="20"/>
          <w:szCs w:val="24"/>
          <w:lang w:val="es-CR" w:eastAsia="es-CR"/>
        </w:rPr>
        <w:t>, y los representantes siete</w:t>
      </w:r>
      <w:r w:rsidRPr="00873FEC">
        <w:rPr>
          <w:rFonts w:ascii="Verdana" w:eastAsia="Batang" w:hAnsi="Verdana" w:cs="Times New Roman"/>
          <w:sz w:val="20"/>
          <w:szCs w:val="20"/>
          <w:vertAlign w:val="superscript"/>
          <w:lang w:val="en-US" w:eastAsia="x-none"/>
        </w:rPr>
        <w:footnoteReference w:id="15"/>
      </w:r>
      <w:r w:rsidRPr="00873FEC">
        <w:rPr>
          <w:rFonts w:ascii="Verdana" w:eastAsia="Batang" w:hAnsi="Verdana" w:cs="Times"/>
          <w:sz w:val="20"/>
          <w:szCs w:val="24"/>
          <w:lang w:val="es-CR" w:eastAsia="es-CR"/>
        </w:rPr>
        <w:t xml:space="preserve">. Los </w:t>
      </w:r>
      <w:r w:rsidRPr="00873FEC">
        <w:rPr>
          <w:rFonts w:ascii="Verdana" w:eastAsia="Batang" w:hAnsi="Verdana" w:cs="Times"/>
          <w:b/>
          <w:i/>
          <w:sz w:val="20"/>
          <w:szCs w:val="24"/>
          <w:lang w:val="es-CR" w:eastAsia="es-CR"/>
        </w:rPr>
        <w:t>representantes</w:t>
      </w:r>
      <w:r w:rsidRPr="00873FEC">
        <w:rPr>
          <w:rFonts w:ascii="Verdana" w:eastAsia="Batang" w:hAnsi="Verdana" w:cs="Times"/>
          <w:sz w:val="20"/>
          <w:szCs w:val="24"/>
          <w:lang w:val="es-CR" w:eastAsia="es-CR"/>
        </w:rPr>
        <w:t xml:space="preserve"> solicitaron que cuatro </w:t>
      </w:r>
      <w:r w:rsidRPr="00873FEC">
        <w:rPr>
          <w:rFonts w:ascii="Verdana" w:eastAsia="Batang" w:hAnsi="Verdana" w:cs="Times"/>
          <w:sz w:val="20"/>
          <w:szCs w:val="24"/>
          <w:lang w:val="es-CR" w:eastAsia="es-CR"/>
        </w:rPr>
        <w:lastRenderedPageBreak/>
        <w:t>de los cinco anexos estatales no sean admitidos, por ser extemporáneos, mas hicieron notar que desde antes de la presentación estatal se encontraban en el expediente. Respecto al otro anexo, que contiene “[d]</w:t>
      </w:r>
      <w:proofErr w:type="spellStart"/>
      <w:r w:rsidRPr="00873FEC">
        <w:rPr>
          <w:rFonts w:ascii="Verdana" w:eastAsia="Batang" w:hAnsi="Verdana" w:cs="Times"/>
          <w:sz w:val="20"/>
          <w:szCs w:val="24"/>
          <w:lang w:val="es-CR" w:eastAsia="es-CR"/>
        </w:rPr>
        <w:t>ocumentos</w:t>
      </w:r>
      <w:proofErr w:type="spellEnd"/>
      <w:r w:rsidRPr="00873FEC">
        <w:rPr>
          <w:rFonts w:ascii="Verdana" w:eastAsia="Batang" w:hAnsi="Verdana" w:cs="Times"/>
          <w:sz w:val="20"/>
          <w:szCs w:val="20"/>
          <w:lang w:val="es-CR" w:eastAsia="es-CR"/>
        </w:rPr>
        <w:t xml:space="preserve"> del Programa Nacional de Resarcimiento”</w:t>
      </w:r>
      <w:r w:rsidR="002706B2" w:rsidRPr="00873FEC">
        <w:rPr>
          <w:rFonts w:ascii="Verdana" w:eastAsia="Batang" w:hAnsi="Verdana" w:cs="Times"/>
          <w:sz w:val="20"/>
          <w:szCs w:val="20"/>
          <w:lang w:val="es-CR" w:eastAsia="es-CR"/>
        </w:rPr>
        <w:t xml:space="preserve"> (en adelante también “PNR”)</w:t>
      </w:r>
      <w:r w:rsidRPr="00873FEC">
        <w:rPr>
          <w:rFonts w:ascii="Verdana" w:eastAsia="Batang" w:hAnsi="Verdana" w:cs="Times"/>
          <w:sz w:val="20"/>
          <w:szCs w:val="24"/>
          <w:lang w:val="es-CR" w:eastAsia="es-CR"/>
        </w:rPr>
        <w:t xml:space="preserve">, solicitaron que sí “sea tomado en cuenta”. </w:t>
      </w:r>
      <w:r w:rsidRPr="00873FEC">
        <w:rPr>
          <w:rFonts w:ascii="Verdana" w:eastAsia="Batang" w:hAnsi="Verdana" w:cs="Times"/>
          <w:sz w:val="20"/>
          <w:szCs w:val="20"/>
          <w:lang w:val="es-CR" w:eastAsia="es-CR"/>
        </w:rPr>
        <w:t xml:space="preserve">El </w:t>
      </w:r>
      <w:r w:rsidRPr="00873FEC">
        <w:rPr>
          <w:rFonts w:ascii="Verdana" w:eastAsia="Batang" w:hAnsi="Verdana" w:cs="Times"/>
          <w:b/>
          <w:i/>
          <w:sz w:val="20"/>
          <w:szCs w:val="20"/>
          <w:lang w:val="es-CR" w:eastAsia="es-CR"/>
        </w:rPr>
        <w:t>Estado</w:t>
      </w:r>
      <w:r w:rsidRPr="00873FEC">
        <w:rPr>
          <w:rFonts w:ascii="Verdana" w:eastAsia="Batang" w:hAnsi="Verdana" w:cs="Times"/>
          <w:sz w:val="20"/>
          <w:szCs w:val="20"/>
          <w:lang w:val="es-CR" w:eastAsia="es-CR"/>
        </w:rPr>
        <w:t xml:space="preserve"> consideró que no debían ser considerados por la Corte seis de los siete anexos presentados por los representantes, por su extemporaneidad. En cuanto al restante, referido a gastos realizados por los representantes, señaló por una parte que su presentación no fue oportuna y, por otro lado, que no se acompañó documentación que respalde las erogaciones indicadas. </w:t>
      </w:r>
    </w:p>
    <w:p w:rsidR="006166D8" w:rsidRPr="00873FEC" w:rsidRDefault="006166D8" w:rsidP="00126E97">
      <w:pPr>
        <w:spacing w:after="0" w:line="20" w:lineRule="atLeast"/>
        <w:ind w:left="720"/>
        <w:contextualSpacing/>
        <w:rPr>
          <w:rFonts w:ascii="Calibri" w:eastAsia="Calibri" w:hAnsi="Calibri" w:cs="Times"/>
          <w:szCs w:val="20"/>
          <w:lang w:val="es-CR" w:eastAsia="es-CR"/>
        </w:rPr>
      </w:pPr>
    </w:p>
    <w:p w:rsidR="006166D8" w:rsidRPr="00873FEC" w:rsidRDefault="006166D8" w:rsidP="00126E97">
      <w:pPr>
        <w:numPr>
          <w:ilvl w:val="0"/>
          <w:numId w:val="3"/>
        </w:numPr>
        <w:spacing w:after="0" w:line="20" w:lineRule="atLeast"/>
        <w:ind w:right="-138"/>
        <w:jc w:val="both"/>
        <w:rPr>
          <w:rFonts w:ascii="Verdana" w:eastAsia="Batang" w:hAnsi="Verdana" w:cs="Times"/>
          <w:sz w:val="20"/>
          <w:szCs w:val="20"/>
          <w:lang w:val="es-CR" w:eastAsia="es-CR"/>
        </w:rPr>
      </w:pPr>
      <w:r w:rsidRPr="00873FEC">
        <w:rPr>
          <w:rFonts w:ascii="Verdana" w:eastAsia="Batang" w:hAnsi="Verdana" w:cs="Times"/>
          <w:sz w:val="20"/>
          <w:szCs w:val="20"/>
          <w:lang w:val="es-CR" w:eastAsia="es-CR"/>
        </w:rPr>
        <w:t xml:space="preserve">La </w:t>
      </w:r>
      <w:r w:rsidRPr="00873FEC">
        <w:rPr>
          <w:rFonts w:ascii="Verdana" w:eastAsia="Batang" w:hAnsi="Verdana" w:cs="Times"/>
          <w:b/>
          <w:i/>
          <w:sz w:val="20"/>
          <w:szCs w:val="20"/>
          <w:lang w:val="es-CR" w:eastAsia="es-CR"/>
        </w:rPr>
        <w:t>Corte</w:t>
      </w:r>
      <w:r w:rsidRPr="00873FEC">
        <w:rPr>
          <w:rFonts w:ascii="Verdana" w:eastAsia="Batang" w:hAnsi="Verdana" w:cs="Times"/>
          <w:sz w:val="20"/>
          <w:szCs w:val="20"/>
          <w:lang w:val="es-CR" w:eastAsia="es-CR"/>
        </w:rPr>
        <w:t xml:space="preserve">, en cuanto a los documentos remitidos por el Estado: a) admite los </w:t>
      </w:r>
      <w:r w:rsidRPr="00873FEC">
        <w:rPr>
          <w:rFonts w:ascii="Verdana" w:eastAsia="Batang" w:hAnsi="Verdana" w:cs="Times"/>
          <w:sz w:val="20"/>
          <w:szCs w:val="24"/>
          <w:lang w:val="es-CR" w:eastAsia="es-CR"/>
        </w:rPr>
        <w:t>“[d]</w:t>
      </w:r>
      <w:proofErr w:type="spellStart"/>
      <w:r w:rsidRPr="00873FEC">
        <w:rPr>
          <w:rFonts w:ascii="Verdana" w:eastAsia="Batang" w:hAnsi="Verdana" w:cs="Times"/>
          <w:sz w:val="20"/>
          <w:szCs w:val="24"/>
          <w:lang w:val="es-CR" w:eastAsia="es-CR"/>
        </w:rPr>
        <w:t>ocumentos</w:t>
      </w:r>
      <w:proofErr w:type="spellEnd"/>
      <w:r w:rsidRPr="00873FEC">
        <w:rPr>
          <w:rFonts w:ascii="Verdana" w:eastAsia="Batang" w:hAnsi="Verdana" w:cs="Times"/>
          <w:sz w:val="20"/>
          <w:szCs w:val="20"/>
          <w:lang w:val="es-CR" w:eastAsia="es-CR"/>
        </w:rPr>
        <w:t xml:space="preserve"> del Programa Nacional de Resarcimiento” teniendo en cuenta la anuencia y razones formuladas por los representantes, y b) nota que, como señalaron los representantes, los demás documentos se encontraban incorporados al expediente desde antes que el Estado presentara sus alegatos finales escritos, por lo que los documentos pueden utilizarse y el alegato sobre su supuesta incorporación tardía resulta impertinente. Por otra parte, en cuanto a los documentos allegados por los representantes: a) constata que la Convención sobre el Estatuto de Refugiados es un instrumento de derecho internacional, que no requiere prueba, y b) admite el resto de los documentos, dado que: i) el documento sobre gastos contiene información sobre hechos posteriores al 31 de marzo de 2017, cuando se presentó el escrito de solicitudes y argumentos (</w:t>
      </w:r>
      <w:r w:rsidRPr="00873FEC">
        <w:rPr>
          <w:rFonts w:ascii="Verdana" w:eastAsia="Batang" w:hAnsi="Verdana" w:cs="Times"/>
          <w:i/>
          <w:sz w:val="20"/>
          <w:szCs w:val="20"/>
          <w:lang w:val="es-CR" w:eastAsia="es-CR"/>
        </w:rPr>
        <w:t>supra</w:t>
      </w:r>
      <w:r w:rsidRPr="00873FEC">
        <w:rPr>
          <w:rFonts w:ascii="Verdana" w:eastAsia="Batang" w:hAnsi="Verdana" w:cs="Times"/>
          <w:sz w:val="20"/>
          <w:szCs w:val="20"/>
          <w:lang w:val="es-CR" w:eastAsia="es-CR"/>
        </w:rPr>
        <w:t xml:space="preserve"> párr. 6), mas no será considerada por la Corte información que hay en ese documento sobre gastos anteriores a esa fecha, por resultar extemporánea</w:t>
      </w:r>
      <w:r w:rsidRPr="00873FEC">
        <w:rPr>
          <w:rFonts w:ascii="Verdana" w:eastAsia="Batang" w:hAnsi="Verdana" w:cs="Times New Roman"/>
          <w:sz w:val="20"/>
          <w:szCs w:val="20"/>
          <w:vertAlign w:val="superscript"/>
          <w:lang w:val="en-US" w:eastAsia="x-none"/>
        </w:rPr>
        <w:footnoteReference w:id="16"/>
      </w:r>
      <w:r w:rsidRPr="00873FEC">
        <w:rPr>
          <w:rFonts w:ascii="Verdana" w:eastAsia="Batang" w:hAnsi="Verdana" w:cs="Times"/>
          <w:sz w:val="20"/>
          <w:szCs w:val="20"/>
          <w:lang w:val="es-CR" w:eastAsia="es-CR"/>
        </w:rPr>
        <w:t>, y ii) el resto de los documentos resultan útiles y se relacionan estrechamente con preguntas formuladas por integrantes de la Corte durante la audiencia pública, por lo que, a pesar de haber sido remitidos con posterioridad a la presentación del escrito de solicitudes y argumentos, cabe su admisión a partir del artículo 58.a) del Reglamento</w:t>
      </w:r>
      <w:r w:rsidRPr="00873FEC">
        <w:rPr>
          <w:rFonts w:ascii="Verdana" w:eastAsia="Batang" w:hAnsi="Verdana" w:cs="Times New Roman"/>
          <w:sz w:val="20"/>
          <w:szCs w:val="20"/>
          <w:vertAlign w:val="superscript"/>
          <w:lang w:val="en-US" w:eastAsia="x-none"/>
        </w:rPr>
        <w:footnoteReference w:id="17"/>
      </w:r>
      <w:r w:rsidRPr="00873FEC">
        <w:rPr>
          <w:rFonts w:ascii="Verdana" w:eastAsia="Batang" w:hAnsi="Verdana" w:cs="Times"/>
          <w:sz w:val="20"/>
          <w:szCs w:val="20"/>
          <w:lang w:val="es-CR" w:eastAsia="es-CR"/>
        </w:rPr>
        <w:t>. Además, la Corte admite los certificados de nacimiento y defunción de Pedro Daniel Carrillo López, presentados por los representantes el 16 de agosto de 2018, pues fueron remitidos con el objeto de acreditar un hecho ocurrido el 27 de julio de 2018: la muerte de la presunta víctima nombrada</w:t>
      </w:r>
      <w:r w:rsidRPr="00873FEC">
        <w:rPr>
          <w:rFonts w:ascii="Verdana" w:eastAsia="Batang" w:hAnsi="Verdana" w:cs="Times New Roman"/>
          <w:sz w:val="20"/>
          <w:szCs w:val="20"/>
          <w:vertAlign w:val="superscript"/>
          <w:lang w:val="es-CR" w:eastAsia="es-CR"/>
        </w:rPr>
        <w:footnoteReference w:id="18"/>
      </w:r>
      <w:r w:rsidRPr="00873FEC">
        <w:rPr>
          <w:rFonts w:ascii="Verdana" w:eastAsia="Batang" w:hAnsi="Verdana" w:cs="Times"/>
          <w:sz w:val="20"/>
          <w:szCs w:val="20"/>
          <w:lang w:val="es-CR" w:eastAsia="es-CR"/>
        </w:rPr>
        <w:t>.</w:t>
      </w:r>
      <w:r w:rsidRPr="00873FEC">
        <w:rPr>
          <w:rFonts w:ascii="Calibri" w:hAnsi="Calibri" w:cs="Calibri"/>
          <w:color w:val="1F497D"/>
          <w:lang w:val="es-CR"/>
        </w:rPr>
        <w:t xml:space="preserve"> </w:t>
      </w:r>
      <w:r w:rsidRPr="00873FEC">
        <w:rPr>
          <w:rFonts w:ascii="Verdana" w:eastAsia="Batang" w:hAnsi="Verdana" w:cs="Times"/>
          <w:sz w:val="20"/>
          <w:szCs w:val="20"/>
          <w:lang w:val="es-CR" w:eastAsia="es-CR"/>
        </w:rPr>
        <w:t>Asimismo, por resultar útil, y considerando que se trata de una disposición legal publicada, este Tribunal incorpora de oficio, como prueba documental, el texto del Código Procesal Penal de Guatemala de 1992 (</w:t>
      </w:r>
      <w:r w:rsidRPr="00873FEC">
        <w:rPr>
          <w:rFonts w:ascii="Verdana" w:eastAsia="Batang" w:hAnsi="Verdana" w:cs="Times"/>
          <w:i/>
          <w:iCs/>
          <w:sz w:val="20"/>
          <w:szCs w:val="20"/>
          <w:lang w:val="es-CR" w:eastAsia="es-CR"/>
        </w:rPr>
        <w:t>infra</w:t>
      </w:r>
      <w:r w:rsidRPr="00873FEC">
        <w:rPr>
          <w:rFonts w:ascii="Verdana" w:eastAsia="Batang" w:hAnsi="Verdana" w:cs="Times"/>
          <w:sz w:val="20"/>
          <w:szCs w:val="20"/>
          <w:lang w:val="es-CR" w:eastAsia="es-CR"/>
        </w:rPr>
        <w:t xml:space="preserve"> nota a pie de página </w:t>
      </w:r>
      <w:r w:rsidR="00E46AEE" w:rsidRPr="00873FEC">
        <w:rPr>
          <w:rFonts w:ascii="Verdana" w:eastAsia="Batang" w:hAnsi="Verdana" w:cs="Times"/>
          <w:sz w:val="20"/>
          <w:szCs w:val="20"/>
          <w:lang w:val="es-CR" w:eastAsia="es-CR"/>
        </w:rPr>
        <w:t>59</w:t>
      </w:r>
      <w:r w:rsidRPr="00873FEC">
        <w:rPr>
          <w:rFonts w:ascii="Verdana" w:eastAsia="Batang" w:hAnsi="Verdana" w:cs="Times"/>
          <w:sz w:val="20"/>
          <w:szCs w:val="20"/>
          <w:lang w:val="es-CR" w:eastAsia="es-CR"/>
        </w:rPr>
        <w:t>). En uso de la facultad conferida por el artículo 58.a) de su Reglamento, la Corte incorpora también de oficio información sobre el tipo de cambio monetario publicada en el sitio de internet del Banco de Guatemala (</w:t>
      </w:r>
      <w:r w:rsidRPr="00873FEC">
        <w:rPr>
          <w:rFonts w:ascii="Verdana" w:eastAsia="Batang" w:hAnsi="Verdana" w:cs="Times"/>
          <w:i/>
          <w:sz w:val="20"/>
          <w:szCs w:val="20"/>
          <w:lang w:val="es-CR" w:eastAsia="es-CR"/>
        </w:rPr>
        <w:t>infra</w:t>
      </w:r>
      <w:r w:rsidRPr="00873FEC">
        <w:rPr>
          <w:rFonts w:ascii="Verdana" w:eastAsia="Batang" w:hAnsi="Verdana" w:cs="Times"/>
          <w:sz w:val="20"/>
          <w:szCs w:val="20"/>
          <w:lang w:val="es-CR" w:eastAsia="es-CR"/>
        </w:rPr>
        <w:t xml:space="preserve"> nota a pie de página </w:t>
      </w:r>
      <w:r w:rsidR="00E46AEE" w:rsidRPr="00873FEC">
        <w:rPr>
          <w:rFonts w:ascii="Verdana" w:eastAsia="Batang" w:hAnsi="Verdana" w:cs="Times"/>
          <w:sz w:val="20"/>
          <w:szCs w:val="20"/>
          <w:lang w:val="es-CR" w:eastAsia="es-CR"/>
        </w:rPr>
        <w:t>224</w:t>
      </w:r>
      <w:r w:rsidRPr="00873FEC">
        <w:rPr>
          <w:rFonts w:ascii="Verdana" w:eastAsia="Batang" w:hAnsi="Verdana" w:cs="Times"/>
          <w:sz w:val="20"/>
          <w:szCs w:val="20"/>
          <w:lang w:val="es-CR" w:eastAsia="es-CR"/>
        </w:rPr>
        <w:t>).</w:t>
      </w:r>
    </w:p>
    <w:p w:rsidR="006166D8" w:rsidRPr="00873FEC" w:rsidRDefault="006166D8" w:rsidP="00126E97">
      <w:pPr>
        <w:spacing w:after="0" w:line="20" w:lineRule="atLeast"/>
        <w:ind w:left="720"/>
        <w:contextualSpacing/>
        <w:rPr>
          <w:rFonts w:ascii="Calibri" w:eastAsia="Calibri" w:hAnsi="Calibri" w:cs="Times"/>
          <w:lang w:val="es-CR" w:eastAsia="es-CR"/>
        </w:rPr>
      </w:pPr>
    </w:p>
    <w:p w:rsidR="006166D8" w:rsidRPr="00873FEC" w:rsidRDefault="006166D8"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La Comisión presentó documentos que señaló como anexos 1 y 2 del Informe de Fondo mediante enlaces de internet que no resultaron útiles. No obstante, se incorporan ambos documento</w:t>
      </w:r>
      <w:r w:rsidR="00926EAB" w:rsidRPr="00873FEC">
        <w:rPr>
          <w:rFonts w:ascii="Verdana" w:eastAsia="Batang" w:hAnsi="Verdana" w:cs="Times"/>
          <w:sz w:val="20"/>
          <w:szCs w:val="20"/>
          <w:lang w:val="es-CR" w:eastAsia="es-CR"/>
        </w:rPr>
        <w:t>s</w:t>
      </w:r>
      <w:r w:rsidRPr="00873FEC">
        <w:rPr>
          <w:rFonts w:ascii="Verdana" w:eastAsia="Batang" w:hAnsi="Verdana" w:cs="Times"/>
          <w:sz w:val="20"/>
          <w:szCs w:val="20"/>
          <w:lang w:val="es-CR" w:eastAsia="es-CR"/>
        </w:rPr>
        <w:t xml:space="preserve"> en virtud de la facultad establecida por el artículo 58.a) del Reglamento, teniendo en consideración que los dos forman parte de un mismo documento publicado, y considerando que ni el Estado ni los representantes presentaron objeciones u observaciones al respecto</w:t>
      </w:r>
      <w:r w:rsidRPr="00873FEC">
        <w:rPr>
          <w:rFonts w:ascii="Verdana" w:eastAsia="Batang" w:hAnsi="Verdana" w:cs="Times New Roman"/>
          <w:sz w:val="20"/>
          <w:szCs w:val="20"/>
          <w:vertAlign w:val="superscript"/>
          <w:lang w:val="en-US" w:eastAsia="x-none"/>
        </w:rPr>
        <w:footnoteReference w:id="19"/>
      </w:r>
      <w:r w:rsidRPr="00873FEC">
        <w:rPr>
          <w:rFonts w:ascii="Verdana" w:eastAsia="Batang" w:hAnsi="Verdana" w:cs="Times"/>
          <w:sz w:val="20"/>
          <w:szCs w:val="20"/>
          <w:lang w:val="es-CR" w:eastAsia="es-CR"/>
        </w:rPr>
        <w:t xml:space="preserve">. </w:t>
      </w:r>
    </w:p>
    <w:p w:rsidR="006166D8" w:rsidRPr="00873FEC" w:rsidRDefault="006166D8" w:rsidP="00126E97">
      <w:pPr>
        <w:spacing w:after="0" w:line="20" w:lineRule="atLeast"/>
        <w:ind w:left="720"/>
        <w:contextualSpacing/>
        <w:rPr>
          <w:rFonts w:ascii="Calibri" w:eastAsia="Calibri" w:hAnsi="Calibri" w:cs="Times"/>
          <w:lang w:val="es-CR" w:eastAsia="es-CR"/>
        </w:rPr>
      </w:pPr>
    </w:p>
    <w:p w:rsidR="006166D8" w:rsidRPr="00873FEC" w:rsidRDefault="006166D8" w:rsidP="00126E97">
      <w:pPr>
        <w:pStyle w:val="Heading2"/>
        <w:spacing w:before="0" w:line="20" w:lineRule="atLeast"/>
        <w:ind w:left="284"/>
        <w:jc w:val="both"/>
        <w:rPr>
          <w:rFonts w:ascii="Verdana" w:eastAsia="Calibri" w:hAnsi="Verdana" w:cs="Times"/>
          <w:i/>
          <w:color w:val="auto"/>
          <w:sz w:val="20"/>
          <w:szCs w:val="24"/>
          <w:lang w:val="es-CR" w:eastAsia="es-CR"/>
        </w:rPr>
      </w:pPr>
      <w:bookmarkStart w:id="101" w:name="_Toc514063392"/>
      <w:bookmarkStart w:id="102" w:name="_Toc520207579"/>
      <w:bookmarkStart w:id="103" w:name="_Toc525201154"/>
      <w:bookmarkStart w:id="104" w:name="_Toc521694805"/>
      <w:bookmarkEnd w:id="101"/>
      <w:bookmarkEnd w:id="102"/>
      <w:r w:rsidRPr="00873FEC">
        <w:rPr>
          <w:rFonts w:ascii="Verdana" w:eastAsia="Calibri" w:hAnsi="Verdana" w:cs="Times"/>
          <w:i/>
          <w:color w:val="auto"/>
          <w:sz w:val="20"/>
          <w:szCs w:val="24"/>
          <w:lang w:val="es-CR" w:eastAsia="es-CR"/>
        </w:rPr>
        <w:t>B. Admisibilidad de la prueba testimonial y pericial</w:t>
      </w:r>
      <w:bookmarkEnd w:id="103"/>
      <w:r w:rsidRPr="00873FEC">
        <w:rPr>
          <w:rFonts w:ascii="Verdana" w:eastAsia="Calibri" w:hAnsi="Verdana" w:cs="Times"/>
          <w:i/>
          <w:color w:val="auto"/>
          <w:sz w:val="20"/>
          <w:szCs w:val="24"/>
          <w:lang w:val="es-CR" w:eastAsia="es-CR"/>
        </w:rPr>
        <w:t xml:space="preserve"> </w:t>
      </w:r>
      <w:bookmarkEnd w:id="104"/>
    </w:p>
    <w:p w:rsidR="006166D8" w:rsidRPr="00873FEC" w:rsidRDefault="006166D8" w:rsidP="00126E97">
      <w:pPr>
        <w:spacing w:after="0" w:line="20" w:lineRule="atLeast"/>
        <w:ind w:left="720"/>
        <w:contextualSpacing/>
        <w:rPr>
          <w:rFonts w:ascii="Calibri" w:eastAsia="Calibri" w:hAnsi="Calibri" w:cs="Times"/>
          <w:lang w:val="es-CR" w:eastAsia="es-CR"/>
        </w:rPr>
      </w:pPr>
    </w:p>
    <w:p w:rsidR="006166D8" w:rsidRPr="00873FEC" w:rsidRDefault="006166D8"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La Corte escuchó en audiencia pública la declaración de las presuntas víctimas</w:t>
      </w:r>
      <w:r w:rsidRPr="00873FEC">
        <w:rPr>
          <w:rFonts w:ascii="Verdana" w:eastAsia="Batang" w:hAnsi="Verdana" w:cs="Times"/>
          <w:bCs/>
          <w:sz w:val="20"/>
          <w:szCs w:val="20"/>
          <w:lang w:val="es-AR" w:eastAsia="es-CR"/>
        </w:rPr>
        <w:t xml:space="preserve"> Tomás Grave </w:t>
      </w:r>
      <w:proofErr w:type="spellStart"/>
      <w:r w:rsidRPr="00873FEC">
        <w:rPr>
          <w:rFonts w:ascii="Verdana" w:eastAsia="Batang" w:hAnsi="Verdana" w:cs="Times"/>
          <w:bCs/>
          <w:sz w:val="20"/>
          <w:szCs w:val="20"/>
          <w:lang w:val="es-AR" w:eastAsia="es-CR"/>
        </w:rPr>
        <w:t>Morente</w:t>
      </w:r>
      <w:proofErr w:type="spellEnd"/>
      <w:r w:rsidRPr="00873FEC">
        <w:rPr>
          <w:rFonts w:ascii="Verdana" w:eastAsia="Batang" w:hAnsi="Verdana" w:cs="Times"/>
          <w:bCs/>
          <w:sz w:val="20"/>
          <w:szCs w:val="20"/>
          <w:lang w:val="es-AR" w:eastAsia="es-CR"/>
        </w:rPr>
        <w:t xml:space="preserve"> y Natividad Sales</w:t>
      </w:r>
      <w:r w:rsidR="000D5D3B">
        <w:rPr>
          <w:rFonts w:ascii="Verdana" w:eastAsia="Batang" w:hAnsi="Verdana" w:cs="Times"/>
          <w:bCs/>
          <w:sz w:val="20"/>
          <w:szCs w:val="20"/>
          <w:lang w:val="es-AR" w:eastAsia="es-CR"/>
        </w:rPr>
        <w:t xml:space="preserve"> Calmo</w:t>
      </w:r>
      <w:r w:rsidRPr="00873FEC">
        <w:rPr>
          <w:rFonts w:ascii="Verdana" w:eastAsia="Batang" w:hAnsi="Verdana" w:cs="Times"/>
          <w:sz w:val="20"/>
          <w:szCs w:val="24"/>
          <w:lang w:val="es-CR" w:eastAsia="es-CR"/>
        </w:rPr>
        <w:t xml:space="preserve">, y </w:t>
      </w:r>
      <w:r w:rsidRPr="00873FEC">
        <w:rPr>
          <w:rFonts w:ascii="Verdana" w:eastAsia="Batang" w:hAnsi="Verdana" w:cs="Times"/>
          <w:sz w:val="20"/>
          <w:szCs w:val="20"/>
          <w:lang w:val="es-CR" w:eastAsia="es-CR"/>
        </w:rPr>
        <w:t xml:space="preserve">recibió las declaraciones, rendidas ante fedatario público (afidávit), de Efraín Grave </w:t>
      </w:r>
      <w:proofErr w:type="spellStart"/>
      <w:r w:rsidRPr="00873FEC">
        <w:rPr>
          <w:rFonts w:ascii="Verdana" w:eastAsia="Batang" w:hAnsi="Verdana" w:cs="Times"/>
          <w:sz w:val="20"/>
          <w:szCs w:val="20"/>
          <w:lang w:val="es-CR" w:eastAsia="es-CR"/>
        </w:rPr>
        <w:t>Morente</w:t>
      </w:r>
      <w:proofErr w:type="spellEnd"/>
      <w:r w:rsidRPr="00873FEC">
        <w:rPr>
          <w:rFonts w:ascii="Verdana" w:eastAsia="Batang" w:hAnsi="Verdana" w:cs="Times"/>
          <w:sz w:val="20"/>
          <w:szCs w:val="20"/>
          <w:lang w:val="es-CR" w:eastAsia="es-CR"/>
        </w:rPr>
        <w:t>, presunta víctima y de Claudia Virginia Samayoa Pineda, perita</w:t>
      </w:r>
      <w:r w:rsidRPr="00873FEC">
        <w:rPr>
          <w:rFonts w:ascii="Verdana" w:eastAsia="Batang" w:hAnsi="Verdana" w:cs="Times New Roman"/>
          <w:sz w:val="20"/>
          <w:szCs w:val="20"/>
          <w:vertAlign w:val="superscript"/>
          <w:lang w:val="es-CR" w:eastAsia="es-CR"/>
        </w:rPr>
        <w:footnoteReference w:id="20"/>
      </w:r>
      <w:r w:rsidRPr="00873FEC">
        <w:rPr>
          <w:rFonts w:ascii="Verdana" w:eastAsia="Batang" w:hAnsi="Verdana" w:cs="Times"/>
          <w:sz w:val="20"/>
          <w:szCs w:val="20"/>
          <w:lang w:val="es-CR" w:eastAsia="es-CR"/>
        </w:rPr>
        <w:t>.</w:t>
      </w:r>
      <w:r w:rsidRPr="00873FEC">
        <w:rPr>
          <w:rFonts w:ascii="Verdana" w:eastAsia="Batang" w:hAnsi="Verdana" w:cs="Times"/>
          <w:b/>
          <w:sz w:val="20"/>
          <w:szCs w:val="20"/>
          <w:lang w:val="es-CR" w:eastAsia="es-CR"/>
        </w:rPr>
        <w:t xml:space="preserve"> </w:t>
      </w:r>
      <w:r w:rsidRPr="00873FEC">
        <w:rPr>
          <w:rFonts w:ascii="Verdana" w:eastAsia="Batang" w:hAnsi="Verdana" w:cs="Times"/>
          <w:sz w:val="20"/>
          <w:szCs w:val="24"/>
          <w:lang w:val="es-CR" w:eastAsia="es-CR"/>
        </w:rPr>
        <w:t>La Corte estima pertinente admitir las declaraciones de las presuntas víctimas y el dictamen pericial, rendidos en la audiencia pública y ante fedatario público, en lo que se ajusten al objeto que fue definido por la Presidencia en la Resolución mediante la cual se ordenó recibirlos y al objeto del presente caso.</w:t>
      </w:r>
    </w:p>
    <w:p w:rsidR="006166D8" w:rsidRPr="00873FEC" w:rsidRDefault="006166D8" w:rsidP="00126E97">
      <w:pPr>
        <w:spacing w:after="0" w:line="20" w:lineRule="atLeast"/>
        <w:ind w:right="-138"/>
        <w:jc w:val="both"/>
        <w:rPr>
          <w:rFonts w:ascii="Verdana" w:eastAsia="Batang" w:hAnsi="Verdana" w:cs="Times"/>
          <w:sz w:val="20"/>
          <w:szCs w:val="24"/>
          <w:lang w:val="es-CR" w:eastAsia="es-CR"/>
        </w:rPr>
      </w:pPr>
    </w:p>
    <w:p w:rsidR="006166D8" w:rsidRPr="00873FEC" w:rsidRDefault="006166D8"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4"/>
          <w:lang w:val="es-CR" w:eastAsia="es-CR"/>
        </w:rPr>
        <w:t>Por otra parte, es pertinente dejar sentado que los representantes solicitaron que 34 personas rindieran declaración en el</w:t>
      </w:r>
      <w:r w:rsidR="00F5049E" w:rsidRPr="00873FEC">
        <w:rPr>
          <w:rFonts w:ascii="Verdana" w:eastAsia="Batang" w:hAnsi="Verdana" w:cs="Times"/>
          <w:sz w:val="20"/>
          <w:szCs w:val="24"/>
          <w:lang w:val="es-CR" w:eastAsia="es-CR"/>
        </w:rPr>
        <w:t xml:space="preserve"> marco de una diligencia en la C</w:t>
      </w:r>
      <w:r w:rsidRPr="00873FEC">
        <w:rPr>
          <w:rFonts w:ascii="Verdana" w:eastAsia="Batang" w:hAnsi="Verdana" w:cs="Times"/>
          <w:sz w:val="20"/>
          <w:szCs w:val="24"/>
          <w:lang w:val="es-CR" w:eastAsia="es-CR"/>
        </w:rPr>
        <w:t>omunidad “Aurora 8 de Octubre”. En su Resolución de 13 de diciembre de 2017 (</w:t>
      </w:r>
      <w:r w:rsidRPr="00873FEC">
        <w:rPr>
          <w:rFonts w:ascii="Verdana" w:eastAsia="Batang" w:hAnsi="Verdana" w:cs="Times"/>
          <w:i/>
          <w:sz w:val="20"/>
          <w:szCs w:val="24"/>
          <w:lang w:val="es-CR" w:eastAsia="es-CR"/>
        </w:rPr>
        <w:t>supra</w:t>
      </w:r>
      <w:r w:rsidRPr="00873FEC">
        <w:rPr>
          <w:rFonts w:ascii="Verdana" w:eastAsia="Batang" w:hAnsi="Verdana" w:cs="Times"/>
          <w:sz w:val="20"/>
          <w:szCs w:val="24"/>
          <w:lang w:val="es-CR" w:eastAsia="es-CR"/>
        </w:rPr>
        <w:t xml:space="preserve"> párr. 8) el Presidente “</w:t>
      </w:r>
      <w:proofErr w:type="spellStart"/>
      <w:r w:rsidRPr="00873FEC">
        <w:rPr>
          <w:rFonts w:ascii="Verdana" w:eastAsia="Batang" w:hAnsi="Verdana" w:cs="Times"/>
          <w:sz w:val="20"/>
          <w:szCs w:val="24"/>
          <w:lang w:val="es-CR" w:eastAsia="es-CR"/>
        </w:rPr>
        <w:t>consider</w:t>
      </w:r>
      <w:proofErr w:type="spellEnd"/>
      <w:r w:rsidRPr="00873FEC">
        <w:rPr>
          <w:rFonts w:ascii="Verdana" w:eastAsia="Batang" w:hAnsi="Verdana" w:cs="Times"/>
          <w:sz w:val="20"/>
          <w:szCs w:val="24"/>
          <w:lang w:val="es-CR" w:eastAsia="es-CR"/>
        </w:rPr>
        <w:t>[</w:t>
      </w:r>
      <w:proofErr w:type="spellStart"/>
      <w:r w:rsidRPr="00873FEC">
        <w:rPr>
          <w:rFonts w:ascii="Verdana" w:eastAsia="Batang" w:hAnsi="Verdana" w:cs="Times"/>
          <w:sz w:val="20"/>
          <w:szCs w:val="24"/>
          <w:lang w:val="es-CR" w:eastAsia="es-CR"/>
        </w:rPr>
        <w:t>ó</w:t>
      </w:r>
      <w:proofErr w:type="spellEnd"/>
      <w:r w:rsidRPr="00873FEC">
        <w:rPr>
          <w:rFonts w:ascii="Verdana" w:eastAsia="Batang" w:hAnsi="Verdana" w:cs="Times"/>
          <w:sz w:val="20"/>
          <w:szCs w:val="24"/>
          <w:lang w:val="es-CR" w:eastAsia="es-CR"/>
        </w:rPr>
        <w:t xml:space="preserve">] pertinente evaluar la realización de dicha diligencia probatoria una vez que se </w:t>
      </w:r>
      <w:proofErr w:type="gramStart"/>
      <w:r w:rsidRPr="00873FEC">
        <w:rPr>
          <w:rFonts w:ascii="Verdana" w:eastAsia="Batang" w:hAnsi="Verdana" w:cs="Times"/>
          <w:sz w:val="20"/>
          <w:szCs w:val="24"/>
          <w:lang w:val="es-CR" w:eastAsia="es-CR"/>
        </w:rPr>
        <w:t>h[</w:t>
      </w:r>
      <w:proofErr w:type="spellStart"/>
      <w:proofErr w:type="gramEnd"/>
      <w:r w:rsidRPr="00873FEC">
        <w:rPr>
          <w:rFonts w:ascii="Verdana" w:eastAsia="Batang" w:hAnsi="Verdana" w:cs="Times"/>
          <w:sz w:val="20"/>
          <w:szCs w:val="24"/>
          <w:lang w:val="es-CR" w:eastAsia="es-CR"/>
        </w:rPr>
        <w:t>ubiera</w:t>
      </w:r>
      <w:proofErr w:type="spellEnd"/>
      <w:r w:rsidRPr="00873FEC">
        <w:rPr>
          <w:rFonts w:ascii="Verdana" w:eastAsia="Batang" w:hAnsi="Verdana" w:cs="Times"/>
          <w:sz w:val="20"/>
          <w:szCs w:val="24"/>
          <w:lang w:val="es-CR" w:eastAsia="es-CR"/>
        </w:rPr>
        <w:t>] llevado a cabo la audiencia pública de este caso”</w:t>
      </w:r>
      <w:r w:rsidRPr="00873FEC">
        <w:rPr>
          <w:rFonts w:ascii="Verdana" w:eastAsia="Batang" w:hAnsi="Verdana" w:cs="Times New Roman"/>
          <w:sz w:val="20"/>
          <w:szCs w:val="20"/>
          <w:vertAlign w:val="superscript"/>
          <w:lang w:val="en-US" w:eastAsia="x-none"/>
        </w:rPr>
        <w:footnoteReference w:id="21"/>
      </w:r>
      <w:r w:rsidRPr="00873FEC">
        <w:rPr>
          <w:rFonts w:ascii="Verdana" w:eastAsia="Batang" w:hAnsi="Verdana" w:cs="Times"/>
          <w:sz w:val="20"/>
          <w:szCs w:val="24"/>
          <w:lang w:val="es-CR" w:eastAsia="es-CR"/>
        </w:rPr>
        <w:t xml:space="preserve">. El 31 de mayo de 2018 se informó a las partes y a la Comisión, que “teniendo en consideración el acervo probatorio ya existente […], </w:t>
      </w:r>
      <w:proofErr w:type="gramStart"/>
      <w:r w:rsidRPr="00873FEC">
        <w:rPr>
          <w:rFonts w:ascii="Verdana" w:eastAsia="Batang" w:hAnsi="Verdana" w:cs="Times"/>
          <w:sz w:val="20"/>
          <w:szCs w:val="24"/>
          <w:lang w:val="es-CR" w:eastAsia="es-CR"/>
        </w:rPr>
        <w:t>e[</w:t>
      </w:r>
      <w:proofErr w:type="spellStart"/>
      <w:proofErr w:type="gramEnd"/>
      <w:r w:rsidRPr="00873FEC">
        <w:rPr>
          <w:rFonts w:ascii="Verdana" w:eastAsia="Batang" w:hAnsi="Verdana" w:cs="Times"/>
          <w:sz w:val="20"/>
          <w:szCs w:val="24"/>
          <w:lang w:val="es-CR" w:eastAsia="es-CR"/>
        </w:rPr>
        <w:t>ste</w:t>
      </w:r>
      <w:proofErr w:type="spellEnd"/>
      <w:r w:rsidRPr="00873FEC">
        <w:rPr>
          <w:rFonts w:ascii="Verdana" w:eastAsia="Batang" w:hAnsi="Verdana" w:cs="Times"/>
          <w:sz w:val="20"/>
          <w:szCs w:val="24"/>
          <w:lang w:val="es-CR" w:eastAsia="es-CR"/>
        </w:rPr>
        <w:t>] Tribunal determinó negar la solicitud”</w:t>
      </w:r>
      <w:r w:rsidRPr="00873FEC">
        <w:rPr>
          <w:rFonts w:ascii="Verdana" w:eastAsia="Batang" w:hAnsi="Verdana" w:cs="Times New Roman"/>
          <w:sz w:val="20"/>
          <w:szCs w:val="20"/>
          <w:vertAlign w:val="superscript"/>
          <w:lang w:val="en-US" w:eastAsia="x-none"/>
        </w:rPr>
        <w:footnoteReference w:id="22"/>
      </w:r>
      <w:r w:rsidRPr="00873FEC">
        <w:rPr>
          <w:rFonts w:ascii="Verdana" w:eastAsia="Batang" w:hAnsi="Verdana" w:cs="Times"/>
          <w:sz w:val="20"/>
          <w:szCs w:val="24"/>
          <w:lang w:val="es-CR" w:eastAsia="es-CR"/>
        </w:rPr>
        <w:t xml:space="preserve">.  </w:t>
      </w:r>
    </w:p>
    <w:p w:rsidR="006166D8" w:rsidRPr="00873FEC" w:rsidRDefault="006166D8" w:rsidP="00126E97">
      <w:pPr>
        <w:spacing w:after="0" w:line="20" w:lineRule="atLeast"/>
        <w:rPr>
          <w:lang w:val="es-CR"/>
        </w:rPr>
      </w:pPr>
    </w:p>
    <w:p w:rsidR="00E221AF" w:rsidRPr="00873FEC" w:rsidRDefault="00E221AF" w:rsidP="00126E97">
      <w:pPr>
        <w:keepNext/>
        <w:keepLines/>
        <w:spacing w:after="0" w:line="20" w:lineRule="atLeast"/>
        <w:jc w:val="center"/>
        <w:outlineLvl w:val="0"/>
        <w:rPr>
          <w:rFonts w:ascii="Verdana" w:eastAsia="Times New Roman" w:hAnsi="Verdana" w:cs="Verdana"/>
          <w:caps/>
          <w:sz w:val="20"/>
          <w:szCs w:val="20"/>
          <w:lang w:val="es-CR" w:eastAsia="es-CR"/>
        </w:rPr>
      </w:pPr>
      <w:bookmarkStart w:id="105" w:name="_Toc521694806"/>
      <w:bookmarkStart w:id="106" w:name="_Toc525201155"/>
      <w:r w:rsidRPr="00873FEC">
        <w:rPr>
          <w:rFonts w:ascii="Verdana" w:eastAsia="Times New Roman" w:hAnsi="Verdana" w:cs="Verdana"/>
          <w:b/>
          <w:caps/>
          <w:sz w:val="20"/>
          <w:szCs w:val="20"/>
          <w:lang w:val="es-CR" w:eastAsia="es-CR"/>
        </w:rPr>
        <w:t>VI</w:t>
      </w:r>
      <w:bookmarkEnd w:id="105"/>
      <w:bookmarkEnd w:id="106"/>
    </w:p>
    <w:p w:rsidR="00E221AF" w:rsidRPr="00873FEC" w:rsidRDefault="00E221AF" w:rsidP="00126E97">
      <w:pPr>
        <w:keepNext/>
        <w:keepLines/>
        <w:spacing w:after="0" w:line="20" w:lineRule="atLeast"/>
        <w:jc w:val="center"/>
        <w:outlineLvl w:val="0"/>
        <w:rPr>
          <w:rFonts w:ascii="Verdana" w:eastAsia="Times New Roman" w:hAnsi="Verdana" w:cs="Verdana"/>
          <w:caps/>
          <w:sz w:val="20"/>
          <w:szCs w:val="20"/>
          <w:lang w:val="es-CR" w:eastAsia="es-CR"/>
        </w:rPr>
      </w:pPr>
      <w:bookmarkStart w:id="107" w:name="_Toc521694807"/>
      <w:bookmarkStart w:id="108" w:name="_Toc525201156"/>
      <w:r w:rsidRPr="00873FEC">
        <w:rPr>
          <w:rFonts w:ascii="Verdana" w:eastAsia="Times New Roman" w:hAnsi="Verdana" w:cs="Verdana"/>
          <w:b/>
          <w:caps/>
          <w:sz w:val="20"/>
          <w:szCs w:val="20"/>
          <w:lang w:val="es-CR" w:eastAsia="es-CR"/>
        </w:rPr>
        <w:t>HECHOS</w:t>
      </w:r>
      <w:bookmarkEnd w:id="107"/>
      <w:bookmarkEnd w:id="108"/>
    </w:p>
    <w:p w:rsidR="00E221AF" w:rsidRPr="00873FEC" w:rsidRDefault="00E221AF" w:rsidP="00126E97">
      <w:pPr>
        <w:spacing w:after="0" w:line="20" w:lineRule="atLeast"/>
        <w:ind w:right="-138"/>
        <w:jc w:val="both"/>
        <w:rPr>
          <w:rFonts w:ascii="Verdana" w:eastAsia="Batang" w:hAnsi="Verdana" w:cs="Times"/>
          <w:sz w:val="20"/>
          <w:szCs w:val="24"/>
          <w:lang w:val="en-US" w:eastAsia="es-CR"/>
        </w:rPr>
      </w:pPr>
    </w:p>
    <w:p w:rsidR="00E221AF" w:rsidRPr="00873FEC" w:rsidRDefault="00E221AF"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Después de analizados los elementos probatorios, así como los alegatos de la Comisión y las partes, la Corte considera establecidos los hechos que se detallan a continuación. A tal efecto, tiene en cuenta que al “</w:t>
      </w:r>
      <w:proofErr w:type="gramStart"/>
      <w:r w:rsidRPr="00873FEC">
        <w:rPr>
          <w:rFonts w:ascii="Verdana" w:eastAsia="Batang" w:hAnsi="Verdana" w:cs="Times"/>
          <w:sz w:val="20"/>
          <w:szCs w:val="20"/>
          <w:lang w:val="es-CR" w:eastAsia="es-CR"/>
        </w:rPr>
        <w:t>pronuncia[</w:t>
      </w:r>
      <w:proofErr w:type="spellStart"/>
      <w:proofErr w:type="gramEnd"/>
      <w:r w:rsidRPr="00873FEC">
        <w:rPr>
          <w:rFonts w:ascii="Verdana" w:eastAsia="Batang" w:hAnsi="Verdana" w:cs="Times"/>
          <w:sz w:val="20"/>
          <w:szCs w:val="20"/>
          <w:lang w:val="es-CR" w:eastAsia="es-CR"/>
        </w:rPr>
        <w:t>rse</w:t>
      </w:r>
      <w:proofErr w:type="spellEnd"/>
      <w:r w:rsidRPr="00873FEC">
        <w:rPr>
          <w:rFonts w:ascii="Verdana" w:eastAsia="Batang" w:hAnsi="Verdana" w:cs="Times"/>
          <w:sz w:val="20"/>
          <w:szCs w:val="20"/>
          <w:lang w:val="es-CR" w:eastAsia="es-CR"/>
        </w:rPr>
        <w:t>…] respecto al Informe [de Fondo]”, que fija el marco factico sobre el que la Corte debe resolver, Guatemala indicó que “no desconoce los hechos ocurridos”. También nota que desde el momento que ocurrieron los hechos, el entonces Presidente de Guatemala reconoció la “responsabilidad institucional” y luego autoridades judiciales determinaron lo sucedido y emitieron sentencias condenatorias (</w:t>
      </w:r>
      <w:r w:rsidRPr="00873FEC">
        <w:rPr>
          <w:rFonts w:ascii="Verdana" w:eastAsia="Batang" w:hAnsi="Verdana" w:cs="Times"/>
          <w:i/>
          <w:sz w:val="20"/>
          <w:szCs w:val="20"/>
          <w:lang w:val="es-CR" w:eastAsia="es-CR"/>
        </w:rPr>
        <w:t>infra</w:t>
      </w:r>
      <w:r w:rsidRPr="00873FEC">
        <w:rPr>
          <w:rFonts w:ascii="Verdana" w:eastAsia="Batang" w:hAnsi="Verdana" w:cs="Times"/>
          <w:sz w:val="20"/>
          <w:szCs w:val="20"/>
          <w:lang w:val="es-CR" w:eastAsia="es-CR"/>
        </w:rPr>
        <w:t xml:space="preserve"> </w:t>
      </w:r>
      <w:proofErr w:type="spellStart"/>
      <w:r w:rsidRPr="00873FEC">
        <w:rPr>
          <w:rFonts w:ascii="Verdana" w:eastAsia="Batang" w:hAnsi="Verdana" w:cs="Times"/>
          <w:sz w:val="20"/>
          <w:szCs w:val="20"/>
          <w:lang w:val="es-CR" w:eastAsia="es-CR"/>
        </w:rPr>
        <w:t>párrs</w:t>
      </w:r>
      <w:proofErr w:type="spellEnd"/>
      <w:r w:rsidRPr="00873FEC">
        <w:rPr>
          <w:rFonts w:ascii="Verdana" w:eastAsia="Batang" w:hAnsi="Verdana" w:cs="Times"/>
          <w:sz w:val="20"/>
          <w:szCs w:val="20"/>
          <w:lang w:val="es-CR" w:eastAsia="es-CR"/>
        </w:rPr>
        <w:t xml:space="preserve">. </w:t>
      </w:r>
      <w:r w:rsidR="00E46AEE" w:rsidRPr="00873FEC">
        <w:rPr>
          <w:rFonts w:ascii="Verdana" w:eastAsia="Batang" w:hAnsi="Verdana" w:cs="Times"/>
          <w:sz w:val="20"/>
          <w:szCs w:val="20"/>
          <w:lang w:val="es-CR" w:eastAsia="es-CR"/>
        </w:rPr>
        <w:t>60</w:t>
      </w:r>
      <w:r w:rsidR="00F90CFC" w:rsidRPr="00873FEC">
        <w:rPr>
          <w:rFonts w:ascii="Verdana" w:eastAsia="Batang" w:hAnsi="Verdana" w:cs="Times"/>
          <w:sz w:val="20"/>
          <w:szCs w:val="20"/>
          <w:lang w:val="es-CR" w:eastAsia="es-CR"/>
        </w:rPr>
        <w:t>, 64 y 65</w:t>
      </w:r>
      <w:r w:rsidRPr="00873FEC">
        <w:rPr>
          <w:rFonts w:ascii="Verdana" w:eastAsia="Batang" w:hAnsi="Verdana" w:cs="Times"/>
          <w:sz w:val="20"/>
          <w:szCs w:val="20"/>
          <w:lang w:val="es-CR" w:eastAsia="es-CR"/>
        </w:rPr>
        <w:t xml:space="preserve">). En la audiencia pública se </w:t>
      </w:r>
      <w:r w:rsidRPr="00873FEC">
        <w:rPr>
          <w:rFonts w:ascii="Verdana" w:eastAsia="Batang" w:hAnsi="Verdana" w:cs="Times"/>
          <w:sz w:val="20"/>
          <w:szCs w:val="20"/>
          <w:lang w:val="es-CR" w:eastAsia="es-CR"/>
        </w:rPr>
        <w:lastRenderedPageBreak/>
        <w:t>pidió al Estado que aclare si reconoce o no los hechos. Al presentar su respuesta, en sus alegatos finales escritos, Guatemala no contestó en forma afirmativa o negativa, sino que aseveró que “debe primar la verdad de los hechos tal y cómo l[a] consignó la Comisión para el Esclarecimiento Histórico” (en adelante también “CEH”). La Corte entiende que el Estado ha aceptado en general los hechos narrados en el Informe de Fondo. Este Tribunal, al establecer los hechos relevantes, considerará la aceptación estatal referida, así como señalamientos de la CEH</w:t>
      </w:r>
      <w:r w:rsidR="00767A0F" w:rsidRPr="00873FEC">
        <w:rPr>
          <w:rFonts w:ascii="Verdana" w:eastAsia="Batang" w:hAnsi="Verdana" w:cs="Times New Roman"/>
          <w:sz w:val="20"/>
          <w:szCs w:val="20"/>
          <w:vertAlign w:val="superscript"/>
          <w:lang w:val="en-US" w:eastAsia="x-none"/>
        </w:rPr>
        <w:footnoteReference w:id="23"/>
      </w:r>
      <w:r w:rsidRPr="00873FEC">
        <w:rPr>
          <w:rFonts w:ascii="Verdana" w:eastAsia="Batang" w:hAnsi="Verdana" w:cs="Times"/>
          <w:sz w:val="16"/>
          <w:szCs w:val="16"/>
          <w:lang w:val="es-CR" w:eastAsia="es-CR"/>
        </w:rPr>
        <w:t>.</w:t>
      </w:r>
      <w:bookmarkStart w:id="109" w:name="_Toc503518604"/>
      <w:bookmarkStart w:id="110" w:name="_Toc520207583"/>
      <w:bookmarkEnd w:id="109"/>
      <w:bookmarkEnd w:id="110"/>
    </w:p>
    <w:p w:rsidR="00E221AF" w:rsidRPr="00873FEC" w:rsidRDefault="00E221AF" w:rsidP="00126E97">
      <w:pPr>
        <w:spacing w:after="0" w:line="20" w:lineRule="atLeast"/>
        <w:ind w:right="-138"/>
        <w:jc w:val="both"/>
        <w:rPr>
          <w:rFonts w:ascii="Verdana" w:eastAsia="Batang" w:hAnsi="Verdana" w:cs="Times"/>
          <w:sz w:val="20"/>
          <w:szCs w:val="20"/>
          <w:lang w:val="es-CR" w:eastAsia="es-CR"/>
        </w:rPr>
      </w:pPr>
    </w:p>
    <w:p w:rsidR="00E221AF" w:rsidRPr="00873FEC" w:rsidRDefault="00E221AF" w:rsidP="00126E97">
      <w:pPr>
        <w:spacing w:after="0" w:line="20" w:lineRule="atLeast"/>
        <w:ind w:left="284"/>
        <w:jc w:val="both"/>
        <w:outlineLvl w:val="1"/>
        <w:rPr>
          <w:rFonts w:ascii="Verdana" w:eastAsia="Batang" w:hAnsi="Verdana" w:cs="Times"/>
          <w:b/>
          <w:i/>
          <w:sz w:val="20"/>
          <w:szCs w:val="20"/>
          <w:lang w:val="es-CR" w:eastAsia="es-CR"/>
        </w:rPr>
      </w:pPr>
      <w:bookmarkStart w:id="111" w:name="_Toc525201157"/>
      <w:r w:rsidRPr="00873FEC">
        <w:rPr>
          <w:rFonts w:ascii="Verdana" w:eastAsia="Batang" w:hAnsi="Verdana" w:cs="Times"/>
          <w:b/>
          <w:i/>
          <w:sz w:val="20"/>
          <w:szCs w:val="20"/>
          <w:lang w:val="es-CR" w:eastAsia="es-CR"/>
        </w:rPr>
        <w:t>A. Contexto</w:t>
      </w:r>
      <w:bookmarkEnd w:id="111"/>
      <w:r w:rsidRPr="00873FEC">
        <w:rPr>
          <w:rFonts w:ascii="Verdana" w:eastAsia="Batang" w:hAnsi="Verdana" w:cs="Times"/>
          <w:b/>
          <w:i/>
          <w:sz w:val="20"/>
          <w:szCs w:val="20"/>
          <w:lang w:val="es-CR" w:eastAsia="es-CR"/>
        </w:rPr>
        <w:t xml:space="preserve"> </w:t>
      </w:r>
    </w:p>
    <w:p w:rsidR="00E221AF" w:rsidRPr="00873FEC" w:rsidRDefault="00E221AF" w:rsidP="00126E97">
      <w:pPr>
        <w:spacing w:after="0" w:line="20" w:lineRule="atLeast"/>
        <w:ind w:right="-138"/>
        <w:jc w:val="both"/>
        <w:rPr>
          <w:rFonts w:ascii="Verdana" w:eastAsia="Batang" w:hAnsi="Verdana" w:cs="Times"/>
          <w:sz w:val="20"/>
          <w:szCs w:val="24"/>
          <w:lang w:val="es-CR" w:eastAsia="es-CR"/>
        </w:rPr>
      </w:pPr>
    </w:p>
    <w:p w:rsidR="00E221AF" w:rsidRPr="00873FEC" w:rsidRDefault="00E221AF"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 xml:space="preserve">La Corte, en oportunidades anteriores, ya ha advertido que </w:t>
      </w:r>
    </w:p>
    <w:p w:rsidR="00E221AF" w:rsidRPr="00873FEC" w:rsidRDefault="00E221AF" w:rsidP="00126E97">
      <w:pPr>
        <w:spacing w:after="0" w:line="20" w:lineRule="atLeast"/>
        <w:jc w:val="both"/>
        <w:rPr>
          <w:rFonts w:ascii="Verdana" w:eastAsia="Batang" w:hAnsi="Verdana" w:cs="Times"/>
          <w:sz w:val="20"/>
          <w:szCs w:val="20"/>
          <w:lang w:val="es-CR" w:eastAsia="es-CR"/>
        </w:rPr>
      </w:pPr>
    </w:p>
    <w:p w:rsidR="00E221AF" w:rsidRPr="00873FEC" w:rsidRDefault="00E221AF" w:rsidP="00126E97">
      <w:pPr>
        <w:spacing w:after="0" w:line="20" w:lineRule="atLeast"/>
        <w:ind w:left="567" w:right="616"/>
        <w:jc w:val="both"/>
        <w:rPr>
          <w:rFonts w:ascii="Verdana" w:eastAsia="Batang" w:hAnsi="Verdana" w:cs="Times"/>
          <w:sz w:val="16"/>
          <w:szCs w:val="16"/>
          <w:lang w:val="es-CR" w:eastAsia="es-CR"/>
        </w:rPr>
      </w:pPr>
      <w:r w:rsidRPr="00873FEC">
        <w:rPr>
          <w:rFonts w:ascii="Verdana" w:eastAsia="Batang" w:hAnsi="Verdana" w:cs="Times"/>
          <w:sz w:val="16"/>
          <w:szCs w:val="16"/>
          <w:lang w:val="es-CR" w:eastAsia="es-CR"/>
        </w:rPr>
        <w:t>[</w:t>
      </w:r>
      <w:proofErr w:type="gramStart"/>
      <w:r w:rsidRPr="00873FEC">
        <w:rPr>
          <w:rFonts w:ascii="Verdana" w:eastAsia="Batang" w:hAnsi="Verdana" w:cs="Times"/>
          <w:sz w:val="16"/>
          <w:szCs w:val="16"/>
          <w:lang w:val="es-CR" w:eastAsia="es-CR"/>
        </w:rPr>
        <w:t>e]</w:t>
      </w:r>
      <w:proofErr w:type="gramEnd"/>
      <w:r w:rsidRPr="00873FEC">
        <w:rPr>
          <w:rFonts w:ascii="Verdana" w:eastAsia="Batang" w:hAnsi="Verdana" w:cs="Times"/>
          <w:sz w:val="16"/>
          <w:szCs w:val="16"/>
          <w:lang w:val="es-CR" w:eastAsia="es-CR"/>
        </w:rPr>
        <w:t>l Estado de Guatemala vivió un conflicto armado interno entre los años 1962 y 1996 que provocó grandes costos humanos, materiales, institucionales y morales</w:t>
      </w:r>
      <w:r w:rsidRPr="00873FEC">
        <w:rPr>
          <w:rFonts w:ascii="Verdana" w:eastAsia="Batang" w:hAnsi="Verdana" w:cs="Times New Roman"/>
          <w:sz w:val="16"/>
          <w:szCs w:val="20"/>
          <w:vertAlign w:val="superscript"/>
          <w:lang w:val="es-CR" w:eastAsia="es-CR"/>
        </w:rPr>
        <w:footnoteReference w:id="24"/>
      </w:r>
      <w:r w:rsidRPr="00873FEC">
        <w:rPr>
          <w:rFonts w:ascii="Verdana" w:eastAsia="Batang" w:hAnsi="Verdana" w:cs="Times"/>
          <w:sz w:val="16"/>
          <w:szCs w:val="16"/>
          <w:lang w:val="es-CR" w:eastAsia="es-CR"/>
        </w:rPr>
        <w:t xml:space="preserve">. En el año 1990 se inició un proceso de paz que culminó en diciembre de 1996 cuando el Gobierno de la República de Guatemala y la Unidad Revolucionaria Nacional Guatemalteca (URNG), con la participación de la sociedad civil, firmaron el Acuerdo de Paz Firme y Duradera, con el propósito de acabar con el conflicto armado. Dicho Acuerdo otorga validez a los doce acuerdos que fueron celebrados durante negociaciones previas, entre ellos, uno para “el </w:t>
      </w:r>
      <w:r w:rsidRPr="00873FEC">
        <w:rPr>
          <w:rFonts w:ascii="Verdana" w:eastAsia="Calibri" w:hAnsi="Verdana" w:cs="Times"/>
          <w:sz w:val="16"/>
          <w:szCs w:val="16"/>
          <w:lang w:val="es-CR" w:eastAsia="es-CR"/>
        </w:rPr>
        <w:t>establecimiento</w:t>
      </w:r>
      <w:r w:rsidRPr="00873FEC">
        <w:rPr>
          <w:rFonts w:ascii="Verdana" w:eastAsia="Batang" w:hAnsi="Verdana" w:cs="Times"/>
          <w:sz w:val="16"/>
          <w:szCs w:val="16"/>
          <w:lang w:val="es-CR" w:eastAsia="es-CR"/>
        </w:rPr>
        <w:t xml:space="preserve"> de la Comisión para el Esclarecimiento Histórico de las violaciones a los derechos humanos y los hechos de violencia que han causado sufrimientos a la población guatemalteca”. Dicha Comisión inició sus trabajos el 31 de julio de 1997 y publicó su Informe </w:t>
      </w:r>
      <w:r w:rsidRPr="00873FEC">
        <w:rPr>
          <w:rFonts w:ascii="Verdana" w:eastAsia="Batang" w:hAnsi="Verdana" w:cs="Times"/>
          <w:i/>
          <w:iCs/>
          <w:sz w:val="16"/>
          <w:szCs w:val="16"/>
          <w:lang w:val="es-CR" w:eastAsia="es-CR"/>
        </w:rPr>
        <w:t>“Guatemala, Memoria del Silencio”</w:t>
      </w:r>
      <w:r w:rsidRPr="00873FEC">
        <w:rPr>
          <w:rFonts w:ascii="Verdana" w:eastAsia="Batang" w:hAnsi="Verdana" w:cs="Times"/>
          <w:sz w:val="16"/>
          <w:szCs w:val="16"/>
          <w:lang w:val="es-CR" w:eastAsia="es-CR"/>
        </w:rPr>
        <w:t xml:space="preserve"> el 25 de febrero de 1999</w:t>
      </w:r>
      <w:r w:rsidRPr="00873FEC">
        <w:rPr>
          <w:rFonts w:ascii="Verdana" w:eastAsia="Batang" w:hAnsi="Verdana" w:cs="Times New Roman"/>
          <w:sz w:val="16"/>
          <w:szCs w:val="20"/>
          <w:vertAlign w:val="superscript"/>
          <w:lang w:val="es-CR" w:eastAsia="es-CR"/>
        </w:rPr>
        <w:footnoteReference w:id="25"/>
      </w:r>
      <w:r w:rsidRPr="00873FEC">
        <w:rPr>
          <w:rFonts w:ascii="Verdana" w:eastAsia="Batang" w:hAnsi="Verdana" w:cs="Times"/>
          <w:sz w:val="16"/>
          <w:szCs w:val="16"/>
          <w:lang w:val="es-CR" w:eastAsia="es-CR"/>
        </w:rPr>
        <w:t>.</w:t>
      </w:r>
    </w:p>
    <w:p w:rsidR="00E221AF" w:rsidRPr="00873FEC" w:rsidRDefault="00E221AF" w:rsidP="00126E97">
      <w:pPr>
        <w:spacing w:after="0" w:line="20" w:lineRule="atLeast"/>
        <w:jc w:val="both"/>
        <w:rPr>
          <w:rFonts w:ascii="Verdana" w:eastAsia="Batang" w:hAnsi="Verdana" w:cs="Times"/>
          <w:sz w:val="20"/>
          <w:szCs w:val="20"/>
          <w:lang w:val="es-CR" w:eastAsia="es-CR"/>
        </w:rPr>
      </w:pPr>
    </w:p>
    <w:p w:rsidR="00E221AF" w:rsidRPr="00873FEC" w:rsidRDefault="00E221AF" w:rsidP="00126E97">
      <w:pPr>
        <w:spacing w:after="0" w:line="20" w:lineRule="atLeast"/>
        <w:jc w:val="both"/>
        <w:rPr>
          <w:rFonts w:ascii="Verdana" w:eastAsia="Batang" w:hAnsi="Verdana" w:cs="Times"/>
          <w:sz w:val="20"/>
          <w:szCs w:val="20"/>
          <w:lang w:val="es-CR" w:eastAsia="es-CR"/>
        </w:rPr>
      </w:pPr>
      <w:r w:rsidRPr="00873FEC">
        <w:rPr>
          <w:rFonts w:ascii="Verdana" w:eastAsia="Batang" w:hAnsi="Verdana" w:cs="Times"/>
          <w:sz w:val="20"/>
          <w:szCs w:val="20"/>
          <w:lang w:val="es-CR" w:eastAsia="es-CR"/>
        </w:rPr>
        <w:t xml:space="preserve">Tomando por base lo anterior, la Corte puntualizará aspectos específicos enmarcados en el contexto descrito que resultan pertinentes respecto al caso que aquí se examina. </w:t>
      </w:r>
    </w:p>
    <w:p w:rsidR="00E221AF" w:rsidRPr="00873FEC" w:rsidRDefault="00E221AF" w:rsidP="00126E97">
      <w:pPr>
        <w:spacing w:after="0" w:line="20" w:lineRule="atLeast"/>
        <w:jc w:val="both"/>
        <w:rPr>
          <w:rFonts w:ascii="Verdana" w:eastAsia="Batang" w:hAnsi="Verdana" w:cs="Times"/>
          <w:b/>
          <w:sz w:val="20"/>
          <w:szCs w:val="20"/>
          <w:lang w:val="es-CR" w:eastAsia="es-CR"/>
        </w:rPr>
      </w:pPr>
    </w:p>
    <w:p w:rsidR="00E221AF" w:rsidRPr="00873FEC" w:rsidRDefault="00E221AF" w:rsidP="00126E97">
      <w:pPr>
        <w:keepNext/>
        <w:keepLines/>
        <w:spacing w:after="0" w:line="20" w:lineRule="atLeast"/>
        <w:ind w:left="567"/>
        <w:jc w:val="both"/>
        <w:outlineLvl w:val="2"/>
        <w:rPr>
          <w:rFonts w:ascii="Verdana" w:eastAsia="Cambria" w:hAnsi="Verdana" w:cs="Times"/>
          <w:i/>
          <w:sz w:val="20"/>
          <w:szCs w:val="20"/>
          <w:lang w:val="es-CR" w:eastAsia="es-CR"/>
        </w:rPr>
      </w:pPr>
      <w:bookmarkStart w:id="112" w:name="_Toc503518605"/>
      <w:bookmarkStart w:id="113" w:name="_Toc520207584"/>
      <w:bookmarkStart w:id="114" w:name="_Toc521694808"/>
      <w:bookmarkStart w:id="115" w:name="_Toc525201158"/>
      <w:bookmarkEnd w:id="112"/>
      <w:bookmarkEnd w:id="113"/>
      <w:r w:rsidRPr="00873FEC">
        <w:rPr>
          <w:rFonts w:ascii="Verdana" w:eastAsia="Cambria" w:hAnsi="Verdana" w:cs="Times"/>
          <w:i/>
          <w:sz w:val="20"/>
          <w:szCs w:val="20"/>
          <w:lang w:val="es-CR" w:eastAsia="es-CR"/>
        </w:rPr>
        <w:t xml:space="preserve">A.1 </w:t>
      </w:r>
      <w:r w:rsidRPr="00873FEC">
        <w:rPr>
          <w:rFonts w:ascii="Verdana" w:eastAsia="Cambria" w:hAnsi="Verdana" w:cs="Times"/>
          <w:i/>
          <w:sz w:val="20"/>
          <w:szCs w:val="20"/>
          <w:u w:val="single"/>
          <w:lang w:val="es-CR" w:eastAsia="es-CR"/>
        </w:rPr>
        <w:t>El conflicto armado interno y la violencia contra el pueblo maya</w:t>
      </w:r>
      <w:bookmarkEnd w:id="114"/>
      <w:bookmarkEnd w:id="115"/>
    </w:p>
    <w:p w:rsidR="00E221AF" w:rsidRPr="00873FEC" w:rsidRDefault="00E221AF" w:rsidP="00126E97">
      <w:pPr>
        <w:spacing w:after="0" w:line="20" w:lineRule="atLeast"/>
        <w:ind w:right="-138"/>
        <w:jc w:val="both"/>
        <w:rPr>
          <w:rFonts w:ascii="Verdana" w:eastAsia="Batang" w:hAnsi="Verdana" w:cs="Times"/>
          <w:sz w:val="20"/>
          <w:szCs w:val="24"/>
          <w:lang w:val="es-CR" w:eastAsia="es-CR"/>
        </w:rPr>
      </w:pPr>
    </w:p>
    <w:p w:rsidR="00E221AF" w:rsidRPr="00873FEC" w:rsidRDefault="00E221AF"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La CEH constató que durante el conflicto armado hubo múltiples</w:t>
      </w:r>
      <w:r w:rsidRPr="00873FEC">
        <w:rPr>
          <w:rFonts w:ascii="Verdana" w:eastAsia="Batang" w:hAnsi="Verdana" w:cs="Times"/>
          <w:sz w:val="20"/>
          <w:szCs w:val="24"/>
          <w:lang w:val="es-CR" w:eastAsia="es-CR"/>
        </w:rPr>
        <w:t xml:space="preserve"> “violaciones de los derechos humanos y hechos de violencia atribuibles a actos del </w:t>
      </w:r>
      <w:proofErr w:type="gramStart"/>
      <w:r w:rsidRPr="00873FEC">
        <w:rPr>
          <w:rFonts w:ascii="Verdana" w:eastAsia="Batang" w:hAnsi="Verdana" w:cs="Times"/>
          <w:sz w:val="20"/>
          <w:szCs w:val="24"/>
          <w:lang w:val="es-CR" w:eastAsia="es-CR"/>
        </w:rPr>
        <w:t>Estado[</w:t>
      </w:r>
      <w:proofErr w:type="gramEnd"/>
      <w:r w:rsidRPr="00873FEC">
        <w:rPr>
          <w:rFonts w:ascii="Verdana" w:eastAsia="Batang" w:hAnsi="Verdana" w:cs="Times"/>
          <w:sz w:val="20"/>
          <w:szCs w:val="24"/>
          <w:lang w:val="es-CR" w:eastAsia="es-CR"/>
        </w:rPr>
        <w:t xml:space="preserve">,…]con especial gravedad del año 1978 al 1984, período en el cual se concentra el 91% de las violaciones [que] </w:t>
      </w:r>
      <w:proofErr w:type="spellStart"/>
      <w:r w:rsidRPr="00873FEC">
        <w:rPr>
          <w:rFonts w:ascii="Verdana" w:eastAsia="Batang" w:hAnsi="Verdana" w:cs="Times"/>
          <w:sz w:val="20"/>
          <w:szCs w:val="24"/>
          <w:lang w:val="es-CR" w:eastAsia="es-CR"/>
        </w:rPr>
        <w:t>conoci</w:t>
      </w:r>
      <w:proofErr w:type="spellEnd"/>
      <w:r w:rsidRPr="00873FEC">
        <w:rPr>
          <w:rFonts w:ascii="Verdana" w:eastAsia="Batang" w:hAnsi="Verdana" w:cs="Times"/>
          <w:sz w:val="20"/>
          <w:szCs w:val="24"/>
          <w:lang w:val="es-CR" w:eastAsia="es-CR"/>
        </w:rPr>
        <w:t>[</w:t>
      </w:r>
      <w:proofErr w:type="spellStart"/>
      <w:r w:rsidRPr="00873FEC">
        <w:rPr>
          <w:rFonts w:ascii="Verdana" w:eastAsia="Batang" w:hAnsi="Verdana" w:cs="Times"/>
          <w:sz w:val="20"/>
          <w:szCs w:val="24"/>
          <w:lang w:val="es-CR" w:eastAsia="es-CR"/>
        </w:rPr>
        <w:t>ó</w:t>
      </w:r>
      <w:proofErr w:type="spellEnd"/>
      <w:r w:rsidRPr="00873FEC">
        <w:rPr>
          <w:rFonts w:ascii="Verdana" w:eastAsia="Batang" w:hAnsi="Verdana" w:cs="Times"/>
          <w:sz w:val="20"/>
          <w:szCs w:val="24"/>
          <w:lang w:val="es-CR" w:eastAsia="es-CR"/>
        </w:rPr>
        <w:t>]”</w:t>
      </w:r>
      <w:r w:rsidRPr="00873FEC">
        <w:rPr>
          <w:rFonts w:ascii="Verdana" w:eastAsia="Batang" w:hAnsi="Verdana" w:cs="Times New Roman"/>
          <w:sz w:val="20"/>
          <w:szCs w:val="20"/>
          <w:vertAlign w:val="superscript"/>
          <w:lang w:val="en-US" w:eastAsia="x-none"/>
        </w:rPr>
        <w:footnoteReference w:id="26"/>
      </w:r>
      <w:r w:rsidRPr="00873FEC">
        <w:rPr>
          <w:rFonts w:ascii="Verdana" w:eastAsia="Batang" w:hAnsi="Verdana" w:cs="Times"/>
          <w:sz w:val="20"/>
          <w:szCs w:val="24"/>
          <w:lang w:val="es-CR" w:eastAsia="es-CR"/>
        </w:rPr>
        <w:t xml:space="preserve">.  </w:t>
      </w:r>
    </w:p>
    <w:p w:rsidR="00E221AF" w:rsidRPr="00873FEC" w:rsidRDefault="00E221AF" w:rsidP="00126E97">
      <w:pPr>
        <w:spacing w:after="0" w:line="20" w:lineRule="atLeast"/>
        <w:ind w:right="-138"/>
        <w:jc w:val="both"/>
        <w:rPr>
          <w:rFonts w:ascii="Verdana" w:eastAsia="Batang" w:hAnsi="Verdana" w:cs="Times"/>
          <w:sz w:val="20"/>
          <w:szCs w:val="24"/>
          <w:lang w:val="es-CR" w:eastAsia="es-CR"/>
        </w:rPr>
      </w:pPr>
    </w:p>
    <w:p w:rsidR="00E221AF" w:rsidRPr="00873FEC" w:rsidRDefault="00E221AF"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Ya respecto a casos anteriores la Corte ha advertido que el Estado aplicó lo que denominó la “Doctrina de Seguridad Nacional”, utilizando la noción de “enemigo interno”, que inicialmente incluía a las organizaciones guerrilleras pero fue ampliándose para incluir a otros grupos y personas</w:t>
      </w:r>
      <w:r w:rsidRPr="00873FEC">
        <w:rPr>
          <w:rFonts w:ascii="Verdana" w:eastAsia="Batang" w:hAnsi="Verdana" w:cs="Times New Roman"/>
          <w:sz w:val="20"/>
          <w:szCs w:val="20"/>
          <w:vertAlign w:val="superscript"/>
          <w:lang w:val="en-US" w:eastAsia="x-none"/>
        </w:rPr>
        <w:footnoteReference w:id="27"/>
      </w:r>
      <w:r w:rsidRPr="00873FEC">
        <w:rPr>
          <w:rFonts w:ascii="Verdana" w:eastAsia="Batang" w:hAnsi="Verdana" w:cs="Times"/>
          <w:sz w:val="20"/>
          <w:szCs w:val="20"/>
          <w:lang w:val="es-CR" w:eastAsia="es-CR"/>
        </w:rPr>
        <w:t>. Con base en dicha Doctrina, el ejército de Guatemala identificó a los miembros del pueblo indígena maya dentro de la categoría de “enemigo interno”, por considerar que estos constituían o podían constituir la base social de la guerrilla</w:t>
      </w:r>
      <w:r w:rsidRPr="00873FEC">
        <w:rPr>
          <w:rFonts w:ascii="Verdana" w:eastAsia="Batang" w:hAnsi="Verdana" w:cs="Times New Roman"/>
          <w:sz w:val="20"/>
          <w:szCs w:val="20"/>
          <w:vertAlign w:val="superscript"/>
          <w:lang w:val="en-US" w:eastAsia="x-none"/>
        </w:rPr>
        <w:footnoteReference w:id="28"/>
      </w:r>
      <w:r w:rsidRPr="00873FEC">
        <w:rPr>
          <w:rFonts w:ascii="Verdana" w:eastAsia="Batang" w:hAnsi="Verdana" w:cs="Times"/>
          <w:sz w:val="20"/>
          <w:szCs w:val="20"/>
          <w:lang w:val="es-CR" w:eastAsia="es-CR"/>
        </w:rPr>
        <w:t xml:space="preserve">. Este tribunal ha constatado que de acuerdo a la CEH, el pueblo </w:t>
      </w:r>
      <w:r w:rsidRPr="00873FEC">
        <w:rPr>
          <w:rFonts w:ascii="Verdana" w:eastAsia="Batang" w:hAnsi="Verdana" w:cs="Times"/>
          <w:sz w:val="20"/>
          <w:szCs w:val="20"/>
          <w:lang w:val="es-CR" w:eastAsia="es-CR"/>
        </w:rPr>
        <w:lastRenderedPageBreak/>
        <w:t>maya fue el grupo étnico más afectado por las violaciones de derechos humanos cometidas durante el conflicto armado interno, sufriendo el desplazamiento forzado y la destrucción de sus comunidades, viviendas, ganado, cosechas y otros elementos de supervivencia</w:t>
      </w:r>
      <w:r w:rsidRPr="00873FEC">
        <w:rPr>
          <w:rFonts w:ascii="Verdana" w:eastAsia="Batang" w:hAnsi="Verdana" w:cs="Times New Roman"/>
          <w:sz w:val="20"/>
          <w:szCs w:val="20"/>
          <w:vertAlign w:val="superscript"/>
          <w:lang w:val="en-US" w:eastAsia="x-none"/>
        </w:rPr>
        <w:footnoteReference w:id="29"/>
      </w:r>
      <w:r w:rsidRPr="00873FEC">
        <w:rPr>
          <w:rFonts w:ascii="Verdana" w:eastAsia="Batang" w:hAnsi="Verdana" w:cs="Times"/>
          <w:sz w:val="20"/>
          <w:szCs w:val="20"/>
          <w:lang w:val="es-CR" w:eastAsia="es-CR"/>
        </w:rPr>
        <w:t>. La violencia dirigida contra el pueblo maya se evidenció en múltiples actos, inclusive masacres</w:t>
      </w:r>
      <w:r w:rsidRPr="00873FEC">
        <w:rPr>
          <w:rFonts w:ascii="Verdana" w:eastAsia="Batang" w:hAnsi="Verdana" w:cs="Times New Roman"/>
          <w:sz w:val="20"/>
          <w:szCs w:val="20"/>
          <w:vertAlign w:val="superscript"/>
          <w:lang w:val="en-US" w:eastAsia="x-none"/>
        </w:rPr>
        <w:footnoteReference w:id="30"/>
      </w:r>
      <w:r w:rsidRPr="00873FEC">
        <w:rPr>
          <w:rFonts w:ascii="Verdana" w:eastAsia="Batang" w:hAnsi="Verdana" w:cs="Times"/>
          <w:sz w:val="20"/>
          <w:szCs w:val="20"/>
          <w:lang w:val="es-CR" w:eastAsia="es-CR"/>
        </w:rPr>
        <w:t xml:space="preserve">. </w:t>
      </w:r>
    </w:p>
    <w:p w:rsidR="00E221AF" w:rsidRPr="00873FEC" w:rsidRDefault="00E221AF" w:rsidP="00126E97">
      <w:pPr>
        <w:spacing w:after="0" w:line="20" w:lineRule="atLeast"/>
        <w:ind w:right="-138"/>
        <w:jc w:val="both"/>
        <w:rPr>
          <w:rFonts w:ascii="Verdana" w:eastAsia="Batang" w:hAnsi="Verdana" w:cs="Times"/>
          <w:sz w:val="20"/>
          <w:szCs w:val="24"/>
          <w:lang w:val="es-CR" w:eastAsia="es-CR"/>
        </w:rPr>
      </w:pPr>
    </w:p>
    <w:p w:rsidR="00E221AF" w:rsidRPr="00873FEC" w:rsidRDefault="00E221AF"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Como ya se indicó (</w:t>
      </w:r>
      <w:r w:rsidRPr="00873FEC">
        <w:rPr>
          <w:rFonts w:ascii="Verdana" w:eastAsia="Batang" w:hAnsi="Verdana" w:cs="Times"/>
          <w:i/>
          <w:sz w:val="20"/>
          <w:szCs w:val="20"/>
          <w:lang w:val="es-CR" w:eastAsia="es-CR"/>
        </w:rPr>
        <w:t>supra</w:t>
      </w:r>
      <w:r w:rsidRPr="00873FEC">
        <w:rPr>
          <w:rFonts w:ascii="Verdana" w:eastAsia="Batang" w:hAnsi="Verdana" w:cs="Times"/>
          <w:sz w:val="20"/>
          <w:szCs w:val="20"/>
          <w:lang w:val="es-CR" w:eastAsia="es-CR"/>
        </w:rPr>
        <w:t xml:space="preserve"> párr. 27), en 1990 se inició un proceso de paz que culminó en diciembre de 1996 con la firma del Acuerdo de Paz Firme y Duradera. Entre los documentos firmados, se suscribió el “Acuerdo sobre el Cronograma para la implementación del cumplimiento y verificación de los acuerdos de paz”</w:t>
      </w:r>
      <w:r w:rsidRPr="00873FEC">
        <w:rPr>
          <w:rFonts w:ascii="Verdana" w:eastAsia="Batang" w:hAnsi="Verdana" w:cs="Times New Roman"/>
          <w:sz w:val="20"/>
          <w:szCs w:val="20"/>
          <w:vertAlign w:val="superscript"/>
          <w:lang w:val="en-US" w:eastAsia="x-none"/>
        </w:rPr>
        <w:footnoteReference w:id="31"/>
      </w:r>
      <w:r w:rsidRPr="00873FEC">
        <w:rPr>
          <w:rFonts w:ascii="Verdana" w:eastAsia="Batang" w:hAnsi="Verdana" w:cs="Times"/>
          <w:sz w:val="20"/>
          <w:szCs w:val="20"/>
          <w:lang w:val="es-CR" w:eastAsia="es-CR"/>
        </w:rPr>
        <w:t xml:space="preserve">. </w:t>
      </w:r>
    </w:p>
    <w:p w:rsidR="00E221AF" w:rsidRPr="00873FEC" w:rsidRDefault="00E221AF" w:rsidP="00126E97">
      <w:pPr>
        <w:spacing w:after="0" w:line="20" w:lineRule="atLeast"/>
        <w:ind w:right="-138"/>
        <w:jc w:val="both"/>
        <w:rPr>
          <w:rFonts w:ascii="Verdana" w:eastAsia="Batang" w:hAnsi="Verdana" w:cs="Times"/>
          <w:sz w:val="20"/>
          <w:szCs w:val="24"/>
          <w:lang w:val="es-CR" w:eastAsia="es-CR"/>
        </w:rPr>
      </w:pPr>
    </w:p>
    <w:p w:rsidR="00E221AF" w:rsidRPr="00873FEC" w:rsidRDefault="00E221AF" w:rsidP="00126E97">
      <w:pPr>
        <w:spacing w:after="0" w:line="20" w:lineRule="atLeast"/>
        <w:ind w:left="567"/>
        <w:contextualSpacing/>
        <w:jc w:val="both"/>
        <w:outlineLvl w:val="2"/>
        <w:rPr>
          <w:rFonts w:ascii="Verdana" w:eastAsia="Calibri" w:hAnsi="Verdana" w:cs="Times"/>
          <w:i/>
          <w:sz w:val="20"/>
          <w:szCs w:val="20"/>
          <w:lang w:val="es-CR" w:eastAsia="es-CR"/>
        </w:rPr>
      </w:pPr>
      <w:bookmarkStart w:id="116" w:name="_Toc520207585"/>
      <w:bookmarkStart w:id="117" w:name="_Toc525201159"/>
      <w:bookmarkEnd w:id="116"/>
      <w:r w:rsidRPr="00873FEC">
        <w:rPr>
          <w:rFonts w:ascii="Verdana" w:eastAsia="Calibri" w:hAnsi="Verdana" w:cs="Times"/>
          <w:i/>
          <w:sz w:val="20"/>
          <w:szCs w:val="20"/>
          <w:lang w:val="es-CR" w:eastAsia="es-CR"/>
        </w:rPr>
        <w:t xml:space="preserve">A.2. </w:t>
      </w:r>
      <w:r w:rsidRPr="00873FEC">
        <w:rPr>
          <w:rFonts w:ascii="Verdana" w:eastAsia="Calibri" w:hAnsi="Verdana" w:cs="Times"/>
          <w:i/>
          <w:sz w:val="20"/>
          <w:szCs w:val="20"/>
          <w:u w:val="single"/>
          <w:lang w:val="es-CR" w:eastAsia="es-CR"/>
        </w:rPr>
        <w:t>Desplazamiento y retorno de personas afectadas por el conflicto</w:t>
      </w:r>
      <w:bookmarkEnd w:id="117"/>
    </w:p>
    <w:p w:rsidR="00E221AF" w:rsidRPr="00873FEC" w:rsidRDefault="00E221AF" w:rsidP="00126E97">
      <w:pPr>
        <w:spacing w:after="0" w:line="20" w:lineRule="atLeast"/>
        <w:ind w:left="720"/>
        <w:contextualSpacing/>
        <w:rPr>
          <w:rFonts w:ascii="Calibri" w:eastAsia="Calibri" w:hAnsi="Calibri" w:cs="Times"/>
          <w:szCs w:val="20"/>
          <w:lang w:val="es-CR" w:eastAsia="es-CR"/>
        </w:rPr>
      </w:pPr>
    </w:p>
    <w:p w:rsidR="00E221AF" w:rsidRPr="00873FEC" w:rsidRDefault="00E221AF"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Una de las consecuencias del conflicto fue el desplazamiento de comunidades y personas, inclusive fuera del territorio estatal. La CEH indicó que hechos de masacres y devastación de aldeas ocurridos entre 1981 y 1983 desencadenaron la huida masiva de comunidades mayas y un importante número de familias ladinas. Unas 150 mil personas buscaron su seguridad en México. Cerca de la tercera parte se ubicó en campamentos y contó con el reconocimiento del estatus de refugiado por la oficina del Alto Comisionado de las Naciones Unidas para los Refugiados (en adelante “ACNUR”)</w:t>
      </w:r>
      <w:r w:rsidR="00E845F9" w:rsidRPr="00873FEC">
        <w:rPr>
          <w:rFonts w:ascii="Verdana" w:eastAsia="Batang" w:hAnsi="Verdana" w:cs="Times"/>
          <w:sz w:val="20"/>
          <w:szCs w:val="20"/>
          <w:lang w:val="es-CR" w:eastAsia="es-CR"/>
        </w:rPr>
        <w:t>.</w:t>
      </w:r>
      <w:r w:rsidRPr="00873FEC">
        <w:rPr>
          <w:rFonts w:ascii="Verdana" w:eastAsia="Batang" w:hAnsi="Verdana" w:cs="Times New Roman"/>
          <w:sz w:val="20"/>
          <w:szCs w:val="20"/>
          <w:vertAlign w:val="superscript"/>
          <w:lang w:val="en-US" w:eastAsia="x-none"/>
        </w:rPr>
        <w:footnoteReference w:id="32"/>
      </w:r>
      <w:r w:rsidRPr="00873FEC">
        <w:rPr>
          <w:rFonts w:ascii="Verdana" w:eastAsia="Batang" w:hAnsi="Verdana" w:cs="Times"/>
          <w:sz w:val="20"/>
          <w:szCs w:val="20"/>
          <w:lang w:val="es-CR" w:eastAsia="es-CR"/>
        </w:rPr>
        <w:t xml:space="preserve"> </w:t>
      </w:r>
    </w:p>
    <w:p w:rsidR="00E221AF" w:rsidRPr="00873FEC" w:rsidRDefault="00E221AF" w:rsidP="00126E97">
      <w:pPr>
        <w:spacing w:after="0" w:line="20" w:lineRule="atLeast"/>
        <w:ind w:right="-138"/>
        <w:jc w:val="both"/>
        <w:rPr>
          <w:rFonts w:ascii="Verdana" w:eastAsia="Batang" w:hAnsi="Verdana" w:cs="Times"/>
          <w:sz w:val="20"/>
          <w:szCs w:val="24"/>
          <w:lang w:val="es-CR" w:eastAsia="es-CR"/>
        </w:rPr>
      </w:pPr>
    </w:p>
    <w:p w:rsidR="00E221AF" w:rsidRPr="00873FEC" w:rsidRDefault="00E221AF"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En 1991 el Estado creó la Comisión Nacional de Atención de Repatriados, Refugiados y Desplazados (en adelante “CEAR”), que como objeto tenía la solución a la problemática de l</w:t>
      </w:r>
      <w:r w:rsidR="006E0D54" w:rsidRPr="00873FEC">
        <w:rPr>
          <w:rFonts w:ascii="Verdana" w:eastAsia="Batang" w:hAnsi="Verdana" w:cs="Times"/>
          <w:sz w:val="20"/>
          <w:szCs w:val="20"/>
          <w:lang w:val="es-CR" w:eastAsia="es-CR"/>
        </w:rPr>
        <w:t>as personas</w:t>
      </w:r>
      <w:r w:rsidRPr="00873FEC">
        <w:rPr>
          <w:rFonts w:ascii="Verdana" w:eastAsia="Batang" w:hAnsi="Verdana" w:cs="Times"/>
          <w:sz w:val="20"/>
          <w:szCs w:val="20"/>
          <w:lang w:val="es-CR" w:eastAsia="es-CR"/>
        </w:rPr>
        <w:t xml:space="preserve"> refugiad</w:t>
      </w:r>
      <w:r w:rsidR="006E0D54" w:rsidRPr="00873FEC">
        <w:rPr>
          <w:rFonts w:ascii="Verdana" w:eastAsia="Batang" w:hAnsi="Verdana" w:cs="Times"/>
          <w:sz w:val="20"/>
          <w:szCs w:val="20"/>
          <w:lang w:val="es-CR" w:eastAsia="es-CR"/>
        </w:rPr>
        <w:t>a</w:t>
      </w:r>
      <w:r w:rsidRPr="00873FEC">
        <w:rPr>
          <w:rFonts w:ascii="Verdana" w:eastAsia="Batang" w:hAnsi="Verdana" w:cs="Times"/>
          <w:sz w:val="20"/>
          <w:szCs w:val="20"/>
          <w:lang w:val="es-CR" w:eastAsia="es-CR"/>
        </w:rPr>
        <w:t>s, retornad</w:t>
      </w:r>
      <w:r w:rsidR="006E0D54" w:rsidRPr="00873FEC">
        <w:rPr>
          <w:rFonts w:ascii="Verdana" w:eastAsia="Batang" w:hAnsi="Verdana" w:cs="Times"/>
          <w:sz w:val="20"/>
          <w:szCs w:val="20"/>
          <w:lang w:val="es-CR" w:eastAsia="es-CR"/>
        </w:rPr>
        <w:t>a</w:t>
      </w:r>
      <w:r w:rsidRPr="00873FEC">
        <w:rPr>
          <w:rFonts w:ascii="Verdana" w:eastAsia="Batang" w:hAnsi="Verdana" w:cs="Times"/>
          <w:sz w:val="20"/>
          <w:szCs w:val="20"/>
          <w:lang w:val="es-CR" w:eastAsia="es-CR"/>
        </w:rPr>
        <w:t>s y desplazad</w:t>
      </w:r>
      <w:r w:rsidR="006E0D54" w:rsidRPr="00873FEC">
        <w:rPr>
          <w:rFonts w:ascii="Verdana" w:eastAsia="Batang" w:hAnsi="Verdana" w:cs="Times"/>
          <w:sz w:val="20"/>
          <w:szCs w:val="20"/>
          <w:lang w:val="es-CR" w:eastAsia="es-CR"/>
        </w:rPr>
        <w:t>a</w:t>
      </w:r>
      <w:r w:rsidRPr="00873FEC">
        <w:rPr>
          <w:rFonts w:ascii="Verdana" w:eastAsia="Batang" w:hAnsi="Verdana" w:cs="Times"/>
          <w:sz w:val="20"/>
          <w:szCs w:val="20"/>
          <w:lang w:val="es-CR" w:eastAsia="es-CR"/>
        </w:rPr>
        <w:t xml:space="preserve">s. </w:t>
      </w:r>
      <w:r w:rsidRPr="00873FEC">
        <w:rPr>
          <w:rFonts w:ascii="Verdana" w:eastAsia="Batang" w:hAnsi="Verdana" w:cs="Times"/>
          <w:bCs/>
          <w:sz w:val="20"/>
          <w:szCs w:val="20"/>
          <w:lang w:val="es-CR" w:eastAsia="es-CR"/>
        </w:rPr>
        <w:t xml:space="preserve">En julio de ese año </w:t>
      </w:r>
      <w:r w:rsidRPr="00873FEC">
        <w:rPr>
          <w:rFonts w:ascii="Verdana" w:eastAsia="Batang" w:hAnsi="Verdana" w:cs="Times"/>
          <w:sz w:val="20"/>
          <w:szCs w:val="20"/>
          <w:lang w:val="es-CR" w:eastAsia="es-CR"/>
        </w:rPr>
        <w:t xml:space="preserve">las Comisiones Permanentes de Representantes de los Refugiados Guatemaltecos en México (en adelante “CCPP”), presentaron una serie de condiciones para el retorno en seguridad y dignidad. </w:t>
      </w:r>
      <w:r w:rsidRPr="00873FEC">
        <w:rPr>
          <w:rFonts w:ascii="Verdana" w:eastAsia="Batang" w:hAnsi="Verdana" w:cs="Times"/>
          <w:bCs/>
          <w:sz w:val="20"/>
          <w:szCs w:val="20"/>
          <w:lang w:val="es-CR" w:eastAsia="es-CR"/>
        </w:rPr>
        <w:t xml:space="preserve">El 13 de diciembre de 1991 </w:t>
      </w:r>
      <w:r w:rsidRPr="00873FEC">
        <w:rPr>
          <w:rFonts w:ascii="Verdana" w:eastAsia="Batang" w:hAnsi="Verdana" w:cs="Times"/>
          <w:sz w:val="20"/>
          <w:szCs w:val="20"/>
          <w:lang w:val="es-CR" w:eastAsia="es-CR"/>
        </w:rPr>
        <w:t xml:space="preserve">el Presidente de Guatemala y ACNUR suscribieron una </w:t>
      </w:r>
      <w:r w:rsidR="006E0D54" w:rsidRPr="00873FEC">
        <w:rPr>
          <w:rFonts w:ascii="Verdana" w:eastAsia="Batang" w:hAnsi="Verdana" w:cs="Times"/>
          <w:sz w:val="20"/>
          <w:szCs w:val="20"/>
          <w:lang w:val="es-CR" w:eastAsia="es-CR"/>
        </w:rPr>
        <w:t>“</w:t>
      </w:r>
      <w:r w:rsidRPr="00873FEC">
        <w:rPr>
          <w:rFonts w:ascii="Verdana" w:eastAsia="Batang" w:hAnsi="Verdana" w:cs="Times"/>
          <w:sz w:val="20"/>
          <w:szCs w:val="20"/>
          <w:lang w:val="es-CR" w:eastAsia="es-CR"/>
        </w:rPr>
        <w:t>Carta de Entendimiento</w:t>
      </w:r>
      <w:r w:rsidR="006E0D54" w:rsidRPr="00873FEC">
        <w:rPr>
          <w:rFonts w:ascii="Verdana" w:eastAsia="Batang" w:hAnsi="Verdana" w:cs="Times"/>
          <w:sz w:val="20"/>
          <w:szCs w:val="20"/>
          <w:lang w:val="es-CR" w:eastAsia="es-CR"/>
        </w:rPr>
        <w:t>”</w:t>
      </w:r>
      <w:r w:rsidRPr="00873FEC">
        <w:rPr>
          <w:rFonts w:ascii="Verdana" w:eastAsia="Batang" w:hAnsi="Verdana" w:cs="Times"/>
          <w:sz w:val="20"/>
          <w:szCs w:val="20"/>
          <w:lang w:val="es-CR" w:eastAsia="es-CR"/>
        </w:rPr>
        <w:t xml:space="preserve"> relativa al retorno voluntario de personas refugiadas guatemaltecas.</w:t>
      </w:r>
      <w:r w:rsidRPr="00873FEC">
        <w:rPr>
          <w:rFonts w:ascii="Verdana" w:eastAsia="Batang" w:hAnsi="Verdana" w:cs="Times New Roman"/>
          <w:sz w:val="20"/>
          <w:szCs w:val="20"/>
          <w:vertAlign w:val="superscript"/>
          <w:lang w:val="es-CR" w:eastAsia="x-none"/>
        </w:rPr>
        <w:footnoteReference w:id="33"/>
      </w:r>
      <w:r w:rsidRPr="00873FEC">
        <w:rPr>
          <w:rFonts w:ascii="Verdana" w:eastAsia="Batang" w:hAnsi="Verdana" w:cs="Times"/>
          <w:sz w:val="20"/>
          <w:szCs w:val="20"/>
          <w:lang w:val="es-CR" w:eastAsia="es-CR"/>
        </w:rPr>
        <w:t xml:space="preserve"> </w:t>
      </w:r>
    </w:p>
    <w:p w:rsidR="00E221AF" w:rsidRPr="00873FEC" w:rsidRDefault="00E221AF" w:rsidP="00126E97">
      <w:pPr>
        <w:spacing w:after="0" w:line="20" w:lineRule="atLeast"/>
        <w:ind w:left="720"/>
        <w:contextualSpacing/>
        <w:rPr>
          <w:rFonts w:ascii="Calibri" w:eastAsia="Calibri" w:hAnsi="Calibri" w:cs="Times"/>
          <w:szCs w:val="20"/>
          <w:lang w:val="es-CR" w:eastAsia="es-CR"/>
        </w:rPr>
      </w:pPr>
    </w:p>
    <w:p w:rsidR="00E221AF" w:rsidRPr="00873FEC" w:rsidRDefault="00E221AF"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El 8 de octubre de 1992 entre Guatemala, representada por la CEAR, y la</w:t>
      </w:r>
      <w:r w:rsidR="007B11F1" w:rsidRPr="00873FEC">
        <w:rPr>
          <w:rFonts w:ascii="Verdana" w:eastAsia="Batang" w:hAnsi="Verdana" w:cs="Times"/>
          <w:sz w:val="20"/>
          <w:szCs w:val="20"/>
          <w:lang w:val="es-CR" w:eastAsia="es-CR"/>
        </w:rPr>
        <w:t>s</w:t>
      </w:r>
      <w:r w:rsidRPr="00873FEC">
        <w:rPr>
          <w:rFonts w:ascii="Verdana" w:eastAsia="Batang" w:hAnsi="Verdana" w:cs="Times"/>
          <w:sz w:val="20"/>
          <w:szCs w:val="20"/>
          <w:lang w:val="es-CR" w:eastAsia="es-CR"/>
        </w:rPr>
        <w:t xml:space="preserve"> CCPP, se firmaron acuerdos que establecen las condiciones del retorno de personas refugiadas en México</w:t>
      </w:r>
      <w:r w:rsidRPr="00873FEC">
        <w:rPr>
          <w:rFonts w:ascii="Verdana" w:eastAsia="Batang" w:hAnsi="Verdana" w:cs="Times New Roman"/>
          <w:sz w:val="20"/>
          <w:szCs w:val="20"/>
          <w:vertAlign w:val="superscript"/>
          <w:lang w:val="en-US" w:eastAsia="x-none"/>
        </w:rPr>
        <w:footnoteReference w:id="34"/>
      </w:r>
      <w:r w:rsidRPr="00873FEC">
        <w:rPr>
          <w:rFonts w:ascii="Verdana" w:eastAsia="Batang" w:hAnsi="Verdana" w:cs="Times"/>
          <w:sz w:val="16"/>
          <w:szCs w:val="16"/>
          <w:lang w:val="es-CR" w:eastAsia="es-CR"/>
        </w:rPr>
        <w:t>.</w:t>
      </w:r>
      <w:r w:rsidRPr="00873FEC">
        <w:rPr>
          <w:rFonts w:ascii="Verdana" w:eastAsia="Batang" w:hAnsi="Verdana" w:cs="Times"/>
          <w:bCs/>
          <w:sz w:val="16"/>
          <w:szCs w:val="16"/>
          <w:lang w:val="es-CR" w:eastAsia="es-CR"/>
        </w:rPr>
        <w:t xml:space="preserve"> </w:t>
      </w:r>
      <w:r w:rsidRPr="00873FEC">
        <w:rPr>
          <w:rFonts w:ascii="Verdana" w:eastAsia="Batang" w:hAnsi="Verdana" w:cs="Times"/>
          <w:bCs/>
          <w:sz w:val="20"/>
          <w:szCs w:val="20"/>
          <w:lang w:val="es-CR" w:eastAsia="es-CR"/>
        </w:rPr>
        <w:t>“La CEH indicó que los acuerdos han sido frecuentemente interpretados ‘de forma amplia por l[a]s [personas] retornad[a]s como un compromiso por parte del Ejército de no ingresar o patrullar cerca de sus comunidades’”</w:t>
      </w:r>
      <w:r w:rsidRPr="00873FEC">
        <w:rPr>
          <w:rFonts w:ascii="Verdana" w:eastAsia="Batang" w:hAnsi="Verdana" w:cs="Times New Roman"/>
          <w:bCs/>
          <w:sz w:val="20"/>
          <w:szCs w:val="20"/>
          <w:vertAlign w:val="superscript"/>
          <w:lang w:val="en-US" w:eastAsia="x-none"/>
        </w:rPr>
        <w:footnoteReference w:id="35"/>
      </w:r>
      <w:r w:rsidRPr="00873FEC">
        <w:rPr>
          <w:rFonts w:ascii="Verdana" w:eastAsia="Batang" w:hAnsi="Verdana" w:cs="Times"/>
          <w:bCs/>
          <w:sz w:val="20"/>
          <w:szCs w:val="20"/>
          <w:lang w:val="es-CR" w:eastAsia="es-CR"/>
        </w:rPr>
        <w:t xml:space="preserve">. </w:t>
      </w:r>
    </w:p>
    <w:p w:rsidR="00E221AF" w:rsidRPr="00873FEC" w:rsidRDefault="00E221AF" w:rsidP="00126E97">
      <w:pPr>
        <w:spacing w:after="0" w:line="20" w:lineRule="atLeast"/>
        <w:ind w:left="720"/>
        <w:contextualSpacing/>
        <w:rPr>
          <w:rFonts w:ascii="Calibri" w:eastAsia="Calibri" w:hAnsi="Calibri" w:cs="Times"/>
          <w:szCs w:val="20"/>
          <w:lang w:val="es-CR" w:eastAsia="es-CR"/>
        </w:rPr>
      </w:pPr>
    </w:p>
    <w:p w:rsidR="00E221AF" w:rsidRPr="00873FEC" w:rsidRDefault="00E221AF"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lastRenderedPageBreak/>
        <w:t xml:space="preserve">En diciembre de 1992 las CCPP hicieron pública la determinación de comenzar el retorno el 13 de enero de 1993. Cerca de </w:t>
      </w:r>
      <w:r w:rsidR="00B951B4" w:rsidRPr="00873FEC">
        <w:rPr>
          <w:rFonts w:ascii="Verdana" w:eastAsia="Batang" w:hAnsi="Verdana" w:cs="Times"/>
          <w:sz w:val="20"/>
          <w:szCs w:val="20"/>
          <w:lang w:val="es-CR" w:eastAsia="es-CR"/>
        </w:rPr>
        <w:t xml:space="preserve">ocho </w:t>
      </w:r>
      <w:r w:rsidR="008D2827" w:rsidRPr="00873FEC">
        <w:rPr>
          <w:rFonts w:ascii="Verdana" w:eastAsia="Batang" w:hAnsi="Verdana" w:cs="Times"/>
          <w:sz w:val="20"/>
          <w:szCs w:val="20"/>
          <w:lang w:val="es-CR" w:eastAsia="es-CR"/>
        </w:rPr>
        <w:t>mil</w:t>
      </w:r>
      <w:r w:rsidRPr="00873FEC">
        <w:rPr>
          <w:rFonts w:ascii="Verdana" w:eastAsia="Batang" w:hAnsi="Verdana" w:cs="Times"/>
          <w:sz w:val="20"/>
          <w:szCs w:val="20"/>
          <w:lang w:val="es-CR" w:eastAsia="es-CR"/>
        </w:rPr>
        <w:t xml:space="preserve"> personas expresaron su interés de retorno inmediato. El ACNUR, la CEAR y la Comisión Mexicana de Ayuda a los Refugiados se encargaron de supervisar el traslado para el reasentamiento. Guatemala aceptó la propuesta del experto de Naciones Unidas Sobre la Situación de Derechos Humanos en Guatemala, de alejar de la zona de reasentamiento un destacamento militar.</w:t>
      </w:r>
      <w:r w:rsidRPr="00873FEC">
        <w:rPr>
          <w:rFonts w:ascii="Verdana" w:eastAsia="Batang" w:hAnsi="Verdana" w:cs="Times New Roman"/>
          <w:sz w:val="20"/>
          <w:szCs w:val="20"/>
          <w:vertAlign w:val="superscript"/>
          <w:lang w:val="es-CR" w:eastAsia="x-none"/>
        </w:rPr>
        <w:footnoteReference w:id="36"/>
      </w:r>
      <w:r w:rsidRPr="00873FEC">
        <w:rPr>
          <w:rFonts w:ascii="Verdana" w:eastAsia="Batang" w:hAnsi="Verdana" w:cs="Times"/>
          <w:sz w:val="20"/>
          <w:szCs w:val="20"/>
          <w:lang w:val="es-CR" w:eastAsia="es-CR"/>
        </w:rPr>
        <w:t xml:space="preserve"> </w:t>
      </w:r>
    </w:p>
    <w:p w:rsidR="00E221AF" w:rsidRPr="00873FEC" w:rsidRDefault="00E221AF" w:rsidP="00126E97">
      <w:pPr>
        <w:tabs>
          <w:tab w:val="left" w:pos="990"/>
        </w:tabs>
        <w:spacing w:after="0" w:line="20" w:lineRule="atLeast"/>
        <w:ind w:left="90"/>
        <w:contextualSpacing/>
        <w:jc w:val="both"/>
        <w:rPr>
          <w:rFonts w:ascii="Verdana" w:eastAsia="Calibri" w:hAnsi="Verdana" w:cs="Times"/>
          <w:b/>
          <w:sz w:val="20"/>
          <w:szCs w:val="20"/>
          <w:lang w:val="es-CR" w:eastAsia="es-CR"/>
        </w:rPr>
      </w:pPr>
    </w:p>
    <w:p w:rsidR="00E221AF" w:rsidRPr="00873FEC" w:rsidRDefault="00E221AF" w:rsidP="00126E97">
      <w:pPr>
        <w:spacing w:line="20" w:lineRule="atLeast"/>
        <w:ind w:left="284"/>
        <w:contextualSpacing/>
        <w:jc w:val="both"/>
        <w:outlineLvl w:val="1"/>
        <w:rPr>
          <w:rFonts w:ascii="Verdana" w:eastAsia="Times New Roman" w:hAnsi="Verdana" w:cs="Times"/>
          <w:b/>
          <w:i/>
          <w:sz w:val="20"/>
          <w:szCs w:val="20"/>
          <w:lang w:val="es-CR" w:eastAsia="es-CR"/>
        </w:rPr>
      </w:pPr>
      <w:bookmarkStart w:id="118" w:name="_Toc520207586"/>
      <w:bookmarkStart w:id="119" w:name="_Toc525201160"/>
      <w:bookmarkEnd w:id="118"/>
      <w:r w:rsidRPr="00873FEC">
        <w:rPr>
          <w:rFonts w:ascii="Verdana" w:eastAsia="Times New Roman" w:hAnsi="Verdana" w:cs="Times"/>
          <w:b/>
          <w:i/>
          <w:sz w:val="20"/>
          <w:szCs w:val="20"/>
          <w:lang w:val="es-CR" w:eastAsia="es-CR"/>
        </w:rPr>
        <w:t xml:space="preserve">B. Sobre la Comunidad “Aurora 8 de octubre” en la finca </w:t>
      </w:r>
      <w:proofErr w:type="spellStart"/>
      <w:r w:rsidRPr="00873FEC">
        <w:rPr>
          <w:rFonts w:ascii="Verdana" w:eastAsia="Times New Roman" w:hAnsi="Verdana" w:cs="Times"/>
          <w:b/>
          <w:i/>
          <w:sz w:val="20"/>
          <w:szCs w:val="20"/>
          <w:lang w:val="es-CR" w:eastAsia="es-CR"/>
        </w:rPr>
        <w:t>Xamán</w:t>
      </w:r>
      <w:bookmarkEnd w:id="119"/>
      <w:proofErr w:type="spellEnd"/>
    </w:p>
    <w:p w:rsidR="00E221AF" w:rsidRPr="00873FEC" w:rsidRDefault="00E221AF" w:rsidP="00126E97">
      <w:pPr>
        <w:spacing w:after="0" w:line="20" w:lineRule="atLeast"/>
        <w:ind w:left="720"/>
        <w:contextualSpacing/>
        <w:rPr>
          <w:rFonts w:ascii="Calibri" w:eastAsia="Calibri" w:hAnsi="Calibri" w:cs="Times"/>
          <w:szCs w:val="20"/>
          <w:lang w:val="es-CR" w:eastAsia="es-CR"/>
        </w:rPr>
      </w:pPr>
    </w:p>
    <w:p w:rsidR="00E221AF" w:rsidRPr="00873FEC" w:rsidRDefault="00E221AF" w:rsidP="00126E97">
      <w:pPr>
        <w:numPr>
          <w:ilvl w:val="0"/>
          <w:numId w:val="3"/>
        </w:numPr>
        <w:spacing w:after="0" w:line="20" w:lineRule="atLeast"/>
        <w:ind w:right="-138"/>
        <w:jc w:val="both"/>
        <w:rPr>
          <w:rFonts w:ascii="Verdana" w:eastAsia="Batang" w:hAnsi="Verdana" w:cs="Times"/>
          <w:sz w:val="20"/>
          <w:szCs w:val="24"/>
          <w:lang w:val="es-CL" w:eastAsia="es-CR"/>
        </w:rPr>
      </w:pPr>
      <w:r w:rsidRPr="00873FEC">
        <w:rPr>
          <w:rFonts w:ascii="Verdana" w:eastAsia="Batang" w:hAnsi="Verdana" w:cs="Times"/>
          <w:sz w:val="20"/>
          <w:szCs w:val="20"/>
          <w:lang w:val="es-CR" w:eastAsia="es-CR"/>
        </w:rPr>
        <w:t xml:space="preserve">A partir del retorno de personas que estaban asentadas en México, en 1994 se formó la Comunidad “Aurora 8 de octubre”. Se ubicó en la finca </w:t>
      </w:r>
      <w:proofErr w:type="spellStart"/>
      <w:r w:rsidRPr="00873FEC">
        <w:rPr>
          <w:rFonts w:ascii="Verdana" w:eastAsia="Batang" w:hAnsi="Verdana" w:cs="Times"/>
          <w:sz w:val="20"/>
          <w:szCs w:val="20"/>
          <w:lang w:val="es-CR" w:eastAsia="es-CR"/>
        </w:rPr>
        <w:t>Xamán</w:t>
      </w:r>
      <w:proofErr w:type="spellEnd"/>
      <w:r w:rsidRPr="00873FEC">
        <w:rPr>
          <w:rFonts w:ascii="Verdana" w:eastAsia="Batang" w:hAnsi="Verdana" w:cs="Times"/>
          <w:sz w:val="20"/>
          <w:szCs w:val="20"/>
          <w:lang w:val="es-CR" w:eastAsia="es-CR"/>
        </w:rPr>
        <w:t xml:space="preserve">, en el municipio de </w:t>
      </w:r>
      <w:proofErr w:type="spellStart"/>
      <w:r w:rsidRPr="00873FEC">
        <w:rPr>
          <w:rFonts w:ascii="Verdana" w:eastAsia="Batang" w:hAnsi="Verdana" w:cs="Times"/>
          <w:sz w:val="20"/>
          <w:szCs w:val="20"/>
          <w:lang w:val="es-CR" w:eastAsia="es-CR"/>
        </w:rPr>
        <w:t>Chisec</w:t>
      </w:r>
      <w:proofErr w:type="spellEnd"/>
      <w:r w:rsidRPr="00873FEC">
        <w:rPr>
          <w:rFonts w:ascii="Verdana" w:eastAsia="Batang" w:hAnsi="Verdana" w:cs="Times"/>
          <w:sz w:val="20"/>
          <w:szCs w:val="20"/>
          <w:lang w:val="es-CR" w:eastAsia="es-CR"/>
        </w:rPr>
        <w:t xml:space="preserve"> del departamento de Alta Verapaz en Guatemala. En 1994 estaba conformada</w:t>
      </w:r>
      <w:r w:rsidR="00047731" w:rsidRPr="00873FEC">
        <w:rPr>
          <w:rFonts w:ascii="Verdana" w:eastAsia="Batang" w:hAnsi="Verdana" w:cs="Times"/>
          <w:sz w:val="20"/>
          <w:szCs w:val="20"/>
          <w:lang w:val="es-CR" w:eastAsia="es-CR"/>
        </w:rPr>
        <w:t>, en términos aproximados,</w:t>
      </w:r>
      <w:r w:rsidRPr="00873FEC">
        <w:rPr>
          <w:rFonts w:ascii="Verdana" w:eastAsia="Batang" w:hAnsi="Verdana" w:cs="Times"/>
          <w:sz w:val="20"/>
          <w:szCs w:val="20"/>
          <w:lang w:val="es-CR" w:eastAsia="es-CR"/>
        </w:rPr>
        <w:t xml:space="preserve"> por unas 90 familias que antes se encontraban en México y otras 50 que ya vivían en el lugar. Integran la Comunidad personas que forman parte de la población indígena maya, tanto </w:t>
      </w:r>
      <w:proofErr w:type="spellStart"/>
      <w:r w:rsidRPr="00873FEC">
        <w:rPr>
          <w:rFonts w:ascii="Verdana" w:eastAsia="Batang" w:hAnsi="Verdana" w:cs="Times"/>
          <w:sz w:val="20"/>
          <w:szCs w:val="20"/>
          <w:lang w:val="es-CR" w:eastAsia="es-CR"/>
        </w:rPr>
        <w:t>q’eqchi</w:t>
      </w:r>
      <w:proofErr w:type="spellEnd"/>
      <w:r w:rsidRPr="00873FEC">
        <w:rPr>
          <w:rFonts w:ascii="Verdana" w:eastAsia="Batang" w:hAnsi="Verdana" w:cs="Times"/>
          <w:sz w:val="20"/>
          <w:szCs w:val="20"/>
          <w:lang w:val="es-CR" w:eastAsia="es-CR"/>
        </w:rPr>
        <w:t xml:space="preserve">’, </w:t>
      </w:r>
      <w:proofErr w:type="spellStart"/>
      <w:r w:rsidRPr="00873FEC">
        <w:rPr>
          <w:rFonts w:ascii="Verdana" w:eastAsia="Batang" w:hAnsi="Verdana" w:cs="Times"/>
          <w:sz w:val="20"/>
          <w:szCs w:val="20"/>
          <w:lang w:val="es-CR" w:eastAsia="es-CR"/>
        </w:rPr>
        <w:t>mam</w:t>
      </w:r>
      <w:proofErr w:type="spellEnd"/>
      <w:r w:rsidRPr="00873FEC">
        <w:rPr>
          <w:rFonts w:ascii="Verdana" w:eastAsia="Batang" w:hAnsi="Verdana" w:cs="Times"/>
          <w:sz w:val="20"/>
          <w:szCs w:val="20"/>
          <w:lang w:val="es-CR" w:eastAsia="es-CR"/>
        </w:rPr>
        <w:t xml:space="preserve"> y </w:t>
      </w:r>
      <w:proofErr w:type="spellStart"/>
      <w:r w:rsidRPr="00873FEC">
        <w:rPr>
          <w:rFonts w:ascii="Verdana" w:eastAsia="Batang" w:hAnsi="Verdana" w:cs="Times"/>
          <w:sz w:val="20"/>
          <w:szCs w:val="20"/>
          <w:lang w:val="es-CR" w:eastAsia="es-CR"/>
        </w:rPr>
        <w:t>q’anjob’al</w:t>
      </w:r>
      <w:proofErr w:type="spellEnd"/>
      <w:r w:rsidRPr="00873FEC">
        <w:rPr>
          <w:rFonts w:ascii="Verdana" w:eastAsia="Batang" w:hAnsi="Verdana" w:cs="Times"/>
          <w:sz w:val="20"/>
          <w:szCs w:val="20"/>
          <w:lang w:val="es-CR" w:eastAsia="es-CR"/>
        </w:rPr>
        <w:t xml:space="preserve">, como también, en menor medida, </w:t>
      </w:r>
      <w:proofErr w:type="spellStart"/>
      <w:r w:rsidRPr="00873FEC">
        <w:rPr>
          <w:rFonts w:ascii="Verdana" w:eastAsia="Batang" w:hAnsi="Verdana" w:cs="Times"/>
          <w:sz w:val="20"/>
          <w:szCs w:val="20"/>
          <w:lang w:val="es-CR" w:eastAsia="es-CR"/>
        </w:rPr>
        <w:t>ixil</w:t>
      </w:r>
      <w:proofErr w:type="spellEnd"/>
      <w:r w:rsidRPr="00873FEC">
        <w:rPr>
          <w:rFonts w:ascii="Verdana" w:eastAsia="Batang" w:hAnsi="Verdana" w:cs="Times"/>
          <w:sz w:val="20"/>
          <w:szCs w:val="20"/>
          <w:lang w:val="es-CR" w:eastAsia="es-CR"/>
        </w:rPr>
        <w:t xml:space="preserve"> y </w:t>
      </w:r>
      <w:proofErr w:type="spellStart"/>
      <w:r w:rsidRPr="00873FEC">
        <w:rPr>
          <w:rFonts w:ascii="Verdana" w:eastAsia="Batang" w:hAnsi="Verdana" w:cs="Times"/>
          <w:sz w:val="20"/>
          <w:szCs w:val="20"/>
          <w:lang w:val="es-CR" w:eastAsia="es-CR"/>
        </w:rPr>
        <w:t>k’iche</w:t>
      </w:r>
      <w:proofErr w:type="spellEnd"/>
      <w:r w:rsidRPr="00873FEC">
        <w:rPr>
          <w:rFonts w:ascii="Verdana" w:eastAsia="Batang" w:hAnsi="Verdana" w:cs="Times"/>
          <w:sz w:val="20"/>
          <w:szCs w:val="20"/>
          <w:lang w:val="es-CR" w:eastAsia="es-CR"/>
        </w:rPr>
        <w:t>’. Las personas que regresaron a vivir en dicha Comunidad habían sobrevivido a las masacres ocurridas en sus aldeas de origen en el año 1982</w:t>
      </w:r>
      <w:r w:rsidRPr="00873FEC">
        <w:rPr>
          <w:rFonts w:ascii="Verdana" w:eastAsia="Batang" w:hAnsi="Verdana" w:cs="Times New Roman"/>
          <w:sz w:val="20"/>
          <w:szCs w:val="20"/>
          <w:vertAlign w:val="superscript"/>
          <w:lang w:val="en-US" w:eastAsia="x-none"/>
        </w:rPr>
        <w:footnoteReference w:id="37"/>
      </w:r>
      <w:r w:rsidRPr="00873FEC">
        <w:rPr>
          <w:rFonts w:ascii="Verdana" w:eastAsia="Batang" w:hAnsi="Verdana" w:cs="Times"/>
          <w:sz w:val="20"/>
          <w:szCs w:val="20"/>
          <w:lang w:val="es-CR" w:eastAsia="es-CR"/>
        </w:rPr>
        <w:t xml:space="preserve">. </w:t>
      </w:r>
      <w:r w:rsidRPr="00873FEC">
        <w:rPr>
          <w:rFonts w:ascii="Verdana" w:eastAsia="Batang" w:hAnsi="Verdana" w:cs="Times"/>
          <w:bCs/>
          <w:sz w:val="20"/>
          <w:szCs w:val="20"/>
          <w:lang w:val="es-CL" w:eastAsia="es-CR"/>
        </w:rPr>
        <w:t xml:space="preserve">Los integrantes de esta Comunidad habían sido víctimas de violaciones a sus derechos humanos previas a los hechos ocurridos en el año de 1995, entre los que se cuentan masacres y desplazamiento forzado. En esa medida, a raíz de su retorno, el Estado se encontraba obligado a prestarle una especial protección y a prevenir cualquier situación de </w:t>
      </w:r>
      <w:proofErr w:type="spellStart"/>
      <w:r w:rsidRPr="00873FEC">
        <w:rPr>
          <w:rFonts w:ascii="Verdana" w:eastAsia="Batang" w:hAnsi="Verdana" w:cs="Times"/>
          <w:bCs/>
          <w:sz w:val="20"/>
          <w:szCs w:val="20"/>
          <w:lang w:val="es-CL" w:eastAsia="es-CR"/>
        </w:rPr>
        <w:t>revictimización</w:t>
      </w:r>
      <w:proofErr w:type="spellEnd"/>
      <w:r w:rsidRPr="00873FEC">
        <w:rPr>
          <w:rFonts w:ascii="Verdana" w:eastAsia="Batang" w:hAnsi="Verdana" w:cs="Times"/>
          <w:bCs/>
          <w:sz w:val="20"/>
          <w:szCs w:val="20"/>
          <w:lang w:val="es-CL" w:eastAsia="es-CR"/>
        </w:rPr>
        <w:t>.</w:t>
      </w:r>
    </w:p>
    <w:p w:rsidR="00E221AF" w:rsidRPr="00873FEC" w:rsidRDefault="00E221AF" w:rsidP="00126E97">
      <w:pPr>
        <w:spacing w:after="0" w:line="20" w:lineRule="atLeast"/>
        <w:ind w:left="720"/>
        <w:contextualSpacing/>
        <w:jc w:val="both"/>
        <w:rPr>
          <w:rFonts w:ascii="Verdana" w:eastAsia="Calibri" w:hAnsi="Verdana" w:cs="Times"/>
          <w:sz w:val="20"/>
          <w:szCs w:val="20"/>
          <w:lang w:val="es-CL" w:eastAsia="es-CR"/>
        </w:rPr>
      </w:pPr>
    </w:p>
    <w:p w:rsidR="00E221AF" w:rsidRPr="00873FEC" w:rsidRDefault="00E221AF" w:rsidP="00126E97">
      <w:pPr>
        <w:numPr>
          <w:ilvl w:val="0"/>
          <w:numId w:val="5"/>
        </w:numPr>
        <w:spacing w:after="0" w:line="20" w:lineRule="atLeast"/>
        <w:ind w:left="284"/>
        <w:contextualSpacing/>
        <w:jc w:val="both"/>
        <w:outlineLvl w:val="1"/>
        <w:rPr>
          <w:rFonts w:ascii="Verdana" w:eastAsia="Calibri" w:hAnsi="Verdana" w:cs="Times"/>
          <w:b/>
          <w:i/>
          <w:sz w:val="20"/>
          <w:szCs w:val="20"/>
          <w:lang w:val="es-CR" w:eastAsia="es-CR"/>
        </w:rPr>
      </w:pPr>
      <w:bookmarkStart w:id="120" w:name="_Toc501722241"/>
      <w:bookmarkStart w:id="121" w:name="_Toc503518609"/>
      <w:bookmarkStart w:id="122" w:name="_Toc520207587"/>
      <w:bookmarkStart w:id="123" w:name="_Toc525201161"/>
      <w:bookmarkEnd w:id="120"/>
      <w:bookmarkEnd w:id="121"/>
      <w:bookmarkEnd w:id="122"/>
      <w:r w:rsidRPr="00873FEC">
        <w:rPr>
          <w:rFonts w:ascii="Verdana" w:eastAsia="Calibri" w:hAnsi="Verdana" w:cs="Times"/>
          <w:b/>
          <w:i/>
          <w:sz w:val="20"/>
          <w:szCs w:val="20"/>
          <w:lang w:val="es-CR" w:eastAsia="es-CR"/>
        </w:rPr>
        <w:t xml:space="preserve">Sobre los hechos sucedidos en octubre de 1995 en la finca </w:t>
      </w:r>
      <w:proofErr w:type="spellStart"/>
      <w:r w:rsidRPr="00873FEC">
        <w:rPr>
          <w:rFonts w:ascii="Verdana" w:eastAsia="Calibri" w:hAnsi="Verdana" w:cs="Times"/>
          <w:b/>
          <w:i/>
          <w:sz w:val="20"/>
          <w:szCs w:val="20"/>
          <w:lang w:val="es-CR" w:eastAsia="es-CR"/>
        </w:rPr>
        <w:t>Xamán</w:t>
      </w:r>
      <w:bookmarkEnd w:id="123"/>
      <w:proofErr w:type="spellEnd"/>
    </w:p>
    <w:p w:rsidR="00E221AF" w:rsidRPr="00873FEC" w:rsidRDefault="00E221AF" w:rsidP="00126E97">
      <w:pPr>
        <w:spacing w:after="0" w:line="20" w:lineRule="atLeast"/>
        <w:ind w:right="-138"/>
        <w:jc w:val="both"/>
        <w:rPr>
          <w:rFonts w:ascii="Verdana" w:eastAsia="Batang" w:hAnsi="Verdana" w:cs="Times"/>
          <w:sz w:val="20"/>
          <w:szCs w:val="24"/>
          <w:lang w:val="es-CR" w:eastAsia="es-CR"/>
        </w:rPr>
      </w:pPr>
    </w:p>
    <w:p w:rsidR="00E221AF" w:rsidRPr="00873FEC" w:rsidRDefault="00E221AF"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Como fue señalado por el Estado, el 5 de octubre de 1995, cerca de un año después de formada la Comunidad, se produjo un acontecimiento en que varias personas resultaron muertas y otras heridas, calificable como una masacre</w:t>
      </w:r>
      <w:r w:rsidRPr="00873FEC">
        <w:rPr>
          <w:rFonts w:ascii="Verdana" w:eastAsia="Batang" w:hAnsi="Verdana" w:cs="Times New Roman"/>
          <w:sz w:val="20"/>
          <w:szCs w:val="20"/>
          <w:vertAlign w:val="superscript"/>
          <w:lang w:val="es-CR" w:eastAsia="x-none"/>
        </w:rPr>
        <w:footnoteReference w:id="38"/>
      </w:r>
      <w:r w:rsidRPr="00873FEC">
        <w:rPr>
          <w:rFonts w:ascii="Verdana" w:eastAsia="Batang" w:hAnsi="Verdana" w:cs="Times"/>
          <w:sz w:val="20"/>
          <w:szCs w:val="20"/>
          <w:lang w:val="es-CR" w:eastAsia="es-CR"/>
        </w:rPr>
        <w:t xml:space="preserve">. Estas circunstancias fueron registradas en el informe de la CEH. </w:t>
      </w:r>
    </w:p>
    <w:p w:rsidR="00E221AF" w:rsidRPr="00873FEC" w:rsidRDefault="00E221AF" w:rsidP="00126E97">
      <w:pPr>
        <w:spacing w:after="0" w:line="20" w:lineRule="atLeast"/>
        <w:ind w:right="-138"/>
        <w:jc w:val="both"/>
        <w:rPr>
          <w:rFonts w:ascii="Verdana" w:eastAsia="Batang" w:hAnsi="Verdana" w:cs="Times"/>
          <w:sz w:val="20"/>
          <w:szCs w:val="24"/>
          <w:lang w:val="es-CR" w:eastAsia="es-CR"/>
        </w:rPr>
      </w:pPr>
    </w:p>
    <w:p w:rsidR="00E221AF" w:rsidRPr="00873FEC" w:rsidRDefault="00E221AF"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 xml:space="preserve">A continuación, se exponen los aspectos centrales de los hechos sucedidos los días 3 y 5 de octubre, según ha sido indicado por la CEH y expuesto en el Informe de Fondo. Sobre esa base los hechos narrados se precisan de acuerdo a distintos medios de prueba: </w:t>
      </w:r>
    </w:p>
    <w:p w:rsidR="00E221AF" w:rsidRPr="00873FEC" w:rsidRDefault="00E221AF" w:rsidP="00126E97">
      <w:pPr>
        <w:numPr>
          <w:ilvl w:val="0"/>
          <w:numId w:val="6"/>
        </w:numPr>
        <w:spacing w:after="0" w:line="20" w:lineRule="atLeast"/>
        <w:ind w:left="284"/>
        <w:contextualSpacing/>
        <w:jc w:val="both"/>
        <w:rPr>
          <w:rFonts w:ascii="Verdana" w:eastAsia="Calibri" w:hAnsi="Verdana" w:cs="Times"/>
          <w:color w:val="000000"/>
          <w:sz w:val="20"/>
          <w:szCs w:val="20"/>
          <w:lang w:val="es-CR" w:eastAsia="es-CR"/>
        </w:rPr>
      </w:pPr>
      <w:r w:rsidRPr="00873FEC">
        <w:rPr>
          <w:rFonts w:ascii="Verdana" w:eastAsia="Calibri" w:hAnsi="Verdana" w:cs="Times"/>
          <w:color w:val="000000"/>
          <w:sz w:val="20"/>
          <w:szCs w:val="20"/>
          <w:lang w:val="es-CR" w:eastAsia="es-CR"/>
        </w:rPr>
        <w:t xml:space="preserve">El 3 de octubre de 1995 una patrulla militar integrada al menos por 26 soldados, incluido uno menor de edad, salió del destacamento de </w:t>
      </w:r>
      <w:proofErr w:type="spellStart"/>
      <w:r w:rsidRPr="00873FEC">
        <w:rPr>
          <w:rFonts w:ascii="Verdana" w:eastAsia="Calibri" w:hAnsi="Verdana" w:cs="Times"/>
          <w:color w:val="000000"/>
          <w:sz w:val="20"/>
          <w:szCs w:val="20"/>
          <w:lang w:val="es-CR" w:eastAsia="es-CR"/>
        </w:rPr>
        <w:t>Rubelsanto</w:t>
      </w:r>
      <w:proofErr w:type="spellEnd"/>
      <w:r w:rsidR="00671FE6" w:rsidRPr="00873FEC">
        <w:rPr>
          <w:rFonts w:ascii="Verdana" w:eastAsia="Calibri" w:hAnsi="Verdana" w:cs="Times New Roman"/>
          <w:color w:val="000000"/>
          <w:szCs w:val="20"/>
          <w:vertAlign w:val="superscript"/>
          <w:lang w:val="es-CR" w:eastAsia="x-none"/>
        </w:rPr>
        <w:footnoteReference w:id="39"/>
      </w:r>
      <w:r w:rsidRPr="00873FEC">
        <w:rPr>
          <w:rFonts w:ascii="Verdana" w:eastAsia="Calibri" w:hAnsi="Verdana" w:cs="Times"/>
          <w:color w:val="000000"/>
          <w:sz w:val="20"/>
          <w:szCs w:val="20"/>
          <w:lang w:val="es-CR" w:eastAsia="es-CR"/>
        </w:rPr>
        <w:t xml:space="preserve">. </w:t>
      </w:r>
    </w:p>
    <w:p w:rsidR="00E221AF" w:rsidRPr="00873FEC" w:rsidRDefault="00E221AF" w:rsidP="00126E97">
      <w:pPr>
        <w:numPr>
          <w:ilvl w:val="0"/>
          <w:numId w:val="6"/>
        </w:numPr>
        <w:spacing w:after="0" w:line="20" w:lineRule="atLeast"/>
        <w:ind w:left="284"/>
        <w:contextualSpacing/>
        <w:jc w:val="both"/>
        <w:rPr>
          <w:rFonts w:ascii="Verdana" w:eastAsia="Calibri" w:hAnsi="Verdana" w:cs="Times"/>
          <w:sz w:val="20"/>
          <w:szCs w:val="20"/>
          <w:lang w:val="es-CR" w:eastAsia="es-CR"/>
        </w:rPr>
      </w:pPr>
      <w:r w:rsidRPr="00873FEC">
        <w:rPr>
          <w:rFonts w:ascii="Verdana" w:eastAsia="Calibri" w:hAnsi="Verdana" w:cs="Times"/>
          <w:sz w:val="20"/>
          <w:szCs w:val="20"/>
          <w:lang w:val="es-CR" w:eastAsia="es-CR"/>
        </w:rPr>
        <w:lastRenderedPageBreak/>
        <w:t xml:space="preserve">El 5 de octubre, en la mañana, algunos pobladores de la Comunidad advirtieron la presencia de los militares cuando estos pasaban por la finca </w:t>
      </w:r>
      <w:proofErr w:type="spellStart"/>
      <w:r w:rsidRPr="00873FEC">
        <w:rPr>
          <w:rFonts w:ascii="Verdana" w:eastAsia="Calibri" w:hAnsi="Verdana" w:cs="Times"/>
          <w:sz w:val="20"/>
          <w:szCs w:val="20"/>
          <w:lang w:val="es-CR" w:eastAsia="es-CR"/>
        </w:rPr>
        <w:t>Xamán</w:t>
      </w:r>
      <w:proofErr w:type="spellEnd"/>
      <w:r w:rsidRPr="00873FEC">
        <w:rPr>
          <w:rFonts w:ascii="Verdana" w:eastAsia="Calibri" w:hAnsi="Verdana" w:cs="Times"/>
          <w:sz w:val="20"/>
          <w:szCs w:val="20"/>
          <w:lang w:val="es-CR" w:eastAsia="es-CR"/>
        </w:rPr>
        <w:t>.</w:t>
      </w:r>
      <w:r w:rsidRPr="00873FEC">
        <w:rPr>
          <w:rFonts w:ascii="Verdana" w:eastAsia="Calibri" w:hAnsi="Verdana" w:cs="Times"/>
          <w:bCs/>
          <w:color w:val="000000"/>
          <w:sz w:val="20"/>
          <w:szCs w:val="20"/>
          <w:lang w:val="es-CR" w:eastAsia="es-CR"/>
        </w:rPr>
        <w:t xml:space="preserve"> </w:t>
      </w:r>
      <w:r w:rsidRPr="00873FEC">
        <w:rPr>
          <w:rFonts w:ascii="Verdana" w:eastAsia="Calibri" w:hAnsi="Verdana" w:cs="Times"/>
          <w:sz w:val="20"/>
          <w:szCs w:val="20"/>
          <w:lang w:val="es-CR" w:eastAsia="es-CR"/>
        </w:rPr>
        <w:t xml:space="preserve">Se formó un grupo de varios </w:t>
      </w:r>
      <w:r w:rsidR="0069793F" w:rsidRPr="00873FEC">
        <w:rPr>
          <w:rFonts w:ascii="Verdana" w:eastAsia="Calibri" w:hAnsi="Verdana" w:cs="Times"/>
          <w:sz w:val="20"/>
          <w:szCs w:val="20"/>
          <w:lang w:val="es-CR" w:eastAsia="es-CR"/>
        </w:rPr>
        <w:t xml:space="preserve">individuos </w:t>
      </w:r>
      <w:r w:rsidRPr="00873FEC">
        <w:rPr>
          <w:rFonts w:ascii="Verdana" w:eastAsia="Calibri" w:hAnsi="Verdana" w:cs="Times"/>
          <w:sz w:val="20"/>
          <w:szCs w:val="20"/>
          <w:lang w:val="es-CR" w:eastAsia="es-CR"/>
        </w:rPr>
        <w:t>vecinos, entre quienes se hallaban algunas mujeres y autoridades de la Comunidad, quienes salieron al encuentro de la patrulla y solicitaron hablar con el oficial al mando</w:t>
      </w:r>
      <w:r w:rsidRPr="00873FEC">
        <w:rPr>
          <w:rFonts w:ascii="Verdana" w:eastAsia="Calibri" w:hAnsi="Verdana" w:cs="Times New Roman"/>
          <w:szCs w:val="20"/>
          <w:vertAlign w:val="superscript"/>
          <w:lang w:val="en-US" w:eastAsia="x-none"/>
        </w:rPr>
        <w:footnoteReference w:id="40"/>
      </w:r>
      <w:r w:rsidRPr="00873FEC">
        <w:rPr>
          <w:rFonts w:ascii="Verdana" w:eastAsia="Calibri" w:hAnsi="Verdana" w:cs="Times"/>
          <w:sz w:val="20"/>
          <w:szCs w:val="20"/>
          <w:lang w:val="es-CR" w:eastAsia="es-CR"/>
        </w:rPr>
        <w:t xml:space="preserve">. </w:t>
      </w:r>
    </w:p>
    <w:p w:rsidR="00E221AF" w:rsidRPr="00873FEC" w:rsidRDefault="00E221AF" w:rsidP="00126E97">
      <w:pPr>
        <w:numPr>
          <w:ilvl w:val="0"/>
          <w:numId w:val="6"/>
        </w:numPr>
        <w:spacing w:after="0" w:line="20" w:lineRule="atLeast"/>
        <w:ind w:left="284"/>
        <w:contextualSpacing/>
        <w:jc w:val="both"/>
        <w:rPr>
          <w:rFonts w:ascii="Verdana" w:eastAsia="Calibri" w:hAnsi="Verdana" w:cs="Times"/>
          <w:color w:val="000000"/>
          <w:sz w:val="20"/>
          <w:szCs w:val="20"/>
          <w:lang w:eastAsia="es-CR"/>
        </w:rPr>
      </w:pPr>
      <w:r w:rsidRPr="00873FEC">
        <w:rPr>
          <w:rFonts w:ascii="Verdana" w:eastAsia="Calibri" w:hAnsi="Verdana" w:cs="Times"/>
          <w:color w:val="000000"/>
          <w:sz w:val="20"/>
          <w:szCs w:val="20"/>
          <w:lang w:val="es-CR" w:eastAsia="es-CR"/>
        </w:rPr>
        <w:t>El grupo requirió a los militares explicar el motivo por el cual se encontraban en el lugar</w:t>
      </w:r>
      <w:r w:rsidRPr="00873FEC">
        <w:rPr>
          <w:rFonts w:ascii="Verdana" w:eastAsia="Calibri" w:hAnsi="Verdana" w:cs="Times New Roman"/>
          <w:color w:val="000000"/>
          <w:szCs w:val="20"/>
          <w:vertAlign w:val="superscript"/>
          <w:lang w:val="es-CR" w:eastAsia="x-none"/>
        </w:rPr>
        <w:footnoteReference w:id="41"/>
      </w:r>
      <w:r w:rsidRPr="00873FEC">
        <w:rPr>
          <w:rFonts w:ascii="Verdana" w:eastAsia="Calibri" w:hAnsi="Verdana" w:cs="Times"/>
          <w:color w:val="000000"/>
          <w:sz w:val="20"/>
          <w:szCs w:val="20"/>
          <w:lang w:val="es-CR" w:eastAsia="es-CR"/>
        </w:rPr>
        <w:t>. A partir de este encuentro, los militares se adentraron en la Comunidad</w:t>
      </w:r>
      <w:r w:rsidRPr="00873FEC">
        <w:rPr>
          <w:rFonts w:ascii="Verdana" w:eastAsia="Calibri" w:hAnsi="Verdana" w:cs="Times New Roman"/>
          <w:color w:val="000000"/>
          <w:szCs w:val="20"/>
          <w:vertAlign w:val="superscript"/>
          <w:lang w:eastAsia="x-none"/>
        </w:rPr>
        <w:footnoteReference w:id="42"/>
      </w:r>
      <w:r w:rsidRPr="00873FEC">
        <w:rPr>
          <w:rFonts w:ascii="Verdana" w:eastAsia="Calibri" w:hAnsi="Verdana" w:cs="Times"/>
          <w:color w:val="000000"/>
          <w:sz w:val="20"/>
          <w:szCs w:val="20"/>
          <w:lang w:val="es-CR" w:eastAsia="es-CR"/>
        </w:rPr>
        <w:t>. El número de pobladores que rodeaba a los militares fue aumentando gradualmente</w:t>
      </w:r>
      <w:r w:rsidRPr="00873FEC">
        <w:rPr>
          <w:rFonts w:ascii="Verdana" w:eastAsia="Calibri" w:hAnsi="Verdana" w:cs="Times New Roman"/>
          <w:color w:val="000000"/>
          <w:szCs w:val="20"/>
          <w:vertAlign w:val="superscript"/>
          <w:lang w:val="es-CR" w:eastAsia="x-none"/>
        </w:rPr>
        <w:footnoteReference w:id="43"/>
      </w:r>
      <w:r w:rsidRPr="00873FEC">
        <w:rPr>
          <w:rFonts w:ascii="Verdana" w:eastAsia="Calibri" w:hAnsi="Verdana" w:cs="Times"/>
          <w:color w:val="000000"/>
          <w:sz w:val="20"/>
          <w:szCs w:val="20"/>
          <w:lang w:val="es-CR" w:eastAsia="es-CR"/>
        </w:rPr>
        <w:t>. Sobre las 13:30 horas, el subteniente dialogó con el alcalde auxiliar</w:t>
      </w:r>
      <w:r w:rsidRPr="00873FEC">
        <w:rPr>
          <w:rFonts w:ascii="Verdana" w:eastAsia="Calibri" w:hAnsi="Verdana" w:cs="Times New Roman"/>
          <w:color w:val="000000"/>
          <w:szCs w:val="20"/>
          <w:vertAlign w:val="superscript"/>
          <w:lang w:eastAsia="x-none"/>
        </w:rPr>
        <w:footnoteReference w:id="44"/>
      </w:r>
      <w:r w:rsidRPr="00873FEC">
        <w:rPr>
          <w:rFonts w:ascii="Verdana" w:eastAsia="Calibri" w:hAnsi="Verdana" w:cs="Times"/>
          <w:color w:val="000000"/>
          <w:sz w:val="20"/>
          <w:szCs w:val="20"/>
          <w:lang w:val="es-CR" w:eastAsia="es-CR"/>
        </w:rPr>
        <w:t>. Mientras eso sucedía, los pobladores manifestaban con mayor vehemencia su descontento por la presencia militar</w:t>
      </w:r>
      <w:r w:rsidRPr="00873FEC">
        <w:rPr>
          <w:rFonts w:ascii="Verdana" w:eastAsia="Calibri" w:hAnsi="Verdana" w:cs="Times New Roman"/>
          <w:color w:val="000000"/>
          <w:szCs w:val="20"/>
          <w:vertAlign w:val="superscript"/>
          <w:lang w:eastAsia="x-none"/>
        </w:rPr>
        <w:footnoteReference w:id="45"/>
      </w:r>
      <w:r w:rsidRPr="00873FEC">
        <w:rPr>
          <w:rFonts w:ascii="Verdana" w:eastAsia="Calibri" w:hAnsi="Verdana" w:cs="Times"/>
          <w:color w:val="000000"/>
          <w:sz w:val="20"/>
          <w:szCs w:val="20"/>
          <w:lang w:val="es-CR" w:eastAsia="es-CR"/>
        </w:rPr>
        <w:t xml:space="preserve">. Solicitaron a los integrantes del ejército que dejaran sus armas y permanecieran en el lugar hasta que </w:t>
      </w:r>
      <w:r w:rsidR="00682A5B">
        <w:rPr>
          <w:rFonts w:ascii="Verdana" w:eastAsia="Calibri" w:hAnsi="Verdana" w:cs="Times"/>
          <w:color w:val="000000"/>
          <w:sz w:val="20"/>
          <w:szCs w:val="20"/>
          <w:lang w:val="es-CR" w:eastAsia="es-CR"/>
        </w:rPr>
        <w:t xml:space="preserve">la </w:t>
      </w:r>
      <w:r w:rsidRPr="00873FEC">
        <w:rPr>
          <w:rFonts w:ascii="Verdana" w:eastAsia="Calibri" w:hAnsi="Verdana" w:cs="Times"/>
          <w:color w:val="000000"/>
          <w:sz w:val="20"/>
          <w:szCs w:val="20"/>
          <w:lang w:val="es-CR" w:eastAsia="es-CR"/>
        </w:rPr>
        <w:t>Misión de Verificación de las Naciones Unidas en Guatemala (</w:t>
      </w:r>
      <w:r w:rsidR="00D43974" w:rsidRPr="00873FEC">
        <w:rPr>
          <w:rFonts w:ascii="Verdana" w:eastAsia="Calibri" w:hAnsi="Verdana" w:cs="Times"/>
          <w:color w:val="000000"/>
          <w:sz w:val="20"/>
          <w:szCs w:val="20"/>
          <w:lang w:val="es-CR" w:eastAsia="es-CR"/>
        </w:rPr>
        <w:t>en adelante “</w:t>
      </w:r>
      <w:r w:rsidRPr="00873FEC">
        <w:rPr>
          <w:rFonts w:ascii="Verdana" w:eastAsia="Calibri" w:hAnsi="Verdana" w:cs="Times"/>
          <w:color w:val="000000"/>
          <w:sz w:val="20"/>
          <w:szCs w:val="20"/>
          <w:lang w:val="es-CR" w:eastAsia="es-CR"/>
        </w:rPr>
        <w:t>MINUGUA</w:t>
      </w:r>
      <w:r w:rsidR="00D43974" w:rsidRPr="00873FEC">
        <w:rPr>
          <w:rFonts w:ascii="Verdana" w:eastAsia="Calibri" w:hAnsi="Verdana" w:cs="Times"/>
          <w:color w:val="000000"/>
          <w:sz w:val="20"/>
          <w:szCs w:val="20"/>
          <w:lang w:val="es-CR" w:eastAsia="es-CR"/>
        </w:rPr>
        <w:t>”</w:t>
      </w:r>
      <w:r w:rsidRPr="00873FEC">
        <w:rPr>
          <w:rFonts w:ascii="Verdana" w:eastAsia="Calibri" w:hAnsi="Verdana" w:cs="Times"/>
          <w:color w:val="000000"/>
          <w:sz w:val="20"/>
          <w:szCs w:val="20"/>
          <w:lang w:val="es-CR" w:eastAsia="es-CR"/>
        </w:rPr>
        <w:t>) y ACNUR verificaran la presunta violación de los acuerdos del 8 de octubre de 1992</w:t>
      </w:r>
      <w:r w:rsidRPr="00873FEC">
        <w:rPr>
          <w:rFonts w:ascii="Verdana" w:eastAsia="Calibri" w:hAnsi="Verdana" w:cs="Times New Roman"/>
          <w:color w:val="000000"/>
          <w:szCs w:val="20"/>
          <w:vertAlign w:val="superscript"/>
          <w:lang w:val="es-CR" w:eastAsia="x-none"/>
        </w:rPr>
        <w:footnoteReference w:id="46"/>
      </w:r>
      <w:r w:rsidRPr="00873FEC">
        <w:rPr>
          <w:rFonts w:ascii="Verdana" w:eastAsia="Calibri" w:hAnsi="Verdana" w:cs="Times"/>
          <w:color w:val="000000"/>
          <w:sz w:val="20"/>
          <w:szCs w:val="20"/>
          <w:lang w:val="es-CR" w:eastAsia="es-CR"/>
        </w:rPr>
        <w:t xml:space="preserve">. </w:t>
      </w:r>
    </w:p>
    <w:p w:rsidR="00E221AF" w:rsidRPr="00873FEC" w:rsidRDefault="00E221AF" w:rsidP="00126E97">
      <w:pPr>
        <w:numPr>
          <w:ilvl w:val="0"/>
          <w:numId w:val="6"/>
        </w:numPr>
        <w:spacing w:after="0" w:line="20" w:lineRule="atLeast"/>
        <w:ind w:left="284"/>
        <w:contextualSpacing/>
        <w:jc w:val="both"/>
        <w:rPr>
          <w:rFonts w:ascii="Verdana" w:eastAsia="Calibri" w:hAnsi="Verdana" w:cs="Times"/>
          <w:color w:val="000000"/>
          <w:sz w:val="20"/>
          <w:szCs w:val="20"/>
          <w:lang w:eastAsia="es-CR"/>
        </w:rPr>
      </w:pPr>
      <w:r w:rsidRPr="00873FEC">
        <w:rPr>
          <w:rFonts w:ascii="Verdana" w:eastAsia="Calibri" w:hAnsi="Verdana" w:cs="Times"/>
          <w:color w:val="000000"/>
          <w:sz w:val="20"/>
          <w:szCs w:val="20"/>
          <w:lang w:val="es-CR" w:eastAsia="es-CR"/>
        </w:rPr>
        <w:t>Después de lo anterior, los integrantes de la patrulla intentaron salir del lugar empujando a la gente con sus fusiles. En el curso de esta situación de tensión, en un momento dado los soldados dispararon a una señora, Juana Jacinto Felipe, produciendo su muerte y luego realizaron disparos indiscriminadamente</w:t>
      </w:r>
      <w:r w:rsidRPr="00873FEC">
        <w:rPr>
          <w:rFonts w:ascii="Verdana" w:eastAsia="Calibri" w:hAnsi="Verdana" w:cs="Times New Roman"/>
          <w:color w:val="000000"/>
          <w:szCs w:val="20"/>
          <w:vertAlign w:val="superscript"/>
          <w:lang w:eastAsia="x-none"/>
        </w:rPr>
        <w:footnoteReference w:id="47"/>
      </w:r>
      <w:r w:rsidRPr="00873FEC">
        <w:rPr>
          <w:rFonts w:ascii="Verdana" w:eastAsia="Calibri" w:hAnsi="Verdana" w:cs="Times"/>
          <w:color w:val="000000"/>
          <w:sz w:val="20"/>
          <w:szCs w:val="20"/>
          <w:lang w:val="es-CR" w:eastAsia="es-CR"/>
        </w:rPr>
        <w:t>. La gente comenzó a correr</w:t>
      </w:r>
      <w:r w:rsidRPr="00873FEC">
        <w:rPr>
          <w:rFonts w:ascii="Verdana" w:eastAsia="Calibri" w:hAnsi="Verdana" w:cs="Times New Roman"/>
          <w:color w:val="000000"/>
          <w:szCs w:val="20"/>
          <w:vertAlign w:val="superscript"/>
          <w:lang w:val="es-CR" w:eastAsia="x-none"/>
        </w:rPr>
        <w:footnoteReference w:id="48"/>
      </w:r>
      <w:r w:rsidRPr="00873FEC">
        <w:rPr>
          <w:rFonts w:ascii="Verdana" w:eastAsia="Calibri" w:hAnsi="Verdana" w:cs="Times"/>
          <w:color w:val="000000"/>
          <w:sz w:val="20"/>
          <w:szCs w:val="20"/>
          <w:lang w:val="es-CR" w:eastAsia="es-CR"/>
        </w:rPr>
        <w:t xml:space="preserve">, por lo que varias personas cayeron bajo el impacto de </w:t>
      </w:r>
      <w:r w:rsidRPr="00873FEC">
        <w:rPr>
          <w:rFonts w:ascii="Verdana" w:eastAsia="Calibri" w:hAnsi="Verdana" w:cs="Times"/>
          <w:color w:val="000000"/>
          <w:sz w:val="20"/>
          <w:szCs w:val="20"/>
          <w:lang w:val="es-CR" w:eastAsia="es-CR"/>
        </w:rPr>
        <w:lastRenderedPageBreak/>
        <w:t>proyectiles mientras huían</w:t>
      </w:r>
      <w:r w:rsidRPr="00873FEC">
        <w:rPr>
          <w:rFonts w:ascii="Verdana" w:eastAsia="Calibri" w:hAnsi="Verdana" w:cs="Times New Roman"/>
          <w:color w:val="000000"/>
          <w:szCs w:val="20"/>
          <w:vertAlign w:val="superscript"/>
          <w:lang w:eastAsia="x-none"/>
        </w:rPr>
        <w:footnoteReference w:id="49"/>
      </w:r>
      <w:r w:rsidRPr="00873FEC">
        <w:rPr>
          <w:rFonts w:ascii="Verdana" w:eastAsia="Calibri" w:hAnsi="Verdana" w:cs="Times"/>
          <w:color w:val="000000"/>
          <w:sz w:val="20"/>
          <w:szCs w:val="20"/>
          <w:lang w:val="es-CR" w:eastAsia="es-CR"/>
        </w:rPr>
        <w:t xml:space="preserve"> y, según se denunció, tres fueron rematadas cuando estaban tendidas en el suelo</w:t>
      </w:r>
      <w:r w:rsidRPr="00873FEC">
        <w:rPr>
          <w:rFonts w:ascii="Verdana" w:eastAsia="Calibri" w:hAnsi="Verdana" w:cs="Times New Roman"/>
          <w:color w:val="000000"/>
          <w:szCs w:val="20"/>
          <w:vertAlign w:val="superscript"/>
          <w:lang w:eastAsia="x-none"/>
        </w:rPr>
        <w:footnoteReference w:id="50"/>
      </w:r>
      <w:r w:rsidRPr="00873FEC">
        <w:rPr>
          <w:rFonts w:ascii="Verdana" w:eastAsia="Calibri" w:hAnsi="Verdana" w:cs="Times"/>
          <w:color w:val="000000"/>
          <w:sz w:val="20"/>
          <w:szCs w:val="20"/>
          <w:lang w:val="es-CR" w:eastAsia="es-CR"/>
        </w:rPr>
        <w:t>. Autoridades judiciales dieron por acreditado que</w:t>
      </w:r>
      <w:r w:rsidR="00682A5B">
        <w:rPr>
          <w:rFonts w:ascii="Verdana" w:eastAsia="Calibri" w:hAnsi="Verdana" w:cs="Times"/>
          <w:color w:val="000000"/>
          <w:sz w:val="20"/>
          <w:szCs w:val="20"/>
          <w:lang w:val="es-CR" w:eastAsia="es-CR"/>
        </w:rPr>
        <w:t>,</w:t>
      </w:r>
      <w:r w:rsidRPr="00873FEC">
        <w:rPr>
          <w:rFonts w:ascii="Verdana" w:eastAsia="Calibri" w:hAnsi="Verdana" w:cs="Times"/>
          <w:color w:val="000000"/>
          <w:sz w:val="20"/>
          <w:szCs w:val="20"/>
          <w:lang w:val="es-CR" w:eastAsia="es-CR"/>
        </w:rPr>
        <w:t xml:space="preserve"> después de producidos los disparos referidos, cuando los soldados estaban saliendo del lugar, encontraron al niño Santiago </w:t>
      </w:r>
      <w:proofErr w:type="spellStart"/>
      <w:r w:rsidRPr="00873FEC">
        <w:rPr>
          <w:rFonts w:ascii="Verdana" w:eastAsia="Calibri" w:hAnsi="Verdana" w:cs="Times"/>
          <w:color w:val="000000"/>
          <w:sz w:val="20"/>
          <w:szCs w:val="20"/>
          <w:lang w:val="es-CR" w:eastAsia="es-CR"/>
        </w:rPr>
        <w:t>Coc</w:t>
      </w:r>
      <w:proofErr w:type="spellEnd"/>
      <w:r w:rsidRPr="00873FEC">
        <w:rPr>
          <w:rFonts w:ascii="Verdana" w:eastAsia="Calibri" w:hAnsi="Verdana" w:cs="Times"/>
          <w:color w:val="000000"/>
          <w:sz w:val="20"/>
          <w:szCs w:val="20"/>
          <w:lang w:val="es-CR" w:eastAsia="es-CR"/>
        </w:rPr>
        <w:t>, a quien dispararon, causando su muerte</w:t>
      </w:r>
      <w:r w:rsidRPr="00873FEC">
        <w:rPr>
          <w:rFonts w:ascii="Verdana" w:eastAsia="Calibri" w:hAnsi="Verdana" w:cs="Times New Roman"/>
          <w:color w:val="000000"/>
          <w:szCs w:val="20"/>
          <w:vertAlign w:val="superscript"/>
          <w:lang w:val="es-CR" w:eastAsia="x-none"/>
        </w:rPr>
        <w:footnoteReference w:id="51"/>
      </w:r>
      <w:r w:rsidRPr="00873FEC">
        <w:rPr>
          <w:rFonts w:ascii="Verdana" w:eastAsia="Calibri" w:hAnsi="Verdana" w:cs="Times"/>
          <w:color w:val="000000"/>
          <w:sz w:val="20"/>
          <w:szCs w:val="20"/>
          <w:lang w:val="es-CR" w:eastAsia="es-CR"/>
        </w:rPr>
        <w:t xml:space="preserve">. </w:t>
      </w:r>
    </w:p>
    <w:p w:rsidR="00E221AF" w:rsidRPr="00873FEC" w:rsidRDefault="00E221AF" w:rsidP="00126E97">
      <w:pPr>
        <w:numPr>
          <w:ilvl w:val="0"/>
          <w:numId w:val="6"/>
        </w:numPr>
        <w:spacing w:after="0" w:line="20" w:lineRule="atLeast"/>
        <w:ind w:left="284"/>
        <w:contextualSpacing/>
        <w:jc w:val="both"/>
        <w:rPr>
          <w:rFonts w:ascii="Verdana" w:eastAsia="Calibri" w:hAnsi="Verdana" w:cs="Times"/>
          <w:color w:val="000000"/>
          <w:sz w:val="20"/>
          <w:szCs w:val="20"/>
          <w:lang w:eastAsia="es-CR"/>
        </w:rPr>
      </w:pPr>
      <w:r w:rsidRPr="00873FEC">
        <w:rPr>
          <w:rFonts w:ascii="Verdana" w:eastAsia="Calibri" w:hAnsi="Verdana" w:cs="Times"/>
          <w:color w:val="000000"/>
          <w:sz w:val="20"/>
          <w:szCs w:val="20"/>
          <w:lang w:val="es-CR" w:eastAsia="es-CR"/>
        </w:rPr>
        <w:t>La CEH sostuvo que no hay evidencia de que los pobladores portaran armas de fuego ni testimonios que den cuenta de agresiones físicas contra los soldados, quienes en gran medida estaban rodeados por mujeres y niños. Ocho personas adultas, así como dos niños y una niña de la Comunidad, quienes son presuntas víctimas en este caso, fueron ejecutadas durante este evento; otras 29, también presuntas víctimas, resultaron heridas</w:t>
      </w:r>
      <w:r w:rsidRPr="00873FEC">
        <w:rPr>
          <w:rFonts w:ascii="Verdana" w:eastAsia="Calibri" w:hAnsi="Verdana" w:cs="Times New Roman"/>
          <w:color w:val="000000"/>
          <w:szCs w:val="20"/>
          <w:vertAlign w:val="superscript"/>
          <w:lang w:eastAsia="x-none"/>
        </w:rPr>
        <w:footnoteReference w:id="52"/>
      </w:r>
      <w:r w:rsidRPr="00873FEC">
        <w:rPr>
          <w:rFonts w:ascii="Verdana" w:eastAsia="Calibri" w:hAnsi="Verdana" w:cs="Times"/>
          <w:color w:val="000000"/>
          <w:sz w:val="20"/>
          <w:szCs w:val="20"/>
          <w:lang w:val="es-CR" w:eastAsia="es-CR"/>
        </w:rPr>
        <w:t xml:space="preserve">. </w:t>
      </w:r>
    </w:p>
    <w:p w:rsidR="00E221AF" w:rsidRPr="00873FEC" w:rsidRDefault="006D521C" w:rsidP="00126E97">
      <w:pPr>
        <w:numPr>
          <w:ilvl w:val="0"/>
          <w:numId w:val="6"/>
        </w:numPr>
        <w:spacing w:after="0" w:line="20" w:lineRule="atLeast"/>
        <w:ind w:left="284"/>
        <w:contextualSpacing/>
        <w:jc w:val="both"/>
        <w:rPr>
          <w:rFonts w:ascii="Verdana" w:eastAsia="Calibri" w:hAnsi="Verdana" w:cs="Times"/>
          <w:color w:val="000000"/>
          <w:sz w:val="20"/>
          <w:szCs w:val="20"/>
          <w:lang w:val="es-CR" w:eastAsia="es-CR"/>
        </w:rPr>
      </w:pPr>
      <w:r w:rsidRPr="00873FEC">
        <w:rPr>
          <w:rFonts w:ascii="Verdana" w:eastAsia="Times New Roman" w:hAnsi="Verdana" w:cs="Times"/>
          <w:color w:val="000000"/>
          <w:sz w:val="20"/>
          <w:szCs w:val="20"/>
          <w:lang w:val="es-CR" w:eastAsia="es-CR"/>
        </w:rPr>
        <w:t>P</w:t>
      </w:r>
      <w:r w:rsidR="00E221AF" w:rsidRPr="00873FEC">
        <w:rPr>
          <w:rFonts w:ascii="Verdana" w:eastAsia="Times New Roman" w:hAnsi="Verdana" w:cs="Times"/>
          <w:color w:val="000000"/>
          <w:sz w:val="20"/>
          <w:szCs w:val="20"/>
          <w:lang w:val="es-CR" w:eastAsia="es-CR"/>
        </w:rPr>
        <w:t xml:space="preserve">ersonas heridas fueron atendidas en </w:t>
      </w:r>
      <w:r w:rsidR="00162E78" w:rsidRPr="00873FEC">
        <w:rPr>
          <w:rFonts w:ascii="Verdana" w:eastAsia="Times New Roman" w:hAnsi="Verdana" w:cs="Times"/>
          <w:color w:val="000000"/>
          <w:sz w:val="20"/>
          <w:szCs w:val="20"/>
          <w:lang w:val="es-CR" w:eastAsia="es-CR"/>
        </w:rPr>
        <w:t>primer término por personal de M</w:t>
      </w:r>
      <w:r w:rsidR="00E221AF" w:rsidRPr="00873FEC">
        <w:rPr>
          <w:rFonts w:ascii="Verdana" w:eastAsia="Times New Roman" w:hAnsi="Verdana" w:cs="Times"/>
          <w:color w:val="000000"/>
          <w:sz w:val="20"/>
          <w:szCs w:val="20"/>
          <w:lang w:val="es-CR" w:eastAsia="es-CR"/>
        </w:rPr>
        <w:t xml:space="preserve">édicos del </w:t>
      </w:r>
      <w:r w:rsidR="00162E78" w:rsidRPr="00873FEC">
        <w:rPr>
          <w:rFonts w:ascii="Verdana" w:eastAsia="Times New Roman" w:hAnsi="Verdana" w:cs="Times"/>
          <w:color w:val="000000"/>
          <w:sz w:val="20"/>
          <w:szCs w:val="20"/>
          <w:lang w:val="es-CR" w:eastAsia="es-CR"/>
        </w:rPr>
        <w:t>M</w:t>
      </w:r>
      <w:r w:rsidR="00E221AF" w:rsidRPr="00873FEC">
        <w:rPr>
          <w:rFonts w:ascii="Verdana" w:eastAsia="Times New Roman" w:hAnsi="Verdana" w:cs="Times"/>
          <w:color w:val="000000"/>
          <w:sz w:val="20"/>
          <w:szCs w:val="20"/>
          <w:lang w:val="es-CR" w:eastAsia="es-CR"/>
        </w:rPr>
        <w:t>undo, organización no gubernamental que tenía presencia en la Comunidad y que, además, dio aviso de los hechos a MINUGUA</w:t>
      </w:r>
      <w:r w:rsidR="00E221AF" w:rsidRPr="00873FEC">
        <w:rPr>
          <w:rFonts w:ascii="Verdana" w:eastAsia="Calibri" w:hAnsi="Verdana" w:cs="Times New Roman"/>
          <w:color w:val="000000"/>
          <w:szCs w:val="20"/>
          <w:vertAlign w:val="superscript"/>
          <w:lang w:val="es-CR" w:eastAsia="x-none"/>
        </w:rPr>
        <w:footnoteReference w:id="53"/>
      </w:r>
      <w:r w:rsidR="00E221AF" w:rsidRPr="00873FEC">
        <w:rPr>
          <w:rFonts w:ascii="Verdana" w:eastAsia="Times New Roman" w:hAnsi="Verdana" w:cs="Times"/>
          <w:color w:val="000000"/>
          <w:sz w:val="20"/>
          <w:szCs w:val="20"/>
          <w:lang w:val="es-CR" w:eastAsia="es-CR"/>
        </w:rPr>
        <w:t xml:space="preserve">. </w:t>
      </w:r>
    </w:p>
    <w:p w:rsidR="0057574C" w:rsidRPr="00873FEC" w:rsidRDefault="0057574C" w:rsidP="00126E97">
      <w:pPr>
        <w:spacing w:after="0" w:line="20" w:lineRule="atLeast"/>
        <w:ind w:left="567"/>
        <w:contextualSpacing/>
        <w:jc w:val="both"/>
        <w:rPr>
          <w:rFonts w:ascii="Verdana" w:eastAsia="Calibri" w:hAnsi="Verdana" w:cs="Times"/>
          <w:color w:val="000000"/>
          <w:sz w:val="20"/>
          <w:szCs w:val="20"/>
          <w:lang w:val="es-CR" w:eastAsia="es-CR"/>
        </w:rPr>
      </w:pPr>
    </w:p>
    <w:p w:rsidR="0057574C" w:rsidRPr="00873FEC" w:rsidRDefault="0057574C" w:rsidP="00126E97">
      <w:pPr>
        <w:keepNext/>
        <w:keepLines/>
        <w:numPr>
          <w:ilvl w:val="0"/>
          <w:numId w:val="5"/>
        </w:numPr>
        <w:spacing w:after="0" w:line="20" w:lineRule="atLeast"/>
        <w:ind w:left="284"/>
        <w:jc w:val="both"/>
        <w:outlineLvl w:val="1"/>
        <w:rPr>
          <w:rFonts w:ascii="Verdana" w:eastAsia="Times New Roman" w:hAnsi="Verdana" w:cs="Times"/>
          <w:b/>
          <w:i/>
          <w:sz w:val="20"/>
          <w:szCs w:val="20"/>
          <w:lang w:val="en-US" w:eastAsia="es-CR"/>
        </w:rPr>
      </w:pPr>
      <w:bookmarkStart w:id="124" w:name="_Toc501722242"/>
      <w:bookmarkStart w:id="125" w:name="_Toc503518610"/>
      <w:bookmarkStart w:id="126" w:name="_Toc520207588"/>
      <w:bookmarkStart w:id="127" w:name="_Toc521694809"/>
      <w:bookmarkStart w:id="128" w:name="_Toc525201162"/>
      <w:bookmarkEnd w:id="124"/>
      <w:bookmarkEnd w:id="125"/>
      <w:bookmarkEnd w:id="126"/>
      <w:proofErr w:type="spellStart"/>
      <w:r w:rsidRPr="00873FEC">
        <w:rPr>
          <w:rFonts w:ascii="Verdana" w:eastAsia="Times New Roman" w:hAnsi="Verdana" w:cs="Times"/>
          <w:b/>
          <w:i/>
          <w:sz w:val="20"/>
          <w:szCs w:val="20"/>
          <w:lang w:val="en-US" w:eastAsia="es-CR"/>
        </w:rPr>
        <w:t>Sobre</w:t>
      </w:r>
      <w:proofErr w:type="spellEnd"/>
      <w:r w:rsidRPr="00873FEC">
        <w:rPr>
          <w:rFonts w:ascii="Verdana" w:eastAsia="Times New Roman" w:hAnsi="Verdana" w:cs="Times"/>
          <w:b/>
          <w:i/>
          <w:sz w:val="20"/>
          <w:szCs w:val="20"/>
          <w:lang w:val="en-US" w:eastAsia="es-CR"/>
        </w:rPr>
        <w:t xml:space="preserve"> las </w:t>
      </w:r>
      <w:proofErr w:type="spellStart"/>
      <w:r w:rsidRPr="00873FEC">
        <w:rPr>
          <w:rFonts w:ascii="Verdana" w:eastAsia="Times New Roman" w:hAnsi="Verdana" w:cs="Times"/>
          <w:b/>
          <w:i/>
          <w:sz w:val="20"/>
          <w:szCs w:val="20"/>
          <w:lang w:val="en-US" w:eastAsia="es-CR"/>
        </w:rPr>
        <w:t>actuaciones</w:t>
      </w:r>
      <w:proofErr w:type="spellEnd"/>
      <w:r w:rsidRPr="00873FEC">
        <w:rPr>
          <w:rFonts w:ascii="Verdana" w:eastAsia="Times New Roman" w:hAnsi="Verdana" w:cs="Times"/>
          <w:b/>
          <w:i/>
          <w:sz w:val="20"/>
          <w:szCs w:val="20"/>
          <w:lang w:val="en-US" w:eastAsia="es-CR"/>
        </w:rPr>
        <w:t xml:space="preserve"> </w:t>
      </w:r>
      <w:proofErr w:type="spellStart"/>
      <w:r w:rsidRPr="00873FEC">
        <w:rPr>
          <w:rFonts w:ascii="Verdana" w:eastAsia="Times New Roman" w:hAnsi="Verdana" w:cs="Times"/>
          <w:b/>
          <w:i/>
          <w:sz w:val="20"/>
          <w:szCs w:val="20"/>
          <w:lang w:val="en-US" w:eastAsia="es-CR"/>
        </w:rPr>
        <w:t>realizadas</w:t>
      </w:r>
      <w:bookmarkEnd w:id="127"/>
      <w:bookmarkEnd w:id="128"/>
      <w:proofErr w:type="spellEnd"/>
    </w:p>
    <w:p w:rsidR="0057574C" w:rsidRPr="00873FEC" w:rsidRDefault="0057574C" w:rsidP="00126E97">
      <w:pPr>
        <w:spacing w:after="0" w:line="20" w:lineRule="atLeast"/>
        <w:ind w:left="720"/>
        <w:contextualSpacing/>
        <w:rPr>
          <w:rFonts w:ascii="Calibri" w:eastAsia="Calibri" w:hAnsi="Calibri" w:cs="Times"/>
          <w:szCs w:val="20"/>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 xml:space="preserve">Al día siguiente de los hechos, el Presidente de la República visitó la Comunidad, “reconoció públicamente la responsabilidad institucional en los hechos” y ordenó la formación de una “Comisión </w:t>
      </w:r>
      <w:proofErr w:type="spellStart"/>
      <w:r w:rsidRPr="00873FEC">
        <w:rPr>
          <w:rFonts w:ascii="Verdana" w:eastAsia="Batang" w:hAnsi="Verdana" w:cs="Times"/>
          <w:sz w:val="20"/>
          <w:szCs w:val="20"/>
          <w:lang w:val="es-CR" w:eastAsia="es-CR"/>
        </w:rPr>
        <w:t>pesquisadora</w:t>
      </w:r>
      <w:proofErr w:type="spellEnd"/>
      <w:r w:rsidRPr="00873FEC">
        <w:rPr>
          <w:rFonts w:ascii="Verdana" w:eastAsia="Batang" w:hAnsi="Verdana" w:cs="Times"/>
          <w:sz w:val="20"/>
          <w:szCs w:val="20"/>
          <w:lang w:val="es-CR" w:eastAsia="es-CR"/>
        </w:rPr>
        <w:t xml:space="preserve"> de Alto Nivel” y una exhaustiva investigación</w:t>
      </w:r>
      <w:r w:rsidRPr="00873FEC">
        <w:rPr>
          <w:rFonts w:ascii="Verdana" w:eastAsia="Batang" w:hAnsi="Verdana" w:cs="Times New Roman"/>
          <w:sz w:val="20"/>
          <w:szCs w:val="20"/>
          <w:vertAlign w:val="superscript"/>
          <w:lang w:val="en-US" w:eastAsia="x-none"/>
        </w:rPr>
        <w:footnoteReference w:id="54"/>
      </w:r>
      <w:r w:rsidRPr="00873FEC">
        <w:rPr>
          <w:rFonts w:ascii="Verdana" w:eastAsia="Batang" w:hAnsi="Verdana" w:cs="Times"/>
          <w:sz w:val="20"/>
          <w:szCs w:val="20"/>
          <w:lang w:val="es-CR" w:eastAsia="es-CR"/>
        </w:rPr>
        <w:t>. Además, destituyó al comandante de la zona militar 21 con sede en Cobán y aceptó la renuncia del ministro de la Defensa Nacional</w:t>
      </w:r>
      <w:r w:rsidRPr="00873FEC">
        <w:rPr>
          <w:rFonts w:ascii="Verdana" w:eastAsia="Batang" w:hAnsi="Verdana" w:cs="Times New Roman"/>
          <w:sz w:val="20"/>
          <w:szCs w:val="20"/>
          <w:vertAlign w:val="superscript"/>
          <w:lang w:val="en-US" w:eastAsia="x-none"/>
        </w:rPr>
        <w:footnoteReference w:id="55"/>
      </w:r>
      <w:r w:rsidRPr="00873FEC">
        <w:rPr>
          <w:rFonts w:ascii="Verdana" w:eastAsia="Batang" w:hAnsi="Verdana" w:cs="Times"/>
          <w:sz w:val="20"/>
          <w:szCs w:val="20"/>
          <w:lang w:val="es-CR" w:eastAsia="es-CR"/>
        </w:rPr>
        <w:t>. Por otra parte, en el ámbito judicial se inició un proceso penal</w:t>
      </w:r>
      <w:r w:rsidRPr="00873FEC">
        <w:rPr>
          <w:rFonts w:ascii="Verdana" w:eastAsia="Batang" w:hAnsi="Verdana" w:cs="Times New Roman"/>
          <w:sz w:val="20"/>
          <w:szCs w:val="20"/>
          <w:vertAlign w:val="superscript"/>
          <w:lang w:val="es-CR" w:eastAsia="x-none"/>
        </w:rPr>
        <w:footnoteReference w:id="56"/>
      </w:r>
      <w:r w:rsidRPr="00873FEC">
        <w:rPr>
          <w:rFonts w:ascii="Verdana" w:eastAsia="Batang" w:hAnsi="Verdana" w:cs="Times"/>
          <w:sz w:val="20"/>
          <w:szCs w:val="20"/>
          <w:lang w:val="es-CR" w:eastAsia="es-CR"/>
        </w:rPr>
        <w:t>, que se describe en lo que sigue</w:t>
      </w:r>
      <w:r w:rsidRPr="00873FEC">
        <w:rPr>
          <w:rFonts w:ascii="Verdana" w:eastAsia="Batang" w:hAnsi="Verdana" w:cs="Times New Roman"/>
          <w:sz w:val="20"/>
          <w:szCs w:val="20"/>
          <w:vertAlign w:val="superscript"/>
          <w:lang w:val="es-CR" w:eastAsia="es-CR"/>
        </w:rPr>
        <w:footnoteReference w:id="57"/>
      </w:r>
      <w:r w:rsidRPr="00873FEC">
        <w:rPr>
          <w:rFonts w:ascii="Verdana" w:eastAsia="Batang" w:hAnsi="Verdana" w:cs="Times"/>
          <w:sz w:val="20"/>
          <w:szCs w:val="20"/>
          <w:lang w:val="es-CR" w:eastAsia="es-CR"/>
        </w:rPr>
        <w:t xml:space="preserve">. </w:t>
      </w:r>
    </w:p>
    <w:p w:rsidR="0057574C" w:rsidRPr="00873FEC" w:rsidRDefault="0057574C" w:rsidP="00126E97">
      <w:pPr>
        <w:spacing w:after="0" w:line="20" w:lineRule="atLeast"/>
        <w:ind w:left="720"/>
        <w:contextualSpacing/>
        <w:rPr>
          <w:rFonts w:ascii="Calibri" w:eastAsia="Calibri" w:hAnsi="Calibri" w:cs="Times"/>
          <w:szCs w:val="20"/>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0"/>
          <w:lang w:val="es-CR" w:eastAsia="es-CR"/>
        </w:rPr>
      </w:pPr>
      <w:r w:rsidRPr="00873FEC">
        <w:rPr>
          <w:rFonts w:ascii="Verdana" w:eastAsia="Batang" w:hAnsi="Verdana" w:cs="Times"/>
          <w:sz w:val="20"/>
          <w:szCs w:val="20"/>
          <w:lang w:val="es-EC" w:eastAsia="es-CR"/>
        </w:rPr>
        <w:t>Luego de ocurrida la masacre, e</w:t>
      </w:r>
      <w:r w:rsidRPr="00873FEC">
        <w:rPr>
          <w:rFonts w:ascii="Verdana" w:eastAsia="Batang" w:hAnsi="Verdana" w:cs="Times"/>
          <w:sz w:val="20"/>
          <w:szCs w:val="20"/>
          <w:lang w:val="es-CR" w:eastAsia="es-CR"/>
        </w:rPr>
        <w:t xml:space="preserve">l personal militar fue “inmediatamente consignado” y sometido a “proceso penal” ante el “Juzgado Militar Primero de Primera </w:t>
      </w:r>
      <w:r w:rsidRPr="00873FEC">
        <w:rPr>
          <w:rFonts w:ascii="Verdana" w:eastAsia="Batang" w:hAnsi="Verdana" w:cs="Times"/>
          <w:sz w:val="20"/>
          <w:szCs w:val="20"/>
          <w:lang w:val="es-CR" w:eastAsia="es-CR"/>
        </w:rPr>
        <w:lastRenderedPageBreak/>
        <w:t>Instancia de Jalapa”</w:t>
      </w:r>
      <w:r w:rsidRPr="00873FEC">
        <w:rPr>
          <w:rFonts w:ascii="Verdana" w:eastAsia="Batang" w:hAnsi="Verdana" w:cs="Times New Roman"/>
          <w:sz w:val="20"/>
          <w:szCs w:val="20"/>
          <w:vertAlign w:val="superscript"/>
          <w:lang w:val="es-CR" w:eastAsia="x-none"/>
        </w:rPr>
        <w:footnoteReference w:id="58"/>
      </w:r>
      <w:r w:rsidRPr="00873FEC">
        <w:rPr>
          <w:rFonts w:ascii="Verdana" w:eastAsia="Batang" w:hAnsi="Verdana" w:cs="Times"/>
          <w:sz w:val="20"/>
          <w:szCs w:val="20"/>
          <w:lang w:val="es-CR" w:eastAsia="es-CR"/>
        </w:rPr>
        <w:t>. Dicho personal fue “detenido […] en el Centro Preventivo del Segundo Cuerpo de la Policía Nacional en el Departamento de Jalapa”</w:t>
      </w:r>
      <w:r w:rsidRPr="00873FEC">
        <w:rPr>
          <w:rFonts w:ascii="Verdana" w:eastAsia="Batang" w:hAnsi="Verdana" w:cs="Times New Roman"/>
          <w:sz w:val="20"/>
          <w:szCs w:val="20"/>
          <w:vertAlign w:val="superscript"/>
          <w:lang w:val="es-CR" w:eastAsia="x-none"/>
        </w:rPr>
        <w:footnoteReference w:id="59"/>
      </w:r>
      <w:r w:rsidRPr="00873FEC">
        <w:rPr>
          <w:rFonts w:ascii="Verdana" w:eastAsia="Batang" w:hAnsi="Verdana" w:cs="Times"/>
          <w:sz w:val="20"/>
          <w:szCs w:val="20"/>
          <w:lang w:val="es-CR" w:eastAsia="es-CR"/>
        </w:rPr>
        <w:t xml:space="preserve">. </w:t>
      </w:r>
    </w:p>
    <w:p w:rsidR="0057574C" w:rsidRPr="00873FEC" w:rsidRDefault="0057574C" w:rsidP="00126E97">
      <w:pPr>
        <w:spacing w:after="0" w:line="20" w:lineRule="atLeast"/>
        <w:ind w:left="720"/>
        <w:contextualSpacing/>
        <w:rPr>
          <w:rFonts w:ascii="Calibri" w:eastAsia="Calibri" w:hAnsi="Calibri" w:cs="Times"/>
          <w:szCs w:val="20"/>
          <w:lang w:val="es-CR" w:eastAsia="es-CR"/>
        </w:rPr>
      </w:pPr>
    </w:p>
    <w:p w:rsidR="0057574C" w:rsidRPr="00873FEC" w:rsidRDefault="0057574C" w:rsidP="00126E97">
      <w:pPr>
        <w:numPr>
          <w:ilvl w:val="0"/>
          <w:numId w:val="3"/>
        </w:numPr>
        <w:autoSpaceDE w:val="0"/>
        <w:autoSpaceDN w:val="0"/>
        <w:adjustRightInd w:val="0"/>
        <w:spacing w:after="0" w:line="20" w:lineRule="atLeast"/>
        <w:ind w:right="-138"/>
        <w:jc w:val="both"/>
        <w:rPr>
          <w:rFonts w:ascii="Verdana" w:eastAsia="Batang" w:hAnsi="Verdana" w:cs="Times"/>
          <w:color w:val="000000"/>
          <w:sz w:val="20"/>
          <w:szCs w:val="20"/>
          <w:lang w:val="es-CR" w:eastAsia="es-CR"/>
        </w:rPr>
      </w:pPr>
      <w:r w:rsidRPr="00873FEC">
        <w:rPr>
          <w:rFonts w:ascii="Verdana" w:eastAsia="Batang" w:hAnsi="Verdana" w:cs="Times"/>
          <w:sz w:val="20"/>
          <w:szCs w:val="20"/>
          <w:lang w:val="es-CR" w:eastAsia="es-CR"/>
        </w:rPr>
        <w:t xml:space="preserve">Rigoberta Menchú </w:t>
      </w:r>
      <w:proofErr w:type="spellStart"/>
      <w:r w:rsidRPr="00873FEC">
        <w:rPr>
          <w:rFonts w:ascii="Verdana" w:eastAsia="Batang" w:hAnsi="Verdana" w:cs="Times"/>
          <w:sz w:val="20"/>
          <w:szCs w:val="20"/>
          <w:lang w:val="es-CR" w:eastAsia="es-CR"/>
        </w:rPr>
        <w:t>Tum</w:t>
      </w:r>
      <w:proofErr w:type="spellEnd"/>
      <w:r w:rsidRPr="00873FEC">
        <w:rPr>
          <w:rFonts w:ascii="Verdana" w:eastAsia="Batang" w:hAnsi="Verdana" w:cs="Times"/>
          <w:sz w:val="20"/>
          <w:szCs w:val="20"/>
          <w:lang w:val="es-CR" w:eastAsia="es-CR"/>
        </w:rPr>
        <w:t xml:space="preserve"> se presentó como “querellante adhesiva”</w:t>
      </w:r>
      <w:r w:rsidRPr="00873FEC">
        <w:rPr>
          <w:rFonts w:ascii="Verdana" w:eastAsia="Batang" w:hAnsi="Verdana" w:cs="Times New Roman"/>
          <w:sz w:val="20"/>
          <w:szCs w:val="20"/>
          <w:vertAlign w:val="superscript"/>
          <w:lang w:val="es-CR" w:eastAsia="es-CR"/>
        </w:rPr>
        <w:footnoteReference w:id="60"/>
      </w:r>
      <w:r w:rsidRPr="00873FEC">
        <w:rPr>
          <w:rFonts w:ascii="Verdana" w:eastAsia="Batang" w:hAnsi="Verdana" w:cs="Times"/>
          <w:sz w:val="20"/>
          <w:szCs w:val="20"/>
          <w:lang w:val="es-CR" w:eastAsia="es-CR"/>
        </w:rPr>
        <w:t xml:space="preserve"> al proceso y el 31 de octubre de 1995 presentó un escrito ante el “Juez Militar de Primera Instancia de Jalapa”, aduciendo que éste carecía de competencia, independencia e imparcialidad, que los hechos debían ser conocidos en el fuero penal ordinario y no ante la jurisdicción penal militar. Además consideró que había habido “un tratamiento deficiente […] de las medidas investigativas” y actuaciones violatorias del debido proceso</w:t>
      </w:r>
      <w:r w:rsidRPr="00873FEC">
        <w:rPr>
          <w:rFonts w:ascii="Verdana" w:eastAsia="Batang" w:hAnsi="Verdana" w:cs="Times New Roman"/>
          <w:sz w:val="20"/>
          <w:szCs w:val="20"/>
          <w:vertAlign w:val="superscript"/>
          <w:lang w:val="es-CR" w:eastAsia="x-none"/>
        </w:rPr>
        <w:footnoteReference w:id="61"/>
      </w:r>
      <w:r w:rsidRPr="00873FEC">
        <w:rPr>
          <w:rFonts w:ascii="Verdana" w:eastAsia="Batang" w:hAnsi="Verdana" w:cs="Times"/>
          <w:bCs/>
          <w:color w:val="000000"/>
          <w:sz w:val="16"/>
          <w:szCs w:val="16"/>
          <w:lang w:val="es-CR" w:eastAsia="es-CR"/>
        </w:rPr>
        <w:t>.</w:t>
      </w:r>
      <w:r w:rsidRPr="00873FEC">
        <w:rPr>
          <w:rFonts w:ascii="Verdana" w:eastAsia="Batang" w:hAnsi="Verdana" w:cs="Times"/>
          <w:sz w:val="20"/>
          <w:szCs w:val="20"/>
          <w:lang w:val="es-CR" w:eastAsia="es-CR"/>
        </w:rPr>
        <w:t xml:space="preserve"> El 2 de noviembre de 1995 el juzgado militar de primera instancia del departamento de Jalapa declaró improcedente la solicitud de la señora Menchú</w:t>
      </w:r>
      <w:r w:rsidRPr="00873FEC">
        <w:rPr>
          <w:rFonts w:ascii="Verdana" w:eastAsia="Batang" w:hAnsi="Verdana" w:cs="Times New Roman"/>
          <w:sz w:val="20"/>
          <w:szCs w:val="20"/>
          <w:vertAlign w:val="superscript"/>
          <w:lang w:val="es-CR" w:eastAsia="x-none"/>
        </w:rPr>
        <w:footnoteReference w:id="62"/>
      </w:r>
      <w:r w:rsidRPr="00873FEC">
        <w:rPr>
          <w:rFonts w:ascii="Verdana" w:eastAsia="Batang" w:hAnsi="Verdana" w:cs="Times"/>
          <w:sz w:val="20"/>
          <w:szCs w:val="20"/>
          <w:lang w:val="es-CR" w:eastAsia="es-CR"/>
        </w:rPr>
        <w:t xml:space="preserve">. </w:t>
      </w:r>
      <w:r w:rsidRPr="00873FEC">
        <w:rPr>
          <w:rFonts w:ascii="Verdana" w:eastAsia="Batang" w:hAnsi="Verdana" w:cs="Times"/>
          <w:bCs/>
          <w:color w:val="000000"/>
          <w:sz w:val="20"/>
          <w:szCs w:val="20"/>
          <w:lang w:val="es-CR" w:eastAsia="es-CR"/>
        </w:rPr>
        <w:t>Ella impugnó dicha resolución.</w:t>
      </w:r>
      <w:r w:rsidRPr="00873FEC">
        <w:rPr>
          <w:rFonts w:ascii="Verdana" w:eastAsia="Batang" w:hAnsi="Verdana" w:cs="Times"/>
          <w:b/>
          <w:bCs/>
          <w:color w:val="000000"/>
          <w:sz w:val="20"/>
          <w:szCs w:val="20"/>
          <w:lang w:val="es-CR" w:eastAsia="es-CR"/>
        </w:rPr>
        <w:t xml:space="preserve"> </w:t>
      </w:r>
      <w:r w:rsidRPr="00873FEC">
        <w:rPr>
          <w:rFonts w:ascii="Verdana" w:eastAsia="Batang" w:hAnsi="Verdana" w:cs="Times"/>
          <w:bCs/>
          <w:color w:val="000000"/>
          <w:sz w:val="20"/>
          <w:szCs w:val="20"/>
          <w:lang w:val="es-CR" w:eastAsia="es-CR"/>
        </w:rPr>
        <w:t xml:space="preserve">El 31 de enero de 1996 se conoció la decisión de la </w:t>
      </w:r>
      <w:r w:rsidRPr="00873FEC">
        <w:rPr>
          <w:rFonts w:ascii="Verdana" w:eastAsia="Batang" w:hAnsi="Verdana" w:cs="Times"/>
          <w:sz w:val="20"/>
          <w:szCs w:val="20"/>
          <w:lang w:val="es-CR" w:eastAsia="es-CR"/>
        </w:rPr>
        <w:t>Sala Quinta de la Corte de Apelaciones, con sede en Jalapa, que consideró que los delitos cometidos tenían carácter común y ordenó el traslado del expediente al Juzgado Segundo de Primera Instancia de Cobán, Alta Verapaz</w:t>
      </w:r>
      <w:r w:rsidRPr="00873FEC">
        <w:rPr>
          <w:rFonts w:ascii="Verdana" w:eastAsia="Batang" w:hAnsi="Verdana" w:cs="Times New Roman"/>
          <w:color w:val="000000"/>
          <w:sz w:val="20"/>
          <w:szCs w:val="20"/>
          <w:vertAlign w:val="superscript"/>
          <w:lang w:val="en-US" w:eastAsia="x-none"/>
        </w:rPr>
        <w:footnoteReference w:id="63"/>
      </w:r>
      <w:r w:rsidRPr="00873FEC">
        <w:rPr>
          <w:rFonts w:ascii="Verdana" w:eastAsia="Batang" w:hAnsi="Verdana" w:cs="Times"/>
          <w:sz w:val="20"/>
          <w:szCs w:val="20"/>
          <w:lang w:val="es-CR" w:eastAsia="es-CR"/>
        </w:rPr>
        <w:t xml:space="preserve">. </w:t>
      </w:r>
      <w:r w:rsidRPr="00873FEC">
        <w:rPr>
          <w:rFonts w:ascii="Verdana" w:eastAsia="Batang" w:hAnsi="Verdana" w:cs="Times"/>
          <w:bCs/>
          <w:color w:val="000000"/>
          <w:sz w:val="16"/>
          <w:szCs w:val="16"/>
          <w:lang w:val="es-CR" w:eastAsia="es-CR"/>
        </w:rPr>
        <w:t xml:space="preserve"> </w:t>
      </w:r>
    </w:p>
    <w:p w:rsidR="0057574C" w:rsidRPr="00873FEC" w:rsidRDefault="0057574C" w:rsidP="00126E97">
      <w:pPr>
        <w:tabs>
          <w:tab w:val="left" w:pos="2127"/>
        </w:tabs>
        <w:spacing w:after="0" w:line="20" w:lineRule="atLeast"/>
        <w:ind w:left="720"/>
        <w:contextualSpacing/>
        <w:rPr>
          <w:rFonts w:ascii="Calibri" w:eastAsia="Calibri" w:hAnsi="Calibri" w:cs="Times"/>
          <w:color w:val="000000"/>
          <w:szCs w:val="20"/>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bCs/>
          <w:color w:val="000000"/>
          <w:sz w:val="20"/>
          <w:szCs w:val="20"/>
          <w:lang w:val="es-CR" w:eastAsia="es-CR"/>
        </w:rPr>
        <w:t>De acuerdo a información presentada a la Comisión, a</w:t>
      </w:r>
      <w:r w:rsidR="0002791C" w:rsidRPr="00873FEC">
        <w:rPr>
          <w:rFonts w:ascii="Verdana" w:eastAsia="Batang" w:hAnsi="Verdana" w:cs="Times"/>
          <w:bCs/>
          <w:color w:val="000000"/>
          <w:sz w:val="20"/>
          <w:szCs w:val="20"/>
          <w:lang w:val="es-CR" w:eastAsia="es-CR"/>
        </w:rPr>
        <w:t>n</w:t>
      </w:r>
      <w:r w:rsidRPr="00873FEC">
        <w:rPr>
          <w:rFonts w:ascii="Verdana" w:eastAsia="Batang" w:hAnsi="Verdana" w:cs="Times"/>
          <w:bCs/>
          <w:color w:val="000000"/>
          <w:sz w:val="20"/>
          <w:szCs w:val="20"/>
          <w:lang w:val="es-CR" w:eastAsia="es-CR"/>
        </w:rPr>
        <w:t>tes del 28 de febrero de 1996 el Ministerio Público presentó seis memoriales pidiendo medidas de prueba, que no fueron atendidos. Ese día, la defensa volvió a realizar un planteamiento de competencia, para que la causa volviera al fuero militar. El mismo fue rechazado por la “Cámara Penal de la Corte Suprema de Justicia”</w:t>
      </w:r>
      <w:r w:rsidR="0002791C" w:rsidRPr="00873FEC">
        <w:rPr>
          <w:rFonts w:ascii="Verdana" w:eastAsia="Batang" w:hAnsi="Verdana" w:cs="Times"/>
          <w:bCs/>
          <w:color w:val="000000"/>
          <w:sz w:val="20"/>
          <w:szCs w:val="20"/>
          <w:lang w:val="es-CR" w:eastAsia="es-CR"/>
        </w:rPr>
        <w:t>.</w:t>
      </w:r>
      <w:r w:rsidRPr="00873FEC">
        <w:rPr>
          <w:rFonts w:ascii="Verdana" w:eastAsia="Batang" w:hAnsi="Verdana" w:cs="Times New Roman"/>
          <w:color w:val="000000"/>
          <w:sz w:val="20"/>
          <w:szCs w:val="20"/>
          <w:vertAlign w:val="superscript"/>
          <w:lang w:val="en-US" w:eastAsia="x-none"/>
        </w:rPr>
        <w:footnoteReference w:id="64"/>
      </w:r>
    </w:p>
    <w:p w:rsidR="0057574C" w:rsidRPr="00873FEC" w:rsidRDefault="0057574C" w:rsidP="00126E97">
      <w:pPr>
        <w:spacing w:after="0" w:line="20" w:lineRule="atLeast"/>
        <w:ind w:left="720"/>
        <w:contextualSpacing/>
        <w:rPr>
          <w:rFonts w:ascii="Calibri" w:eastAsia="Calibri" w:hAnsi="Calibri" w:cs="Times"/>
          <w:szCs w:val="20"/>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 xml:space="preserve">En mayo de 1996 se efectuaron distintas medidas probatorias: el 14 el Juez de Primera Instancia realizó una “inspección y reconocimiento judicial” al lugar de los hechos; </w:t>
      </w:r>
      <w:r w:rsidRPr="00873FEC">
        <w:rPr>
          <w:rFonts w:ascii="Verdana" w:eastAsia="Batang" w:hAnsi="Verdana" w:cs="Times"/>
          <w:bCs/>
          <w:color w:val="000000"/>
          <w:sz w:val="20"/>
          <w:szCs w:val="20"/>
          <w:lang w:val="es-CR" w:eastAsia="es-CR"/>
        </w:rPr>
        <w:t>e</w:t>
      </w:r>
      <w:r w:rsidRPr="00873FEC">
        <w:rPr>
          <w:rFonts w:ascii="Verdana" w:eastAsia="Batang" w:hAnsi="Verdana" w:cs="Times"/>
          <w:sz w:val="20"/>
          <w:szCs w:val="20"/>
          <w:lang w:val="es-CR" w:eastAsia="es-CR"/>
        </w:rPr>
        <w:t xml:space="preserve">l 15 se realizó la exhumación del cadáver del niño Santiago </w:t>
      </w:r>
      <w:proofErr w:type="spellStart"/>
      <w:r w:rsidRPr="00873FEC">
        <w:rPr>
          <w:rFonts w:ascii="Verdana" w:eastAsia="Batang" w:hAnsi="Verdana" w:cs="Times"/>
          <w:sz w:val="20"/>
          <w:szCs w:val="20"/>
          <w:lang w:val="es-CR" w:eastAsia="es-CR"/>
        </w:rPr>
        <w:t>Coc</w:t>
      </w:r>
      <w:proofErr w:type="spellEnd"/>
      <w:r w:rsidRPr="00873FEC">
        <w:rPr>
          <w:rFonts w:ascii="Verdana" w:eastAsia="Batang" w:hAnsi="Verdana" w:cs="Times"/>
          <w:sz w:val="20"/>
          <w:szCs w:val="20"/>
          <w:lang w:val="es-CR" w:eastAsia="es-CR"/>
        </w:rPr>
        <w:t>, y el 17 se realizó un peritaje balístico a solicitud del Fiscal del Ministerio Publico asignado al caso</w:t>
      </w:r>
      <w:r w:rsidRPr="00873FEC">
        <w:rPr>
          <w:rFonts w:ascii="Verdana" w:eastAsia="Batang" w:hAnsi="Verdana" w:cs="Times New Roman"/>
          <w:sz w:val="20"/>
          <w:szCs w:val="20"/>
          <w:vertAlign w:val="superscript"/>
          <w:lang w:val="en-US" w:eastAsia="x-none"/>
        </w:rPr>
        <w:footnoteReference w:id="65"/>
      </w:r>
      <w:r w:rsidRPr="00873FEC">
        <w:rPr>
          <w:rFonts w:ascii="Verdana" w:eastAsia="Batang" w:hAnsi="Verdana" w:cs="Times"/>
          <w:sz w:val="20"/>
          <w:szCs w:val="20"/>
          <w:lang w:val="es-CR" w:eastAsia="es-CR"/>
        </w:rPr>
        <w:t>.</w:t>
      </w:r>
    </w:p>
    <w:p w:rsidR="0057574C" w:rsidRPr="00873FEC" w:rsidRDefault="0057574C" w:rsidP="00126E97">
      <w:pPr>
        <w:spacing w:after="0" w:line="20" w:lineRule="atLeast"/>
        <w:ind w:left="720"/>
        <w:contextualSpacing/>
        <w:rPr>
          <w:rFonts w:ascii="Calibri" w:eastAsia="Calibri" w:hAnsi="Calibri" w:cs="Times"/>
          <w:szCs w:val="20"/>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4"/>
          <w:lang w:val="es-CR" w:eastAsia="es-CR"/>
        </w:rPr>
        <w:t>Por medio de un escrito de fecha 29 de mayo de 1996, el Agente Fiscal del Ministerio Público presentó acusación ante el Juez de Primera Instancia Penal, Narcoactividad y Delitos contra el Ambiente de Alta Verapaz (en adelante, “Juez de Primera Instancia de Alta Verapaz”)</w:t>
      </w:r>
      <w:r w:rsidR="004777AE" w:rsidRPr="00873FEC">
        <w:rPr>
          <w:rFonts w:ascii="Verdana" w:eastAsia="Batang" w:hAnsi="Verdana" w:cs="Times New Roman"/>
          <w:sz w:val="20"/>
          <w:szCs w:val="20"/>
          <w:vertAlign w:val="superscript"/>
          <w:lang w:val="es-CR" w:eastAsia="x-none"/>
        </w:rPr>
        <w:t xml:space="preserve"> </w:t>
      </w:r>
      <w:r w:rsidR="004777AE" w:rsidRPr="00873FEC">
        <w:rPr>
          <w:rFonts w:ascii="Verdana" w:eastAsia="Batang" w:hAnsi="Verdana" w:cs="Times New Roman"/>
          <w:sz w:val="20"/>
          <w:szCs w:val="20"/>
          <w:vertAlign w:val="superscript"/>
          <w:lang w:val="en-US" w:eastAsia="x-none"/>
        </w:rPr>
        <w:footnoteReference w:id="66"/>
      </w:r>
      <w:r w:rsidRPr="00873FEC">
        <w:rPr>
          <w:rFonts w:ascii="Verdana" w:eastAsia="Batang" w:hAnsi="Verdana" w:cs="Times"/>
          <w:sz w:val="20"/>
          <w:szCs w:val="24"/>
          <w:lang w:val="es-CR" w:eastAsia="es-CR"/>
        </w:rPr>
        <w:t>.</w:t>
      </w:r>
    </w:p>
    <w:p w:rsidR="0057574C" w:rsidRPr="00873FEC" w:rsidRDefault="0057574C" w:rsidP="00126E97">
      <w:pPr>
        <w:spacing w:after="0" w:line="20" w:lineRule="atLeast"/>
        <w:ind w:right="-138"/>
        <w:jc w:val="both"/>
        <w:rPr>
          <w:rFonts w:ascii="Verdana" w:eastAsia="Batang" w:hAnsi="Verdana" w:cs="Times"/>
          <w:sz w:val="20"/>
          <w:szCs w:val="24"/>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Los días 30 y 31 de mayo de 1996 el Juez de Primera Instancia de Alta Verapaz dejó sin efecto la prisión preventiva de ocho integrantes de la patrulla militar</w:t>
      </w:r>
      <w:r w:rsidRPr="00873FEC">
        <w:rPr>
          <w:rFonts w:ascii="Verdana" w:eastAsia="Batang" w:hAnsi="Verdana" w:cs="Times New Roman"/>
          <w:sz w:val="20"/>
          <w:szCs w:val="20"/>
          <w:vertAlign w:val="superscript"/>
          <w:lang w:val="es-CR" w:eastAsia="es-CR"/>
        </w:rPr>
        <w:footnoteReference w:id="67"/>
      </w:r>
      <w:r w:rsidRPr="00873FEC">
        <w:rPr>
          <w:rFonts w:ascii="Verdana" w:eastAsia="Batang" w:hAnsi="Verdana" w:cs="Times"/>
          <w:sz w:val="20"/>
          <w:szCs w:val="20"/>
          <w:lang w:val="es-CR" w:eastAsia="es-CR"/>
        </w:rPr>
        <w:t xml:space="preserve">. </w:t>
      </w:r>
    </w:p>
    <w:p w:rsidR="0057574C" w:rsidRPr="00873FEC" w:rsidRDefault="0057574C" w:rsidP="00126E97">
      <w:pPr>
        <w:spacing w:after="0" w:line="20" w:lineRule="atLeast"/>
        <w:ind w:left="720"/>
        <w:contextualSpacing/>
        <w:rPr>
          <w:rFonts w:ascii="Calibri" w:eastAsia="Calibri" w:hAnsi="Calibri" w:cs="Times"/>
          <w:szCs w:val="20"/>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4"/>
          <w:lang w:val="es-CR" w:eastAsia="es-CR"/>
        </w:rPr>
        <w:t xml:space="preserve">El 14 de octubre de 1996 la “Sala </w:t>
      </w:r>
      <w:proofErr w:type="spellStart"/>
      <w:r w:rsidRPr="00873FEC">
        <w:rPr>
          <w:rFonts w:ascii="Verdana" w:eastAsia="Batang" w:hAnsi="Verdana" w:cs="Times"/>
          <w:sz w:val="20"/>
          <w:szCs w:val="24"/>
          <w:lang w:val="es-CR" w:eastAsia="es-CR"/>
        </w:rPr>
        <w:t>Dudodécima</w:t>
      </w:r>
      <w:proofErr w:type="spellEnd"/>
      <w:r w:rsidRPr="00873FEC">
        <w:rPr>
          <w:rFonts w:ascii="Verdana" w:eastAsia="Batang" w:hAnsi="Verdana" w:cs="Times"/>
          <w:sz w:val="20"/>
          <w:szCs w:val="24"/>
          <w:lang w:val="es-CR" w:eastAsia="es-CR"/>
        </w:rPr>
        <w:t xml:space="preserve"> de la Corte de Apelaciones revocó la libertad […] de siete miembros del [e]</w:t>
      </w:r>
      <w:proofErr w:type="spellStart"/>
      <w:r w:rsidRPr="00873FEC">
        <w:rPr>
          <w:rFonts w:ascii="Verdana" w:eastAsia="Batang" w:hAnsi="Verdana" w:cs="Times"/>
          <w:sz w:val="20"/>
          <w:szCs w:val="24"/>
          <w:lang w:val="es-CR" w:eastAsia="es-CR"/>
        </w:rPr>
        <w:t>jército</w:t>
      </w:r>
      <w:proofErr w:type="spellEnd"/>
      <w:r w:rsidRPr="00873FEC">
        <w:rPr>
          <w:rFonts w:ascii="Verdana" w:eastAsia="Batang" w:hAnsi="Verdana" w:cs="Times"/>
          <w:sz w:val="20"/>
          <w:szCs w:val="24"/>
          <w:lang w:val="es-CR" w:eastAsia="es-CR"/>
        </w:rPr>
        <w:t>”, quienes el 7 de noviembre de 1996 volvieron a ser privados de su libertad</w:t>
      </w:r>
      <w:r w:rsidRPr="00873FEC">
        <w:rPr>
          <w:rFonts w:ascii="Verdana" w:eastAsia="Batang" w:hAnsi="Verdana" w:cs="Times New Roman"/>
          <w:sz w:val="20"/>
          <w:szCs w:val="20"/>
          <w:vertAlign w:val="superscript"/>
          <w:lang w:val="en-US" w:eastAsia="x-none"/>
        </w:rPr>
        <w:footnoteReference w:id="68"/>
      </w:r>
      <w:r w:rsidRPr="00873FEC">
        <w:rPr>
          <w:rFonts w:ascii="Verdana" w:eastAsia="Batang" w:hAnsi="Verdana" w:cs="Times"/>
          <w:sz w:val="20"/>
          <w:szCs w:val="24"/>
          <w:lang w:val="es-CR" w:eastAsia="es-CR"/>
        </w:rPr>
        <w:t xml:space="preserve">. </w:t>
      </w:r>
    </w:p>
    <w:p w:rsidR="0057574C" w:rsidRPr="00873FEC" w:rsidRDefault="0057574C" w:rsidP="00126E97">
      <w:pPr>
        <w:spacing w:after="0" w:line="20" w:lineRule="atLeast"/>
        <w:ind w:left="720"/>
        <w:contextualSpacing/>
        <w:rPr>
          <w:rFonts w:ascii="Calibri" w:eastAsia="Calibri" w:hAnsi="Calibri" w:cs="Times"/>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4"/>
          <w:lang w:val="es-CR" w:eastAsia="es-CR"/>
        </w:rPr>
        <w:t>Por medio de un escrito de 12 de noviembre de 1996, la “querellante adhesiva” presentó una “adhesión” con “modificaciones” a “la acusación planteada por el ministerio público” y a la “petición de la apertura a juicio”</w:t>
      </w:r>
      <w:r w:rsidRPr="00873FEC">
        <w:rPr>
          <w:rFonts w:ascii="Verdana" w:eastAsia="Batang" w:hAnsi="Verdana" w:cs="Times New Roman"/>
          <w:sz w:val="20"/>
          <w:szCs w:val="20"/>
          <w:vertAlign w:val="superscript"/>
          <w:lang w:val="en-US" w:eastAsia="x-none"/>
        </w:rPr>
        <w:footnoteReference w:id="69"/>
      </w:r>
      <w:r w:rsidRPr="00873FEC">
        <w:rPr>
          <w:rFonts w:ascii="Verdana" w:eastAsia="Batang" w:hAnsi="Verdana" w:cs="Times"/>
          <w:sz w:val="20"/>
          <w:szCs w:val="24"/>
          <w:lang w:val="es-CR" w:eastAsia="es-CR"/>
        </w:rPr>
        <w:t>.</w:t>
      </w:r>
    </w:p>
    <w:p w:rsidR="00D108B6" w:rsidRPr="00873FEC" w:rsidRDefault="00D108B6" w:rsidP="00126E97">
      <w:pPr>
        <w:spacing w:after="0" w:line="20" w:lineRule="atLeast"/>
        <w:contextualSpacing/>
        <w:rPr>
          <w:rFonts w:ascii="Calibri" w:eastAsia="Calibri" w:hAnsi="Calibri" w:cs="Times"/>
          <w:szCs w:val="20"/>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Luego del trámite de distintos recursos</w:t>
      </w:r>
      <w:r w:rsidRPr="00873FEC">
        <w:rPr>
          <w:rFonts w:ascii="Verdana" w:eastAsia="Batang" w:hAnsi="Verdana" w:cs="Times New Roman"/>
          <w:sz w:val="20"/>
          <w:szCs w:val="20"/>
          <w:vertAlign w:val="superscript"/>
          <w:lang w:val="en-US" w:eastAsia="x-none"/>
        </w:rPr>
        <w:footnoteReference w:id="70"/>
      </w:r>
      <w:r w:rsidRPr="00873FEC">
        <w:rPr>
          <w:rFonts w:ascii="Verdana" w:eastAsia="Batang" w:hAnsi="Verdana" w:cs="Times"/>
          <w:sz w:val="20"/>
          <w:szCs w:val="20"/>
          <w:lang w:val="es-CR" w:eastAsia="es-CR"/>
        </w:rPr>
        <w:t>, el 7 de mayo de 1997 el Tribunal de Sentencia Penal, Narcoactividad y Delitos contra el Ambiente del Departamento de Alta Verapaz (en adelante, “Tribunal de Sentencia”) decretó la apertura del juicio, que fue ampliada de oficio el día 14 siguiente</w:t>
      </w:r>
      <w:r w:rsidRPr="00873FEC">
        <w:rPr>
          <w:rFonts w:ascii="Verdana" w:eastAsia="Batang" w:hAnsi="Verdana" w:cs="Times New Roman"/>
          <w:sz w:val="20"/>
          <w:szCs w:val="20"/>
          <w:vertAlign w:val="superscript"/>
          <w:lang w:val="en-US" w:eastAsia="x-none"/>
        </w:rPr>
        <w:footnoteReference w:id="71"/>
      </w:r>
      <w:r w:rsidRPr="00873FEC">
        <w:rPr>
          <w:rFonts w:ascii="Verdana" w:eastAsia="Batang" w:hAnsi="Verdana" w:cs="Times"/>
          <w:sz w:val="20"/>
          <w:szCs w:val="20"/>
          <w:lang w:val="es-CR" w:eastAsia="es-CR"/>
        </w:rPr>
        <w:t>.</w:t>
      </w:r>
    </w:p>
    <w:p w:rsidR="0057574C" w:rsidRPr="00873FEC" w:rsidRDefault="0057574C" w:rsidP="00126E97">
      <w:pPr>
        <w:spacing w:after="0" w:line="20" w:lineRule="atLeast"/>
        <w:ind w:left="720"/>
        <w:contextualSpacing/>
        <w:rPr>
          <w:rFonts w:ascii="Calibri" w:eastAsia="Calibri" w:hAnsi="Calibri" w:cs="Times"/>
          <w:szCs w:val="20"/>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Entre el 19 de mayo y el 20 de noviembre de 1997 se presentaron diversos recursos y se adoptaron diversas decisiones</w:t>
      </w:r>
      <w:r w:rsidRPr="00873FEC">
        <w:rPr>
          <w:rFonts w:ascii="Verdana" w:eastAsia="Batang" w:hAnsi="Verdana" w:cs="Times New Roman"/>
          <w:sz w:val="20"/>
          <w:szCs w:val="20"/>
          <w:vertAlign w:val="superscript"/>
          <w:lang w:val="en-US" w:eastAsia="x-none"/>
        </w:rPr>
        <w:footnoteReference w:id="72"/>
      </w:r>
      <w:r w:rsidRPr="00873FEC">
        <w:rPr>
          <w:rFonts w:ascii="Verdana" w:eastAsia="Batang" w:hAnsi="Verdana" w:cs="Times"/>
          <w:sz w:val="20"/>
          <w:szCs w:val="20"/>
          <w:lang w:val="es-CR" w:eastAsia="es-CR"/>
        </w:rPr>
        <w:t xml:space="preserve">. </w:t>
      </w:r>
    </w:p>
    <w:p w:rsidR="0057574C" w:rsidRPr="00873FEC" w:rsidRDefault="0057574C" w:rsidP="00126E97">
      <w:pPr>
        <w:spacing w:after="0" w:line="20" w:lineRule="atLeast"/>
        <w:ind w:left="720"/>
        <w:contextualSpacing/>
        <w:rPr>
          <w:rFonts w:ascii="Calibri" w:eastAsia="Calibri" w:hAnsi="Calibri" w:cs="Times"/>
          <w:szCs w:val="20"/>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lastRenderedPageBreak/>
        <w:t>De acuerdo a información que la Comisión Interamericana manifestó haber recibido, a finales de 1997 el expediente judicial se extravió por un tiempo aproximado de dos meses, luego de los cuales fue encontrado</w:t>
      </w:r>
      <w:r w:rsidR="00E64872" w:rsidRPr="00873FEC">
        <w:rPr>
          <w:rStyle w:val="FootnoteReference"/>
          <w:rFonts w:ascii="Verdana" w:eastAsia="Batang" w:hAnsi="Verdana"/>
          <w:sz w:val="20"/>
          <w:lang w:val="es-CR" w:eastAsia="es-CR"/>
        </w:rPr>
        <w:footnoteReference w:id="73"/>
      </w:r>
      <w:r w:rsidRPr="00873FEC">
        <w:rPr>
          <w:rFonts w:ascii="Verdana" w:eastAsia="Batang" w:hAnsi="Verdana" w:cs="Times"/>
          <w:sz w:val="20"/>
          <w:szCs w:val="20"/>
          <w:lang w:val="es-CR" w:eastAsia="es-CR"/>
        </w:rPr>
        <w:t>.</w:t>
      </w:r>
      <w:r w:rsidRPr="00873FEC">
        <w:rPr>
          <w:rFonts w:ascii="Verdana" w:eastAsia="Batang" w:hAnsi="Verdana" w:cs="Times"/>
          <w:bCs/>
          <w:color w:val="000000"/>
          <w:sz w:val="20"/>
          <w:szCs w:val="20"/>
          <w:lang w:val="es-CR" w:eastAsia="es-CR"/>
        </w:rPr>
        <w:t xml:space="preserve"> </w:t>
      </w:r>
    </w:p>
    <w:p w:rsidR="0057574C" w:rsidRPr="00873FEC" w:rsidRDefault="0057574C" w:rsidP="00126E97">
      <w:pPr>
        <w:spacing w:after="0" w:line="20" w:lineRule="atLeast"/>
        <w:ind w:left="720"/>
        <w:contextualSpacing/>
        <w:rPr>
          <w:rFonts w:ascii="Calibri" w:eastAsia="Calibri" w:hAnsi="Calibri" w:cs="Times"/>
          <w:szCs w:val="20"/>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bCs/>
          <w:sz w:val="20"/>
          <w:szCs w:val="20"/>
          <w:lang w:val="es-CR" w:eastAsia="es-CR"/>
        </w:rPr>
        <w:t>El 17 de marzo de 1998 un abogado de la Fundación Rigoberta Menchú (peticionaria en el caso) presentó un escrito ante el Procurador de los Derechos Humanos señalando que el 6 del mismo mes, mientras el primero se dirigía a su residencia conduciendo un automóvil, acompañado de una abogada de la misma Fundación, fue perseguido e interceptado por otro vehículo, y que luego de diversas maniobras pudo perderlo. Indicó también que</w:t>
      </w:r>
      <w:r w:rsidR="00682A5B">
        <w:rPr>
          <w:rFonts w:ascii="Verdana" w:eastAsia="Batang" w:hAnsi="Verdana" w:cs="Times"/>
          <w:bCs/>
          <w:sz w:val="20"/>
          <w:szCs w:val="20"/>
          <w:lang w:val="es-CR" w:eastAsia="es-CR"/>
        </w:rPr>
        <w:t>,</w:t>
      </w:r>
      <w:r w:rsidRPr="00873FEC">
        <w:rPr>
          <w:rFonts w:ascii="Verdana" w:eastAsia="Batang" w:hAnsi="Verdana" w:cs="Times"/>
          <w:bCs/>
          <w:sz w:val="20"/>
          <w:szCs w:val="20"/>
          <w:lang w:val="es-CR" w:eastAsia="es-CR"/>
        </w:rPr>
        <w:t xml:space="preserve"> al día siguiente</w:t>
      </w:r>
      <w:r w:rsidR="00682A5B">
        <w:rPr>
          <w:rFonts w:ascii="Verdana" w:eastAsia="Batang" w:hAnsi="Verdana" w:cs="Times"/>
          <w:bCs/>
          <w:sz w:val="20"/>
          <w:szCs w:val="20"/>
          <w:lang w:val="es-CR" w:eastAsia="es-CR"/>
        </w:rPr>
        <w:t>,</w:t>
      </w:r>
      <w:r w:rsidRPr="00873FEC">
        <w:rPr>
          <w:rFonts w:ascii="Verdana" w:eastAsia="Batang" w:hAnsi="Verdana" w:cs="Times"/>
          <w:bCs/>
          <w:sz w:val="20"/>
          <w:szCs w:val="20"/>
          <w:lang w:val="es-CR" w:eastAsia="es-CR"/>
        </w:rPr>
        <w:t xml:space="preserve"> notó que el mecanismo de freno de su automóvil había sido dañado</w:t>
      </w:r>
      <w:r w:rsidRPr="00873FEC">
        <w:rPr>
          <w:rFonts w:ascii="Verdana" w:eastAsia="Batang" w:hAnsi="Verdana" w:cs="Times New Roman"/>
          <w:sz w:val="20"/>
          <w:szCs w:val="20"/>
          <w:vertAlign w:val="superscript"/>
          <w:lang w:val="en-US" w:eastAsia="x-none"/>
        </w:rPr>
        <w:footnoteReference w:id="74"/>
      </w:r>
      <w:r w:rsidRPr="00873FEC">
        <w:rPr>
          <w:rFonts w:ascii="Verdana" w:eastAsia="Batang" w:hAnsi="Verdana" w:cs="Times"/>
          <w:bCs/>
          <w:sz w:val="20"/>
          <w:szCs w:val="20"/>
          <w:lang w:val="es-CR" w:eastAsia="es-CR"/>
        </w:rPr>
        <w:t>. El 23 de marzo de 1998, los peticionarios informaron a la Comisión que la abogada y el abogado habían sido objeto de “actos de hostigamiento” e “intimidación”</w:t>
      </w:r>
      <w:r w:rsidRPr="00873FEC">
        <w:rPr>
          <w:rFonts w:ascii="Verdana" w:eastAsia="Batang" w:hAnsi="Verdana" w:cs="Times New Roman"/>
          <w:sz w:val="20"/>
          <w:szCs w:val="20"/>
          <w:vertAlign w:val="superscript"/>
          <w:lang w:val="es-EC" w:eastAsia="x-none"/>
        </w:rPr>
        <w:footnoteReference w:id="75"/>
      </w:r>
      <w:r w:rsidRPr="00873FEC">
        <w:rPr>
          <w:rFonts w:ascii="Verdana" w:eastAsia="Batang" w:hAnsi="Verdana" w:cs="Times"/>
          <w:bCs/>
          <w:sz w:val="20"/>
          <w:szCs w:val="20"/>
          <w:lang w:val="es-CR" w:eastAsia="es-CR"/>
        </w:rPr>
        <w:t>.</w:t>
      </w:r>
    </w:p>
    <w:p w:rsidR="0057574C" w:rsidRPr="00873FEC" w:rsidRDefault="0057574C" w:rsidP="00126E97">
      <w:pPr>
        <w:spacing w:after="0" w:line="20" w:lineRule="atLeast"/>
        <w:ind w:left="720"/>
        <w:contextualSpacing/>
        <w:rPr>
          <w:rFonts w:ascii="Calibri" w:eastAsia="Calibri" w:hAnsi="Calibri" w:cs="Times"/>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4"/>
          <w:lang w:val="es-CR" w:eastAsia="es-CR"/>
        </w:rPr>
        <w:t>El 6 de abril de 1998 el Tribunal de Sentencia aceptó y rechazó prueba ofrecida por las partes</w:t>
      </w:r>
      <w:r w:rsidRPr="00873FEC">
        <w:rPr>
          <w:rFonts w:ascii="Verdana" w:eastAsia="Batang" w:hAnsi="Verdana" w:cs="Times New Roman"/>
          <w:sz w:val="20"/>
          <w:szCs w:val="20"/>
          <w:vertAlign w:val="superscript"/>
          <w:lang w:val="en-US" w:eastAsia="x-none"/>
        </w:rPr>
        <w:footnoteReference w:id="76"/>
      </w:r>
      <w:r w:rsidRPr="00873FEC">
        <w:rPr>
          <w:rFonts w:ascii="Verdana" w:eastAsia="Batang" w:hAnsi="Verdana" w:cs="Times"/>
          <w:sz w:val="20"/>
          <w:szCs w:val="24"/>
          <w:lang w:val="es-CR" w:eastAsia="es-CR"/>
        </w:rPr>
        <w:t>; asimismo, fijó el inicio del debate en el caso</w:t>
      </w:r>
      <w:r w:rsidRPr="00873FEC">
        <w:rPr>
          <w:rFonts w:ascii="Verdana" w:eastAsia="Batang" w:hAnsi="Verdana" w:cs="Times New Roman"/>
          <w:sz w:val="20"/>
          <w:szCs w:val="20"/>
          <w:vertAlign w:val="superscript"/>
          <w:lang w:val="en-US" w:eastAsia="x-none"/>
        </w:rPr>
        <w:footnoteReference w:id="77"/>
      </w:r>
      <w:r w:rsidRPr="00873FEC">
        <w:rPr>
          <w:rFonts w:ascii="Verdana" w:eastAsia="Batang" w:hAnsi="Verdana" w:cs="Times"/>
          <w:sz w:val="20"/>
          <w:szCs w:val="24"/>
          <w:lang w:val="es-CR" w:eastAsia="es-CR"/>
        </w:rPr>
        <w:t>. El Fiscal, la “querellante adhesiva” y los defensores presentaron “recurso[s] de reposición”, que fueron resueltos el 16 de abril de 1998, aceptándose e incorporándose al trámite más prueba ofrecida por las partes</w:t>
      </w:r>
      <w:r w:rsidRPr="00873FEC">
        <w:rPr>
          <w:rFonts w:ascii="Verdana" w:eastAsia="Batang" w:hAnsi="Verdana" w:cs="Times New Roman"/>
          <w:sz w:val="20"/>
          <w:szCs w:val="20"/>
          <w:vertAlign w:val="superscript"/>
          <w:lang w:val="en-US" w:eastAsia="x-none"/>
        </w:rPr>
        <w:footnoteReference w:id="78"/>
      </w:r>
      <w:r w:rsidRPr="00873FEC">
        <w:rPr>
          <w:rFonts w:ascii="Verdana" w:eastAsia="Batang" w:hAnsi="Verdana" w:cs="Times"/>
          <w:sz w:val="20"/>
          <w:szCs w:val="24"/>
          <w:lang w:val="es-CR" w:eastAsia="es-CR"/>
        </w:rPr>
        <w:t xml:space="preserve">. </w:t>
      </w:r>
    </w:p>
    <w:p w:rsidR="0057574C" w:rsidRPr="00873FEC" w:rsidRDefault="0057574C" w:rsidP="00126E97">
      <w:pPr>
        <w:spacing w:after="0" w:line="20" w:lineRule="atLeast"/>
        <w:ind w:right="-138"/>
        <w:jc w:val="both"/>
        <w:rPr>
          <w:rFonts w:ascii="Verdana" w:eastAsia="Batang" w:hAnsi="Verdana" w:cs="Times"/>
          <w:sz w:val="20"/>
          <w:szCs w:val="24"/>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4"/>
          <w:lang w:val="es-CR" w:eastAsia="es-CR"/>
        </w:rPr>
        <w:t xml:space="preserve">El 20 de abril de 1998 Rigoberta Menchú </w:t>
      </w:r>
      <w:proofErr w:type="spellStart"/>
      <w:r w:rsidRPr="00873FEC">
        <w:rPr>
          <w:rFonts w:ascii="Verdana" w:eastAsia="Batang" w:hAnsi="Verdana" w:cs="Times"/>
          <w:sz w:val="20"/>
          <w:szCs w:val="24"/>
          <w:lang w:val="es-CR" w:eastAsia="es-CR"/>
        </w:rPr>
        <w:t>Tum</w:t>
      </w:r>
      <w:proofErr w:type="spellEnd"/>
      <w:r w:rsidRPr="00873FEC">
        <w:rPr>
          <w:rFonts w:ascii="Verdana" w:eastAsia="Batang" w:hAnsi="Verdana" w:cs="Times"/>
          <w:sz w:val="20"/>
          <w:szCs w:val="24"/>
          <w:lang w:val="es-CR" w:eastAsia="es-CR"/>
        </w:rPr>
        <w:t>, a través de una abogada, “</w:t>
      </w:r>
      <w:proofErr w:type="spellStart"/>
      <w:r w:rsidRPr="00873FEC">
        <w:rPr>
          <w:rFonts w:ascii="Verdana" w:eastAsia="Batang" w:hAnsi="Verdana" w:cs="Times"/>
          <w:sz w:val="20"/>
          <w:szCs w:val="24"/>
          <w:lang w:val="es-CR" w:eastAsia="es-CR"/>
        </w:rPr>
        <w:t>interpus</w:t>
      </w:r>
      <w:proofErr w:type="spellEnd"/>
      <w:r w:rsidRPr="00873FEC">
        <w:rPr>
          <w:rFonts w:ascii="Verdana" w:eastAsia="Batang" w:hAnsi="Verdana" w:cs="Times"/>
          <w:sz w:val="20"/>
          <w:szCs w:val="24"/>
          <w:lang w:val="es-CR" w:eastAsia="es-CR"/>
        </w:rPr>
        <w:t>[o]” un “recurso de amparo” contra la resolución de 16 de abril de 1998</w:t>
      </w:r>
      <w:r w:rsidRPr="00873FEC">
        <w:rPr>
          <w:rFonts w:ascii="Verdana" w:eastAsia="Batang" w:hAnsi="Verdana" w:cs="Times New Roman"/>
          <w:sz w:val="20"/>
          <w:szCs w:val="20"/>
          <w:vertAlign w:val="superscript"/>
          <w:lang w:val="en-US" w:eastAsia="x-none"/>
        </w:rPr>
        <w:footnoteReference w:id="79"/>
      </w:r>
      <w:r w:rsidRPr="00873FEC">
        <w:rPr>
          <w:rFonts w:ascii="Verdana" w:eastAsia="Batang" w:hAnsi="Verdana" w:cs="Times"/>
          <w:sz w:val="20"/>
          <w:szCs w:val="24"/>
          <w:lang w:val="es-CR" w:eastAsia="es-CR"/>
        </w:rPr>
        <w:t>. El mismo día el recurso fue “</w:t>
      </w:r>
      <w:proofErr w:type="spellStart"/>
      <w:proofErr w:type="gramStart"/>
      <w:r w:rsidRPr="00873FEC">
        <w:rPr>
          <w:rFonts w:ascii="Verdana" w:eastAsia="Batang" w:hAnsi="Verdana" w:cs="Times"/>
          <w:sz w:val="20"/>
          <w:szCs w:val="24"/>
          <w:lang w:val="es-CR" w:eastAsia="es-CR"/>
        </w:rPr>
        <w:t>admit</w:t>
      </w:r>
      <w:proofErr w:type="spellEnd"/>
      <w:r w:rsidRPr="00873FEC">
        <w:rPr>
          <w:rFonts w:ascii="Verdana" w:eastAsia="Batang" w:hAnsi="Verdana" w:cs="Times"/>
          <w:sz w:val="20"/>
          <w:szCs w:val="24"/>
          <w:lang w:val="es-CR" w:eastAsia="es-CR"/>
        </w:rPr>
        <w:t>[</w:t>
      </w:r>
      <w:proofErr w:type="gramEnd"/>
      <w:r w:rsidRPr="00873FEC">
        <w:rPr>
          <w:rFonts w:ascii="Verdana" w:eastAsia="Batang" w:hAnsi="Verdana" w:cs="Times"/>
          <w:sz w:val="20"/>
          <w:szCs w:val="24"/>
          <w:lang w:val="es-CR" w:eastAsia="es-CR"/>
        </w:rPr>
        <w:t>ido] para su trámite” y “no otorga[do]” por la Sala Duodécima de la Corte de Apelaciones Constituida en Tribunal de Amparo</w:t>
      </w:r>
      <w:r w:rsidRPr="00873FEC">
        <w:rPr>
          <w:rFonts w:ascii="Verdana" w:eastAsia="Batang" w:hAnsi="Verdana" w:cs="Times New Roman"/>
          <w:sz w:val="20"/>
          <w:szCs w:val="20"/>
          <w:vertAlign w:val="superscript"/>
          <w:lang w:val="en-US" w:eastAsia="x-none"/>
        </w:rPr>
        <w:footnoteReference w:id="80"/>
      </w:r>
      <w:r w:rsidRPr="00873FEC">
        <w:rPr>
          <w:rFonts w:ascii="Verdana" w:eastAsia="Batang" w:hAnsi="Verdana" w:cs="Times"/>
          <w:sz w:val="20"/>
          <w:szCs w:val="24"/>
          <w:lang w:val="es-CR" w:eastAsia="es-CR"/>
        </w:rPr>
        <w:t>, decisión que fue ratificada por la Corte de Constitucionalidad el 22 de abril de 1998</w:t>
      </w:r>
      <w:r w:rsidRPr="00873FEC">
        <w:rPr>
          <w:rFonts w:ascii="Verdana" w:eastAsia="Batang" w:hAnsi="Verdana" w:cs="Times New Roman"/>
          <w:sz w:val="20"/>
          <w:szCs w:val="20"/>
          <w:vertAlign w:val="superscript"/>
          <w:lang w:val="en-US" w:eastAsia="x-none"/>
        </w:rPr>
        <w:footnoteReference w:id="81"/>
      </w:r>
      <w:r w:rsidRPr="00873FEC">
        <w:rPr>
          <w:rFonts w:ascii="Verdana" w:eastAsia="Batang" w:hAnsi="Verdana" w:cs="Times"/>
          <w:sz w:val="20"/>
          <w:szCs w:val="24"/>
          <w:lang w:val="es-CR" w:eastAsia="es-CR"/>
        </w:rPr>
        <w:t xml:space="preserve">. </w:t>
      </w:r>
    </w:p>
    <w:p w:rsidR="0057574C" w:rsidRPr="00873FEC" w:rsidRDefault="0057574C" w:rsidP="00126E97">
      <w:pPr>
        <w:spacing w:after="0" w:line="20" w:lineRule="atLeast"/>
        <w:ind w:left="720"/>
        <w:contextualSpacing/>
        <w:rPr>
          <w:rFonts w:ascii="Calibri" w:eastAsia="Calibri" w:hAnsi="Calibri" w:cs="Times"/>
          <w:szCs w:val="20"/>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La audiencia pública, ante el Tribunal de Sentencia, se inició el 21 de abril de 1998</w:t>
      </w:r>
      <w:r w:rsidRPr="00873FEC">
        <w:rPr>
          <w:rFonts w:ascii="Verdana" w:eastAsia="Batang" w:hAnsi="Verdana" w:cs="Times New Roman"/>
          <w:sz w:val="20"/>
          <w:szCs w:val="20"/>
          <w:vertAlign w:val="superscript"/>
          <w:lang w:val="en-US" w:eastAsia="x-none"/>
        </w:rPr>
        <w:footnoteReference w:id="82"/>
      </w:r>
      <w:r w:rsidRPr="00873FEC">
        <w:rPr>
          <w:rFonts w:ascii="Verdana" w:eastAsia="Batang" w:hAnsi="Verdana" w:cs="Times"/>
          <w:sz w:val="20"/>
          <w:szCs w:val="20"/>
          <w:lang w:val="es-CR" w:eastAsia="es-CR"/>
        </w:rPr>
        <w:t>, luego de diversas gestiones, trámites y presentaciones</w:t>
      </w:r>
      <w:r w:rsidRPr="00873FEC">
        <w:rPr>
          <w:rFonts w:ascii="Verdana" w:eastAsia="Batang" w:hAnsi="Verdana" w:cs="Times New Roman"/>
          <w:sz w:val="20"/>
          <w:szCs w:val="20"/>
          <w:vertAlign w:val="superscript"/>
          <w:lang w:val="en-US" w:eastAsia="x-none"/>
        </w:rPr>
        <w:footnoteReference w:id="83"/>
      </w:r>
      <w:r w:rsidRPr="00873FEC">
        <w:rPr>
          <w:rFonts w:ascii="Verdana" w:eastAsia="Batang" w:hAnsi="Verdana" w:cs="Times"/>
          <w:sz w:val="20"/>
          <w:szCs w:val="20"/>
          <w:lang w:val="es-CR" w:eastAsia="es-CR"/>
        </w:rPr>
        <w:t xml:space="preserve">. </w:t>
      </w:r>
    </w:p>
    <w:p w:rsidR="0057574C" w:rsidRPr="00873FEC" w:rsidRDefault="0057574C" w:rsidP="00126E97">
      <w:pPr>
        <w:spacing w:after="0" w:line="20" w:lineRule="atLeast"/>
        <w:ind w:left="720"/>
        <w:contextualSpacing/>
        <w:rPr>
          <w:rFonts w:ascii="Calibri" w:eastAsia="Calibri" w:hAnsi="Calibri" w:cs="Times"/>
          <w:szCs w:val="20"/>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0"/>
          <w:lang w:val="es-EC" w:eastAsia="es-CR"/>
        </w:rPr>
      </w:pPr>
      <w:r w:rsidRPr="00873FEC">
        <w:rPr>
          <w:rFonts w:ascii="Verdana" w:eastAsia="Batang" w:hAnsi="Verdana" w:cs="Times"/>
          <w:sz w:val="20"/>
          <w:szCs w:val="20"/>
          <w:lang w:val="es-CR" w:eastAsia="es-CR"/>
        </w:rPr>
        <w:t xml:space="preserve">De acuerdo </w:t>
      </w:r>
      <w:r w:rsidR="00682A5B">
        <w:rPr>
          <w:rFonts w:ascii="Verdana" w:eastAsia="Batang" w:hAnsi="Verdana" w:cs="Times"/>
          <w:sz w:val="20"/>
          <w:szCs w:val="20"/>
          <w:lang w:val="es-CR" w:eastAsia="es-CR"/>
        </w:rPr>
        <w:t xml:space="preserve">con </w:t>
      </w:r>
      <w:r w:rsidRPr="00873FEC">
        <w:rPr>
          <w:rFonts w:ascii="Verdana" w:eastAsia="Batang" w:hAnsi="Verdana" w:cs="Times"/>
          <w:sz w:val="20"/>
          <w:szCs w:val="20"/>
          <w:lang w:val="es-CR" w:eastAsia="es-CR"/>
        </w:rPr>
        <w:t xml:space="preserve">información presentada a la Comisión </w:t>
      </w:r>
      <w:r w:rsidR="00682A5B">
        <w:rPr>
          <w:rFonts w:ascii="Verdana" w:eastAsia="Batang" w:hAnsi="Verdana" w:cs="Times"/>
          <w:sz w:val="20"/>
          <w:szCs w:val="20"/>
          <w:lang w:val="es-CR" w:eastAsia="es-CR"/>
        </w:rPr>
        <w:t>e</w:t>
      </w:r>
      <w:r w:rsidRPr="00873FEC">
        <w:rPr>
          <w:rFonts w:ascii="Verdana" w:eastAsia="Batang" w:hAnsi="Verdana" w:cs="Times"/>
          <w:sz w:val="20"/>
          <w:szCs w:val="20"/>
          <w:lang w:val="es-CR" w:eastAsia="es-CR"/>
        </w:rPr>
        <w:t>l sexto día de debate la “querellante adhesiva”, aduciendo “parcialidad manifiesta”, recusó al Tribunal de Sentencia. El debate fue suspendido al día siguiente, a partir de otro incidente, planteado por el Ministerio Público. La recusación fue declarada “sin lugar”, y luego una jueza del Tribunal de Sentencia se excusó de seguir conociendo el caso, por haberse dudado de su imparcialidad. Su excusa fue rechazada por quien presidía el Tribunal de Sentencia. Esto motivó que el 8 de junio de 1998 la “querellante adhesiva” presentara una nueva recusación del Tribunal de Sentencia, por entender que</w:t>
      </w:r>
      <w:r w:rsidR="00682A5B">
        <w:rPr>
          <w:rFonts w:ascii="Verdana" w:eastAsia="Batang" w:hAnsi="Verdana" w:cs="Times"/>
          <w:sz w:val="20"/>
          <w:szCs w:val="20"/>
          <w:lang w:val="es-CR" w:eastAsia="es-CR"/>
        </w:rPr>
        <w:t>,</w:t>
      </w:r>
      <w:r w:rsidRPr="00873FEC">
        <w:rPr>
          <w:rFonts w:ascii="Verdana" w:eastAsia="Batang" w:hAnsi="Verdana" w:cs="Times"/>
          <w:sz w:val="20"/>
          <w:szCs w:val="20"/>
          <w:lang w:val="es-CR" w:eastAsia="es-CR"/>
        </w:rPr>
        <w:t xml:space="preserve"> a partir de los fundamentos de la excusa referida</w:t>
      </w:r>
      <w:r w:rsidR="00682A5B">
        <w:rPr>
          <w:rFonts w:ascii="Verdana" w:eastAsia="Batang" w:hAnsi="Verdana" w:cs="Times"/>
          <w:sz w:val="20"/>
          <w:szCs w:val="20"/>
          <w:lang w:val="es-CR" w:eastAsia="es-CR"/>
        </w:rPr>
        <w:t>,</w:t>
      </w:r>
      <w:r w:rsidRPr="00873FEC">
        <w:rPr>
          <w:rFonts w:ascii="Verdana" w:eastAsia="Batang" w:hAnsi="Verdana" w:cs="Times"/>
          <w:sz w:val="20"/>
          <w:szCs w:val="20"/>
          <w:lang w:val="es-CR" w:eastAsia="es-CR"/>
        </w:rPr>
        <w:t xml:space="preserve"> se evidenciaba una “enemistad manifiesta”</w:t>
      </w:r>
      <w:r w:rsidR="00FB5ADE" w:rsidRPr="00873FEC">
        <w:rPr>
          <w:rFonts w:ascii="Verdana" w:eastAsia="Batang" w:hAnsi="Verdana" w:cs="Times"/>
          <w:sz w:val="20"/>
          <w:szCs w:val="20"/>
          <w:lang w:val="es-CR" w:eastAsia="es-CR"/>
        </w:rPr>
        <w:t>.</w:t>
      </w:r>
      <w:r w:rsidRPr="00873FEC">
        <w:rPr>
          <w:rFonts w:ascii="Verdana" w:eastAsia="Batang" w:hAnsi="Verdana" w:cs="Times New Roman"/>
          <w:sz w:val="20"/>
          <w:szCs w:val="20"/>
          <w:vertAlign w:val="superscript"/>
          <w:lang w:val="es-EC" w:eastAsia="x-none"/>
        </w:rPr>
        <w:footnoteReference w:id="84"/>
      </w:r>
      <w:r w:rsidRPr="00873FEC">
        <w:rPr>
          <w:rFonts w:ascii="Verdana" w:eastAsia="Batang" w:hAnsi="Verdana" w:cs="Times"/>
          <w:sz w:val="20"/>
          <w:szCs w:val="20"/>
          <w:lang w:val="es-CR" w:eastAsia="es-CR"/>
        </w:rPr>
        <w:t xml:space="preserve"> No consta cómo fue resuelta la segunda recusación señalada</w:t>
      </w:r>
      <w:r w:rsidRPr="00873FEC">
        <w:rPr>
          <w:rFonts w:ascii="Verdana" w:eastAsia="Batang" w:hAnsi="Verdana" w:cs="Times New Roman"/>
          <w:sz w:val="20"/>
          <w:szCs w:val="20"/>
          <w:vertAlign w:val="superscript"/>
          <w:lang w:val="es-CR" w:eastAsia="x-none"/>
        </w:rPr>
        <w:footnoteReference w:id="85"/>
      </w:r>
      <w:r w:rsidRPr="00873FEC">
        <w:rPr>
          <w:rFonts w:ascii="Verdana" w:eastAsia="Batang" w:hAnsi="Verdana" w:cs="Times"/>
          <w:sz w:val="20"/>
          <w:szCs w:val="20"/>
          <w:lang w:val="es-CR" w:eastAsia="es-CR"/>
        </w:rPr>
        <w:t xml:space="preserve">, </w:t>
      </w:r>
      <w:r w:rsidR="00682A5B">
        <w:rPr>
          <w:rFonts w:ascii="Verdana" w:eastAsia="Batang" w:hAnsi="Verdana" w:cs="Times"/>
          <w:sz w:val="20"/>
          <w:szCs w:val="20"/>
          <w:lang w:val="es-CR" w:eastAsia="es-CR"/>
        </w:rPr>
        <w:t>pero</w:t>
      </w:r>
      <w:r w:rsidRPr="00873FEC">
        <w:rPr>
          <w:rFonts w:ascii="Verdana" w:eastAsia="Batang" w:hAnsi="Verdana" w:cs="Times"/>
          <w:sz w:val="20"/>
          <w:szCs w:val="20"/>
          <w:lang w:val="es-CR" w:eastAsia="es-CR"/>
        </w:rPr>
        <w:t xml:space="preserve"> sí la continuidad del proceso y la reanudación del debate público, conforme se expone más adelante (</w:t>
      </w:r>
      <w:r w:rsidRPr="00873FEC">
        <w:rPr>
          <w:rFonts w:ascii="Verdana" w:eastAsia="Batang" w:hAnsi="Verdana" w:cs="Times"/>
          <w:i/>
          <w:sz w:val="20"/>
          <w:szCs w:val="20"/>
          <w:lang w:val="es-CR" w:eastAsia="es-CR"/>
        </w:rPr>
        <w:t>infra</w:t>
      </w:r>
      <w:r w:rsidRPr="00873FEC">
        <w:rPr>
          <w:rFonts w:ascii="Verdana" w:eastAsia="Batang" w:hAnsi="Verdana" w:cs="Times"/>
          <w:sz w:val="20"/>
          <w:szCs w:val="20"/>
          <w:lang w:val="es-CR" w:eastAsia="es-CR"/>
        </w:rPr>
        <w:t xml:space="preserve"> párr. 57). </w:t>
      </w:r>
    </w:p>
    <w:p w:rsidR="0057574C" w:rsidRPr="00873FEC" w:rsidRDefault="0057574C" w:rsidP="00126E97">
      <w:pPr>
        <w:spacing w:after="0" w:line="20" w:lineRule="atLeast"/>
        <w:ind w:right="-138"/>
        <w:jc w:val="both"/>
        <w:rPr>
          <w:rFonts w:ascii="Verdana" w:eastAsia="Batang" w:hAnsi="Verdana" w:cs="Times"/>
          <w:sz w:val="20"/>
          <w:szCs w:val="20"/>
          <w:lang w:val="es-EC"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EC" w:eastAsia="es-CR"/>
        </w:rPr>
        <w:t>El 7 de septiembre de 1998 los peticionarios informaron a la Comisión que tenían conocimiento que “una [m]</w:t>
      </w:r>
      <w:proofErr w:type="spellStart"/>
      <w:r w:rsidRPr="00873FEC">
        <w:rPr>
          <w:rFonts w:ascii="Verdana" w:eastAsia="Batang" w:hAnsi="Verdana" w:cs="Times"/>
          <w:sz w:val="20"/>
          <w:szCs w:val="20"/>
          <w:lang w:val="es-EC" w:eastAsia="es-CR"/>
        </w:rPr>
        <w:t>agistrada</w:t>
      </w:r>
      <w:proofErr w:type="spellEnd"/>
      <w:r w:rsidRPr="00873FEC">
        <w:rPr>
          <w:rFonts w:ascii="Verdana" w:eastAsia="Batang" w:hAnsi="Verdana" w:cs="Times"/>
          <w:sz w:val="20"/>
          <w:szCs w:val="20"/>
          <w:lang w:val="es-EC" w:eastAsia="es-CR"/>
        </w:rPr>
        <w:t xml:space="preserve"> del Tribunal [….] que t[</w:t>
      </w:r>
      <w:proofErr w:type="spellStart"/>
      <w:r w:rsidRPr="00873FEC">
        <w:rPr>
          <w:rFonts w:ascii="Verdana" w:eastAsia="Batang" w:hAnsi="Verdana" w:cs="Times"/>
          <w:sz w:val="20"/>
          <w:szCs w:val="20"/>
          <w:lang w:val="es-EC" w:eastAsia="es-CR"/>
        </w:rPr>
        <w:t>enía</w:t>
      </w:r>
      <w:proofErr w:type="spellEnd"/>
      <w:r w:rsidRPr="00873FEC">
        <w:rPr>
          <w:rFonts w:ascii="Verdana" w:eastAsia="Batang" w:hAnsi="Verdana" w:cs="Times"/>
          <w:sz w:val="20"/>
          <w:szCs w:val="20"/>
          <w:lang w:val="es-EC" w:eastAsia="es-CR"/>
        </w:rPr>
        <w:t xml:space="preserve">] el caso conocido como ‘Caso </w:t>
      </w:r>
      <w:proofErr w:type="spellStart"/>
      <w:r w:rsidRPr="00873FEC">
        <w:rPr>
          <w:rFonts w:ascii="Verdana" w:eastAsia="Batang" w:hAnsi="Verdana" w:cs="Times"/>
          <w:sz w:val="20"/>
          <w:szCs w:val="20"/>
          <w:lang w:val="es-EC" w:eastAsia="es-CR"/>
        </w:rPr>
        <w:t>Xamán</w:t>
      </w:r>
      <w:proofErr w:type="spellEnd"/>
      <w:r w:rsidRPr="00873FEC">
        <w:rPr>
          <w:rFonts w:ascii="Verdana" w:eastAsia="Batang" w:hAnsi="Verdana" w:cs="Times"/>
          <w:sz w:val="20"/>
          <w:szCs w:val="20"/>
          <w:lang w:val="es-EC" w:eastAsia="es-CR"/>
        </w:rPr>
        <w:t>’, esta[</w:t>
      </w:r>
      <w:proofErr w:type="spellStart"/>
      <w:r w:rsidRPr="00873FEC">
        <w:rPr>
          <w:rFonts w:ascii="Verdana" w:eastAsia="Batang" w:hAnsi="Verdana" w:cs="Times"/>
          <w:sz w:val="20"/>
          <w:szCs w:val="20"/>
          <w:lang w:val="es-EC" w:eastAsia="es-CR"/>
        </w:rPr>
        <w:t>ba</w:t>
      </w:r>
      <w:proofErr w:type="spellEnd"/>
      <w:r w:rsidRPr="00873FEC">
        <w:rPr>
          <w:rFonts w:ascii="Verdana" w:eastAsia="Batang" w:hAnsi="Verdana" w:cs="Times"/>
          <w:sz w:val="20"/>
          <w:szCs w:val="20"/>
          <w:lang w:val="es-EC" w:eastAsia="es-CR"/>
        </w:rPr>
        <w:t>] siendo extorsionada y amenazada”; señalaron también que “la Jueza Vocal que integraba el Tribunal” había sido trasladada y se había nombrado un “juez suplente” en su lugar</w:t>
      </w:r>
      <w:r w:rsidRPr="00873FEC">
        <w:rPr>
          <w:rFonts w:ascii="Verdana" w:eastAsia="Batang" w:hAnsi="Verdana" w:cs="Times New Roman"/>
          <w:sz w:val="20"/>
          <w:szCs w:val="20"/>
          <w:vertAlign w:val="superscript"/>
          <w:lang w:val="es-EC" w:eastAsia="x-none"/>
        </w:rPr>
        <w:footnoteReference w:id="86"/>
      </w:r>
      <w:r w:rsidRPr="00873FEC">
        <w:rPr>
          <w:rFonts w:ascii="Verdana" w:eastAsia="Batang" w:hAnsi="Verdana" w:cs="Times"/>
          <w:sz w:val="20"/>
          <w:szCs w:val="20"/>
          <w:lang w:val="es-EC" w:eastAsia="es-CR"/>
        </w:rPr>
        <w:t xml:space="preserve">. </w:t>
      </w:r>
    </w:p>
    <w:p w:rsidR="0057574C" w:rsidRPr="00873FEC" w:rsidRDefault="0057574C" w:rsidP="00126E97">
      <w:pPr>
        <w:spacing w:after="0" w:line="20" w:lineRule="atLeast"/>
        <w:ind w:left="720"/>
        <w:contextualSpacing/>
        <w:rPr>
          <w:rFonts w:ascii="Calibri" w:eastAsia="Calibri" w:hAnsi="Calibri" w:cs="Times"/>
          <w:szCs w:val="20"/>
          <w:lang w:val="es-EC"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EC" w:eastAsia="es-CR"/>
        </w:rPr>
        <w:t>Por medio de un escrito de fecha 12 de octubre de 1998 el Fiscal Especial asignado al caso presentó su renuncia, para que se h</w:t>
      </w:r>
      <w:r w:rsidR="00682A5B">
        <w:rPr>
          <w:rFonts w:ascii="Verdana" w:eastAsia="Batang" w:hAnsi="Verdana" w:cs="Times"/>
          <w:sz w:val="20"/>
          <w:szCs w:val="20"/>
          <w:lang w:val="es-EC" w:eastAsia="es-CR"/>
        </w:rPr>
        <w:t>iciera</w:t>
      </w:r>
      <w:r w:rsidRPr="00873FEC">
        <w:rPr>
          <w:rFonts w:ascii="Verdana" w:eastAsia="Batang" w:hAnsi="Verdana" w:cs="Times"/>
          <w:sz w:val="20"/>
          <w:szCs w:val="20"/>
          <w:lang w:val="es-EC" w:eastAsia="es-CR"/>
        </w:rPr>
        <w:t xml:space="preserve"> efectiva a partir del 2 de noviembre siguiente. De acuerdo </w:t>
      </w:r>
      <w:r w:rsidR="00682A5B">
        <w:rPr>
          <w:rFonts w:ascii="Verdana" w:eastAsia="Batang" w:hAnsi="Verdana" w:cs="Times"/>
          <w:sz w:val="20"/>
          <w:szCs w:val="20"/>
          <w:lang w:val="es-EC" w:eastAsia="es-CR"/>
        </w:rPr>
        <w:t>con</w:t>
      </w:r>
      <w:r w:rsidRPr="00873FEC">
        <w:rPr>
          <w:rFonts w:ascii="Verdana" w:eastAsia="Batang" w:hAnsi="Verdana" w:cs="Times"/>
          <w:sz w:val="20"/>
          <w:szCs w:val="20"/>
          <w:lang w:val="es-EC" w:eastAsia="es-CR"/>
        </w:rPr>
        <w:t xml:space="preserve"> la información que se remitió a la Comisión</w:t>
      </w:r>
      <w:r w:rsidR="00682A5B">
        <w:rPr>
          <w:rFonts w:ascii="Verdana" w:eastAsia="Batang" w:hAnsi="Verdana" w:cs="Times"/>
          <w:sz w:val="20"/>
          <w:szCs w:val="20"/>
          <w:lang w:val="es-EC" w:eastAsia="es-CR"/>
        </w:rPr>
        <w:t>,</w:t>
      </w:r>
      <w:r w:rsidRPr="00873FEC">
        <w:rPr>
          <w:rFonts w:ascii="Verdana" w:eastAsia="Batang" w:hAnsi="Verdana" w:cs="Times"/>
          <w:sz w:val="20"/>
          <w:szCs w:val="20"/>
          <w:lang w:val="es-EC" w:eastAsia="es-CR"/>
        </w:rPr>
        <w:t xml:space="preserve"> él adujo diversos actos que denotaban falta de “apoyo institucional” para proseguir con el caso</w:t>
      </w:r>
      <w:r w:rsidR="00FB5ADE" w:rsidRPr="00873FEC">
        <w:rPr>
          <w:rFonts w:ascii="Verdana" w:eastAsia="Batang" w:hAnsi="Verdana" w:cs="Times New Roman"/>
          <w:sz w:val="20"/>
          <w:szCs w:val="20"/>
          <w:vertAlign w:val="superscript"/>
          <w:lang w:val="es-EC" w:eastAsia="x-none"/>
        </w:rPr>
        <w:footnoteReference w:id="87"/>
      </w:r>
      <w:r w:rsidRPr="00873FEC">
        <w:rPr>
          <w:rFonts w:ascii="Verdana" w:eastAsia="Batang" w:hAnsi="Verdana" w:cs="Times"/>
          <w:sz w:val="20"/>
          <w:szCs w:val="20"/>
          <w:lang w:val="es-EC" w:eastAsia="es-CR"/>
        </w:rPr>
        <w:t xml:space="preserve">. </w:t>
      </w:r>
      <w:r w:rsidRPr="00873FEC">
        <w:rPr>
          <w:rFonts w:ascii="Verdana" w:eastAsia="Batang" w:hAnsi="Verdana" w:cs="Times"/>
          <w:sz w:val="20"/>
          <w:szCs w:val="20"/>
          <w:lang w:val="es-CR" w:eastAsia="es-CR"/>
        </w:rPr>
        <w:t>La CEH sostuvo que</w:t>
      </w:r>
      <w:r w:rsidR="00682A5B">
        <w:rPr>
          <w:rFonts w:ascii="Verdana" w:eastAsia="Batang" w:hAnsi="Verdana" w:cs="Times"/>
          <w:sz w:val="20"/>
          <w:szCs w:val="20"/>
          <w:lang w:val="es-CR" w:eastAsia="es-CR"/>
        </w:rPr>
        <w:t>,</w:t>
      </w:r>
      <w:r w:rsidRPr="00873FEC">
        <w:rPr>
          <w:rFonts w:ascii="Verdana" w:eastAsia="Batang" w:hAnsi="Verdana" w:cs="Times"/>
          <w:sz w:val="20"/>
          <w:szCs w:val="20"/>
          <w:lang w:val="es-CR" w:eastAsia="es-CR"/>
        </w:rPr>
        <w:t xml:space="preserve"> en octubre de 1998</w:t>
      </w:r>
      <w:r w:rsidR="00682A5B">
        <w:rPr>
          <w:rFonts w:ascii="Verdana" w:eastAsia="Batang" w:hAnsi="Verdana" w:cs="Times"/>
          <w:sz w:val="20"/>
          <w:szCs w:val="20"/>
          <w:lang w:val="es-CR" w:eastAsia="es-CR"/>
        </w:rPr>
        <w:t>,</w:t>
      </w:r>
      <w:r w:rsidRPr="00873FEC">
        <w:rPr>
          <w:rFonts w:ascii="Verdana" w:eastAsia="Batang" w:hAnsi="Verdana" w:cs="Times"/>
          <w:sz w:val="20"/>
          <w:szCs w:val="20"/>
          <w:lang w:val="es-CR" w:eastAsia="es-CR"/>
        </w:rPr>
        <w:t xml:space="preserve"> el Fiscal Especial declaró que funcionarios del Ministerio Público no le brindaban el apoyo necesario para llevar a cabo las investigaciones pertinentes y que, además</w:t>
      </w:r>
      <w:r w:rsidR="00682A5B">
        <w:rPr>
          <w:rFonts w:ascii="Verdana" w:eastAsia="Batang" w:hAnsi="Verdana" w:cs="Times"/>
          <w:sz w:val="20"/>
          <w:szCs w:val="20"/>
          <w:lang w:val="es-CR" w:eastAsia="es-CR"/>
        </w:rPr>
        <w:t>,</w:t>
      </w:r>
      <w:r w:rsidRPr="00873FEC">
        <w:rPr>
          <w:rFonts w:ascii="Verdana" w:eastAsia="Batang" w:hAnsi="Verdana" w:cs="Times"/>
          <w:sz w:val="20"/>
          <w:szCs w:val="20"/>
          <w:lang w:val="es-CR" w:eastAsia="es-CR"/>
        </w:rPr>
        <w:t xml:space="preserve"> denunció que había sido objeto de </w:t>
      </w:r>
      <w:r w:rsidRPr="00873FEC">
        <w:rPr>
          <w:rFonts w:ascii="Verdana" w:eastAsia="Batang" w:hAnsi="Verdana" w:cs="Times"/>
          <w:sz w:val="20"/>
          <w:szCs w:val="20"/>
          <w:lang w:val="es-CR" w:eastAsia="es-CR"/>
        </w:rPr>
        <w:lastRenderedPageBreak/>
        <w:t>amenazas e intimidaciones</w:t>
      </w:r>
      <w:r w:rsidR="00D108B6" w:rsidRPr="00873FEC">
        <w:rPr>
          <w:rStyle w:val="FootnoteReference"/>
          <w:rFonts w:ascii="Verdana" w:eastAsia="Batang" w:hAnsi="Verdana"/>
          <w:sz w:val="20"/>
          <w:lang w:val="es-CR" w:eastAsia="es-CR"/>
        </w:rPr>
        <w:footnoteReference w:id="88"/>
      </w:r>
      <w:r w:rsidRPr="00873FEC">
        <w:rPr>
          <w:rFonts w:ascii="Verdana" w:eastAsia="Batang" w:hAnsi="Verdana" w:cs="Times"/>
          <w:sz w:val="20"/>
          <w:szCs w:val="20"/>
          <w:lang w:val="es-CR" w:eastAsia="es-CR"/>
        </w:rPr>
        <w:t>. El 27 de octubre de 1998 se designó un nuevo “Fiscal Especial”</w:t>
      </w:r>
      <w:r w:rsidRPr="00873FEC">
        <w:rPr>
          <w:rFonts w:ascii="Verdana" w:eastAsia="Batang" w:hAnsi="Verdana" w:cs="Times New Roman"/>
          <w:sz w:val="20"/>
          <w:szCs w:val="20"/>
          <w:vertAlign w:val="superscript"/>
          <w:lang w:val="en-US" w:eastAsia="x-none"/>
        </w:rPr>
        <w:footnoteReference w:id="89"/>
      </w:r>
      <w:r w:rsidR="00FB5ADE" w:rsidRPr="00873FEC">
        <w:rPr>
          <w:rFonts w:ascii="Verdana" w:eastAsia="Batang" w:hAnsi="Verdana" w:cs="Times"/>
          <w:sz w:val="20"/>
          <w:szCs w:val="20"/>
          <w:lang w:val="es-CR" w:eastAsia="es-CR"/>
        </w:rPr>
        <w:t>.</w:t>
      </w:r>
    </w:p>
    <w:p w:rsidR="0057574C" w:rsidRPr="00873FEC" w:rsidRDefault="0057574C" w:rsidP="00126E97">
      <w:pPr>
        <w:spacing w:after="0" w:line="20" w:lineRule="atLeast"/>
        <w:ind w:left="720"/>
        <w:contextualSpacing/>
        <w:rPr>
          <w:rFonts w:ascii="Calibri" w:eastAsia="Calibri" w:hAnsi="Calibri" w:cs="Times"/>
          <w:szCs w:val="20"/>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0"/>
          <w:lang w:val="es-CR" w:eastAsia="es-CR"/>
        </w:rPr>
      </w:pPr>
      <w:r w:rsidRPr="00873FEC">
        <w:rPr>
          <w:rFonts w:ascii="Verdana" w:eastAsia="Batang" w:hAnsi="Verdana" w:cs="Times"/>
          <w:sz w:val="20"/>
          <w:szCs w:val="20"/>
          <w:lang w:val="es-CR" w:eastAsia="es-CR"/>
        </w:rPr>
        <w:t>El 25 de noviembre de 1998 se reanudó el debate público</w:t>
      </w:r>
      <w:r w:rsidR="003D514F" w:rsidRPr="00873FEC">
        <w:rPr>
          <w:rStyle w:val="FootnoteReference"/>
          <w:rFonts w:ascii="Verdana" w:eastAsia="Batang" w:hAnsi="Verdana"/>
          <w:sz w:val="20"/>
          <w:lang w:val="es-CR" w:eastAsia="es-CR"/>
        </w:rPr>
        <w:footnoteReference w:id="90"/>
      </w:r>
      <w:r w:rsidRPr="00873FEC">
        <w:rPr>
          <w:rFonts w:ascii="Verdana" w:eastAsia="Batang" w:hAnsi="Verdana" w:cs="Times"/>
          <w:sz w:val="20"/>
          <w:szCs w:val="20"/>
          <w:lang w:val="es-CR" w:eastAsia="es-CR"/>
        </w:rPr>
        <w:t>, que se desarrolló en distintos días hasta agosto del año siguiente (</w:t>
      </w:r>
      <w:r w:rsidRPr="00873FEC">
        <w:rPr>
          <w:rFonts w:ascii="Verdana" w:eastAsia="Batang" w:hAnsi="Verdana" w:cs="Times"/>
          <w:i/>
          <w:sz w:val="20"/>
          <w:szCs w:val="20"/>
          <w:lang w:val="es-CR" w:eastAsia="es-CR"/>
        </w:rPr>
        <w:t>infra</w:t>
      </w:r>
      <w:r w:rsidRPr="00873FEC">
        <w:rPr>
          <w:rFonts w:ascii="Verdana" w:eastAsia="Batang" w:hAnsi="Verdana" w:cs="Times"/>
          <w:sz w:val="20"/>
          <w:szCs w:val="20"/>
          <w:lang w:val="es-CR" w:eastAsia="es-CR"/>
        </w:rPr>
        <w:t xml:space="preserve"> párr. 59). Durante ese tiempo se plantearon y resolvieron distintos incidentes y recursos</w:t>
      </w:r>
      <w:r w:rsidRPr="00873FEC">
        <w:rPr>
          <w:rFonts w:ascii="Verdana" w:eastAsia="Batang" w:hAnsi="Verdana" w:cs="Times New Roman"/>
          <w:sz w:val="20"/>
          <w:szCs w:val="20"/>
          <w:vertAlign w:val="superscript"/>
          <w:lang w:val="es-CR" w:eastAsia="x-none"/>
        </w:rPr>
        <w:footnoteReference w:id="91"/>
      </w:r>
      <w:r w:rsidRPr="00873FEC">
        <w:rPr>
          <w:rFonts w:ascii="Verdana" w:eastAsia="Batang" w:hAnsi="Verdana" w:cs="Times"/>
          <w:sz w:val="20"/>
          <w:szCs w:val="20"/>
          <w:lang w:val="es-CR" w:eastAsia="es-CR"/>
        </w:rPr>
        <w:t>.</w:t>
      </w:r>
    </w:p>
    <w:p w:rsidR="0057574C" w:rsidRPr="00873FEC" w:rsidRDefault="0057574C" w:rsidP="00126E97">
      <w:pPr>
        <w:spacing w:after="0" w:line="20" w:lineRule="atLeast"/>
        <w:ind w:left="720"/>
        <w:contextualSpacing/>
        <w:rPr>
          <w:rFonts w:ascii="Calibri" w:eastAsia="Calibri" w:hAnsi="Calibri" w:cs="Times"/>
          <w:szCs w:val="20"/>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El 6 de enero de 1999 Rigoberta Menchú renunció a su condición de “querellante adhesiva” en el proceso, por entender que no se estaban cumpliendo las normas del debido proceso</w:t>
      </w:r>
      <w:r w:rsidRPr="00873FEC">
        <w:rPr>
          <w:rFonts w:ascii="Verdana" w:eastAsia="Batang" w:hAnsi="Verdana" w:cs="Times New Roman"/>
          <w:sz w:val="20"/>
          <w:szCs w:val="20"/>
          <w:vertAlign w:val="superscript"/>
          <w:lang w:val="en-US" w:eastAsia="x-none"/>
        </w:rPr>
        <w:footnoteReference w:id="92"/>
      </w:r>
      <w:r w:rsidRPr="00873FEC">
        <w:rPr>
          <w:rFonts w:ascii="Verdana" w:eastAsia="Batang" w:hAnsi="Verdana" w:cs="Times"/>
          <w:sz w:val="20"/>
          <w:szCs w:val="20"/>
          <w:lang w:val="es-CR" w:eastAsia="es-CR"/>
        </w:rPr>
        <w:t xml:space="preserve">. </w:t>
      </w:r>
    </w:p>
    <w:p w:rsidR="0057574C" w:rsidRPr="00873FEC" w:rsidRDefault="0057574C" w:rsidP="00126E97">
      <w:pPr>
        <w:spacing w:after="0" w:line="20" w:lineRule="atLeast"/>
        <w:ind w:left="720"/>
        <w:contextualSpacing/>
        <w:rPr>
          <w:rFonts w:ascii="Calibri" w:eastAsia="Calibri" w:hAnsi="Calibri" w:cs="Times"/>
          <w:szCs w:val="20"/>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El debate oral y público se declaró clausurado el 12 de agosto de 1999</w:t>
      </w:r>
      <w:r w:rsidRPr="00873FEC">
        <w:rPr>
          <w:rFonts w:ascii="Verdana" w:eastAsia="Batang" w:hAnsi="Verdana" w:cs="Times New Roman"/>
          <w:sz w:val="20"/>
          <w:szCs w:val="20"/>
          <w:vertAlign w:val="superscript"/>
          <w:lang w:val="en-US" w:eastAsia="x-none"/>
        </w:rPr>
        <w:footnoteReference w:id="93"/>
      </w:r>
      <w:r w:rsidRPr="00873FEC">
        <w:rPr>
          <w:rFonts w:ascii="Verdana" w:eastAsia="Batang" w:hAnsi="Verdana" w:cs="Times"/>
          <w:sz w:val="20"/>
          <w:szCs w:val="20"/>
          <w:lang w:val="es-CR" w:eastAsia="es-CR"/>
        </w:rPr>
        <w:t>. El mismo día el Tribunal dictó una sentencia</w:t>
      </w:r>
      <w:r w:rsidRPr="00873FEC">
        <w:rPr>
          <w:rFonts w:ascii="Verdana" w:eastAsia="Batang" w:hAnsi="Verdana" w:cs="Times New Roman"/>
          <w:sz w:val="20"/>
          <w:szCs w:val="20"/>
          <w:vertAlign w:val="superscript"/>
          <w:lang w:val="es-CR" w:eastAsia="x-none"/>
        </w:rPr>
        <w:footnoteReference w:id="94"/>
      </w:r>
      <w:r w:rsidRPr="00873FEC">
        <w:rPr>
          <w:rFonts w:ascii="Verdana" w:eastAsia="Batang" w:hAnsi="Verdana" w:cs="Times"/>
          <w:sz w:val="20"/>
          <w:szCs w:val="20"/>
          <w:lang w:val="es-CR" w:eastAsia="es-CR"/>
        </w:rPr>
        <w:t>. En la misma condenó al oficial al mando de la patrulla y a diez militares que la integraban por el “delito de homicidio culposo” y les impuso una pena de “cinco años de prisión conmutable”; además condenó a otros 14 miembros de la patrulla por el delito de “homicidio culposo” en “</w:t>
      </w:r>
      <w:proofErr w:type="spellStart"/>
      <w:proofErr w:type="gramStart"/>
      <w:r w:rsidRPr="00873FEC">
        <w:rPr>
          <w:rFonts w:ascii="Verdana" w:eastAsia="Batang" w:hAnsi="Verdana" w:cs="Times"/>
          <w:sz w:val="20"/>
          <w:szCs w:val="20"/>
          <w:lang w:val="es-CR" w:eastAsia="es-CR"/>
        </w:rPr>
        <w:t>complic</w:t>
      </w:r>
      <w:proofErr w:type="spellEnd"/>
      <w:r w:rsidRPr="00873FEC">
        <w:rPr>
          <w:rFonts w:ascii="Verdana" w:eastAsia="Batang" w:hAnsi="Verdana" w:cs="Times"/>
          <w:sz w:val="20"/>
          <w:szCs w:val="20"/>
          <w:lang w:val="es-CR" w:eastAsia="es-CR"/>
        </w:rPr>
        <w:t>[</w:t>
      </w:r>
      <w:proofErr w:type="spellStart"/>
      <w:proofErr w:type="gramEnd"/>
      <w:r w:rsidRPr="00873FEC">
        <w:rPr>
          <w:rFonts w:ascii="Verdana" w:eastAsia="Batang" w:hAnsi="Verdana" w:cs="Times"/>
          <w:sz w:val="20"/>
          <w:szCs w:val="20"/>
          <w:lang w:val="es-CR" w:eastAsia="es-CR"/>
        </w:rPr>
        <w:t>idad</w:t>
      </w:r>
      <w:proofErr w:type="spellEnd"/>
      <w:r w:rsidRPr="00873FEC">
        <w:rPr>
          <w:rFonts w:ascii="Verdana" w:eastAsia="Batang" w:hAnsi="Verdana" w:cs="Times"/>
          <w:sz w:val="20"/>
          <w:szCs w:val="20"/>
          <w:lang w:val="es-CR" w:eastAsia="es-CR"/>
        </w:rPr>
        <w:t>]” y les impuso una pena de “cuatro años de prisión conmutables”</w:t>
      </w:r>
      <w:r w:rsidRPr="00873FEC">
        <w:rPr>
          <w:rFonts w:ascii="Verdana" w:eastAsia="Batang" w:hAnsi="Verdana" w:cs="Times New Roman"/>
          <w:sz w:val="20"/>
          <w:szCs w:val="20"/>
          <w:vertAlign w:val="superscript"/>
          <w:lang w:val="en-US" w:eastAsia="x-none"/>
        </w:rPr>
        <w:footnoteReference w:id="95"/>
      </w:r>
      <w:r w:rsidRPr="00873FEC">
        <w:rPr>
          <w:rFonts w:ascii="Verdana" w:eastAsia="Batang" w:hAnsi="Verdana" w:cs="Times"/>
          <w:sz w:val="20"/>
          <w:szCs w:val="20"/>
          <w:lang w:val="es-CR" w:eastAsia="es-CR"/>
        </w:rPr>
        <w:t>.</w:t>
      </w:r>
    </w:p>
    <w:p w:rsidR="0057574C" w:rsidRPr="00873FEC" w:rsidRDefault="0057574C" w:rsidP="00126E97">
      <w:pPr>
        <w:spacing w:after="0" w:line="20" w:lineRule="atLeast"/>
        <w:ind w:left="720"/>
        <w:contextualSpacing/>
        <w:rPr>
          <w:rFonts w:ascii="Calibri" w:eastAsia="Calibri" w:hAnsi="Calibri" w:cs="Times"/>
          <w:szCs w:val="20"/>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El 23 de agosto de 1999 el Fiscal Especial interpuso una apelación y el 6 de diciembre siguiente la “Sala Décimo Cuarta de apelaciones” declaró “con lugar” el recurso</w:t>
      </w:r>
      <w:r w:rsidRPr="00873FEC">
        <w:rPr>
          <w:rFonts w:ascii="Verdana" w:eastAsia="Batang" w:hAnsi="Verdana" w:cs="Times New Roman"/>
          <w:sz w:val="20"/>
          <w:szCs w:val="20"/>
          <w:vertAlign w:val="superscript"/>
          <w:lang w:val="es-CR" w:eastAsia="x-none"/>
        </w:rPr>
        <w:footnoteReference w:id="96"/>
      </w:r>
      <w:r w:rsidRPr="00873FEC">
        <w:rPr>
          <w:rFonts w:ascii="Verdana" w:eastAsia="Batang" w:hAnsi="Verdana" w:cs="Times"/>
          <w:sz w:val="20"/>
          <w:szCs w:val="20"/>
          <w:lang w:val="es-CR" w:eastAsia="es-CR"/>
        </w:rPr>
        <w:t>. Anuló la sentencia de primera instancia y condenó a diez militares por los delitos de “homicidio” y de “lesiones graves”, imponiéndoles una pena de 12 años de prisión</w:t>
      </w:r>
      <w:r w:rsidRPr="00873FEC">
        <w:rPr>
          <w:rFonts w:ascii="Verdana" w:eastAsia="Batang" w:hAnsi="Verdana" w:cs="Times New Roman"/>
          <w:sz w:val="20"/>
          <w:szCs w:val="20"/>
          <w:vertAlign w:val="superscript"/>
          <w:lang w:val="es-CR" w:eastAsia="x-none"/>
        </w:rPr>
        <w:footnoteReference w:id="97"/>
      </w:r>
      <w:r w:rsidRPr="00873FEC">
        <w:rPr>
          <w:rFonts w:ascii="Verdana" w:eastAsia="Batang" w:hAnsi="Verdana" w:cs="Times"/>
          <w:sz w:val="20"/>
          <w:szCs w:val="20"/>
          <w:lang w:val="es-CR" w:eastAsia="es-CR"/>
        </w:rPr>
        <w:t>. Otros 15 integrantes de la patrulla fueron absueltos</w:t>
      </w:r>
      <w:r w:rsidRPr="00873FEC">
        <w:rPr>
          <w:rFonts w:ascii="Verdana" w:eastAsia="Batang" w:hAnsi="Verdana" w:cs="Times New Roman"/>
          <w:sz w:val="20"/>
          <w:szCs w:val="20"/>
          <w:vertAlign w:val="superscript"/>
          <w:lang w:val="en-US" w:eastAsia="x-none"/>
        </w:rPr>
        <w:footnoteReference w:id="98"/>
      </w:r>
      <w:r w:rsidRPr="00873FEC">
        <w:rPr>
          <w:rFonts w:ascii="Verdana" w:eastAsia="Batang" w:hAnsi="Verdana" w:cs="Times"/>
          <w:sz w:val="20"/>
          <w:szCs w:val="20"/>
          <w:lang w:val="es-CR" w:eastAsia="es-CR"/>
        </w:rPr>
        <w:t>.</w:t>
      </w:r>
      <w:r w:rsidRPr="00873FEC">
        <w:rPr>
          <w:rFonts w:ascii="Verdana" w:eastAsia="Batang" w:hAnsi="Verdana" w:cs="Times"/>
          <w:b/>
          <w:sz w:val="16"/>
          <w:szCs w:val="16"/>
          <w:lang w:val="es-CR" w:eastAsia="es-CR"/>
        </w:rPr>
        <w:t xml:space="preserve"> </w:t>
      </w:r>
    </w:p>
    <w:p w:rsidR="0057574C" w:rsidRPr="00873FEC" w:rsidRDefault="0057574C" w:rsidP="00126E97">
      <w:pPr>
        <w:spacing w:after="0" w:line="20" w:lineRule="atLeast"/>
        <w:ind w:left="720"/>
        <w:contextualSpacing/>
        <w:rPr>
          <w:rFonts w:ascii="Calibri" w:eastAsia="Calibri" w:hAnsi="Calibri" w:cs="Times"/>
          <w:szCs w:val="20"/>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El 12 de abril de 2000, tras examinar un “[r]</w:t>
      </w:r>
      <w:proofErr w:type="spellStart"/>
      <w:r w:rsidRPr="00873FEC">
        <w:rPr>
          <w:rFonts w:ascii="Verdana" w:eastAsia="Batang" w:hAnsi="Verdana" w:cs="Times"/>
          <w:sz w:val="20"/>
          <w:szCs w:val="20"/>
          <w:lang w:val="es-CR" w:eastAsia="es-CR"/>
        </w:rPr>
        <w:t>ecurso</w:t>
      </w:r>
      <w:proofErr w:type="spellEnd"/>
      <w:r w:rsidRPr="00873FEC">
        <w:rPr>
          <w:rFonts w:ascii="Verdana" w:eastAsia="Batang" w:hAnsi="Verdana" w:cs="Times"/>
          <w:sz w:val="20"/>
          <w:szCs w:val="20"/>
          <w:lang w:val="es-CR" w:eastAsia="es-CR"/>
        </w:rPr>
        <w:t xml:space="preserve"> [e]</w:t>
      </w:r>
      <w:proofErr w:type="spellStart"/>
      <w:r w:rsidRPr="00873FEC">
        <w:rPr>
          <w:rFonts w:ascii="Verdana" w:eastAsia="Batang" w:hAnsi="Verdana" w:cs="Times"/>
          <w:sz w:val="20"/>
          <w:szCs w:val="20"/>
          <w:lang w:val="es-CR" w:eastAsia="es-CR"/>
        </w:rPr>
        <w:t>xtraordinario</w:t>
      </w:r>
      <w:proofErr w:type="spellEnd"/>
      <w:r w:rsidRPr="00873FEC">
        <w:rPr>
          <w:rFonts w:ascii="Verdana" w:eastAsia="Batang" w:hAnsi="Verdana" w:cs="Times"/>
          <w:sz w:val="20"/>
          <w:szCs w:val="20"/>
          <w:lang w:val="es-CR" w:eastAsia="es-CR"/>
        </w:rPr>
        <w:t xml:space="preserve"> de [c]asación” presentado por el Fiscal Especial, la “Cámara Penal de la Corte Suprema de Justicia anuló la sentencia” de la Sala Décimo Cuarta de apelaciones y “orden[</w:t>
      </w:r>
      <w:proofErr w:type="spellStart"/>
      <w:r w:rsidRPr="00873FEC">
        <w:rPr>
          <w:rFonts w:ascii="Verdana" w:eastAsia="Batang" w:hAnsi="Verdana" w:cs="Times"/>
          <w:sz w:val="20"/>
          <w:szCs w:val="20"/>
          <w:lang w:val="es-CR" w:eastAsia="es-CR"/>
        </w:rPr>
        <w:t>ó</w:t>
      </w:r>
      <w:proofErr w:type="spellEnd"/>
      <w:r w:rsidRPr="00873FEC">
        <w:rPr>
          <w:rFonts w:ascii="Verdana" w:eastAsia="Batang" w:hAnsi="Verdana" w:cs="Times"/>
          <w:sz w:val="20"/>
          <w:szCs w:val="20"/>
          <w:lang w:val="es-CR" w:eastAsia="es-CR"/>
        </w:rPr>
        <w:t>] la celebración de un nuevo debate y la aprehensión de los 15 procesados que habían sido absueltos”</w:t>
      </w:r>
      <w:r w:rsidRPr="00873FEC">
        <w:rPr>
          <w:rFonts w:ascii="Verdana" w:eastAsia="Batang" w:hAnsi="Verdana" w:cs="Times New Roman"/>
          <w:sz w:val="20"/>
          <w:szCs w:val="20"/>
          <w:vertAlign w:val="superscript"/>
          <w:lang w:val="en-US" w:eastAsia="x-none"/>
        </w:rPr>
        <w:footnoteReference w:id="99"/>
      </w:r>
      <w:r w:rsidRPr="00873FEC">
        <w:rPr>
          <w:rFonts w:ascii="Verdana" w:eastAsia="Batang" w:hAnsi="Verdana" w:cs="Times"/>
          <w:sz w:val="20"/>
          <w:szCs w:val="20"/>
          <w:lang w:val="es-CR" w:eastAsia="es-CR"/>
        </w:rPr>
        <w:t>.</w:t>
      </w:r>
    </w:p>
    <w:p w:rsidR="0057574C" w:rsidRPr="00873FEC" w:rsidRDefault="0057574C" w:rsidP="00126E97">
      <w:pPr>
        <w:spacing w:after="0" w:line="20" w:lineRule="atLeast"/>
        <w:ind w:left="720"/>
        <w:contextualSpacing/>
        <w:rPr>
          <w:rFonts w:ascii="Calibri" w:eastAsia="Calibri" w:hAnsi="Calibri" w:cs="Times"/>
          <w:szCs w:val="20"/>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En mayo de 2000 el expediente fue trasladado al Tribunal de Sentencia de Cobán</w:t>
      </w:r>
      <w:r w:rsidRPr="00873FEC">
        <w:rPr>
          <w:rFonts w:ascii="Verdana" w:eastAsia="Batang" w:hAnsi="Verdana" w:cs="Times New Roman"/>
          <w:sz w:val="20"/>
          <w:szCs w:val="20"/>
          <w:vertAlign w:val="superscript"/>
          <w:lang w:val="en-US" w:eastAsia="x-none"/>
        </w:rPr>
        <w:footnoteReference w:id="100"/>
      </w:r>
      <w:r w:rsidRPr="00873FEC">
        <w:rPr>
          <w:rFonts w:ascii="Verdana" w:eastAsia="Batang" w:hAnsi="Verdana" w:cs="Times"/>
          <w:sz w:val="20"/>
          <w:szCs w:val="20"/>
          <w:lang w:val="es-CR" w:eastAsia="es-CR"/>
        </w:rPr>
        <w:t xml:space="preserve">. </w:t>
      </w:r>
    </w:p>
    <w:p w:rsidR="0057574C" w:rsidRPr="00873FEC" w:rsidRDefault="0057574C" w:rsidP="00126E97">
      <w:pPr>
        <w:spacing w:after="0" w:line="20" w:lineRule="atLeast"/>
        <w:ind w:left="720"/>
        <w:contextualSpacing/>
        <w:rPr>
          <w:rFonts w:ascii="Calibri" w:eastAsia="Calibri" w:hAnsi="Calibri" w:cs="Times"/>
          <w:szCs w:val="20"/>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El 3 de junio de 2003 se inició el debate oral</w:t>
      </w:r>
      <w:r w:rsidRPr="00873FEC">
        <w:rPr>
          <w:rFonts w:ascii="Verdana" w:eastAsia="Batang" w:hAnsi="Verdana" w:cs="Times New Roman"/>
          <w:sz w:val="20"/>
          <w:szCs w:val="20"/>
          <w:vertAlign w:val="superscript"/>
          <w:lang w:val="es-CR" w:eastAsia="x-none"/>
        </w:rPr>
        <w:footnoteReference w:id="101"/>
      </w:r>
      <w:r w:rsidRPr="00873FEC">
        <w:rPr>
          <w:rFonts w:ascii="Verdana" w:eastAsia="Batang" w:hAnsi="Verdana" w:cs="Times"/>
          <w:sz w:val="20"/>
          <w:szCs w:val="20"/>
          <w:lang w:val="es-CR" w:eastAsia="es-CR"/>
        </w:rPr>
        <w:t xml:space="preserve">. </w:t>
      </w:r>
    </w:p>
    <w:p w:rsidR="0057574C" w:rsidRPr="00873FEC" w:rsidRDefault="0057574C" w:rsidP="00126E97">
      <w:pPr>
        <w:spacing w:after="0" w:line="20" w:lineRule="atLeast"/>
        <w:ind w:left="720"/>
        <w:contextualSpacing/>
        <w:rPr>
          <w:rFonts w:ascii="Calibri" w:eastAsia="Calibri" w:hAnsi="Calibri" w:cs="Times"/>
          <w:szCs w:val="20"/>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 xml:space="preserve">El 8 de julio de 2004 el Tribunal de Sentencia emitió una sentencia </w:t>
      </w:r>
      <w:r w:rsidR="00464CB5" w:rsidRPr="00873FEC">
        <w:rPr>
          <w:rFonts w:ascii="Verdana" w:eastAsia="Batang" w:hAnsi="Verdana" w:cs="Times"/>
          <w:sz w:val="20"/>
          <w:szCs w:val="20"/>
          <w:lang w:val="es-CR" w:eastAsia="es-CR"/>
        </w:rPr>
        <w:t xml:space="preserve"> </w:t>
      </w:r>
      <w:r w:rsidRPr="00873FEC">
        <w:rPr>
          <w:rFonts w:ascii="Verdana" w:eastAsia="Batang" w:hAnsi="Verdana" w:cs="Times"/>
          <w:sz w:val="20"/>
          <w:szCs w:val="20"/>
          <w:lang w:val="es-CR" w:eastAsia="es-CR"/>
        </w:rPr>
        <w:t xml:space="preserve">en la que condenó a 14 militares, por el delito de “ejecución extrajudicial”, en calidad de “autores materiales, en el grado de consumación”, en perjuicio de </w:t>
      </w:r>
      <w:r w:rsidR="002E7364" w:rsidRPr="00873FEC">
        <w:rPr>
          <w:rFonts w:ascii="Verdana" w:eastAsia="Batang" w:hAnsi="Verdana" w:cs="Times"/>
          <w:sz w:val="20"/>
          <w:szCs w:val="20"/>
          <w:lang w:val="es-CR" w:eastAsia="es-CR"/>
        </w:rPr>
        <w:t>11</w:t>
      </w:r>
      <w:r w:rsidRPr="00873FEC">
        <w:rPr>
          <w:rFonts w:ascii="Verdana" w:eastAsia="Batang" w:hAnsi="Verdana" w:cs="Times"/>
          <w:sz w:val="20"/>
          <w:szCs w:val="20"/>
          <w:lang w:val="es-CR" w:eastAsia="es-CR"/>
        </w:rPr>
        <w:t xml:space="preserve"> personas fallecidas. Además, fueron condenados por las “lesiones graves” causadas a 29 sobrevivientes. Fueron sentenciados a una pena de “cuarenta años de prisión inconmutables”</w:t>
      </w:r>
      <w:r w:rsidRPr="00873FEC">
        <w:rPr>
          <w:rFonts w:ascii="Verdana" w:eastAsia="Batang" w:hAnsi="Verdana" w:cs="Times New Roman"/>
          <w:sz w:val="20"/>
          <w:szCs w:val="20"/>
          <w:vertAlign w:val="superscript"/>
          <w:lang w:val="es-CR" w:eastAsia="x-none"/>
        </w:rPr>
        <w:footnoteReference w:id="102"/>
      </w:r>
      <w:r w:rsidRPr="00873FEC">
        <w:rPr>
          <w:rFonts w:ascii="Verdana" w:eastAsia="Batang" w:hAnsi="Verdana" w:cs="Times"/>
          <w:sz w:val="20"/>
          <w:szCs w:val="20"/>
          <w:lang w:val="es-CR" w:eastAsia="es-CR"/>
        </w:rPr>
        <w:t>.</w:t>
      </w:r>
    </w:p>
    <w:p w:rsidR="0057574C" w:rsidRPr="00873FEC" w:rsidRDefault="0057574C" w:rsidP="00126E97">
      <w:pPr>
        <w:spacing w:after="0" w:line="20" w:lineRule="atLeast"/>
        <w:ind w:left="720"/>
        <w:contextualSpacing/>
        <w:rPr>
          <w:rFonts w:ascii="Calibri" w:eastAsia="Calibri" w:hAnsi="Calibri" w:cs="Times"/>
          <w:szCs w:val="20"/>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En julio de 2004 militares condenados interpusieron recursos de apelación</w:t>
      </w:r>
      <w:r w:rsidRPr="00873FEC">
        <w:rPr>
          <w:rFonts w:ascii="Verdana" w:eastAsia="Batang" w:hAnsi="Verdana" w:cs="Times New Roman"/>
          <w:sz w:val="20"/>
          <w:szCs w:val="20"/>
          <w:vertAlign w:val="superscript"/>
          <w:lang w:val="es-CR" w:eastAsia="x-none"/>
        </w:rPr>
        <w:footnoteReference w:id="103"/>
      </w:r>
      <w:r w:rsidRPr="00873FEC">
        <w:rPr>
          <w:rFonts w:ascii="Verdana" w:eastAsia="Batang" w:hAnsi="Verdana" w:cs="Times"/>
          <w:sz w:val="20"/>
          <w:szCs w:val="20"/>
          <w:lang w:val="es-CR" w:eastAsia="es-CR"/>
        </w:rPr>
        <w:t>, los cuales no prosperaron</w:t>
      </w:r>
      <w:r w:rsidRPr="00873FEC">
        <w:rPr>
          <w:rFonts w:ascii="Verdana" w:eastAsia="Batang" w:hAnsi="Verdana" w:cs="Times New Roman"/>
          <w:sz w:val="20"/>
          <w:szCs w:val="20"/>
          <w:vertAlign w:val="superscript"/>
          <w:lang w:val="es-CR" w:eastAsia="x-none"/>
        </w:rPr>
        <w:footnoteReference w:id="104"/>
      </w:r>
      <w:r w:rsidRPr="00873FEC">
        <w:rPr>
          <w:rFonts w:ascii="Verdana" w:eastAsia="Batang" w:hAnsi="Verdana" w:cs="Times"/>
          <w:sz w:val="20"/>
          <w:szCs w:val="20"/>
          <w:lang w:val="es-CR" w:eastAsia="es-CR"/>
        </w:rPr>
        <w:t>. En enero de 2005 abogados defensores de militares interpusieron recursos de casación</w:t>
      </w:r>
      <w:r w:rsidRPr="00873FEC">
        <w:rPr>
          <w:rFonts w:ascii="Verdana" w:eastAsia="Batang" w:hAnsi="Verdana" w:cs="Times New Roman"/>
          <w:sz w:val="20"/>
          <w:szCs w:val="20"/>
          <w:vertAlign w:val="superscript"/>
          <w:lang w:val="es-CR" w:eastAsia="x-none"/>
        </w:rPr>
        <w:footnoteReference w:id="105"/>
      </w:r>
      <w:r w:rsidRPr="00873FEC">
        <w:rPr>
          <w:rFonts w:ascii="Verdana" w:eastAsia="Batang" w:hAnsi="Verdana" w:cs="Times"/>
          <w:sz w:val="20"/>
          <w:szCs w:val="20"/>
          <w:lang w:val="es-CR" w:eastAsia="es-CR"/>
        </w:rPr>
        <w:t>, que el 13 de ese mes fueron remitidos a la Corte Suprema de Justicia</w:t>
      </w:r>
      <w:r w:rsidRPr="00873FEC">
        <w:rPr>
          <w:rFonts w:ascii="Verdana" w:eastAsia="Batang" w:hAnsi="Verdana" w:cs="Times New Roman"/>
          <w:sz w:val="20"/>
          <w:szCs w:val="20"/>
          <w:vertAlign w:val="superscript"/>
          <w:lang w:val="es-CR" w:eastAsia="x-none"/>
        </w:rPr>
        <w:footnoteReference w:id="106"/>
      </w:r>
      <w:r w:rsidRPr="00873FEC">
        <w:rPr>
          <w:rFonts w:ascii="Verdana" w:eastAsia="Batang" w:hAnsi="Verdana" w:cs="Times"/>
          <w:sz w:val="20"/>
          <w:szCs w:val="20"/>
          <w:lang w:val="es-CR" w:eastAsia="es-CR"/>
        </w:rPr>
        <w:t>. El 23 de septiembre de 2005 la Corte Suprema de Justicia “</w:t>
      </w:r>
      <w:proofErr w:type="spellStart"/>
      <w:r w:rsidRPr="00873FEC">
        <w:rPr>
          <w:rFonts w:ascii="Verdana" w:eastAsia="Batang" w:hAnsi="Verdana" w:cs="Times"/>
          <w:sz w:val="20"/>
          <w:szCs w:val="20"/>
          <w:lang w:val="es-CR" w:eastAsia="es-CR"/>
        </w:rPr>
        <w:t>declar</w:t>
      </w:r>
      <w:proofErr w:type="spellEnd"/>
      <w:r w:rsidRPr="00873FEC">
        <w:rPr>
          <w:rFonts w:ascii="Verdana" w:eastAsia="Batang" w:hAnsi="Verdana" w:cs="Times"/>
          <w:sz w:val="20"/>
          <w:szCs w:val="20"/>
          <w:lang w:val="es-CR" w:eastAsia="es-CR"/>
        </w:rPr>
        <w:t>[</w:t>
      </w:r>
      <w:proofErr w:type="spellStart"/>
      <w:r w:rsidRPr="00873FEC">
        <w:rPr>
          <w:rFonts w:ascii="Verdana" w:eastAsia="Batang" w:hAnsi="Verdana" w:cs="Times"/>
          <w:sz w:val="20"/>
          <w:szCs w:val="20"/>
          <w:lang w:val="es-CR" w:eastAsia="es-CR"/>
        </w:rPr>
        <w:t>ó</w:t>
      </w:r>
      <w:proofErr w:type="spellEnd"/>
      <w:r w:rsidRPr="00873FEC">
        <w:rPr>
          <w:rFonts w:ascii="Verdana" w:eastAsia="Batang" w:hAnsi="Verdana" w:cs="Times"/>
          <w:sz w:val="20"/>
          <w:szCs w:val="20"/>
          <w:lang w:val="es-CR" w:eastAsia="es-CR"/>
        </w:rPr>
        <w:t>] improcedentes” los recursos de casación pendientes y dejó firme la sentencia condenatoria</w:t>
      </w:r>
      <w:r w:rsidRPr="00873FEC">
        <w:rPr>
          <w:rFonts w:ascii="Verdana" w:eastAsia="Batang" w:hAnsi="Verdana" w:cs="Times New Roman"/>
          <w:sz w:val="20"/>
          <w:szCs w:val="20"/>
          <w:vertAlign w:val="superscript"/>
          <w:lang w:val="es-CR" w:eastAsia="x-none"/>
        </w:rPr>
        <w:footnoteReference w:id="107"/>
      </w:r>
      <w:r w:rsidRPr="00873FEC">
        <w:rPr>
          <w:rFonts w:ascii="Verdana" w:eastAsia="Batang" w:hAnsi="Verdana" w:cs="Times"/>
          <w:sz w:val="20"/>
          <w:szCs w:val="20"/>
          <w:lang w:val="es-CR" w:eastAsia="es-CR"/>
        </w:rPr>
        <w:t>.</w:t>
      </w:r>
    </w:p>
    <w:p w:rsidR="0057574C" w:rsidRPr="00873FEC" w:rsidRDefault="0057574C" w:rsidP="00126E97">
      <w:pPr>
        <w:spacing w:after="0" w:line="20" w:lineRule="atLeast"/>
        <w:ind w:left="720"/>
        <w:contextualSpacing/>
        <w:rPr>
          <w:rFonts w:ascii="Calibri" w:eastAsia="Calibri" w:hAnsi="Calibri" w:cs="Times"/>
          <w:szCs w:val="20"/>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Respecto a integrantes de la patrulla militar distintos a los 14 condenados, Guatemala informó que</w:t>
      </w:r>
      <w:r w:rsidRPr="00873FEC">
        <w:rPr>
          <w:rFonts w:ascii="Verdana" w:eastAsia="Batang" w:hAnsi="Verdana" w:cs="Times"/>
          <w:bCs/>
          <w:color w:val="000000"/>
          <w:sz w:val="20"/>
          <w:szCs w:val="20"/>
          <w:lang w:val="es-CR" w:eastAsia="es-CR"/>
        </w:rPr>
        <w:t xml:space="preserve"> para el 9 de marzo de 2018 11 personas permanecían “</w:t>
      </w:r>
      <w:proofErr w:type="spellStart"/>
      <w:r w:rsidRPr="00873FEC">
        <w:rPr>
          <w:rFonts w:ascii="Verdana" w:eastAsia="Batang" w:hAnsi="Verdana" w:cs="Times"/>
          <w:bCs/>
          <w:color w:val="000000"/>
          <w:sz w:val="20"/>
          <w:szCs w:val="20"/>
          <w:lang w:val="es-CR" w:eastAsia="es-CR"/>
        </w:rPr>
        <w:t>prófug</w:t>
      </w:r>
      <w:proofErr w:type="spellEnd"/>
      <w:r w:rsidRPr="00873FEC">
        <w:rPr>
          <w:rFonts w:ascii="Verdana" w:eastAsia="Batang" w:hAnsi="Verdana" w:cs="Times"/>
          <w:bCs/>
          <w:color w:val="000000"/>
          <w:sz w:val="20"/>
          <w:szCs w:val="20"/>
          <w:lang w:val="es-CR" w:eastAsia="es-CR"/>
        </w:rPr>
        <w:t>[a]s”</w:t>
      </w:r>
      <w:r w:rsidRPr="00873FEC">
        <w:rPr>
          <w:rFonts w:ascii="Verdana" w:eastAsia="Batang" w:hAnsi="Verdana" w:cs="Times New Roman"/>
          <w:bCs/>
          <w:color w:val="000000"/>
          <w:sz w:val="20"/>
          <w:szCs w:val="20"/>
          <w:vertAlign w:val="superscript"/>
          <w:lang w:val="en-US" w:eastAsia="x-none"/>
        </w:rPr>
        <w:footnoteReference w:id="108"/>
      </w:r>
      <w:r w:rsidRPr="00873FEC">
        <w:rPr>
          <w:rFonts w:ascii="Verdana" w:eastAsia="Batang" w:hAnsi="Verdana" w:cs="Times"/>
          <w:bCs/>
          <w:color w:val="000000"/>
          <w:sz w:val="20"/>
          <w:szCs w:val="20"/>
          <w:lang w:val="es-CR" w:eastAsia="es-CR"/>
        </w:rPr>
        <w:t xml:space="preserve"> y no habían sido juzgadas. No hay información que indique que luego esta situación se modificara. </w:t>
      </w:r>
    </w:p>
    <w:p w:rsidR="0057574C" w:rsidRDefault="0057574C" w:rsidP="00126E97">
      <w:pPr>
        <w:spacing w:after="0" w:line="20" w:lineRule="atLeast"/>
        <w:ind w:right="-138"/>
        <w:jc w:val="both"/>
        <w:rPr>
          <w:rFonts w:ascii="Verdana" w:eastAsia="Batang" w:hAnsi="Verdana" w:cs="Times"/>
          <w:sz w:val="20"/>
          <w:szCs w:val="24"/>
          <w:lang w:val="es-CR" w:eastAsia="es-CR"/>
        </w:rPr>
      </w:pPr>
    </w:p>
    <w:p w:rsidR="00126E97" w:rsidRPr="00873FEC" w:rsidRDefault="00126E97" w:rsidP="00126E97">
      <w:pPr>
        <w:spacing w:after="0" w:line="20" w:lineRule="atLeast"/>
        <w:ind w:right="-138"/>
        <w:jc w:val="both"/>
        <w:rPr>
          <w:rFonts w:ascii="Verdana" w:eastAsia="Batang" w:hAnsi="Verdana" w:cs="Times"/>
          <w:sz w:val="20"/>
          <w:szCs w:val="24"/>
          <w:lang w:val="es-CR" w:eastAsia="es-CR"/>
        </w:rPr>
      </w:pPr>
    </w:p>
    <w:p w:rsidR="0057574C" w:rsidRPr="00873FEC" w:rsidRDefault="0057574C" w:rsidP="00126E97">
      <w:pPr>
        <w:keepNext/>
        <w:keepLines/>
        <w:spacing w:after="0" w:line="20" w:lineRule="atLeast"/>
        <w:jc w:val="center"/>
        <w:outlineLvl w:val="0"/>
        <w:rPr>
          <w:rFonts w:ascii="Verdana" w:eastAsia="Times New Roman" w:hAnsi="Verdana" w:cs="Verdana"/>
          <w:b/>
          <w:caps/>
          <w:sz w:val="20"/>
          <w:szCs w:val="20"/>
          <w:lang w:val="es-CR" w:eastAsia="es-CR"/>
        </w:rPr>
      </w:pPr>
      <w:bookmarkStart w:id="129" w:name="_Toc520207589"/>
      <w:bookmarkStart w:id="130" w:name="_Toc521694810"/>
      <w:bookmarkStart w:id="131" w:name="_Toc525201163"/>
      <w:bookmarkEnd w:id="129"/>
      <w:r w:rsidRPr="00873FEC">
        <w:rPr>
          <w:rFonts w:ascii="Verdana" w:eastAsia="Times New Roman" w:hAnsi="Verdana" w:cs="Verdana"/>
          <w:b/>
          <w:caps/>
          <w:sz w:val="20"/>
          <w:szCs w:val="20"/>
          <w:lang w:val="es-CR" w:eastAsia="es-CR"/>
        </w:rPr>
        <w:t>VIi</w:t>
      </w:r>
      <w:bookmarkEnd w:id="130"/>
      <w:bookmarkEnd w:id="131"/>
    </w:p>
    <w:p w:rsidR="0057574C" w:rsidRPr="00873FEC" w:rsidRDefault="0057574C" w:rsidP="00126E97">
      <w:pPr>
        <w:keepNext/>
        <w:keepLines/>
        <w:spacing w:after="0" w:line="20" w:lineRule="atLeast"/>
        <w:jc w:val="center"/>
        <w:outlineLvl w:val="0"/>
        <w:rPr>
          <w:rFonts w:ascii="Verdana" w:eastAsia="Times New Roman" w:hAnsi="Verdana" w:cs="Verdana"/>
          <w:b/>
          <w:caps/>
          <w:sz w:val="20"/>
          <w:szCs w:val="20"/>
          <w:lang w:val="es-CR" w:eastAsia="es-CR"/>
        </w:rPr>
      </w:pPr>
      <w:bookmarkStart w:id="132" w:name="_Toc520207590"/>
      <w:bookmarkStart w:id="133" w:name="_Toc521694811"/>
      <w:bookmarkStart w:id="134" w:name="_Toc525201164"/>
      <w:bookmarkEnd w:id="132"/>
      <w:r w:rsidRPr="00873FEC">
        <w:rPr>
          <w:rFonts w:ascii="Verdana" w:eastAsia="Times New Roman" w:hAnsi="Verdana" w:cs="Verdana"/>
          <w:b/>
          <w:caps/>
          <w:sz w:val="20"/>
          <w:szCs w:val="20"/>
          <w:lang w:val="es-CR" w:eastAsia="es-CR"/>
        </w:rPr>
        <w:t>FONDO</w:t>
      </w:r>
      <w:bookmarkEnd w:id="133"/>
      <w:bookmarkEnd w:id="134"/>
    </w:p>
    <w:p w:rsidR="0057574C" w:rsidRPr="00873FEC" w:rsidRDefault="0057574C" w:rsidP="00126E97">
      <w:pPr>
        <w:spacing w:after="0" w:line="20" w:lineRule="atLeast"/>
        <w:ind w:right="-138"/>
        <w:jc w:val="both"/>
        <w:rPr>
          <w:rFonts w:ascii="Verdana" w:eastAsia="Batang" w:hAnsi="Verdana" w:cs="Times"/>
          <w:sz w:val="20"/>
          <w:szCs w:val="24"/>
          <w:lang w:val="en-US"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4"/>
          <w:lang w:val="es-CR" w:eastAsia="es-CR"/>
        </w:rPr>
        <w:t xml:space="preserve">En el presente caso, la Corte debe analizar si Guatemala es responsable por la violación a diversos derechos convencionales, en relación con circunstancias sucedidas el 5 de octubre de 1995 en la finca </w:t>
      </w:r>
      <w:proofErr w:type="spellStart"/>
      <w:r w:rsidRPr="00873FEC">
        <w:rPr>
          <w:rFonts w:ascii="Verdana" w:eastAsia="Batang" w:hAnsi="Verdana" w:cs="Times"/>
          <w:sz w:val="20"/>
          <w:szCs w:val="24"/>
          <w:lang w:val="es-CR" w:eastAsia="es-CR"/>
        </w:rPr>
        <w:t>Xaman</w:t>
      </w:r>
      <w:proofErr w:type="spellEnd"/>
      <w:r w:rsidRPr="00873FEC">
        <w:rPr>
          <w:rFonts w:ascii="Verdana" w:eastAsia="Batang" w:hAnsi="Verdana" w:cs="Times"/>
          <w:sz w:val="20"/>
          <w:szCs w:val="24"/>
          <w:lang w:val="es-CR" w:eastAsia="es-CR"/>
        </w:rPr>
        <w:t xml:space="preserve"> y las actuaciones posteriores. Luego de que ese día ingresara una patrulla militar a la Comunidad “Aurora 8 de Octubre”, 11 personas murieron a causa de disparos efectuados por militares y otras 29 resultaron heridas. A partir de ello se iniciaron investigaciones, que resultaron en la condena de 14 militares. Otros 11 militares permanecen prófugos, existiendo órdenes de aprehensión vigentes respecto a ellos. </w:t>
      </w:r>
    </w:p>
    <w:p w:rsidR="0057574C" w:rsidRPr="00873FEC" w:rsidRDefault="0057574C" w:rsidP="00126E97">
      <w:pPr>
        <w:spacing w:after="0" w:line="20" w:lineRule="atLeast"/>
        <w:ind w:right="-138"/>
        <w:jc w:val="both"/>
        <w:rPr>
          <w:rFonts w:ascii="Verdana" w:eastAsia="Batang" w:hAnsi="Verdana" w:cs="Times"/>
          <w:sz w:val="20"/>
          <w:szCs w:val="24"/>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4"/>
          <w:lang w:val="es-CR" w:eastAsia="es-CR"/>
        </w:rPr>
        <w:t xml:space="preserve">Antes de efectuar el examen sobre aspectos de fondo, la Corte entiende necesario destacar que, en el presente caso, </w:t>
      </w:r>
      <w:r w:rsidR="000C5676">
        <w:rPr>
          <w:rFonts w:ascii="Verdana" w:eastAsia="Batang" w:hAnsi="Verdana" w:cs="Times"/>
          <w:sz w:val="20"/>
          <w:szCs w:val="24"/>
          <w:lang w:val="es-CR" w:eastAsia="es-CR"/>
        </w:rPr>
        <w:t>a</w:t>
      </w:r>
      <w:r w:rsidRPr="00873FEC">
        <w:rPr>
          <w:rFonts w:ascii="Verdana" w:eastAsia="Batang" w:hAnsi="Verdana" w:cs="Times"/>
          <w:sz w:val="20"/>
          <w:szCs w:val="24"/>
          <w:lang w:val="es-CR" w:eastAsia="es-CR"/>
        </w:rPr>
        <w:t xml:space="preserve">l día siguiente de </w:t>
      </w:r>
      <w:r w:rsidR="000C5676">
        <w:rPr>
          <w:rFonts w:ascii="Verdana" w:eastAsia="Batang" w:hAnsi="Verdana" w:cs="Times"/>
          <w:sz w:val="20"/>
          <w:szCs w:val="24"/>
          <w:lang w:val="es-CR" w:eastAsia="es-CR"/>
        </w:rPr>
        <w:t xml:space="preserve">ocurridos </w:t>
      </w:r>
      <w:r w:rsidRPr="00873FEC">
        <w:rPr>
          <w:rFonts w:ascii="Verdana" w:eastAsia="Batang" w:hAnsi="Verdana" w:cs="Times"/>
          <w:sz w:val="20"/>
          <w:szCs w:val="24"/>
          <w:lang w:val="es-CR" w:eastAsia="es-CR"/>
        </w:rPr>
        <w:t xml:space="preserve">los hechos, quien entonces era Presidente de Guatemala, efectuó un reconocimiento de “responsabilidad institucional” y que, por otra parte, autoridades judiciales internas determinaron lo sucedido y emitieron decisiones condenatorias. </w:t>
      </w:r>
    </w:p>
    <w:p w:rsidR="0057574C" w:rsidRPr="00873FEC" w:rsidRDefault="0057574C" w:rsidP="00126E97">
      <w:pPr>
        <w:spacing w:after="0" w:line="20" w:lineRule="atLeast"/>
        <w:ind w:right="-138"/>
        <w:jc w:val="both"/>
        <w:rPr>
          <w:rFonts w:ascii="Verdana" w:eastAsia="Batang" w:hAnsi="Verdana" w:cs="Times"/>
          <w:b/>
          <w:sz w:val="20"/>
          <w:szCs w:val="24"/>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0"/>
          <w:lang w:val="es-CR" w:eastAsia="es-CR"/>
        </w:rPr>
      </w:pPr>
      <w:r w:rsidRPr="00873FEC">
        <w:rPr>
          <w:rFonts w:ascii="Verdana" w:eastAsia="Batang" w:hAnsi="Verdana" w:cs="Times"/>
          <w:sz w:val="20"/>
          <w:szCs w:val="24"/>
          <w:lang w:val="es-CR" w:eastAsia="es-CR"/>
        </w:rPr>
        <w:t>La Corte valora lo anterior, mas advierte que, pese a ello, el Estado no ha reconocido su responsabilidad internacional. Además</w:t>
      </w:r>
      <w:r w:rsidRPr="00873FEC">
        <w:rPr>
          <w:rFonts w:ascii="Verdana" w:eastAsia="Batang" w:hAnsi="Verdana" w:cs="Times"/>
          <w:b/>
          <w:sz w:val="20"/>
          <w:szCs w:val="24"/>
          <w:lang w:val="es-CR" w:eastAsia="es-CR"/>
        </w:rPr>
        <w:t xml:space="preserve"> </w:t>
      </w:r>
      <w:r w:rsidRPr="00873FEC">
        <w:rPr>
          <w:rFonts w:ascii="Verdana" w:eastAsia="Batang" w:hAnsi="Verdana" w:cs="Times"/>
          <w:sz w:val="20"/>
          <w:szCs w:val="24"/>
          <w:lang w:val="es-CR" w:eastAsia="es-CR"/>
        </w:rPr>
        <w:t xml:space="preserve">Guatemala, aun pese a haber admitido expresamente la competencia de la Corte para conocer el caso, sostuvo que el </w:t>
      </w:r>
      <w:r w:rsidR="000C5676">
        <w:rPr>
          <w:rFonts w:ascii="Verdana" w:eastAsia="Batang" w:hAnsi="Verdana" w:cs="Times"/>
          <w:sz w:val="20"/>
          <w:szCs w:val="24"/>
          <w:lang w:val="es-CR" w:eastAsia="es-CR"/>
        </w:rPr>
        <w:t>caso</w:t>
      </w:r>
      <w:r w:rsidRPr="00873FEC">
        <w:rPr>
          <w:rFonts w:ascii="Verdana" w:eastAsia="Batang" w:hAnsi="Verdana" w:cs="Times"/>
          <w:sz w:val="20"/>
          <w:szCs w:val="24"/>
          <w:lang w:val="es-CR" w:eastAsia="es-CR"/>
        </w:rPr>
        <w:t xml:space="preserve"> ya ha “sido dilucidado en el fuero interno” y, en la audiencia pública, que por ello “el caso no debió ser motivo de conocimiento de [la] Corte”. </w:t>
      </w:r>
      <w:r w:rsidRPr="00873FEC">
        <w:rPr>
          <w:rFonts w:ascii="Verdana" w:eastAsia="Batang" w:hAnsi="Verdana" w:cs="Times"/>
          <w:sz w:val="20"/>
          <w:szCs w:val="20"/>
          <w:lang w:val="es-CR" w:eastAsia="es-CR"/>
        </w:rPr>
        <w:t>Respecto a lo expresado por el Estado, este Tribunal nota que Guatemala informó que las autoridades judiciales condenaron a 14 personas y que otras 11 permanecen prófugas (</w:t>
      </w:r>
      <w:r w:rsidR="00FF1C00" w:rsidRPr="00873FEC">
        <w:rPr>
          <w:rFonts w:ascii="Verdana" w:eastAsia="Batang" w:hAnsi="Verdana" w:cs="Times"/>
          <w:i/>
          <w:sz w:val="20"/>
          <w:szCs w:val="20"/>
          <w:lang w:val="es-CR" w:eastAsia="es-CR"/>
        </w:rPr>
        <w:t xml:space="preserve">supra, </w:t>
      </w:r>
      <w:r w:rsidR="00FF1C00" w:rsidRPr="00873FEC">
        <w:rPr>
          <w:rFonts w:ascii="Verdana" w:eastAsia="Batang" w:hAnsi="Verdana" w:cs="Times"/>
          <w:sz w:val="20"/>
          <w:szCs w:val="20"/>
          <w:lang w:val="es-CR" w:eastAsia="es-CR"/>
        </w:rPr>
        <w:t>párr</w:t>
      </w:r>
      <w:r w:rsidR="0040546C">
        <w:rPr>
          <w:rFonts w:ascii="Verdana" w:eastAsia="Batang" w:hAnsi="Verdana" w:cs="Times"/>
          <w:sz w:val="20"/>
          <w:szCs w:val="20"/>
          <w:lang w:val="es-CR" w:eastAsia="es-CR"/>
        </w:rPr>
        <w:t>.</w:t>
      </w:r>
      <w:r w:rsidR="00FF1C00" w:rsidRPr="00873FEC">
        <w:rPr>
          <w:rFonts w:ascii="Verdana" w:eastAsia="Batang" w:hAnsi="Verdana" w:cs="Times"/>
          <w:sz w:val="20"/>
          <w:szCs w:val="20"/>
          <w:lang w:val="es-CR" w:eastAsia="es-CR"/>
        </w:rPr>
        <w:t xml:space="preserve"> 66 e </w:t>
      </w:r>
      <w:r w:rsidR="00FF1C00" w:rsidRPr="00873FEC">
        <w:rPr>
          <w:rFonts w:ascii="Verdana" w:eastAsia="Batang" w:hAnsi="Verdana" w:cs="Times"/>
          <w:i/>
          <w:sz w:val="20"/>
          <w:szCs w:val="20"/>
          <w:lang w:val="es-CR" w:eastAsia="es-CR"/>
        </w:rPr>
        <w:t>infra</w:t>
      </w:r>
      <w:r w:rsidRPr="00873FEC">
        <w:rPr>
          <w:rFonts w:ascii="Verdana" w:eastAsia="Batang" w:hAnsi="Verdana" w:cs="Times"/>
          <w:sz w:val="20"/>
          <w:szCs w:val="20"/>
          <w:lang w:val="es-CR" w:eastAsia="es-CR"/>
        </w:rPr>
        <w:t xml:space="preserve"> párr. 7</w:t>
      </w:r>
      <w:r w:rsidR="00FF1C00" w:rsidRPr="00873FEC">
        <w:rPr>
          <w:rFonts w:ascii="Verdana" w:eastAsia="Batang" w:hAnsi="Verdana" w:cs="Times"/>
          <w:sz w:val="20"/>
          <w:szCs w:val="20"/>
          <w:lang w:val="es-CR" w:eastAsia="es-CR"/>
        </w:rPr>
        <w:t>6</w:t>
      </w:r>
      <w:r w:rsidRPr="00873FEC">
        <w:rPr>
          <w:rFonts w:ascii="Verdana" w:eastAsia="Batang" w:hAnsi="Verdana" w:cs="Times"/>
          <w:sz w:val="20"/>
          <w:szCs w:val="20"/>
          <w:lang w:val="es-CR" w:eastAsia="es-CR"/>
        </w:rPr>
        <w:t xml:space="preserve">). </w:t>
      </w:r>
    </w:p>
    <w:p w:rsidR="0057574C" w:rsidRPr="00873FEC" w:rsidRDefault="0057574C" w:rsidP="00126E97">
      <w:pPr>
        <w:spacing w:after="0" w:line="20" w:lineRule="atLeast"/>
        <w:ind w:right="-138"/>
        <w:jc w:val="both"/>
        <w:rPr>
          <w:rFonts w:ascii="Verdana" w:eastAsia="Batang" w:hAnsi="Verdana" w:cs="Times"/>
          <w:sz w:val="20"/>
          <w:szCs w:val="24"/>
          <w:lang w:val="es-CR" w:eastAsia="es-CR"/>
        </w:rPr>
      </w:pPr>
    </w:p>
    <w:p w:rsidR="0057574C" w:rsidRPr="00873FEC" w:rsidRDefault="000C5676" w:rsidP="00126E97">
      <w:pPr>
        <w:numPr>
          <w:ilvl w:val="0"/>
          <w:numId w:val="3"/>
        </w:numPr>
        <w:spacing w:after="0" w:line="20" w:lineRule="atLeast"/>
        <w:ind w:right="-138"/>
        <w:jc w:val="both"/>
        <w:rPr>
          <w:rFonts w:ascii="Verdana" w:eastAsia="Batang" w:hAnsi="Verdana" w:cs="Times"/>
          <w:sz w:val="20"/>
          <w:szCs w:val="20"/>
          <w:lang w:val="es-CR" w:eastAsia="es-CR"/>
        </w:rPr>
      </w:pPr>
      <w:r>
        <w:rPr>
          <w:rFonts w:ascii="Verdana" w:eastAsia="Batang" w:hAnsi="Verdana" w:cs="Times"/>
          <w:sz w:val="20"/>
          <w:szCs w:val="24"/>
          <w:lang w:val="es-CR" w:eastAsia="es-CR"/>
        </w:rPr>
        <w:t>C</w:t>
      </w:r>
      <w:r w:rsidR="0057574C" w:rsidRPr="00873FEC">
        <w:rPr>
          <w:rFonts w:ascii="Verdana" w:eastAsia="Batang" w:hAnsi="Verdana" w:cs="Times"/>
          <w:sz w:val="20"/>
          <w:szCs w:val="24"/>
          <w:lang w:val="es-CR" w:eastAsia="es-CR"/>
        </w:rPr>
        <w:t>onforme el principio de complementariedad, resulta procedente que la Corte evalúe “si la respuesta estatal fue adecuada para remediar las consecuencias de la violación alegada”</w:t>
      </w:r>
      <w:r w:rsidR="0057574C" w:rsidRPr="00873FEC">
        <w:rPr>
          <w:rFonts w:ascii="Verdana" w:eastAsia="Batang" w:hAnsi="Verdana" w:cs="Times New Roman"/>
          <w:sz w:val="20"/>
          <w:szCs w:val="20"/>
          <w:vertAlign w:val="superscript"/>
          <w:lang w:val="es-CR" w:eastAsia="x-none"/>
        </w:rPr>
        <w:footnoteReference w:id="109"/>
      </w:r>
      <w:r w:rsidR="0057574C" w:rsidRPr="00873FEC">
        <w:rPr>
          <w:rFonts w:ascii="Verdana" w:eastAsia="Batang" w:hAnsi="Verdana" w:cs="Times"/>
          <w:sz w:val="20"/>
          <w:szCs w:val="24"/>
          <w:lang w:val="es-CR" w:eastAsia="es-CR"/>
        </w:rPr>
        <w:t>. En ese sentido, este Tribunal ha indicado que “</w:t>
      </w:r>
      <w:r w:rsidR="0057574C" w:rsidRPr="00873FEC">
        <w:rPr>
          <w:rFonts w:ascii="Verdana" w:eastAsia="Calibri" w:hAnsi="Verdana" w:cs="Verdana"/>
          <w:sz w:val="20"/>
          <w:szCs w:val="20"/>
          <w:lang w:val="es-CR" w:eastAsia="es-CR"/>
        </w:rPr>
        <w:t>los Estados no son internacionalmente responsables cuando han reconocido</w:t>
      </w:r>
      <w:r w:rsidR="0057574C" w:rsidRPr="00873FEC">
        <w:rPr>
          <w:rFonts w:ascii="Verdana" w:eastAsia="Batang" w:hAnsi="Verdana" w:cs="Times"/>
          <w:sz w:val="20"/>
          <w:szCs w:val="24"/>
          <w:lang w:val="es-CR" w:eastAsia="es-CR"/>
        </w:rPr>
        <w:t xml:space="preserve"> </w:t>
      </w:r>
      <w:r w:rsidR="0057574C" w:rsidRPr="00873FEC">
        <w:rPr>
          <w:rFonts w:ascii="Verdana" w:eastAsia="Calibri" w:hAnsi="Verdana" w:cs="Verdana"/>
          <w:sz w:val="20"/>
          <w:szCs w:val="20"/>
          <w:lang w:val="es-CR" w:eastAsia="es-CR"/>
        </w:rPr>
        <w:t>la comisión de un hecho ilícito internacional, han cesado la violación, y han reparado las consecuencias de la medida o situación que lo configuró”</w:t>
      </w:r>
      <w:r w:rsidR="0057574C" w:rsidRPr="00873FEC">
        <w:rPr>
          <w:rFonts w:ascii="Verdana" w:eastAsia="Batang" w:hAnsi="Verdana" w:cs="Times New Roman"/>
          <w:sz w:val="20"/>
          <w:szCs w:val="20"/>
          <w:vertAlign w:val="superscript"/>
          <w:lang w:val="es-CR" w:eastAsia="x-none"/>
        </w:rPr>
        <w:footnoteReference w:id="110"/>
      </w:r>
      <w:r w:rsidR="0057574C" w:rsidRPr="00873FEC">
        <w:rPr>
          <w:rFonts w:ascii="Verdana" w:eastAsia="Batang" w:hAnsi="Verdana" w:cs="Times"/>
          <w:sz w:val="20"/>
          <w:szCs w:val="20"/>
          <w:lang w:val="es-CR" w:eastAsia="es-CR"/>
        </w:rPr>
        <w:t xml:space="preserve">. </w:t>
      </w:r>
    </w:p>
    <w:p w:rsidR="0057574C" w:rsidRPr="00873FEC" w:rsidRDefault="0057574C" w:rsidP="00126E97">
      <w:pPr>
        <w:spacing w:after="0" w:line="20" w:lineRule="atLeast"/>
        <w:ind w:left="720"/>
        <w:contextualSpacing/>
        <w:rPr>
          <w:rFonts w:ascii="Calibri" w:eastAsia="Calibri" w:hAnsi="Calibri" w:cs="Times"/>
          <w:sz w:val="20"/>
          <w:szCs w:val="20"/>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En e</w:t>
      </w:r>
      <w:r w:rsidR="000C5676">
        <w:rPr>
          <w:rFonts w:ascii="Verdana" w:eastAsia="Batang" w:hAnsi="Verdana" w:cs="Times"/>
          <w:sz w:val="20"/>
          <w:szCs w:val="20"/>
          <w:lang w:val="es-CR" w:eastAsia="es-CR"/>
        </w:rPr>
        <w:t>ste</w:t>
      </w:r>
      <w:r w:rsidRPr="00873FEC">
        <w:rPr>
          <w:rFonts w:ascii="Verdana" w:eastAsia="Batang" w:hAnsi="Verdana" w:cs="Times"/>
          <w:sz w:val="20"/>
          <w:szCs w:val="20"/>
          <w:lang w:val="es-CR" w:eastAsia="es-CR"/>
        </w:rPr>
        <w:t xml:space="preserve"> caso, no obstante, es procedente examinar los argumentos sobre violaciones a derechos convencionales. En ese sentido, en primer lugar, cabe advertir que</w:t>
      </w:r>
      <w:r w:rsidRPr="00873FEC">
        <w:rPr>
          <w:rFonts w:ascii="Verdana" w:eastAsia="Batang" w:hAnsi="Verdana" w:cs="Times"/>
          <w:sz w:val="20"/>
          <w:szCs w:val="24"/>
          <w:lang w:val="es-CR" w:eastAsia="es-CR"/>
        </w:rPr>
        <w:t xml:space="preserve"> Guatemala ha expresado que “</w:t>
      </w:r>
      <w:proofErr w:type="spellStart"/>
      <w:r w:rsidRPr="00873FEC">
        <w:rPr>
          <w:rFonts w:ascii="Verdana" w:eastAsia="Batang" w:hAnsi="Verdana" w:cs="Times"/>
          <w:sz w:val="20"/>
          <w:szCs w:val="24"/>
          <w:lang w:val="es-CR" w:eastAsia="es-CR"/>
        </w:rPr>
        <w:t>reconoc</w:t>
      </w:r>
      <w:proofErr w:type="spellEnd"/>
      <w:r w:rsidRPr="00873FEC">
        <w:rPr>
          <w:rFonts w:ascii="Verdana" w:eastAsia="Batang" w:hAnsi="Verdana" w:cs="Times"/>
          <w:sz w:val="20"/>
          <w:szCs w:val="24"/>
          <w:lang w:val="es-CR" w:eastAsia="es-CR"/>
        </w:rPr>
        <w:t xml:space="preserve">[e] </w:t>
      </w:r>
      <w:proofErr w:type="gramStart"/>
      <w:r w:rsidRPr="00873FEC">
        <w:rPr>
          <w:rFonts w:ascii="Verdana" w:eastAsia="Batang" w:hAnsi="Verdana" w:cs="Times"/>
          <w:sz w:val="20"/>
          <w:szCs w:val="24"/>
          <w:lang w:val="es-CR" w:eastAsia="es-CR"/>
        </w:rPr>
        <w:t>institucional[</w:t>
      </w:r>
      <w:proofErr w:type="gramEnd"/>
      <w:r w:rsidRPr="00873FEC">
        <w:rPr>
          <w:rFonts w:ascii="Verdana" w:eastAsia="Batang" w:hAnsi="Verdana" w:cs="Times"/>
          <w:sz w:val="20"/>
          <w:szCs w:val="24"/>
          <w:lang w:val="es-CR" w:eastAsia="es-CR"/>
        </w:rPr>
        <w:t>mente]” lo sucedido, pero aclaró que ello no implica un reconocimiento de “responsabilidad internacional”</w:t>
      </w:r>
      <w:r w:rsidRPr="00873FEC">
        <w:rPr>
          <w:rFonts w:ascii="Verdana" w:eastAsia="Batang" w:hAnsi="Verdana" w:cs="Times New Roman"/>
          <w:sz w:val="20"/>
          <w:szCs w:val="20"/>
          <w:vertAlign w:val="superscript"/>
          <w:lang w:val="es-CR" w:eastAsia="x-none"/>
        </w:rPr>
        <w:footnoteReference w:id="111"/>
      </w:r>
      <w:r w:rsidRPr="00873FEC">
        <w:rPr>
          <w:rFonts w:ascii="Verdana" w:eastAsia="Batang" w:hAnsi="Verdana" w:cs="Times"/>
          <w:sz w:val="20"/>
          <w:szCs w:val="24"/>
          <w:lang w:val="es-CR" w:eastAsia="es-CR"/>
        </w:rPr>
        <w:t>. Por otra parte, no resulta evidente que haya habido reparación: pese a que el Estado desarrolló actuaciones que derivaron en la condena firme de 14 personas, los representantes y la Comisión han cuestionado que dichas actuaciones hayan sido diligentes y completas, y han negado que las presuntas víctimas hayan obtenido reparación. De modo contrario, Guatemala sostuvo que efectuó una investigación diligente y que ello la exime de responsabilidad respecto a distintos derechos que la Comisión y los representantes arguyeron violados. A fin de analizar la</w:t>
      </w:r>
      <w:r w:rsidR="000C5676">
        <w:rPr>
          <w:rFonts w:ascii="Verdana" w:eastAsia="Batang" w:hAnsi="Verdana" w:cs="Times"/>
          <w:sz w:val="20"/>
          <w:szCs w:val="24"/>
          <w:lang w:val="es-CR" w:eastAsia="es-CR"/>
        </w:rPr>
        <w:t xml:space="preserve"> posición</w:t>
      </w:r>
      <w:r w:rsidRPr="00873FEC">
        <w:rPr>
          <w:rFonts w:ascii="Verdana" w:eastAsia="Batang" w:hAnsi="Verdana" w:cs="Times"/>
          <w:sz w:val="20"/>
          <w:szCs w:val="24"/>
          <w:lang w:val="es-CR" w:eastAsia="es-CR"/>
        </w:rPr>
        <w:t xml:space="preserve"> de las partes, resulta necesario considerar los argumentos sobre los aspectos de fondo del caso.  </w:t>
      </w:r>
    </w:p>
    <w:p w:rsidR="0057574C" w:rsidRPr="00873FEC" w:rsidRDefault="0057574C" w:rsidP="00126E97">
      <w:pPr>
        <w:spacing w:after="0" w:line="20" w:lineRule="atLeast"/>
        <w:ind w:left="720"/>
        <w:contextualSpacing/>
        <w:rPr>
          <w:rFonts w:ascii="Calibri" w:eastAsia="Calibri" w:hAnsi="Calibri" w:cs="Times"/>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4"/>
          <w:lang w:val="es-CR" w:eastAsia="es-CR"/>
        </w:rPr>
        <w:lastRenderedPageBreak/>
        <w:t>Ahora bien, en casos que presentaban similitudes con el presente, este Tribunal ha examinado la observancia de los derechos a las garantías judiciales y a la protección judicial luego de hacer lo propio respecto de otras vulneraciones alegadas</w:t>
      </w:r>
      <w:r w:rsidRPr="00873FEC">
        <w:rPr>
          <w:rFonts w:ascii="Verdana" w:eastAsia="Batang" w:hAnsi="Verdana" w:cs="Times New Roman"/>
          <w:sz w:val="20"/>
          <w:szCs w:val="20"/>
          <w:vertAlign w:val="superscript"/>
          <w:lang w:val="es-CR" w:eastAsia="es-CR"/>
        </w:rPr>
        <w:footnoteReference w:id="112"/>
      </w:r>
      <w:r w:rsidRPr="00873FEC">
        <w:rPr>
          <w:rFonts w:ascii="Verdana" w:eastAsia="Batang" w:hAnsi="Verdana" w:cs="Times"/>
          <w:sz w:val="20"/>
          <w:szCs w:val="24"/>
          <w:lang w:val="es-CR" w:eastAsia="es-CR"/>
        </w:rPr>
        <w:t xml:space="preserve">. En este caso, no obstante, la Corte advierte que Guatemala, como se indicó, ha expresado que a partir de la actuación de sus autoridades judiciales, debía considerarse que el caso ya ha sido “dilucidado” en el ámbito interno, e incluso que no debió ser conocido por este Tribunal. Además, de los argumentos estatales (que se reseñan más adelante) se desprende que Guatemala entiende que las actuaciones judiciales realizadas, que derivaron en la condena de 14 </w:t>
      </w:r>
      <w:r w:rsidR="00DC70EB" w:rsidRPr="00873FEC">
        <w:rPr>
          <w:rFonts w:ascii="Verdana" w:eastAsia="Batang" w:hAnsi="Verdana" w:cs="Times"/>
          <w:sz w:val="20"/>
          <w:szCs w:val="24"/>
          <w:lang w:val="es-CR" w:eastAsia="es-CR"/>
        </w:rPr>
        <w:t>personas, eximen al Estado no só</w:t>
      </w:r>
      <w:r w:rsidRPr="00873FEC">
        <w:rPr>
          <w:rFonts w:ascii="Verdana" w:eastAsia="Batang" w:hAnsi="Verdana" w:cs="Times"/>
          <w:sz w:val="20"/>
          <w:szCs w:val="24"/>
          <w:lang w:val="es-CR" w:eastAsia="es-CR"/>
        </w:rPr>
        <w:t xml:space="preserve">lo de responsabilidad respecto al deber de investigar los hechos del caso, sino también de violaciones a la vida y a la integridad personal que han sido alegadas. </w:t>
      </w:r>
    </w:p>
    <w:p w:rsidR="0057574C" w:rsidRPr="00873FEC" w:rsidRDefault="0057574C" w:rsidP="00126E97">
      <w:pPr>
        <w:spacing w:after="0" w:line="20" w:lineRule="atLeast"/>
        <w:ind w:left="720"/>
        <w:contextualSpacing/>
        <w:rPr>
          <w:rFonts w:ascii="Calibri" w:eastAsia="Calibri" w:hAnsi="Calibri" w:cs="Times"/>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4"/>
          <w:lang w:val="es-CR" w:eastAsia="es-CR"/>
        </w:rPr>
        <w:t>Por lo dicho, resulta necesario que la Corte evalúe la actividad judicial desplegada en el caso y, a partir de ello, verifique si existen motivos que permitan determinar violaciones a derechos convencionales. En efecto, dados los alegatos del Estado, puede existir una estrecha relación entre el modo en que han sido observados los derechos a las garantías y protección judiciales y la determinación que corresponda realizar sobre otros derechos. Por ello, la Corte analizará los argumentos en el siguiente orden: 1) derechos a las garantías judiciales y a la protección judicial; 2) derechos a la vida, a la integridad personal y derechos del niño</w:t>
      </w:r>
      <w:r w:rsidR="00DC70EB" w:rsidRPr="00873FEC">
        <w:rPr>
          <w:rFonts w:ascii="Verdana" w:eastAsia="Batang" w:hAnsi="Verdana" w:cs="Times"/>
          <w:sz w:val="20"/>
          <w:szCs w:val="24"/>
          <w:lang w:val="es-CR" w:eastAsia="es-CR"/>
        </w:rPr>
        <w:t>, en relación con la obligación de respetar los derechos sin discriminación</w:t>
      </w:r>
      <w:r w:rsidRPr="00873FEC">
        <w:rPr>
          <w:rFonts w:ascii="Verdana" w:eastAsia="Batang" w:hAnsi="Verdana" w:cs="Times"/>
          <w:sz w:val="20"/>
          <w:szCs w:val="24"/>
          <w:lang w:val="es-CR" w:eastAsia="es-CR"/>
        </w:rPr>
        <w:t xml:space="preserve">; 3) derecho a la integridad personal respecto de familiares de personas fallecidas y heridas; 4) derecho a la propiedad privada, y 5) derecho a la igualdad ante la ley.  </w:t>
      </w:r>
    </w:p>
    <w:p w:rsidR="0057574C" w:rsidRDefault="0057574C" w:rsidP="00126E97">
      <w:pPr>
        <w:spacing w:after="0" w:line="20" w:lineRule="atLeast"/>
        <w:ind w:right="-138"/>
        <w:jc w:val="center"/>
        <w:rPr>
          <w:rFonts w:ascii="Verdana" w:eastAsia="Batang" w:hAnsi="Verdana" w:cs="Times"/>
          <w:sz w:val="20"/>
          <w:szCs w:val="24"/>
          <w:lang w:val="es-CR" w:eastAsia="es-CR"/>
        </w:rPr>
      </w:pPr>
    </w:p>
    <w:p w:rsidR="000624C7" w:rsidRPr="00873FEC" w:rsidRDefault="000624C7" w:rsidP="00126E97">
      <w:pPr>
        <w:spacing w:after="0" w:line="20" w:lineRule="atLeast"/>
        <w:ind w:right="-138"/>
        <w:jc w:val="center"/>
        <w:rPr>
          <w:rFonts w:ascii="Verdana" w:eastAsia="Batang" w:hAnsi="Verdana" w:cs="Times"/>
          <w:sz w:val="20"/>
          <w:szCs w:val="24"/>
          <w:lang w:val="es-CR" w:eastAsia="es-CR"/>
        </w:rPr>
      </w:pPr>
    </w:p>
    <w:p w:rsidR="0057574C" w:rsidRPr="00873FEC" w:rsidRDefault="0057574C" w:rsidP="00126E97">
      <w:pPr>
        <w:keepNext/>
        <w:keepLines/>
        <w:spacing w:after="0" w:line="20" w:lineRule="atLeast"/>
        <w:jc w:val="center"/>
        <w:outlineLvl w:val="0"/>
        <w:rPr>
          <w:rFonts w:ascii="Verdana" w:eastAsia="Times New Roman" w:hAnsi="Verdana" w:cs="Verdana"/>
          <w:b/>
          <w:caps/>
          <w:sz w:val="20"/>
          <w:szCs w:val="20"/>
          <w:lang w:val="es-CR" w:eastAsia="es-CR"/>
        </w:rPr>
      </w:pPr>
      <w:bookmarkStart w:id="135" w:name="_Toc520207591"/>
      <w:bookmarkStart w:id="136" w:name="_Toc521694812"/>
      <w:bookmarkStart w:id="137" w:name="_Toc525201165"/>
      <w:bookmarkEnd w:id="135"/>
      <w:r w:rsidRPr="00873FEC">
        <w:rPr>
          <w:rFonts w:ascii="Verdana" w:eastAsia="Times New Roman" w:hAnsi="Verdana" w:cs="Verdana"/>
          <w:b/>
          <w:caps/>
          <w:sz w:val="20"/>
          <w:szCs w:val="20"/>
          <w:lang w:val="es-CR" w:eastAsia="es-CR"/>
        </w:rPr>
        <w:t>ViI.1</w:t>
      </w:r>
      <w:bookmarkEnd w:id="136"/>
      <w:bookmarkEnd w:id="137"/>
    </w:p>
    <w:p w:rsidR="0057574C" w:rsidRPr="00873FEC" w:rsidRDefault="0057574C" w:rsidP="00126E97">
      <w:pPr>
        <w:keepNext/>
        <w:keepLines/>
        <w:spacing w:after="0" w:line="20" w:lineRule="atLeast"/>
        <w:jc w:val="center"/>
        <w:outlineLvl w:val="0"/>
        <w:rPr>
          <w:rFonts w:ascii="Verdana" w:eastAsia="Times New Roman" w:hAnsi="Verdana" w:cs="Verdana"/>
          <w:b/>
          <w:caps/>
          <w:sz w:val="20"/>
          <w:szCs w:val="20"/>
          <w:lang w:val="es-CR" w:eastAsia="es-CR"/>
        </w:rPr>
      </w:pPr>
      <w:bookmarkStart w:id="138" w:name="_Toc520207592"/>
      <w:bookmarkStart w:id="139" w:name="_Toc521694813"/>
      <w:bookmarkStart w:id="140" w:name="_Toc525201166"/>
      <w:bookmarkEnd w:id="138"/>
      <w:r w:rsidRPr="00873FEC">
        <w:rPr>
          <w:rFonts w:ascii="Verdana" w:eastAsia="Batang" w:hAnsi="Verdana" w:cs="Verdana"/>
          <w:b/>
          <w:bCs/>
          <w:caps/>
          <w:sz w:val="20"/>
          <w:szCs w:val="20"/>
          <w:lang w:val="es-CR" w:eastAsia="es-CR"/>
        </w:rPr>
        <w:t>DERECHOS A LAS GARANTÍAS JUDICIALES</w:t>
      </w:r>
      <w:r w:rsidRPr="00873FEC">
        <w:rPr>
          <w:rFonts w:ascii="Verdana" w:eastAsia="Times New Roman" w:hAnsi="Verdana" w:cs="Times New Roman"/>
          <w:sz w:val="20"/>
          <w:szCs w:val="20"/>
          <w:vertAlign w:val="superscript"/>
          <w:lang w:val="es-CR" w:eastAsia="x-none"/>
        </w:rPr>
        <w:footnoteReference w:id="113"/>
      </w:r>
      <w:r w:rsidRPr="00873FEC">
        <w:rPr>
          <w:rFonts w:ascii="Verdana" w:eastAsia="Batang" w:hAnsi="Verdana" w:cs="Verdana"/>
          <w:b/>
          <w:bCs/>
          <w:caps/>
          <w:sz w:val="20"/>
          <w:szCs w:val="20"/>
          <w:lang w:val="es-CR" w:eastAsia="es-CR"/>
        </w:rPr>
        <w:t xml:space="preserve"> Y A LA PROTECCIÓN JUDICIAL</w:t>
      </w:r>
      <w:r w:rsidRPr="00873FEC">
        <w:rPr>
          <w:rFonts w:ascii="Verdana" w:eastAsia="Times New Roman" w:hAnsi="Verdana" w:cs="Times New Roman"/>
          <w:sz w:val="20"/>
          <w:szCs w:val="20"/>
          <w:vertAlign w:val="superscript"/>
          <w:lang w:val="es-CR" w:eastAsia="x-none"/>
        </w:rPr>
        <w:footnoteReference w:id="114"/>
      </w:r>
      <w:bookmarkEnd w:id="139"/>
      <w:bookmarkEnd w:id="140"/>
      <w:r w:rsidRPr="00873FEC">
        <w:rPr>
          <w:rFonts w:ascii="Verdana" w:eastAsia="Batang" w:hAnsi="Verdana" w:cs="Verdana"/>
          <w:b/>
          <w:bCs/>
          <w:caps/>
          <w:sz w:val="20"/>
          <w:szCs w:val="20"/>
          <w:lang w:val="es-CR" w:eastAsia="es-CR"/>
        </w:rPr>
        <w:t xml:space="preserve"> </w:t>
      </w:r>
    </w:p>
    <w:p w:rsidR="0057574C" w:rsidRPr="00873FEC" w:rsidRDefault="0057574C" w:rsidP="00126E97">
      <w:pPr>
        <w:spacing w:after="0" w:line="20" w:lineRule="atLeast"/>
        <w:ind w:right="-138"/>
        <w:jc w:val="both"/>
        <w:rPr>
          <w:rFonts w:ascii="Verdana" w:eastAsia="Batang" w:hAnsi="Verdana" w:cs="Times"/>
          <w:i/>
          <w:sz w:val="20"/>
          <w:szCs w:val="20"/>
          <w:lang w:val="es-CR" w:eastAsia="es-CR"/>
        </w:rPr>
      </w:pPr>
    </w:p>
    <w:p w:rsidR="0057574C" w:rsidRPr="00873FEC" w:rsidRDefault="0057574C" w:rsidP="00126E97">
      <w:pPr>
        <w:numPr>
          <w:ilvl w:val="0"/>
          <w:numId w:val="7"/>
        </w:numPr>
        <w:spacing w:after="0" w:line="20" w:lineRule="atLeast"/>
        <w:ind w:left="284" w:right="-138"/>
        <w:contextualSpacing/>
        <w:jc w:val="both"/>
        <w:outlineLvl w:val="1"/>
        <w:rPr>
          <w:rFonts w:ascii="Verdana" w:eastAsia="Calibri" w:hAnsi="Verdana" w:cs="Times"/>
          <w:b/>
          <w:i/>
          <w:sz w:val="20"/>
          <w:szCs w:val="20"/>
          <w:lang w:val="es-CR" w:eastAsia="es-CR"/>
        </w:rPr>
      </w:pPr>
      <w:bookmarkStart w:id="141" w:name="_Toc520207593"/>
      <w:bookmarkStart w:id="142" w:name="_Toc525201167"/>
      <w:bookmarkEnd w:id="141"/>
      <w:r w:rsidRPr="00873FEC">
        <w:rPr>
          <w:rFonts w:ascii="Verdana" w:eastAsia="Calibri" w:hAnsi="Verdana" w:cs="Times"/>
          <w:b/>
          <w:i/>
          <w:sz w:val="20"/>
          <w:szCs w:val="20"/>
          <w:lang w:val="es-CR" w:eastAsia="es-CR"/>
        </w:rPr>
        <w:t>Argumentos de la Comisión y las partes</w:t>
      </w:r>
      <w:bookmarkEnd w:id="142"/>
    </w:p>
    <w:p w:rsidR="0057574C" w:rsidRPr="00873FEC" w:rsidRDefault="0057574C" w:rsidP="00126E97">
      <w:pPr>
        <w:spacing w:after="0" w:line="20" w:lineRule="atLeast"/>
        <w:ind w:right="-138"/>
        <w:jc w:val="both"/>
        <w:rPr>
          <w:rFonts w:ascii="Verdana" w:eastAsia="Batang" w:hAnsi="Verdana" w:cs="Times"/>
          <w:sz w:val="20"/>
          <w:szCs w:val="24"/>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 xml:space="preserve">La </w:t>
      </w:r>
      <w:r w:rsidRPr="00873FEC">
        <w:rPr>
          <w:rFonts w:ascii="Verdana" w:eastAsia="Batang" w:hAnsi="Verdana" w:cs="Times"/>
          <w:b/>
          <w:i/>
          <w:sz w:val="20"/>
          <w:szCs w:val="20"/>
          <w:lang w:val="es-CR" w:eastAsia="es-CR"/>
        </w:rPr>
        <w:t>Comisión</w:t>
      </w:r>
      <w:r w:rsidRPr="00873FEC">
        <w:rPr>
          <w:rFonts w:ascii="Verdana" w:eastAsia="Batang" w:hAnsi="Verdana" w:cs="Times"/>
          <w:sz w:val="20"/>
          <w:szCs w:val="20"/>
          <w:lang w:val="es-CR" w:eastAsia="es-CR"/>
        </w:rPr>
        <w:t>, entendió que el Estado violó los artículos 8.1 y 25.1 de la Convención en perjuicio de las personas sobrevivientes y de los familiares de las personas muertas y heridas. Ello, dado que: a) se afectó la independencia e imparcialidad mientras la investigación estuvo en la jurisdicción militar, dada la intervención del fuero castrense; b</w:t>
      </w:r>
      <w:r w:rsidRPr="00873FEC">
        <w:rPr>
          <w:rFonts w:ascii="Verdana" w:eastAsia="Times New Roman" w:hAnsi="Verdana" w:cs="Times New Roman"/>
          <w:bCs/>
          <w:color w:val="000000"/>
          <w:sz w:val="20"/>
          <w:szCs w:val="20"/>
          <w:lang w:val="es-CR" w:eastAsia="es-CR"/>
        </w:rPr>
        <w:t xml:space="preserve">) </w:t>
      </w:r>
      <w:r w:rsidRPr="00873FEC">
        <w:rPr>
          <w:rFonts w:ascii="Verdana" w:eastAsia="Batang" w:hAnsi="Verdana" w:cs="Times"/>
          <w:sz w:val="20"/>
          <w:szCs w:val="20"/>
          <w:lang w:val="es-CR" w:eastAsia="es-CR"/>
        </w:rPr>
        <w:t>las actuaciones no se condujeron en un plazo razonable, pues resultó excesivo el tiempo de nueve años que demoró la justicia interna en sancionar a responsables</w:t>
      </w:r>
      <w:r w:rsidRPr="00873FEC">
        <w:rPr>
          <w:rFonts w:ascii="Verdana" w:eastAsia="Batang" w:hAnsi="Verdana" w:cs="Times New Roman"/>
          <w:sz w:val="20"/>
          <w:szCs w:val="20"/>
          <w:vertAlign w:val="superscript"/>
          <w:lang w:val="es-CR" w:eastAsia="x-none"/>
        </w:rPr>
        <w:footnoteReference w:id="115"/>
      </w:r>
      <w:r w:rsidRPr="00873FEC">
        <w:rPr>
          <w:rFonts w:ascii="Verdana" w:eastAsia="Batang" w:hAnsi="Verdana" w:cs="Times"/>
          <w:sz w:val="20"/>
          <w:szCs w:val="20"/>
          <w:lang w:val="es-CR" w:eastAsia="es-CR"/>
        </w:rPr>
        <w:t xml:space="preserve">, y c) hubo “deficiencias e irregularidades”, por: i.-el </w:t>
      </w:r>
      <w:r w:rsidRPr="00873FEC">
        <w:rPr>
          <w:rFonts w:ascii="Verdana" w:eastAsia="Batang" w:hAnsi="Verdana" w:cs="Times"/>
          <w:sz w:val="20"/>
          <w:szCs w:val="20"/>
          <w:lang w:val="es-CR" w:eastAsia="es-CR"/>
        </w:rPr>
        <w:lastRenderedPageBreak/>
        <w:t xml:space="preserve">modo en que se realizó el manejo de la prueba; ii.- “largos periodos de inactividad”; iii.-la falta de “realización de algunas diligencias”; iv.- la “aceptación contraria al marco legal de distintos recursos y pruebas por parte de la defensa de los procesados” y el “rechazo no motivado de pruebas y declaraciones por parte de la querellante”, y v.- la falta de adopción de medidas respecto a amenazas y hostigamientos en contra de diversos actores en el proceso, lo que a su vez repercutió en las actuaciones, particularmente en su demora.  </w:t>
      </w:r>
    </w:p>
    <w:p w:rsidR="0057574C" w:rsidRPr="00873FEC" w:rsidRDefault="0057574C" w:rsidP="00126E97">
      <w:pPr>
        <w:spacing w:after="0" w:line="20" w:lineRule="atLeast"/>
        <w:ind w:right="-138"/>
        <w:jc w:val="both"/>
        <w:rPr>
          <w:rFonts w:ascii="Verdana" w:eastAsia="Batang" w:hAnsi="Verdana" w:cs="Times"/>
          <w:sz w:val="20"/>
          <w:szCs w:val="24"/>
          <w:lang w:val="es-CR" w:eastAsia="es-CR"/>
        </w:rPr>
      </w:pPr>
    </w:p>
    <w:p w:rsidR="0057574C" w:rsidRPr="00873FEC" w:rsidRDefault="0057574C"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 xml:space="preserve">Los </w:t>
      </w:r>
      <w:r w:rsidRPr="00873FEC">
        <w:rPr>
          <w:rFonts w:ascii="Verdana" w:eastAsia="Batang" w:hAnsi="Verdana" w:cs="Times"/>
          <w:b/>
          <w:i/>
          <w:sz w:val="20"/>
          <w:szCs w:val="20"/>
          <w:lang w:val="es-CR" w:eastAsia="es-CR"/>
        </w:rPr>
        <w:t>representantes</w:t>
      </w:r>
      <w:r w:rsidRPr="00873FEC">
        <w:rPr>
          <w:rFonts w:ascii="Verdana" w:eastAsia="Batang" w:hAnsi="Verdana" w:cs="Times"/>
          <w:b/>
          <w:sz w:val="20"/>
          <w:szCs w:val="20"/>
          <w:lang w:val="es-CR" w:eastAsia="es-CR"/>
        </w:rPr>
        <w:t xml:space="preserve"> </w:t>
      </w:r>
      <w:r w:rsidRPr="00873FEC">
        <w:rPr>
          <w:rFonts w:ascii="Verdana" w:eastAsia="Batang" w:hAnsi="Verdana" w:cs="Times"/>
          <w:sz w:val="20"/>
          <w:szCs w:val="20"/>
          <w:lang w:val="es-CR" w:eastAsia="es-CR"/>
        </w:rPr>
        <w:t xml:space="preserve">manifestaron que fueron violados los derechos </w:t>
      </w:r>
      <w:r w:rsidR="000C5676">
        <w:rPr>
          <w:rFonts w:ascii="Verdana" w:eastAsia="Batang" w:hAnsi="Verdana" w:cs="Times"/>
          <w:sz w:val="20"/>
          <w:szCs w:val="20"/>
          <w:lang w:val="es-CR" w:eastAsia="es-CR"/>
        </w:rPr>
        <w:t>a las</w:t>
      </w:r>
      <w:r w:rsidRPr="00873FEC">
        <w:rPr>
          <w:rFonts w:ascii="Verdana" w:eastAsia="Batang" w:hAnsi="Verdana" w:cs="Times"/>
          <w:sz w:val="20"/>
          <w:szCs w:val="20"/>
          <w:lang w:val="es-CR" w:eastAsia="es-CR"/>
        </w:rPr>
        <w:t xml:space="preserve"> garantías judiciales y protección judicial de las presuntas víctimas, debido a que las investigaciones penales nacionales tuvieron “una serie de irregularidades, falencias y omisiones”. Calificaron el proceso como “inconcluso”. Adujeron que debe “</w:t>
      </w:r>
      <w:proofErr w:type="gramStart"/>
      <w:r w:rsidRPr="00873FEC">
        <w:rPr>
          <w:rFonts w:ascii="Verdana" w:eastAsia="Batang" w:hAnsi="Verdana" w:cs="Times"/>
          <w:sz w:val="20"/>
          <w:szCs w:val="20"/>
          <w:lang w:val="es-CR" w:eastAsia="es-CR"/>
        </w:rPr>
        <w:t>completar[</w:t>
      </w:r>
      <w:proofErr w:type="gramEnd"/>
      <w:r w:rsidRPr="00873FEC">
        <w:rPr>
          <w:rFonts w:ascii="Verdana" w:eastAsia="Batang" w:hAnsi="Verdana" w:cs="Times"/>
          <w:sz w:val="20"/>
          <w:szCs w:val="20"/>
          <w:lang w:val="es-CR" w:eastAsia="es-CR"/>
        </w:rPr>
        <w:t>se] la investigación, no solo de autores intelectuales sino de la cadena de mando”. Enfatizaron también que “[a]</w:t>
      </w:r>
      <w:proofErr w:type="spellStart"/>
      <w:r w:rsidRPr="00873FEC">
        <w:rPr>
          <w:rFonts w:ascii="Verdana" w:eastAsia="Batang" w:hAnsi="Verdana" w:cs="Times"/>
          <w:sz w:val="20"/>
          <w:szCs w:val="20"/>
          <w:lang w:val="es-CR" w:eastAsia="es-CR"/>
        </w:rPr>
        <w:t>ún</w:t>
      </w:r>
      <w:proofErr w:type="spellEnd"/>
      <w:r w:rsidRPr="00873FEC">
        <w:rPr>
          <w:rFonts w:ascii="Verdana" w:eastAsia="Batang" w:hAnsi="Verdana" w:cs="Times"/>
          <w:sz w:val="20"/>
          <w:szCs w:val="20"/>
          <w:lang w:val="es-CR" w:eastAsia="es-CR"/>
        </w:rPr>
        <w:t xml:space="preserve"> quedan pendientes algunas capturas”, y que el trámite actualmente está “abandonado” sin información sobre personas que están “prófugas”</w:t>
      </w:r>
      <w:r w:rsidRPr="00873FEC">
        <w:rPr>
          <w:rFonts w:ascii="Verdana" w:eastAsia="Batang" w:hAnsi="Verdana" w:cs="Times"/>
          <w:b/>
          <w:sz w:val="16"/>
          <w:szCs w:val="16"/>
          <w:lang w:val="es-CR" w:eastAsia="es-CR"/>
        </w:rPr>
        <w:t xml:space="preserve"> </w:t>
      </w:r>
      <w:r w:rsidRPr="00873FEC">
        <w:rPr>
          <w:rFonts w:ascii="Verdana" w:eastAsia="Batang" w:hAnsi="Verdana" w:cs="Times"/>
          <w:sz w:val="20"/>
          <w:szCs w:val="20"/>
          <w:lang w:val="es-CR" w:eastAsia="es-CR"/>
        </w:rPr>
        <w:t xml:space="preserve">hace “más de dos décadas”. En la audiencia pública consideraron que “no es posible que ya las personas [condenadas] vayan a salir [en libertad luego] de </w:t>
      </w:r>
      <w:r w:rsidR="00F5049E" w:rsidRPr="00873FEC">
        <w:rPr>
          <w:rFonts w:ascii="Verdana" w:eastAsia="Batang" w:hAnsi="Verdana" w:cs="Times"/>
          <w:sz w:val="20"/>
          <w:szCs w:val="20"/>
          <w:lang w:val="es-CR" w:eastAsia="es-CR"/>
        </w:rPr>
        <w:t>cumplir una condena sin que la C</w:t>
      </w:r>
      <w:r w:rsidRPr="00873FEC">
        <w:rPr>
          <w:rFonts w:ascii="Verdana" w:eastAsia="Batang" w:hAnsi="Verdana" w:cs="Times"/>
          <w:sz w:val="20"/>
          <w:szCs w:val="20"/>
          <w:lang w:val="es-CR" w:eastAsia="es-CR"/>
        </w:rPr>
        <w:t>omunidad haya podido tener una reparación digna”. Luego, en sus alegatos finales escritos, presentados el 9 de marzo de 2018, indicaron que algunas “personas ya están libres”, y que otras “podrán solicitar su libertad” en fechas próximas</w:t>
      </w:r>
      <w:r w:rsidRPr="00873FEC">
        <w:rPr>
          <w:rFonts w:ascii="Verdana" w:eastAsia="Batang" w:hAnsi="Verdana" w:cs="Times New Roman"/>
          <w:sz w:val="20"/>
          <w:szCs w:val="20"/>
          <w:vertAlign w:val="superscript"/>
          <w:lang w:val="es-CR" w:eastAsia="x-none"/>
        </w:rPr>
        <w:footnoteReference w:id="116"/>
      </w:r>
      <w:r w:rsidRPr="00873FEC">
        <w:rPr>
          <w:rFonts w:ascii="Verdana" w:eastAsia="Batang" w:hAnsi="Verdana" w:cs="Times"/>
          <w:sz w:val="20"/>
          <w:szCs w:val="20"/>
          <w:lang w:val="es-CR" w:eastAsia="es-CR"/>
        </w:rPr>
        <w:t>. Por otra parte, entendieron que se vulneró la razonabilidad del plazo pues se demoró “[diez] años para poder concluir el proceso penal” y todavía “existen órdenes de captura pendientes para 11 personas, lo cual constituye 22 años de impunidad”</w:t>
      </w:r>
      <w:r w:rsidRPr="00873FEC">
        <w:rPr>
          <w:rFonts w:ascii="Verdana" w:eastAsia="Batang" w:hAnsi="Verdana" w:cs="Times New Roman"/>
          <w:sz w:val="20"/>
          <w:szCs w:val="20"/>
          <w:vertAlign w:val="superscript"/>
          <w:lang w:val="es-CR" w:eastAsia="x-none"/>
        </w:rPr>
        <w:footnoteReference w:id="117"/>
      </w:r>
      <w:r w:rsidRPr="00873FEC">
        <w:rPr>
          <w:rFonts w:ascii="Verdana" w:eastAsia="Batang" w:hAnsi="Verdana" w:cs="Times"/>
          <w:sz w:val="20"/>
          <w:szCs w:val="20"/>
          <w:lang w:val="es-CR" w:eastAsia="es-CR"/>
        </w:rPr>
        <w:t>.</w:t>
      </w:r>
    </w:p>
    <w:p w:rsidR="0057574C" w:rsidRPr="00873FEC" w:rsidRDefault="0057574C" w:rsidP="00126E97">
      <w:pPr>
        <w:spacing w:after="0" w:line="20" w:lineRule="atLeast"/>
        <w:ind w:left="720"/>
        <w:contextualSpacing/>
        <w:rPr>
          <w:rFonts w:ascii="Calibri" w:eastAsia="Calibri" w:hAnsi="Calibri" w:cs="Times"/>
          <w:szCs w:val="20"/>
          <w:lang w:val="es-CR" w:eastAsia="es-CR"/>
        </w:rPr>
      </w:pPr>
    </w:p>
    <w:p w:rsidR="0057574C" w:rsidRPr="00873FEC" w:rsidRDefault="0057574C" w:rsidP="00126E97">
      <w:pPr>
        <w:numPr>
          <w:ilvl w:val="0"/>
          <w:numId w:val="3"/>
        </w:numPr>
        <w:spacing w:after="0" w:line="20" w:lineRule="atLeast"/>
        <w:ind w:right="-138"/>
        <w:jc w:val="both"/>
        <w:rPr>
          <w:rFonts w:ascii="Verdana" w:eastAsia="Calibri" w:hAnsi="Verdana" w:cs="Times New Roman"/>
          <w:sz w:val="20"/>
          <w:szCs w:val="20"/>
          <w:lang w:val="es-CR" w:eastAsia="es-CR"/>
        </w:rPr>
      </w:pPr>
      <w:r w:rsidRPr="00873FEC">
        <w:rPr>
          <w:rFonts w:ascii="Verdana" w:eastAsia="Batang" w:hAnsi="Verdana" w:cs="Times"/>
          <w:sz w:val="20"/>
          <w:szCs w:val="20"/>
          <w:lang w:val="es-CR" w:eastAsia="es-CR"/>
        </w:rPr>
        <w:t xml:space="preserve">El </w:t>
      </w:r>
      <w:r w:rsidRPr="00873FEC">
        <w:rPr>
          <w:rFonts w:ascii="Verdana" w:eastAsia="Batang" w:hAnsi="Verdana" w:cs="Times"/>
          <w:b/>
          <w:i/>
          <w:sz w:val="20"/>
          <w:szCs w:val="20"/>
          <w:lang w:val="es-CR" w:eastAsia="es-CR"/>
        </w:rPr>
        <w:t>Estado</w:t>
      </w:r>
      <w:r w:rsidRPr="00873FEC">
        <w:rPr>
          <w:rFonts w:ascii="Verdana" w:eastAsia="Batang" w:hAnsi="Verdana" w:cs="Times"/>
          <w:sz w:val="20"/>
          <w:szCs w:val="20"/>
          <w:lang w:val="es-CR" w:eastAsia="es-CR"/>
        </w:rPr>
        <w:t xml:space="preserve"> afirmó haber cumplido con los artículos 8 y 25 de la Convención. Enfatizó que “garantizó el acceso a los tribunales […] y a un recurso efectivo […] de tal forma que se dictó una sentencia condenatoria”. Entendió que su “actuar </w:t>
      </w:r>
      <w:proofErr w:type="gramStart"/>
      <w:r w:rsidRPr="00873FEC">
        <w:rPr>
          <w:rFonts w:ascii="Verdana" w:eastAsia="Batang" w:hAnsi="Verdana" w:cs="Times"/>
          <w:sz w:val="20"/>
          <w:szCs w:val="20"/>
          <w:lang w:val="es-CR" w:eastAsia="es-CR"/>
        </w:rPr>
        <w:t>diligente[</w:t>
      </w:r>
      <w:proofErr w:type="gramEnd"/>
      <w:r w:rsidRPr="00873FEC">
        <w:rPr>
          <w:rFonts w:ascii="Verdana" w:eastAsia="Calibri" w:hAnsi="Verdana" w:cs="Times New Roman"/>
          <w:sz w:val="20"/>
          <w:szCs w:val="20"/>
          <w:vertAlign w:val="superscript"/>
          <w:lang w:val="es-CR" w:eastAsia="x-none"/>
        </w:rPr>
        <w:footnoteReference w:id="118"/>
      </w:r>
      <w:r w:rsidRPr="00873FEC">
        <w:rPr>
          <w:rFonts w:ascii="Verdana" w:eastAsia="Batang" w:hAnsi="Verdana" w:cs="Times"/>
          <w:sz w:val="20"/>
          <w:szCs w:val="20"/>
          <w:lang w:val="es-CR" w:eastAsia="es-CR"/>
        </w:rPr>
        <w:t xml:space="preserve"> …] </w:t>
      </w:r>
      <w:r w:rsidRPr="00873FEC">
        <w:rPr>
          <w:rFonts w:ascii="Verdana" w:eastAsia="Calibri" w:hAnsi="Verdana" w:cs="Times New Roman"/>
          <w:sz w:val="20"/>
          <w:szCs w:val="20"/>
          <w:lang w:val="es-CR" w:eastAsia="es-CR"/>
        </w:rPr>
        <w:t>concluyó con la sentencia condenatoria</w:t>
      </w:r>
      <w:r w:rsidRPr="00873FEC">
        <w:rPr>
          <w:rFonts w:ascii="Verdana" w:eastAsia="Batang" w:hAnsi="Verdana" w:cs="Times"/>
          <w:sz w:val="20"/>
          <w:szCs w:val="20"/>
          <w:lang w:val="es-CR" w:eastAsia="es-CR"/>
        </w:rPr>
        <w:t xml:space="preserve"> </w:t>
      </w:r>
      <w:r w:rsidRPr="00873FEC">
        <w:rPr>
          <w:rFonts w:ascii="Verdana" w:eastAsia="Calibri" w:hAnsi="Verdana" w:cs="Times New Roman"/>
          <w:sz w:val="20"/>
          <w:szCs w:val="20"/>
          <w:lang w:val="es-CR" w:eastAsia="es-CR"/>
        </w:rPr>
        <w:t xml:space="preserve">a 14 miembros de las fuerzas de seguridad nacional y la orden de aprehensión en contra de 11 personas las cuales se encuentra[n] vigentes debido a que </w:t>
      </w:r>
      <w:proofErr w:type="spellStart"/>
      <w:r w:rsidRPr="00873FEC">
        <w:rPr>
          <w:rFonts w:ascii="Verdana" w:eastAsia="Calibri" w:hAnsi="Verdana" w:cs="Times New Roman"/>
          <w:sz w:val="20"/>
          <w:szCs w:val="20"/>
          <w:lang w:val="es-CR" w:eastAsia="es-CR"/>
        </w:rPr>
        <w:t>ést</w:t>
      </w:r>
      <w:proofErr w:type="spellEnd"/>
      <w:r w:rsidRPr="00873FEC">
        <w:rPr>
          <w:rFonts w:ascii="Verdana" w:eastAsia="Calibri" w:hAnsi="Verdana" w:cs="Times New Roman"/>
          <w:sz w:val="20"/>
          <w:szCs w:val="20"/>
          <w:lang w:val="es-CR" w:eastAsia="es-CR"/>
        </w:rPr>
        <w:t xml:space="preserve">[a]s están </w:t>
      </w:r>
      <w:proofErr w:type="spellStart"/>
      <w:r w:rsidRPr="00873FEC">
        <w:rPr>
          <w:rFonts w:ascii="Verdana" w:eastAsia="Calibri" w:hAnsi="Verdana" w:cs="Times New Roman"/>
          <w:sz w:val="20"/>
          <w:szCs w:val="20"/>
          <w:lang w:val="es-CR" w:eastAsia="es-CR"/>
        </w:rPr>
        <w:t>prófug</w:t>
      </w:r>
      <w:proofErr w:type="spellEnd"/>
      <w:r w:rsidRPr="00873FEC">
        <w:rPr>
          <w:rFonts w:ascii="Verdana" w:eastAsia="Calibri" w:hAnsi="Verdana" w:cs="Times New Roman"/>
          <w:sz w:val="20"/>
          <w:szCs w:val="20"/>
          <w:lang w:val="es-CR" w:eastAsia="es-CR"/>
        </w:rPr>
        <w:t xml:space="preserve">[a]s de la </w:t>
      </w:r>
      <w:r w:rsidRPr="00873FEC">
        <w:rPr>
          <w:rFonts w:ascii="Verdana" w:eastAsia="Batang" w:hAnsi="Verdana" w:cs="Times New Roman"/>
          <w:sz w:val="20"/>
          <w:szCs w:val="20"/>
          <w:lang w:val="es-CR" w:eastAsia="es-CR"/>
        </w:rPr>
        <w:t xml:space="preserve">justicia”. </w:t>
      </w:r>
      <w:r w:rsidRPr="00873FEC">
        <w:rPr>
          <w:rFonts w:ascii="Verdana" w:eastAsia="Calibri" w:hAnsi="Verdana" w:cs="Times New Roman"/>
          <w:sz w:val="20"/>
          <w:szCs w:val="20"/>
          <w:lang w:val="es-CR" w:eastAsia="es-CR"/>
        </w:rPr>
        <w:t>A</w:t>
      </w:r>
      <w:r w:rsidRPr="00873FEC">
        <w:rPr>
          <w:rFonts w:ascii="Verdana" w:eastAsia="Batang" w:hAnsi="Verdana" w:cs="Times"/>
          <w:sz w:val="20"/>
          <w:szCs w:val="24"/>
          <w:lang w:val="es-CR" w:eastAsia="es-CR"/>
        </w:rPr>
        <w:t xml:space="preserve">gregó </w:t>
      </w:r>
      <w:r w:rsidRPr="00873FEC">
        <w:rPr>
          <w:rFonts w:ascii="Verdana" w:eastAsia="Batang" w:hAnsi="Verdana" w:cs="Times"/>
          <w:sz w:val="20"/>
          <w:szCs w:val="20"/>
          <w:lang w:val="es-CR" w:eastAsia="es-CR"/>
        </w:rPr>
        <w:t xml:space="preserve">que “las presuntas víctimas […] han tenido participación desde el inicio del caso”. Señaló que aunque el </w:t>
      </w:r>
      <w:r w:rsidRPr="00873FEC">
        <w:rPr>
          <w:rFonts w:ascii="Verdana" w:eastAsia="Batang" w:hAnsi="Verdana" w:cs="Times"/>
          <w:sz w:val="20"/>
          <w:szCs w:val="20"/>
          <w:lang w:val="es-CR" w:eastAsia="es-CR"/>
        </w:rPr>
        <w:lastRenderedPageBreak/>
        <w:t xml:space="preserve">proceso se inició en la jurisdicción militar, luego se trasladó al fuero común. Recordó que la Corte “no es un tribunal de cuarta instancia” y no puede examinar supuestos errores de derecho o de hecho de los tribunales nacionales. Por último, adujo que la duración del proceso debe evaluarse considerando que el mismo fue “complejo” y porque “se suscitaron” diversas “incidencias”. </w:t>
      </w:r>
    </w:p>
    <w:p w:rsidR="0057574C" w:rsidRPr="00873FEC" w:rsidRDefault="0057574C" w:rsidP="00126E97">
      <w:pPr>
        <w:spacing w:after="0" w:line="20" w:lineRule="atLeast"/>
        <w:ind w:right="-138"/>
        <w:jc w:val="both"/>
        <w:rPr>
          <w:rFonts w:ascii="Verdana" w:eastAsia="Batang" w:hAnsi="Verdana" w:cs="Times"/>
          <w:sz w:val="20"/>
          <w:szCs w:val="24"/>
          <w:lang w:val="es-CR" w:eastAsia="es-CR"/>
        </w:rPr>
      </w:pPr>
    </w:p>
    <w:p w:rsidR="0057574C" w:rsidRPr="00873FEC" w:rsidRDefault="0057574C" w:rsidP="00126E97">
      <w:pPr>
        <w:numPr>
          <w:ilvl w:val="0"/>
          <w:numId w:val="7"/>
        </w:numPr>
        <w:spacing w:after="0" w:line="20" w:lineRule="atLeast"/>
        <w:ind w:left="284"/>
        <w:contextualSpacing/>
        <w:jc w:val="both"/>
        <w:outlineLvl w:val="1"/>
        <w:rPr>
          <w:rFonts w:ascii="Verdana" w:eastAsia="Calibri" w:hAnsi="Verdana" w:cs="Times"/>
          <w:b/>
          <w:i/>
          <w:sz w:val="20"/>
          <w:szCs w:val="20"/>
          <w:lang w:val="es-CR" w:eastAsia="es-CR"/>
        </w:rPr>
      </w:pPr>
      <w:bookmarkStart w:id="143" w:name="_Toc520207594"/>
      <w:bookmarkStart w:id="144" w:name="_Toc525201168"/>
      <w:bookmarkEnd w:id="143"/>
      <w:r w:rsidRPr="00873FEC">
        <w:rPr>
          <w:rFonts w:ascii="Verdana" w:eastAsia="Calibri" w:hAnsi="Verdana" w:cs="Times"/>
          <w:b/>
          <w:i/>
          <w:sz w:val="20"/>
          <w:szCs w:val="20"/>
          <w:lang w:val="es-CR" w:eastAsia="es-CR"/>
        </w:rPr>
        <w:t>Consideraciones de la Corte</w:t>
      </w:r>
      <w:bookmarkEnd w:id="144"/>
    </w:p>
    <w:p w:rsidR="0057574C" w:rsidRPr="00873FEC" w:rsidRDefault="0057574C" w:rsidP="00126E97">
      <w:pPr>
        <w:spacing w:after="0" w:line="20" w:lineRule="atLeast"/>
        <w:ind w:right="-138"/>
        <w:jc w:val="both"/>
        <w:rPr>
          <w:rFonts w:ascii="Verdana" w:eastAsia="Batang" w:hAnsi="Verdana" w:cs="Times"/>
          <w:sz w:val="20"/>
          <w:szCs w:val="24"/>
          <w:lang w:val="en-US" w:eastAsia="es-CR"/>
        </w:rPr>
      </w:pPr>
    </w:p>
    <w:p w:rsidR="0057574C" w:rsidRPr="00873FEC" w:rsidRDefault="0057574C" w:rsidP="00126E97">
      <w:pPr>
        <w:numPr>
          <w:ilvl w:val="0"/>
          <w:numId w:val="3"/>
        </w:numPr>
        <w:spacing w:after="0" w:line="20" w:lineRule="atLeast"/>
        <w:ind w:right="-138"/>
        <w:jc w:val="both"/>
        <w:rPr>
          <w:rFonts w:ascii="Verdana" w:eastAsia="Calibri" w:hAnsi="Verdana" w:cs="Times New Roman"/>
          <w:sz w:val="20"/>
          <w:szCs w:val="20"/>
          <w:lang w:val="es-CR" w:eastAsia="es-CR"/>
        </w:rPr>
      </w:pPr>
      <w:r w:rsidRPr="00873FEC">
        <w:rPr>
          <w:rFonts w:ascii="Verdana" w:eastAsia="Batang" w:hAnsi="Verdana" w:cs="Times New Roman"/>
          <w:sz w:val="20"/>
          <w:szCs w:val="20"/>
          <w:lang w:val="es-CR" w:eastAsia="es-CR"/>
        </w:rPr>
        <w:t>De</w:t>
      </w:r>
      <w:r w:rsidRPr="00873FEC">
        <w:rPr>
          <w:rFonts w:ascii="Verdana" w:eastAsia="Batang" w:hAnsi="Verdana" w:cs="Times"/>
          <w:sz w:val="20"/>
          <w:szCs w:val="24"/>
          <w:lang w:val="es-CR" w:eastAsia="es-CR"/>
        </w:rPr>
        <w:t xml:space="preserve"> </w:t>
      </w:r>
      <w:r w:rsidRPr="00873FEC">
        <w:rPr>
          <w:rFonts w:ascii="Verdana" w:eastAsia="Calibri" w:hAnsi="Verdana" w:cs="Times"/>
          <w:kern w:val="1"/>
          <w:sz w:val="20"/>
          <w:szCs w:val="20"/>
          <w:lang w:eastAsia="es-CR"/>
        </w:rPr>
        <w:t xml:space="preserve">conformidad con la Convención Americana, los Estados Partes están </w:t>
      </w:r>
      <w:r w:rsidRPr="00873FEC">
        <w:rPr>
          <w:rFonts w:ascii="Verdana" w:eastAsia="Batang" w:hAnsi="Verdana" w:cs="Times"/>
          <w:kern w:val="1"/>
          <w:sz w:val="20"/>
          <w:szCs w:val="20"/>
          <w:lang w:eastAsia="es-CR"/>
        </w:rPr>
        <w:t>obligados</w:t>
      </w:r>
      <w:r w:rsidRPr="00873FEC">
        <w:rPr>
          <w:rFonts w:ascii="Verdana" w:eastAsia="Calibri" w:hAnsi="Verdana" w:cs="Times"/>
          <w:kern w:val="1"/>
          <w:sz w:val="20"/>
          <w:szCs w:val="20"/>
          <w:lang w:eastAsia="es-CR"/>
        </w:rPr>
        <w:t xml:space="preserve"> a suministrar recursos judiciales efectivos a las víctimas de </w:t>
      </w:r>
      <w:r w:rsidRPr="00873FEC">
        <w:rPr>
          <w:rFonts w:ascii="Verdana" w:eastAsia="Batang" w:hAnsi="Verdana" w:cs="Times"/>
          <w:kern w:val="1"/>
          <w:sz w:val="20"/>
          <w:szCs w:val="20"/>
          <w:lang w:eastAsia="es-CR"/>
        </w:rPr>
        <w:t>violaciones</w:t>
      </w:r>
      <w:r w:rsidRPr="00873FEC">
        <w:rPr>
          <w:rFonts w:ascii="Verdana" w:eastAsia="Calibri" w:hAnsi="Verdana" w:cs="Times"/>
          <w:kern w:val="1"/>
          <w:sz w:val="20"/>
          <w:szCs w:val="20"/>
          <w:lang w:eastAsia="es-CR"/>
        </w:rPr>
        <w:t xml:space="preserve"> a los derechos humanos (artículo 25),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873FEC">
        <w:rPr>
          <w:rFonts w:ascii="Verdana" w:eastAsia="Calibri" w:hAnsi="Verdana" w:cs="Times New Roman"/>
          <w:kern w:val="1"/>
          <w:sz w:val="20"/>
          <w:szCs w:val="20"/>
          <w:vertAlign w:val="superscript"/>
          <w:lang w:eastAsia="x-none"/>
        </w:rPr>
        <w:footnoteReference w:id="119"/>
      </w:r>
      <w:r w:rsidRPr="00873FEC">
        <w:rPr>
          <w:rFonts w:ascii="Verdana" w:eastAsia="Calibri" w:hAnsi="Verdana" w:cs="Times"/>
          <w:kern w:val="1"/>
          <w:sz w:val="20"/>
          <w:szCs w:val="20"/>
          <w:lang w:eastAsia="es-CR"/>
        </w:rPr>
        <w:t xml:space="preserve">. </w:t>
      </w:r>
    </w:p>
    <w:p w:rsidR="0057574C" w:rsidRPr="00873FEC" w:rsidRDefault="0057574C" w:rsidP="00126E97">
      <w:pPr>
        <w:spacing w:after="0" w:line="20" w:lineRule="atLeast"/>
        <w:ind w:right="-138"/>
        <w:jc w:val="both"/>
        <w:rPr>
          <w:rFonts w:ascii="Verdana" w:eastAsia="Calibri" w:hAnsi="Verdana" w:cs="Times New Roman"/>
          <w:sz w:val="20"/>
          <w:szCs w:val="20"/>
          <w:lang w:val="es-CR" w:eastAsia="es-CR"/>
        </w:rPr>
      </w:pPr>
    </w:p>
    <w:p w:rsidR="0057574C" w:rsidRPr="00873FEC" w:rsidRDefault="0057574C" w:rsidP="00126E97">
      <w:pPr>
        <w:numPr>
          <w:ilvl w:val="0"/>
          <w:numId w:val="3"/>
        </w:numPr>
        <w:spacing w:after="0" w:line="20" w:lineRule="atLeast"/>
        <w:ind w:right="-138"/>
        <w:jc w:val="both"/>
        <w:rPr>
          <w:rFonts w:ascii="Verdana" w:eastAsia="Calibri" w:hAnsi="Verdana" w:cs="Times New Roman"/>
          <w:sz w:val="20"/>
          <w:szCs w:val="20"/>
          <w:lang w:val="es-CR" w:eastAsia="es-CR"/>
        </w:rPr>
      </w:pPr>
      <w:r w:rsidRPr="00873FEC">
        <w:rPr>
          <w:rFonts w:ascii="Verdana" w:eastAsia="Calibri" w:hAnsi="Verdana" w:cs="Times"/>
          <w:kern w:val="1"/>
          <w:sz w:val="20"/>
          <w:szCs w:val="20"/>
          <w:lang w:val="es-CR" w:eastAsia="es-CR"/>
        </w:rPr>
        <w:t>Con base en lo anterior, la Corte examinará las actuaciones de investigación vinculadas a la justicia penal</w:t>
      </w:r>
      <w:r w:rsidR="00795393">
        <w:rPr>
          <w:rFonts w:ascii="Verdana" w:eastAsia="Calibri" w:hAnsi="Verdana" w:cs="Times"/>
          <w:kern w:val="1"/>
          <w:sz w:val="20"/>
          <w:szCs w:val="20"/>
          <w:lang w:val="es-CR" w:eastAsia="es-CR"/>
        </w:rPr>
        <w:t>.</w:t>
      </w:r>
      <w:r w:rsidRPr="00873FEC">
        <w:rPr>
          <w:rFonts w:ascii="Verdana" w:eastAsia="Calibri" w:hAnsi="Verdana" w:cs="Times"/>
          <w:kern w:val="1"/>
          <w:sz w:val="20"/>
          <w:szCs w:val="20"/>
          <w:lang w:val="es-CR" w:eastAsia="es-CR"/>
        </w:rPr>
        <w:t xml:space="preserve"> </w:t>
      </w:r>
    </w:p>
    <w:p w:rsidR="000624C7" w:rsidRPr="00873FEC" w:rsidRDefault="000624C7" w:rsidP="00126E97">
      <w:pPr>
        <w:spacing w:after="0" w:line="20" w:lineRule="atLeast"/>
        <w:ind w:right="-138"/>
        <w:jc w:val="both"/>
        <w:rPr>
          <w:rFonts w:ascii="Verdana" w:eastAsia="Calibri" w:hAnsi="Verdana" w:cs="Times New Roman"/>
          <w:sz w:val="20"/>
          <w:szCs w:val="20"/>
          <w:lang w:val="es-CR" w:eastAsia="es-CR"/>
        </w:rPr>
      </w:pPr>
    </w:p>
    <w:p w:rsidR="00467331" w:rsidRPr="00873FEC" w:rsidRDefault="00467331" w:rsidP="00126E97">
      <w:pPr>
        <w:pStyle w:val="Heading3"/>
        <w:spacing w:before="0" w:line="20" w:lineRule="atLeast"/>
        <w:ind w:left="567"/>
        <w:jc w:val="both"/>
        <w:rPr>
          <w:rFonts w:ascii="Verdana" w:eastAsia="Calibri" w:hAnsi="Verdana" w:cs="Times New Roman"/>
          <w:b w:val="0"/>
          <w:i/>
          <w:color w:val="auto"/>
          <w:sz w:val="20"/>
          <w:szCs w:val="20"/>
          <w:lang w:val="es-CR" w:eastAsia="es-CR"/>
        </w:rPr>
      </w:pPr>
      <w:bookmarkStart w:id="145" w:name="_Toc521694815"/>
      <w:bookmarkStart w:id="146" w:name="_Toc525201169"/>
      <w:r w:rsidRPr="00873FEC">
        <w:rPr>
          <w:rFonts w:ascii="Verdana" w:eastAsia="Calibri" w:hAnsi="Verdana" w:cs="Times New Roman"/>
          <w:b w:val="0"/>
          <w:i/>
          <w:color w:val="auto"/>
          <w:sz w:val="20"/>
          <w:szCs w:val="20"/>
          <w:lang w:val="es-CR" w:eastAsia="es-CR"/>
        </w:rPr>
        <w:t>B.1.</w:t>
      </w:r>
      <w:r w:rsidRPr="00873FEC">
        <w:rPr>
          <w:rFonts w:ascii="Verdana" w:eastAsia="Calibri" w:hAnsi="Verdana" w:cs="Times New Roman"/>
          <w:b w:val="0"/>
          <w:i/>
          <w:color w:val="auto"/>
          <w:sz w:val="20"/>
          <w:szCs w:val="20"/>
          <w:u w:val="single"/>
          <w:lang w:val="es-CR" w:eastAsia="es-CR"/>
        </w:rPr>
        <w:t>Consideraciones generales</w:t>
      </w:r>
      <w:bookmarkEnd w:id="145"/>
      <w:bookmarkEnd w:id="146"/>
    </w:p>
    <w:p w:rsidR="00467331" w:rsidRPr="00873FEC" w:rsidRDefault="00467331" w:rsidP="00126E97">
      <w:pPr>
        <w:spacing w:after="0" w:line="20" w:lineRule="atLeast"/>
        <w:ind w:right="-138"/>
        <w:jc w:val="both"/>
        <w:rPr>
          <w:rFonts w:ascii="Verdana" w:eastAsia="Batang" w:hAnsi="Verdana" w:cs="Times"/>
          <w:sz w:val="20"/>
          <w:szCs w:val="24"/>
          <w:lang w:val="es-CR" w:eastAsia="es-CR"/>
        </w:rPr>
      </w:pPr>
    </w:p>
    <w:p w:rsidR="00467331" w:rsidRPr="00873FEC" w:rsidRDefault="00467331" w:rsidP="00126E97">
      <w:pPr>
        <w:numPr>
          <w:ilvl w:val="0"/>
          <w:numId w:val="3"/>
        </w:numPr>
        <w:spacing w:after="0" w:line="20" w:lineRule="atLeast"/>
        <w:ind w:right="-138"/>
        <w:jc w:val="both"/>
        <w:rPr>
          <w:rFonts w:ascii="Verdana" w:eastAsia="Calibri" w:hAnsi="Verdana" w:cs="Times New Roman"/>
          <w:sz w:val="20"/>
          <w:szCs w:val="20"/>
          <w:lang w:val="es-CR" w:eastAsia="es-CR"/>
        </w:rPr>
      </w:pPr>
      <w:r w:rsidRPr="00873FEC">
        <w:rPr>
          <w:rFonts w:ascii="Verdana" w:eastAsia="Calibri" w:hAnsi="Verdana" w:cs="Times New Roman"/>
          <w:sz w:val="20"/>
          <w:szCs w:val="20"/>
          <w:lang w:eastAsia="es-CR"/>
        </w:rPr>
        <w:t>La obligación de realizar una investigación de los hechos a fin de, en su caso, establecer responsabilidades y sanciones, adquiere importancia de acuerdo a la naturaleza de los derechos lesionados y la gravedad de los delitos cometidos</w:t>
      </w:r>
      <w:r w:rsidRPr="00873FEC">
        <w:rPr>
          <w:rFonts w:ascii="Verdana" w:eastAsia="Batang" w:hAnsi="Verdana" w:cs="Times New Roman"/>
          <w:sz w:val="20"/>
          <w:szCs w:val="20"/>
          <w:vertAlign w:val="superscript"/>
          <w:lang w:val="en-US" w:eastAsia="x-none"/>
        </w:rPr>
        <w:footnoteReference w:id="120"/>
      </w:r>
      <w:r w:rsidRPr="00873FEC">
        <w:rPr>
          <w:rFonts w:ascii="Verdana" w:eastAsia="Calibri" w:hAnsi="Verdana" w:cs="Times New Roman"/>
          <w:sz w:val="20"/>
          <w:szCs w:val="20"/>
          <w:lang w:eastAsia="es-CR"/>
        </w:rPr>
        <w:t>.</w:t>
      </w:r>
      <w:r w:rsidRPr="00873FEC">
        <w:rPr>
          <w:rFonts w:ascii="Verdana" w:eastAsia="Calibri" w:hAnsi="Verdana" w:cs="Times New Roman"/>
          <w:sz w:val="20"/>
          <w:szCs w:val="20"/>
          <w:lang w:val="es-CR" w:eastAsia="es-CR"/>
        </w:rPr>
        <w:t xml:space="preserve"> En ese sentido, la Corte ha indicado el deber estatal de investigar atentados contra la integridad personal</w:t>
      </w:r>
      <w:r w:rsidRPr="00873FEC">
        <w:rPr>
          <w:rFonts w:ascii="Verdana" w:eastAsia="Calibri" w:hAnsi="Verdana" w:cs="Times New Roman"/>
          <w:sz w:val="20"/>
          <w:szCs w:val="20"/>
          <w:vertAlign w:val="superscript"/>
          <w:lang w:val="en-US" w:eastAsia="x-none"/>
        </w:rPr>
        <w:footnoteReference w:id="121"/>
      </w:r>
      <w:r w:rsidRPr="00873FEC">
        <w:rPr>
          <w:rFonts w:ascii="Verdana" w:eastAsia="Calibri" w:hAnsi="Verdana" w:cs="Times New Roman"/>
          <w:sz w:val="20"/>
          <w:szCs w:val="20"/>
          <w:lang w:val="es-CR" w:eastAsia="es-CR"/>
        </w:rPr>
        <w:t>, así como contra la vida</w:t>
      </w:r>
      <w:r w:rsidRPr="00873FEC">
        <w:rPr>
          <w:rFonts w:ascii="Verdana" w:eastAsia="Calibri" w:hAnsi="Verdana" w:cs="Times New Roman"/>
          <w:sz w:val="20"/>
          <w:szCs w:val="20"/>
          <w:vertAlign w:val="superscript"/>
          <w:lang w:val="en-US" w:eastAsia="x-none"/>
        </w:rPr>
        <w:footnoteReference w:id="122"/>
      </w:r>
      <w:r w:rsidRPr="00873FEC">
        <w:rPr>
          <w:rFonts w:ascii="Verdana" w:eastAsia="Calibri" w:hAnsi="Verdana" w:cs="Times New Roman"/>
          <w:sz w:val="20"/>
          <w:szCs w:val="20"/>
          <w:lang w:val="es-CR" w:eastAsia="es-CR"/>
        </w:rPr>
        <w:t>, inclusive ejecuciones extrajudiciales</w:t>
      </w:r>
      <w:r w:rsidR="00641A62" w:rsidRPr="00873FEC">
        <w:rPr>
          <w:rFonts w:ascii="Verdana" w:eastAsia="Calibri" w:hAnsi="Verdana" w:cs="Times New Roman"/>
          <w:sz w:val="20"/>
          <w:szCs w:val="20"/>
          <w:lang w:val="es-CR" w:eastAsia="es-CR"/>
        </w:rPr>
        <w:t xml:space="preserve"> o masacres</w:t>
      </w:r>
      <w:r w:rsidRPr="00873FEC">
        <w:rPr>
          <w:rFonts w:ascii="Verdana" w:eastAsia="Calibri" w:hAnsi="Verdana" w:cs="Times New Roman"/>
          <w:sz w:val="20"/>
          <w:szCs w:val="20"/>
          <w:vertAlign w:val="superscript"/>
          <w:lang w:val="en-US" w:eastAsia="x-none"/>
        </w:rPr>
        <w:footnoteReference w:id="123"/>
      </w:r>
      <w:r w:rsidRPr="00873FEC">
        <w:rPr>
          <w:rFonts w:ascii="Verdana" w:eastAsia="Calibri" w:hAnsi="Verdana" w:cs="Times New Roman"/>
          <w:sz w:val="20"/>
          <w:szCs w:val="20"/>
          <w:lang w:val="es-CR" w:eastAsia="es-CR"/>
        </w:rPr>
        <w:t xml:space="preserve">. </w:t>
      </w:r>
      <w:r w:rsidRPr="00873FEC">
        <w:rPr>
          <w:rFonts w:ascii="Verdana" w:eastAsia="Calibri" w:hAnsi="Verdana" w:cs="Times"/>
          <w:sz w:val="20"/>
          <w:szCs w:val="24"/>
          <w:lang w:val="es-CR" w:eastAsia="es-CR"/>
        </w:rPr>
        <w:t>El deber de investigar violaciones a derechos convencionales, a su vez, puede surgir de normas de derecho interno que el Estado haya adoptado. En este caso, surge de sentencias internas que en virtud de normativa penal de Guatemala se desarrollaron actuaciones a fin de “tutela[r]”, como “</w:t>
      </w:r>
      <w:proofErr w:type="gramStart"/>
      <w:r w:rsidRPr="00873FEC">
        <w:rPr>
          <w:rFonts w:ascii="Verdana" w:eastAsia="Calibri" w:hAnsi="Verdana" w:cs="Times"/>
          <w:sz w:val="20"/>
          <w:szCs w:val="24"/>
          <w:lang w:val="es-CR" w:eastAsia="es-CR"/>
        </w:rPr>
        <w:t>bien[</w:t>
      </w:r>
      <w:proofErr w:type="gramEnd"/>
      <w:r w:rsidRPr="00873FEC">
        <w:rPr>
          <w:rFonts w:ascii="Verdana" w:eastAsia="Calibri" w:hAnsi="Verdana" w:cs="Times"/>
          <w:sz w:val="20"/>
          <w:szCs w:val="24"/>
          <w:lang w:val="es-CR" w:eastAsia="es-CR"/>
        </w:rPr>
        <w:t>es] jurídico[s]”, la “vida” y la “integridad física”</w:t>
      </w:r>
      <w:r w:rsidRPr="00873FEC">
        <w:rPr>
          <w:rFonts w:ascii="Verdana" w:eastAsia="Calibri" w:hAnsi="Verdana" w:cs="Times New Roman"/>
          <w:sz w:val="20"/>
          <w:szCs w:val="20"/>
          <w:vertAlign w:val="superscript"/>
          <w:lang w:val="en-US" w:eastAsia="x-none"/>
        </w:rPr>
        <w:footnoteReference w:id="124"/>
      </w:r>
      <w:r w:rsidRPr="00873FEC">
        <w:rPr>
          <w:rFonts w:ascii="Verdana" w:eastAsia="Calibri" w:hAnsi="Verdana" w:cs="Times"/>
          <w:sz w:val="20"/>
          <w:szCs w:val="24"/>
          <w:lang w:val="es-CR" w:eastAsia="es-CR"/>
        </w:rPr>
        <w:t xml:space="preserve">. Por lo tanto, no cabe duda que tanto con base en la Convención como en el derecho interno, el Estado se encontraba obligado a investigar las muertes y daños a la integridad física sucedidos el 5 de octubre de 1995. </w:t>
      </w:r>
      <w:r w:rsidRPr="00873FEC">
        <w:rPr>
          <w:rFonts w:ascii="Verdana" w:eastAsia="Calibri" w:hAnsi="Verdana" w:cs="Times"/>
          <w:kern w:val="1"/>
          <w:sz w:val="20"/>
          <w:szCs w:val="20"/>
          <w:lang w:eastAsia="es-CR"/>
        </w:rPr>
        <w:t xml:space="preserve">En este marco, el derecho de acceso a la justicia de las presuntas víctimas o sus familiares debe asegurar, </w:t>
      </w:r>
      <w:r w:rsidRPr="00873FEC">
        <w:rPr>
          <w:rFonts w:ascii="Verdana" w:eastAsia="Calibri" w:hAnsi="Verdana" w:cs="Times"/>
          <w:kern w:val="1"/>
          <w:sz w:val="20"/>
          <w:szCs w:val="20"/>
          <w:lang w:eastAsia="es-CR"/>
        </w:rPr>
        <w:lastRenderedPageBreak/>
        <w:t>en tiempo razonable, que se haga todo lo necesario para conocer la verdad de lo sucedido e investigar, juzgar y, en su caso, sancionar a los eventuales responsables</w:t>
      </w:r>
      <w:r w:rsidRPr="00873FEC">
        <w:rPr>
          <w:rFonts w:ascii="Verdana" w:eastAsia="Calibri" w:hAnsi="Verdana" w:cs="Times New Roman"/>
          <w:kern w:val="1"/>
          <w:sz w:val="20"/>
          <w:szCs w:val="20"/>
          <w:vertAlign w:val="superscript"/>
          <w:lang w:eastAsia="x-none"/>
        </w:rPr>
        <w:footnoteReference w:id="125"/>
      </w:r>
      <w:r w:rsidRPr="00873FEC">
        <w:rPr>
          <w:rFonts w:ascii="Verdana" w:eastAsia="Calibri" w:hAnsi="Verdana" w:cs="Times"/>
          <w:kern w:val="1"/>
          <w:sz w:val="20"/>
          <w:szCs w:val="20"/>
          <w:lang w:eastAsia="es-CR"/>
        </w:rPr>
        <w:t>.</w:t>
      </w:r>
      <w:r w:rsidRPr="00873FEC">
        <w:rPr>
          <w:rFonts w:ascii="Times New Roman" w:eastAsia="Calibri" w:hAnsi="Times New Roman" w:cs="Times"/>
          <w:sz w:val="20"/>
          <w:szCs w:val="24"/>
          <w:lang w:val="es-CR" w:eastAsia="es-CR"/>
        </w:rPr>
        <w:t xml:space="preserve"> </w:t>
      </w:r>
    </w:p>
    <w:p w:rsidR="00467331" w:rsidRPr="00873FEC" w:rsidRDefault="00467331" w:rsidP="00126E97">
      <w:pPr>
        <w:spacing w:after="0" w:line="20" w:lineRule="atLeast"/>
        <w:ind w:left="720"/>
        <w:contextualSpacing/>
        <w:rPr>
          <w:rFonts w:ascii="Calibri" w:eastAsia="Calibri" w:hAnsi="Calibri" w:cs="Times"/>
          <w:lang w:val="es-CR" w:eastAsia="es-CR"/>
        </w:rPr>
      </w:pPr>
    </w:p>
    <w:p w:rsidR="00467331" w:rsidRPr="00873FEC" w:rsidRDefault="00467331"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 xml:space="preserve">A fin de evaluar la observancia de lo anterior, la Corte tiene la posibilidad, en el ámbito de su competencia coadyuvante y </w:t>
      </w:r>
      <w:r w:rsidRPr="00873FEC">
        <w:rPr>
          <w:rFonts w:ascii="Verdana" w:eastAsia="Batang" w:hAnsi="Verdana" w:cs="Arial"/>
          <w:sz w:val="20"/>
          <w:szCs w:val="20"/>
          <w:lang w:val="es-CR" w:eastAsia="es-CR"/>
        </w:rPr>
        <w:t>complementaria</w:t>
      </w:r>
      <w:r w:rsidRPr="00873FEC">
        <w:rPr>
          <w:rFonts w:ascii="Verdana" w:eastAsia="Batang" w:hAnsi="Verdana" w:cs="Times"/>
          <w:sz w:val="20"/>
          <w:szCs w:val="20"/>
          <w:lang w:val="es-CR" w:eastAsia="es-CR"/>
        </w:rPr>
        <w:t>, de examinar los procedimientos internos de investigación</w:t>
      </w:r>
      <w:r w:rsidRPr="00873FEC">
        <w:rPr>
          <w:rFonts w:ascii="Verdana" w:eastAsia="Batang" w:hAnsi="Verdana" w:cs="Times New Roman"/>
          <w:sz w:val="20"/>
          <w:szCs w:val="20"/>
          <w:vertAlign w:val="superscript"/>
          <w:lang w:val="en-US" w:eastAsia="x-none"/>
        </w:rPr>
        <w:footnoteReference w:id="126"/>
      </w:r>
      <w:r w:rsidRPr="00873FEC">
        <w:rPr>
          <w:rFonts w:ascii="Verdana" w:eastAsia="Batang" w:hAnsi="Verdana" w:cs="Times"/>
          <w:sz w:val="20"/>
          <w:szCs w:val="20"/>
          <w:lang w:val="es-CR" w:eastAsia="es-CR"/>
        </w:rPr>
        <w:t>. Ello, en sus diversos aspectos, entre los que se encuentran la competencia de las autoridades intervinientes y la diligencia seguida. Esto último, en tanto se aduzcan falencias que pudieran haber afectado la investigación en su conjunto, de modo “que conforme el tiempo vaya transcurriendo, se afecte indebidamente la posibilidad de obtener y presentar pruebas pertinentes que permitan esclarecer los hechos y determinar las responsabilidades que correspondan”</w:t>
      </w:r>
      <w:r w:rsidRPr="00873FEC">
        <w:rPr>
          <w:rFonts w:ascii="Verdana" w:eastAsia="Batang" w:hAnsi="Verdana" w:cs="Times New Roman"/>
          <w:sz w:val="20"/>
          <w:szCs w:val="20"/>
          <w:vertAlign w:val="superscript"/>
          <w:lang w:val="en-US" w:eastAsia="x-none"/>
        </w:rPr>
        <w:footnoteReference w:id="127"/>
      </w:r>
      <w:r w:rsidRPr="00873FEC">
        <w:rPr>
          <w:rFonts w:ascii="Verdana" w:eastAsia="Batang" w:hAnsi="Verdana" w:cs="Times"/>
          <w:sz w:val="20"/>
          <w:szCs w:val="20"/>
          <w:lang w:val="es-CR" w:eastAsia="es-CR"/>
        </w:rPr>
        <w:t xml:space="preserve">. </w:t>
      </w:r>
    </w:p>
    <w:p w:rsidR="00467331" w:rsidRPr="00873FEC" w:rsidRDefault="00467331" w:rsidP="00126E97">
      <w:pPr>
        <w:spacing w:after="0" w:line="20" w:lineRule="atLeast"/>
        <w:ind w:left="720"/>
        <w:contextualSpacing/>
        <w:rPr>
          <w:rFonts w:ascii="Calibri" w:eastAsia="Calibri" w:hAnsi="Calibri" w:cs="Times"/>
          <w:szCs w:val="20"/>
          <w:lang w:val="es-CR" w:eastAsia="es-CR"/>
        </w:rPr>
      </w:pPr>
    </w:p>
    <w:p w:rsidR="00467331" w:rsidRPr="00873FEC" w:rsidRDefault="00467331"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La debida diligencia en la investigación exige que se lleven a cabo todas aquellas actuaciones y averiguaciones necesarias para procurar el resultado que se persigue</w:t>
      </w:r>
      <w:r w:rsidRPr="00873FEC">
        <w:rPr>
          <w:rFonts w:ascii="Verdana" w:eastAsia="Batang" w:hAnsi="Verdana" w:cs="Times New Roman"/>
          <w:sz w:val="20"/>
          <w:szCs w:val="20"/>
          <w:vertAlign w:val="superscript"/>
          <w:lang w:val="en-US" w:eastAsia="x-none"/>
        </w:rPr>
        <w:footnoteReference w:id="128"/>
      </w:r>
      <w:r w:rsidRPr="00873FEC">
        <w:rPr>
          <w:rFonts w:ascii="Verdana" w:eastAsia="Batang" w:hAnsi="Verdana" w:cs="Times"/>
          <w:sz w:val="20"/>
          <w:szCs w:val="20"/>
          <w:lang w:val="es-CR" w:eastAsia="es-CR"/>
        </w:rPr>
        <w:t xml:space="preserve">. </w:t>
      </w:r>
      <w:r w:rsidRPr="00873FEC">
        <w:rPr>
          <w:rFonts w:ascii="Verdana" w:eastAsia="Batang" w:hAnsi="Verdana" w:cs="Times"/>
          <w:sz w:val="20"/>
          <w:szCs w:val="24"/>
          <w:lang w:val="es-CR" w:eastAsia="es-CR"/>
        </w:rPr>
        <w:t xml:space="preserve">Sin perjuicio de ello, </w:t>
      </w:r>
      <w:r w:rsidRPr="00873FEC">
        <w:rPr>
          <w:rFonts w:ascii="Verdana" w:eastAsia="Batang" w:hAnsi="Verdana" w:cs="Times"/>
          <w:sz w:val="20"/>
          <w:szCs w:val="20"/>
          <w:lang w:val="es-CR" w:eastAsia="es-CR"/>
        </w:rPr>
        <w:t>no corresponde a la Corte determinar puntualmente cuáles son las actuaciones y averiguaciones requeridas. Este Tribunal ha dicho que no le compete “sustituir a la jurisdicción interna estableciendo las modalidades específicas de investigación y juzgamiento […], sino constatar si en los pasos efectivamente dados a nivel interno se violaron o no obligaciones internacionales”</w:t>
      </w:r>
      <w:r w:rsidRPr="00873FEC">
        <w:rPr>
          <w:rFonts w:ascii="Verdana" w:eastAsia="Batang" w:hAnsi="Verdana" w:cs="Times New Roman"/>
          <w:sz w:val="20"/>
          <w:szCs w:val="20"/>
          <w:vertAlign w:val="superscript"/>
          <w:lang w:val="en-US" w:eastAsia="x-none"/>
        </w:rPr>
        <w:footnoteReference w:id="129"/>
      </w:r>
      <w:r w:rsidRPr="00873FEC">
        <w:rPr>
          <w:rFonts w:ascii="Verdana" w:eastAsia="Batang" w:hAnsi="Verdana" w:cs="Times"/>
          <w:sz w:val="20"/>
          <w:szCs w:val="20"/>
          <w:lang w:val="es-CR" w:eastAsia="es-CR"/>
        </w:rPr>
        <w:t>.</w:t>
      </w:r>
      <w:r w:rsidRPr="00873FEC">
        <w:rPr>
          <w:rFonts w:ascii="Verdana" w:eastAsia="Batang" w:hAnsi="Verdana" w:cs="Times"/>
          <w:sz w:val="20"/>
          <w:szCs w:val="24"/>
          <w:lang w:val="es-CR" w:eastAsia="es-CR"/>
        </w:rPr>
        <w:t xml:space="preserve"> Por ello,</w:t>
      </w:r>
      <w:r w:rsidRPr="00873FEC">
        <w:rPr>
          <w:rFonts w:ascii="Verdana" w:eastAsia="Batang" w:hAnsi="Verdana" w:cs="Times"/>
          <w:sz w:val="20"/>
          <w:szCs w:val="20"/>
          <w:lang w:val="es-CR" w:eastAsia="es-CR"/>
        </w:rPr>
        <w:t xml:space="preserve"> “las diligencias […] deben ser valoradas en su conjunto”</w:t>
      </w:r>
      <w:r w:rsidRPr="00873FEC">
        <w:rPr>
          <w:rFonts w:ascii="Verdana" w:eastAsia="Batang" w:hAnsi="Verdana" w:cs="Times New Roman"/>
          <w:sz w:val="20"/>
          <w:szCs w:val="20"/>
          <w:vertAlign w:val="superscript"/>
          <w:lang w:val="en-US" w:eastAsia="x-none"/>
        </w:rPr>
        <w:footnoteReference w:id="130"/>
      </w:r>
      <w:r w:rsidRPr="00873FEC">
        <w:rPr>
          <w:rFonts w:ascii="Verdana" w:eastAsia="Batang" w:hAnsi="Verdana" w:cs="Times"/>
          <w:sz w:val="20"/>
          <w:szCs w:val="20"/>
          <w:lang w:val="es-CR" w:eastAsia="es-CR"/>
        </w:rPr>
        <w:t xml:space="preserve">, a fin de determinar si en el caso concreto </w:t>
      </w:r>
      <w:r w:rsidRPr="00873FEC">
        <w:rPr>
          <w:rFonts w:ascii="Verdana" w:eastAsia="Batang" w:hAnsi="Verdana" w:cs="Arial"/>
          <w:sz w:val="20"/>
          <w:szCs w:val="20"/>
          <w:lang w:val="es-CR" w:eastAsia="es-CR"/>
        </w:rPr>
        <w:t>falencias u omisiones que se acreditaren</w:t>
      </w:r>
      <w:r w:rsidRPr="00873FEC">
        <w:rPr>
          <w:rFonts w:ascii="Verdana" w:eastAsia="Cambria" w:hAnsi="Verdana" w:cs="Arial"/>
          <w:sz w:val="20"/>
          <w:szCs w:val="20"/>
          <w:lang w:val="es-CR" w:eastAsia="es-CR"/>
        </w:rPr>
        <w:t xml:space="preserve"> perjudicaron el esclarecimiento de las circunstancias de los hechos o incidieron en el resultado final de las investigaciones seguidas</w:t>
      </w:r>
      <w:r w:rsidRPr="00873FEC">
        <w:rPr>
          <w:rFonts w:ascii="Verdana" w:eastAsia="Cambria" w:hAnsi="Verdana" w:cs="Arial"/>
          <w:sz w:val="20"/>
          <w:szCs w:val="20"/>
          <w:vertAlign w:val="superscript"/>
          <w:lang w:val="en-US" w:eastAsia="x-none"/>
        </w:rPr>
        <w:footnoteReference w:id="131"/>
      </w:r>
      <w:r w:rsidRPr="00873FEC">
        <w:rPr>
          <w:rFonts w:ascii="Verdana" w:eastAsia="Cambria" w:hAnsi="Verdana" w:cs="Arial"/>
          <w:sz w:val="20"/>
          <w:szCs w:val="20"/>
          <w:lang w:val="es-CR" w:eastAsia="es-CR"/>
        </w:rPr>
        <w:t>.</w:t>
      </w:r>
      <w:r w:rsidRPr="00873FEC">
        <w:rPr>
          <w:rFonts w:ascii="Verdana" w:eastAsia="Cambria" w:hAnsi="Verdana" w:cs="Arial"/>
          <w:sz w:val="20"/>
          <w:szCs w:val="24"/>
          <w:lang w:val="es-CR" w:eastAsia="es-CR"/>
        </w:rPr>
        <w:t xml:space="preserve"> Para tal evaluación </w:t>
      </w:r>
      <w:r w:rsidRPr="00873FEC">
        <w:rPr>
          <w:rFonts w:ascii="Verdana" w:eastAsia="Batang" w:hAnsi="Verdana" w:cs="Times"/>
          <w:bCs/>
          <w:color w:val="000000"/>
          <w:sz w:val="20"/>
          <w:szCs w:val="24"/>
          <w:shd w:val="clear" w:color="auto" w:fill="FFFFFF"/>
          <w:lang w:val="es-CR" w:eastAsia="es-CR"/>
        </w:rPr>
        <w:t xml:space="preserve">debe tenerse en cuenta criterios objetivos o de razonabilidad, a partir de las circunstancias particulares del caso y los argumentos de las partes y la Comisión, apreciando elementos tales como la prueba producida, las </w:t>
      </w:r>
      <w:r w:rsidRPr="00873FEC">
        <w:rPr>
          <w:rFonts w:ascii="Verdana" w:eastAsia="Batang" w:hAnsi="Verdana" w:cs="Arial"/>
          <w:sz w:val="20"/>
          <w:szCs w:val="20"/>
          <w:lang w:val="es-CR" w:eastAsia="es-CR"/>
        </w:rPr>
        <w:t>pautas recogidas por la propia jurisprudencia de este Tribunal, o la propia consideraci</w:t>
      </w:r>
      <w:r w:rsidRPr="00873FEC">
        <w:rPr>
          <w:rFonts w:ascii="Verdana" w:eastAsia="Batang" w:hAnsi="Verdana" w:cs="Times"/>
          <w:sz w:val="20"/>
          <w:szCs w:val="20"/>
          <w:lang w:val="es-CR" w:eastAsia="es-CR"/>
        </w:rPr>
        <w:t>ó</w:t>
      </w:r>
      <w:r w:rsidRPr="00873FEC">
        <w:rPr>
          <w:rFonts w:ascii="Verdana" w:eastAsia="Batang" w:hAnsi="Verdana" w:cs="Arial"/>
          <w:sz w:val="20"/>
          <w:szCs w:val="20"/>
          <w:lang w:val="es-CR" w:eastAsia="es-CR"/>
        </w:rPr>
        <w:t>n de las autoridades internas sobre medidas que, en el caso concreto, se</w:t>
      </w:r>
      <w:r w:rsidRPr="00873FEC">
        <w:rPr>
          <w:rFonts w:ascii="Verdana" w:eastAsia="Batang" w:hAnsi="Verdana" w:cs="Times"/>
          <w:sz w:val="20"/>
          <w:szCs w:val="20"/>
          <w:lang w:val="es-CR" w:eastAsia="es-CR"/>
        </w:rPr>
        <w:t>ñ</w:t>
      </w:r>
      <w:r w:rsidRPr="00873FEC">
        <w:rPr>
          <w:rFonts w:ascii="Verdana" w:eastAsia="Batang" w:hAnsi="Verdana" w:cs="Arial"/>
          <w:sz w:val="20"/>
          <w:szCs w:val="20"/>
          <w:lang w:val="es-CR" w:eastAsia="es-CR"/>
        </w:rPr>
        <w:t>alaron como necesarias</w:t>
      </w:r>
      <w:r w:rsidRPr="00873FEC">
        <w:rPr>
          <w:rFonts w:ascii="Verdana" w:eastAsia="Batang" w:hAnsi="Verdana" w:cs="Times New Roman"/>
          <w:color w:val="000000"/>
          <w:sz w:val="20"/>
          <w:szCs w:val="20"/>
          <w:shd w:val="clear" w:color="auto" w:fill="FFFFFF"/>
          <w:vertAlign w:val="superscript"/>
          <w:lang w:val="en-US" w:eastAsia="x-none"/>
        </w:rPr>
        <w:footnoteReference w:id="132"/>
      </w:r>
      <w:r w:rsidRPr="00873FEC">
        <w:rPr>
          <w:rFonts w:ascii="Verdana" w:eastAsia="Batang" w:hAnsi="Verdana" w:cs="Arial"/>
          <w:sz w:val="20"/>
          <w:szCs w:val="20"/>
          <w:lang w:val="es-CR" w:eastAsia="es-CR"/>
        </w:rPr>
        <w:t>. N</w:t>
      </w:r>
      <w:r w:rsidRPr="00873FEC">
        <w:rPr>
          <w:rFonts w:ascii="Verdana" w:eastAsia="Batang" w:hAnsi="Verdana" w:cs="Times"/>
          <w:sz w:val="20"/>
          <w:szCs w:val="20"/>
          <w:lang w:val="es-CR" w:eastAsia="es-CR"/>
        </w:rPr>
        <w:t>o debe asumirse que fallas en aspectos puntuales de investigación tuvieron un impacto negativo sobre el conjunto del proceso si, pese a ellas, la investigación tuvo un resultado efectivo en la determinación de los hechos</w:t>
      </w:r>
      <w:r w:rsidRPr="00873FEC">
        <w:rPr>
          <w:rFonts w:ascii="Verdana" w:eastAsia="Batang" w:hAnsi="Verdana" w:cs="Times New Roman"/>
          <w:sz w:val="20"/>
          <w:szCs w:val="20"/>
          <w:vertAlign w:val="superscript"/>
          <w:lang w:val="en-US" w:eastAsia="x-none"/>
        </w:rPr>
        <w:footnoteReference w:id="133"/>
      </w:r>
      <w:r w:rsidRPr="00873FEC">
        <w:rPr>
          <w:rFonts w:ascii="Verdana" w:eastAsia="Batang" w:hAnsi="Verdana" w:cs="Times"/>
          <w:sz w:val="20"/>
          <w:szCs w:val="20"/>
          <w:vertAlign w:val="superscript"/>
          <w:lang w:val="es-CR" w:eastAsia="es-CR"/>
        </w:rPr>
        <w:t>.</w:t>
      </w:r>
    </w:p>
    <w:p w:rsidR="00467331" w:rsidRPr="00873FEC" w:rsidRDefault="00467331" w:rsidP="00126E97">
      <w:pPr>
        <w:spacing w:after="0" w:line="20" w:lineRule="atLeast"/>
        <w:ind w:right="-138"/>
        <w:jc w:val="both"/>
        <w:rPr>
          <w:rFonts w:ascii="Verdana" w:eastAsia="Batang" w:hAnsi="Verdana" w:cs="Times"/>
          <w:sz w:val="20"/>
          <w:szCs w:val="24"/>
          <w:lang w:val="es-CR" w:eastAsia="es-CR"/>
        </w:rPr>
      </w:pPr>
    </w:p>
    <w:p w:rsidR="00467331" w:rsidRPr="00873FEC" w:rsidRDefault="00467331"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Calibri" w:hAnsi="Verdana" w:cs="Times"/>
          <w:sz w:val="20"/>
          <w:szCs w:val="24"/>
          <w:lang w:val="es-CR" w:eastAsia="es-CR"/>
        </w:rPr>
        <w:t>Respecto a lo último indicado, debe advertirse que, en el caso, Guatemala realizó actuaciones que tuvieron como resultado la determinación de lo sucedido y la condena efectiva a 14 personas, que quedó firme el 23 de septiembre de 2005 (</w:t>
      </w:r>
      <w:r w:rsidRPr="00873FEC">
        <w:rPr>
          <w:rFonts w:ascii="Verdana" w:eastAsia="Calibri" w:hAnsi="Verdana" w:cs="Times"/>
          <w:i/>
          <w:sz w:val="20"/>
          <w:szCs w:val="24"/>
          <w:lang w:val="es-CR" w:eastAsia="es-CR"/>
        </w:rPr>
        <w:t>supra</w:t>
      </w:r>
      <w:r w:rsidRPr="00873FEC">
        <w:rPr>
          <w:rFonts w:ascii="Verdana" w:eastAsia="Calibri" w:hAnsi="Verdana" w:cs="Times"/>
          <w:sz w:val="20"/>
          <w:szCs w:val="24"/>
          <w:lang w:val="es-CR" w:eastAsia="es-CR"/>
        </w:rPr>
        <w:t xml:space="preserve"> párr. 65). </w:t>
      </w:r>
      <w:r w:rsidRPr="00873FEC">
        <w:rPr>
          <w:rFonts w:ascii="Verdana" w:eastAsia="Calibri" w:hAnsi="Verdana" w:cs="Times"/>
          <w:sz w:val="20"/>
          <w:szCs w:val="24"/>
          <w:lang w:val="es-CR" w:eastAsia="es-CR"/>
        </w:rPr>
        <w:lastRenderedPageBreak/>
        <w:t>Ni las partes ni la Comisión adujeron que esas determinación y condena fueran en algún modo erróneas. Por ello, en lo que tiene relación con las mismas, la Corte considera que no tiene objeto evaluar argumentos sobre fallas a la diligencia debida</w:t>
      </w:r>
      <w:r w:rsidRPr="00873FEC">
        <w:rPr>
          <w:rFonts w:ascii="Verdana" w:eastAsia="Calibri" w:hAnsi="Verdana" w:cs="Times"/>
          <w:b/>
          <w:sz w:val="20"/>
          <w:szCs w:val="24"/>
          <w:lang w:val="es-CR" w:eastAsia="es-CR"/>
        </w:rPr>
        <w:t xml:space="preserve"> </w:t>
      </w:r>
      <w:r w:rsidRPr="00873FEC">
        <w:rPr>
          <w:rFonts w:ascii="Verdana" w:eastAsia="Calibri" w:hAnsi="Verdana" w:cs="Times"/>
          <w:sz w:val="20"/>
          <w:szCs w:val="24"/>
          <w:lang w:val="es-CR" w:eastAsia="es-CR"/>
        </w:rPr>
        <w:t>respecto de acciones u omisiones vinculadas al manejo de la prueba o la efectividad en la determinación de lo ocurrido</w:t>
      </w:r>
      <w:r w:rsidRPr="00873FEC">
        <w:rPr>
          <w:rFonts w:ascii="Verdana" w:eastAsia="Calibri" w:hAnsi="Verdana" w:cs="Times New Roman"/>
          <w:sz w:val="20"/>
          <w:szCs w:val="20"/>
          <w:vertAlign w:val="superscript"/>
          <w:lang w:val="en-US" w:eastAsia="x-none"/>
        </w:rPr>
        <w:footnoteReference w:id="134"/>
      </w:r>
      <w:r w:rsidRPr="00873FEC">
        <w:rPr>
          <w:rFonts w:ascii="Verdana" w:eastAsia="Calibri" w:hAnsi="Verdana" w:cs="Times"/>
          <w:sz w:val="20"/>
          <w:szCs w:val="24"/>
          <w:lang w:val="es-CR" w:eastAsia="es-CR"/>
        </w:rPr>
        <w:t xml:space="preserve">. </w:t>
      </w:r>
    </w:p>
    <w:p w:rsidR="00467331" w:rsidRPr="00873FEC" w:rsidRDefault="00467331" w:rsidP="00126E97">
      <w:pPr>
        <w:spacing w:after="0" w:line="20" w:lineRule="atLeast"/>
        <w:ind w:left="720"/>
        <w:contextualSpacing/>
        <w:rPr>
          <w:rFonts w:ascii="Calibri" w:eastAsia="Calibri" w:hAnsi="Calibri" w:cs="Times"/>
          <w:lang w:val="es-CR" w:eastAsia="es-CR"/>
        </w:rPr>
      </w:pPr>
    </w:p>
    <w:p w:rsidR="00467331" w:rsidRPr="00873FEC" w:rsidRDefault="00467331"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Calibri" w:hAnsi="Verdana" w:cs="Times"/>
          <w:sz w:val="20"/>
          <w:szCs w:val="24"/>
          <w:lang w:val="es-CR" w:eastAsia="es-CR"/>
        </w:rPr>
        <w:t xml:space="preserve">De modo contrario, sí resulta necesario que la Corte examine los argumentos de las partes y la Comisión respecto a lo siguiente: a) si la intervención del fuero militar en los primeros momentos de las actuaciones fue, en sí misma, violatoria de derechos convencionales; b) si hubo omisiones en cuanto a la indagación de supuestos autores intelectuales y de la “cadena de mando”; c) la reducción de condenas y liberación de condenados; d) la falta de aprehensión de 11 personas prófugas, y e) la razonabilidad del tiempo transcurrido. </w:t>
      </w:r>
    </w:p>
    <w:p w:rsidR="00467331" w:rsidRPr="00873FEC" w:rsidRDefault="00467331" w:rsidP="00126E97">
      <w:pPr>
        <w:spacing w:after="0" w:line="20" w:lineRule="atLeast"/>
        <w:ind w:right="-138"/>
        <w:jc w:val="both"/>
        <w:rPr>
          <w:rFonts w:ascii="Verdana" w:eastAsia="Batang" w:hAnsi="Verdana" w:cs="Times"/>
          <w:sz w:val="20"/>
          <w:szCs w:val="24"/>
          <w:lang w:val="es-CR" w:eastAsia="es-CR"/>
        </w:rPr>
      </w:pPr>
    </w:p>
    <w:p w:rsidR="00467331" w:rsidRPr="00873FEC" w:rsidRDefault="00467331" w:rsidP="00126E97">
      <w:pPr>
        <w:pStyle w:val="Heading3"/>
        <w:spacing w:before="0" w:line="20" w:lineRule="atLeast"/>
        <w:ind w:left="567"/>
        <w:jc w:val="both"/>
        <w:rPr>
          <w:rFonts w:ascii="Verdana" w:eastAsia="Cambria" w:hAnsi="Verdana" w:cs="Times"/>
          <w:b w:val="0"/>
          <w:i/>
          <w:color w:val="auto"/>
          <w:sz w:val="20"/>
          <w:szCs w:val="24"/>
          <w:lang w:val="en-US" w:eastAsia="es-CR"/>
        </w:rPr>
      </w:pPr>
      <w:bookmarkStart w:id="147" w:name="_Toc521694816"/>
      <w:bookmarkStart w:id="148" w:name="_Toc525201170"/>
      <w:r w:rsidRPr="00873FEC">
        <w:rPr>
          <w:rFonts w:ascii="Verdana" w:eastAsia="Cambria" w:hAnsi="Verdana" w:cs="Times"/>
          <w:b w:val="0"/>
          <w:i/>
          <w:color w:val="auto"/>
          <w:sz w:val="20"/>
          <w:szCs w:val="24"/>
          <w:lang w:val="en-US" w:eastAsia="es-CR"/>
        </w:rPr>
        <w:t xml:space="preserve">B.2- </w:t>
      </w:r>
      <w:proofErr w:type="spellStart"/>
      <w:r w:rsidRPr="00873FEC">
        <w:rPr>
          <w:rFonts w:ascii="Verdana" w:eastAsia="Cambria" w:hAnsi="Verdana" w:cs="Times"/>
          <w:b w:val="0"/>
          <w:i/>
          <w:color w:val="auto"/>
          <w:sz w:val="20"/>
          <w:szCs w:val="24"/>
          <w:u w:val="single"/>
          <w:lang w:val="en-US" w:eastAsia="es-CR"/>
        </w:rPr>
        <w:t>Fuero</w:t>
      </w:r>
      <w:proofErr w:type="spellEnd"/>
      <w:r w:rsidRPr="00873FEC">
        <w:rPr>
          <w:rFonts w:ascii="Verdana" w:eastAsia="Cambria" w:hAnsi="Verdana" w:cs="Times"/>
          <w:b w:val="0"/>
          <w:i/>
          <w:color w:val="auto"/>
          <w:sz w:val="20"/>
          <w:szCs w:val="24"/>
          <w:u w:val="single"/>
          <w:lang w:val="en-US" w:eastAsia="es-CR"/>
        </w:rPr>
        <w:t xml:space="preserve"> </w:t>
      </w:r>
      <w:proofErr w:type="spellStart"/>
      <w:r w:rsidRPr="00873FEC">
        <w:rPr>
          <w:rFonts w:ascii="Verdana" w:eastAsia="Cambria" w:hAnsi="Verdana" w:cs="Times"/>
          <w:b w:val="0"/>
          <w:i/>
          <w:color w:val="auto"/>
          <w:sz w:val="20"/>
          <w:szCs w:val="24"/>
          <w:u w:val="single"/>
          <w:lang w:val="en-US" w:eastAsia="es-CR"/>
        </w:rPr>
        <w:t>militar</w:t>
      </w:r>
      <w:bookmarkEnd w:id="147"/>
      <w:bookmarkEnd w:id="148"/>
      <w:proofErr w:type="spellEnd"/>
    </w:p>
    <w:p w:rsidR="00467331" w:rsidRPr="00873FEC" w:rsidRDefault="00467331" w:rsidP="00126E97">
      <w:pPr>
        <w:spacing w:after="0" w:line="20" w:lineRule="atLeast"/>
        <w:ind w:right="-138"/>
        <w:jc w:val="both"/>
        <w:rPr>
          <w:rFonts w:ascii="Verdana" w:eastAsia="Batang" w:hAnsi="Verdana" w:cs="Times"/>
          <w:sz w:val="20"/>
          <w:szCs w:val="24"/>
          <w:lang w:val="en-US" w:eastAsia="es-CR"/>
        </w:rPr>
      </w:pPr>
    </w:p>
    <w:p w:rsidR="00467331" w:rsidRPr="00873FEC" w:rsidRDefault="00467331" w:rsidP="00126E97">
      <w:pPr>
        <w:numPr>
          <w:ilvl w:val="0"/>
          <w:numId w:val="3"/>
        </w:numPr>
        <w:spacing w:after="0" w:line="20" w:lineRule="atLeast"/>
        <w:ind w:right="-138"/>
        <w:jc w:val="both"/>
        <w:rPr>
          <w:rFonts w:ascii="Verdana" w:eastAsia="Batang" w:hAnsi="Verdana" w:cs="Times"/>
          <w:sz w:val="20"/>
          <w:szCs w:val="20"/>
          <w:lang w:val="es-CR" w:eastAsia="es-CR"/>
        </w:rPr>
      </w:pPr>
      <w:r w:rsidRPr="00873FEC">
        <w:rPr>
          <w:rFonts w:ascii="Verdana" w:eastAsia="Batang" w:hAnsi="Verdana" w:cs="Arial"/>
          <w:sz w:val="20"/>
          <w:szCs w:val="20"/>
          <w:lang w:val="es-CR" w:eastAsia="es-CR"/>
        </w:rPr>
        <w:t>Este Tribunal ha dicho, y reitera, que la justicia militar “</w:t>
      </w:r>
      <w:r w:rsidRPr="00873FEC">
        <w:rPr>
          <w:rFonts w:ascii="Verdana" w:eastAsia="Batang" w:hAnsi="Verdana" w:cs="Times"/>
          <w:sz w:val="20"/>
          <w:szCs w:val="20"/>
          <w:lang w:val="es-CR" w:eastAsia="es-CR"/>
        </w:rPr>
        <w:t>no es el fuero competente para investigar […] violaciones de derechos humanos”</w:t>
      </w:r>
      <w:r w:rsidRPr="00873FEC">
        <w:rPr>
          <w:rFonts w:ascii="Verdana" w:eastAsia="Batang" w:hAnsi="Verdana" w:cs="Times New Roman"/>
          <w:sz w:val="20"/>
          <w:szCs w:val="20"/>
          <w:vertAlign w:val="superscript"/>
          <w:lang w:val="en-US" w:eastAsia="x-none"/>
        </w:rPr>
        <w:footnoteReference w:id="135"/>
      </w:r>
      <w:r w:rsidRPr="00873FEC">
        <w:rPr>
          <w:rFonts w:ascii="Verdana" w:eastAsia="Batang" w:hAnsi="Verdana" w:cs="Times"/>
          <w:sz w:val="20"/>
          <w:szCs w:val="20"/>
          <w:lang w:val="es-CR" w:eastAsia="es-CR"/>
        </w:rPr>
        <w:t>. No obstante, nota también que en las circunstancias del caso, a partir de planteamientos de competencia efectuados por la querella, se resolvió el traslado de las actuaciones a la justicia ordinaria. En el caso, en que esto se hizo en un tiempo cercano a cuatro meses</w:t>
      </w:r>
      <w:r w:rsidRPr="00873FEC">
        <w:rPr>
          <w:rFonts w:ascii="Verdana" w:eastAsia="Batang" w:hAnsi="Verdana" w:cs="Times New Roman"/>
          <w:sz w:val="20"/>
          <w:szCs w:val="20"/>
          <w:vertAlign w:val="superscript"/>
          <w:lang w:val="en-US" w:eastAsia="x-none"/>
        </w:rPr>
        <w:footnoteReference w:id="136"/>
      </w:r>
      <w:r w:rsidRPr="00873FEC">
        <w:rPr>
          <w:rFonts w:ascii="Verdana" w:eastAsia="Batang" w:hAnsi="Verdana" w:cs="Times"/>
          <w:sz w:val="20"/>
          <w:szCs w:val="20"/>
          <w:lang w:val="es-CR" w:eastAsia="es-CR"/>
        </w:rPr>
        <w:t>, no surge que la intervención del fuero militar perjudicara la posterior actuación de la justicia ordinaria, ámbito en el cual se arribó a decisiones condenatorias firmes. Por ello, atendiendo a las particularidades del caso, la Corte no considera que se viera vulnerada, de forma que perjudicara a las presuntas víctimas, la garantía de actuación de un “juez o tribunal competente”, en los términos del artículo 8.1 de la Convención</w:t>
      </w:r>
      <w:r w:rsidRPr="00873FEC">
        <w:rPr>
          <w:rFonts w:ascii="Verdana" w:eastAsia="Batang" w:hAnsi="Verdana" w:cs="Times New Roman"/>
          <w:sz w:val="20"/>
          <w:szCs w:val="20"/>
          <w:vertAlign w:val="superscript"/>
          <w:lang w:val="es-CR" w:eastAsia="es-CR"/>
        </w:rPr>
        <w:footnoteReference w:id="137"/>
      </w:r>
      <w:r w:rsidRPr="00873FEC">
        <w:rPr>
          <w:rFonts w:ascii="Verdana" w:eastAsia="Batang" w:hAnsi="Verdana" w:cs="Times"/>
          <w:sz w:val="20"/>
          <w:szCs w:val="20"/>
          <w:lang w:val="es-CR" w:eastAsia="es-CR"/>
        </w:rPr>
        <w:t>.</w:t>
      </w:r>
    </w:p>
    <w:p w:rsidR="00467331" w:rsidRPr="00873FEC" w:rsidRDefault="00467331" w:rsidP="00126E97">
      <w:pPr>
        <w:spacing w:after="0" w:line="20" w:lineRule="atLeast"/>
        <w:ind w:left="720"/>
        <w:contextualSpacing/>
        <w:rPr>
          <w:rFonts w:ascii="Verdana" w:eastAsia="Calibri" w:hAnsi="Verdana" w:cs="Times"/>
          <w:sz w:val="20"/>
          <w:szCs w:val="20"/>
          <w:lang w:val="es-CR" w:eastAsia="es-CR"/>
        </w:rPr>
      </w:pPr>
    </w:p>
    <w:p w:rsidR="00467331" w:rsidRPr="00873FEC" w:rsidRDefault="00467331" w:rsidP="00126E97">
      <w:pPr>
        <w:pStyle w:val="Heading3"/>
        <w:spacing w:before="0" w:line="20" w:lineRule="atLeast"/>
        <w:ind w:left="567"/>
        <w:jc w:val="both"/>
        <w:rPr>
          <w:rFonts w:ascii="Verdana" w:eastAsia="Cambria" w:hAnsi="Verdana" w:cs="Times"/>
          <w:b w:val="0"/>
          <w:i/>
          <w:color w:val="auto"/>
          <w:sz w:val="20"/>
          <w:szCs w:val="20"/>
          <w:lang w:val="es-CR" w:eastAsia="es-CR"/>
        </w:rPr>
      </w:pPr>
      <w:bookmarkStart w:id="149" w:name="_Toc521694817"/>
      <w:bookmarkStart w:id="150" w:name="_Toc525201171"/>
      <w:r w:rsidRPr="00873FEC">
        <w:rPr>
          <w:rFonts w:ascii="Verdana" w:eastAsia="Cambria" w:hAnsi="Verdana" w:cs="Times"/>
          <w:b w:val="0"/>
          <w:i/>
          <w:color w:val="auto"/>
          <w:sz w:val="20"/>
          <w:szCs w:val="20"/>
          <w:lang w:val="es-CR" w:eastAsia="es-CR"/>
        </w:rPr>
        <w:lastRenderedPageBreak/>
        <w:t xml:space="preserve">B.3. </w:t>
      </w:r>
      <w:r w:rsidRPr="00873FEC">
        <w:rPr>
          <w:rFonts w:ascii="Verdana" w:eastAsia="Cambria" w:hAnsi="Verdana" w:cs="Times"/>
          <w:b w:val="0"/>
          <w:i/>
          <w:color w:val="auto"/>
          <w:sz w:val="20"/>
          <w:szCs w:val="20"/>
          <w:u w:val="single"/>
          <w:lang w:val="es-CR" w:eastAsia="es-CR"/>
        </w:rPr>
        <w:t>Investigación de autores intelectuales y de la “cadena de mando</w:t>
      </w:r>
      <w:r w:rsidRPr="00873FEC">
        <w:rPr>
          <w:rFonts w:ascii="Verdana" w:eastAsia="Cambria" w:hAnsi="Verdana" w:cs="Times"/>
          <w:b w:val="0"/>
          <w:i/>
          <w:color w:val="auto"/>
          <w:sz w:val="20"/>
          <w:szCs w:val="20"/>
          <w:lang w:val="es-CR" w:eastAsia="es-CR"/>
        </w:rPr>
        <w:t>”</w:t>
      </w:r>
      <w:bookmarkEnd w:id="149"/>
      <w:bookmarkEnd w:id="150"/>
    </w:p>
    <w:p w:rsidR="00467331" w:rsidRPr="00873FEC" w:rsidRDefault="00467331" w:rsidP="00126E97">
      <w:pPr>
        <w:pStyle w:val="Heading3"/>
        <w:spacing w:before="0" w:line="20" w:lineRule="atLeast"/>
        <w:ind w:left="567"/>
        <w:jc w:val="both"/>
        <w:rPr>
          <w:rFonts w:ascii="Verdana" w:eastAsia="Calibri" w:hAnsi="Verdana" w:cs="Times"/>
          <w:b w:val="0"/>
          <w:color w:val="auto"/>
          <w:sz w:val="20"/>
          <w:szCs w:val="20"/>
          <w:lang w:val="es-CR" w:eastAsia="es-CR"/>
        </w:rPr>
      </w:pPr>
    </w:p>
    <w:p w:rsidR="00467331" w:rsidRPr="00873FEC" w:rsidRDefault="00467331" w:rsidP="00126E97">
      <w:pPr>
        <w:numPr>
          <w:ilvl w:val="0"/>
          <w:numId w:val="3"/>
        </w:numPr>
        <w:spacing w:after="0" w:line="20" w:lineRule="atLeast"/>
        <w:ind w:right="-138"/>
        <w:contextualSpacing/>
        <w:jc w:val="both"/>
        <w:rPr>
          <w:rFonts w:ascii="Verdana" w:eastAsia="Calibri" w:hAnsi="Verdana" w:cs="Times"/>
          <w:i/>
          <w:sz w:val="20"/>
          <w:szCs w:val="20"/>
          <w:lang w:val="es-CR" w:eastAsia="es-CR"/>
        </w:rPr>
      </w:pPr>
      <w:r w:rsidRPr="00873FEC">
        <w:rPr>
          <w:rFonts w:ascii="Verdana" w:eastAsia="Calibri" w:hAnsi="Verdana" w:cs="Times"/>
          <w:sz w:val="20"/>
          <w:szCs w:val="20"/>
          <w:lang w:val="es-CR" w:eastAsia="es-CR"/>
        </w:rPr>
        <w:t>En cuanto a la investigación de supuestos autores intelectuales o de la cadena de mando, la Corte recuerda que “se debe evitar omisiones en la recaudación de prueba y en el seguimiento de líneas lógicas de investigación”</w:t>
      </w:r>
      <w:r w:rsidRPr="00873FEC">
        <w:rPr>
          <w:rFonts w:ascii="Verdana" w:eastAsia="Calibri" w:hAnsi="Verdana" w:cs="Times New Roman"/>
          <w:szCs w:val="20"/>
          <w:vertAlign w:val="superscript"/>
          <w:lang w:val="es-CR" w:eastAsia="x-none"/>
        </w:rPr>
        <w:footnoteReference w:id="138"/>
      </w:r>
      <w:r w:rsidRPr="00873FEC">
        <w:rPr>
          <w:rFonts w:ascii="Verdana" w:eastAsia="Calibri" w:hAnsi="Verdana" w:cs="Times"/>
          <w:sz w:val="20"/>
          <w:szCs w:val="20"/>
          <w:lang w:val="es-CR" w:eastAsia="es-CR"/>
        </w:rPr>
        <w:t>. Ello cobra sentido cuando de las circunstancias del caso surgen diversas “hipótesis relevantes” sobre los hechos y su autoría</w:t>
      </w:r>
      <w:r w:rsidRPr="00873FEC">
        <w:rPr>
          <w:rFonts w:ascii="Verdana" w:eastAsia="Calibri" w:hAnsi="Verdana" w:cs="Times New Roman"/>
          <w:szCs w:val="20"/>
          <w:vertAlign w:val="superscript"/>
          <w:lang w:val="es-CR" w:eastAsia="x-none"/>
        </w:rPr>
        <w:footnoteReference w:id="139"/>
      </w:r>
      <w:r w:rsidRPr="00873FEC">
        <w:rPr>
          <w:rFonts w:ascii="Verdana" w:eastAsia="Calibri" w:hAnsi="Verdana" w:cs="Times"/>
          <w:sz w:val="20"/>
          <w:szCs w:val="20"/>
          <w:lang w:val="es-CR" w:eastAsia="es-CR"/>
        </w:rPr>
        <w:t xml:space="preserve">. Ello no ocurre en el caso. Los representantes no explicaron por qué surgiría la probabilidad de que la masacre haya sido planificada o, de cualquier otro modo, que la autoría (material o intelectual) exceda a las personas que formaban la patrulla militar. Debe hacerse notar que fueron procesadas 25 personas mayores de edad de ese grupo (también integrado por un niño). Por ello, no corresponde determinar que Guatemala sea responsable por la falta de seguimiento de líneas lógicas de investigación.  </w:t>
      </w:r>
    </w:p>
    <w:p w:rsidR="00467331" w:rsidRPr="00873FEC" w:rsidRDefault="00467331" w:rsidP="00126E97">
      <w:pPr>
        <w:spacing w:after="0" w:line="20" w:lineRule="atLeast"/>
        <w:ind w:right="-138"/>
        <w:contextualSpacing/>
        <w:jc w:val="both"/>
        <w:rPr>
          <w:rFonts w:ascii="Verdana" w:eastAsia="Calibri" w:hAnsi="Verdana" w:cs="Times"/>
          <w:i/>
          <w:sz w:val="20"/>
          <w:szCs w:val="20"/>
          <w:lang w:val="es-CR" w:eastAsia="es-CR"/>
        </w:rPr>
      </w:pPr>
    </w:p>
    <w:p w:rsidR="00467331" w:rsidRPr="00873FEC" w:rsidRDefault="00467331" w:rsidP="00126E97">
      <w:pPr>
        <w:pStyle w:val="Heading3"/>
        <w:spacing w:before="0" w:line="20" w:lineRule="atLeast"/>
        <w:ind w:left="567"/>
        <w:jc w:val="both"/>
        <w:rPr>
          <w:rFonts w:ascii="Verdana" w:eastAsia="Calibri" w:hAnsi="Verdana" w:cs="Times"/>
          <w:b w:val="0"/>
          <w:i/>
          <w:color w:val="auto"/>
          <w:sz w:val="20"/>
          <w:szCs w:val="20"/>
          <w:lang w:val="es-CR" w:eastAsia="es-CR"/>
        </w:rPr>
      </w:pPr>
      <w:bookmarkStart w:id="151" w:name="_Toc525201172"/>
      <w:r w:rsidRPr="00873FEC">
        <w:rPr>
          <w:rFonts w:ascii="Verdana" w:eastAsia="Calibri" w:hAnsi="Verdana" w:cs="Times"/>
          <w:b w:val="0"/>
          <w:i/>
          <w:color w:val="auto"/>
          <w:sz w:val="20"/>
          <w:szCs w:val="20"/>
          <w:lang w:val="es-CR" w:eastAsia="es-CR"/>
        </w:rPr>
        <w:t xml:space="preserve">B.4. </w:t>
      </w:r>
      <w:r w:rsidRPr="00873FEC">
        <w:rPr>
          <w:rFonts w:ascii="Verdana" w:eastAsia="Calibri" w:hAnsi="Verdana" w:cs="Times"/>
          <w:b w:val="0"/>
          <w:i/>
          <w:color w:val="auto"/>
          <w:sz w:val="20"/>
          <w:szCs w:val="20"/>
          <w:u w:val="single"/>
          <w:lang w:val="es-CR" w:eastAsia="es-CR"/>
        </w:rPr>
        <w:t>Reducción del tiempo de condena y liberación de condenados</w:t>
      </w:r>
      <w:bookmarkEnd w:id="151"/>
    </w:p>
    <w:p w:rsidR="00467331" w:rsidRPr="00873FEC" w:rsidRDefault="00467331" w:rsidP="00126E97">
      <w:pPr>
        <w:pStyle w:val="Heading3"/>
        <w:spacing w:before="0" w:line="20" w:lineRule="atLeast"/>
        <w:ind w:left="567"/>
        <w:jc w:val="both"/>
        <w:rPr>
          <w:rFonts w:ascii="Verdana" w:eastAsia="Calibri" w:hAnsi="Verdana" w:cs="Times"/>
          <w:b w:val="0"/>
          <w:i/>
          <w:color w:val="auto"/>
          <w:sz w:val="20"/>
          <w:szCs w:val="20"/>
          <w:lang w:val="es-CR" w:eastAsia="es-CR"/>
        </w:rPr>
      </w:pPr>
    </w:p>
    <w:p w:rsidR="00467331" w:rsidRPr="00873FEC" w:rsidRDefault="00467331" w:rsidP="00126E97">
      <w:pPr>
        <w:numPr>
          <w:ilvl w:val="0"/>
          <w:numId w:val="3"/>
        </w:numPr>
        <w:spacing w:after="0" w:line="20" w:lineRule="atLeast"/>
        <w:ind w:right="-138"/>
        <w:contextualSpacing/>
        <w:jc w:val="both"/>
        <w:rPr>
          <w:rFonts w:ascii="Verdana" w:eastAsia="Calibri" w:hAnsi="Verdana" w:cs="Times"/>
          <w:sz w:val="20"/>
          <w:szCs w:val="20"/>
          <w:lang w:val="es-CR" w:eastAsia="es-CR"/>
        </w:rPr>
      </w:pPr>
      <w:r w:rsidRPr="00873FEC">
        <w:rPr>
          <w:rFonts w:ascii="Verdana" w:eastAsia="Calibri" w:hAnsi="Verdana" w:cs="Times"/>
          <w:sz w:val="20"/>
          <w:szCs w:val="20"/>
          <w:lang w:val="es-CR" w:eastAsia="es-CR"/>
        </w:rPr>
        <w:t>En lo atinente a las condenas impuestas</w:t>
      </w:r>
      <w:r w:rsidRPr="00873FEC">
        <w:rPr>
          <w:rFonts w:ascii="Verdana" w:eastAsia="Calibri" w:hAnsi="Verdana" w:cs="Times New Roman"/>
          <w:szCs w:val="20"/>
          <w:vertAlign w:val="superscript"/>
          <w:lang w:eastAsia="x-none"/>
        </w:rPr>
        <w:footnoteReference w:id="140"/>
      </w:r>
      <w:r w:rsidRPr="00873FEC">
        <w:rPr>
          <w:rFonts w:ascii="Verdana" w:eastAsia="Calibri" w:hAnsi="Verdana" w:cs="Times"/>
          <w:sz w:val="20"/>
          <w:szCs w:val="20"/>
          <w:lang w:eastAsia="es-CR"/>
        </w:rPr>
        <w:t>, debe advertirse que la Corte ha señalado que las penas deben ser proporcionales a la gravedad de las violaciones a derechos humanos involucradas en un delito, y que su determinación no es tarea de la Corte, sino que compete a las autoridades internas</w:t>
      </w:r>
      <w:r w:rsidRPr="00873FEC">
        <w:rPr>
          <w:rFonts w:ascii="Verdana" w:eastAsia="Calibri" w:hAnsi="Verdana" w:cs="Times New Roman"/>
          <w:color w:val="000000"/>
          <w:szCs w:val="20"/>
          <w:vertAlign w:val="superscript"/>
          <w:lang w:val="es-CR" w:eastAsia="x-none"/>
        </w:rPr>
        <w:footnoteReference w:id="141"/>
      </w:r>
      <w:r w:rsidRPr="00873FEC">
        <w:rPr>
          <w:rFonts w:ascii="Verdana" w:eastAsia="Calibri" w:hAnsi="Verdana" w:cs="Verdana"/>
          <w:color w:val="000000"/>
          <w:sz w:val="20"/>
          <w:szCs w:val="20"/>
          <w:lang w:val="es-CR" w:eastAsia="es-CR"/>
        </w:rPr>
        <w:t>.</w:t>
      </w:r>
      <w:r w:rsidRPr="00873FEC">
        <w:rPr>
          <w:rFonts w:ascii="Verdana" w:eastAsia="Calibri" w:hAnsi="Verdana" w:cs="Times"/>
          <w:sz w:val="20"/>
          <w:szCs w:val="20"/>
          <w:lang w:val="es-CR" w:eastAsia="es-CR"/>
        </w:rPr>
        <w:t xml:space="preserve"> Ahora bien, l</w:t>
      </w:r>
      <w:r w:rsidRPr="00873FEC">
        <w:rPr>
          <w:rFonts w:ascii="Verdana" w:eastAsia="Calibri" w:hAnsi="Verdana" w:cs="Times"/>
          <w:sz w:val="20"/>
          <w:szCs w:val="20"/>
          <w:lang w:eastAsia="es-CR"/>
        </w:rPr>
        <w:t>os representantes señalaron</w:t>
      </w:r>
      <w:r w:rsidRPr="00873FEC">
        <w:rPr>
          <w:rFonts w:ascii="Verdana" w:eastAsia="Calibri" w:hAnsi="Verdana" w:cs="Times"/>
          <w:b/>
          <w:sz w:val="20"/>
          <w:szCs w:val="20"/>
          <w:lang w:eastAsia="es-CR"/>
        </w:rPr>
        <w:t xml:space="preserve"> </w:t>
      </w:r>
      <w:r w:rsidRPr="00873FEC">
        <w:rPr>
          <w:rFonts w:ascii="Verdana" w:eastAsia="Calibri" w:hAnsi="Verdana" w:cs="Times"/>
          <w:sz w:val="20"/>
          <w:szCs w:val="20"/>
          <w:lang w:eastAsia="es-CR"/>
        </w:rPr>
        <w:t>que el 8 de julio de 2015 la Corte Suprema de Justicia resolvió reducir las condenas 10 años, quedando limitadas a 30 años de privación de libertad. No obstante, los representantes no han presentado argumentos o información que permitan a esta Corte, en este caso, determinar una afectación a la proporcionalidad de la pena.</w:t>
      </w:r>
      <w:r w:rsidRPr="00873FEC">
        <w:rPr>
          <w:rFonts w:ascii="Verdana" w:eastAsia="Calibri" w:hAnsi="Verdana" w:cs="Times"/>
          <w:sz w:val="20"/>
          <w:szCs w:val="20"/>
          <w:lang w:val="es-CR" w:eastAsia="es-CR"/>
        </w:rPr>
        <w:t xml:space="preserve"> </w:t>
      </w:r>
    </w:p>
    <w:p w:rsidR="00467331" w:rsidRPr="00873FEC" w:rsidRDefault="00467331" w:rsidP="00126E97">
      <w:pPr>
        <w:spacing w:after="0" w:line="20" w:lineRule="atLeast"/>
        <w:ind w:right="-138"/>
        <w:contextualSpacing/>
        <w:jc w:val="both"/>
        <w:rPr>
          <w:rFonts w:ascii="Verdana" w:eastAsia="Calibri" w:hAnsi="Verdana" w:cs="Times"/>
          <w:sz w:val="20"/>
          <w:szCs w:val="20"/>
          <w:lang w:val="es-CR" w:eastAsia="es-CR"/>
        </w:rPr>
      </w:pPr>
    </w:p>
    <w:p w:rsidR="00467331" w:rsidRPr="00873FEC" w:rsidRDefault="00467331" w:rsidP="00126E97">
      <w:pPr>
        <w:numPr>
          <w:ilvl w:val="0"/>
          <w:numId w:val="3"/>
        </w:numPr>
        <w:spacing w:after="0" w:line="20" w:lineRule="atLeast"/>
        <w:ind w:right="-138"/>
        <w:contextualSpacing/>
        <w:jc w:val="both"/>
        <w:rPr>
          <w:rFonts w:ascii="Verdana" w:eastAsia="Calibri" w:hAnsi="Verdana" w:cs="Times"/>
          <w:sz w:val="20"/>
          <w:szCs w:val="20"/>
          <w:lang w:val="es-CR" w:eastAsia="es-CR"/>
        </w:rPr>
      </w:pPr>
      <w:r w:rsidRPr="00873FEC">
        <w:rPr>
          <w:rFonts w:ascii="Verdana" w:eastAsia="Calibri" w:hAnsi="Verdana" w:cs="Times"/>
          <w:sz w:val="20"/>
          <w:szCs w:val="20"/>
          <w:lang w:val="es-CR" w:eastAsia="es-CR"/>
        </w:rPr>
        <w:t xml:space="preserve">Por otra parte, también de acuerdo a indicaciones de los representantes, al menos </w:t>
      </w:r>
      <w:r w:rsidR="00641A62" w:rsidRPr="00873FEC">
        <w:rPr>
          <w:rFonts w:ascii="Verdana" w:eastAsia="Calibri" w:hAnsi="Verdana" w:cs="Times"/>
          <w:sz w:val="20"/>
          <w:szCs w:val="20"/>
          <w:lang w:val="es-CR" w:eastAsia="es-CR"/>
        </w:rPr>
        <w:t>dos</w:t>
      </w:r>
      <w:r w:rsidRPr="00873FEC">
        <w:rPr>
          <w:rFonts w:ascii="Verdana" w:eastAsia="Calibri" w:hAnsi="Verdana" w:cs="Times"/>
          <w:sz w:val="20"/>
          <w:szCs w:val="20"/>
          <w:lang w:val="es-CR" w:eastAsia="es-CR"/>
        </w:rPr>
        <w:t xml:space="preserve"> personas condenadas habrían recuperado ya su libertad por “buena conducta”, y el resto podría hacerlo, invocando la misma causal, durante 2018 o 2019. Ahora bien, las manifestaciones de los representantes sobre las personas liberadas o que podrían obtener su libertad resultan imprecisas y confusas (</w:t>
      </w:r>
      <w:r w:rsidRPr="00873FEC">
        <w:rPr>
          <w:rFonts w:ascii="Verdana" w:eastAsia="Calibri" w:hAnsi="Verdana" w:cs="Times"/>
          <w:i/>
          <w:sz w:val="20"/>
          <w:szCs w:val="20"/>
          <w:lang w:val="es-CR" w:eastAsia="es-CR"/>
        </w:rPr>
        <w:t>supra</w:t>
      </w:r>
      <w:r w:rsidRPr="00873FEC">
        <w:rPr>
          <w:rFonts w:ascii="Verdana" w:eastAsia="Calibri" w:hAnsi="Verdana" w:cs="Times"/>
          <w:sz w:val="20"/>
          <w:szCs w:val="20"/>
          <w:lang w:val="es-CR" w:eastAsia="es-CR"/>
        </w:rPr>
        <w:t xml:space="preserve"> nota a pie de página </w:t>
      </w:r>
      <w:r w:rsidR="00FF1C00" w:rsidRPr="00873FEC">
        <w:rPr>
          <w:rFonts w:ascii="Verdana" w:eastAsia="Calibri" w:hAnsi="Verdana" w:cs="Times"/>
          <w:sz w:val="20"/>
          <w:szCs w:val="20"/>
          <w:lang w:val="es-CR" w:eastAsia="es-CR"/>
        </w:rPr>
        <w:t>115</w:t>
      </w:r>
      <w:r w:rsidRPr="00873FEC">
        <w:rPr>
          <w:rFonts w:ascii="Verdana" w:eastAsia="Calibri" w:hAnsi="Verdana" w:cs="Times"/>
          <w:sz w:val="20"/>
          <w:szCs w:val="20"/>
          <w:lang w:val="es-CR" w:eastAsia="es-CR"/>
        </w:rPr>
        <w:t xml:space="preserve">). Aunado a ello, no han presentado argumentos suficientes para explicar por qué, en el caso, las liberaciones aludidas podrían derivar en la afectación a derechos convencionales. Por ello, la Corte no tiene elementos para examinar este aspecto en el caso.  </w:t>
      </w:r>
    </w:p>
    <w:p w:rsidR="00467331" w:rsidRPr="00873FEC" w:rsidRDefault="00467331" w:rsidP="00126E97">
      <w:pPr>
        <w:spacing w:after="0" w:line="20" w:lineRule="atLeast"/>
        <w:ind w:left="720"/>
        <w:contextualSpacing/>
        <w:rPr>
          <w:rFonts w:ascii="Verdana" w:eastAsia="Calibri" w:hAnsi="Verdana" w:cs="Times"/>
          <w:sz w:val="20"/>
          <w:szCs w:val="20"/>
          <w:lang w:val="es-CR" w:eastAsia="es-CR"/>
        </w:rPr>
      </w:pPr>
    </w:p>
    <w:p w:rsidR="00467331" w:rsidRPr="00873FEC" w:rsidRDefault="00467331" w:rsidP="00126E97">
      <w:pPr>
        <w:pStyle w:val="Heading3"/>
        <w:spacing w:before="0" w:line="20" w:lineRule="atLeast"/>
        <w:ind w:left="567"/>
        <w:jc w:val="both"/>
        <w:rPr>
          <w:rFonts w:ascii="Verdana" w:eastAsia="Calibri" w:hAnsi="Verdana" w:cs="Times"/>
          <w:b w:val="0"/>
          <w:i/>
          <w:color w:val="auto"/>
          <w:sz w:val="20"/>
          <w:szCs w:val="20"/>
          <w:lang w:val="es-CR" w:eastAsia="es-CR"/>
        </w:rPr>
      </w:pPr>
      <w:bookmarkStart w:id="152" w:name="_Toc525201173"/>
      <w:r w:rsidRPr="00873FEC">
        <w:rPr>
          <w:rFonts w:ascii="Verdana" w:eastAsia="Calibri" w:hAnsi="Verdana" w:cs="Times"/>
          <w:b w:val="0"/>
          <w:i/>
          <w:color w:val="auto"/>
          <w:sz w:val="20"/>
          <w:szCs w:val="20"/>
          <w:lang w:val="es-CR" w:eastAsia="es-CR"/>
        </w:rPr>
        <w:t xml:space="preserve">B. 5. </w:t>
      </w:r>
      <w:r w:rsidRPr="00873FEC">
        <w:rPr>
          <w:rFonts w:ascii="Verdana" w:eastAsia="Calibri" w:hAnsi="Verdana" w:cs="Times"/>
          <w:b w:val="0"/>
          <w:i/>
          <w:color w:val="auto"/>
          <w:sz w:val="20"/>
          <w:szCs w:val="20"/>
          <w:u w:val="single"/>
          <w:lang w:val="es-CR" w:eastAsia="es-CR"/>
        </w:rPr>
        <w:t>Sobre personas prófugas</w:t>
      </w:r>
      <w:bookmarkEnd w:id="152"/>
    </w:p>
    <w:p w:rsidR="00467331" w:rsidRPr="00873FEC" w:rsidRDefault="00467331" w:rsidP="00126E97">
      <w:pPr>
        <w:tabs>
          <w:tab w:val="left" w:pos="2385"/>
        </w:tabs>
        <w:spacing w:after="0" w:line="20" w:lineRule="atLeast"/>
        <w:ind w:left="720"/>
        <w:contextualSpacing/>
        <w:rPr>
          <w:rFonts w:ascii="Verdana" w:eastAsia="Calibri" w:hAnsi="Verdana" w:cs="Times"/>
          <w:sz w:val="20"/>
          <w:szCs w:val="20"/>
          <w:lang w:val="es-CR" w:eastAsia="es-CR"/>
        </w:rPr>
      </w:pPr>
      <w:r w:rsidRPr="00873FEC">
        <w:rPr>
          <w:rFonts w:ascii="Verdana" w:eastAsia="Calibri" w:hAnsi="Verdana" w:cs="Times"/>
          <w:sz w:val="20"/>
          <w:szCs w:val="20"/>
          <w:lang w:val="es-CR" w:eastAsia="es-CR"/>
        </w:rPr>
        <w:tab/>
      </w:r>
    </w:p>
    <w:p w:rsidR="00467331" w:rsidRPr="00873FEC" w:rsidRDefault="00467331" w:rsidP="00126E97">
      <w:pPr>
        <w:numPr>
          <w:ilvl w:val="0"/>
          <w:numId w:val="3"/>
        </w:numPr>
        <w:spacing w:after="0" w:line="20" w:lineRule="atLeast"/>
        <w:ind w:right="-138"/>
        <w:contextualSpacing/>
        <w:jc w:val="both"/>
        <w:rPr>
          <w:rFonts w:ascii="Verdana" w:eastAsia="Calibri" w:hAnsi="Verdana" w:cs="Times"/>
          <w:sz w:val="20"/>
          <w:szCs w:val="20"/>
          <w:lang w:val="es-CR" w:eastAsia="es-CR"/>
        </w:rPr>
      </w:pPr>
      <w:r w:rsidRPr="00873FEC">
        <w:rPr>
          <w:rFonts w:ascii="Verdana" w:eastAsia="Calibri" w:hAnsi="Verdana" w:cs="Times"/>
          <w:sz w:val="20"/>
          <w:szCs w:val="20"/>
          <w:lang w:val="es-CR" w:eastAsia="es-CR"/>
        </w:rPr>
        <w:t>Habiendo quedado establecido lo precedente, deben examinarse los señalamientos sobre personas prófugas. De los hechos surge que el 12 de abril de 2000 se anuló la absolución, antes decidida, de 15 personas y se ordenó su detención, y que el mes siguiente el expediente fue trasladado al Tribunal de Sentencia (</w:t>
      </w:r>
      <w:r w:rsidRPr="00873FEC">
        <w:rPr>
          <w:rFonts w:ascii="Verdana" w:eastAsia="Calibri" w:hAnsi="Verdana" w:cs="Times"/>
          <w:i/>
          <w:sz w:val="20"/>
          <w:szCs w:val="20"/>
          <w:lang w:val="es-CR" w:eastAsia="es-CR"/>
        </w:rPr>
        <w:t>supra</w:t>
      </w:r>
      <w:r w:rsidRPr="00873FEC">
        <w:rPr>
          <w:rFonts w:ascii="Verdana" w:eastAsia="Calibri" w:hAnsi="Verdana" w:cs="Times"/>
          <w:sz w:val="20"/>
          <w:szCs w:val="20"/>
          <w:lang w:val="es-CR" w:eastAsia="es-CR"/>
        </w:rPr>
        <w:t xml:space="preserve"> </w:t>
      </w:r>
      <w:proofErr w:type="spellStart"/>
      <w:r w:rsidRPr="00873FEC">
        <w:rPr>
          <w:rFonts w:ascii="Verdana" w:eastAsia="Calibri" w:hAnsi="Verdana" w:cs="Times"/>
          <w:sz w:val="20"/>
          <w:szCs w:val="20"/>
          <w:lang w:val="es-CR" w:eastAsia="es-CR"/>
        </w:rPr>
        <w:t>párr</w:t>
      </w:r>
      <w:r w:rsidR="00FF1C00" w:rsidRPr="00873FEC">
        <w:rPr>
          <w:rFonts w:ascii="Verdana" w:eastAsia="Calibri" w:hAnsi="Verdana" w:cs="Times"/>
          <w:sz w:val="20"/>
          <w:szCs w:val="20"/>
          <w:lang w:val="es-CR" w:eastAsia="es-CR"/>
        </w:rPr>
        <w:t>s</w:t>
      </w:r>
      <w:proofErr w:type="spellEnd"/>
      <w:r w:rsidRPr="00873FEC">
        <w:rPr>
          <w:rFonts w:ascii="Verdana" w:eastAsia="Calibri" w:hAnsi="Verdana" w:cs="Times"/>
          <w:sz w:val="20"/>
          <w:szCs w:val="20"/>
          <w:lang w:val="es-CR" w:eastAsia="es-CR"/>
        </w:rPr>
        <w:t xml:space="preserve">. </w:t>
      </w:r>
      <w:r w:rsidR="00FF1C00" w:rsidRPr="00873FEC">
        <w:rPr>
          <w:rFonts w:ascii="Verdana" w:eastAsia="Calibri" w:hAnsi="Verdana" w:cs="Times"/>
          <w:sz w:val="20"/>
          <w:szCs w:val="20"/>
          <w:lang w:val="es-CR" w:eastAsia="es-CR"/>
        </w:rPr>
        <w:t>61 y 62</w:t>
      </w:r>
      <w:r w:rsidRPr="00873FEC">
        <w:rPr>
          <w:rFonts w:ascii="Verdana" w:eastAsia="Calibri" w:hAnsi="Verdana" w:cs="Times"/>
          <w:sz w:val="20"/>
          <w:szCs w:val="20"/>
          <w:lang w:val="es-CR" w:eastAsia="es-CR"/>
        </w:rPr>
        <w:t>). El Estado ha indicado que 11 de las personas aludidas se encuentran prófugas (</w:t>
      </w:r>
      <w:r w:rsidRPr="00873FEC">
        <w:rPr>
          <w:rFonts w:ascii="Verdana" w:eastAsia="Calibri" w:hAnsi="Verdana" w:cs="Times"/>
          <w:i/>
          <w:sz w:val="20"/>
          <w:szCs w:val="20"/>
          <w:lang w:val="es-CR" w:eastAsia="es-CR"/>
        </w:rPr>
        <w:t>supra</w:t>
      </w:r>
      <w:r w:rsidRPr="00873FEC">
        <w:rPr>
          <w:rFonts w:ascii="Verdana" w:eastAsia="Calibri" w:hAnsi="Verdana" w:cs="Times"/>
          <w:sz w:val="20"/>
          <w:szCs w:val="20"/>
          <w:lang w:val="es-CR" w:eastAsia="es-CR"/>
        </w:rPr>
        <w:t xml:space="preserve"> </w:t>
      </w:r>
      <w:proofErr w:type="spellStart"/>
      <w:r w:rsidRPr="00873FEC">
        <w:rPr>
          <w:rFonts w:ascii="Verdana" w:eastAsia="Calibri" w:hAnsi="Verdana" w:cs="Times"/>
          <w:sz w:val="20"/>
          <w:szCs w:val="20"/>
          <w:lang w:val="es-CR" w:eastAsia="es-CR"/>
        </w:rPr>
        <w:t>párr</w:t>
      </w:r>
      <w:r w:rsidR="00FF1C00" w:rsidRPr="00873FEC">
        <w:rPr>
          <w:rFonts w:ascii="Verdana" w:eastAsia="Calibri" w:hAnsi="Verdana" w:cs="Times"/>
          <w:sz w:val="20"/>
          <w:szCs w:val="20"/>
          <w:lang w:val="es-CR" w:eastAsia="es-CR"/>
        </w:rPr>
        <w:t>s</w:t>
      </w:r>
      <w:proofErr w:type="spellEnd"/>
      <w:r w:rsidRPr="00873FEC">
        <w:rPr>
          <w:rFonts w:ascii="Verdana" w:eastAsia="Calibri" w:hAnsi="Verdana" w:cs="Times"/>
          <w:sz w:val="20"/>
          <w:szCs w:val="20"/>
          <w:lang w:val="es-CR" w:eastAsia="es-CR"/>
        </w:rPr>
        <w:t xml:space="preserve">. </w:t>
      </w:r>
      <w:r w:rsidR="00FF1C00" w:rsidRPr="00873FEC">
        <w:rPr>
          <w:rFonts w:ascii="Verdana" w:eastAsia="Calibri" w:hAnsi="Verdana" w:cs="Times"/>
          <w:sz w:val="20"/>
          <w:szCs w:val="20"/>
          <w:lang w:val="es-CR" w:eastAsia="es-CR"/>
        </w:rPr>
        <w:t>66 y 76</w:t>
      </w:r>
      <w:r w:rsidRPr="00873FEC">
        <w:rPr>
          <w:rFonts w:ascii="Verdana" w:eastAsia="Calibri" w:hAnsi="Verdana" w:cs="Times"/>
          <w:sz w:val="20"/>
          <w:szCs w:val="20"/>
          <w:lang w:val="es-CR" w:eastAsia="es-CR"/>
        </w:rPr>
        <w:t xml:space="preserve">).  </w:t>
      </w:r>
    </w:p>
    <w:p w:rsidR="00467331" w:rsidRPr="00873FEC" w:rsidRDefault="00467331" w:rsidP="00126E97">
      <w:pPr>
        <w:spacing w:after="0" w:line="20" w:lineRule="atLeast"/>
        <w:ind w:right="-138"/>
        <w:contextualSpacing/>
        <w:jc w:val="both"/>
        <w:rPr>
          <w:rFonts w:ascii="Verdana" w:eastAsia="Calibri" w:hAnsi="Verdana" w:cs="Times"/>
          <w:sz w:val="20"/>
          <w:szCs w:val="20"/>
          <w:lang w:val="es-CR" w:eastAsia="es-CR"/>
        </w:rPr>
      </w:pPr>
    </w:p>
    <w:p w:rsidR="00467331" w:rsidRPr="00873FEC" w:rsidRDefault="00467331" w:rsidP="00126E97">
      <w:pPr>
        <w:numPr>
          <w:ilvl w:val="0"/>
          <w:numId w:val="3"/>
        </w:numPr>
        <w:spacing w:after="0" w:line="20" w:lineRule="atLeast"/>
        <w:ind w:right="-138"/>
        <w:contextualSpacing/>
        <w:jc w:val="both"/>
        <w:rPr>
          <w:rFonts w:ascii="Verdana" w:eastAsia="Calibri" w:hAnsi="Verdana" w:cs="Times"/>
          <w:sz w:val="20"/>
          <w:szCs w:val="20"/>
          <w:lang w:val="es-CR" w:eastAsia="es-CR"/>
        </w:rPr>
      </w:pPr>
      <w:r w:rsidRPr="00873FEC">
        <w:rPr>
          <w:rFonts w:ascii="Verdana" w:eastAsia="Calibri" w:hAnsi="Verdana" w:cs="Times"/>
          <w:sz w:val="20"/>
          <w:szCs w:val="20"/>
          <w:lang w:val="es-CR" w:eastAsia="es-CR"/>
        </w:rPr>
        <w:lastRenderedPageBreak/>
        <w:t>Ahora bien, la Corte ha dicho que los Estados, al investigar, deben llevar a cabo todas las actuaciones necesarias para procurar el resultado que se persigue (</w:t>
      </w:r>
      <w:r w:rsidRPr="00873FEC">
        <w:rPr>
          <w:rFonts w:ascii="Verdana" w:eastAsia="Calibri" w:hAnsi="Verdana" w:cs="Times"/>
          <w:i/>
          <w:sz w:val="20"/>
          <w:szCs w:val="20"/>
          <w:lang w:val="es-CR" w:eastAsia="es-CR"/>
        </w:rPr>
        <w:t>supra</w:t>
      </w:r>
      <w:r w:rsidRPr="00873FEC">
        <w:rPr>
          <w:rFonts w:ascii="Verdana" w:eastAsia="Calibri" w:hAnsi="Verdana" w:cs="Times"/>
          <w:sz w:val="20"/>
          <w:szCs w:val="20"/>
          <w:lang w:val="es-CR" w:eastAsia="es-CR"/>
        </w:rPr>
        <w:t xml:space="preserve"> párr. 81). Asimismo, ha conocido circunstancias que denotaban un incumplimiento al deber de investigar en forma diligente dada la falta de actuaciones suficientes para dar con el paradero de personas respecto de quienes se había dictado una orden de captura</w:t>
      </w:r>
      <w:r w:rsidRPr="00873FEC">
        <w:rPr>
          <w:rFonts w:ascii="Verdana" w:eastAsia="Calibri" w:hAnsi="Verdana" w:cs="Times New Roman"/>
          <w:szCs w:val="20"/>
          <w:vertAlign w:val="superscript"/>
          <w:lang w:val="es-CR" w:eastAsia="x-none"/>
        </w:rPr>
        <w:footnoteReference w:id="142"/>
      </w:r>
      <w:r w:rsidRPr="00873FEC">
        <w:rPr>
          <w:rFonts w:ascii="Verdana" w:eastAsia="Calibri" w:hAnsi="Verdana" w:cs="Times"/>
          <w:sz w:val="20"/>
          <w:szCs w:val="20"/>
          <w:lang w:val="es-CR" w:eastAsia="es-CR"/>
        </w:rPr>
        <w:t xml:space="preserve">.  </w:t>
      </w:r>
    </w:p>
    <w:p w:rsidR="00467331" w:rsidRPr="00873FEC" w:rsidRDefault="00467331" w:rsidP="00126E97">
      <w:pPr>
        <w:spacing w:line="20" w:lineRule="atLeast"/>
        <w:contextualSpacing/>
        <w:rPr>
          <w:rFonts w:ascii="Verdana" w:eastAsia="Calibri" w:hAnsi="Verdana" w:cs="Times"/>
          <w:sz w:val="20"/>
          <w:szCs w:val="20"/>
          <w:lang w:val="es-CR" w:eastAsia="es-CR"/>
        </w:rPr>
      </w:pPr>
    </w:p>
    <w:p w:rsidR="00467331" w:rsidRPr="00873FEC" w:rsidRDefault="00467331" w:rsidP="00126E97">
      <w:pPr>
        <w:numPr>
          <w:ilvl w:val="0"/>
          <w:numId w:val="3"/>
        </w:numPr>
        <w:spacing w:after="0" w:line="20" w:lineRule="atLeast"/>
        <w:ind w:right="-138"/>
        <w:contextualSpacing/>
        <w:jc w:val="both"/>
        <w:rPr>
          <w:rFonts w:ascii="Verdana" w:eastAsia="Calibri" w:hAnsi="Verdana" w:cs="Times"/>
          <w:sz w:val="20"/>
          <w:szCs w:val="20"/>
          <w:lang w:val="es-CR" w:eastAsia="es-CR"/>
        </w:rPr>
      </w:pPr>
      <w:r w:rsidRPr="00873FEC">
        <w:rPr>
          <w:rFonts w:ascii="Verdana" w:eastAsia="Calibri" w:hAnsi="Verdana" w:cs="Times"/>
          <w:sz w:val="20"/>
          <w:szCs w:val="20"/>
          <w:lang w:val="es-CR" w:eastAsia="es-CR"/>
        </w:rPr>
        <w:t>Como parte de sus argumentos para sostener que no es responsable de la violación a los artículos 8 y 25 de la Convención, el Estado manifestó que mantenía vigentes ordenes de aprehensión (</w:t>
      </w:r>
      <w:r w:rsidRPr="00873FEC">
        <w:rPr>
          <w:rFonts w:ascii="Verdana" w:eastAsia="Calibri" w:hAnsi="Verdana" w:cs="Times"/>
          <w:i/>
          <w:sz w:val="20"/>
          <w:szCs w:val="20"/>
          <w:lang w:val="es-CR" w:eastAsia="es-CR"/>
        </w:rPr>
        <w:t>supra</w:t>
      </w:r>
      <w:r w:rsidRPr="00873FEC">
        <w:rPr>
          <w:rFonts w:ascii="Verdana" w:eastAsia="Calibri" w:hAnsi="Verdana" w:cs="Times"/>
          <w:sz w:val="20"/>
          <w:szCs w:val="20"/>
          <w:lang w:val="es-CR" w:eastAsia="es-CR"/>
        </w:rPr>
        <w:t xml:space="preserve"> párr. 7</w:t>
      </w:r>
      <w:r w:rsidR="00731642" w:rsidRPr="00873FEC">
        <w:rPr>
          <w:rFonts w:ascii="Verdana" w:eastAsia="Calibri" w:hAnsi="Verdana" w:cs="Times"/>
          <w:sz w:val="20"/>
          <w:szCs w:val="20"/>
          <w:lang w:val="es-CR" w:eastAsia="es-CR"/>
        </w:rPr>
        <w:t>6</w:t>
      </w:r>
      <w:r w:rsidRPr="00873FEC">
        <w:rPr>
          <w:rFonts w:ascii="Verdana" w:eastAsia="Calibri" w:hAnsi="Verdana" w:cs="Times"/>
          <w:sz w:val="20"/>
          <w:szCs w:val="20"/>
          <w:lang w:val="es-CR" w:eastAsia="es-CR"/>
        </w:rPr>
        <w:t>). No obstante, Guatemala no señaló qué acciones habría adoptado para efectivizarlas. Es decir, la Corte no cuenta con información que indique acciones del Estado durante un periodo de más de 18 años. Al respecto, debe señalarse que la diligencia debida en la investigación no se agota con el dictado de las medidas que se estimen necesarias, sino que requiere de actos dirigidos a su concreción. En este sentido, este Tribunal nota que la falta de aprehensión de las personas en cuestión impidió su juzgamiento, menoscabando el derecho de las presuntas víctimas de acceder a la justicia. Por ello, teniendo en cuenta el tiempo transcurrido, el señalamiento estatal de que las ordenes de aprehensión se mantienen vigentes, sin indicaciones de acciones para concretarlas, no señala un actuar diligente, sino lo contrario</w:t>
      </w:r>
      <w:r w:rsidRPr="00873FEC">
        <w:rPr>
          <w:rFonts w:ascii="Verdana" w:eastAsia="Calibri" w:hAnsi="Verdana" w:cs="Times New Roman"/>
          <w:szCs w:val="20"/>
          <w:vertAlign w:val="superscript"/>
          <w:lang w:val="es-CR" w:eastAsia="x-none"/>
        </w:rPr>
        <w:footnoteReference w:id="143"/>
      </w:r>
      <w:r w:rsidRPr="00873FEC">
        <w:rPr>
          <w:rFonts w:ascii="Verdana" w:eastAsia="Calibri" w:hAnsi="Verdana" w:cs="Times"/>
          <w:sz w:val="20"/>
          <w:szCs w:val="20"/>
          <w:lang w:val="es-CR" w:eastAsia="es-CR"/>
        </w:rPr>
        <w:t xml:space="preserve">. </w:t>
      </w:r>
    </w:p>
    <w:p w:rsidR="00467331" w:rsidRPr="00873FEC" w:rsidRDefault="00467331" w:rsidP="00126E97">
      <w:pPr>
        <w:spacing w:line="20" w:lineRule="atLeast"/>
        <w:contextualSpacing/>
        <w:rPr>
          <w:rFonts w:ascii="Verdana" w:eastAsia="Calibri" w:hAnsi="Verdana" w:cs="Times"/>
          <w:sz w:val="20"/>
          <w:szCs w:val="20"/>
          <w:lang w:val="es-CR" w:eastAsia="es-CR"/>
        </w:rPr>
      </w:pPr>
    </w:p>
    <w:p w:rsidR="00467331" w:rsidRPr="00873FEC" w:rsidRDefault="00467331" w:rsidP="00126E97">
      <w:pPr>
        <w:numPr>
          <w:ilvl w:val="0"/>
          <w:numId w:val="3"/>
        </w:numPr>
        <w:spacing w:after="0" w:line="20" w:lineRule="atLeast"/>
        <w:ind w:right="-138"/>
        <w:contextualSpacing/>
        <w:jc w:val="both"/>
        <w:rPr>
          <w:rFonts w:ascii="Verdana" w:eastAsia="Calibri" w:hAnsi="Verdana" w:cs="Times"/>
          <w:sz w:val="20"/>
          <w:szCs w:val="20"/>
          <w:lang w:val="es-CR" w:eastAsia="es-CR"/>
        </w:rPr>
      </w:pPr>
      <w:r w:rsidRPr="00873FEC">
        <w:rPr>
          <w:rFonts w:ascii="Verdana" w:eastAsia="Calibri" w:hAnsi="Verdana" w:cs="Times"/>
          <w:sz w:val="20"/>
          <w:szCs w:val="20"/>
          <w:lang w:val="es-CR" w:eastAsia="es-CR"/>
        </w:rPr>
        <w:t>Debe aclararse que la Corte, al expresar esto, no está efectuando una manifestación sobre la responsabilidad penal de las personas</w:t>
      </w:r>
      <w:r w:rsidRPr="00873FEC">
        <w:rPr>
          <w:rFonts w:ascii="Verdana" w:eastAsia="Calibri" w:hAnsi="Verdana" w:cs="Times"/>
          <w:b/>
          <w:sz w:val="20"/>
          <w:szCs w:val="20"/>
          <w:lang w:val="es-CR" w:eastAsia="es-CR"/>
        </w:rPr>
        <w:t xml:space="preserve"> </w:t>
      </w:r>
      <w:r w:rsidRPr="00873FEC">
        <w:rPr>
          <w:rFonts w:ascii="Verdana" w:eastAsia="Calibri" w:hAnsi="Verdana" w:cs="Times"/>
          <w:sz w:val="20"/>
          <w:szCs w:val="20"/>
          <w:lang w:val="es-CR" w:eastAsia="es-CR"/>
        </w:rPr>
        <w:t xml:space="preserve">rebeldes, ni sobre la necesidad de que sean detenidas o privadas preventivamente de la libertad. Son los propios órganos internos los que han considerado necesaria la aprehensión de las 11 personas referidas, a efectos de avanzar en su juzgamiento y, en su caso, la determinación de las responsabilidades correspondientes. </w:t>
      </w:r>
    </w:p>
    <w:p w:rsidR="00467331" w:rsidRPr="00873FEC" w:rsidRDefault="00467331" w:rsidP="00126E97">
      <w:pPr>
        <w:spacing w:line="20" w:lineRule="atLeast"/>
        <w:contextualSpacing/>
        <w:rPr>
          <w:rFonts w:ascii="Verdana" w:eastAsia="Calibri" w:hAnsi="Verdana" w:cs="Times"/>
          <w:sz w:val="20"/>
          <w:szCs w:val="20"/>
          <w:lang w:val="es-CR" w:eastAsia="es-CR"/>
        </w:rPr>
      </w:pPr>
    </w:p>
    <w:p w:rsidR="00467331" w:rsidRPr="00873FEC" w:rsidRDefault="00467331" w:rsidP="00126E97">
      <w:pPr>
        <w:numPr>
          <w:ilvl w:val="0"/>
          <w:numId w:val="3"/>
        </w:numPr>
        <w:spacing w:after="0" w:line="20" w:lineRule="atLeast"/>
        <w:ind w:right="-138"/>
        <w:contextualSpacing/>
        <w:jc w:val="both"/>
        <w:rPr>
          <w:rFonts w:ascii="Verdana" w:eastAsia="Calibri" w:hAnsi="Verdana" w:cs="Times"/>
          <w:sz w:val="20"/>
          <w:szCs w:val="20"/>
          <w:lang w:val="es-CR" w:eastAsia="es-CR"/>
        </w:rPr>
      </w:pPr>
      <w:r w:rsidRPr="00873FEC">
        <w:rPr>
          <w:rFonts w:ascii="Verdana" w:eastAsia="Calibri" w:hAnsi="Verdana" w:cs="Times"/>
          <w:sz w:val="20"/>
          <w:szCs w:val="20"/>
          <w:lang w:val="es-CR" w:eastAsia="es-CR"/>
        </w:rPr>
        <w:t xml:space="preserve">Por todo lo anterior, este Tribunal concluye que el actuar de Guatemala en este aspecto incumplió la diligencia debida. Este incumplimiento se prolonga desde el 12 de abril de 2000, y perjudica a los familiares de las personas muertas en la masacre, a las personas heridas sobrevivientes y a los familiares de estas, </w:t>
      </w:r>
      <w:r w:rsidR="00BA110F">
        <w:rPr>
          <w:rFonts w:ascii="Verdana" w:eastAsia="Calibri" w:hAnsi="Verdana" w:cs="Times"/>
          <w:sz w:val="20"/>
          <w:szCs w:val="20"/>
          <w:lang w:val="es-CR" w:eastAsia="es-CR"/>
        </w:rPr>
        <w:t>que se indican en el Anexo B.1 de</w:t>
      </w:r>
      <w:r w:rsidRPr="00873FEC">
        <w:rPr>
          <w:rFonts w:ascii="Verdana" w:eastAsia="Calibri" w:hAnsi="Verdana" w:cs="Times"/>
          <w:sz w:val="20"/>
          <w:szCs w:val="20"/>
          <w:lang w:val="es-CR" w:eastAsia="es-CR"/>
        </w:rPr>
        <w:t xml:space="preserve"> la presente Sentencia, que integra la misma</w:t>
      </w:r>
      <w:r w:rsidRPr="00873FEC">
        <w:rPr>
          <w:rFonts w:ascii="Verdana" w:eastAsia="Calibri" w:hAnsi="Verdana" w:cs="Times New Roman"/>
          <w:szCs w:val="20"/>
          <w:vertAlign w:val="superscript"/>
          <w:lang w:val="es-CR" w:eastAsia="x-none"/>
        </w:rPr>
        <w:footnoteReference w:id="144"/>
      </w:r>
      <w:r w:rsidRPr="00873FEC">
        <w:rPr>
          <w:rFonts w:ascii="Verdana" w:eastAsia="Calibri" w:hAnsi="Verdana" w:cs="Times"/>
          <w:sz w:val="20"/>
          <w:szCs w:val="20"/>
          <w:lang w:val="es-CR" w:eastAsia="es-CR"/>
        </w:rPr>
        <w:t>. Al respecto, la Corte aprecia las particulares circunstancias de este caso, pues el hecho que produjo las muertes y heridas ocurrió en un ámbito comunitario al que pertenecían no sólo las personas ejecutadas y lesionadas, sino también los familiares de unas y otras. Es por ello que, en el caso, este Tribunal entiende que todos los familiares aludidos se vieron afectados</w:t>
      </w:r>
      <w:r w:rsidRPr="00873FEC">
        <w:rPr>
          <w:rFonts w:ascii="Verdana" w:eastAsia="Calibri" w:hAnsi="Verdana" w:cs="Times New Roman"/>
          <w:sz w:val="20"/>
          <w:szCs w:val="20"/>
          <w:vertAlign w:val="superscript"/>
          <w:lang w:val="es-CR" w:eastAsia="es-CR"/>
        </w:rPr>
        <w:footnoteReference w:id="145"/>
      </w:r>
      <w:r w:rsidRPr="00873FEC">
        <w:rPr>
          <w:rFonts w:ascii="Verdana" w:eastAsia="Calibri" w:hAnsi="Verdana" w:cs="Times"/>
          <w:sz w:val="20"/>
          <w:szCs w:val="20"/>
          <w:lang w:val="es-CR" w:eastAsia="es-CR"/>
        </w:rPr>
        <w:t xml:space="preserve">. </w:t>
      </w:r>
    </w:p>
    <w:p w:rsidR="00467331" w:rsidRPr="00873FEC" w:rsidRDefault="00467331" w:rsidP="00126E97">
      <w:pPr>
        <w:spacing w:after="0" w:line="20" w:lineRule="atLeast"/>
        <w:contextualSpacing/>
        <w:rPr>
          <w:rFonts w:ascii="Verdana" w:eastAsia="Calibri" w:hAnsi="Verdana" w:cs="Times New Roman"/>
          <w:sz w:val="20"/>
          <w:szCs w:val="20"/>
          <w:lang w:val="es-CR" w:eastAsia="es-CR"/>
        </w:rPr>
      </w:pPr>
    </w:p>
    <w:p w:rsidR="00467331" w:rsidRPr="00873FEC" w:rsidRDefault="00467331" w:rsidP="00126E97">
      <w:pPr>
        <w:pStyle w:val="Heading3"/>
        <w:spacing w:before="0" w:line="20" w:lineRule="atLeast"/>
        <w:ind w:left="567"/>
        <w:jc w:val="both"/>
        <w:rPr>
          <w:rFonts w:ascii="Verdana" w:eastAsia="Calibri" w:hAnsi="Verdana" w:cs="Times New Roman"/>
          <w:b w:val="0"/>
          <w:i/>
          <w:color w:val="auto"/>
          <w:sz w:val="20"/>
          <w:szCs w:val="20"/>
          <w:lang w:val="es-CR" w:eastAsia="es-CR"/>
        </w:rPr>
      </w:pPr>
      <w:bookmarkStart w:id="153" w:name="_Toc525201174"/>
      <w:r w:rsidRPr="00873FEC">
        <w:rPr>
          <w:rFonts w:ascii="Verdana" w:eastAsia="Calibri" w:hAnsi="Verdana" w:cs="Times New Roman"/>
          <w:b w:val="0"/>
          <w:i/>
          <w:color w:val="auto"/>
          <w:sz w:val="20"/>
          <w:szCs w:val="20"/>
          <w:lang w:val="es-CR" w:eastAsia="es-CR"/>
        </w:rPr>
        <w:t xml:space="preserve">B.6. </w:t>
      </w:r>
      <w:r w:rsidRPr="00873FEC">
        <w:rPr>
          <w:rFonts w:ascii="Verdana" w:eastAsia="Calibri" w:hAnsi="Verdana" w:cs="Times New Roman"/>
          <w:b w:val="0"/>
          <w:i/>
          <w:color w:val="auto"/>
          <w:sz w:val="20"/>
          <w:szCs w:val="20"/>
          <w:u w:val="single"/>
          <w:lang w:val="es-CR" w:eastAsia="es-CR"/>
        </w:rPr>
        <w:t>Duración de las actuaciones</w:t>
      </w:r>
      <w:bookmarkEnd w:id="153"/>
    </w:p>
    <w:p w:rsidR="00467331" w:rsidRPr="00873FEC" w:rsidRDefault="00467331" w:rsidP="00126E97">
      <w:pPr>
        <w:spacing w:after="0" w:line="20" w:lineRule="atLeast"/>
        <w:contextualSpacing/>
        <w:rPr>
          <w:rFonts w:ascii="Verdana" w:eastAsia="Calibri" w:hAnsi="Verdana" w:cs="Times New Roman"/>
          <w:sz w:val="20"/>
          <w:szCs w:val="20"/>
          <w:lang w:val="es-CR" w:eastAsia="es-CR"/>
        </w:rPr>
      </w:pPr>
    </w:p>
    <w:p w:rsidR="00467331" w:rsidRPr="00873FEC" w:rsidRDefault="00467331" w:rsidP="00126E97">
      <w:pPr>
        <w:numPr>
          <w:ilvl w:val="0"/>
          <w:numId w:val="3"/>
        </w:numPr>
        <w:spacing w:after="0" w:line="20" w:lineRule="atLeast"/>
        <w:contextualSpacing/>
        <w:jc w:val="both"/>
        <w:rPr>
          <w:rFonts w:ascii="Verdana" w:eastAsia="Calibri" w:hAnsi="Verdana" w:cs="Times New Roman"/>
          <w:sz w:val="20"/>
          <w:szCs w:val="20"/>
          <w:lang w:val="es-CR" w:eastAsia="es-CR"/>
        </w:rPr>
      </w:pPr>
      <w:r w:rsidRPr="00873FEC">
        <w:rPr>
          <w:rFonts w:ascii="Verdana" w:eastAsia="Calibri" w:hAnsi="Verdana" w:cs="Times New Roman"/>
          <w:sz w:val="20"/>
          <w:szCs w:val="20"/>
          <w:lang w:val="es-CR" w:eastAsia="es-CR"/>
        </w:rPr>
        <w:t xml:space="preserve">Estando determinado todo lo anterior, debe la Corte verificar si </w:t>
      </w:r>
      <w:r w:rsidRPr="00873FEC">
        <w:rPr>
          <w:rFonts w:ascii="Verdana" w:eastAsia="Calibri" w:hAnsi="Verdana" w:cs="Arial"/>
          <w:sz w:val="20"/>
          <w:szCs w:val="20"/>
          <w:lang w:val="es-CR" w:eastAsia="es-CR"/>
        </w:rPr>
        <w:t xml:space="preserve">se cumplió o no con la garantía judicial de plazo razonable. </w:t>
      </w:r>
      <w:r w:rsidRPr="00873FEC">
        <w:rPr>
          <w:rFonts w:ascii="Verdana" w:eastAsia="Calibri" w:hAnsi="Verdana" w:cs="Times New Roman"/>
          <w:sz w:val="20"/>
          <w:szCs w:val="20"/>
          <w:lang w:val="es-CR" w:eastAsia="es-CR"/>
        </w:rPr>
        <w:t>A</w:t>
      </w:r>
      <w:r w:rsidRPr="00873FEC">
        <w:rPr>
          <w:rFonts w:ascii="Verdana" w:eastAsia="Calibri" w:hAnsi="Verdana" w:cs="Times"/>
          <w:sz w:val="20"/>
          <w:lang w:val="es-CR" w:eastAsia="es-CR"/>
        </w:rPr>
        <w:t xml:space="preserve"> efectos de analizar el plazo, en términos generales, la Corte </w:t>
      </w:r>
      <w:r w:rsidRPr="00873FEC">
        <w:rPr>
          <w:rFonts w:ascii="Verdana" w:eastAsia="Calibri" w:hAnsi="Verdana" w:cs="Times"/>
          <w:sz w:val="20"/>
          <w:lang w:val="es-MX" w:eastAsia="es-CR"/>
        </w:rPr>
        <w:t>debe considerar la duración global de un proceso hasta e</w:t>
      </w:r>
      <w:r w:rsidR="001D1D5B" w:rsidRPr="00873FEC">
        <w:rPr>
          <w:rFonts w:ascii="Verdana" w:eastAsia="Calibri" w:hAnsi="Verdana" w:cs="Times"/>
          <w:sz w:val="20"/>
          <w:lang w:val="es-MX" w:eastAsia="es-CR"/>
        </w:rPr>
        <w:t>l</w:t>
      </w:r>
      <w:r w:rsidRPr="00873FEC">
        <w:rPr>
          <w:rFonts w:ascii="Verdana" w:eastAsia="Calibri" w:hAnsi="Verdana" w:cs="Times"/>
          <w:sz w:val="20"/>
          <w:lang w:val="es-MX" w:eastAsia="es-CR"/>
        </w:rPr>
        <w:t xml:space="preserve"> dict</w:t>
      </w:r>
      <w:r w:rsidR="001D1D5B" w:rsidRPr="00873FEC">
        <w:rPr>
          <w:rFonts w:ascii="Verdana" w:eastAsia="Calibri" w:hAnsi="Verdana" w:cs="Times"/>
          <w:sz w:val="20"/>
          <w:lang w:val="es-MX" w:eastAsia="es-CR"/>
        </w:rPr>
        <w:t>ado de</w:t>
      </w:r>
      <w:r w:rsidRPr="00873FEC">
        <w:rPr>
          <w:rFonts w:ascii="Verdana" w:eastAsia="Calibri" w:hAnsi="Verdana" w:cs="Times"/>
          <w:sz w:val="20"/>
          <w:lang w:val="es-MX" w:eastAsia="es-CR"/>
        </w:rPr>
        <w:t xml:space="preserve"> sentencia definitiva</w:t>
      </w:r>
      <w:r w:rsidRPr="00873FEC">
        <w:rPr>
          <w:rFonts w:ascii="Calibri" w:eastAsia="Calibri" w:hAnsi="Calibri" w:cs="Times New Roman"/>
          <w:szCs w:val="20"/>
          <w:vertAlign w:val="superscript"/>
          <w:lang w:val="es-PE" w:eastAsia="x-none"/>
        </w:rPr>
        <w:footnoteReference w:id="146"/>
      </w:r>
      <w:r w:rsidRPr="00873FEC">
        <w:rPr>
          <w:rFonts w:ascii="Verdana" w:eastAsia="Calibri" w:hAnsi="Verdana" w:cs="Times"/>
          <w:sz w:val="20"/>
          <w:lang w:val="es-MX" w:eastAsia="es-CR"/>
        </w:rPr>
        <w:t>, sin perjuicio de que en ciertas situaciones puede ser pertinente una valoración específica de sus distintas etapas</w:t>
      </w:r>
      <w:r w:rsidRPr="00873FEC">
        <w:rPr>
          <w:rFonts w:ascii="Verdana" w:eastAsia="Calibri" w:hAnsi="Verdana" w:cs="Times New Roman"/>
          <w:szCs w:val="20"/>
          <w:vertAlign w:val="superscript"/>
          <w:lang w:val="es-CR" w:eastAsia="x-none"/>
        </w:rPr>
        <w:footnoteReference w:id="147"/>
      </w:r>
      <w:r w:rsidRPr="00873FEC">
        <w:rPr>
          <w:rFonts w:ascii="Verdana" w:eastAsia="Calibri" w:hAnsi="Verdana" w:cs="Times"/>
          <w:sz w:val="20"/>
          <w:lang w:val="es-MX" w:eastAsia="es-CR"/>
        </w:rPr>
        <w:t>.</w:t>
      </w:r>
    </w:p>
    <w:p w:rsidR="00467331" w:rsidRPr="00873FEC" w:rsidRDefault="00467331" w:rsidP="00126E97">
      <w:pPr>
        <w:spacing w:line="20" w:lineRule="atLeast"/>
        <w:ind w:left="720"/>
        <w:contextualSpacing/>
        <w:rPr>
          <w:rFonts w:ascii="Verdana" w:eastAsia="Calibri" w:hAnsi="Verdana" w:cs="Times New Roman"/>
          <w:sz w:val="20"/>
          <w:szCs w:val="20"/>
          <w:lang w:val="es-CR" w:eastAsia="es-CR"/>
        </w:rPr>
      </w:pPr>
    </w:p>
    <w:p w:rsidR="00467331" w:rsidRPr="00873FEC" w:rsidRDefault="00467331" w:rsidP="00126E97">
      <w:pPr>
        <w:numPr>
          <w:ilvl w:val="0"/>
          <w:numId w:val="3"/>
        </w:numPr>
        <w:spacing w:after="0" w:line="20" w:lineRule="atLeast"/>
        <w:contextualSpacing/>
        <w:jc w:val="both"/>
        <w:rPr>
          <w:rFonts w:ascii="Verdana" w:eastAsia="Calibri" w:hAnsi="Verdana" w:cs="Times New Roman"/>
          <w:sz w:val="20"/>
          <w:szCs w:val="20"/>
          <w:lang w:val="es-CR" w:eastAsia="es-CR"/>
        </w:rPr>
      </w:pPr>
      <w:r w:rsidRPr="00873FEC">
        <w:rPr>
          <w:rFonts w:ascii="Verdana" w:eastAsia="Calibri" w:hAnsi="Verdana" w:cs="Times New Roman"/>
          <w:sz w:val="20"/>
          <w:szCs w:val="20"/>
          <w:lang w:val="es-CR" w:eastAsia="es-CR"/>
        </w:rPr>
        <w:t xml:space="preserve">En el presente caso, la Corte considera adecuado efectuar la evaluación sobre el plazo transcurrido considerando el proceso judicial penal, que fue seguido desde el inicio de las actuaciones hasta que el 23 de septiembre de 2005 quedara firme la condena a 40 años de prisión de 14 militares. Ahora bien, en atención al modo en que se desarrolló el proceso, este Tribunal entiende relevante dividir el tiempo referido en dos etapas: a) la primera, desde que el personal militar fue consignado ante el Juzgado Militar Primero de Primera Instancia de Jalapa, lo que ocurrió inmediatamente después de que el 5 de octubre de 1995 se cometiera la masacre, hasta el 12 de abril de 2000, cuando la Corte Suprema anuló la sentencia de 6 de diciembre de 1999, que había determinado la condena de diez militares, y b) la segunda, desde el 12 de abril de 2000 hasta el 23 de septiembre de 2005, cuando la Corte Suprema dejó firme la sentencia condenatoria emitida el 8 de julio de 2004. </w:t>
      </w:r>
    </w:p>
    <w:p w:rsidR="00467331" w:rsidRPr="00873FEC" w:rsidRDefault="00467331" w:rsidP="00126E97">
      <w:pPr>
        <w:spacing w:line="20" w:lineRule="atLeast"/>
        <w:contextualSpacing/>
        <w:jc w:val="both"/>
        <w:rPr>
          <w:rFonts w:ascii="Verdana" w:eastAsia="Calibri" w:hAnsi="Verdana" w:cs="Times New Roman"/>
          <w:sz w:val="20"/>
          <w:szCs w:val="20"/>
          <w:lang w:val="es-CR" w:eastAsia="es-CR"/>
        </w:rPr>
      </w:pPr>
    </w:p>
    <w:p w:rsidR="00467331" w:rsidRPr="00873FEC" w:rsidRDefault="00467331" w:rsidP="00126E97">
      <w:pPr>
        <w:numPr>
          <w:ilvl w:val="0"/>
          <w:numId w:val="3"/>
        </w:numPr>
        <w:spacing w:after="0" w:line="20" w:lineRule="atLeast"/>
        <w:contextualSpacing/>
        <w:jc w:val="both"/>
        <w:rPr>
          <w:rFonts w:ascii="Verdana" w:eastAsia="Calibri" w:hAnsi="Verdana" w:cs="Times New Roman"/>
          <w:sz w:val="20"/>
          <w:szCs w:val="20"/>
          <w:lang w:val="es-CR" w:eastAsia="es-CR"/>
        </w:rPr>
      </w:pPr>
      <w:r w:rsidRPr="00873FEC">
        <w:rPr>
          <w:rFonts w:ascii="Verdana" w:eastAsia="Calibri" w:hAnsi="Verdana" w:cs="Times New Roman"/>
          <w:sz w:val="20"/>
          <w:szCs w:val="20"/>
          <w:lang w:val="es-CR" w:eastAsia="es-CR"/>
        </w:rPr>
        <w:t xml:space="preserve">En cuanto a la primera etapa, la Corte destaca, por una parte, que hasta la emisión de una sentencia condenatoria, el proceso se desarrolló en un periodo cercano a tres años y medio, que en este caso concreto </w:t>
      </w:r>
      <w:r w:rsidRPr="00873FEC">
        <w:rPr>
          <w:rFonts w:ascii="Verdana" w:eastAsia="Calibri" w:hAnsi="Verdana" w:cs="Times New Roman"/>
          <w:i/>
          <w:sz w:val="20"/>
          <w:szCs w:val="20"/>
          <w:lang w:val="es-CR" w:eastAsia="es-CR"/>
        </w:rPr>
        <w:t>a priori</w:t>
      </w:r>
      <w:r w:rsidRPr="00873FEC">
        <w:rPr>
          <w:rFonts w:ascii="Verdana" w:eastAsia="Calibri" w:hAnsi="Verdana" w:cs="Times New Roman"/>
          <w:sz w:val="20"/>
          <w:szCs w:val="20"/>
          <w:lang w:val="es-CR" w:eastAsia="es-CR"/>
        </w:rPr>
        <w:t xml:space="preserve"> no parece excesivo. Por otra parte, la Corte no determinó faltas a la debida diligencia que se cometieran durante el tiempo respectivo, en el curso del cual no se advierten demoras prolongadas. Por ende, este Tribunal considera que no hubo una dilación indebida y que no es necesario examinar cada uno de los elementos referidos en su jurisprudencia para determinar la razonabilidad del tiempo en que se desarrolla el proceso</w:t>
      </w:r>
      <w:r w:rsidRPr="00873FEC">
        <w:rPr>
          <w:rFonts w:ascii="Verdana" w:eastAsia="Calibri" w:hAnsi="Verdana" w:cs="Times New Roman"/>
          <w:sz w:val="20"/>
          <w:szCs w:val="20"/>
          <w:vertAlign w:val="superscript"/>
          <w:lang w:val="es-CR" w:eastAsia="es-CR"/>
        </w:rPr>
        <w:footnoteReference w:id="148"/>
      </w:r>
      <w:r w:rsidRPr="00873FEC">
        <w:rPr>
          <w:rFonts w:ascii="Verdana" w:eastAsia="Calibri" w:hAnsi="Verdana" w:cs="Times New Roman"/>
          <w:sz w:val="20"/>
          <w:szCs w:val="20"/>
          <w:lang w:val="es-CR" w:eastAsia="es-CR"/>
        </w:rPr>
        <w:t xml:space="preserve">. </w:t>
      </w:r>
    </w:p>
    <w:p w:rsidR="00467331" w:rsidRPr="00873FEC" w:rsidRDefault="00467331" w:rsidP="00126E97">
      <w:pPr>
        <w:spacing w:line="20" w:lineRule="atLeast"/>
        <w:contextualSpacing/>
        <w:rPr>
          <w:rFonts w:ascii="Verdana" w:eastAsia="Calibri" w:hAnsi="Verdana" w:cs="Times New Roman"/>
          <w:sz w:val="20"/>
          <w:szCs w:val="20"/>
          <w:lang w:val="es-CR" w:eastAsia="es-CR"/>
        </w:rPr>
      </w:pPr>
    </w:p>
    <w:p w:rsidR="00467331" w:rsidRPr="00873FEC" w:rsidRDefault="00467331" w:rsidP="00126E97">
      <w:pPr>
        <w:numPr>
          <w:ilvl w:val="0"/>
          <w:numId w:val="3"/>
        </w:numPr>
        <w:spacing w:after="0" w:line="20" w:lineRule="atLeast"/>
        <w:contextualSpacing/>
        <w:jc w:val="both"/>
        <w:rPr>
          <w:rFonts w:ascii="Verdana" w:eastAsia="Calibri" w:hAnsi="Verdana" w:cs="Times New Roman"/>
          <w:sz w:val="20"/>
          <w:szCs w:val="20"/>
          <w:lang w:val="es-CR" w:eastAsia="es-CR"/>
        </w:rPr>
      </w:pPr>
      <w:r w:rsidRPr="00873FEC">
        <w:rPr>
          <w:rFonts w:ascii="Verdana" w:eastAsia="Calibri" w:hAnsi="Verdana" w:cs="Times New Roman"/>
          <w:sz w:val="20"/>
          <w:szCs w:val="20"/>
          <w:lang w:val="es-CR" w:eastAsia="es-CR"/>
        </w:rPr>
        <w:lastRenderedPageBreak/>
        <w:t>Respecto de la segunda etapa antes aludida (</w:t>
      </w:r>
      <w:r w:rsidRPr="00873FEC">
        <w:rPr>
          <w:rFonts w:ascii="Verdana" w:eastAsia="Calibri" w:hAnsi="Verdana" w:cs="Times New Roman"/>
          <w:i/>
          <w:sz w:val="20"/>
          <w:szCs w:val="20"/>
          <w:lang w:val="es-CR" w:eastAsia="es-CR"/>
        </w:rPr>
        <w:t>supra</w:t>
      </w:r>
      <w:r w:rsidRPr="00873FEC">
        <w:rPr>
          <w:rFonts w:ascii="Verdana" w:eastAsia="Calibri" w:hAnsi="Verdana" w:cs="Times New Roman"/>
          <w:sz w:val="20"/>
          <w:szCs w:val="20"/>
          <w:lang w:val="es-CR" w:eastAsia="es-CR"/>
        </w:rPr>
        <w:t xml:space="preserve"> párr. 94), la Corte nota que después de la referida decisión de 12 de abril de 2000, en mayo del mismo año el expediente fue trasladado al Tribunal de Sentencia de Cobán, para la celebración de un nuevo juicio. </w:t>
      </w:r>
      <w:r w:rsidR="000C5676">
        <w:rPr>
          <w:rFonts w:ascii="Verdana" w:eastAsia="Calibri" w:hAnsi="Verdana" w:cs="Times New Roman"/>
          <w:sz w:val="20"/>
          <w:szCs w:val="20"/>
          <w:lang w:val="es-CR" w:eastAsia="es-CR"/>
        </w:rPr>
        <w:t xml:space="preserve">No fue aportada prueba </w:t>
      </w:r>
      <w:r w:rsidRPr="00873FEC">
        <w:rPr>
          <w:rFonts w:ascii="Verdana" w:eastAsia="Calibri" w:hAnsi="Verdana" w:cs="Times New Roman"/>
          <w:sz w:val="20"/>
          <w:szCs w:val="20"/>
          <w:lang w:val="es-CR" w:eastAsia="es-CR"/>
        </w:rPr>
        <w:t xml:space="preserve">sobre trámites efectuados con posterioridad a ello, pero </w:t>
      </w:r>
      <w:r w:rsidR="000C5676">
        <w:rPr>
          <w:rFonts w:ascii="Verdana" w:eastAsia="Calibri" w:hAnsi="Verdana" w:cs="Times New Roman"/>
          <w:sz w:val="20"/>
          <w:szCs w:val="20"/>
          <w:lang w:val="es-CR" w:eastAsia="es-CR"/>
        </w:rPr>
        <w:t>sí consta</w:t>
      </w:r>
      <w:r w:rsidRPr="00873FEC">
        <w:rPr>
          <w:rFonts w:ascii="Verdana" w:eastAsia="Calibri" w:hAnsi="Verdana" w:cs="Times New Roman"/>
          <w:sz w:val="20"/>
          <w:szCs w:val="20"/>
          <w:lang w:val="es-CR" w:eastAsia="es-CR"/>
        </w:rPr>
        <w:t xml:space="preserve"> que el 3 de julio de 2003 inició el debate oral, luego del cual el 8 de julio de 2004 se emitió una sentencia condenatoria. Este Tribunal considera que no cuenta con elementos ni argumentos suficientes que le permitan determinar demoras excesivas</w:t>
      </w:r>
      <w:r w:rsidRPr="00873FEC">
        <w:rPr>
          <w:rFonts w:ascii="Verdana" w:eastAsia="Calibri" w:hAnsi="Verdana" w:cs="Times New Roman"/>
          <w:sz w:val="20"/>
          <w:szCs w:val="20"/>
          <w:vertAlign w:val="superscript"/>
          <w:lang w:val="es-CR" w:eastAsia="es-CR"/>
        </w:rPr>
        <w:footnoteReference w:id="149"/>
      </w:r>
      <w:r w:rsidRPr="00873FEC">
        <w:rPr>
          <w:rFonts w:ascii="Verdana" w:eastAsia="Calibri" w:hAnsi="Verdana" w:cs="Times New Roman"/>
          <w:sz w:val="20"/>
          <w:szCs w:val="20"/>
          <w:lang w:val="es-CR" w:eastAsia="es-CR"/>
        </w:rPr>
        <w:t xml:space="preserve">. Luego del 8 de julio de 2004 se desarrollaron actuaciones derivadas de la presentación de recursos interpuestos por los condenados, y no se advierten dilaciones excesivas imputables al Estado hasta que el 23 de septiembre de 2005 la condena quedase firme.   </w:t>
      </w:r>
    </w:p>
    <w:p w:rsidR="00467331" w:rsidRPr="00873FEC" w:rsidRDefault="00467331" w:rsidP="00126E97">
      <w:pPr>
        <w:spacing w:line="20" w:lineRule="atLeast"/>
        <w:contextualSpacing/>
        <w:rPr>
          <w:rFonts w:ascii="Verdana" w:eastAsia="Calibri" w:hAnsi="Verdana" w:cs="Times"/>
          <w:sz w:val="20"/>
          <w:szCs w:val="20"/>
          <w:lang w:val="es-CR" w:eastAsia="es-CR"/>
        </w:rPr>
      </w:pPr>
    </w:p>
    <w:p w:rsidR="00467331" w:rsidRPr="00873FEC" w:rsidRDefault="00467331" w:rsidP="00126E97">
      <w:pPr>
        <w:numPr>
          <w:ilvl w:val="0"/>
          <w:numId w:val="3"/>
        </w:numPr>
        <w:spacing w:after="0" w:line="20" w:lineRule="atLeast"/>
        <w:contextualSpacing/>
        <w:jc w:val="both"/>
        <w:rPr>
          <w:rFonts w:ascii="Verdana" w:eastAsia="Calibri" w:hAnsi="Verdana" w:cs="Times"/>
          <w:sz w:val="20"/>
          <w:szCs w:val="20"/>
          <w:lang w:val="es-CR" w:eastAsia="es-CR"/>
        </w:rPr>
      </w:pPr>
      <w:r w:rsidRPr="00873FEC">
        <w:rPr>
          <w:rFonts w:ascii="Verdana" w:eastAsia="Calibri" w:hAnsi="Verdana" w:cs="Times"/>
          <w:sz w:val="20"/>
          <w:szCs w:val="20"/>
          <w:lang w:val="es-CR" w:eastAsia="es-CR"/>
        </w:rPr>
        <w:t xml:space="preserve">Por ende, la Corte no puede determinar una vulneración del plazo razonable en las actuaciones. </w:t>
      </w:r>
    </w:p>
    <w:p w:rsidR="00467331" w:rsidRPr="00873FEC" w:rsidRDefault="00467331" w:rsidP="00126E97">
      <w:pPr>
        <w:spacing w:after="0" w:line="20" w:lineRule="atLeast"/>
        <w:ind w:left="720"/>
        <w:contextualSpacing/>
        <w:rPr>
          <w:rFonts w:ascii="Verdana" w:eastAsia="Calibri" w:hAnsi="Verdana" w:cs="Times New Roman"/>
          <w:sz w:val="20"/>
          <w:szCs w:val="20"/>
          <w:lang w:val="es-CR" w:eastAsia="es-CR"/>
        </w:rPr>
      </w:pPr>
      <w:bookmarkStart w:id="154" w:name="_Toc520207596"/>
      <w:bookmarkEnd w:id="154"/>
    </w:p>
    <w:p w:rsidR="00467331" w:rsidRPr="00873FEC" w:rsidRDefault="00467331" w:rsidP="00126E97">
      <w:pPr>
        <w:pStyle w:val="Heading3"/>
        <w:spacing w:before="0" w:line="20" w:lineRule="atLeast"/>
        <w:ind w:left="567"/>
        <w:jc w:val="both"/>
        <w:rPr>
          <w:rFonts w:ascii="Verdana" w:eastAsia="Calibri" w:hAnsi="Verdana" w:cs="Times"/>
          <w:b w:val="0"/>
          <w:i/>
          <w:color w:val="auto"/>
          <w:sz w:val="20"/>
          <w:szCs w:val="20"/>
          <w:lang w:val="es-CR" w:eastAsia="es-CR"/>
        </w:rPr>
      </w:pPr>
      <w:bookmarkStart w:id="155" w:name="_Toc520207597"/>
      <w:bookmarkStart w:id="156" w:name="_Toc525201175"/>
      <w:bookmarkEnd w:id="155"/>
      <w:r w:rsidRPr="00873FEC">
        <w:rPr>
          <w:rFonts w:ascii="Verdana" w:eastAsia="Calibri" w:hAnsi="Verdana" w:cs="Times"/>
          <w:b w:val="0"/>
          <w:i/>
          <w:color w:val="auto"/>
          <w:sz w:val="20"/>
          <w:szCs w:val="20"/>
          <w:lang w:val="es-CR" w:eastAsia="es-CR"/>
        </w:rPr>
        <w:t>B.</w:t>
      </w:r>
      <w:r w:rsidR="00E062DF" w:rsidRPr="00873FEC">
        <w:rPr>
          <w:rFonts w:ascii="Verdana" w:eastAsia="Calibri" w:hAnsi="Verdana" w:cs="Times"/>
          <w:b w:val="0"/>
          <w:i/>
          <w:color w:val="auto"/>
          <w:sz w:val="20"/>
          <w:szCs w:val="20"/>
          <w:lang w:val="es-CR" w:eastAsia="es-CR"/>
        </w:rPr>
        <w:t>7</w:t>
      </w:r>
      <w:r w:rsidRPr="00873FEC">
        <w:rPr>
          <w:rFonts w:ascii="Verdana" w:eastAsia="Calibri" w:hAnsi="Verdana" w:cs="Times"/>
          <w:b w:val="0"/>
          <w:i/>
          <w:color w:val="auto"/>
          <w:sz w:val="20"/>
          <w:szCs w:val="20"/>
          <w:lang w:val="es-CR" w:eastAsia="es-CR"/>
        </w:rPr>
        <w:t xml:space="preserve">. </w:t>
      </w:r>
      <w:r w:rsidRPr="00873FEC">
        <w:rPr>
          <w:rFonts w:ascii="Verdana" w:eastAsia="Calibri" w:hAnsi="Verdana" w:cs="Times"/>
          <w:b w:val="0"/>
          <w:i/>
          <w:color w:val="auto"/>
          <w:sz w:val="20"/>
          <w:szCs w:val="20"/>
          <w:u w:val="single"/>
          <w:lang w:val="es-CR" w:eastAsia="es-CR"/>
        </w:rPr>
        <w:t>Conclusión</w:t>
      </w:r>
      <w:bookmarkEnd w:id="156"/>
      <w:r w:rsidRPr="00873FEC">
        <w:rPr>
          <w:rFonts w:ascii="Verdana" w:eastAsia="Calibri" w:hAnsi="Verdana" w:cs="Times"/>
          <w:b w:val="0"/>
          <w:i/>
          <w:color w:val="auto"/>
          <w:sz w:val="20"/>
          <w:szCs w:val="20"/>
          <w:lang w:val="es-CR" w:eastAsia="es-CR"/>
        </w:rPr>
        <w:t xml:space="preserve">  </w:t>
      </w:r>
    </w:p>
    <w:p w:rsidR="00467331" w:rsidRPr="00873FEC" w:rsidRDefault="00467331" w:rsidP="00126E97">
      <w:pPr>
        <w:spacing w:after="0" w:line="20" w:lineRule="atLeast"/>
        <w:jc w:val="both"/>
        <w:rPr>
          <w:rFonts w:ascii="Verdana" w:eastAsia="Batang" w:hAnsi="Verdana" w:cs="Times New Roman"/>
          <w:sz w:val="20"/>
          <w:szCs w:val="20"/>
          <w:lang w:val="es-CR" w:eastAsia="es-CR"/>
        </w:rPr>
      </w:pPr>
    </w:p>
    <w:p w:rsidR="00467331" w:rsidRPr="00873FEC" w:rsidRDefault="00467331" w:rsidP="00126E97">
      <w:pPr>
        <w:numPr>
          <w:ilvl w:val="0"/>
          <w:numId w:val="3"/>
        </w:numPr>
        <w:spacing w:after="0" w:line="20" w:lineRule="atLeast"/>
        <w:contextualSpacing/>
        <w:jc w:val="both"/>
        <w:rPr>
          <w:rFonts w:ascii="Verdana" w:eastAsia="Calibri" w:hAnsi="Verdana" w:cs="Times New Roman"/>
          <w:sz w:val="20"/>
          <w:szCs w:val="20"/>
          <w:lang w:val="es-CR" w:eastAsia="es-CR"/>
        </w:rPr>
      </w:pPr>
      <w:r w:rsidRPr="00873FEC">
        <w:rPr>
          <w:rFonts w:ascii="Verdana" w:eastAsia="Calibri" w:hAnsi="Verdana" w:cs="Times New Roman"/>
          <w:sz w:val="20"/>
          <w:szCs w:val="20"/>
          <w:lang w:val="es-CR" w:eastAsia="es-CR"/>
        </w:rPr>
        <w:t>Por las consideraciones expuestas, la Corte determina que el Estado es responsable por la violación de los artículos 8.1 y 25.1 de la Convención</w:t>
      </w:r>
      <w:r w:rsidR="000C5676">
        <w:rPr>
          <w:rFonts w:ascii="Verdana" w:eastAsia="Calibri" w:hAnsi="Verdana" w:cs="Times New Roman"/>
          <w:sz w:val="20"/>
          <w:szCs w:val="20"/>
          <w:lang w:val="es-CR" w:eastAsia="es-CR"/>
        </w:rPr>
        <w:t>,</w:t>
      </w:r>
      <w:r w:rsidRPr="00873FEC">
        <w:rPr>
          <w:rFonts w:ascii="Verdana" w:eastAsia="Calibri" w:hAnsi="Verdana" w:cs="Times New Roman"/>
          <w:sz w:val="20"/>
          <w:szCs w:val="20"/>
          <w:lang w:val="es-CR" w:eastAsia="es-CR"/>
        </w:rPr>
        <w:t xml:space="preserve"> en perjuicio de los familiares de las personas muertas, de las personas heridas y de los familiares de éstas. Los nombres de las perso</w:t>
      </w:r>
      <w:r w:rsidR="00ED28B6">
        <w:rPr>
          <w:rFonts w:ascii="Verdana" w:eastAsia="Calibri" w:hAnsi="Verdana" w:cs="Times New Roman"/>
          <w:sz w:val="20"/>
          <w:szCs w:val="20"/>
          <w:lang w:val="es-CR" w:eastAsia="es-CR"/>
        </w:rPr>
        <w:t>nas indicadas se señalan en el A</w:t>
      </w:r>
      <w:r w:rsidRPr="00873FEC">
        <w:rPr>
          <w:rFonts w:ascii="Verdana" w:eastAsia="Calibri" w:hAnsi="Verdana" w:cs="Times New Roman"/>
          <w:sz w:val="20"/>
          <w:szCs w:val="20"/>
          <w:lang w:val="es-CR" w:eastAsia="es-CR"/>
        </w:rPr>
        <w:t xml:space="preserve">nexo B.1 </w:t>
      </w:r>
      <w:r w:rsidR="00ED28B6">
        <w:rPr>
          <w:rFonts w:ascii="Verdana" w:eastAsia="Calibri" w:hAnsi="Verdana" w:cs="Times New Roman"/>
          <w:sz w:val="20"/>
          <w:szCs w:val="20"/>
          <w:lang w:val="es-CR" w:eastAsia="es-CR"/>
        </w:rPr>
        <w:t>de</w:t>
      </w:r>
      <w:r w:rsidRPr="00873FEC">
        <w:rPr>
          <w:rFonts w:ascii="Verdana" w:eastAsia="Calibri" w:hAnsi="Verdana" w:cs="Times New Roman"/>
          <w:sz w:val="20"/>
          <w:szCs w:val="20"/>
          <w:lang w:val="es-CR" w:eastAsia="es-CR"/>
        </w:rPr>
        <w:t xml:space="preserve"> la presente Sentencia.</w:t>
      </w:r>
    </w:p>
    <w:p w:rsidR="00467331" w:rsidRPr="00873FEC" w:rsidRDefault="00467331" w:rsidP="00126E97">
      <w:pPr>
        <w:spacing w:after="0" w:line="20" w:lineRule="atLeast"/>
        <w:contextualSpacing/>
        <w:rPr>
          <w:rFonts w:ascii="Verdana" w:eastAsia="Calibri" w:hAnsi="Verdana" w:cs="Times New Roman"/>
          <w:sz w:val="20"/>
          <w:szCs w:val="20"/>
          <w:lang w:val="es-CR" w:eastAsia="es-CR"/>
        </w:rPr>
      </w:pPr>
    </w:p>
    <w:p w:rsidR="00467331" w:rsidRPr="00873FEC" w:rsidRDefault="00467331"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4"/>
          <w:lang w:val="es-CR" w:eastAsia="es-CR"/>
        </w:rPr>
        <w:t xml:space="preserve">Dado lo concluido, este Tribunal pasa a examinar el resto de las violaciones aducidas. </w:t>
      </w:r>
    </w:p>
    <w:p w:rsidR="00467331" w:rsidRPr="00873FEC" w:rsidRDefault="00467331" w:rsidP="00126E97">
      <w:pPr>
        <w:spacing w:after="0" w:line="20" w:lineRule="atLeast"/>
        <w:jc w:val="both"/>
        <w:rPr>
          <w:rFonts w:ascii="Verdana" w:eastAsia="Batang" w:hAnsi="Verdana" w:cs="Times"/>
          <w:sz w:val="20"/>
          <w:szCs w:val="24"/>
          <w:lang w:val="es-CR" w:eastAsia="es-CR"/>
        </w:rPr>
      </w:pPr>
    </w:p>
    <w:p w:rsidR="00467331" w:rsidRPr="00873FEC" w:rsidRDefault="00467331" w:rsidP="00126E97">
      <w:pPr>
        <w:spacing w:after="0" w:line="20" w:lineRule="atLeast"/>
        <w:ind w:left="720"/>
        <w:contextualSpacing/>
        <w:rPr>
          <w:rFonts w:ascii="Calibri" w:eastAsia="Calibri" w:hAnsi="Calibri" w:cs="Times New Roman"/>
          <w:szCs w:val="20"/>
          <w:lang w:val="es-CR" w:eastAsia="es-CR"/>
        </w:rPr>
      </w:pPr>
    </w:p>
    <w:p w:rsidR="00467331" w:rsidRPr="00873FEC" w:rsidRDefault="00467331" w:rsidP="00126E97">
      <w:pPr>
        <w:keepNext/>
        <w:keepLines/>
        <w:spacing w:after="0" w:line="20" w:lineRule="atLeast"/>
        <w:jc w:val="center"/>
        <w:outlineLvl w:val="0"/>
        <w:rPr>
          <w:rFonts w:ascii="Verdana" w:eastAsia="Times New Roman" w:hAnsi="Verdana" w:cs="Times New Roman"/>
          <w:b/>
          <w:caps/>
          <w:sz w:val="20"/>
          <w:szCs w:val="20"/>
          <w:lang w:val="es-CR" w:eastAsia="es-CR"/>
        </w:rPr>
      </w:pPr>
      <w:bookmarkStart w:id="157" w:name="_Toc520207598"/>
      <w:bookmarkStart w:id="158" w:name="_Toc521694818"/>
      <w:bookmarkStart w:id="159" w:name="_Toc525201176"/>
      <w:bookmarkEnd w:id="157"/>
      <w:r w:rsidRPr="00873FEC">
        <w:rPr>
          <w:rFonts w:ascii="Verdana" w:eastAsia="Times New Roman" w:hAnsi="Verdana" w:cs="Times New Roman"/>
          <w:b/>
          <w:caps/>
          <w:sz w:val="20"/>
          <w:szCs w:val="20"/>
          <w:lang w:val="es-CR" w:eastAsia="es-CR"/>
        </w:rPr>
        <w:t>ViI.2</w:t>
      </w:r>
      <w:bookmarkEnd w:id="158"/>
      <w:bookmarkEnd w:id="159"/>
    </w:p>
    <w:p w:rsidR="00467331" w:rsidRPr="00873FEC" w:rsidRDefault="00467331" w:rsidP="00126E97">
      <w:pPr>
        <w:keepNext/>
        <w:keepLines/>
        <w:spacing w:after="0" w:line="20" w:lineRule="atLeast"/>
        <w:jc w:val="center"/>
        <w:outlineLvl w:val="0"/>
        <w:rPr>
          <w:rFonts w:ascii="Verdana" w:eastAsia="Times New Roman" w:hAnsi="Verdana" w:cs="Times New Roman"/>
          <w:caps/>
          <w:sz w:val="20"/>
          <w:szCs w:val="20"/>
          <w:lang w:val="es-CR" w:eastAsia="es-CR"/>
        </w:rPr>
      </w:pPr>
      <w:bookmarkStart w:id="160" w:name="_Toc520207599"/>
      <w:bookmarkStart w:id="161" w:name="_Toc521694819"/>
      <w:bookmarkStart w:id="162" w:name="_Toc525201177"/>
      <w:bookmarkEnd w:id="160"/>
      <w:r w:rsidRPr="00873FEC">
        <w:rPr>
          <w:rFonts w:ascii="Verdana" w:eastAsia="Times New Roman" w:hAnsi="Verdana" w:cs="Times New Roman"/>
          <w:b/>
          <w:caps/>
          <w:sz w:val="20"/>
          <w:szCs w:val="20"/>
          <w:lang w:val="es-CR" w:eastAsia="es-CR"/>
        </w:rPr>
        <w:t>DERECHOS A LA VIDA</w:t>
      </w:r>
      <w:r w:rsidRPr="00873FEC">
        <w:rPr>
          <w:rFonts w:ascii="Verdana" w:eastAsia="Times New Roman" w:hAnsi="Verdana" w:cs="Times New Roman"/>
          <w:sz w:val="20"/>
          <w:szCs w:val="20"/>
          <w:vertAlign w:val="superscript"/>
          <w:lang w:val="es-CR" w:eastAsia="x-none"/>
        </w:rPr>
        <w:footnoteReference w:id="150"/>
      </w:r>
      <w:r w:rsidRPr="00873FEC">
        <w:rPr>
          <w:rFonts w:ascii="Verdana" w:eastAsia="Times New Roman" w:hAnsi="Verdana" w:cs="Times New Roman"/>
          <w:b/>
          <w:caps/>
          <w:sz w:val="20"/>
          <w:szCs w:val="20"/>
          <w:lang w:val="es-CR" w:eastAsia="es-CR"/>
        </w:rPr>
        <w:t>, INTEGRIDAD PERSONAL</w:t>
      </w:r>
      <w:r w:rsidRPr="00873FEC">
        <w:rPr>
          <w:rFonts w:ascii="Verdana" w:eastAsia="Times New Roman" w:hAnsi="Verdana" w:cs="Times New Roman"/>
          <w:sz w:val="20"/>
          <w:szCs w:val="20"/>
          <w:vertAlign w:val="superscript"/>
          <w:lang w:val="es-CR" w:eastAsia="x-none"/>
        </w:rPr>
        <w:footnoteReference w:id="151"/>
      </w:r>
      <w:r w:rsidRPr="00873FEC">
        <w:rPr>
          <w:rFonts w:ascii="Verdana" w:eastAsia="Times New Roman" w:hAnsi="Verdana" w:cs="Times New Roman"/>
          <w:b/>
          <w:caps/>
          <w:sz w:val="20"/>
          <w:szCs w:val="20"/>
          <w:lang w:val="es-CR" w:eastAsia="es-CR"/>
        </w:rPr>
        <w:t xml:space="preserve"> Y DERECHOS DEL NIÑO</w:t>
      </w:r>
      <w:r w:rsidRPr="00873FEC">
        <w:rPr>
          <w:rFonts w:ascii="Verdana" w:eastAsia="Times New Roman" w:hAnsi="Verdana" w:cs="Times New Roman"/>
          <w:sz w:val="20"/>
          <w:szCs w:val="20"/>
          <w:vertAlign w:val="superscript"/>
          <w:lang w:val="es-CR" w:eastAsia="x-none"/>
        </w:rPr>
        <w:footnoteReference w:id="152"/>
      </w:r>
      <w:bookmarkEnd w:id="161"/>
      <w:r w:rsidRPr="00873FEC">
        <w:rPr>
          <w:rFonts w:ascii="Verdana" w:eastAsia="Times New Roman" w:hAnsi="Verdana" w:cs="Times New Roman"/>
          <w:b/>
          <w:caps/>
          <w:sz w:val="20"/>
          <w:szCs w:val="20"/>
          <w:lang w:val="es-CR" w:eastAsia="es-CR"/>
        </w:rPr>
        <w:t xml:space="preserve"> EN RELACIÓN CON LA OBLIGACIÓN DE RESPETAR LOS DERECHOS SIN DISCRIMINACIÓN</w:t>
      </w:r>
      <w:bookmarkEnd w:id="162"/>
    </w:p>
    <w:p w:rsidR="00467331" w:rsidRPr="00873FEC" w:rsidRDefault="00467331" w:rsidP="00126E97">
      <w:pPr>
        <w:spacing w:after="0" w:line="20" w:lineRule="atLeast"/>
        <w:contextualSpacing/>
        <w:jc w:val="center"/>
        <w:rPr>
          <w:rFonts w:ascii="Verdana" w:eastAsia="Batang" w:hAnsi="Verdana" w:cs="Times New Roman"/>
          <w:b/>
          <w:sz w:val="20"/>
          <w:szCs w:val="20"/>
          <w:lang w:val="es-CR" w:eastAsia="es-CR"/>
        </w:rPr>
      </w:pPr>
    </w:p>
    <w:p w:rsidR="00467331" w:rsidRPr="00873FEC" w:rsidRDefault="00467331" w:rsidP="00126E97">
      <w:pPr>
        <w:keepNext/>
        <w:keepLines/>
        <w:numPr>
          <w:ilvl w:val="0"/>
          <w:numId w:val="8"/>
        </w:numPr>
        <w:spacing w:after="0" w:line="20" w:lineRule="atLeast"/>
        <w:ind w:left="284"/>
        <w:jc w:val="both"/>
        <w:outlineLvl w:val="1"/>
        <w:rPr>
          <w:rFonts w:ascii="Verdana" w:eastAsia="Cambria" w:hAnsi="Verdana" w:cs="Times New Roman"/>
          <w:b/>
          <w:i/>
          <w:sz w:val="20"/>
          <w:szCs w:val="20"/>
          <w:lang w:val="es-CR" w:eastAsia="es-CR"/>
        </w:rPr>
      </w:pPr>
      <w:bookmarkStart w:id="163" w:name="_Toc520207600"/>
      <w:bookmarkStart w:id="164" w:name="_Toc521694820"/>
      <w:bookmarkStart w:id="165" w:name="_Toc525201178"/>
      <w:bookmarkEnd w:id="163"/>
      <w:r w:rsidRPr="00873FEC">
        <w:rPr>
          <w:rFonts w:ascii="Verdana" w:eastAsia="Cambria" w:hAnsi="Verdana" w:cs="Times New Roman"/>
          <w:b/>
          <w:i/>
          <w:sz w:val="20"/>
          <w:szCs w:val="20"/>
          <w:lang w:val="es-CR" w:eastAsia="es-CR"/>
        </w:rPr>
        <w:t>Alegatos de la Comisión y de las partes</w:t>
      </w:r>
      <w:bookmarkEnd w:id="164"/>
      <w:bookmarkEnd w:id="165"/>
    </w:p>
    <w:p w:rsidR="00467331" w:rsidRPr="00873FEC" w:rsidRDefault="00467331" w:rsidP="00126E97">
      <w:pPr>
        <w:spacing w:after="0" w:line="20" w:lineRule="atLeast"/>
        <w:ind w:left="720"/>
        <w:contextualSpacing/>
        <w:rPr>
          <w:rFonts w:ascii="Calibri" w:eastAsia="Calibri" w:hAnsi="Calibri" w:cs="Times New Roman"/>
          <w:szCs w:val="20"/>
          <w:lang w:val="es-CR" w:eastAsia="es-CR"/>
        </w:rPr>
      </w:pPr>
    </w:p>
    <w:p w:rsidR="00467331" w:rsidRPr="00873FEC" w:rsidRDefault="00467331"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New Roman"/>
          <w:sz w:val="20"/>
          <w:szCs w:val="20"/>
          <w:lang w:val="es-CR" w:eastAsia="es-CR"/>
        </w:rPr>
        <w:t xml:space="preserve">La </w:t>
      </w:r>
      <w:r w:rsidRPr="00873FEC">
        <w:rPr>
          <w:rFonts w:ascii="Verdana" w:eastAsia="Batang" w:hAnsi="Verdana" w:cs="Times New Roman"/>
          <w:b/>
          <w:i/>
          <w:sz w:val="20"/>
          <w:szCs w:val="20"/>
          <w:lang w:val="es-CR" w:eastAsia="es-CR"/>
        </w:rPr>
        <w:t>Comisión</w:t>
      </w:r>
      <w:r w:rsidRPr="00873FEC">
        <w:rPr>
          <w:rFonts w:ascii="Verdana" w:eastAsia="Batang" w:hAnsi="Verdana" w:cs="Times New Roman"/>
          <w:sz w:val="20"/>
          <w:szCs w:val="20"/>
          <w:lang w:val="es-CR" w:eastAsia="es-CR"/>
        </w:rPr>
        <w:t xml:space="preserve"> consideró que el uso de la fuerza por parte de militares fue efectuado en contravención de los principios de finalidad legítima, necesidad y proporcionalidad. Por ello, entendió que las muertes de ocho personas</w:t>
      </w:r>
      <w:r w:rsidRPr="00873FEC">
        <w:rPr>
          <w:rFonts w:ascii="Verdana" w:eastAsia="Batang" w:hAnsi="Verdana" w:cs="Times New Roman"/>
          <w:sz w:val="20"/>
          <w:szCs w:val="20"/>
          <w:vertAlign w:val="superscript"/>
          <w:lang w:val="es-CR" w:eastAsia="x-none"/>
        </w:rPr>
        <w:footnoteReference w:id="153"/>
      </w:r>
      <w:r w:rsidRPr="00873FEC">
        <w:rPr>
          <w:rFonts w:ascii="Verdana" w:eastAsia="Batang" w:hAnsi="Verdana" w:cs="Times New Roman"/>
          <w:sz w:val="20"/>
          <w:szCs w:val="20"/>
          <w:lang w:val="es-CR" w:eastAsia="es-CR"/>
        </w:rPr>
        <w:t xml:space="preserve"> causadas en la finca </w:t>
      </w:r>
      <w:proofErr w:type="spellStart"/>
      <w:r w:rsidRPr="00873FEC">
        <w:rPr>
          <w:rFonts w:ascii="Verdana" w:eastAsia="Batang" w:hAnsi="Verdana" w:cs="Times New Roman"/>
          <w:sz w:val="20"/>
          <w:szCs w:val="20"/>
          <w:lang w:val="es-CR" w:eastAsia="es-CR"/>
        </w:rPr>
        <w:t>Xamán</w:t>
      </w:r>
      <w:proofErr w:type="spellEnd"/>
      <w:r w:rsidRPr="00873FEC">
        <w:rPr>
          <w:rFonts w:ascii="Verdana" w:eastAsia="Batang" w:hAnsi="Verdana" w:cs="Times New Roman"/>
          <w:sz w:val="20"/>
          <w:szCs w:val="20"/>
          <w:lang w:val="es-CR" w:eastAsia="es-CR"/>
        </w:rPr>
        <w:t xml:space="preserve"> constituyeron privaciones arbitrarias del derecho a la vida y las heridas a 26 personas</w:t>
      </w:r>
      <w:r w:rsidRPr="00873FEC">
        <w:rPr>
          <w:rFonts w:ascii="Verdana" w:eastAsia="Batang" w:hAnsi="Verdana" w:cs="Times New Roman"/>
          <w:sz w:val="20"/>
          <w:szCs w:val="20"/>
          <w:vertAlign w:val="superscript"/>
          <w:lang w:val="es-CR" w:eastAsia="x-none"/>
        </w:rPr>
        <w:footnoteReference w:id="154"/>
      </w:r>
      <w:r w:rsidRPr="00873FEC">
        <w:rPr>
          <w:rFonts w:ascii="Verdana" w:eastAsia="Batang" w:hAnsi="Verdana" w:cs="Times New Roman"/>
          <w:sz w:val="20"/>
          <w:szCs w:val="20"/>
          <w:lang w:val="es-CR" w:eastAsia="es-CR"/>
        </w:rPr>
        <w:t xml:space="preserve">, afectaciones al derecho a la integridad personal. Señaló que tres personas que resultaron heridas y murieron con posterioridad vieron vulnerados ambos </w:t>
      </w:r>
      <w:r w:rsidRPr="00873FEC">
        <w:rPr>
          <w:rFonts w:ascii="Verdana" w:eastAsia="Batang" w:hAnsi="Verdana" w:cs="Times New Roman"/>
          <w:sz w:val="20"/>
          <w:szCs w:val="20"/>
          <w:lang w:val="es-CR" w:eastAsia="es-CR"/>
        </w:rPr>
        <w:lastRenderedPageBreak/>
        <w:t>derechos</w:t>
      </w:r>
      <w:r w:rsidRPr="00873FEC">
        <w:rPr>
          <w:rFonts w:ascii="Verdana" w:eastAsia="Batang" w:hAnsi="Verdana" w:cs="Times New Roman"/>
          <w:sz w:val="20"/>
          <w:szCs w:val="20"/>
          <w:vertAlign w:val="superscript"/>
          <w:lang w:val="es-CR" w:eastAsia="x-none"/>
        </w:rPr>
        <w:footnoteReference w:id="155"/>
      </w:r>
      <w:r w:rsidRPr="00873FEC">
        <w:rPr>
          <w:rFonts w:ascii="Verdana" w:eastAsia="Batang" w:hAnsi="Verdana" w:cs="Times New Roman"/>
          <w:sz w:val="20"/>
          <w:szCs w:val="20"/>
          <w:lang w:val="es-CR" w:eastAsia="es-CR"/>
        </w:rPr>
        <w:t>. También determinó que la muerte de dos niños y una niña</w:t>
      </w:r>
      <w:r w:rsidRPr="00873FEC">
        <w:rPr>
          <w:rFonts w:ascii="Verdana" w:eastAsia="Batang" w:hAnsi="Verdana" w:cs="Times New Roman"/>
          <w:sz w:val="20"/>
          <w:szCs w:val="20"/>
          <w:vertAlign w:val="superscript"/>
          <w:lang w:val="es-CR" w:eastAsia="x-none"/>
        </w:rPr>
        <w:footnoteReference w:id="156"/>
      </w:r>
      <w:r w:rsidRPr="00873FEC">
        <w:rPr>
          <w:rFonts w:ascii="Verdana" w:eastAsia="Batang" w:hAnsi="Verdana" w:cs="Times New Roman"/>
          <w:sz w:val="20"/>
          <w:szCs w:val="20"/>
          <w:lang w:val="es-CR" w:eastAsia="es-CR"/>
        </w:rPr>
        <w:t xml:space="preserve"> implicó una violación al derecho a la vida en relación con los derechos del niño, dado el incumplimiento del deber particular del Estado </w:t>
      </w:r>
      <w:r w:rsidR="00AB6711" w:rsidRPr="00873FEC">
        <w:rPr>
          <w:rFonts w:ascii="Verdana" w:eastAsia="Batang" w:hAnsi="Verdana" w:cs="Times New Roman"/>
          <w:sz w:val="20"/>
          <w:szCs w:val="20"/>
          <w:lang w:val="es-CR" w:eastAsia="es-CR"/>
        </w:rPr>
        <w:t>de</w:t>
      </w:r>
      <w:r w:rsidRPr="00873FEC">
        <w:rPr>
          <w:rFonts w:ascii="Verdana" w:eastAsia="Batang" w:hAnsi="Verdana" w:cs="Times New Roman"/>
          <w:sz w:val="20"/>
          <w:szCs w:val="20"/>
          <w:lang w:val="es-CR" w:eastAsia="es-CR"/>
        </w:rPr>
        <w:t xml:space="preserve"> proteger a niñas y niños ante actuaciones de fuerzas de seguridad pública. Por lo anterior, la Comisión adujo que Guatemala vulneró, en perjuicio de las personas directamente afectadas por el uso de la fuerza por parte de personal militar, y según cada caso, los artículos 4.1 y/o 5.1 de la Convención, en relación con su artículo 1.1, así como dicho artículo 4.1 en relación con los artículos 19 y 1.1 del mismo tratado, en perjuicio de los niños y la niña muerta.</w:t>
      </w:r>
    </w:p>
    <w:p w:rsidR="00467331" w:rsidRPr="00873FEC" w:rsidRDefault="00467331" w:rsidP="00126E97">
      <w:pPr>
        <w:spacing w:after="0" w:line="20" w:lineRule="atLeast"/>
        <w:ind w:right="-138"/>
        <w:jc w:val="both"/>
        <w:rPr>
          <w:rFonts w:ascii="Verdana" w:eastAsia="Batang" w:hAnsi="Verdana" w:cs="Times"/>
          <w:sz w:val="20"/>
          <w:szCs w:val="24"/>
          <w:lang w:val="es-CR" w:eastAsia="es-CR"/>
        </w:rPr>
      </w:pPr>
    </w:p>
    <w:p w:rsidR="00467331" w:rsidRPr="00873FEC" w:rsidRDefault="00467331" w:rsidP="00126E97">
      <w:pPr>
        <w:numPr>
          <w:ilvl w:val="0"/>
          <w:numId w:val="3"/>
        </w:numPr>
        <w:spacing w:after="0" w:line="20" w:lineRule="atLeast"/>
        <w:ind w:right="-138"/>
        <w:jc w:val="both"/>
        <w:rPr>
          <w:rFonts w:ascii="Verdana" w:eastAsia="Batang" w:hAnsi="Verdana" w:cs="Times"/>
          <w:b/>
          <w:sz w:val="20"/>
          <w:szCs w:val="24"/>
          <w:lang w:val="es-CR" w:eastAsia="es-CR"/>
        </w:rPr>
      </w:pPr>
      <w:r w:rsidRPr="00873FEC">
        <w:rPr>
          <w:rFonts w:ascii="Verdana" w:eastAsia="Batang" w:hAnsi="Verdana" w:cs="Times"/>
          <w:sz w:val="20"/>
          <w:szCs w:val="24"/>
          <w:lang w:val="es-CR" w:eastAsia="es-CR"/>
        </w:rPr>
        <w:t xml:space="preserve">Por otra parte, la Comisión </w:t>
      </w:r>
      <w:r w:rsidRPr="00873FEC">
        <w:rPr>
          <w:rFonts w:ascii="Verdana" w:eastAsia="Batang" w:hAnsi="Verdana" w:cs="Times"/>
          <w:sz w:val="20"/>
          <w:szCs w:val="20"/>
          <w:lang w:val="es-CR" w:eastAsia="es-CR"/>
        </w:rPr>
        <w:t>consideró que el comportamiento de las tropas en l</w:t>
      </w:r>
      <w:r w:rsidR="00F5049E" w:rsidRPr="00873FEC">
        <w:rPr>
          <w:rFonts w:ascii="Verdana" w:eastAsia="Batang" w:hAnsi="Verdana" w:cs="Times"/>
          <w:sz w:val="20"/>
          <w:szCs w:val="20"/>
          <w:lang w:val="es-CR" w:eastAsia="es-CR"/>
        </w:rPr>
        <w:t>a C</w:t>
      </w:r>
      <w:r w:rsidRPr="00873FEC">
        <w:rPr>
          <w:rFonts w:ascii="Verdana" w:eastAsia="Batang" w:hAnsi="Verdana" w:cs="Times"/>
          <w:sz w:val="20"/>
          <w:szCs w:val="20"/>
          <w:lang w:val="es-CR" w:eastAsia="es-CR"/>
        </w:rPr>
        <w:t>omunidad el día de los hechos se relacionó con el contexto en que se enmarcaba el conflicto armado interno, que implicaba violaciones a derechos de personas pertenecientes al pueblo maya</w:t>
      </w:r>
      <w:r w:rsidRPr="00873FEC">
        <w:rPr>
          <w:rFonts w:ascii="Verdana" w:eastAsia="Batang" w:hAnsi="Verdana" w:cs="Times New Roman"/>
          <w:sz w:val="20"/>
          <w:szCs w:val="20"/>
          <w:vertAlign w:val="superscript"/>
          <w:lang w:val="es-CR" w:eastAsia="x-none"/>
        </w:rPr>
        <w:footnoteReference w:id="157"/>
      </w:r>
      <w:r w:rsidRPr="00873FEC">
        <w:rPr>
          <w:rFonts w:ascii="Verdana" w:eastAsia="Batang" w:hAnsi="Verdana" w:cs="Times"/>
          <w:sz w:val="20"/>
          <w:szCs w:val="20"/>
          <w:lang w:val="es-CR" w:eastAsia="es-CR"/>
        </w:rPr>
        <w:t>. Asimismo, adujó que en el caso en concreto, existía una obligación reforzada por parte del Estado de garantizar la seguridad de las personas que retornaron a la luz de los compromisos asumidos por Guatemala. Encontró, por ende, que los hechos fueron una expresión de “discriminación racial” y</w:t>
      </w:r>
      <w:r w:rsidR="00900FA6">
        <w:rPr>
          <w:rFonts w:ascii="Verdana" w:eastAsia="Batang" w:hAnsi="Verdana" w:cs="Times"/>
          <w:sz w:val="20"/>
          <w:szCs w:val="20"/>
          <w:lang w:val="es-CR" w:eastAsia="es-CR"/>
        </w:rPr>
        <w:t>,</w:t>
      </w:r>
      <w:r w:rsidRPr="00873FEC">
        <w:rPr>
          <w:rFonts w:ascii="Verdana" w:eastAsia="Batang" w:hAnsi="Verdana" w:cs="Times"/>
          <w:sz w:val="20"/>
          <w:szCs w:val="20"/>
          <w:lang w:val="es-CR" w:eastAsia="es-CR"/>
        </w:rPr>
        <w:t xml:space="preserve"> en consecuencia</w:t>
      </w:r>
      <w:r w:rsidR="00900FA6">
        <w:rPr>
          <w:rFonts w:ascii="Verdana" w:eastAsia="Batang" w:hAnsi="Verdana" w:cs="Times"/>
          <w:sz w:val="20"/>
          <w:szCs w:val="20"/>
          <w:lang w:val="es-CR" w:eastAsia="es-CR"/>
        </w:rPr>
        <w:t>,</w:t>
      </w:r>
      <w:r w:rsidRPr="00873FEC">
        <w:rPr>
          <w:rFonts w:ascii="Verdana" w:eastAsia="Batang" w:hAnsi="Verdana" w:cs="Times"/>
          <w:sz w:val="20"/>
          <w:szCs w:val="20"/>
          <w:lang w:val="es-CR" w:eastAsia="es-CR"/>
        </w:rPr>
        <w:t xml:space="preserve"> una violación al artículo 24 de la Convención, en relación con el artículo 1.1 de la misma</w:t>
      </w:r>
      <w:r w:rsidRPr="00873FEC">
        <w:rPr>
          <w:rFonts w:ascii="Verdana" w:eastAsia="Batang" w:hAnsi="Verdana" w:cs="Times"/>
          <w:sz w:val="20"/>
          <w:szCs w:val="24"/>
          <w:lang w:val="es-CR" w:eastAsia="es-CR"/>
        </w:rPr>
        <w:t>.</w:t>
      </w:r>
      <w:r w:rsidRPr="00873FEC">
        <w:rPr>
          <w:rFonts w:ascii="Verdana" w:eastAsia="Batang" w:hAnsi="Verdana" w:cs="Times"/>
          <w:b/>
          <w:sz w:val="20"/>
          <w:szCs w:val="24"/>
          <w:lang w:val="es-CR" w:eastAsia="es-CR"/>
        </w:rPr>
        <w:t xml:space="preserve"> </w:t>
      </w:r>
    </w:p>
    <w:p w:rsidR="00467331" w:rsidRPr="00873FEC" w:rsidRDefault="00467331" w:rsidP="00126E97">
      <w:pPr>
        <w:spacing w:after="0" w:line="20" w:lineRule="atLeast"/>
        <w:ind w:right="-138"/>
        <w:jc w:val="both"/>
        <w:rPr>
          <w:rFonts w:ascii="Verdana" w:eastAsia="Batang" w:hAnsi="Verdana" w:cs="Times"/>
          <w:b/>
          <w:sz w:val="20"/>
          <w:szCs w:val="24"/>
          <w:lang w:val="es-CR" w:eastAsia="es-CR"/>
        </w:rPr>
      </w:pPr>
    </w:p>
    <w:p w:rsidR="00467331" w:rsidRPr="00873FEC" w:rsidRDefault="00467331" w:rsidP="00126E97">
      <w:pPr>
        <w:numPr>
          <w:ilvl w:val="0"/>
          <w:numId w:val="3"/>
        </w:numPr>
        <w:spacing w:after="0" w:line="20" w:lineRule="atLeast"/>
        <w:ind w:right="-138"/>
        <w:jc w:val="both"/>
        <w:rPr>
          <w:rFonts w:ascii="Verdana" w:eastAsia="Batang" w:hAnsi="Verdana" w:cs="Times"/>
          <w:b/>
          <w:sz w:val="20"/>
          <w:szCs w:val="24"/>
          <w:lang w:val="es-CR" w:eastAsia="es-CR"/>
        </w:rPr>
      </w:pPr>
      <w:r w:rsidRPr="00873FEC">
        <w:rPr>
          <w:rFonts w:ascii="Verdana" w:eastAsia="Batang" w:hAnsi="Verdana" w:cs="Times New Roman"/>
          <w:sz w:val="20"/>
          <w:szCs w:val="20"/>
          <w:lang w:val="es-CR" w:eastAsia="es-CR"/>
        </w:rPr>
        <w:t xml:space="preserve">Los </w:t>
      </w:r>
      <w:r w:rsidRPr="00873FEC">
        <w:rPr>
          <w:rFonts w:ascii="Verdana" w:eastAsia="Batang" w:hAnsi="Verdana" w:cs="Times New Roman"/>
          <w:b/>
          <w:i/>
          <w:sz w:val="20"/>
          <w:szCs w:val="20"/>
          <w:lang w:val="es-CR" w:eastAsia="es-CR"/>
        </w:rPr>
        <w:t>representantes</w:t>
      </w:r>
      <w:r w:rsidRPr="00873FEC">
        <w:rPr>
          <w:rFonts w:ascii="Verdana" w:eastAsia="Batang" w:hAnsi="Verdana" w:cs="Times New Roman"/>
          <w:sz w:val="20"/>
          <w:szCs w:val="20"/>
          <w:lang w:val="es-CR" w:eastAsia="es-CR"/>
        </w:rPr>
        <w:t>, en el mismo sentido que la Comisión</w:t>
      </w:r>
      <w:r w:rsidRPr="00873FEC">
        <w:rPr>
          <w:rFonts w:ascii="Verdana" w:eastAsia="Batang" w:hAnsi="Verdana" w:cs="Times New Roman"/>
          <w:sz w:val="20"/>
          <w:szCs w:val="20"/>
          <w:vertAlign w:val="superscript"/>
          <w:lang w:val="es-CR" w:eastAsia="x-none"/>
        </w:rPr>
        <w:footnoteReference w:id="158"/>
      </w:r>
      <w:r w:rsidRPr="00873FEC">
        <w:rPr>
          <w:rFonts w:ascii="Verdana" w:eastAsia="Batang" w:hAnsi="Verdana" w:cs="Times New Roman"/>
          <w:sz w:val="20"/>
          <w:szCs w:val="20"/>
          <w:lang w:val="es-CR" w:eastAsia="es-CR"/>
        </w:rPr>
        <w:t>, adujeron la violación de los derechos a la vida y a la integridad personal, además de la violación de los derechos del niño</w:t>
      </w:r>
      <w:r w:rsidRPr="00873FEC">
        <w:rPr>
          <w:rFonts w:ascii="Verdana" w:eastAsia="Batang" w:hAnsi="Verdana" w:cs="Times New Roman"/>
          <w:sz w:val="20"/>
          <w:szCs w:val="20"/>
          <w:vertAlign w:val="superscript"/>
          <w:lang w:val="es-CR" w:eastAsia="x-none"/>
        </w:rPr>
        <w:footnoteReference w:id="159"/>
      </w:r>
      <w:r w:rsidRPr="00873FEC">
        <w:rPr>
          <w:rFonts w:ascii="Verdana" w:eastAsia="Batang" w:hAnsi="Verdana" w:cs="Times New Roman"/>
          <w:sz w:val="20"/>
          <w:szCs w:val="20"/>
          <w:lang w:val="es-CR" w:eastAsia="es-CR"/>
        </w:rPr>
        <w:t xml:space="preserve">. </w:t>
      </w:r>
      <w:r w:rsidRPr="00873FEC">
        <w:rPr>
          <w:rFonts w:ascii="Verdana" w:eastAsia="Batang" w:hAnsi="Verdana" w:cs="Times"/>
          <w:sz w:val="20"/>
          <w:szCs w:val="20"/>
          <w:lang w:eastAsia="es-CR"/>
        </w:rPr>
        <w:t>E</w:t>
      </w:r>
      <w:proofErr w:type="spellStart"/>
      <w:r w:rsidRPr="00873FEC">
        <w:rPr>
          <w:rFonts w:ascii="Verdana" w:eastAsia="Times New Roman" w:hAnsi="Verdana" w:cs="Times New Roman"/>
          <w:bCs/>
          <w:color w:val="000000"/>
          <w:sz w:val="20"/>
          <w:szCs w:val="20"/>
          <w:lang w:val="es-CR" w:eastAsia="es-CR"/>
        </w:rPr>
        <w:t>ntendieron</w:t>
      </w:r>
      <w:proofErr w:type="spellEnd"/>
      <w:r w:rsidRPr="00873FEC">
        <w:rPr>
          <w:rFonts w:ascii="Verdana" w:eastAsia="Times New Roman" w:hAnsi="Verdana" w:cs="Times New Roman"/>
          <w:bCs/>
          <w:color w:val="000000"/>
          <w:sz w:val="20"/>
          <w:szCs w:val="20"/>
          <w:lang w:val="es-CR" w:eastAsia="es-CR"/>
        </w:rPr>
        <w:t>, asimismo, que se vulneró el derecho a la igual protección de la ley a</w:t>
      </w:r>
      <w:r w:rsidR="00900FA6">
        <w:rPr>
          <w:rFonts w:ascii="Verdana" w:eastAsia="Times New Roman" w:hAnsi="Verdana" w:cs="Times New Roman"/>
          <w:bCs/>
          <w:color w:val="000000"/>
          <w:sz w:val="20"/>
          <w:szCs w:val="20"/>
          <w:lang w:val="es-CR" w:eastAsia="es-CR"/>
        </w:rPr>
        <w:t>l no cumplirse</w:t>
      </w:r>
      <w:r w:rsidRPr="00873FEC">
        <w:rPr>
          <w:rFonts w:ascii="Verdana" w:eastAsia="Times New Roman" w:hAnsi="Verdana" w:cs="Times New Roman"/>
          <w:bCs/>
          <w:color w:val="000000"/>
          <w:sz w:val="20"/>
          <w:szCs w:val="20"/>
          <w:lang w:eastAsia="es-CR"/>
        </w:rPr>
        <w:t xml:space="preserve"> los acuerdos pactados para el retorno de refugiados.</w:t>
      </w:r>
      <w:r w:rsidRPr="00873FEC">
        <w:rPr>
          <w:rFonts w:ascii="Verdana" w:eastAsia="Times New Roman" w:hAnsi="Verdana" w:cs="Times New Roman"/>
          <w:b/>
          <w:bCs/>
          <w:color w:val="000000"/>
          <w:sz w:val="20"/>
          <w:szCs w:val="20"/>
          <w:lang w:eastAsia="es-CR"/>
        </w:rPr>
        <w:t xml:space="preserve">  </w:t>
      </w:r>
    </w:p>
    <w:p w:rsidR="00467331" w:rsidRPr="00873FEC" w:rsidRDefault="00467331" w:rsidP="00126E97">
      <w:pPr>
        <w:spacing w:after="0" w:line="20" w:lineRule="atLeast"/>
        <w:ind w:left="720"/>
        <w:contextualSpacing/>
        <w:rPr>
          <w:rFonts w:ascii="Calibri" w:eastAsia="Calibri" w:hAnsi="Calibri" w:cs="Times New Roman"/>
          <w:szCs w:val="20"/>
          <w:lang w:val="es-CR" w:eastAsia="es-CR"/>
        </w:rPr>
      </w:pPr>
    </w:p>
    <w:p w:rsidR="00467331" w:rsidRPr="00873FEC" w:rsidRDefault="00467331"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New Roman"/>
          <w:sz w:val="20"/>
          <w:szCs w:val="20"/>
          <w:lang w:val="es-CR" w:eastAsia="es-CR"/>
        </w:rPr>
        <w:t xml:space="preserve">El </w:t>
      </w:r>
      <w:r w:rsidRPr="00873FEC">
        <w:rPr>
          <w:rFonts w:ascii="Verdana" w:eastAsia="Batang" w:hAnsi="Verdana" w:cs="Times New Roman"/>
          <w:b/>
          <w:i/>
          <w:sz w:val="20"/>
          <w:szCs w:val="20"/>
          <w:lang w:val="es-CR" w:eastAsia="es-CR"/>
        </w:rPr>
        <w:t>Estado</w:t>
      </w:r>
      <w:r w:rsidRPr="00873FEC">
        <w:rPr>
          <w:rFonts w:ascii="Verdana" w:eastAsia="Batang" w:hAnsi="Verdana" w:cs="Times New Roman"/>
          <w:sz w:val="20"/>
          <w:szCs w:val="20"/>
          <w:lang w:val="es-CR" w:eastAsia="es-CR"/>
        </w:rPr>
        <w:t xml:space="preserve"> consideró no ser responsable de violar el derecho a la vida, como tampoco el derecho la integridad personal. Al respecto, entendió que como cumplió el deber de garantizar los derechos mediante una investigación, no resulta responsable</w:t>
      </w:r>
      <w:r w:rsidRPr="00873FEC">
        <w:rPr>
          <w:rFonts w:ascii="Verdana" w:eastAsia="Batang" w:hAnsi="Verdana" w:cs="Times New Roman"/>
          <w:sz w:val="20"/>
          <w:szCs w:val="20"/>
          <w:vertAlign w:val="superscript"/>
          <w:lang w:val="es-CR" w:eastAsia="x-none"/>
        </w:rPr>
        <w:footnoteReference w:id="160"/>
      </w:r>
      <w:r w:rsidRPr="00873FEC">
        <w:rPr>
          <w:rFonts w:ascii="Verdana" w:eastAsia="Batang" w:hAnsi="Verdana" w:cs="Times New Roman"/>
          <w:sz w:val="20"/>
          <w:szCs w:val="20"/>
          <w:lang w:val="es-CR" w:eastAsia="es-CR"/>
        </w:rPr>
        <w:t xml:space="preserve">. </w:t>
      </w:r>
      <w:r w:rsidRPr="00873FEC">
        <w:rPr>
          <w:rFonts w:ascii="Verdana" w:eastAsia="Batang" w:hAnsi="Verdana" w:cs="Times"/>
          <w:sz w:val="20"/>
          <w:szCs w:val="20"/>
          <w:lang w:eastAsia="es-CR"/>
        </w:rPr>
        <w:t xml:space="preserve">Igualmente, señaló no haber negado información ni “el acceso a la justicia” a las personas afectadas. Argumentó, además, que tales personas tuvieron oportunidad de </w:t>
      </w:r>
      <w:r w:rsidRPr="00873FEC">
        <w:rPr>
          <w:rFonts w:ascii="Verdana" w:eastAsia="Batang" w:hAnsi="Verdana" w:cs="Times"/>
          <w:sz w:val="20"/>
          <w:szCs w:val="20"/>
          <w:lang w:eastAsia="es-CR"/>
        </w:rPr>
        <w:lastRenderedPageBreak/>
        <w:t xml:space="preserve">ejercer acciones civiles “sin haberlo planteado oportunamente”, lo que no es atribuible al Estado. </w:t>
      </w:r>
      <w:r w:rsidRPr="00873FEC">
        <w:rPr>
          <w:rFonts w:ascii="Verdana" w:eastAsia="Times New Roman" w:hAnsi="Verdana" w:cs="Times"/>
          <w:bCs/>
          <w:color w:val="000000"/>
          <w:sz w:val="20"/>
          <w:szCs w:val="20"/>
          <w:lang w:val="es-CR" w:eastAsia="es-CR"/>
        </w:rPr>
        <w:t xml:space="preserve">Además, </w:t>
      </w:r>
      <w:r w:rsidRPr="00873FEC">
        <w:rPr>
          <w:rFonts w:ascii="Verdana" w:eastAsia="Batang" w:hAnsi="Verdana" w:cs="Times"/>
          <w:sz w:val="20"/>
          <w:szCs w:val="20"/>
          <w:lang w:val="es-CR" w:eastAsia="es-CR"/>
        </w:rPr>
        <w:t xml:space="preserve">consideró que </w:t>
      </w:r>
      <w:r w:rsidRPr="00873FEC">
        <w:rPr>
          <w:rFonts w:ascii="Verdana" w:eastAsia="Times New Roman" w:hAnsi="Verdana" w:cs="Times New Roman"/>
          <w:bCs/>
          <w:color w:val="000000"/>
          <w:sz w:val="20"/>
          <w:szCs w:val="20"/>
          <w:lang w:val="es-CR" w:eastAsia="es-CR"/>
        </w:rPr>
        <w:t xml:space="preserve">sus actuaciones no se enmarcaron en una discriminación ni de hecho ni de derecho. Argumentó también que la mayoría de estos soldados eran </w:t>
      </w:r>
      <w:proofErr w:type="spellStart"/>
      <w:r w:rsidRPr="00873FEC">
        <w:rPr>
          <w:rFonts w:ascii="Verdana" w:eastAsia="Times New Roman" w:hAnsi="Verdana" w:cs="Times New Roman"/>
          <w:bCs/>
          <w:color w:val="000000"/>
          <w:sz w:val="20"/>
          <w:szCs w:val="20"/>
          <w:lang w:val="es-CR" w:eastAsia="es-CR"/>
        </w:rPr>
        <w:t>q'eqchís</w:t>
      </w:r>
      <w:proofErr w:type="spellEnd"/>
      <w:r w:rsidRPr="00873FEC">
        <w:rPr>
          <w:rFonts w:ascii="Verdana" w:eastAsia="Times New Roman" w:hAnsi="Verdana" w:cs="Times New Roman"/>
          <w:bCs/>
          <w:color w:val="000000"/>
          <w:sz w:val="20"/>
          <w:szCs w:val="20"/>
          <w:lang w:val="es-CR" w:eastAsia="es-CR"/>
        </w:rPr>
        <w:t>, es decir, pertenecientes a la misma etnia ind</w:t>
      </w:r>
      <w:r w:rsidR="00F5049E" w:rsidRPr="00873FEC">
        <w:rPr>
          <w:rFonts w:ascii="Verdana" w:eastAsia="Times New Roman" w:hAnsi="Verdana" w:cs="Times New Roman"/>
          <w:bCs/>
          <w:color w:val="000000"/>
          <w:sz w:val="20"/>
          <w:szCs w:val="20"/>
          <w:lang w:val="es-CR" w:eastAsia="es-CR"/>
        </w:rPr>
        <w:t>ígena maya prevaleciente en la C</w:t>
      </w:r>
      <w:r w:rsidRPr="00873FEC">
        <w:rPr>
          <w:rFonts w:ascii="Verdana" w:eastAsia="Times New Roman" w:hAnsi="Verdana" w:cs="Times New Roman"/>
          <w:bCs/>
          <w:color w:val="000000"/>
          <w:sz w:val="20"/>
          <w:szCs w:val="20"/>
          <w:lang w:val="es-CR" w:eastAsia="es-CR"/>
        </w:rPr>
        <w:t xml:space="preserve">omunidad </w:t>
      </w:r>
      <w:r w:rsidR="00F5049E" w:rsidRPr="00873FEC">
        <w:rPr>
          <w:rFonts w:ascii="Verdana" w:eastAsia="Times New Roman" w:hAnsi="Verdana" w:cs="Times New Roman"/>
          <w:bCs/>
          <w:color w:val="000000"/>
          <w:sz w:val="20"/>
          <w:szCs w:val="20"/>
          <w:lang w:val="es-CR" w:eastAsia="es-CR"/>
        </w:rPr>
        <w:t xml:space="preserve">asentada en la finca </w:t>
      </w:r>
      <w:proofErr w:type="spellStart"/>
      <w:r w:rsidRPr="00873FEC">
        <w:rPr>
          <w:rFonts w:ascii="Verdana" w:eastAsia="Times New Roman" w:hAnsi="Verdana" w:cs="Times New Roman"/>
          <w:bCs/>
          <w:color w:val="000000"/>
          <w:sz w:val="20"/>
          <w:szCs w:val="20"/>
          <w:lang w:val="es-CR" w:eastAsia="es-CR"/>
        </w:rPr>
        <w:t>Xamán</w:t>
      </w:r>
      <w:proofErr w:type="spellEnd"/>
      <w:r w:rsidRPr="00873FEC">
        <w:rPr>
          <w:rFonts w:ascii="Verdana" w:eastAsia="Times New Roman" w:hAnsi="Verdana" w:cs="Times New Roman"/>
          <w:bCs/>
          <w:color w:val="000000"/>
          <w:sz w:val="20"/>
          <w:szCs w:val="20"/>
          <w:lang w:val="es-CR" w:eastAsia="es-CR"/>
        </w:rPr>
        <w:t>.</w:t>
      </w:r>
      <w:r w:rsidRPr="00873FEC">
        <w:rPr>
          <w:rFonts w:ascii="Verdana" w:eastAsia="Times New Roman" w:hAnsi="Verdana" w:cs="Times New Roman"/>
          <w:b/>
          <w:bCs/>
          <w:color w:val="000000"/>
          <w:sz w:val="20"/>
          <w:szCs w:val="20"/>
          <w:lang w:val="es-CR" w:eastAsia="es-CR"/>
        </w:rPr>
        <w:t xml:space="preserve">  </w:t>
      </w:r>
      <w:r w:rsidRPr="00873FEC">
        <w:rPr>
          <w:rFonts w:ascii="Verdana" w:eastAsia="Times New Roman" w:hAnsi="Verdana" w:cs="Times New Roman"/>
          <w:bCs/>
          <w:color w:val="000000"/>
          <w:sz w:val="20"/>
          <w:szCs w:val="20"/>
          <w:lang w:val="es-CR" w:eastAsia="es-CR"/>
        </w:rPr>
        <w:t xml:space="preserve"> </w:t>
      </w:r>
    </w:p>
    <w:p w:rsidR="00467331" w:rsidRPr="00873FEC" w:rsidRDefault="00467331" w:rsidP="00126E97">
      <w:pPr>
        <w:spacing w:after="0" w:line="20" w:lineRule="atLeast"/>
        <w:contextualSpacing/>
        <w:jc w:val="both"/>
        <w:rPr>
          <w:rFonts w:ascii="Verdana" w:eastAsia="Batang" w:hAnsi="Verdana" w:cs="Times New Roman"/>
          <w:sz w:val="20"/>
          <w:szCs w:val="20"/>
          <w:lang w:val="es-CR" w:eastAsia="es-CR"/>
        </w:rPr>
      </w:pPr>
    </w:p>
    <w:p w:rsidR="00467331" w:rsidRPr="00873FEC" w:rsidRDefault="00467331" w:rsidP="00126E97">
      <w:pPr>
        <w:numPr>
          <w:ilvl w:val="0"/>
          <w:numId w:val="8"/>
        </w:numPr>
        <w:spacing w:after="0" w:line="20" w:lineRule="atLeast"/>
        <w:ind w:left="284"/>
        <w:contextualSpacing/>
        <w:jc w:val="both"/>
        <w:outlineLvl w:val="1"/>
        <w:rPr>
          <w:rFonts w:ascii="Verdana" w:eastAsia="Calibri" w:hAnsi="Verdana" w:cs="Times New Roman"/>
          <w:b/>
          <w:i/>
          <w:sz w:val="20"/>
          <w:szCs w:val="20"/>
          <w:lang w:val="es-CR" w:eastAsia="es-CR"/>
        </w:rPr>
      </w:pPr>
      <w:bookmarkStart w:id="166" w:name="_Toc520207601"/>
      <w:bookmarkStart w:id="167" w:name="_Toc525201179"/>
      <w:bookmarkEnd w:id="166"/>
      <w:r w:rsidRPr="00873FEC">
        <w:rPr>
          <w:rFonts w:ascii="Verdana" w:eastAsia="Calibri" w:hAnsi="Verdana" w:cs="Times New Roman"/>
          <w:b/>
          <w:i/>
          <w:sz w:val="20"/>
          <w:szCs w:val="20"/>
          <w:lang w:val="es-CR" w:eastAsia="es-CR"/>
        </w:rPr>
        <w:t>Consideraciones de la Corte</w:t>
      </w:r>
      <w:bookmarkEnd w:id="167"/>
    </w:p>
    <w:p w:rsidR="00467331" w:rsidRPr="00873FEC" w:rsidRDefault="00467331" w:rsidP="00126E97">
      <w:pPr>
        <w:spacing w:after="0" w:line="20" w:lineRule="atLeast"/>
        <w:ind w:left="720"/>
        <w:contextualSpacing/>
        <w:rPr>
          <w:rFonts w:ascii="Calibri" w:eastAsia="Calibri" w:hAnsi="Calibri" w:cs="Times New Roman"/>
          <w:szCs w:val="20"/>
          <w:lang w:val="es-CR" w:eastAsia="es-CR"/>
        </w:rPr>
      </w:pPr>
    </w:p>
    <w:p w:rsidR="00467331" w:rsidRPr="00873FEC" w:rsidRDefault="00467331" w:rsidP="00126E97">
      <w:pPr>
        <w:numPr>
          <w:ilvl w:val="0"/>
          <w:numId w:val="3"/>
        </w:numPr>
        <w:spacing w:after="0" w:line="20" w:lineRule="atLeast"/>
        <w:ind w:right="-138"/>
        <w:jc w:val="both"/>
        <w:rPr>
          <w:rFonts w:ascii="Verdana" w:eastAsia="Batang" w:hAnsi="Verdana" w:cs="Times"/>
          <w:b/>
          <w:sz w:val="20"/>
          <w:szCs w:val="24"/>
          <w:lang w:val="es-CR" w:eastAsia="es-CR"/>
        </w:rPr>
      </w:pPr>
      <w:r w:rsidRPr="00873FEC">
        <w:rPr>
          <w:rFonts w:ascii="Verdana" w:eastAsia="Batang" w:hAnsi="Verdana" w:cs="Times New Roman"/>
          <w:sz w:val="20"/>
          <w:szCs w:val="20"/>
          <w:lang w:val="es-CR" w:eastAsia="es-CR"/>
        </w:rPr>
        <w:t xml:space="preserve">La Corte </w:t>
      </w:r>
      <w:r w:rsidR="00900FA6">
        <w:rPr>
          <w:rFonts w:ascii="Verdana" w:eastAsia="Batang" w:hAnsi="Verdana" w:cs="Times New Roman"/>
          <w:sz w:val="20"/>
          <w:szCs w:val="20"/>
          <w:lang w:val="es-CR" w:eastAsia="es-CR"/>
        </w:rPr>
        <w:t>considera pertinente</w:t>
      </w:r>
      <w:r w:rsidRPr="00873FEC">
        <w:rPr>
          <w:rFonts w:ascii="Verdana" w:eastAsia="Batang" w:hAnsi="Verdana" w:cs="Times New Roman"/>
          <w:sz w:val="20"/>
          <w:szCs w:val="20"/>
          <w:lang w:val="es-CR" w:eastAsia="es-CR"/>
        </w:rPr>
        <w:t xml:space="preserve"> abordar en conjunto las violaciones alegadas a los derechos a la vida y a la integridad personal, debido a que </w:t>
      </w:r>
      <w:r w:rsidR="00900FA6">
        <w:rPr>
          <w:rFonts w:ascii="Verdana" w:eastAsia="Batang" w:hAnsi="Verdana" w:cs="Times New Roman"/>
          <w:sz w:val="20"/>
          <w:szCs w:val="20"/>
          <w:lang w:val="es-CR" w:eastAsia="es-CR"/>
        </w:rPr>
        <w:t>el análisis de ambos</w:t>
      </w:r>
      <w:r w:rsidRPr="00873FEC">
        <w:rPr>
          <w:rFonts w:ascii="Verdana" w:eastAsia="Batang" w:hAnsi="Verdana" w:cs="Times New Roman"/>
          <w:sz w:val="20"/>
          <w:szCs w:val="20"/>
          <w:lang w:val="es-CR" w:eastAsia="es-CR"/>
        </w:rPr>
        <w:t xml:space="preserve"> se origina en un mismo hecho: </w:t>
      </w:r>
      <w:r w:rsidRPr="00873FEC">
        <w:rPr>
          <w:rFonts w:ascii="Verdana" w:eastAsia="Batang" w:hAnsi="Verdana" w:cs="Times"/>
          <w:sz w:val="20"/>
          <w:szCs w:val="20"/>
          <w:lang w:val="es-CR" w:eastAsia="es-CR"/>
        </w:rPr>
        <w:t>la masacre perpetrada por miembros de las Fuerzas Armadas de Guatemala el 5 de octubre de 1995</w:t>
      </w:r>
      <w:r w:rsidR="00900FA6">
        <w:rPr>
          <w:rFonts w:ascii="Verdana" w:eastAsia="Batang" w:hAnsi="Verdana" w:cs="Times"/>
          <w:sz w:val="20"/>
          <w:szCs w:val="20"/>
          <w:lang w:val="es-CR" w:eastAsia="es-CR"/>
        </w:rPr>
        <w:t>,</w:t>
      </w:r>
      <w:r w:rsidRPr="00873FEC">
        <w:rPr>
          <w:rFonts w:ascii="Verdana" w:eastAsia="Batang" w:hAnsi="Verdana" w:cs="Times"/>
          <w:sz w:val="20"/>
          <w:szCs w:val="20"/>
          <w:lang w:val="es-CR" w:eastAsia="es-CR"/>
        </w:rPr>
        <w:t xml:space="preserve"> en perjuicio de once personas que resultaron muertas y 29 personas heridas.  </w:t>
      </w:r>
    </w:p>
    <w:p w:rsidR="00467331" w:rsidRPr="00873FEC" w:rsidRDefault="00467331" w:rsidP="00126E97">
      <w:pPr>
        <w:spacing w:after="0" w:line="20" w:lineRule="atLeast"/>
        <w:ind w:right="-138"/>
        <w:jc w:val="both"/>
        <w:rPr>
          <w:rFonts w:ascii="Verdana" w:eastAsia="Batang" w:hAnsi="Verdana" w:cs="Times"/>
          <w:b/>
          <w:sz w:val="20"/>
          <w:szCs w:val="24"/>
          <w:lang w:val="es-CR" w:eastAsia="es-CR"/>
        </w:rPr>
      </w:pPr>
    </w:p>
    <w:p w:rsidR="00467331" w:rsidRPr="00873FEC" w:rsidRDefault="00467331" w:rsidP="00126E97">
      <w:pPr>
        <w:numPr>
          <w:ilvl w:val="0"/>
          <w:numId w:val="3"/>
        </w:numPr>
        <w:spacing w:after="0" w:line="20" w:lineRule="atLeast"/>
        <w:ind w:right="-138"/>
        <w:jc w:val="both"/>
        <w:rPr>
          <w:rFonts w:ascii="Verdana" w:eastAsia="Batang" w:hAnsi="Verdana" w:cs="Times"/>
          <w:sz w:val="20"/>
          <w:szCs w:val="20"/>
          <w:lang w:val="es-CR" w:eastAsia="es-CR"/>
        </w:rPr>
      </w:pPr>
      <w:r w:rsidRPr="00873FEC">
        <w:rPr>
          <w:rFonts w:ascii="Verdana" w:eastAsia="Batang" w:hAnsi="Verdana" w:cs="Times"/>
          <w:sz w:val="20"/>
          <w:szCs w:val="20"/>
          <w:lang w:val="es-CR" w:eastAsia="es-CR"/>
        </w:rPr>
        <w:t xml:space="preserve">A su vez, en relación con tales derechos, entiende pertinente examinar las aducidas violaciones a los derechos del niño, siendo que una niña y dos niños integran el grupo de 11 personas muertas, así como los alegatos sobre discriminación. Respecto a esto último, </w:t>
      </w:r>
      <w:r w:rsidRPr="00873FEC">
        <w:rPr>
          <w:rFonts w:ascii="Verdana" w:eastAsia="Times New Roman" w:hAnsi="Verdana" w:cs="Times New Roman"/>
          <w:bCs/>
          <w:color w:val="000000"/>
          <w:sz w:val="20"/>
          <w:szCs w:val="20"/>
          <w:lang w:val="es-CR" w:eastAsia="es-CR"/>
        </w:rPr>
        <w:t>no se han aducido normas internas concretas cuya aplicación o efectos pudieren explicar o relacionarse con la actuación militar, y la Corte entiende que los argumentos respectivos no pueden ser examinados bajo el artículo 24 de la Convención, como fueron alegados. En ese sentido, cabe recordar lo dicho por este Tribunal, en cuanto a que un hecho debe analizarse a la luz del artículo 24 de la Convención si “</w:t>
      </w:r>
      <w:r w:rsidRPr="00873FEC">
        <w:rPr>
          <w:rFonts w:ascii="Verdana" w:eastAsia="Batang" w:hAnsi="Verdana" w:cs="Times"/>
          <w:sz w:val="20"/>
          <w:szCs w:val="20"/>
          <w:lang w:eastAsia="es-CR"/>
        </w:rPr>
        <w:t>se refiere a una protección desigual de la ley interna o su aplicación”</w:t>
      </w:r>
      <w:r w:rsidRPr="00873FEC">
        <w:rPr>
          <w:rFonts w:ascii="Verdana" w:eastAsia="Batang" w:hAnsi="Verdana" w:cs="Times New Roman"/>
          <w:sz w:val="20"/>
          <w:szCs w:val="20"/>
          <w:vertAlign w:val="superscript"/>
          <w:lang w:val="es-CR" w:eastAsia="x-none"/>
        </w:rPr>
        <w:footnoteReference w:id="161"/>
      </w:r>
      <w:r w:rsidRPr="00873FEC">
        <w:rPr>
          <w:rFonts w:ascii="Verdana" w:eastAsia="Batang" w:hAnsi="Verdana" w:cs="Times"/>
          <w:sz w:val="20"/>
          <w:szCs w:val="20"/>
          <w:lang w:val="es-CR" w:eastAsia="es-CR"/>
        </w:rPr>
        <w:t>.</w:t>
      </w:r>
      <w:r w:rsidRPr="00873FEC">
        <w:rPr>
          <w:rFonts w:ascii="Verdana" w:eastAsia="Batang" w:hAnsi="Verdana" w:cs="Times"/>
          <w:sz w:val="16"/>
          <w:szCs w:val="16"/>
          <w:lang w:val="es-CR" w:eastAsia="es-CR"/>
        </w:rPr>
        <w:t xml:space="preserve"> </w:t>
      </w:r>
      <w:r w:rsidRPr="00873FEC">
        <w:rPr>
          <w:rFonts w:ascii="Verdana" w:eastAsia="Times New Roman" w:hAnsi="Verdana" w:cs="Times New Roman"/>
          <w:bCs/>
          <w:color w:val="000000"/>
          <w:sz w:val="20"/>
          <w:szCs w:val="20"/>
          <w:lang w:val="es-CR" w:eastAsia="es-CR"/>
        </w:rPr>
        <w:t xml:space="preserve">No obstante, en virtud del principio </w:t>
      </w:r>
      <w:proofErr w:type="spellStart"/>
      <w:r w:rsidRPr="00873FEC">
        <w:rPr>
          <w:rFonts w:ascii="Verdana" w:eastAsia="Times New Roman" w:hAnsi="Verdana" w:cs="Times New Roman"/>
          <w:bCs/>
          <w:i/>
          <w:color w:val="000000"/>
          <w:sz w:val="20"/>
          <w:szCs w:val="20"/>
          <w:lang w:val="es-CR" w:eastAsia="es-CR"/>
        </w:rPr>
        <w:t>iura</w:t>
      </w:r>
      <w:proofErr w:type="spellEnd"/>
      <w:r w:rsidRPr="00873FEC">
        <w:rPr>
          <w:rFonts w:ascii="Verdana" w:eastAsia="Times New Roman" w:hAnsi="Verdana" w:cs="Times New Roman"/>
          <w:bCs/>
          <w:i/>
          <w:color w:val="000000"/>
          <w:sz w:val="20"/>
          <w:szCs w:val="20"/>
          <w:lang w:val="es-CR" w:eastAsia="es-CR"/>
        </w:rPr>
        <w:t xml:space="preserve"> </w:t>
      </w:r>
      <w:proofErr w:type="spellStart"/>
      <w:r w:rsidRPr="00873FEC">
        <w:rPr>
          <w:rFonts w:ascii="Verdana" w:eastAsia="Times New Roman" w:hAnsi="Verdana" w:cs="Times New Roman"/>
          <w:bCs/>
          <w:i/>
          <w:color w:val="000000"/>
          <w:sz w:val="20"/>
          <w:szCs w:val="20"/>
          <w:lang w:val="es-CR" w:eastAsia="es-CR"/>
        </w:rPr>
        <w:t>novit</w:t>
      </w:r>
      <w:proofErr w:type="spellEnd"/>
      <w:r w:rsidRPr="00873FEC">
        <w:rPr>
          <w:rFonts w:ascii="Verdana" w:eastAsia="Times New Roman" w:hAnsi="Verdana" w:cs="Times New Roman"/>
          <w:bCs/>
          <w:i/>
          <w:color w:val="000000"/>
          <w:sz w:val="20"/>
          <w:szCs w:val="20"/>
          <w:lang w:val="es-CR" w:eastAsia="es-CR"/>
        </w:rPr>
        <w:t xml:space="preserve"> curia</w:t>
      </w:r>
      <w:r w:rsidRPr="00873FEC">
        <w:rPr>
          <w:rFonts w:ascii="Verdana" w:eastAsia="Batang" w:hAnsi="Verdana" w:cs="Times New Roman"/>
          <w:bCs/>
          <w:color w:val="000000"/>
          <w:sz w:val="20"/>
          <w:szCs w:val="20"/>
          <w:vertAlign w:val="superscript"/>
          <w:lang w:val="es-CR" w:eastAsia="x-none"/>
        </w:rPr>
        <w:footnoteReference w:id="162"/>
      </w:r>
      <w:r w:rsidRPr="00873FEC">
        <w:rPr>
          <w:rFonts w:ascii="Verdana" w:eastAsia="Times New Roman" w:hAnsi="Verdana" w:cs="Times New Roman"/>
          <w:bCs/>
          <w:i/>
          <w:color w:val="000000"/>
          <w:sz w:val="20"/>
          <w:szCs w:val="20"/>
          <w:lang w:val="es-CR" w:eastAsia="es-CR"/>
        </w:rPr>
        <w:t xml:space="preserve">, </w:t>
      </w:r>
      <w:r w:rsidRPr="00873FEC">
        <w:rPr>
          <w:rFonts w:ascii="Verdana" w:eastAsia="Times New Roman" w:hAnsi="Verdana" w:cs="Times New Roman"/>
          <w:bCs/>
          <w:color w:val="000000"/>
          <w:sz w:val="20"/>
          <w:szCs w:val="20"/>
          <w:lang w:val="es-CR" w:eastAsia="es-CR"/>
        </w:rPr>
        <w:t>se examinará si cabe determinar en el caso la discriminación respecto de un derecho convencional a partir de lo dispuesto por el artículo 1.1 de la Convención, norma que se ve incumplida “</w:t>
      </w:r>
      <w:r w:rsidRPr="00873FEC">
        <w:rPr>
          <w:rFonts w:ascii="Verdana" w:eastAsia="Batang" w:hAnsi="Verdana" w:cs="Times"/>
          <w:sz w:val="20"/>
          <w:szCs w:val="20"/>
          <w:lang w:eastAsia="es-CR"/>
        </w:rPr>
        <w:t>si un Estado discrimina en el respeto o garantía de un derecho convencional”</w:t>
      </w:r>
      <w:r w:rsidRPr="00873FEC">
        <w:rPr>
          <w:rFonts w:ascii="Verdana" w:eastAsia="Batang" w:hAnsi="Verdana" w:cs="Times New Roman"/>
          <w:sz w:val="20"/>
          <w:szCs w:val="20"/>
          <w:vertAlign w:val="superscript"/>
          <w:lang w:val="es-CR" w:eastAsia="x-none"/>
        </w:rPr>
        <w:footnoteReference w:id="163"/>
      </w:r>
      <w:r w:rsidRPr="00873FEC">
        <w:rPr>
          <w:rFonts w:ascii="Verdana" w:eastAsia="Batang" w:hAnsi="Verdana" w:cs="Times"/>
          <w:sz w:val="20"/>
          <w:szCs w:val="20"/>
          <w:lang w:eastAsia="es-CR"/>
        </w:rPr>
        <w:t>.</w:t>
      </w:r>
    </w:p>
    <w:p w:rsidR="00467331" w:rsidRPr="00873FEC" w:rsidRDefault="00467331" w:rsidP="00126E97">
      <w:pPr>
        <w:spacing w:after="0" w:line="20" w:lineRule="atLeast"/>
        <w:ind w:right="-138"/>
        <w:jc w:val="both"/>
        <w:rPr>
          <w:rFonts w:ascii="Verdana" w:eastAsia="Batang" w:hAnsi="Verdana" w:cs="Times"/>
          <w:sz w:val="20"/>
          <w:szCs w:val="24"/>
          <w:lang w:val="es-CR" w:eastAsia="es-CR"/>
        </w:rPr>
      </w:pPr>
    </w:p>
    <w:p w:rsidR="00467331" w:rsidRPr="00873FEC" w:rsidRDefault="00467331"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Este Tribunal, luego de formular consideraciones generales sobre los derechos aludidos, examinará la aducida violación a derechos de personas que murieron o resultaron heridas en la masacre</w:t>
      </w:r>
      <w:r w:rsidRPr="00873FEC">
        <w:rPr>
          <w:rFonts w:ascii="Verdana" w:eastAsia="Batang" w:hAnsi="Verdana" w:cs="Times New Roman"/>
          <w:sz w:val="20"/>
          <w:szCs w:val="20"/>
          <w:vertAlign w:val="superscript"/>
          <w:lang w:val="es-CR" w:eastAsia="es-CR"/>
        </w:rPr>
        <w:footnoteReference w:id="164"/>
      </w:r>
      <w:r w:rsidRPr="00873FEC">
        <w:rPr>
          <w:rFonts w:ascii="Verdana" w:eastAsia="Batang" w:hAnsi="Verdana" w:cs="Times"/>
          <w:sz w:val="20"/>
          <w:szCs w:val="20"/>
          <w:lang w:val="es-CR" w:eastAsia="es-CR"/>
        </w:rPr>
        <w:t xml:space="preserve">. </w:t>
      </w:r>
    </w:p>
    <w:p w:rsidR="00467331" w:rsidRPr="00873FEC" w:rsidRDefault="00467331" w:rsidP="00126E97">
      <w:pPr>
        <w:spacing w:after="0" w:line="20" w:lineRule="atLeast"/>
        <w:ind w:right="-138"/>
        <w:jc w:val="both"/>
        <w:rPr>
          <w:rFonts w:ascii="Verdana" w:eastAsia="Batang" w:hAnsi="Verdana" w:cs="Times"/>
          <w:sz w:val="20"/>
          <w:szCs w:val="24"/>
          <w:lang w:val="es-CR" w:eastAsia="es-CR"/>
        </w:rPr>
      </w:pPr>
    </w:p>
    <w:p w:rsidR="00467331" w:rsidRPr="00873FEC" w:rsidRDefault="00467331" w:rsidP="00126E97">
      <w:pPr>
        <w:pStyle w:val="Heading3"/>
        <w:spacing w:before="0" w:line="20" w:lineRule="atLeast"/>
        <w:ind w:left="567"/>
        <w:jc w:val="both"/>
        <w:rPr>
          <w:rFonts w:ascii="Verdana" w:eastAsia="Batang" w:hAnsi="Verdana" w:cs="Times"/>
          <w:b w:val="0"/>
          <w:i/>
          <w:sz w:val="20"/>
          <w:szCs w:val="24"/>
          <w:lang w:val="es-CR" w:eastAsia="es-CR"/>
        </w:rPr>
      </w:pPr>
      <w:bookmarkStart w:id="168" w:name="_Toc525201180"/>
      <w:r w:rsidRPr="00873FEC">
        <w:rPr>
          <w:rFonts w:ascii="Verdana" w:eastAsia="Batang" w:hAnsi="Verdana" w:cs="Times"/>
          <w:b w:val="0"/>
          <w:i/>
          <w:color w:val="auto"/>
          <w:sz w:val="20"/>
          <w:szCs w:val="24"/>
          <w:lang w:val="es-CR" w:eastAsia="es-CR"/>
        </w:rPr>
        <w:t xml:space="preserve">B.1. </w:t>
      </w:r>
      <w:r w:rsidRPr="00873FEC">
        <w:rPr>
          <w:rFonts w:ascii="Verdana" w:eastAsia="Batang" w:hAnsi="Verdana" w:cs="Times"/>
          <w:b w:val="0"/>
          <w:i/>
          <w:color w:val="auto"/>
          <w:sz w:val="20"/>
          <w:szCs w:val="24"/>
          <w:u w:val="single"/>
          <w:lang w:val="es-CR" w:eastAsia="es-CR"/>
        </w:rPr>
        <w:t>Consideraciones generales</w:t>
      </w:r>
      <w:bookmarkEnd w:id="168"/>
    </w:p>
    <w:p w:rsidR="00467331" w:rsidRPr="00873FEC" w:rsidRDefault="00467331" w:rsidP="00126E97">
      <w:pPr>
        <w:spacing w:after="0" w:line="20" w:lineRule="atLeast"/>
        <w:ind w:right="-138"/>
        <w:jc w:val="both"/>
        <w:rPr>
          <w:rFonts w:ascii="Verdana" w:eastAsia="Batang" w:hAnsi="Verdana" w:cs="Times"/>
          <w:sz w:val="20"/>
          <w:szCs w:val="24"/>
          <w:lang w:val="es-CR" w:eastAsia="es-CR"/>
        </w:rPr>
      </w:pPr>
    </w:p>
    <w:p w:rsidR="00467331" w:rsidRPr="00873FEC" w:rsidRDefault="00467331"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New Roman"/>
          <w:sz w:val="20"/>
          <w:szCs w:val="20"/>
          <w:lang w:val="es-CR" w:eastAsia="es-CR"/>
        </w:rPr>
        <w:t>El derecho a la vida resulta fundamental en la Convención por ser el presupuesto esencial para el ejercicio de los demás derechos</w:t>
      </w:r>
      <w:r w:rsidRPr="00873FEC">
        <w:rPr>
          <w:rFonts w:ascii="Verdana" w:eastAsia="Batang" w:hAnsi="Verdana" w:cs="Times New Roman"/>
          <w:sz w:val="20"/>
          <w:szCs w:val="20"/>
          <w:vertAlign w:val="superscript"/>
          <w:lang w:val="es-CR" w:eastAsia="x-none"/>
        </w:rPr>
        <w:footnoteReference w:id="165"/>
      </w:r>
      <w:r w:rsidRPr="00873FEC">
        <w:rPr>
          <w:rFonts w:ascii="Verdana" w:eastAsia="Batang" w:hAnsi="Verdana" w:cs="Times New Roman"/>
          <w:sz w:val="20"/>
          <w:szCs w:val="20"/>
          <w:lang w:val="es-CR" w:eastAsia="es-CR"/>
        </w:rPr>
        <w:t xml:space="preserve">. La observancia del artículo 4, relacionado con el artículo 1.1 de la Convención Americana, no solo presupone que </w:t>
      </w:r>
      <w:r w:rsidRPr="00873FEC">
        <w:rPr>
          <w:rFonts w:ascii="Verdana" w:eastAsia="Batang" w:hAnsi="Verdana" w:cs="Times New Roman"/>
          <w:sz w:val="20"/>
          <w:szCs w:val="20"/>
          <w:lang w:val="es-CR" w:eastAsia="es-CR"/>
        </w:rPr>
        <w:lastRenderedPageBreak/>
        <w:t>ninguna persona sea privada de su vida arbitrariamente (obligación negativa), sino que además requiere que los Estados adopten todas las medidas apropiadas para proteger y preservar el derecho a la vida (obligación positiva)</w:t>
      </w:r>
      <w:r w:rsidRPr="00873FEC">
        <w:rPr>
          <w:rFonts w:ascii="Verdana" w:eastAsia="Batang" w:hAnsi="Verdana" w:cs="Times New Roman"/>
          <w:sz w:val="20"/>
          <w:szCs w:val="20"/>
          <w:vertAlign w:val="superscript"/>
          <w:lang w:val="es-CR" w:eastAsia="x-none"/>
        </w:rPr>
        <w:footnoteReference w:id="166"/>
      </w:r>
      <w:r w:rsidRPr="00873FEC">
        <w:rPr>
          <w:rFonts w:ascii="Verdana" w:eastAsia="Batang" w:hAnsi="Verdana" w:cs="Times New Roman"/>
          <w:sz w:val="20"/>
          <w:szCs w:val="20"/>
          <w:lang w:val="es-CR" w:eastAsia="es-CR"/>
        </w:rPr>
        <w:t>, conforme al deber de garantizar el pleno y libre ejercicio de los derechos de todas las personas bajo su jurisdicción</w:t>
      </w:r>
      <w:r w:rsidRPr="00873FEC">
        <w:rPr>
          <w:rFonts w:ascii="Verdana" w:eastAsia="Batang" w:hAnsi="Verdana" w:cs="Times New Roman"/>
          <w:sz w:val="20"/>
          <w:szCs w:val="20"/>
          <w:vertAlign w:val="superscript"/>
          <w:lang w:val="es-CR" w:eastAsia="x-none"/>
        </w:rPr>
        <w:footnoteReference w:id="167"/>
      </w:r>
      <w:r w:rsidRPr="00873FEC">
        <w:rPr>
          <w:rFonts w:ascii="Verdana" w:eastAsia="Batang" w:hAnsi="Verdana" w:cs="Times New Roman"/>
          <w:sz w:val="20"/>
          <w:szCs w:val="20"/>
          <w:lang w:val="es-CR" w:eastAsia="es-CR"/>
        </w:rPr>
        <w:t>. La protección activa del derecho a la vida involucra a toda institución estatal, inclusive a quienes deben resguardar la seguridad, ya sea que se trate de fuerzas de policía o fuerzas armadas</w:t>
      </w:r>
      <w:r w:rsidRPr="00873FEC">
        <w:rPr>
          <w:rFonts w:ascii="Verdana" w:eastAsia="Batang" w:hAnsi="Verdana" w:cs="Times New Roman"/>
          <w:sz w:val="20"/>
          <w:szCs w:val="20"/>
          <w:vertAlign w:val="superscript"/>
          <w:lang w:val="es-CR" w:eastAsia="x-none"/>
        </w:rPr>
        <w:footnoteReference w:id="168"/>
      </w:r>
      <w:r w:rsidRPr="00873FEC">
        <w:rPr>
          <w:rFonts w:ascii="Verdana" w:eastAsia="Batang" w:hAnsi="Verdana" w:cs="Times New Roman"/>
          <w:sz w:val="20"/>
          <w:szCs w:val="20"/>
          <w:lang w:val="es-CR" w:eastAsia="es-CR"/>
        </w:rPr>
        <w:t>.</w:t>
      </w:r>
      <w:r w:rsidRPr="00873FEC">
        <w:rPr>
          <w:rFonts w:ascii="Verdana" w:eastAsia="Batang" w:hAnsi="Verdana" w:cs="Times"/>
          <w:sz w:val="20"/>
          <w:szCs w:val="24"/>
          <w:lang w:val="es-CR" w:eastAsia="es-CR"/>
        </w:rPr>
        <w:t xml:space="preserve"> Es </w:t>
      </w:r>
      <w:r w:rsidRPr="00873FEC">
        <w:rPr>
          <w:rFonts w:ascii="Verdana" w:eastAsia="Batang" w:hAnsi="Verdana" w:cs="Times New Roman"/>
          <w:sz w:val="20"/>
          <w:szCs w:val="20"/>
          <w:lang w:val="es-CR" w:eastAsia="es-CR"/>
        </w:rPr>
        <w:t>contraria a la Convención aquella privación de la vida que sea producto de la utilización de la fuerza de forma ilegítima, excesiva o desproporcionada</w:t>
      </w:r>
      <w:r w:rsidRPr="00873FEC">
        <w:rPr>
          <w:rFonts w:ascii="Calibri" w:eastAsia="Batang" w:hAnsi="Calibri" w:cs="Times New Roman"/>
          <w:vertAlign w:val="superscript"/>
          <w:lang w:val="es-CR" w:eastAsia="x-none"/>
        </w:rPr>
        <w:footnoteReference w:id="169"/>
      </w:r>
      <w:r w:rsidRPr="00873FEC">
        <w:rPr>
          <w:rFonts w:ascii="Verdana" w:eastAsia="Batang" w:hAnsi="Verdana" w:cs="Times New Roman"/>
          <w:sz w:val="20"/>
          <w:szCs w:val="20"/>
          <w:lang w:val="es-CR" w:eastAsia="es-CR"/>
        </w:rPr>
        <w:t>.</w:t>
      </w:r>
    </w:p>
    <w:p w:rsidR="00467331" w:rsidRPr="00873FEC" w:rsidRDefault="00467331" w:rsidP="00126E97">
      <w:pPr>
        <w:spacing w:after="0" w:line="20" w:lineRule="atLeast"/>
        <w:ind w:right="-138"/>
        <w:jc w:val="both"/>
        <w:rPr>
          <w:rFonts w:ascii="Verdana" w:eastAsia="Batang" w:hAnsi="Verdana" w:cs="Times"/>
          <w:sz w:val="20"/>
          <w:szCs w:val="24"/>
          <w:lang w:val="es-CR" w:eastAsia="es-CR"/>
        </w:rPr>
      </w:pPr>
    </w:p>
    <w:p w:rsidR="00467331" w:rsidRPr="00873FEC" w:rsidRDefault="00467331"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New Roman"/>
          <w:sz w:val="20"/>
          <w:szCs w:val="20"/>
          <w:lang w:val="es-CR" w:eastAsia="es-CR"/>
        </w:rPr>
        <w:t>Por otra parte, la Convención Americana reconoce expresamente el derecho a la integridad personal, física y psíquica, cuya infracción “es una clase de violación que tiene diversas connotaciones de grado y […] cuyas secuelas físicas y psíquicas varían de intensidad según los factores endógenos y exógenos que deberán ser demostrados en cada situación concreta”</w:t>
      </w:r>
      <w:r w:rsidRPr="00873FEC">
        <w:rPr>
          <w:rFonts w:ascii="Verdana" w:eastAsia="Batang" w:hAnsi="Verdana" w:cs="Times New Roman"/>
          <w:sz w:val="20"/>
          <w:szCs w:val="20"/>
          <w:vertAlign w:val="superscript"/>
          <w:lang w:val="es-CR" w:eastAsia="x-none"/>
        </w:rPr>
        <w:footnoteReference w:id="170"/>
      </w:r>
      <w:r w:rsidRPr="00873FEC">
        <w:rPr>
          <w:rFonts w:ascii="Verdana" w:eastAsia="Batang" w:hAnsi="Verdana" w:cs="Times New Roman"/>
          <w:sz w:val="20"/>
          <w:szCs w:val="20"/>
          <w:lang w:val="es-CR" w:eastAsia="es-CR"/>
        </w:rPr>
        <w:t>. Rigen respecto al derecho a la integridad personal los deberes de respeto y garantía señalados respecto del derecho a la vida.</w:t>
      </w:r>
    </w:p>
    <w:p w:rsidR="00467331" w:rsidRPr="00873FEC" w:rsidRDefault="00467331" w:rsidP="00126E97">
      <w:pPr>
        <w:spacing w:after="0" w:line="20" w:lineRule="atLeast"/>
        <w:ind w:left="720"/>
        <w:contextualSpacing/>
        <w:rPr>
          <w:rFonts w:ascii="Calibri" w:eastAsia="Calibri" w:hAnsi="Calibri" w:cs="Times New Roman"/>
          <w:szCs w:val="20"/>
          <w:lang w:val="es-CR" w:eastAsia="es-CR"/>
        </w:rPr>
      </w:pPr>
      <w:bookmarkStart w:id="169" w:name="_Toc520207603"/>
      <w:bookmarkEnd w:id="169"/>
    </w:p>
    <w:p w:rsidR="00467331" w:rsidRPr="00873FEC" w:rsidRDefault="00467331" w:rsidP="00126E97">
      <w:pPr>
        <w:numPr>
          <w:ilvl w:val="0"/>
          <w:numId w:val="3"/>
        </w:numPr>
        <w:spacing w:after="0" w:line="20" w:lineRule="atLeast"/>
        <w:ind w:right="-138"/>
        <w:jc w:val="both"/>
        <w:rPr>
          <w:rFonts w:ascii="Verdana" w:eastAsia="Batang" w:hAnsi="Verdana" w:cs="Times"/>
          <w:strike/>
          <w:sz w:val="20"/>
          <w:szCs w:val="24"/>
          <w:lang w:val="es-CR" w:eastAsia="es-CR"/>
        </w:rPr>
      </w:pPr>
      <w:r w:rsidRPr="00873FEC">
        <w:rPr>
          <w:rFonts w:ascii="Verdana" w:eastAsia="Batang" w:hAnsi="Verdana" w:cs="Times New Roman"/>
          <w:sz w:val="20"/>
          <w:szCs w:val="20"/>
          <w:lang w:val="es-CR" w:eastAsia="es-CR"/>
        </w:rPr>
        <w:t xml:space="preserve">En el caso, el Estado no ha negado que sus agentes provocaron muertes y lesiones en los hechos ocurridos el 5 de octubre de 1995, sino que ha señalado que no es responsable porque cumplió el deber de garantizar los derechos respectivos, al investigar diligentemente los hechos y sancionar a 14 personas. En primer término, este Tribunal destaca que ya evaluó que la investigación efectuada por el Estado, pese a sus avances y determinaciones, resultó violatoria de los derechos a las garantías y protección judiciales. Por ende, no puede admitirse que, como ha sostenido el Estado, el caso haya sido ya “dilucidado en el ámbito interno” ni que Guatemala haya cumplido, por medio de una investigación, su deber de garantizar los derechos a la vida e integridad personal. Esto hace procedente que la Corte examine la vulneración aducida a tales derechos. En particular, el Tribunal puede y debe analizar si Guatemala, por medio de su personal militar, incumplió su obligación de respetar los derechos indicados.  </w:t>
      </w:r>
      <w:r w:rsidRPr="00873FEC">
        <w:rPr>
          <w:rFonts w:ascii="Verdana" w:eastAsia="Batang" w:hAnsi="Verdana" w:cs="Times New Roman"/>
          <w:strike/>
          <w:sz w:val="20"/>
          <w:szCs w:val="20"/>
          <w:lang w:val="es-CR" w:eastAsia="es-CR"/>
        </w:rPr>
        <w:t xml:space="preserve"> </w:t>
      </w:r>
    </w:p>
    <w:p w:rsidR="00467331" w:rsidRPr="00873FEC" w:rsidRDefault="00467331" w:rsidP="00126E97">
      <w:pPr>
        <w:spacing w:after="0" w:line="20" w:lineRule="atLeast"/>
        <w:jc w:val="both"/>
        <w:rPr>
          <w:rFonts w:ascii="Verdana" w:eastAsia="Batang" w:hAnsi="Verdana" w:cs="Times New Roman"/>
          <w:sz w:val="20"/>
          <w:szCs w:val="20"/>
          <w:lang w:val="es-CR" w:eastAsia="es-CR"/>
        </w:rPr>
      </w:pPr>
    </w:p>
    <w:p w:rsidR="00467331" w:rsidRPr="00873FEC" w:rsidRDefault="00467331" w:rsidP="00126E97">
      <w:pPr>
        <w:pStyle w:val="Heading3"/>
        <w:spacing w:before="0" w:line="20" w:lineRule="atLeast"/>
        <w:ind w:left="567"/>
        <w:jc w:val="both"/>
        <w:rPr>
          <w:rFonts w:ascii="Verdana" w:eastAsia="Batang" w:hAnsi="Verdana" w:cs="Times New Roman"/>
          <w:b w:val="0"/>
          <w:i/>
          <w:color w:val="auto"/>
          <w:sz w:val="20"/>
          <w:szCs w:val="20"/>
          <w:lang w:val="es-CR" w:eastAsia="es-CR"/>
        </w:rPr>
      </w:pPr>
      <w:bookmarkStart w:id="170" w:name="_Toc525201181"/>
      <w:r w:rsidRPr="00873FEC">
        <w:rPr>
          <w:rFonts w:ascii="Verdana" w:eastAsia="Batang" w:hAnsi="Verdana" w:cs="Times New Roman"/>
          <w:b w:val="0"/>
          <w:i/>
          <w:color w:val="auto"/>
          <w:sz w:val="20"/>
          <w:szCs w:val="20"/>
          <w:lang w:val="es-CR" w:eastAsia="es-CR"/>
        </w:rPr>
        <w:t xml:space="preserve">B.2. </w:t>
      </w:r>
      <w:r w:rsidRPr="00873FEC">
        <w:rPr>
          <w:rFonts w:ascii="Verdana" w:eastAsia="Batang" w:hAnsi="Verdana" w:cs="Times New Roman"/>
          <w:b w:val="0"/>
          <w:i/>
          <w:color w:val="auto"/>
          <w:sz w:val="20"/>
          <w:szCs w:val="20"/>
          <w:u w:val="single"/>
          <w:lang w:val="es-CR" w:eastAsia="es-CR"/>
        </w:rPr>
        <w:t>Derechos a la vida e integridad personal</w:t>
      </w:r>
      <w:bookmarkEnd w:id="170"/>
    </w:p>
    <w:p w:rsidR="00467331" w:rsidRPr="00873FEC" w:rsidRDefault="00467331" w:rsidP="00126E97">
      <w:pPr>
        <w:spacing w:after="0" w:line="20" w:lineRule="atLeast"/>
        <w:jc w:val="both"/>
        <w:rPr>
          <w:rFonts w:ascii="Verdana" w:eastAsia="Batang" w:hAnsi="Verdana" w:cs="Times New Roman"/>
          <w:sz w:val="20"/>
          <w:szCs w:val="20"/>
          <w:lang w:val="es-CR" w:eastAsia="es-CR"/>
        </w:rPr>
      </w:pPr>
    </w:p>
    <w:p w:rsidR="00467331" w:rsidRPr="00873FEC" w:rsidRDefault="00467331"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New Roman"/>
          <w:sz w:val="20"/>
          <w:szCs w:val="20"/>
          <w:lang w:val="es-CR" w:eastAsia="es-CR"/>
        </w:rPr>
        <w:t>Ahora bien, en el caso el Estado destacó la condena firme a la que arribaron sus órganos judiciales. Por tanto, Guatemala no cuestiona esa determinación, como tampoco la Comisión o los representantes. Pues bien, el 8 de julio de 2004 se condenó a militares</w:t>
      </w:r>
      <w:r w:rsidR="00731642" w:rsidRPr="00873FEC">
        <w:rPr>
          <w:rFonts w:ascii="Verdana" w:eastAsia="Batang" w:hAnsi="Verdana" w:cs="Times New Roman"/>
          <w:sz w:val="20"/>
          <w:szCs w:val="20"/>
          <w:lang w:val="es-CR" w:eastAsia="es-CR"/>
        </w:rPr>
        <w:t xml:space="preserve"> (</w:t>
      </w:r>
      <w:r w:rsidR="00731642" w:rsidRPr="00873FEC">
        <w:rPr>
          <w:rFonts w:ascii="Verdana" w:eastAsia="Batang" w:hAnsi="Verdana" w:cs="Times New Roman"/>
          <w:i/>
          <w:sz w:val="20"/>
          <w:szCs w:val="20"/>
          <w:lang w:val="es-CR" w:eastAsia="es-CR"/>
        </w:rPr>
        <w:t>supra</w:t>
      </w:r>
      <w:r w:rsidR="00731642" w:rsidRPr="00873FEC">
        <w:rPr>
          <w:rFonts w:ascii="Verdana" w:eastAsia="Batang" w:hAnsi="Verdana" w:cs="Times New Roman"/>
          <w:sz w:val="20"/>
          <w:szCs w:val="20"/>
          <w:lang w:val="es-CR" w:eastAsia="es-CR"/>
        </w:rPr>
        <w:t xml:space="preserve"> párr. 64)</w:t>
      </w:r>
      <w:r w:rsidRPr="00873FEC">
        <w:rPr>
          <w:rFonts w:ascii="Verdana" w:eastAsia="Batang" w:hAnsi="Verdana" w:cs="Times New Roman"/>
          <w:sz w:val="20"/>
          <w:szCs w:val="20"/>
          <w:lang w:val="es-CR" w:eastAsia="es-CR"/>
        </w:rPr>
        <w:t>, “en calidad de autores materiales”, por el delito de “ejecución extrajudicial” en el “grado de consumación, en contra del bien jurídico tutelado [….] vida”, y “del delito de lesiones graves en contra de la integridad física”. Esa decisión fue ratificada, luego de que se presentaran recursos de apelación y casación, y quedó firme</w:t>
      </w:r>
      <w:r w:rsidR="00E379BE" w:rsidRPr="00873FEC">
        <w:rPr>
          <w:rFonts w:ascii="Verdana" w:eastAsia="Batang" w:hAnsi="Verdana" w:cs="Times New Roman"/>
          <w:sz w:val="20"/>
          <w:szCs w:val="20"/>
          <w:lang w:val="es-CR" w:eastAsia="es-CR"/>
        </w:rPr>
        <w:t xml:space="preserve"> (</w:t>
      </w:r>
      <w:r w:rsidR="00E379BE" w:rsidRPr="00873FEC">
        <w:rPr>
          <w:rFonts w:ascii="Verdana" w:eastAsia="Batang" w:hAnsi="Verdana" w:cs="Times New Roman"/>
          <w:i/>
          <w:sz w:val="20"/>
          <w:szCs w:val="20"/>
          <w:lang w:val="es-CR" w:eastAsia="es-CR"/>
        </w:rPr>
        <w:t>supra</w:t>
      </w:r>
      <w:r w:rsidR="00E379BE" w:rsidRPr="00873FEC">
        <w:rPr>
          <w:rFonts w:ascii="Verdana" w:eastAsia="Batang" w:hAnsi="Verdana" w:cs="Times New Roman"/>
          <w:sz w:val="20"/>
          <w:szCs w:val="20"/>
          <w:lang w:val="es-CR" w:eastAsia="es-CR"/>
        </w:rPr>
        <w:t xml:space="preserve"> párr. </w:t>
      </w:r>
      <w:r w:rsidR="00731642" w:rsidRPr="00873FEC">
        <w:rPr>
          <w:rFonts w:ascii="Verdana" w:eastAsia="Batang" w:hAnsi="Verdana" w:cs="Times New Roman"/>
          <w:sz w:val="20"/>
          <w:szCs w:val="20"/>
          <w:lang w:val="es-CR" w:eastAsia="es-CR"/>
        </w:rPr>
        <w:t>65</w:t>
      </w:r>
      <w:r w:rsidR="00E379BE" w:rsidRPr="00873FEC">
        <w:rPr>
          <w:rFonts w:ascii="Verdana" w:eastAsia="Batang" w:hAnsi="Verdana" w:cs="Times New Roman"/>
          <w:sz w:val="20"/>
          <w:szCs w:val="20"/>
          <w:lang w:val="es-CR" w:eastAsia="es-CR"/>
        </w:rPr>
        <w:t>)</w:t>
      </w:r>
      <w:r w:rsidRPr="00873FEC">
        <w:rPr>
          <w:rFonts w:ascii="Verdana" w:eastAsia="Batang" w:hAnsi="Verdana" w:cs="Times New Roman"/>
          <w:sz w:val="20"/>
          <w:szCs w:val="20"/>
          <w:lang w:val="es-CR" w:eastAsia="es-CR"/>
        </w:rPr>
        <w:t xml:space="preserve">. </w:t>
      </w:r>
    </w:p>
    <w:p w:rsidR="00467331" w:rsidRPr="00873FEC" w:rsidRDefault="00467331" w:rsidP="00126E97">
      <w:pPr>
        <w:spacing w:after="0" w:line="20" w:lineRule="atLeast"/>
        <w:ind w:left="720"/>
        <w:contextualSpacing/>
        <w:rPr>
          <w:rFonts w:ascii="Calibri" w:eastAsia="Calibri" w:hAnsi="Calibri" w:cs="Times New Roman"/>
          <w:szCs w:val="20"/>
          <w:lang w:val="es-CR" w:eastAsia="es-CR"/>
        </w:rPr>
      </w:pPr>
    </w:p>
    <w:p w:rsidR="00467331" w:rsidRPr="00873FEC" w:rsidRDefault="00467331"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New Roman"/>
          <w:sz w:val="20"/>
          <w:szCs w:val="20"/>
          <w:lang w:val="es-CR" w:eastAsia="es-CR"/>
        </w:rPr>
        <w:lastRenderedPageBreak/>
        <w:t>Teniendo en cuenta lo anterior, no surge elemento alguno de justificación del uso de fuerza letal por parte de militares, que fue considerado delictivo por las autoridades judiciales guatemaltecas</w:t>
      </w:r>
      <w:r w:rsidRPr="00873FEC">
        <w:rPr>
          <w:rFonts w:ascii="Verdana" w:eastAsia="Batang" w:hAnsi="Verdana" w:cs="Times New Roman"/>
          <w:sz w:val="20"/>
          <w:szCs w:val="20"/>
          <w:vertAlign w:val="superscript"/>
          <w:lang w:val="es-CR" w:eastAsia="x-none"/>
        </w:rPr>
        <w:footnoteReference w:id="171"/>
      </w:r>
      <w:r w:rsidRPr="00873FEC">
        <w:rPr>
          <w:rFonts w:ascii="Verdana" w:eastAsia="Batang" w:hAnsi="Verdana" w:cs="Times New Roman"/>
          <w:sz w:val="20"/>
          <w:szCs w:val="20"/>
          <w:lang w:val="es-CR" w:eastAsia="es-CR"/>
        </w:rPr>
        <w:t>. De los hechos acreditados surge que varias personas, según se refirió (</w:t>
      </w:r>
      <w:r w:rsidRPr="00873FEC">
        <w:rPr>
          <w:rFonts w:ascii="Verdana" w:eastAsia="Batang" w:hAnsi="Verdana" w:cs="Times New Roman"/>
          <w:i/>
          <w:sz w:val="20"/>
          <w:szCs w:val="20"/>
          <w:lang w:val="es-CR" w:eastAsia="es-CR"/>
        </w:rPr>
        <w:t>supra</w:t>
      </w:r>
      <w:r w:rsidRPr="00873FEC">
        <w:rPr>
          <w:rFonts w:ascii="Verdana" w:eastAsia="Batang" w:hAnsi="Verdana" w:cs="Times New Roman"/>
          <w:sz w:val="20"/>
          <w:szCs w:val="20"/>
          <w:lang w:val="es-CR" w:eastAsia="es-CR"/>
        </w:rPr>
        <w:t xml:space="preserve"> párr. </w:t>
      </w:r>
      <w:r w:rsidR="00731642" w:rsidRPr="00873FEC">
        <w:rPr>
          <w:rFonts w:ascii="Verdana" w:eastAsia="Batang" w:hAnsi="Verdana" w:cs="Times New Roman"/>
          <w:sz w:val="20"/>
          <w:szCs w:val="20"/>
          <w:lang w:val="es-CR" w:eastAsia="es-CR"/>
        </w:rPr>
        <w:t>37</w:t>
      </w:r>
      <w:r w:rsidRPr="00873FEC">
        <w:rPr>
          <w:rFonts w:ascii="Verdana" w:eastAsia="Batang" w:hAnsi="Verdana" w:cs="Times New Roman"/>
          <w:sz w:val="20"/>
          <w:szCs w:val="20"/>
          <w:lang w:val="es-CR" w:eastAsia="es-CR"/>
        </w:rPr>
        <w:t>) y se precisa más adelante (</w:t>
      </w:r>
      <w:r w:rsidRPr="00873FEC">
        <w:rPr>
          <w:rFonts w:ascii="Verdana" w:eastAsia="Batang" w:hAnsi="Verdana" w:cs="Times New Roman"/>
          <w:i/>
          <w:sz w:val="20"/>
          <w:szCs w:val="20"/>
          <w:lang w:val="es-CR" w:eastAsia="es-CR"/>
        </w:rPr>
        <w:t>infra</w:t>
      </w:r>
      <w:r w:rsidRPr="00873FEC">
        <w:rPr>
          <w:rFonts w:ascii="Verdana" w:eastAsia="Batang" w:hAnsi="Verdana" w:cs="Times New Roman"/>
          <w:sz w:val="20"/>
          <w:szCs w:val="20"/>
          <w:lang w:val="es-CR" w:eastAsia="es-CR"/>
        </w:rPr>
        <w:t xml:space="preserve"> </w:t>
      </w:r>
      <w:r w:rsidR="006F430C">
        <w:rPr>
          <w:rFonts w:ascii="Verdana" w:eastAsia="Batang" w:hAnsi="Verdana" w:cs="Times"/>
          <w:color w:val="1A1A1A"/>
          <w:sz w:val="20"/>
          <w:szCs w:val="20"/>
          <w:lang w:eastAsia="es-CR"/>
        </w:rPr>
        <w:t>Anexos B.2, B.3 y B.4 de</w:t>
      </w:r>
      <w:r w:rsidRPr="00873FEC">
        <w:rPr>
          <w:rFonts w:ascii="Verdana" w:eastAsia="Batang" w:hAnsi="Verdana" w:cs="Times"/>
          <w:color w:val="1A1A1A"/>
          <w:sz w:val="20"/>
          <w:szCs w:val="20"/>
          <w:lang w:eastAsia="es-CR"/>
        </w:rPr>
        <w:t xml:space="preserve"> la presente Sentencia</w:t>
      </w:r>
      <w:r w:rsidRPr="00873FEC">
        <w:rPr>
          <w:rFonts w:ascii="Verdana" w:eastAsia="Batang" w:hAnsi="Verdana" w:cs="Times New Roman"/>
          <w:sz w:val="20"/>
          <w:szCs w:val="20"/>
          <w:lang w:val="es-CR" w:eastAsia="es-CR"/>
        </w:rPr>
        <w:t xml:space="preserve">), resultaron muertas y heridas a causa de lo acontecido. Por tanto, según cada caso, Guatemala violó en su perjuicio los derechos a la vida e integridad personal.  </w:t>
      </w:r>
    </w:p>
    <w:p w:rsidR="00467331" w:rsidRPr="00873FEC" w:rsidRDefault="00467331" w:rsidP="00126E97">
      <w:pPr>
        <w:spacing w:after="0" w:line="20" w:lineRule="atLeast"/>
        <w:ind w:right="-138"/>
        <w:jc w:val="both"/>
        <w:rPr>
          <w:rFonts w:ascii="Verdana" w:eastAsia="Batang" w:hAnsi="Verdana" w:cs="Times"/>
          <w:sz w:val="20"/>
          <w:szCs w:val="24"/>
          <w:lang w:val="es-CR" w:eastAsia="es-CR"/>
        </w:rPr>
      </w:pPr>
    </w:p>
    <w:p w:rsidR="00467331" w:rsidRPr="00873FEC" w:rsidRDefault="00467331" w:rsidP="00126E97">
      <w:pPr>
        <w:numPr>
          <w:ilvl w:val="0"/>
          <w:numId w:val="3"/>
        </w:numPr>
        <w:spacing w:after="0" w:line="20" w:lineRule="atLeast"/>
        <w:contextualSpacing/>
        <w:jc w:val="both"/>
        <w:rPr>
          <w:rFonts w:ascii="Verdana" w:eastAsia="Calibri" w:hAnsi="Verdana" w:cs="Times"/>
          <w:color w:val="1A1A1A"/>
          <w:sz w:val="20"/>
          <w:szCs w:val="20"/>
          <w:lang w:eastAsia="es-CR"/>
        </w:rPr>
      </w:pPr>
      <w:r w:rsidRPr="00873FEC">
        <w:rPr>
          <w:rFonts w:ascii="Verdana" w:eastAsia="Calibri" w:hAnsi="Verdana" w:cs="Times"/>
          <w:color w:val="1A1A1A"/>
          <w:sz w:val="20"/>
          <w:szCs w:val="20"/>
          <w:lang w:eastAsia="es-CR"/>
        </w:rPr>
        <w:t xml:space="preserve">Ahora bien, respecto a Santiago </w:t>
      </w:r>
      <w:proofErr w:type="spellStart"/>
      <w:r w:rsidRPr="00873FEC">
        <w:rPr>
          <w:rFonts w:ascii="Verdana" w:eastAsia="Calibri" w:hAnsi="Verdana" w:cs="Times"/>
          <w:color w:val="1A1A1A"/>
          <w:sz w:val="20"/>
          <w:szCs w:val="20"/>
          <w:lang w:eastAsia="es-CR"/>
        </w:rPr>
        <w:t>Maquín</w:t>
      </w:r>
      <w:proofErr w:type="spellEnd"/>
      <w:r w:rsidR="00D2259F">
        <w:rPr>
          <w:rFonts w:ascii="Verdana" w:eastAsia="Calibri" w:hAnsi="Verdana" w:cs="Times"/>
          <w:color w:val="1A1A1A"/>
          <w:sz w:val="20"/>
          <w:szCs w:val="20"/>
          <w:lang w:eastAsia="es-CR"/>
        </w:rPr>
        <w:t xml:space="preserve"> </w:t>
      </w:r>
      <w:proofErr w:type="spellStart"/>
      <w:r w:rsidR="00D2259F">
        <w:rPr>
          <w:rFonts w:ascii="Verdana" w:eastAsia="Calibri" w:hAnsi="Verdana" w:cs="Times"/>
          <w:color w:val="1A1A1A"/>
          <w:sz w:val="20"/>
          <w:szCs w:val="20"/>
          <w:lang w:eastAsia="es-CR"/>
        </w:rPr>
        <w:t>Quip</w:t>
      </w:r>
      <w:proofErr w:type="spellEnd"/>
      <w:r w:rsidRPr="00873FEC">
        <w:rPr>
          <w:rFonts w:ascii="Verdana" w:eastAsia="Calibri" w:hAnsi="Verdana" w:cs="Times"/>
          <w:color w:val="1A1A1A"/>
          <w:sz w:val="20"/>
          <w:szCs w:val="20"/>
          <w:lang w:eastAsia="es-CR"/>
        </w:rPr>
        <w:t>, Gerardo Maldonado Sales y Rosendo Morales Ortiz, se adujo la violación tanto a su derecho a la vida como a su derecho a la integridad personal, pues resultaron heridos y luego murieron. No obstante, no resulta acreditado que las causas de sus muertes, producidas no menos de ocho años después de los hechos, tuvieran un nexo causal con las heridas sufridas</w:t>
      </w:r>
      <w:r w:rsidRPr="00873FEC">
        <w:rPr>
          <w:rFonts w:ascii="Verdana" w:eastAsia="Calibri" w:hAnsi="Verdana" w:cs="Times New Roman"/>
          <w:color w:val="1A1A1A"/>
          <w:szCs w:val="20"/>
          <w:vertAlign w:val="superscript"/>
          <w:lang w:eastAsia="x-none"/>
        </w:rPr>
        <w:footnoteReference w:id="172"/>
      </w:r>
      <w:r w:rsidRPr="00873FEC">
        <w:rPr>
          <w:rFonts w:ascii="Verdana" w:eastAsia="Calibri" w:hAnsi="Verdana" w:cs="Times"/>
          <w:color w:val="1A1A1A"/>
          <w:sz w:val="20"/>
          <w:szCs w:val="20"/>
          <w:lang w:eastAsia="es-CR"/>
        </w:rPr>
        <w:t xml:space="preserve">. </w:t>
      </w:r>
      <w:bookmarkStart w:id="171" w:name="_Toc520207604"/>
      <w:bookmarkEnd w:id="171"/>
    </w:p>
    <w:p w:rsidR="00467331" w:rsidRPr="00873FEC" w:rsidRDefault="00467331" w:rsidP="00126E97">
      <w:pPr>
        <w:spacing w:after="0" w:line="20" w:lineRule="atLeast"/>
        <w:jc w:val="both"/>
        <w:rPr>
          <w:rFonts w:ascii="Verdana" w:eastAsia="Batang" w:hAnsi="Verdana" w:cs="Times New Roman"/>
          <w:sz w:val="20"/>
          <w:szCs w:val="20"/>
          <w:lang w:val="es-CR" w:eastAsia="es-CR"/>
        </w:rPr>
      </w:pPr>
    </w:p>
    <w:p w:rsidR="00467331" w:rsidRPr="00873FEC" w:rsidRDefault="00467331" w:rsidP="00126E97">
      <w:pPr>
        <w:pStyle w:val="Heading3"/>
        <w:spacing w:before="0" w:line="20" w:lineRule="atLeast"/>
        <w:ind w:left="567"/>
        <w:jc w:val="both"/>
        <w:rPr>
          <w:rFonts w:ascii="Verdana" w:eastAsia="Batang" w:hAnsi="Verdana" w:cs="Times New Roman"/>
          <w:b w:val="0"/>
          <w:i/>
          <w:color w:val="auto"/>
          <w:sz w:val="20"/>
          <w:szCs w:val="20"/>
          <w:lang w:val="es-CR" w:eastAsia="es-CR"/>
        </w:rPr>
      </w:pPr>
      <w:bookmarkStart w:id="172" w:name="_Toc525201182"/>
      <w:r w:rsidRPr="00873FEC">
        <w:rPr>
          <w:rFonts w:ascii="Verdana" w:eastAsia="Batang" w:hAnsi="Verdana" w:cs="Times New Roman"/>
          <w:b w:val="0"/>
          <w:i/>
          <w:color w:val="auto"/>
          <w:sz w:val="20"/>
          <w:szCs w:val="20"/>
          <w:lang w:val="es-CR" w:eastAsia="es-CR"/>
        </w:rPr>
        <w:t xml:space="preserve">B.3. </w:t>
      </w:r>
      <w:r w:rsidRPr="00873FEC">
        <w:rPr>
          <w:rFonts w:ascii="Verdana" w:eastAsia="Batang" w:hAnsi="Verdana" w:cs="Times New Roman"/>
          <w:b w:val="0"/>
          <w:i/>
          <w:color w:val="auto"/>
          <w:sz w:val="20"/>
          <w:szCs w:val="20"/>
          <w:u w:val="single"/>
          <w:lang w:val="es-CR" w:eastAsia="es-CR"/>
        </w:rPr>
        <w:t>Derechos del niño</w:t>
      </w:r>
      <w:bookmarkEnd w:id="172"/>
    </w:p>
    <w:p w:rsidR="00467331" w:rsidRPr="00873FEC" w:rsidRDefault="00467331" w:rsidP="00126E97">
      <w:pPr>
        <w:spacing w:after="0" w:line="20" w:lineRule="atLeast"/>
        <w:jc w:val="both"/>
        <w:rPr>
          <w:rFonts w:ascii="Verdana" w:eastAsia="Batang" w:hAnsi="Verdana" w:cs="Times New Roman"/>
          <w:sz w:val="20"/>
          <w:szCs w:val="20"/>
          <w:lang w:val="es-CR" w:eastAsia="es-CR"/>
        </w:rPr>
      </w:pPr>
    </w:p>
    <w:p w:rsidR="00467331" w:rsidRPr="00873FEC" w:rsidRDefault="00467331" w:rsidP="00126E97">
      <w:pPr>
        <w:numPr>
          <w:ilvl w:val="0"/>
          <w:numId w:val="3"/>
        </w:numPr>
        <w:spacing w:after="0" w:line="20" w:lineRule="atLeast"/>
        <w:contextualSpacing/>
        <w:jc w:val="both"/>
        <w:rPr>
          <w:rFonts w:ascii="Verdana" w:eastAsia="Calibri" w:hAnsi="Verdana" w:cs="Times"/>
          <w:color w:val="1A1A1A"/>
          <w:sz w:val="20"/>
          <w:szCs w:val="20"/>
          <w:lang w:eastAsia="es-CR"/>
        </w:rPr>
      </w:pPr>
      <w:r w:rsidRPr="00873FEC">
        <w:rPr>
          <w:rFonts w:ascii="Verdana" w:eastAsia="Calibri" w:hAnsi="Verdana" w:cs="Times New Roman"/>
          <w:sz w:val="20"/>
          <w:szCs w:val="20"/>
          <w:lang w:val="es-CR" w:eastAsia="es-CR"/>
        </w:rPr>
        <w:t>Sentado lo anterior, debe examinarse la alegación sobre violaciones a los derechos del niño. El Tribunal ha destacado que de las obligaciones generales de respetar y garantizar los derechos derivan deberes especiales, respecto a los derechos de niñas o niños, determinables en función de las particulares necesidades de protección del sujeto de derecho, ya sea por su condición personal o por la situación específica en que se encuentre</w:t>
      </w:r>
      <w:r w:rsidRPr="00873FEC">
        <w:rPr>
          <w:rFonts w:ascii="Verdana" w:eastAsia="Calibri" w:hAnsi="Verdana" w:cs="Times New Roman"/>
          <w:sz w:val="20"/>
          <w:szCs w:val="20"/>
          <w:vertAlign w:val="superscript"/>
          <w:lang w:val="es-CR" w:eastAsia="x-none"/>
        </w:rPr>
        <w:footnoteReference w:id="173"/>
      </w:r>
      <w:r w:rsidRPr="00873FEC">
        <w:rPr>
          <w:rFonts w:ascii="Verdana" w:eastAsia="Calibri" w:hAnsi="Verdana" w:cs="Times New Roman"/>
          <w:sz w:val="20"/>
          <w:szCs w:val="20"/>
          <w:lang w:val="es-CR" w:eastAsia="es-CR"/>
        </w:rPr>
        <w:t xml:space="preserve">. </w:t>
      </w:r>
    </w:p>
    <w:p w:rsidR="00467331" w:rsidRPr="00873FEC" w:rsidRDefault="00467331" w:rsidP="00126E97">
      <w:pPr>
        <w:spacing w:line="20" w:lineRule="atLeast"/>
        <w:ind w:left="720"/>
        <w:contextualSpacing/>
        <w:rPr>
          <w:rFonts w:ascii="Calibri" w:eastAsia="Calibri" w:hAnsi="Calibri" w:cs="Times New Roman"/>
          <w:szCs w:val="20"/>
          <w:lang w:val="es-CR" w:eastAsia="es-CR"/>
        </w:rPr>
      </w:pPr>
    </w:p>
    <w:p w:rsidR="00467331" w:rsidRPr="00873FEC" w:rsidRDefault="00467331" w:rsidP="00126E97">
      <w:pPr>
        <w:numPr>
          <w:ilvl w:val="0"/>
          <w:numId w:val="3"/>
        </w:numPr>
        <w:spacing w:after="0" w:line="20" w:lineRule="atLeast"/>
        <w:contextualSpacing/>
        <w:jc w:val="both"/>
        <w:rPr>
          <w:rFonts w:ascii="Verdana" w:eastAsia="Calibri" w:hAnsi="Verdana" w:cs="Times"/>
          <w:color w:val="1A1A1A"/>
          <w:sz w:val="20"/>
          <w:szCs w:val="20"/>
          <w:lang w:eastAsia="es-CR"/>
        </w:rPr>
      </w:pPr>
      <w:r w:rsidRPr="00873FEC">
        <w:rPr>
          <w:rFonts w:ascii="Verdana" w:eastAsia="Calibri" w:hAnsi="Verdana" w:cs="Times New Roman"/>
          <w:sz w:val="20"/>
          <w:szCs w:val="20"/>
          <w:lang w:val="es-CR" w:eastAsia="es-CR"/>
        </w:rPr>
        <w:t xml:space="preserve">Antes de efectuar ese examen en lo que es pertinente para las presuntas víctimas del caso, la Corte considera relevante hacer notar que un niño integraba el batallón militar que ingresó el 5 de octubre de 1995 a la finca </w:t>
      </w:r>
      <w:proofErr w:type="spellStart"/>
      <w:r w:rsidRPr="00873FEC">
        <w:rPr>
          <w:rFonts w:ascii="Verdana" w:eastAsia="Calibri" w:hAnsi="Verdana" w:cs="Times New Roman"/>
          <w:sz w:val="20"/>
          <w:szCs w:val="20"/>
          <w:lang w:val="es-CR" w:eastAsia="es-CR"/>
        </w:rPr>
        <w:t>Xamán</w:t>
      </w:r>
      <w:proofErr w:type="spellEnd"/>
      <w:r w:rsidRPr="00873FEC">
        <w:rPr>
          <w:rFonts w:ascii="Verdana" w:eastAsia="Calibri" w:hAnsi="Verdana" w:cs="Times New Roman"/>
          <w:sz w:val="20"/>
          <w:szCs w:val="20"/>
          <w:lang w:val="es-CR" w:eastAsia="es-CR"/>
        </w:rPr>
        <w:t xml:space="preserve">. Al respecto, la CEH señaló que “[e]l reclutamiento de menores quedó evidenciado durante la masacre de </w:t>
      </w:r>
      <w:proofErr w:type="spellStart"/>
      <w:r w:rsidRPr="00873FEC">
        <w:rPr>
          <w:rFonts w:ascii="Verdana" w:eastAsia="Calibri" w:hAnsi="Verdana" w:cs="Times New Roman"/>
          <w:sz w:val="20"/>
          <w:szCs w:val="20"/>
          <w:lang w:val="es-CR" w:eastAsia="es-CR"/>
        </w:rPr>
        <w:t>Xamán</w:t>
      </w:r>
      <w:proofErr w:type="spellEnd"/>
      <w:r w:rsidRPr="00873FEC">
        <w:rPr>
          <w:rFonts w:ascii="Verdana" w:eastAsia="Calibri" w:hAnsi="Verdana" w:cs="Times New Roman"/>
          <w:sz w:val="20"/>
          <w:szCs w:val="20"/>
          <w:lang w:val="es-CR" w:eastAsia="es-CR"/>
        </w:rPr>
        <w:t xml:space="preserve"> (octubre de 1995), en la cual participaron 26 miembros del Ejército, entre ellos un adolescente de 16 años que se encontraba prestando servicio en el destacamento militar de </w:t>
      </w:r>
      <w:proofErr w:type="spellStart"/>
      <w:r w:rsidRPr="00873FEC">
        <w:rPr>
          <w:rFonts w:ascii="Verdana" w:eastAsia="Calibri" w:hAnsi="Verdana" w:cs="Times New Roman"/>
          <w:sz w:val="20"/>
          <w:szCs w:val="20"/>
          <w:lang w:val="es-CR" w:eastAsia="es-CR"/>
        </w:rPr>
        <w:t>Rubelsanto</w:t>
      </w:r>
      <w:proofErr w:type="spellEnd"/>
      <w:r w:rsidRPr="00873FEC">
        <w:rPr>
          <w:rFonts w:ascii="Verdana" w:eastAsia="Calibri" w:hAnsi="Verdana" w:cs="Times New Roman"/>
          <w:sz w:val="20"/>
          <w:szCs w:val="20"/>
          <w:lang w:val="es-CR" w:eastAsia="es-CR"/>
        </w:rPr>
        <w:t>”</w:t>
      </w:r>
      <w:r w:rsidRPr="00873FEC">
        <w:rPr>
          <w:rFonts w:ascii="Verdana" w:eastAsia="Calibri" w:hAnsi="Verdana" w:cs="Times New Roman"/>
          <w:sz w:val="20"/>
          <w:szCs w:val="20"/>
          <w:vertAlign w:val="superscript"/>
          <w:lang w:val="es-CR" w:eastAsia="es-CR"/>
        </w:rPr>
        <w:footnoteReference w:id="174"/>
      </w:r>
      <w:r w:rsidRPr="00873FEC">
        <w:rPr>
          <w:rFonts w:ascii="Verdana" w:eastAsia="Calibri" w:hAnsi="Verdana" w:cs="Times New Roman"/>
          <w:sz w:val="20"/>
          <w:szCs w:val="20"/>
          <w:lang w:val="es-CR" w:eastAsia="es-CR"/>
        </w:rPr>
        <w:t xml:space="preserve">. Dicho niño no es una de las presuntas víctimas en el caso, y la Corte no puede examinar su situación. Sin perjuicio de ello, </w:t>
      </w:r>
      <w:r w:rsidRPr="00873FEC">
        <w:rPr>
          <w:rFonts w:ascii="Verdana" w:eastAsia="Calibri" w:hAnsi="Verdana" w:cs="Times New Roman"/>
          <w:sz w:val="20"/>
          <w:szCs w:val="20"/>
          <w:lang w:val="es-CR" w:eastAsia="es-CR"/>
        </w:rPr>
        <w:lastRenderedPageBreak/>
        <w:t xml:space="preserve">este Tribunal reitera que </w:t>
      </w:r>
      <w:r w:rsidRPr="00873FEC">
        <w:rPr>
          <w:rFonts w:ascii="Verdana" w:hAnsi="Verdana" w:cs="Verdana"/>
          <w:sz w:val="20"/>
          <w:szCs w:val="20"/>
          <w:lang w:val="es-CR"/>
        </w:rPr>
        <w:t>el derecho internacional de los derechos humanos exige la imposición de restricciones al reclutamiento de niños en las fuerzas armadas</w:t>
      </w:r>
      <w:r w:rsidRPr="00873FEC">
        <w:rPr>
          <w:rFonts w:ascii="Verdana" w:hAnsi="Verdana" w:cs="Times New Roman"/>
          <w:sz w:val="20"/>
          <w:szCs w:val="20"/>
          <w:vertAlign w:val="superscript"/>
          <w:lang w:val="es-CR"/>
        </w:rPr>
        <w:footnoteReference w:id="175"/>
      </w:r>
      <w:r w:rsidRPr="00873FEC">
        <w:rPr>
          <w:rFonts w:ascii="Verdana" w:hAnsi="Verdana" w:cs="Verdana"/>
          <w:sz w:val="20"/>
          <w:szCs w:val="20"/>
          <w:lang w:val="es-CR"/>
        </w:rPr>
        <w:t xml:space="preserve">. </w:t>
      </w:r>
    </w:p>
    <w:p w:rsidR="00467331" w:rsidRPr="00873FEC" w:rsidRDefault="00467331" w:rsidP="00126E97">
      <w:pPr>
        <w:spacing w:line="20" w:lineRule="atLeast"/>
        <w:ind w:left="720"/>
        <w:contextualSpacing/>
        <w:rPr>
          <w:rFonts w:ascii="Calibri" w:eastAsia="Calibri" w:hAnsi="Calibri" w:cs="Times New Roman"/>
          <w:b/>
          <w:szCs w:val="20"/>
          <w:lang w:val="es-CR" w:eastAsia="es-CR"/>
        </w:rPr>
      </w:pPr>
    </w:p>
    <w:p w:rsidR="00467331" w:rsidRPr="00873FEC" w:rsidRDefault="00467331" w:rsidP="00126E97">
      <w:pPr>
        <w:numPr>
          <w:ilvl w:val="0"/>
          <w:numId w:val="3"/>
        </w:numPr>
        <w:spacing w:after="0" w:line="20" w:lineRule="atLeast"/>
        <w:contextualSpacing/>
        <w:jc w:val="both"/>
        <w:rPr>
          <w:rFonts w:ascii="Verdana" w:eastAsia="Calibri" w:hAnsi="Verdana" w:cs="Times"/>
          <w:color w:val="1A1A1A"/>
          <w:sz w:val="20"/>
          <w:szCs w:val="20"/>
          <w:lang w:eastAsia="es-CR"/>
        </w:rPr>
      </w:pPr>
      <w:r w:rsidRPr="00873FEC">
        <w:rPr>
          <w:rFonts w:ascii="Verdana" w:eastAsia="Calibri" w:hAnsi="Verdana" w:cs="Times New Roman"/>
          <w:sz w:val="20"/>
          <w:szCs w:val="20"/>
          <w:lang w:val="es-CR" w:eastAsia="es-CR"/>
        </w:rPr>
        <w:t>Ahora bien, en relación con las presuntas víctimas de este caso, la Corte recuerda que</w:t>
      </w:r>
      <w:r w:rsidRPr="00873FEC">
        <w:rPr>
          <w:rFonts w:ascii="Verdana" w:eastAsia="Calibri" w:hAnsi="Verdana" w:cs="Times New Roman"/>
          <w:b/>
          <w:sz w:val="20"/>
          <w:szCs w:val="20"/>
          <w:lang w:val="es-CR" w:eastAsia="es-CR"/>
        </w:rPr>
        <w:t xml:space="preserve"> </w:t>
      </w:r>
      <w:r w:rsidRPr="00873FEC">
        <w:rPr>
          <w:rFonts w:ascii="Verdana" w:eastAsia="Calibri" w:hAnsi="Verdana" w:cs="Times New Roman"/>
          <w:sz w:val="20"/>
          <w:szCs w:val="20"/>
          <w:lang w:val="es-CR" w:eastAsia="es-CR"/>
        </w:rPr>
        <w:t>ha señalado que “revisten especial gravedad los casos en los cuales las víctimas de violaciones a los derechos humanos son niñas y niños”</w:t>
      </w:r>
      <w:r w:rsidRPr="00873FEC">
        <w:rPr>
          <w:rFonts w:ascii="Verdana" w:eastAsia="Calibri" w:hAnsi="Verdana" w:cs="Times New Roman"/>
          <w:sz w:val="20"/>
          <w:szCs w:val="20"/>
          <w:vertAlign w:val="superscript"/>
          <w:lang w:val="es-CR" w:eastAsia="es-CR"/>
        </w:rPr>
        <w:footnoteReference w:id="176"/>
      </w:r>
      <w:r w:rsidRPr="00873FEC">
        <w:rPr>
          <w:rFonts w:ascii="Verdana" w:eastAsia="Calibri" w:hAnsi="Verdana" w:cs="Times New Roman"/>
          <w:sz w:val="20"/>
          <w:szCs w:val="20"/>
          <w:lang w:val="es-CR" w:eastAsia="es-CR"/>
        </w:rPr>
        <w:t>. Este Tribunal, al examinar circunstancias en que hubo un agresión de fuerzas militares respecto a un grupo de personas, ha señalado “la especial vulnerabilidad” de niños y niñas “se hace aún más evidente […] pues [tales personas] son l[a]s menos preparad[a]s para adaptarse o responder a dicha situación y, […] son quienes padecen sus excesos de forma desmesurada”</w:t>
      </w:r>
      <w:r w:rsidRPr="00873FEC">
        <w:rPr>
          <w:rFonts w:ascii="Verdana" w:eastAsia="Calibri" w:hAnsi="Verdana" w:cs="Times New Roman"/>
          <w:sz w:val="20"/>
          <w:szCs w:val="20"/>
          <w:vertAlign w:val="superscript"/>
          <w:lang w:val="es-CR" w:eastAsia="es-CR"/>
        </w:rPr>
        <w:footnoteReference w:id="177"/>
      </w:r>
      <w:r w:rsidRPr="00873FEC">
        <w:rPr>
          <w:rFonts w:ascii="Verdana" w:eastAsia="Calibri" w:hAnsi="Verdana" w:cs="Times New Roman"/>
          <w:sz w:val="20"/>
          <w:szCs w:val="20"/>
          <w:lang w:val="es-CR" w:eastAsia="es-CR"/>
        </w:rPr>
        <w:t>. La Corte considera que</w:t>
      </w:r>
      <w:r w:rsidR="00900FA6">
        <w:rPr>
          <w:rFonts w:ascii="Verdana" w:eastAsia="Calibri" w:hAnsi="Verdana" w:cs="Times New Roman"/>
          <w:sz w:val="20"/>
          <w:szCs w:val="20"/>
          <w:lang w:val="es-CR" w:eastAsia="es-CR"/>
        </w:rPr>
        <w:t>,</w:t>
      </w:r>
      <w:r w:rsidRPr="00873FEC">
        <w:rPr>
          <w:rFonts w:ascii="Verdana" w:eastAsia="Calibri" w:hAnsi="Verdana" w:cs="Times New Roman"/>
          <w:sz w:val="20"/>
          <w:szCs w:val="20"/>
          <w:lang w:val="es-CR" w:eastAsia="es-CR"/>
        </w:rPr>
        <w:t xml:space="preserve"> por las características del hecho aquí analizado, esa consideración resulta pertinente</w:t>
      </w:r>
      <w:r w:rsidRPr="00873FEC">
        <w:rPr>
          <w:rFonts w:ascii="Verdana" w:eastAsia="Calibri" w:hAnsi="Verdana" w:cs="Times New Roman"/>
          <w:sz w:val="20"/>
          <w:szCs w:val="20"/>
          <w:vertAlign w:val="superscript"/>
          <w:lang w:val="es-CR" w:eastAsia="es-CR"/>
        </w:rPr>
        <w:footnoteReference w:id="178"/>
      </w:r>
      <w:r w:rsidRPr="00873FEC">
        <w:rPr>
          <w:rFonts w:ascii="Verdana" w:eastAsia="Calibri" w:hAnsi="Verdana" w:cs="Times New Roman"/>
          <w:sz w:val="20"/>
          <w:szCs w:val="20"/>
          <w:lang w:val="es-CR" w:eastAsia="es-CR"/>
        </w:rPr>
        <w:t>. Por ello, dada la especial gravedad que tiene la agresión directa a niños o niñas por parte de agentes estatales, en e</w:t>
      </w:r>
      <w:r w:rsidR="00900FA6">
        <w:rPr>
          <w:rFonts w:ascii="Verdana" w:eastAsia="Calibri" w:hAnsi="Verdana" w:cs="Times New Roman"/>
          <w:sz w:val="20"/>
          <w:szCs w:val="20"/>
          <w:lang w:val="es-CR" w:eastAsia="es-CR"/>
        </w:rPr>
        <w:t>ste</w:t>
      </w:r>
      <w:r w:rsidRPr="00873FEC">
        <w:rPr>
          <w:rFonts w:ascii="Verdana" w:eastAsia="Calibri" w:hAnsi="Verdana" w:cs="Times New Roman"/>
          <w:sz w:val="20"/>
          <w:szCs w:val="20"/>
          <w:lang w:val="es-CR" w:eastAsia="es-CR"/>
        </w:rPr>
        <w:t xml:space="preserve"> caso la Corte determina que Guatemala </w:t>
      </w:r>
      <w:r w:rsidRPr="00873FEC">
        <w:rPr>
          <w:rFonts w:ascii="Verdana" w:eastAsia="Calibri" w:hAnsi="Verdana" w:cs="Times"/>
          <w:sz w:val="20"/>
          <w:szCs w:val="20"/>
          <w:lang w:val="es-CR" w:eastAsia="es-CR"/>
        </w:rPr>
        <w:t xml:space="preserve">incumplió con su deber de protección de las niñas y niños, y </w:t>
      </w:r>
      <w:r w:rsidRPr="00873FEC">
        <w:rPr>
          <w:rFonts w:ascii="Verdana" w:eastAsia="Calibri" w:hAnsi="Verdana" w:cs="Times New Roman"/>
          <w:sz w:val="20"/>
          <w:szCs w:val="20"/>
          <w:lang w:val="es-CR" w:eastAsia="es-CR"/>
        </w:rPr>
        <w:t xml:space="preserve">vulneró los derechos de la niña y los dos niños que fallecieron en las circunstancias de la masacre. </w:t>
      </w:r>
    </w:p>
    <w:p w:rsidR="00126E97" w:rsidRPr="00873FEC" w:rsidRDefault="00126E97" w:rsidP="00126E97">
      <w:pPr>
        <w:spacing w:after="0" w:line="20" w:lineRule="atLeast"/>
        <w:ind w:left="720"/>
        <w:contextualSpacing/>
        <w:rPr>
          <w:rFonts w:ascii="Verdana" w:eastAsia="Calibri" w:hAnsi="Verdana" w:cs="Times"/>
          <w:color w:val="1A1A1A"/>
          <w:sz w:val="20"/>
          <w:szCs w:val="20"/>
          <w:lang w:eastAsia="es-CR"/>
        </w:rPr>
      </w:pPr>
    </w:p>
    <w:p w:rsidR="00467331" w:rsidRPr="00873FEC" w:rsidRDefault="00467331" w:rsidP="00126E97">
      <w:pPr>
        <w:pStyle w:val="Heading3"/>
        <w:spacing w:before="0" w:line="20" w:lineRule="atLeast"/>
        <w:ind w:left="567"/>
        <w:jc w:val="both"/>
        <w:rPr>
          <w:rFonts w:ascii="Verdana" w:eastAsia="Calibri" w:hAnsi="Verdana" w:cs="Times"/>
          <w:b w:val="0"/>
          <w:i/>
          <w:color w:val="auto"/>
          <w:sz w:val="20"/>
          <w:szCs w:val="20"/>
          <w:lang w:eastAsia="es-CR"/>
        </w:rPr>
      </w:pPr>
      <w:bookmarkStart w:id="173" w:name="_Toc525201183"/>
      <w:r w:rsidRPr="00873FEC">
        <w:rPr>
          <w:rFonts w:ascii="Verdana" w:eastAsia="Calibri" w:hAnsi="Verdana" w:cs="Times"/>
          <w:b w:val="0"/>
          <w:i/>
          <w:color w:val="auto"/>
          <w:sz w:val="20"/>
          <w:szCs w:val="20"/>
          <w:lang w:eastAsia="es-CR"/>
        </w:rPr>
        <w:t xml:space="preserve">B.4. </w:t>
      </w:r>
      <w:r w:rsidRPr="00873FEC">
        <w:rPr>
          <w:rFonts w:ascii="Verdana" w:eastAsia="Calibri" w:hAnsi="Verdana" w:cs="Times"/>
          <w:b w:val="0"/>
          <w:i/>
          <w:color w:val="auto"/>
          <w:sz w:val="20"/>
          <w:szCs w:val="20"/>
          <w:u w:val="single"/>
          <w:lang w:eastAsia="es-CR"/>
        </w:rPr>
        <w:t>Obligación de respetar los derechos sin discriminación</w:t>
      </w:r>
      <w:bookmarkEnd w:id="173"/>
    </w:p>
    <w:p w:rsidR="00467331" w:rsidRPr="00873FEC" w:rsidRDefault="00467331" w:rsidP="00126E97">
      <w:pPr>
        <w:spacing w:after="0" w:line="20" w:lineRule="atLeast"/>
        <w:ind w:left="720"/>
        <w:contextualSpacing/>
        <w:rPr>
          <w:rFonts w:ascii="Verdana" w:eastAsia="Calibri" w:hAnsi="Verdana" w:cs="Times"/>
          <w:color w:val="1A1A1A"/>
          <w:sz w:val="20"/>
          <w:szCs w:val="20"/>
          <w:lang w:eastAsia="es-CR"/>
        </w:rPr>
      </w:pPr>
    </w:p>
    <w:p w:rsidR="00467331" w:rsidRPr="00873FEC" w:rsidRDefault="00467331" w:rsidP="00126E97">
      <w:pPr>
        <w:numPr>
          <w:ilvl w:val="0"/>
          <w:numId w:val="3"/>
        </w:numPr>
        <w:spacing w:after="0" w:line="20" w:lineRule="atLeast"/>
        <w:contextualSpacing/>
        <w:jc w:val="both"/>
        <w:rPr>
          <w:rFonts w:ascii="Verdana" w:eastAsia="Calibri" w:hAnsi="Verdana" w:cs="Times"/>
          <w:color w:val="1A1A1A"/>
          <w:sz w:val="20"/>
          <w:szCs w:val="20"/>
          <w:lang w:eastAsia="es-CR"/>
        </w:rPr>
      </w:pPr>
      <w:r w:rsidRPr="00873FEC">
        <w:rPr>
          <w:rFonts w:ascii="Verdana" w:eastAsia="Calibri" w:hAnsi="Verdana" w:cs="Times"/>
          <w:color w:val="1A1A1A"/>
          <w:sz w:val="20"/>
          <w:szCs w:val="20"/>
          <w:lang w:eastAsia="es-CR"/>
        </w:rPr>
        <w:t>Sentado lo expuesto, debe ahora examinarse si las violaciones a derechos ya declaradas resultan, a su vez, un incumplimiento del de</w:t>
      </w:r>
      <w:r w:rsidR="00900FA6">
        <w:rPr>
          <w:rFonts w:ascii="Verdana" w:eastAsia="Calibri" w:hAnsi="Verdana" w:cs="Times"/>
          <w:color w:val="1A1A1A"/>
          <w:sz w:val="20"/>
          <w:szCs w:val="20"/>
          <w:lang w:eastAsia="es-CR"/>
        </w:rPr>
        <w:t>ber de no discriminación regulado</w:t>
      </w:r>
      <w:r w:rsidRPr="00873FEC">
        <w:rPr>
          <w:rFonts w:ascii="Verdana" w:eastAsia="Calibri" w:hAnsi="Verdana" w:cs="Times"/>
          <w:color w:val="1A1A1A"/>
          <w:sz w:val="20"/>
          <w:szCs w:val="20"/>
          <w:lang w:eastAsia="es-CR"/>
        </w:rPr>
        <w:t xml:space="preserve"> en el artículo 1.1 de la Convención. </w:t>
      </w:r>
    </w:p>
    <w:p w:rsidR="00467331" w:rsidRPr="00873FEC" w:rsidRDefault="00467331" w:rsidP="00126E97">
      <w:pPr>
        <w:spacing w:after="0" w:line="20" w:lineRule="atLeast"/>
        <w:contextualSpacing/>
        <w:jc w:val="both"/>
        <w:rPr>
          <w:rFonts w:ascii="Verdana" w:eastAsia="Calibri" w:hAnsi="Verdana" w:cs="Times"/>
          <w:color w:val="1A1A1A"/>
          <w:sz w:val="20"/>
          <w:szCs w:val="20"/>
          <w:lang w:eastAsia="es-CR"/>
        </w:rPr>
      </w:pPr>
    </w:p>
    <w:p w:rsidR="00467331" w:rsidRPr="00873FEC" w:rsidRDefault="00467331"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Times New Roman" w:hAnsi="Verdana" w:cs="Times New Roman"/>
          <w:bCs/>
          <w:color w:val="000000"/>
          <w:sz w:val="20"/>
          <w:szCs w:val="20"/>
          <w:lang w:val="es-CR" w:eastAsia="es-CR"/>
        </w:rPr>
        <w:t xml:space="preserve">Al respecto, en primer término, este Tribunal rechaza el argumento del Estado consistente en </w:t>
      </w:r>
      <w:r w:rsidR="00900FA6">
        <w:rPr>
          <w:rFonts w:ascii="Verdana" w:eastAsia="Times New Roman" w:hAnsi="Verdana" w:cs="Times New Roman"/>
          <w:bCs/>
          <w:color w:val="000000"/>
          <w:sz w:val="20"/>
          <w:szCs w:val="20"/>
          <w:lang w:val="es-CR" w:eastAsia="es-CR"/>
        </w:rPr>
        <w:t xml:space="preserve">que </w:t>
      </w:r>
      <w:r w:rsidRPr="00873FEC">
        <w:rPr>
          <w:rFonts w:ascii="Verdana" w:eastAsia="Times New Roman" w:hAnsi="Verdana" w:cs="Times New Roman"/>
          <w:bCs/>
          <w:color w:val="000000"/>
          <w:sz w:val="20"/>
          <w:szCs w:val="20"/>
          <w:lang w:val="es-CR" w:eastAsia="es-CR"/>
        </w:rPr>
        <w:t>no podría haber discriminación</w:t>
      </w:r>
      <w:r w:rsidR="00900FA6">
        <w:rPr>
          <w:rFonts w:ascii="Verdana" w:eastAsia="Times New Roman" w:hAnsi="Verdana" w:cs="Times New Roman"/>
          <w:bCs/>
          <w:color w:val="000000"/>
          <w:sz w:val="20"/>
          <w:szCs w:val="20"/>
          <w:lang w:val="es-CR" w:eastAsia="es-CR"/>
        </w:rPr>
        <w:t>,</w:t>
      </w:r>
      <w:r w:rsidRPr="00873FEC">
        <w:rPr>
          <w:rFonts w:ascii="Verdana" w:eastAsia="Times New Roman" w:hAnsi="Verdana" w:cs="Times New Roman"/>
          <w:bCs/>
          <w:color w:val="000000"/>
          <w:sz w:val="20"/>
          <w:szCs w:val="20"/>
          <w:lang w:val="es-CR" w:eastAsia="es-CR"/>
        </w:rPr>
        <w:t xml:space="preserve"> dado que algunos soldados tenían ascendencia indígena</w:t>
      </w:r>
      <w:r w:rsidRPr="00873FEC">
        <w:rPr>
          <w:rFonts w:ascii="Verdana" w:eastAsia="Batang" w:hAnsi="Verdana" w:cs="Times New Roman"/>
          <w:bCs/>
          <w:color w:val="000000"/>
          <w:sz w:val="20"/>
          <w:szCs w:val="20"/>
          <w:vertAlign w:val="superscript"/>
          <w:lang w:val="es-CR" w:eastAsia="x-none"/>
        </w:rPr>
        <w:footnoteReference w:id="179"/>
      </w:r>
      <w:r w:rsidRPr="00873FEC">
        <w:rPr>
          <w:rFonts w:ascii="Verdana" w:eastAsia="Times New Roman" w:hAnsi="Verdana" w:cs="Times New Roman"/>
          <w:bCs/>
          <w:color w:val="000000"/>
          <w:sz w:val="20"/>
          <w:szCs w:val="20"/>
          <w:lang w:val="es-CR" w:eastAsia="es-CR"/>
        </w:rPr>
        <w:t xml:space="preserve">. </w:t>
      </w:r>
      <w:r w:rsidR="009975A3">
        <w:rPr>
          <w:rFonts w:ascii="Verdana" w:eastAsia="Times New Roman" w:hAnsi="Verdana" w:cs="Times New Roman"/>
          <w:bCs/>
          <w:color w:val="000000"/>
          <w:sz w:val="20"/>
          <w:szCs w:val="20"/>
          <w:lang w:val="es-CR" w:eastAsia="es-CR"/>
        </w:rPr>
        <w:t>E</w:t>
      </w:r>
      <w:r w:rsidRPr="00873FEC">
        <w:rPr>
          <w:rFonts w:ascii="Verdana" w:eastAsia="Times New Roman" w:hAnsi="Verdana" w:cs="Times New Roman"/>
          <w:bCs/>
          <w:color w:val="000000"/>
          <w:sz w:val="20"/>
          <w:szCs w:val="20"/>
          <w:lang w:val="es-CR" w:eastAsia="es-CR"/>
        </w:rPr>
        <w:t>sa circunstancia no exime por sí mi</w:t>
      </w:r>
      <w:r w:rsidR="009F258B" w:rsidRPr="00873FEC">
        <w:rPr>
          <w:rFonts w:ascii="Verdana" w:eastAsia="Times New Roman" w:hAnsi="Verdana" w:cs="Times New Roman"/>
          <w:bCs/>
          <w:color w:val="000000"/>
          <w:sz w:val="20"/>
          <w:szCs w:val="20"/>
          <w:lang w:val="es-CR" w:eastAsia="es-CR"/>
        </w:rPr>
        <w:t>s</w:t>
      </w:r>
      <w:r w:rsidRPr="00873FEC">
        <w:rPr>
          <w:rFonts w:ascii="Verdana" w:eastAsia="Times New Roman" w:hAnsi="Verdana" w:cs="Times New Roman"/>
          <w:bCs/>
          <w:color w:val="000000"/>
          <w:sz w:val="20"/>
          <w:szCs w:val="20"/>
          <w:lang w:val="es-CR" w:eastAsia="es-CR"/>
        </w:rPr>
        <w:t xml:space="preserve">ma la posibilidad de que la actuación estatal en un hecho, como la masacre sucedida, pueda relacionarse con un contexto de violencia y discriminación contra pueblos indígenas. Por otra parte, la pertenencia o relación de una determinada persona con un colectivo identificable por ciertas características, como puede ser el origen indígena de algunos soldados, no obsta a que la persona en cuestión pueda actuar contra personas pertenecientes a ese grupo a causa de dicha pertenencia. </w:t>
      </w:r>
    </w:p>
    <w:p w:rsidR="00467331" w:rsidRPr="00873FEC" w:rsidRDefault="00467331" w:rsidP="00126E97">
      <w:pPr>
        <w:spacing w:after="0" w:line="20" w:lineRule="atLeast"/>
        <w:ind w:left="720"/>
        <w:contextualSpacing/>
        <w:rPr>
          <w:rFonts w:ascii="Verdana" w:eastAsia="Calibri" w:hAnsi="Verdana" w:cs="Times"/>
          <w:b/>
          <w:sz w:val="20"/>
          <w:szCs w:val="20"/>
          <w:lang w:val="es-CR" w:eastAsia="es-CR"/>
        </w:rPr>
      </w:pPr>
    </w:p>
    <w:p w:rsidR="00467331" w:rsidRPr="00873FEC" w:rsidRDefault="00467331"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Times New Roman" w:hAnsi="Verdana" w:cs="Times New Roman"/>
          <w:color w:val="000000"/>
          <w:sz w:val="20"/>
          <w:szCs w:val="20"/>
          <w:lang w:val="es-CR" w:eastAsia="es-CR"/>
        </w:rPr>
        <w:t>Cabe recordar que la Corte ha advertido que</w:t>
      </w:r>
      <w:r w:rsidR="00C66AF3">
        <w:rPr>
          <w:rFonts w:ascii="Verdana" w:eastAsia="Times New Roman" w:hAnsi="Verdana" w:cs="Times New Roman"/>
          <w:color w:val="000000"/>
          <w:sz w:val="20"/>
          <w:szCs w:val="20"/>
          <w:lang w:val="es-CR" w:eastAsia="es-CR"/>
        </w:rPr>
        <w:t>,</w:t>
      </w:r>
      <w:r w:rsidRPr="00873FEC">
        <w:rPr>
          <w:rFonts w:ascii="Verdana" w:eastAsia="Times New Roman" w:hAnsi="Verdana" w:cs="Times New Roman"/>
          <w:color w:val="000000"/>
          <w:sz w:val="20"/>
          <w:szCs w:val="20"/>
          <w:lang w:val="es-CR" w:eastAsia="es-CR"/>
        </w:rPr>
        <w:t xml:space="preserve"> </w:t>
      </w:r>
    </w:p>
    <w:p w:rsidR="00467331" w:rsidRPr="00873FEC" w:rsidRDefault="00467331" w:rsidP="00126E97">
      <w:pPr>
        <w:spacing w:after="0" w:line="20" w:lineRule="atLeast"/>
        <w:ind w:left="567" w:right="616"/>
        <w:jc w:val="both"/>
        <w:rPr>
          <w:rFonts w:ascii="Verdana" w:eastAsia="Calibri" w:hAnsi="Verdana" w:cs="Verdana"/>
          <w:color w:val="000000"/>
          <w:sz w:val="16"/>
          <w:szCs w:val="16"/>
          <w:lang w:val="es-CR" w:eastAsia="es-CR"/>
        </w:rPr>
      </w:pPr>
    </w:p>
    <w:p w:rsidR="00467331" w:rsidRPr="00873FEC" w:rsidRDefault="00467331" w:rsidP="00126E97">
      <w:pPr>
        <w:spacing w:after="0" w:line="20" w:lineRule="atLeast"/>
        <w:ind w:left="567" w:right="616"/>
        <w:jc w:val="both"/>
        <w:rPr>
          <w:rFonts w:ascii="Verdana" w:eastAsia="Calibri" w:hAnsi="Verdana" w:cs="Verdana"/>
          <w:color w:val="000000"/>
          <w:sz w:val="16"/>
          <w:szCs w:val="16"/>
          <w:lang w:val="es-CR" w:eastAsia="es-CR"/>
        </w:rPr>
      </w:pPr>
      <w:proofErr w:type="gramStart"/>
      <w:r w:rsidRPr="00873FEC">
        <w:rPr>
          <w:rFonts w:ascii="Verdana" w:eastAsia="Calibri" w:hAnsi="Verdana" w:cs="Verdana"/>
          <w:color w:val="000000"/>
          <w:sz w:val="16"/>
          <w:szCs w:val="16"/>
          <w:lang w:val="es-CR" w:eastAsia="es-CR"/>
        </w:rPr>
        <w:t>bajo</w:t>
      </w:r>
      <w:proofErr w:type="gramEnd"/>
      <w:r w:rsidRPr="00873FEC">
        <w:rPr>
          <w:rFonts w:ascii="Verdana" w:eastAsia="Calibri" w:hAnsi="Verdana" w:cs="Verdana"/>
          <w:color w:val="000000"/>
          <w:sz w:val="16"/>
          <w:szCs w:val="16"/>
          <w:lang w:val="es-CR" w:eastAsia="es-CR"/>
        </w:rPr>
        <w:t xml:space="preserve"> la “Doctrina de Seguridad Nacional” (1978-1983), el Ejército identificó, entre otros, a los miembros del pueblo indígena maya como “enemigo interno”, por considerar que constituían o podían constituir la base social de la guerrilla […]. Como ya se señaló, en su Informe Final de junio 1999, la CEH explicó que la identificación entre las comunidades mayas y la insurgencia, y la saña e indiscriminación con que se realizaban las “operaciones militares contra centenares de comunidades mayas en el occidente y noroccidente del país, en particular entre 1981 y 1983”, se apoyó en tradicionales prejuicios racistas</w:t>
      </w:r>
      <w:r w:rsidRPr="00873FEC">
        <w:rPr>
          <w:rFonts w:ascii="Verdana" w:eastAsia="Calibri" w:hAnsi="Verdana" w:cs="Times New Roman"/>
          <w:color w:val="000000"/>
          <w:sz w:val="16"/>
          <w:szCs w:val="20"/>
          <w:vertAlign w:val="superscript"/>
          <w:lang w:val="es-CR" w:eastAsia="es-CR"/>
        </w:rPr>
        <w:footnoteReference w:id="180"/>
      </w:r>
      <w:r w:rsidRPr="00873FEC">
        <w:rPr>
          <w:rFonts w:ascii="Verdana" w:eastAsia="Calibri" w:hAnsi="Verdana" w:cs="Verdana"/>
          <w:color w:val="000000"/>
          <w:sz w:val="16"/>
          <w:szCs w:val="16"/>
          <w:lang w:val="es-CR" w:eastAsia="es-CR"/>
        </w:rPr>
        <w:t xml:space="preserve">. </w:t>
      </w:r>
    </w:p>
    <w:p w:rsidR="00467331" w:rsidRPr="00873FEC" w:rsidRDefault="00467331" w:rsidP="00126E97">
      <w:pPr>
        <w:spacing w:after="0" w:line="20" w:lineRule="atLeast"/>
        <w:ind w:left="567" w:right="616"/>
        <w:jc w:val="both"/>
        <w:rPr>
          <w:rFonts w:ascii="Verdana" w:eastAsia="Calibri" w:hAnsi="Verdana" w:cs="Verdana"/>
          <w:b/>
          <w:color w:val="000000"/>
          <w:sz w:val="16"/>
          <w:szCs w:val="16"/>
          <w:lang w:val="es-CR" w:eastAsia="es-CR"/>
        </w:rPr>
      </w:pPr>
    </w:p>
    <w:p w:rsidR="00467331" w:rsidRPr="00873FEC" w:rsidRDefault="00467331"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Times New Roman" w:hAnsi="Verdana" w:cs="Times New Roman"/>
          <w:color w:val="000000"/>
          <w:sz w:val="20"/>
          <w:szCs w:val="20"/>
          <w:lang w:val="es-CR" w:eastAsia="es-CR"/>
        </w:rPr>
        <w:t>Ahora bien, el presente caso se enmarca en conflicto armado interno, en el que se produjeron atentados contra personas pertenecientes a población indígena. En ese sentido, si bien no hay elementos que acrediten la planificación de la masacre (</w:t>
      </w:r>
      <w:r w:rsidRPr="00873FEC">
        <w:rPr>
          <w:rFonts w:ascii="Verdana" w:eastAsia="Times New Roman" w:hAnsi="Verdana" w:cs="Times New Roman"/>
          <w:i/>
          <w:color w:val="000000"/>
          <w:sz w:val="20"/>
          <w:szCs w:val="20"/>
          <w:lang w:val="es-CR" w:eastAsia="es-CR"/>
        </w:rPr>
        <w:t>supra</w:t>
      </w:r>
      <w:r w:rsidRPr="00873FEC">
        <w:rPr>
          <w:rFonts w:ascii="Verdana" w:eastAsia="Times New Roman" w:hAnsi="Verdana" w:cs="Times New Roman"/>
          <w:color w:val="000000"/>
          <w:sz w:val="20"/>
          <w:szCs w:val="20"/>
          <w:lang w:val="es-CR" w:eastAsia="es-CR"/>
        </w:rPr>
        <w:t xml:space="preserve"> párr. 85), esto no puede llevar a la Corte a desconocer el vínculo entre los hechos sucedidos y la situación contextual general en la que tuvieron lugar. Sobre ello, ya se ha indicado que el pueblo maya fue el grupo étnico más afectado por las violaciones de derechos humanos cometidas durante el enfrentamiento armado, y que la violencia dirigida contra él se manifestó en distintos tipos de actos, inclusive masacres (s</w:t>
      </w:r>
      <w:r w:rsidRPr="00873FEC">
        <w:rPr>
          <w:rFonts w:ascii="Verdana" w:eastAsia="Times New Roman" w:hAnsi="Verdana" w:cs="Times New Roman"/>
          <w:i/>
          <w:color w:val="000000"/>
          <w:sz w:val="20"/>
          <w:szCs w:val="20"/>
          <w:lang w:val="es-CR" w:eastAsia="es-CR"/>
        </w:rPr>
        <w:t xml:space="preserve">upra </w:t>
      </w:r>
      <w:r w:rsidRPr="00873FEC">
        <w:rPr>
          <w:rFonts w:ascii="Verdana" w:eastAsia="Times New Roman" w:hAnsi="Verdana" w:cs="Times New Roman"/>
          <w:color w:val="000000"/>
          <w:sz w:val="20"/>
          <w:szCs w:val="20"/>
          <w:lang w:val="es-CR" w:eastAsia="es-CR"/>
        </w:rPr>
        <w:t>párr. 29</w:t>
      </w:r>
      <w:r w:rsidRPr="00873FEC">
        <w:rPr>
          <w:rFonts w:ascii="Verdana" w:eastAsia="Times New Roman" w:hAnsi="Verdana" w:cs="Times New Roman"/>
          <w:i/>
          <w:color w:val="000000"/>
          <w:sz w:val="20"/>
          <w:szCs w:val="20"/>
          <w:lang w:val="es-CR" w:eastAsia="es-CR"/>
        </w:rPr>
        <w:t>)</w:t>
      </w:r>
      <w:r w:rsidRPr="00873FEC">
        <w:rPr>
          <w:rFonts w:ascii="Verdana" w:eastAsia="Times New Roman" w:hAnsi="Verdana" w:cs="Times New Roman"/>
          <w:color w:val="000000"/>
          <w:sz w:val="20"/>
          <w:szCs w:val="20"/>
          <w:lang w:val="es-CR" w:eastAsia="es-CR"/>
        </w:rPr>
        <w:t>. Al respecto, si bien los hechos del caso sucedieron en los últimos tiempos del conflicto, la Corte nota que la CEH, en referencia a este caso, concluyó que la conducta de los soldados, al aproximarse a la Comunidad, denotó “</w:t>
      </w:r>
      <w:r w:rsidRPr="00873FEC">
        <w:rPr>
          <w:rFonts w:ascii="Verdana" w:hAnsi="Verdana" w:cs="AGaramond-Regular"/>
          <w:sz w:val="20"/>
          <w:szCs w:val="20"/>
          <w:lang w:val="es-CR"/>
        </w:rPr>
        <w:t>la persistencia, en el pensamiento castrense, de la identificación de [personas] retornadas con guerrilleros”</w:t>
      </w:r>
      <w:r w:rsidRPr="00873FEC">
        <w:rPr>
          <w:rFonts w:ascii="Verdana" w:hAnsi="Verdana" w:cs="Times New Roman"/>
          <w:sz w:val="20"/>
          <w:szCs w:val="20"/>
          <w:vertAlign w:val="superscript"/>
          <w:lang w:val="es-CR"/>
        </w:rPr>
        <w:footnoteReference w:id="181"/>
      </w:r>
      <w:r w:rsidRPr="00873FEC">
        <w:rPr>
          <w:rFonts w:ascii="Verdana" w:hAnsi="Verdana" w:cs="AGaramond-Regular"/>
          <w:sz w:val="20"/>
          <w:szCs w:val="20"/>
          <w:lang w:val="es-CR"/>
        </w:rPr>
        <w:t>. Cabe recordar que</w:t>
      </w:r>
      <w:r w:rsidR="00C66AF3">
        <w:rPr>
          <w:rFonts w:ascii="Verdana" w:hAnsi="Verdana" w:cs="AGaramond-Regular"/>
          <w:sz w:val="20"/>
          <w:szCs w:val="20"/>
          <w:lang w:val="es-CR"/>
        </w:rPr>
        <w:t>,</w:t>
      </w:r>
      <w:r w:rsidRPr="00873FEC">
        <w:rPr>
          <w:rFonts w:ascii="Verdana" w:hAnsi="Verdana" w:cs="AGaramond-Regular"/>
          <w:sz w:val="20"/>
          <w:szCs w:val="20"/>
          <w:lang w:val="es-CR"/>
        </w:rPr>
        <w:t xml:space="preserve"> del contexto establecido (</w:t>
      </w:r>
      <w:r w:rsidRPr="00873FEC">
        <w:rPr>
          <w:rFonts w:ascii="Verdana" w:hAnsi="Verdana" w:cs="AGaramond-Regular"/>
          <w:i/>
          <w:sz w:val="20"/>
          <w:szCs w:val="20"/>
          <w:lang w:val="es-CR"/>
        </w:rPr>
        <w:t>supra</w:t>
      </w:r>
      <w:r w:rsidRPr="00873FEC">
        <w:rPr>
          <w:rFonts w:ascii="Verdana" w:hAnsi="Verdana" w:cs="AGaramond-Regular"/>
          <w:sz w:val="20"/>
          <w:szCs w:val="20"/>
          <w:lang w:val="es-CR"/>
        </w:rPr>
        <w:t xml:space="preserve"> </w:t>
      </w:r>
      <w:proofErr w:type="spellStart"/>
      <w:r w:rsidRPr="00873FEC">
        <w:rPr>
          <w:rFonts w:ascii="Verdana" w:hAnsi="Verdana" w:cs="AGaramond-Regular"/>
          <w:sz w:val="20"/>
          <w:szCs w:val="20"/>
          <w:lang w:val="es-CR"/>
        </w:rPr>
        <w:t>párrs</w:t>
      </w:r>
      <w:proofErr w:type="spellEnd"/>
      <w:r w:rsidRPr="00873FEC">
        <w:rPr>
          <w:rFonts w:ascii="Verdana" w:hAnsi="Verdana" w:cs="AGaramond-Regular"/>
          <w:sz w:val="20"/>
          <w:szCs w:val="20"/>
          <w:lang w:val="es-CR"/>
        </w:rPr>
        <w:t>. 27 a 34)</w:t>
      </w:r>
      <w:r w:rsidR="00C66AF3">
        <w:rPr>
          <w:rFonts w:ascii="Verdana" w:hAnsi="Verdana" w:cs="AGaramond-Regular"/>
          <w:sz w:val="20"/>
          <w:szCs w:val="20"/>
          <w:lang w:val="es-CR"/>
        </w:rPr>
        <w:t>,</w:t>
      </w:r>
      <w:r w:rsidRPr="00873FEC">
        <w:rPr>
          <w:rFonts w:ascii="Verdana" w:hAnsi="Verdana" w:cs="AGaramond-Regular"/>
          <w:sz w:val="20"/>
          <w:szCs w:val="20"/>
          <w:lang w:val="es-CR"/>
        </w:rPr>
        <w:t xml:space="preserve"> surge que el ejército había identificado que personas indígena podía</w:t>
      </w:r>
      <w:r w:rsidR="00C66AF3">
        <w:rPr>
          <w:rFonts w:ascii="Verdana" w:hAnsi="Verdana" w:cs="AGaramond-Regular"/>
          <w:sz w:val="20"/>
          <w:szCs w:val="20"/>
          <w:lang w:val="es-CR"/>
        </w:rPr>
        <w:t>n</w:t>
      </w:r>
      <w:r w:rsidRPr="00873FEC">
        <w:rPr>
          <w:rFonts w:ascii="Verdana" w:hAnsi="Verdana" w:cs="AGaramond-Regular"/>
          <w:sz w:val="20"/>
          <w:szCs w:val="20"/>
          <w:lang w:val="es-CR"/>
        </w:rPr>
        <w:t xml:space="preserve"> constituir la base social de la guerrilla y, por ende, quedaban enmarcadas en la categoría de “enemigo interno”. En igual sentido, </w:t>
      </w:r>
      <w:r w:rsidRPr="00873FEC">
        <w:rPr>
          <w:rFonts w:ascii="Verdana" w:eastAsia="Batang" w:hAnsi="Verdana" w:cs="Times"/>
          <w:sz w:val="20"/>
          <w:szCs w:val="20"/>
          <w:lang w:val="es-CR" w:eastAsia="es-CR"/>
        </w:rPr>
        <w:t>la perita Samayoa Pineda, refiriéndose a lo sucedido en el caso, expresó que quedó evidenciada “la predisposición de la patrulla militar ante la [C]</w:t>
      </w:r>
      <w:proofErr w:type="spellStart"/>
      <w:proofErr w:type="gramStart"/>
      <w:r w:rsidRPr="00873FEC">
        <w:rPr>
          <w:rFonts w:ascii="Verdana" w:eastAsia="Batang" w:hAnsi="Verdana" w:cs="Times"/>
          <w:sz w:val="20"/>
          <w:szCs w:val="20"/>
          <w:lang w:val="es-CR" w:eastAsia="es-CR"/>
        </w:rPr>
        <w:t>omunidad</w:t>
      </w:r>
      <w:proofErr w:type="spellEnd"/>
      <w:r w:rsidRPr="00873FEC">
        <w:rPr>
          <w:rFonts w:ascii="Verdana" w:eastAsia="Batang" w:hAnsi="Verdana" w:cs="Times"/>
          <w:sz w:val="20"/>
          <w:szCs w:val="20"/>
          <w:lang w:val="es-CR" w:eastAsia="es-CR"/>
        </w:rPr>
        <w:t>[</w:t>
      </w:r>
      <w:proofErr w:type="gramEnd"/>
      <w:r w:rsidRPr="00873FEC">
        <w:rPr>
          <w:rFonts w:ascii="Verdana" w:eastAsia="Batang" w:hAnsi="Verdana" w:cs="Times"/>
          <w:sz w:val="20"/>
          <w:szCs w:val="20"/>
          <w:lang w:val="es-CR" w:eastAsia="es-CR"/>
        </w:rPr>
        <w:t>,…] lo que generó como efecto la violación al derecho a la vida y a la integridad de un conjunto de individuos y familias indígenas a quienes se les consideraba guerrilleras”</w:t>
      </w:r>
      <w:r w:rsidRPr="00873FEC">
        <w:rPr>
          <w:rFonts w:ascii="Verdana" w:eastAsia="Batang" w:hAnsi="Verdana" w:cs="Times New Roman"/>
          <w:sz w:val="20"/>
          <w:szCs w:val="20"/>
          <w:vertAlign w:val="superscript"/>
          <w:lang w:val="es-CR" w:eastAsia="es-CR"/>
        </w:rPr>
        <w:footnoteReference w:id="182"/>
      </w:r>
      <w:r w:rsidRPr="00873FEC">
        <w:rPr>
          <w:rFonts w:ascii="Verdana" w:eastAsia="Batang" w:hAnsi="Verdana" w:cs="Times"/>
          <w:sz w:val="20"/>
          <w:szCs w:val="20"/>
          <w:lang w:val="es-CR" w:eastAsia="es-CR"/>
        </w:rPr>
        <w:t>. Dado lo expresado, esta Corte concluye que, en las circunstancias propias del caso, la actuación militar, que resultó violatoria de derechos a la vida e integridad personal, estuvo relacionada con concepciones discriminatorias contra personas indígenas. Por ende, el Estado incumplió su deber de respetar sin discriminación los derechos a la vida e integridad personal.</w:t>
      </w:r>
    </w:p>
    <w:p w:rsidR="00467331" w:rsidRPr="00873FEC" w:rsidRDefault="00467331" w:rsidP="00126E97">
      <w:pPr>
        <w:spacing w:after="0" w:line="20" w:lineRule="atLeast"/>
        <w:ind w:left="720"/>
        <w:contextualSpacing/>
        <w:rPr>
          <w:rFonts w:ascii="Calibri" w:eastAsia="Calibri" w:hAnsi="Calibri" w:cs="Times New Roman"/>
          <w:szCs w:val="20"/>
          <w:lang w:val="es-CR" w:eastAsia="es-CR"/>
        </w:rPr>
      </w:pPr>
    </w:p>
    <w:p w:rsidR="00467331" w:rsidRPr="00873FEC" w:rsidRDefault="00467331" w:rsidP="00126E97">
      <w:pPr>
        <w:pStyle w:val="Heading3"/>
        <w:spacing w:before="0" w:line="20" w:lineRule="atLeast"/>
        <w:ind w:left="567"/>
        <w:jc w:val="both"/>
        <w:rPr>
          <w:rFonts w:ascii="Verdana" w:eastAsia="Calibri" w:hAnsi="Verdana" w:cs="Times New Roman"/>
          <w:b w:val="0"/>
          <w:i/>
          <w:color w:val="auto"/>
          <w:sz w:val="20"/>
          <w:szCs w:val="20"/>
          <w:u w:val="single"/>
          <w:lang w:val="es-CR" w:eastAsia="es-CR"/>
        </w:rPr>
      </w:pPr>
      <w:bookmarkStart w:id="174" w:name="_Toc525201184"/>
      <w:r w:rsidRPr="00873FEC">
        <w:rPr>
          <w:rFonts w:ascii="Verdana" w:eastAsia="Calibri" w:hAnsi="Verdana" w:cs="Times New Roman"/>
          <w:b w:val="0"/>
          <w:i/>
          <w:color w:val="auto"/>
          <w:sz w:val="20"/>
          <w:szCs w:val="20"/>
          <w:lang w:val="es-CR" w:eastAsia="es-CR"/>
        </w:rPr>
        <w:t xml:space="preserve">B.5. </w:t>
      </w:r>
      <w:r w:rsidRPr="00873FEC">
        <w:rPr>
          <w:rFonts w:ascii="Verdana" w:eastAsia="Calibri" w:hAnsi="Verdana" w:cs="Times New Roman"/>
          <w:b w:val="0"/>
          <w:i/>
          <w:color w:val="auto"/>
          <w:sz w:val="20"/>
          <w:szCs w:val="20"/>
          <w:u w:val="single"/>
          <w:lang w:val="es-CR" w:eastAsia="es-CR"/>
        </w:rPr>
        <w:t>Conclusión</w:t>
      </w:r>
      <w:bookmarkEnd w:id="174"/>
    </w:p>
    <w:p w:rsidR="00467331" w:rsidRPr="00873FEC" w:rsidRDefault="00467331" w:rsidP="00126E97">
      <w:pPr>
        <w:spacing w:after="0" w:line="20" w:lineRule="atLeast"/>
        <w:ind w:left="720"/>
        <w:contextualSpacing/>
        <w:rPr>
          <w:rFonts w:ascii="Verdana" w:eastAsia="Calibri" w:hAnsi="Verdana" w:cs="Times New Roman"/>
          <w:b/>
          <w:i/>
          <w:sz w:val="20"/>
          <w:szCs w:val="20"/>
          <w:lang w:val="es-CR" w:eastAsia="es-CR"/>
        </w:rPr>
      </w:pPr>
    </w:p>
    <w:p w:rsidR="00467331" w:rsidRPr="00873FEC" w:rsidRDefault="00467331" w:rsidP="00126E97">
      <w:pPr>
        <w:numPr>
          <w:ilvl w:val="0"/>
          <w:numId w:val="3"/>
        </w:numPr>
        <w:spacing w:after="0" w:line="20" w:lineRule="atLeast"/>
        <w:contextualSpacing/>
        <w:jc w:val="both"/>
        <w:rPr>
          <w:rFonts w:ascii="Verdana" w:eastAsia="Calibri" w:hAnsi="Verdana" w:cs="Times"/>
          <w:color w:val="1A1A1A"/>
          <w:sz w:val="20"/>
          <w:szCs w:val="20"/>
          <w:lang w:eastAsia="es-CR"/>
        </w:rPr>
      </w:pPr>
      <w:r w:rsidRPr="00873FEC">
        <w:rPr>
          <w:rFonts w:ascii="Verdana" w:eastAsia="Calibri" w:hAnsi="Verdana" w:cs="Times New Roman"/>
          <w:sz w:val="20"/>
          <w:szCs w:val="20"/>
          <w:lang w:val="es-CR" w:eastAsia="es-CR"/>
        </w:rPr>
        <w:t xml:space="preserve">Por lo anterior, la Corte concluye que </w:t>
      </w:r>
      <w:r w:rsidRPr="00873FEC">
        <w:rPr>
          <w:rFonts w:ascii="Verdana" w:eastAsia="Calibri" w:hAnsi="Verdana" w:cs="Times"/>
          <w:sz w:val="20"/>
          <w:szCs w:val="20"/>
          <w:lang w:val="es-CR" w:eastAsia="es-CR"/>
        </w:rPr>
        <w:t xml:space="preserve">el Estado de Guatemala es responsable: a) por violación del artículo 4.1 de la Convención, en relación con la obligación de respetar los derechos sin discriminación, establecida en su artículo 1.1, en perjuicio de </w:t>
      </w:r>
      <w:r w:rsidR="005B4879" w:rsidRPr="00873FEC">
        <w:rPr>
          <w:rFonts w:ascii="Verdana" w:eastAsia="Calibri" w:hAnsi="Verdana" w:cs="Times"/>
          <w:sz w:val="20"/>
          <w:szCs w:val="20"/>
          <w:lang w:val="es-CR" w:eastAsia="es-CR"/>
        </w:rPr>
        <w:t>ocho</w:t>
      </w:r>
      <w:r w:rsidRPr="00873FEC">
        <w:rPr>
          <w:rFonts w:ascii="Verdana" w:eastAsia="Calibri" w:hAnsi="Verdana" w:cs="Times"/>
          <w:sz w:val="20"/>
          <w:szCs w:val="20"/>
          <w:lang w:val="es-CR" w:eastAsia="es-CR"/>
        </w:rPr>
        <w:t xml:space="preserve"> personas que fueron muertas al momento de los hechos; b) por la violación del artículo 5.1 de la Convención, en relación con la obligación de respetar los derechos sin discriminación, establecida en su artículo 1.1, en perjuicio de 29 personas que resultaron heridas a causa de lo sucedido el 5 de octubre de 1995, y c) por la violación del artículo 4.1 de la Convención, en relación con su artículo 19 y con la obligación de respetar los derechos sin discriminación, establecida en 1.1, en perjuicio de la niña y los dos niños que murieron al momento de los hechos. Los nombres de las víctimas referidas se indican, respectivamente</w:t>
      </w:r>
      <w:r w:rsidR="00C66AF3">
        <w:rPr>
          <w:rFonts w:ascii="Verdana" w:eastAsia="Calibri" w:hAnsi="Verdana" w:cs="Times"/>
          <w:sz w:val="20"/>
          <w:szCs w:val="20"/>
          <w:lang w:val="es-CR" w:eastAsia="es-CR"/>
        </w:rPr>
        <w:t>,</w:t>
      </w:r>
      <w:r w:rsidRPr="00873FEC">
        <w:rPr>
          <w:rFonts w:ascii="Verdana" w:eastAsia="Calibri" w:hAnsi="Verdana" w:cs="Times"/>
          <w:sz w:val="20"/>
          <w:szCs w:val="20"/>
          <w:lang w:val="es-CR" w:eastAsia="es-CR"/>
        </w:rPr>
        <w:t xml:space="preserve"> en los Anexos B.2, B.3 y B.4 </w:t>
      </w:r>
      <w:r w:rsidR="00C66AF3">
        <w:rPr>
          <w:rFonts w:ascii="Verdana" w:eastAsia="Calibri" w:hAnsi="Verdana" w:cs="Times"/>
          <w:sz w:val="20"/>
          <w:szCs w:val="20"/>
          <w:lang w:val="es-CR" w:eastAsia="es-CR"/>
        </w:rPr>
        <w:t>de</w:t>
      </w:r>
      <w:r w:rsidRPr="00873FEC">
        <w:rPr>
          <w:rFonts w:ascii="Verdana" w:eastAsia="Calibri" w:hAnsi="Verdana" w:cs="Times"/>
          <w:sz w:val="20"/>
          <w:szCs w:val="20"/>
          <w:lang w:val="es-CR" w:eastAsia="es-CR"/>
        </w:rPr>
        <w:t xml:space="preserve"> la presente Sentencia</w:t>
      </w:r>
      <w:r w:rsidR="00B5386D">
        <w:rPr>
          <w:rFonts w:ascii="Verdana" w:eastAsia="Calibri" w:hAnsi="Verdana" w:cs="Times"/>
          <w:sz w:val="20"/>
          <w:szCs w:val="20"/>
          <w:lang w:val="es-CR" w:eastAsia="es-CR"/>
        </w:rPr>
        <w:t>, que integran la misma</w:t>
      </w:r>
      <w:r w:rsidRPr="00873FEC">
        <w:rPr>
          <w:rFonts w:ascii="Verdana" w:eastAsia="Calibri" w:hAnsi="Verdana" w:cs="Times"/>
          <w:sz w:val="20"/>
          <w:szCs w:val="20"/>
          <w:lang w:val="es-CR" w:eastAsia="es-CR"/>
        </w:rPr>
        <w:t xml:space="preserve">. </w:t>
      </w:r>
    </w:p>
    <w:p w:rsidR="00467331" w:rsidRDefault="00467331" w:rsidP="00126E97">
      <w:pPr>
        <w:spacing w:after="0" w:line="20" w:lineRule="atLeast"/>
        <w:jc w:val="both"/>
        <w:rPr>
          <w:rFonts w:ascii="Verdana" w:eastAsia="Batang" w:hAnsi="Verdana" w:cs="Times"/>
          <w:sz w:val="20"/>
          <w:szCs w:val="24"/>
          <w:lang w:eastAsia="es-CR"/>
        </w:rPr>
      </w:pPr>
    </w:p>
    <w:p w:rsidR="00126E97" w:rsidRDefault="00126E97" w:rsidP="00126E97">
      <w:pPr>
        <w:spacing w:after="0" w:line="20" w:lineRule="atLeast"/>
        <w:jc w:val="both"/>
        <w:rPr>
          <w:rFonts w:ascii="Verdana" w:eastAsia="Batang" w:hAnsi="Verdana" w:cs="Times"/>
          <w:sz w:val="20"/>
          <w:szCs w:val="24"/>
          <w:lang w:eastAsia="es-CR"/>
        </w:rPr>
      </w:pPr>
    </w:p>
    <w:p w:rsidR="00126E97" w:rsidRDefault="00126E97" w:rsidP="00126E97">
      <w:pPr>
        <w:spacing w:after="0" w:line="20" w:lineRule="atLeast"/>
        <w:jc w:val="both"/>
        <w:rPr>
          <w:rFonts w:ascii="Verdana" w:eastAsia="Batang" w:hAnsi="Verdana" w:cs="Times"/>
          <w:sz w:val="20"/>
          <w:szCs w:val="24"/>
          <w:lang w:eastAsia="es-CR"/>
        </w:rPr>
      </w:pPr>
    </w:p>
    <w:p w:rsidR="00126E97" w:rsidRDefault="00126E97" w:rsidP="00126E97">
      <w:pPr>
        <w:spacing w:after="0" w:line="20" w:lineRule="atLeast"/>
        <w:jc w:val="both"/>
        <w:rPr>
          <w:rFonts w:ascii="Verdana" w:eastAsia="Batang" w:hAnsi="Verdana" w:cs="Times"/>
          <w:sz w:val="20"/>
          <w:szCs w:val="24"/>
          <w:lang w:eastAsia="es-CR"/>
        </w:rPr>
      </w:pPr>
    </w:p>
    <w:p w:rsidR="00126E97" w:rsidRDefault="00126E97" w:rsidP="00126E97">
      <w:pPr>
        <w:spacing w:after="0" w:line="20" w:lineRule="atLeast"/>
        <w:jc w:val="both"/>
        <w:rPr>
          <w:rFonts w:ascii="Verdana" w:eastAsia="Batang" w:hAnsi="Verdana" w:cs="Times"/>
          <w:sz w:val="20"/>
          <w:szCs w:val="24"/>
          <w:lang w:eastAsia="es-CR"/>
        </w:rPr>
      </w:pPr>
    </w:p>
    <w:p w:rsidR="00126E97" w:rsidRDefault="00126E97" w:rsidP="00126E97">
      <w:pPr>
        <w:spacing w:after="0" w:line="20" w:lineRule="atLeast"/>
        <w:jc w:val="both"/>
        <w:rPr>
          <w:rFonts w:ascii="Verdana" w:eastAsia="Batang" w:hAnsi="Verdana" w:cs="Times"/>
          <w:sz w:val="20"/>
          <w:szCs w:val="24"/>
          <w:lang w:eastAsia="es-CR"/>
        </w:rPr>
      </w:pPr>
    </w:p>
    <w:p w:rsidR="00126E97" w:rsidRDefault="00126E97" w:rsidP="00126E97">
      <w:pPr>
        <w:spacing w:after="0" w:line="20" w:lineRule="atLeast"/>
        <w:jc w:val="both"/>
        <w:rPr>
          <w:rFonts w:ascii="Verdana" w:eastAsia="Batang" w:hAnsi="Verdana" w:cs="Times"/>
          <w:sz w:val="20"/>
          <w:szCs w:val="24"/>
          <w:lang w:eastAsia="es-CR"/>
        </w:rPr>
      </w:pPr>
    </w:p>
    <w:p w:rsidR="00126E97" w:rsidRPr="00873FEC" w:rsidRDefault="00126E97" w:rsidP="00126E97">
      <w:pPr>
        <w:spacing w:after="0" w:line="20" w:lineRule="atLeast"/>
        <w:jc w:val="both"/>
        <w:rPr>
          <w:rFonts w:ascii="Verdana" w:eastAsia="Batang" w:hAnsi="Verdana" w:cs="Times"/>
          <w:sz w:val="20"/>
          <w:szCs w:val="24"/>
          <w:lang w:eastAsia="es-CR"/>
        </w:rPr>
      </w:pPr>
    </w:p>
    <w:p w:rsidR="00332F58" w:rsidRPr="00873FEC" w:rsidRDefault="00332F58" w:rsidP="00126E97">
      <w:pPr>
        <w:pStyle w:val="ListParagraph"/>
        <w:spacing w:after="0" w:line="20" w:lineRule="atLeast"/>
        <w:jc w:val="center"/>
        <w:outlineLvl w:val="0"/>
        <w:rPr>
          <w:rFonts w:ascii="Verdana" w:hAnsi="Verdana"/>
          <w:b/>
          <w:sz w:val="20"/>
          <w:szCs w:val="20"/>
          <w:lang w:val="es-CR"/>
        </w:rPr>
      </w:pPr>
      <w:bookmarkStart w:id="175" w:name="_Toc525201185"/>
      <w:r w:rsidRPr="00873FEC">
        <w:rPr>
          <w:rFonts w:ascii="Verdana" w:hAnsi="Verdana"/>
          <w:b/>
          <w:sz w:val="20"/>
          <w:szCs w:val="20"/>
          <w:lang w:val="es-CR"/>
        </w:rPr>
        <w:lastRenderedPageBreak/>
        <w:t>VII.3.</w:t>
      </w:r>
      <w:bookmarkEnd w:id="175"/>
      <w:r w:rsidRPr="00873FEC">
        <w:rPr>
          <w:rFonts w:ascii="Verdana" w:hAnsi="Verdana"/>
          <w:b/>
          <w:sz w:val="20"/>
          <w:szCs w:val="20"/>
          <w:lang w:val="es-CR"/>
        </w:rPr>
        <w:t xml:space="preserve"> </w:t>
      </w:r>
    </w:p>
    <w:p w:rsidR="00332F58" w:rsidRPr="00873FEC" w:rsidRDefault="00332F58" w:rsidP="00126E97">
      <w:pPr>
        <w:pStyle w:val="ListParagraph"/>
        <w:spacing w:after="0" w:line="20" w:lineRule="atLeast"/>
        <w:jc w:val="center"/>
        <w:outlineLvl w:val="0"/>
        <w:rPr>
          <w:rFonts w:ascii="Verdana" w:hAnsi="Verdana"/>
          <w:b/>
          <w:sz w:val="20"/>
          <w:szCs w:val="20"/>
          <w:lang w:val="es-CR"/>
        </w:rPr>
      </w:pPr>
      <w:bookmarkStart w:id="176" w:name="_Toc525201186"/>
      <w:r w:rsidRPr="00873FEC">
        <w:rPr>
          <w:rFonts w:ascii="Verdana" w:hAnsi="Verdana"/>
          <w:b/>
          <w:sz w:val="20"/>
          <w:szCs w:val="20"/>
          <w:lang w:val="es-CR"/>
        </w:rPr>
        <w:t>DERECHO A LA INTEGRIDAD PERSONAL DE FAMILIARES DE PERSONAS MUERTAS Y HERIDAS</w:t>
      </w:r>
      <w:bookmarkEnd w:id="176"/>
    </w:p>
    <w:p w:rsidR="00332F58" w:rsidRPr="00873FEC" w:rsidRDefault="00332F58" w:rsidP="00126E97">
      <w:pPr>
        <w:pStyle w:val="ListParagraph"/>
        <w:tabs>
          <w:tab w:val="left" w:pos="1200"/>
        </w:tabs>
        <w:spacing w:after="0" w:line="20" w:lineRule="atLeast"/>
        <w:ind w:left="0"/>
        <w:rPr>
          <w:rFonts w:ascii="Verdana" w:hAnsi="Verdana"/>
          <w:sz w:val="20"/>
          <w:szCs w:val="20"/>
          <w:lang w:val="es-CR"/>
        </w:rPr>
      </w:pPr>
    </w:p>
    <w:p w:rsidR="00332F58" w:rsidRPr="00873FEC" w:rsidRDefault="00332F58" w:rsidP="00126E97">
      <w:pPr>
        <w:pStyle w:val="Heading2"/>
        <w:numPr>
          <w:ilvl w:val="0"/>
          <w:numId w:val="11"/>
        </w:numPr>
        <w:spacing w:before="0" w:line="20" w:lineRule="atLeast"/>
        <w:jc w:val="both"/>
        <w:rPr>
          <w:rFonts w:ascii="Verdana" w:hAnsi="Verdana" w:cs="Times New Roman"/>
          <w:i/>
          <w:color w:val="auto"/>
          <w:sz w:val="20"/>
          <w:szCs w:val="20"/>
          <w:lang w:val="es-CR"/>
        </w:rPr>
      </w:pPr>
      <w:bookmarkStart w:id="177" w:name="_Toc525201187"/>
      <w:r w:rsidRPr="00873FEC">
        <w:rPr>
          <w:rFonts w:ascii="Verdana" w:hAnsi="Verdana" w:cs="Times New Roman"/>
          <w:i/>
          <w:color w:val="auto"/>
          <w:sz w:val="20"/>
          <w:szCs w:val="20"/>
          <w:lang w:val="es-CR"/>
        </w:rPr>
        <w:t>Alegatos de la Comisión y de las partes</w:t>
      </w:r>
      <w:bookmarkEnd w:id="177"/>
    </w:p>
    <w:p w:rsidR="00332F58" w:rsidRPr="00873FEC" w:rsidRDefault="00332F58" w:rsidP="00126E97">
      <w:pPr>
        <w:pStyle w:val="ListParagraph"/>
        <w:tabs>
          <w:tab w:val="left" w:pos="1200"/>
        </w:tabs>
        <w:spacing w:after="0" w:line="20" w:lineRule="atLeast"/>
        <w:ind w:left="0"/>
        <w:rPr>
          <w:rFonts w:ascii="Verdana" w:hAnsi="Verdana"/>
          <w:sz w:val="20"/>
          <w:szCs w:val="20"/>
          <w:lang w:val="es-CR"/>
        </w:rPr>
      </w:pPr>
    </w:p>
    <w:p w:rsidR="00332F58" w:rsidRPr="00873FEC" w:rsidRDefault="00332F58" w:rsidP="00126E97">
      <w:pPr>
        <w:numPr>
          <w:ilvl w:val="0"/>
          <w:numId w:val="3"/>
        </w:numPr>
        <w:spacing w:after="0" w:line="20" w:lineRule="atLeast"/>
        <w:ind w:right="-138"/>
        <w:jc w:val="both"/>
        <w:rPr>
          <w:rFonts w:ascii="Verdana" w:hAnsi="Verdana"/>
          <w:sz w:val="20"/>
          <w:szCs w:val="20"/>
          <w:lang w:val="es-CR"/>
        </w:rPr>
      </w:pPr>
      <w:r w:rsidRPr="00873FEC">
        <w:rPr>
          <w:rFonts w:ascii="Verdana" w:hAnsi="Verdana"/>
          <w:sz w:val="20"/>
          <w:szCs w:val="20"/>
          <w:lang w:val="es-CL"/>
        </w:rPr>
        <w:t xml:space="preserve">La </w:t>
      </w:r>
      <w:r w:rsidRPr="00873FEC">
        <w:rPr>
          <w:rFonts w:ascii="Verdana" w:hAnsi="Verdana"/>
          <w:b/>
          <w:i/>
          <w:sz w:val="20"/>
          <w:szCs w:val="20"/>
          <w:lang w:val="es-CL"/>
        </w:rPr>
        <w:t>Comisión</w:t>
      </w:r>
      <w:r w:rsidRPr="00873FEC">
        <w:rPr>
          <w:rFonts w:ascii="Verdana" w:hAnsi="Verdana"/>
          <w:sz w:val="20"/>
          <w:szCs w:val="20"/>
          <w:lang w:val="es-CL"/>
        </w:rPr>
        <w:t xml:space="preserve"> consideró que la pérdida de un ser querido en una situación como la del caso, así como la demora en el trámite del proceso, generaron una afectación a la integridad psíquica y moral de familiares de las personas directamente afectadas. </w:t>
      </w:r>
      <w:r w:rsidRPr="00873FEC">
        <w:rPr>
          <w:rFonts w:ascii="Verdana" w:hAnsi="Verdana"/>
          <w:sz w:val="20"/>
          <w:szCs w:val="20"/>
          <w:lang w:val="es-CR"/>
        </w:rPr>
        <w:t xml:space="preserve">Señaló que familiares de personas heridas y </w:t>
      </w:r>
      <w:r w:rsidR="00F5049E" w:rsidRPr="00873FEC">
        <w:rPr>
          <w:rFonts w:ascii="Verdana" w:hAnsi="Verdana"/>
          <w:sz w:val="20"/>
          <w:szCs w:val="20"/>
          <w:lang w:val="es-CR"/>
        </w:rPr>
        <w:t>muertas, al formar parte de la C</w:t>
      </w:r>
      <w:r w:rsidRPr="00873FEC">
        <w:rPr>
          <w:rFonts w:ascii="Verdana" w:hAnsi="Verdana"/>
          <w:sz w:val="20"/>
          <w:szCs w:val="20"/>
          <w:lang w:val="es-CR"/>
        </w:rPr>
        <w:t xml:space="preserve">omunidad de la finca </w:t>
      </w:r>
      <w:proofErr w:type="spellStart"/>
      <w:r w:rsidRPr="00873FEC">
        <w:rPr>
          <w:rFonts w:ascii="Verdana" w:hAnsi="Verdana"/>
          <w:sz w:val="20"/>
          <w:szCs w:val="20"/>
          <w:lang w:val="es-CR"/>
        </w:rPr>
        <w:t>Xamán</w:t>
      </w:r>
      <w:proofErr w:type="spellEnd"/>
      <w:r w:rsidRPr="00873FEC">
        <w:rPr>
          <w:rFonts w:ascii="Verdana" w:hAnsi="Verdana"/>
          <w:sz w:val="20"/>
          <w:szCs w:val="20"/>
          <w:lang w:val="es-CR"/>
        </w:rPr>
        <w:t xml:space="preserve">, presenciaron los hechos de su fallecimiento y lesiones. </w:t>
      </w:r>
      <w:r w:rsidRPr="00873FEC">
        <w:rPr>
          <w:rFonts w:ascii="Verdana" w:hAnsi="Verdana"/>
          <w:sz w:val="20"/>
          <w:szCs w:val="20"/>
          <w:lang w:val="es-CL"/>
        </w:rPr>
        <w:t>Resaltó que no han recibido una adecuada asistencia médica ni psicológica. Concluyó que el Estado violó el artículo 5.1 de la Convención</w:t>
      </w:r>
      <w:r w:rsidR="00C66AF3">
        <w:rPr>
          <w:rFonts w:ascii="Verdana" w:hAnsi="Verdana"/>
          <w:sz w:val="20"/>
          <w:szCs w:val="20"/>
          <w:lang w:val="es-CL"/>
        </w:rPr>
        <w:t>,</w:t>
      </w:r>
      <w:r w:rsidRPr="00873FEC">
        <w:rPr>
          <w:rFonts w:ascii="Verdana" w:hAnsi="Verdana"/>
          <w:sz w:val="20"/>
          <w:szCs w:val="20"/>
          <w:lang w:val="es-CL"/>
        </w:rPr>
        <w:t xml:space="preserve"> con relación al artículo 1.1 de la misma, en perjuicio de </w:t>
      </w:r>
      <w:r w:rsidR="005B4879" w:rsidRPr="00873FEC">
        <w:rPr>
          <w:rFonts w:ascii="Verdana" w:hAnsi="Verdana"/>
          <w:sz w:val="20"/>
          <w:szCs w:val="20"/>
          <w:lang w:val="es-CL"/>
        </w:rPr>
        <w:t xml:space="preserve">los </w:t>
      </w:r>
      <w:r w:rsidRPr="00873FEC">
        <w:rPr>
          <w:rFonts w:ascii="Verdana" w:hAnsi="Verdana"/>
          <w:sz w:val="20"/>
          <w:szCs w:val="20"/>
          <w:lang w:val="es-CL"/>
        </w:rPr>
        <w:t>familiares de las personas muertas y heridas</w:t>
      </w:r>
      <w:r w:rsidRPr="00873FEC">
        <w:rPr>
          <w:rStyle w:val="FootnoteReference"/>
          <w:rFonts w:ascii="Verdana" w:hAnsi="Verdana"/>
          <w:sz w:val="20"/>
          <w:lang w:val="es-CR" w:eastAsia="x-none"/>
        </w:rPr>
        <w:footnoteReference w:id="183"/>
      </w:r>
      <w:r w:rsidRPr="00873FEC">
        <w:rPr>
          <w:rFonts w:ascii="Verdana" w:hAnsi="Verdana"/>
          <w:sz w:val="20"/>
          <w:szCs w:val="20"/>
          <w:lang w:val="es-CL"/>
        </w:rPr>
        <w:t xml:space="preserve">. </w:t>
      </w:r>
      <w:r w:rsidRPr="00873FEC">
        <w:rPr>
          <w:rFonts w:ascii="Verdana" w:hAnsi="Verdana" w:cs="Times New Roman"/>
          <w:sz w:val="20"/>
          <w:szCs w:val="20"/>
          <w:lang w:val="es-CR"/>
        </w:rPr>
        <w:t xml:space="preserve">Los </w:t>
      </w:r>
      <w:r w:rsidRPr="00873FEC">
        <w:rPr>
          <w:rFonts w:ascii="Verdana" w:hAnsi="Verdana" w:cs="Times New Roman"/>
          <w:b/>
          <w:i/>
          <w:sz w:val="20"/>
          <w:szCs w:val="20"/>
          <w:lang w:val="es-CR"/>
        </w:rPr>
        <w:t>representantes</w:t>
      </w:r>
      <w:r w:rsidRPr="00873FEC">
        <w:rPr>
          <w:rFonts w:ascii="Verdana" w:hAnsi="Verdana" w:cs="Times New Roman"/>
          <w:sz w:val="20"/>
          <w:szCs w:val="20"/>
          <w:lang w:val="es-CR"/>
        </w:rPr>
        <w:t xml:space="preserve"> se manifestaron en el mismo sentido que la Comisión. </w:t>
      </w:r>
    </w:p>
    <w:p w:rsidR="00332F58" w:rsidRPr="00873FEC" w:rsidRDefault="00332F58" w:rsidP="00126E97">
      <w:pPr>
        <w:tabs>
          <w:tab w:val="left" w:pos="1050"/>
        </w:tabs>
        <w:spacing w:after="0" w:line="20" w:lineRule="atLeast"/>
        <w:rPr>
          <w:rFonts w:ascii="Verdana" w:hAnsi="Verdana"/>
          <w:sz w:val="20"/>
          <w:szCs w:val="20"/>
          <w:lang w:val="es-CR"/>
        </w:rPr>
      </w:pPr>
    </w:p>
    <w:p w:rsidR="001D1F47" w:rsidRPr="00873FEC" w:rsidRDefault="00332F58" w:rsidP="00126E97">
      <w:pPr>
        <w:numPr>
          <w:ilvl w:val="0"/>
          <w:numId w:val="3"/>
        </w:numPr>
        <w:spacing w:after="0" w:line="20" w:lineRule="atLeast"/>
        <w:ind w:right="-138"/>
        <w:jc w:val="both"/>
        <w:rPr>
          <w:rFonts w:ascii="Verdana" w:hAnsi="Verdana"/>
          <w:sz w:val="20"/>
          <w:szCs w:val="20"/>
          <w:lang w:val="es-CR"/>
        </w:rPr>
      </w:pPr>
      <w:r w:rsidRPr="00873FEC">
        <w:rPr>
          <w:rFonts w:ascii="Verdana" w:hAnsi="Verdana" w:cs="Times New Roman"/>
          <w:sz w:val="20"/>
          <w:szCs w:val="20"/>
          <w:lang w:val="es-CR"/>
        </w:rPr>
        <w:t xml:space="preserve">El </w:t>
      </w:r>
      <w:r w:rsidRPr="00873FEC">
        <w:rPr>
          <w:rFonts w:ascii="Verdana" w:hAnsi="Verdana" w:cs="Times New Roman"/>
          <w:b/>
          <w:i/>
          <w:sz w:val="20"/>
          <w:szCs w:val="20"/>
          <w:lang w:val="es-CR"/>
        </w:rPr>
        <w:t>Estado</w:t>
      </w:r>
      <w:r w:rsidRPr="00873FEC">
        <w:rPr>
          <w:rFonts w:ascii="Verdana" w:hAnsi="Verdana" w:cs="Times New Roman"/>
          <w:i/>
          <w:sz w:val="20"/>
          <w:szCs w:val="20"/>
          <w:lang w:val="es-CR"/>
        </w:rPr>
        <w:t xml:space="preserve">, </w:t>
      </w:r>
      <w:r w:rsidRPr="00873FEC">
        <w:rPr>
          <w:rFonts w:ascii="Verdana" w:hAnsi="Verdana" w:cs="Times New Roman"/>
          <w:sz w:val="20"/>
          <w:szCs w:val="20"/>
          <w:lang w:val="es-CR"/>
        </w:rPr>
        <w:t xml:space="preserve">como se ha </w:t>
      </w:r>
      <w:r w:rsidR="00C66AF3">
        <w:rPr>
          <w:rFonts w:ascii="Verdana" w:hAnsi="Verdana" w:cs="Times New Roman"/>
          <w:sz w:val="20"/>
          <w:szCs w:val="20"/>
          <w:lang w:val="es-CR"/>
        </w:rPr>
        <w:t>señalado</w:t>
      </w:r>
      <w:r w:rsidRPr="00873FEC">
        <w:rPr>
          <w:rFonts w:ascii="Verdana" w:hAnsi="Verdana" w:cs="Times New Roman"/>
          <w:i/>
          <w:sz w:val="20"/>
          <w:szCs w:val="20"/>
          <w:lang w:val="es-CR"/>
        </w:rPr>
        <w:t xml:space="preserve"> (supra</w:t>
      </w:r>
      <w:r w:rsidRPr="00873FEC">
        <w:rPr>
          <w:rFonts w:ascii="Verdana" w:hAnsi="Verdana" w:cs="Times New Roman"/>
          <w:sz w:val="20"/>
          <w:szCs w:val="20"/>
          <w:lang w:val="es-CR"/>
        </w:rPr>
        <w:t xml:space="preserve"> párr. </w:t>
      </w:r>
      <w:r w:rsidR="008877A6" w:rsidRPr="00873FEC">
        <w:rPr>
          <w:rFonts w:ascii="Verdana" w:hAnsi="Verdana" w:cs="Times New Roman"/>
          <w:sz w:val="20"/>
          <w:szCs w:val="20"/>
          <w:lang w:val="es-CR"/>
        </w:rPr>
        <w:t>103</w:t>
      </w:r>
      <w:r w:rsidRPr="00873FEC">
        <w:rPr>
          <w:rFonts w:ascii="Verdana" w:hAnsi="Verdana" w:cs="Times New Roman"/>
          <w:sz w:val="20"/>
          <w:szCs w:val="20"/>
          <w:lang w:val="es-CR"/>
        </w:rPr>
        <w:t xml:space="preserve">), </w:t>
      </w:r>
      <w:r w:rsidR="00C66AF3">
        <w:rPr>
          <w:rFonts w:ascii="Verdana" w:hAnsi="Verdana" w:cs="Times New Roman"/>
          <w:sz w:val="20"/>
          <w:szCs w:val="20"/>
          <w:lang w:val="es-CR"/>
        </w:rPr>
        <w:t>indicó que no es</w:t>
      </w:r>
      <w:r w:rsidRPr="00873FEC">
        <w:rPr>
          <w:rFonts w:ascii="Verdana" w:hAnsi="Verdana" w:cs="Times New Roman"/>
          <w:sz w:val="20"/>
          <w:szCs w:val="20"/>
          <w:lang w:val="es-CR"/>
        </w:rPr>
        <w:t xml:space="preserve"> responsable por violar el derecho a la integridad personal, dadas las investigaciones desarrolladas en el ámbito interno. </w:t>
      </w:r>
    </w:p>
    <w:p w:rsidR="00126E97" w:rsidRPr="00873FEC" w:rsidRDefault="00126E97" w:rsidP="00126E97">
      <w:pPr>
        <w:pStyle w:val="ListParagraph"/>
        <w:spacing w:after="0" w:line="20" w:lineRule="atLeast"/>
        <w:rPr>
          <w:rFonts w:ascii="Verdana" w:hAnsi="Verdana"/>
          <w:sz w:val="20"/>
          <w:szCs w:val="20"/>
        </w:rPr>
      </w:pPr>
    </w:p>
    <w:p w:rsidR="001D1F47" w:rsidRPr="00873FEC" w:rsidRDefault="001D1F47" w:rsidP="00126E97">
      <w:pPr>
        <w:pStyle w:val="Heading2"/>
        <w:numPr>
          <w:ilvl w:val="0"/>
          <w:numId w:val="11"/>
        </w:numPr>
        <w:spacing w:before="0" w:line="20" w:lineRule="atLeast"/>
        <w:jc w:val="both"/>
        <w:rPr>
          <w:rFonts w:ascii="Verdana" w:hAnsi="Verdana" w:cs="Times New Roman"/>
          <w:i/>
          <w:color w:val="auto"/>
          <w:sz w:val="20"/>
          <w:szCs w:val="20"/>
          <w:lang w:val="es-CR"/>
        </w:rPr>
      </w:pPr>
      <w:bookmarkStart w:id="178" w:name="_Toc525201188"/>
      <w:r w:rsidRPr="00873FEC">
        <w:rPr>
          <w:rFonts w:ascii="Verdana" w:hAnsi="Verdana" w:cs="Times New Roman"/>
          <w:i/>
          <w:color w:val="auto"/>
          <w:sz w:val="20"/>
          <w:szCs w:val="20"/>
          <w:lang w:val="es-CR"/>
        </w:rPr>
        <w:t>Consideraciones de la Corte</w:t>
      </w:r>
      <w:bookmarkEnd w:id="178"/>
    </w:p>
    <w:p w:rsidR="001D1F47" w:rsidRPr="00873FEC" w:rsidRDefault="001D1F47" w:rsidP="00126E97">
      <w:pPr>
        <w:pStyle w:val="ListParagraph"/>
        <w:spacing w:after="0" w:line="20" w:lineRule="atLeast"/>
        <w:rPr>
          <w:rFonts w:ascii="Verdana" w:hAnsi="Verdana"/>
          <w:sz w:val="20"/>
          <w:szCs w:val="20"/>
        </w:rPr>
      </w:pPr>
    </w:p>
    <w:p w:rsidR="00332F58" w:rsidRPr="00873FEC" w:rsidRDefault="00332F58" w:rsidP="00126E97">
      <w:pPr>
        <w:numPr>
          <w:ilvl w:val="0"/>
          <w:numId w:val="3"/>
        </w:numPr>
        <w:spacing w:after="0" w:line="20" w:lineRule="atLeast"/>
        <w:ind w:right="-138"/>
        <w:jc w:val="both"/>
        <w:rPr>
          <w:rFonts w:ascii="Verdana" w:hAnsi="Verdana"/>
          <w:sz w:val="20"/>
          <w:szCs w:val="20"/>
          <w:lang w:val="es-CR"/>
        </w:rPr>
      </w:pPr>
      <w:r w:rsidRPr="00873FEC">
        <w:rPr>
          <w:rFonts w:ascii="Verdana" w:hAnsi="Verdana"/>
          <w:sz w:val="20"/>
          <w:szCs w:val="20"/>
        </w:rPr>
        <w:t>La Corte ha sostenido, en reiteradas ocasiones</w:t>
      </w:r>
      <w:r w:rsidRPr="00873FEC">
        <w:rPr>
          <w:rStyle w:val="FootnoteReference"/>
          <w:rFonts w:ascii="Verdana" w:hAnsi="Verdana"/>
          <w:color w:val="2D2D2D"/>
          <w:sz w:val="20"/>
          <w:lang w:val="es-CL" w:eastAsia="x-none"/>
        </w:rPr>
        <w:footnoteReference w:id="184"/>
      </w:r>
      <w:r w:rsidRPr="00873FEC">
        <w:rPr>
          <w:rFonts w:ascii="Verdana" w:hAnsi="Verdana"/>
          <w:sz w:val="20"/>
          <w:szCs w:val="20"/>
        </w:rPr>
        <w:t>, que</w:t>
      </w:r>
      <w:r w:rsidRPr="00873FEC">
        <w:rPr>
          <w:rFonts w:ascii="Verdana" w:hAnsi="Verdana"/>
          <w:color w:val="1A1A1A"/>
          <w:sz w:val="20"/>
          <w:szCs w:val="20"/>
        </w:rPr>
        <w:t xml:space="preserve"> lo</w:t>
      </w:r>
      <w:r w:rsidRPr="00873FEC">
        <w:rPr>
          <w:rFonts w:ascii="Verdana" w:hAnsi="Verdana"/>
          <w:color w:val="3C3C3C"/>
          <w:sz w:val="20"/>
          <w:szCs w:val="20"/>
        </w:rPr>
        <w:t xml:space="preserve">s </w:t>
      </w:r>
      <w:r w:rsidRPr="00873FEC">
        <w:rPr>
          <w:rFonts w:ascii="Verdana" w:hAnsi="Verdana"/>
          <w:sz w:val="20"/>
          <w:szCs w:val="20"/>
        </w:rPr>
        <w:t xml:space="preserve">familiares </w:t>
      </w:r>
      <w:r w:rsidRPr="00873FEC">
        <w:rPr>
          <w:rFonts w:ascii="Verdana" w:hAnsi="Verdana"/>
          <w:color w:val="1A1A1A"/>
          <w:sz w:val="20"/>
          <w:szCs w:val="20"/>
        </w:rPr>
        <w:t xml:space="preserve">de </w:t>
      </w:r>
      <w:r w:rsidRPr="00873FEC">
        <w:rPr>
          <w:rFonts w:ascii="Verdana" w:hAnsi="Verdana"/>
          <w:sz w:val="20"/>
          <w:szCs w:val="20"/>
        </w:rPr>
        <w:t xml:space="preserve">víctimas </w:t>
      </w:r>
      <w:r w:rsidRPr="00873FEC">
        <w:rPr>
          <w:rFonts w:ascii="Verdana" w:hAnsi="Verdana"/>
          <w:color w:val="1A1A1A"/>
          <w:sz w:val="20"/>
          <w:szCs w:val="20"/>
        </w:rPr>
        <w:t xml:space="preserve">de </w:t>
      </w:r>
      <w:r w:rsidRPr="00873FEC">
        <w:rPr>
          <w:rFonts w:ascii="Verdana" w:hAnsi="Verdana"/>
          <w:sz w:val="20"/>
          <w:szCs w:val="20"/>
        </w:rPr>
        <w:t xml:space="preserve">ciertas violaciones </w:t>
      </w:r>
      <w:r w:rsidRPr="00873FEC">
        <w:rPr>
          <w:rFonts w:ascii="Verdana" w:hAnsi="Verdana"/>
          <w:color w:val="1A1A1A"/>
          <w:sz w:val="20"/>
          <w:szCs w:val="20"/>
        </w:rPr>
        <w:t>de derechos humanos</w:t>
      </w:r>
      <w:r w:rsidRPr="00873FEC">
        <w:rPr>
          <w:rFonts w:ascii="Verdana" w:hAnsi="Verdana"/>
          <w:color w:val="3C3C3C"/>
          <w:sz w:val="20"/>
          <w:szCs w:val="20"/>
        </w:rPr>
        <w:t xml:space="preserve"> </w:t>
      </w:r>
      <w:r w:rsidRPr="00873FEC">
        <w:rPr>
          <w:rFonts w:ascii="Verdana" w:hAnsi="Verdana"/>
          <w:color w:val="1A1A1A"/>
          <w:sz w:val="20"/>
          <w:szCs w:val="20"/>
        </w:rPr>
        <w:t xml:space="preserve">pueden ser </w:t>
      </w:r>
      <w:r w:rsidRPr="00873FEC">
        <w:rPr>
          <w:rFonts w:ascii="Verdana" w:hAnsi="Verdana"/>
          <w:sz w:val="20"/>
          <w:szCs w:val="20"/>
        </w:rPr>
        <w:t>considerados</w:t>
      </w:r>
      <w:r w:rsidRPr="00873FEC">
        <w:rPr>
          <w:rFonts w:ascii="Verdana" w:hAnsi="Verdana"/>
          <w:color w:val="4E4E4E"/>
          <w:sz w:val="20"/>
          <w:szCs w:val="20"/>
        </w:rPr>
        <w:t xml:space="preserve">, </w:t>
      </w:r>
      <w:r w:rsidRPr="00873FEC">
        <w:rPr>
          <w:rFonts w:ascii="Verdana" w:hAnsi="Verdana"/>
          <w:sz w:val="20"/>
          <w:szCs w:val="20"/>
        </w:rPr>
        <w:t xml:space="preserve">a su </w:t>
      </w:r>
      <w:r w:rsidRPr="00873FEC">
        <w:rPr>
          <w:rFonts w:ascii="Verdana" w:hAnsi="Verdana"/>
          <w:color w:val="1A1A1A"/>
          <w:sz w:val="20"/>
          <w:szCs w:val="20"/>
        </w:rPr>
        <w:t xml:space="preserve">vez, </w:t>
      </w:r>
      <w:r w:rsidRPr="00873FEC">
        <w:rPr>
          <w:rFonts w:ascii="Verdana" w:hAnsi="Verdana"/>
          <w:sz w:val="20"/>
          <w:szCs w:val="20"/>
        </w:rPr>
        <w:t>como víctimas</w:t>
      </w:r>
      <w:r w:rsidR="00065154" w:rsidRPr="00873FEC">
        <w:rPr>
          <w:rStyle w:val="FootnoteReference"/>
          <w:rFonts w:ascii="Verdana" w:hAnsi="Verdana"/>
          <w:sz w:val="20"/>
        </w:rPr>
        <w:footnoteReference w:id="185"/>
      </w:r>
      <w:r w:rsidRPr="00873FEC">
        <w:rPr>
          <w:rFonts w:ascii="Verdana" w:hAnsi="Verdana"/>
          <w:sz w:val="20"/>
          <w:szCs w:val="20"/>
        </w:rPr>
        <w:t>.</w:t>
      </w:r>
      <w:r w:rsidR="00065154" w:rsidRPr="00873FEC">
        <w:rPr>
          <w:rFonts w:ascii="Verdana" w:hAnsi="Verdana"/>
          <w:sz w:val="20"/>
          <w:szCs w:val="20"/>
        </w:rPr>
        <w:t xml:space="preserve"> </w:t>
      </w:r>
      <w:r w:rsidRPr="00873FEC">
        <w:rPr>
          <w:rFonts w:ascii="Verdana" w:hAnsi="Verdana"/>
          <w:sz w:val="20"/>
          <w:szCs w:val="20"/>
        </w:rPr>
        <w:t xml:space="preserve">Del mismo modo, ha señalado que se puede declarar la violación del derecho a la integridad de familiares de víctimas de ciertas violaciones de derechos humanos, aplicando una presunción </w:t>
      </w:r>
      <w:r w:rsidRPr="00873FEC">
        <w:rPr>
          <w:rFonts w:ascii="Verdana" w:hAnsi="Verdana"/>
          <w:i/>
          <w:sz w:val="20"/>
          <w:szCs w:val="20"/>
        </w:rPr>
        <w:t>iuris tantum</w:t>
      </w:r>
      <w:r w:rsidRPr="00873FEC">
        <w:rPr>
          <w:rFonts w:ascii="Verdana" w:hAnsi="Verdana"/>
          <w:sz w:val="20"/>
          <w:szCs w:val="20"/>
        </w:rPr>
        <w:t xml:space="preserve"> respecto</w:t>
      </w:r>
      <w:r w:rsidR="00167906" w:rsidRPr="00873FEC">
        <w:rPr>
          <w:rFonts w:ascii="Verdana" w:hAnsi="Verdana"/>
          <w:sz w:val="20"/>
          <w:szCs w:val="20"/>
        </w:rPr>
        <w:t xml:space="preserve"> familiares tales como</w:t>
      </w:r>
      <w:r w:rsidRPr="00873FEC">
        <w:rPr>
          <w:rFonts w:ascii="Verdana" w:hAnsi="Verdana"/>
          <w:sz w:val="20"/>
          <w:szCs w:val="20"/>
        </w:rPr>
        <w:t xml:space="preserve"> de madres y padres, hijas e hijos, esposos y esposas y compañeros y compañeras permanentes, siempre que ello responda a las circunstancias particulares en el caso</w:t>
      </w:r>
      <w:r w:rsidRPr="00873FEC">
        <w:rPr>
          <w:rStyle w:val="FootnoteReference"/>
          <w:rFonts w:ascii="Verdana" w:hAnsi="Verdana"/>
          <w:sz w:val="20"/>
          <w:lang w:eastAsia="x-none"/>
        </w:rPr>
        <w:footnoteReference w:id="186"/>
      </w:r>
      <w:r w:rsidRPr="00873FEC">
        <w:rPr>
          <w:rFonts w:ascii="Verdana" w:hAnsi="Verdana"/>
          <w:sz w:val="20"/>
          <w:szCs w:val="20"/>
        </w:rPr>
        <w:t xml:space="preserve">. En relación </w:t>
      </w:r>
      <w:r w:rsidR="00167906" w:rsidRPr="00873FEC">
        <w:rPr>
          <w:rFonts w:ascii="Verdana" w:hAnsi="Verdana"/>
          <w:sz w:val="20"/>
          <w:szCs w:val="20"/>
        </w:rPr>
        <w:t>con</w:t>
      </w:r>
      <w:r w:rsidRPr="00873FEC">
        <w:rPr>
          <w:rFonts w:ascii="Verdana" w:hAnsi="Verdana"/>
          <w:sz w:val="20"/>
          <w:szCs w:val="20"/>
        </w:rPr>
        <w:t xml:space="preserve"> tales familiares, corresponde al Estado desvirtuar dicha presunción</w:t>
      </w:r>
      <w:r w:rsidRPr="00873FEC">
        <w:rPr>
          <w:rStyle w:val="FootnoteReference"/>
          <w:rFonts w:ascii="Verdana" w:hAnsi="Verdana"/>
          <w:sz w:val="20"/>
          <w:lang w:eastAsia="x-none"/>
        </w:rPr>
        <w:footnoteReference w:id="187"/>
      </w:r>
      <w:r w:rsidR="00972480" w:rsidRPr="00873FEC">
        <w:rPr>
          <w:rFonts w:ascii="Verdana" w:hAnsi="Verdana"/>
          <w:sz w:val="20"/>
          <w:szCs w:val="20"/>
        </w:rPr>
        <w:t>, la que</w:t>
      </w:r>
      <w:r w:rsidRPr="00873FEC">
        <w:rPr>
          <w:rFonts w:ascii="Verdana" w:hAnsi="Verdana"/>
          <w:sz w:val="20"/>
          <w:szCs w:val="20"/>
        </w:rPr>
        <w:t xml:space="preserve"> </w:t>
      </w:r>
      <w:r w:rsidR="00972480" w:rsidRPr="00873FEC">
        <w:rPr>
          <w:rFonts w:ascii="Verdana" w:hAnsi="Verdana"/>
          <w:sz w:val="20"/>
          <w:szCs w:val="20"/>
        </w:rPr>
        <w:t>p</w:t>
      </w:r>
      <w:r w:rsidR="00167906" w:rsidRPr="00873FEC">
        <w:rPr>
          <w:rFonts w:ascii="Verdana" w:hAnsi="Verdana"/>
          <w:sz w:val="20"/>
          <w:szCs w:val="20"/>
        </w:rPr>
        <w:t>rocede e</w:t>
      </w:r>
      <w:r w:rsidRPr="00873FEC">
        <w:rPr>
          <w:rFonts w:ascii="Verdana" w:hAnsi="Verdana"/>
          <w:sz w:val="20"/>
          <w:szCs w:val="20"/>
          <w:lang w:val="es-CR"/>
        </w:rPr>
        <w:t>n casos de masacres y ejecuciones extrajudiciales</w:t>
      </w:r>
      <w:r w:rsidRPr="00873FEC">
        <w:rPr>
          <w:rStyle w:val="FootnoteReference"/>
          <w:rFonts w:ascii="Verdana" w:hAnsi="Verdana"/>
          <w:sz w:val="20"/>
          <w:lang w:val="es-CR" w:eastAsia="x-none"/>
        </w:rPr>
        <w:footnoteReference w:id="188"/>
      </w:r>
      <w:r w:rsidRPr="00873FEC">
        <w:rPr>
          <w:rFonts w:ascii="Verdana" w:hAnsi="Verdana"/>
          <w:sz w:val="20"/>
          <w:szCs w:val="20"/>
          <w:lang w:val="es-CR"/>
        </w:rPr>
        <w:t xml:space="preserve"> respecto de familiares de personas muertas. </w:t>
      </w:r>
      <w:r w:rsidRPr="00873FEC">
        <w:rPr>
          <w:rFonts w:ascii="Verdana" w:hAnsi="Verdana"/>
          <w:sz w:val="20"/>
          <w:szCs w:val="20"/>
        </w:rPr>
        <w:t xml:space="preserve">En circunstancias en que no procede la presunción, este </w:t>
      </w:r>
      <w:r w:rsidRPr="00873FEC">
        <w:rPr>
          <w:rFonts w:ascii="Verdana" w:hAnsi="Verdana"/>
          <w:sz w:val="20"/>
          <w:szCs w:val="20"/>
        </w:rPr>
        <w:lastRenderedPageBreak/>
        <w:t>Tribunal debe evaluar, por un lado, la existencia de un vínculo particularmente estrecho entre los familiares y la víctima del caso que les permita establecer una afectación a su integridad personal y, por otro lado, si de la prueba que consta en el expediente se acredita una violación del derecho a la integridad</w:t>
      </w:r>
      <w:r w:rsidR="0081472F" w:rsidRPr="00873FEC">
        <w:rPr>
          <w:rFonts w:ascii="Verdana" w:hAnsi="Verdana"/>
          <w:sz w:val="20"/>
          <w:szCs w:val="20"/>
        </w:rPr>
        <w:t xml:space="preserve"> personal</w:t>
      </w:r>
      <w:r w:rsidRPr="00873FEC">
        <w:rPr>
          <w:rStyle w:val="FootnoteReference"/>
          <w:rFonts w:ascii="Verdana" w:hAnsi="Verdana"/>
          <w:sz w:val="20"/>
          <w:lang w:eastAsia="x-none"/>
        </w:rPr>
        <w:footnoteReference w:id="189"/>
      </w:r>
      <w:r w:rsidRPr="00873FEC">
        <w:rPr>
          <w:rFonts w:ascii="Verdana" w:hAnsi="Verdana"/>
          <w:sz w:val="20"/>
          <w:szCs w:val="20"/>
        </w:rPr>
        <w:t>.</w:t>
      </w:r>
    </w:p>
    <w:p w:rsidR="00332F58" w:rsidRPr="00873FEC" w:rsidRDefault="00332F58" w:rsidP="00126E97">
      <w:pPr>
        <w:pStyle w:val="ListParagraph"/>
        <w:spacing w:after="0" w:line="20" w:lineRule="atLeast"/>
        <w:rPr>
          <w:rFonts w:ascii="Verdana" w:hAnsi="Verdana"/>
          <w:color w:val="1A1A1A"/>
          <w:sz w:val="20"/>
          <w:szCs w:val="20"/>
          <w:lang w:val="es-CL"/>
        </w:rPr>
      </w:pPr>
    </w:p>
    <w:p w:rsidR="00332F58" w:rsidRPr="00873FEC" w:rsidRDefault="00332F58" w:rsidP="00126E97">
      <w:pPr>
        <w:numPr>
          <w:ilvl w:val="0"/>
          <w:numId w:val="3"/>
        </w:numPr>
        <w:spacing w:after="0" w:line="20" w:lineRule="atLeast"/>
        <w:ind w:right="-138"/>
        <w:jc w:val="both"/>
        <w:rPr>
          <w:szCs w:val="20"/>
          <w:lang w:val="es-CL"/>
        </w:rPr>
      </w:pPr>
      <w:r w:rsidRPr="00873FEC">
        <w:rPr>
          <w:rFonts w:ascii="Verdana" w:hAnsi="Verdana"/>
          <w:sz w:val="20"/>
          <w:szCs w:val="20"/>
        </w:rPr>
        <w:t xml:space="preserve">En el presente caso, debe presumirse que los familiares directos de las personas que fueron muertas el 5 de octubre de 1995 vieron afectada su integridad personal. La Corte no cuenta con elementos para desvirtuar esta presunción. Además, en el caso, </w:t>
      </w:r>
      <w:r w:rsidR="00C66AF3">
        <w:rPr>
          <w:rFonts w:ascii="Verdana" w:hAnsi="Verdana"/>
          <w:sz w:val="20"/>
          <w:szCs w:val="20"/>
        </w:rPr>
        <w:t>se</w:t>
      </w:r>
      <w:r w:rsidRPr="00873FEC">
        <w:rPr>
          <w:rFonts w:ascii="Verdana" w:hAnsi="Verdana"/>
          <w:sz w:val="20"/>
          <w:szCs w:val="20"/>
        </w:rPr>
        <w:t xml:space="preserve"> entiende que las afectaciones </w:t>
      </w:r>
      <w:r w:rsidR="00C66AF3">
        <w:rPr>
          <w:rFonts w:ascii="Verdana" w:hAnsi="Verdana"/>
          <w:sz w:val="20"/>
          <w:szCs w:val="20"/>
        </w:rPr>
        <w:t>a</w:t>
      </w:r>
      <w:r w:rsidRPr="00873FEC">
        <w:rPr>
          <w:rFonts w:ascii="Verdana" w:hAnsi="Verdana"/>
          <w:sz w:val="20"/>
          <w:szCs w:val="20"/>
        </w:rPr>
        <w:t xml:space="preserve"> la integridad personal de dichos familiares se ven agravadas por haber vivido por sí mismos los hechos</w:t>
      </w:r>
      <w:r w:rsidRPr="00873FEC">
        <w:rPr>
          <w:rStyle w:val="FootnoteReference"/>
          <w:rFonts w:ascii="Verdana" w:hAnsi="Verdana"/>
          <w:sz w:val="20"/>
          <w:lang w:eastAsia="x-none"/>
        </w:rPr>
        <w:footnoteReference w:id="190"/>
      </w:r>
      <w:r w:rsidRPr="00873FEC">
        <w:rPr>
          <w:rFonts w:ascii="Verdana" w:hAnsi="Verdana"/>
          <w:sz w:val="20"/>
          <w:szCs w:val="20"/>
        </w:rPr>
        <w:t xml:space="preserve"> y, en algunos casos, ser testigos directos de la muerte de un ser querido</w:t>
      </w:r>
      <w:r w:rsidRPr="00873FEC">
        <w:rPr>
          <w:rStyle w:val="FootnoteReference"/>
          <w:rFonts w:ascii="Verdana" w:hAnsi="Verdana"/>
          <w:sz w:val="20"/>
          <w:lang w:eastAsia="x-none"/>
        </w:rPr>
        <w:footnoteReference w:id="191"/>
      </w:r>
      <w:r w:rsidRPr="00873FEC">
        <w:rPr>
          <w:rFonts w:ascii="Verdana" w:hAnsi="Verdana"/>
          <w:sz w:val="20"/>
          <w:szCs w:val="20"/>
        </w:rPr>
        <w:t>. Aunado a lo dicho, no consta que el Estado</w:t>
      </w:r>
      <w:r w:rsidRPr="00873FEC">
        <w:rPr>
          <w:rFonts w:ascii="Verdana" w:hAnsi="Verdana"/>
          <w:sz w:val="20"/>
          <w:szCs w:val="20"/>
          <w:lang w:val="es-CL"/>
        </w:rPr>
        <w:t xml:space="preserve"> </w:t>
      </w:r>
      <w:proofErr w:type="spellStart"/>
      <w:r w:rsidRPr="00873FEC">
        <w:rPr>
          <w:rFonts w:ascii="Verdana" w:hAnsi="Verdana"/>
          <w:sz w:val="20"/>
          <w:szCs w:val="20"/>
          <w:lang w:val="es-CL"/>
        </w:rPr>
        <w:t>brindara</w:t>
      </w:r>
      <w:proofErr w:type="spellEnd"/>
      <w:r w:rsidRPr="00873FEC">
        <w:rPr>
          <w:rFonts w:ascii="Verdana" w:hAnsi="Verdana"/>
          <w:sz w:val="20"/>
          <w:szCs w:val="20"/>
          <w:lang w:val="es-CL"/>
        </w:rPr>
        <w:t xml:space="preserve"> asistencia médica o psicológica frente a esta situación</w:t>
      </w:r>
      <w:r w:rsidRPr="00873FEC">
        <w:rPr>
          <w:rStyle w:val="FootnoteReference"/>
          <w:rFonts w:ascii="Verdana" w:hAnsi="Verdana"/>
          <w:sz w:val="20"/>
          <w:lang w:eastAsia="x-none"/>
        </w:rPr>
        <w:footnoteReference w:id="192"/>
      </w:r>
      <w:r w:rsidRPr="00873FEC">
        <w:rPr>
          <w:rFonts w:ascii="Verdana" w:hAnsi="Verdana"/>
          <w:sz w:val="20"/>
          <w:szCs w:val="20"/>
        </w:rPr>
        <w:t xml:space="preserve">. Por lo tanto, Guatemala violó el derecho a la integridad respecto de los familiares directos de las víctimas fallecidas. </w:t>
      </w:r>
    </w:p>
    <w:p w:rsidR="00FE7D3F" w:rsidRPr="00873FEC" w:rsidRDefault="00FE7D3F" w:rsidP="00126E97">
      <w:pPr>
        <w:spacing w:after="0" w:line="20" w:lineRule="atLeast"/>
        <w:ind w:right="-138"/>
        <w:jc w:val="both"/>
        <w:rPr>
          <w:szCs w:val="20"/>
          <w:lang w:val="es-CL"/>
        </w:rPr>
      </w:pPr>
    </w:p>
    <w:p w:rsidR="00332F58" w:rsidRPr="00873FEC" w:rsidRDefault="00332F58" w:rsidP="00126E97">
      <w:pPr>
        <w:numPr>
          <w:ilvl w:val="0"/>
          <w:numId w:val="3"/>
        </w:numPr>
        <w:spacing w:after="0" w:line="20" w:lineRule="atLeast"/>
        <w:ind w:right="-138"/>
        <w:jc w:val="both"/>
        <w:rPr>
          <w:rFonts w:ascii="Verdana" w:hAnsi="Verdana"/>
          <w:sz w:val="20"/>
          <w:szCs w:val="20"/>
          <w:lang w:val="es-CR"/>
        </w:rPr>
      </w:pPr>
      <w:r w:rsidRPr="00873FEC">
        <w:rPr>
          <w:rFonts w:ascii="Verdana" w:hAnsi="Verdana"/>
          <w:sz w:val="20"/>
          <w:szCs w:val="20"/>
          <w:lang w:val="es-CL"/>
        </w:rPr>
        <w:t>Con r</w:t>
      </w:r>
      <w:r w:rsidRPr="00873FEC">
        <w:rPr>
          <w:rFonts w:ascii="Verdana" w:hAnsi="Verdana"/>
          <w:sz w:val="20"/>
          <w:szCs w:val="20"/>
          <w:lang w:val="es-CR"/>
        </w:rPr>
        <w:t>elación a familiares de personas heridas, la Comisión y los representantes s</w:t>
      </w:r>
      <w:r w:rsidR="00C66AF3">
        <w:rPr>
          <w:rFonts w:ascii="Verdana" w:hAnsi="Verdana"/>
          <w:sz w:val="20"/>
          <w:szCs w:val="20"/>
          <w:lang w:val="es-CR"/>
        </w:rPr>
        <w:t>ó</w:t>
      </w:r>
      <w:r w:rsidRPr="00873FEC">
        <w:rPr>
          <w:rFonts w:ascii="Verdana" w:hAnsi="Verdana"/>
          <w:sz w:val="20"/>
          <w:szCs w:val="20"/>
          <w:lang w:val="es-CR"/>
        </w:rPr>
        <w:t>lo señalaron como presuntas víctimas a familiares de Francisco Hernández. No obstante, también deben considerarse en esa situación</w:t>
      </w:r>
      <w:r w:rsidR="00C66AF3">
        <w:rPr>
          <w:rFonts w:ascii="Verdana" w:hAnsi="Verdana"/>
          <w:sz w:val="20"/>
          <w:szCs w:val="20"/>
          <w:lang w:val="es-CR"/>
        </w:rPr>
        <w:t>,</w:t>
      </w:r>
      <w:r w:rsidRPr="00873FEC">
        <w:rPr>
          <w:rFonts w:ascii="Verdana" w:hAnsi="Verdana"/>
          <w:sz w:val="20"/>
          <w:szCs w:val="20"/>
          <w:lang w:val="es-CR"/>
        </w:rPr>
        <w:t xml:space="preserve"> a</w:t>
      </w:r>
      <w:r w:rsidR="00C66AF3">
        <w:rPr>
          <w:rFonts w:ascii="Verdana" w:hAnsi="Verdana"/>
          <w:sz w:val="20"/>
          <w:szCs w:val="20"/>
          <w:lang w:val="es-CR"/>
        </w:rPr>
        <w:t xml:space="preserve"> los</w:t>
      </w:r>
      <w:r w:rsidRPr="00873FEC">
        <w:rPr>
          <w:rFonts w:ascii="Verdana" w:hAnsi="Verdana"/>
          <w:sz w:val="20"/>
          <w:szCs w:val="20"/>
          <w:lang w:val="es-CR"/>
        </w:rPr>
        <w:t xml:space="preserve"> familiares de Santiago </w:t>
      </w:r>
      <w:proofErr w:type="spellStart"/>
      <w:r w:rsidRPr="00873FEC">
        <w:rPr>
          <w:rFonts w:ascii="Verdana" w:hAnsi="Verdana"/>
          <w:sz w:val="20"/>
          <w:szCs w:val="20"/>
          <w:lang w:val="es-CR"/>
        </w:rPr>
        <w:t>Maquín</w:t>
      </w:r>
      <w:proofErr w:type="spellEnd"/>
      <w:r w:rsidRPr="00873FEC">
        <w:rPr>
          <w:rFonts w:ascii="Verdana" w:hAnsi="Verdana"/>
          <w:sz w:val="20"/>
          <w:szCs w:val="20"/>
          <w:lang w:val="es-CR"/>
        </w:rPr>
        <w:t xml:space="preserve"> </w:t>
      </w:r>
      <w:proofErr w:type="spellStart"/>
      <w:r w:rsidRPr="00873FEC">
        <w:rPr>
          <w:rFonts w:ascii="Verdana" w:hAnsi="Verdana"/>
          <w:sz w:val="20"/>
          <w:szCs w:val="20"/>
          <w:lang w:val="es-CR"/>
        </w:rPr>
        <w:t>Quip</w:t>
      </w:r>
      <w:proofErr w:type="spellEnd"/>
      <w:r w:rsidRPr="00873FEC">
        <w:rPr>
          <w:rFonts w:ascii="Verdana" w:hAnsi="Verdana"/>
          <w:sz w:val="20"/>
          <w:szCs w:val="20"/>
          <w:lang w:val="es-CR"/>
        </w:rPr>
        <w:t xml:space="preserve"> y Rosendo Morales Ortiz pues</w:t>
      </w:r>
      <w:r w:rsidR="00C66AF3">
        <w:rPr>
          <w:rFonts w:ascii="Verdana" w:hAnsi="Verdana"/>
          <w:sz w:val="20"/>
          <w:szCs w:val="20"/>
          <w:lang w:val="es-CR"/>
        </w:rPr>
        <w:t>,</w:t>
      </w:r>
      <w:r w:rsidRPr="00873FEC">
        <w:rPr>
          <w:rFonts w:ascii="Verdana" w:hAnsi="Verdana"/>
          <w:sz w:val="20"/>
          <w:szCs w:val="20"/>
          <w:lang w:val="es-CR"/>
        </w:rPr>
        <w:t xml:space="preserve"> respecto a ambos, la Corte no consideró violado su derecho a la vida, dado que determinó que no es posible establecer un vínculo entre su muerte y las heridas que sufrieron el 5 de octubre de 1995 (</w:t>
      </w:r>
      <w:r w:rsidRPr="00873FEC">
        <w:rPr>
          <w:rFonts w:ascii="Verdana" w:hAnsi="Verdana"/>
          <w:i/>
          <w:sz w:val="20"/>
          <w:szCs w:val="20"/>
          <w:lang w:val="es-CR"/>
        </w:rPr>
        <w:t>supra</w:t>
      </w:r>
      <w:r w:rsidRPr="00873FEC">
        <w:rPr>
          <w:rFonts w:ascii="Verdana" w:hAnsi="Verdana"/>
          <w:sz w:val="20"/>
          <w:szCs w:val="20"/>
          <w:lang w:val="es-CR"/>
        </w:rPr>
        <w:t xml:space="preserve"> párr. 1</w:t>
      </w:r>
      <w:r w:rsidR="008877A6" w:rsidRPr="00873FEC">
        <w:rPr>
          <w:rFonts w:ascii="Verdana" w:hAnsi="Verdana"/>
          <w:sz w:val="20"/>
          <w:szCs w:val="20"/>
          <w:lang w:val="es-CR"/>
        </w:rPr>
        <w:t>1</w:t>
      </w:r>
      <w:r w:rsidRPr="00873FEC">
        <w:rPr>
          <w:rFonts w:ascii="Verdana" w:hAnsi="Verdana"/>
          <w:sz w:val="20"/>
          <w:szCs w:val="20"/>
          <w:lang w:val="es-CR"/>
        </w:rPr>
        <w:t>2)</w:t>
      </w:r>
      <w:r w:rsidRPr="00873FEC">
        <w:rPr>
          <w:rStyle w:val="FootnoteReference"/>
          <w:rFonts w:ascii="Verdana" w:hAnsi="Verdana"/>
          <w:sz w:val="20"/>
          <w:lang w:val="es-CR" w:eastAsia="x-none"/>
        </w:rPr>
        <w:footnoteReference w:id="193"/>
      </w:r>
      <w:r w:rsidRPr="00873FEC">
        <w:rPr>
          <w:rFonts w:ascii="Verdana" w:hAnsi="Verdana"/>
          <w:sz w:val="20"/>
          <w:szCs w:val="20"/>
          <w:lang w:val="es-CR"/>
        </w:rPr>
        <w:t xml:space="preserve">.  </w:t>
      </w:r>
    </w:p>
    <w:p w:rsidR="00332F58" w:rsidRPr="00873FEC" w:rsidRDefault="00332F58" w:rsidP="00126E97">
      <w:pPr>
        <w:pStyle w:val="ListParagraph"/>
        <w:spacing w:after="0" w:line="20" w:lineRule="atLeast"/>
        <w:rPr>
          <w:rFonts w:ascii="Verdana" w:hAnsi="Verdana"/>
          <w:sz w:val="20"/>
          <w:szCs w:val="20"/>
          <w:lang w:val="es-CL"/>
        </w:rPr>
      </w:pPr>
    </w:p>
    <w:p w:rsidR="00332F58" w:rsidRPr="00873FEC" w:rsidRDefault="00332F58" w:rsidP="00126E97">
      <w:pPr>
        <w:numPr>
          <w:ilvl w:val="0"/>
          <w:numId w:val="3"/>
        </w:numPr>
        <w:spacing w:after="0" w:line="20" w:lineRule="atLeast"/>
        <w:ind w:right="-138"/>
        <w:jc w:val="both"/>
        <w:rPr>
          <w:rFonts w:ascii="Verdana" w:hAnsi="Verdana"/>
          <w:sz w:val="20"/>
          <w:szCs w:val="20"/>
          <w:lang w:val="es-CR"/>
        </w:rPr>
      </w:pPr>
      <w:r w:rsidRPr="00873FEC">
        <w:rPr>
          <w:rFonts w:ascii="Verdana" w:hAnsi="Verdana"/>
          <w:sz w:val="20"/>
          <w:szCs w:val="20"/>
          <w:lang w:val="es-CL"/>
        </w:rPr>
        <w:t>Respect</w:t>
      </w:r>
      <w:r w:rsidR="00B32759" w:rsidRPr="00873FEC">
        <w:rPr>
          <w:rFonts w:ascii="Verdana" w:hAnsi="Verdana"/>
          <w:sz w:val="20"/>
          <w:szCs w:val="20"/>
          <w:lang w:val="es-CL"/>
        </w:rPr>
        <w:t xml:space="preserve">o al caso de los familiares de </w:t>
      </w:r>
      <w:r w:rsidR="00B32759" w:rsidRPr="00873FEC">
        <w:rPr>
          <w:rFonts w:ascii="Verdana" w:hAnsi="Verdana"/>
          <w:sz w:val="20"/>
          <w:szCs w:val="20"/>
        </w:rPr>
        <w:t>Francisco</w:t>
      </w:r>
      <w:r w:rsidRPr="00873FEC">
        <w:rPr>
          <w:rFonts w:ascii="Verdana" w:hAnsi="Verdana"/>
          <w:sz w:val="20"/>
          <w:szCs w:val="20"/>
        </w:rPr>
        <w:t xml:space="preserve"> Hernández, los antecedentes aportados por las partes y las declaraciones de sus familiares no permiten establecer un sufrimiento adicional producto de las circunstancias par</w:t>
      </w:r>
      <w:r w:rsidR="00C66AF3">
        <w:rPr>
          <w:rFonts w:ascii="Verdana" w:hAnsi="Verdana"/>
          <w:sz w:val="20"/>
          <w:szCs w:val="20"/>
        </w:rPr>
        <w:t>ticulares vividas por é</w:t>
      </w:r>
      <w:r w:rsidRPr="00873FEC">
        <w:rPr>
          <w:rFonts w:ascii="Verdana" w:hAnsi="Verdana"/>
          <w:sz w:val="20"/>
          <w:szCs w:val="20"/>
        </w:rPr>
        <w:t>ste</w:t>
      </w:r>
      <w:r w:rsidR="00550BBF" w:rsidRPr="00873FEC">
        <w:rPr>
          <w:rStyle w:val="FootnoteReference"/>
          <w:rFonts w:ascii="Verdana" w:hAnsi="Verdana"/>
          <w:sz w:val="20"/>
          <w:lang w:eastAsia="x-none"/>
        </w:rPr>
        <w:footnoteReference w:id="194"/>
      </w:r>
      <w:r w:rsidRPr="00873FEC">
        <w:rPr>
          <w:rFonts w:ascii="Verdana" w:hAnsi="Verdana"/>
          <w:sz w:val="20"/>
          <w:szCs w:val="20"/>
        </w:rPr>
        <w:t xml:space="preserve">. Por todo lo anterior, </w:t>
      </w:r>
      <w:r w:rsidRPr="00873FEC">
        <w:rPr>
          <w:rFonts w:ascii="Verdana" w:eastAsia="Times New Roman" w:hAnsi="Verdana"/>
          <w:bCs/>
          <w:color w:val="000000"/>
          <w:sz w:val="20"/>
          <w:szCs w:val="20"/>
        </w:rPr>
        <w:t>este Tribunal estima que no existe, en relación con las heridas sufridas por Francisco Hernández, una vulneración de la integridad personal de Cruz Maldonado Silvestre</w:t>
      </w:r>
      <w:r w:rsidR="00550BBF" w:rsidRPr="00873FEC">
        <w:rPr>
          <w:rFonts w:ascii="Verdana" w:eastAsia="Times New Roman" w:hAnsi="Verdana"/>
          <w:bCs/>
          <w:color w:val="000000"/>
          <w:sz w:val="20"/>
          <w:szCs w:val="20"/>
        </w:rPr>
        <w:t xml:space="preserve">, ni de </w:t>
      </w:r>
      <w:r w:rsidRPr="00873FEC">
        <w:rPr>
          <w:rFonts w:ascii="Verdana" w:eastAsia="Times New Roman" w:hAnsi="Verdana"/>
          <w:bCs/>
          <w:color w:val="000000"/>
          <w:sz w:val="20"/>
          <w:szCs w:val="20"/>
        </w:rPr>
        <w:t xml:space="preserve">Florencia, Andrés, </w:t>
      </w:r>
      <w:proofErr w:type="spellStart"/>
      <w:r w:rsidRPr="00873FEC">
        <w:rPr>
          <w:rFonts w:ascii="Verdana" w:eastAsia="Times New Roman" w:hAnsi="Verdana"/>
          <w:bCs/>
          <w:color w:val="000000"/>
          <w:sz w:val="20"/>
          <w:szCs w:val="20"/>
        </w:rPr>
        <w:t>Martalia</w:t>
      </w:r>
      <w:proofErr w:type="spellEnd"/>
      <w:r w:rsidRPr="00873FEC">
        <w:rPr>
          <w:rFonts w:ascii="Verdana" w:eastAsia="Times New Roman" w:hAnsi="Verdana"/>
          <w:bCs/>
          <w:color w:val="000000"/>
          <w:sz w:val="20"/>
          <w:szCs w:val="20"/>
        </w:rPr>
        <w:t xml:space="preserve">, </w:t>
      </w:r>
      <w:proofErr w:type="spellStart"/>
      <w:r w:rsidRPr="00873FEC">
        <w:rPr>
          <w:rFonts w:ascii="Verdana" w:eastAsia="Times New Roman" w:hAnsi="Verdana"/>
          <w:bCs/>
          <w:color w:val="000000"/>
          <w:sz w:val="20"/>
          <w:szCs w:val="20"/>
        </w:rPr>
        <w:t>Atilana</w:t>
      </w:r>
      <w:proofErr w:type="spellEnd"/>
      <w:r w:rsidRPr="00873FEC">
        <w:rPr>
          <w:rFonts w:ascii="Verdana" w:eastAsia="Times New Roman" w:hAnsi="Verdana"/>
          <w:bCs/>
          <w:color w:val="000000"/>
          <w:sz w:val="20"/>
          <w:szCs w:val="20"/>
        </w:rPr>
        <w:t xml:space="preserve"> y Rolando, tod</w:t>
      </w:r>
      <w:r w:rsidR="00B32759" w:rsidRPr="00873FEC">
        <w:rPr>
          <w:rFonts w:ascii="Verdana" w:eastAsia="Times New Roman" w:hAnsi="Verdana"/>
          <w:bCs/>
          <w:color w:val="000000"/>
          <w:sz w:val="20"/>
          <w:szCs w:val="20"/>
        </w:rPr>
        <w:t xml:space="preserve">as </w:t>
      </w:r>
      <w:r w:rsidR="00550BBF" w:rsidRPr="00873FEC">
        <w:rPr>
          <w:rFonts w:ascii="Verdana" w:eastAsia="Times New Roman" w:hAnsi="Verdana"/>
          <w:bCs/>
          <w:color w:val="000000"/>
          <w:sz w:val="20"/>
          <w:szCs w:val="20"/>
        </w:rPr>
        <w:t xml:space="preserve">estas últimas </w:t>
      </w:r>
      <w:r w:rsidR="00B32759" w:rsidRPr="00873FEC">
        <w:rPr>
          <w:rFonts w:ascii="Verdana" w:eastAsia="Times New Roman" w:hAnsi="Verdana"/>
          <w:bCs/>
          <w:color w:val="000000"/>
          <w:sz w:val="20"/>
          <w:szCs w:val="20"/>
        </w:rPr>
        <w:t>personas de</w:t>
      </w:r>
      <w:r w:rsidRPr="00873FEC">
        <w:rPr>
          <w:rFonts w:ascii="Verdana" w:eastAsia="Times New Roman" w:hAnsi="Verdana"/>
          <w:bCs/>
          <w:color w:val="000000"/>
          <w:sz w:val="20"/>
          <w:szCs w:val="20"/>
        </w:rPr>
        <w:t xml:space="preserve"> apellido Hernández Maldonado.</w:t>
      </w:r>
    </w:p>
    <w:p w:rsidR="00332F58" w:rsidRPr="00873FEC" w:rsidRDefault="00332F58" w:rsidP="00126E97">
      <w:pPr>
        <w:pStyle w:val="ListParagraph"/>
        <w:spacing w:after="0" w:line="20" w:lineRule="atLeast"/>
        <w:rPr>
          <w:rFonts w:ascii="Verdana" w:hAnsi="Verdana"/>
          <w:sz w:val="20"/>
          <w:szCs w:val="20"/>
          <w:lang w:val="es-CR"/>
        </w:rPr>
      </w:pPr>
    </w:p>
    <w:p w:rsidR="00332F58" w:rsidRPr="00873FEC" w:rsidRDefault="00332F58" w:rsidP="00126E97">
      <w:pPr>
        <w:numPr>
          <w:ilvl w:val="0"/>
          <w:numId w:val="3"/>
        </w:numPr>
        <w:spacing w:after="0" w:line="20" w:lineRule="atLeast"/>
        <w:ind w:right="-138"/>
        <w:jc w:val="both"/>
        <w:rPr>
          <w:rFonts w:ascii="Verdana" w:hAnsi="Verdana"/>
          <w:sz w:val="20"/>
          <w:szCs w:val="20"/>
          <w:lang w:val="es-CR"/>
        </w:rPr>
      </w:pPr>
      <w:r w:rsidRPr="00873FEC">
        <w:rPr>
          <w:rFonts w:ascii="Verdana" w:hAnsi="Verdana"/>
          <w:sz w:val="20"/>
          <w:szCs w:val="20"/>
          <w:lang w:val="es-CR"/>
        </w:rPr>
        <w:lastRenderedPageBreak/>
        <w:t xml:space="preserve">Con relación a la muerte de Santiago </w:t>
      </w:r>
      <w:proofErr w:type="spellStart"/>
      <w:r w:rsidRPr="00873FEC">
        <w:rPr>
          <w:rFonts w:ascii="Verdana" w:hAnsi="Verdana"/>
          <w:sz w:val="20"/>
          <w:szCs w:val="20"/>
          <w:lang w:val="es-CR"/>
        </w:rPr>
        <w:t>Ma</w:t>
      </w:r>
      <w:r w:rsidR="0004311C">
        <w:rPr>
          <w:rFonts w:ascii="Verdana" w:hAnsi="Verdana"/>
          <w:sz w:val="20"/>
          <w:szCs w:val="20"/>
          <w:lang w:val="es-CR"/>
        </w:rPr>
        <w:t>quín</w:t>
      </w:r>
      <w:proofErr w:type="spellEnd"/>
      <w:r w:rsidR="0004311C">
        <w:rPr>
          <w:rFonts w:ascii="Verdana" w:hAnsi="Verdana"/>
          <w:sz w:val="20"/>
          <w:szCs w:val="20"/>
          <w:lang w:val="es-CR"/>
        </w:rPr>
        <w:t xml:space="preserve"> </w:t>
      </w:r>
      <w:proofErr w:type="spellStart"/>
      <w:r w:rsidR="0004311C">
        <w:rPr>
          <w:rFonts w:ascii="Verdana" w:hAnsi="Verdana"/>
          <w:sz w:val="20"/>
          <w:szCs w:val="20"/>
          <w:lang w:val="es-CR"/>
        </w:rPr>
        <w:t>Quip</w:t>
      </w:r>
      <w:proofErr w:type="spellEnd"/>
      <w:r w:rsidR="0004311C">
        <w:rPr>
          <w:rFonts w:ascii="Verdana" w:hAnsi="Verdana"/>
          <w:sz w:val="20"/>
          <w:szCs w:val="20"/>
          <w:lang w:val="es-CR"/>
        </w:rPr>
        <w:t xml:space="preserve"> y Rosendo Morales </w:t>
      </w:r>
      <w:proofErr w:type="spellStart"/>
      <w:r w:rsidR="0004311C">
        <w:rPr>
          <w:rFonts w:ascii="Verdana" w:hAnsi="Verdana"/>
          <w:sz w:val="20"/>
          <w:szCs w:val="20"/>
          <w:lang w:val="es-CR"/>
        </w:rPr>
        <w:t>Ortí</w:t>
      </w:r>
      <w:r w:rsidRPr="00873FEC">
        <w:rPr>
          <w:rFonts w:ascii="Verdana" w:hAnsi="Verdana"/>
          <w:sz w:val="20"/>
          <w:szCs w:val="20"/>
          <w:lang w:val="es-CR"/>
        </w:rPr>
        <w:t>z</w:t>
      </w:r>
      <w:proofErr w:type="spellEnd"/>
      <w:r w:rsidRPr="00873FEC">
        <w:rPr>
          <w:rFonts w:ascii="Verdana" w:hAnsi="Verdana"/>
          <w:sz w:val="20"/>
          <w:szCs w:val="20"/>
          <w:lang w:val="es-CR"/>
        </w:rPr>
        <w:t>, por lo expuesto (</w:t>
      </w:r>
      <w:r w:rsidRPr="00873FEC">
        <w:rPr>
          <w:rFonts w:ascii="Verdana" w:hAnsi="Verdana"/>
          <w:i/>
          <w:sz w:val="20"/>
          <w:szCs w:val="20"/>
          <w:lang w:val="es-CR"/>
        </w:rPr>
        <w:t>supra</w:t>
      </w:r>
      <w:r w:rsidRPr="00873FEC">
        <w:rPr>
          <w:rFonts w:ascii="Verdana" w:hAnsi="Verdana"/>
          <w:sz w:val="20"/>
          <w:szCs w:val="20"/>
          <w:lang w:val="es-CR"/>
        </w:rPr>
        <w:t xml:space="preserve"> párr. 12</w:t>
      </w:r>
      <w:r w:rsidR="001D1F47" w:rsidRPr="00873FEC">
        <w:rPr>
          <w:rFonts w:ascii="Verdana" w:hAnsi="Verdana"/>
          <w:sz w:val="20"/>
          <w:szCs w:val="20"/>
          <w:lang w:val="es-CR"/>
        </w:rPr>
        <w:t>5</w:t>
      </w:r>
      <w:r w:rsidRPr="00873FEC">
        <w:rPr>
          <w:rFonts w:ascii="Verdana" w:hAnsi="Verdana"/>
          <w:sz w:val="20"/>
          <w:szCs w:val="20"/>
          <w:lang w:val="es-CR"/>
        </w:rPr>
        <w:t xml:space="preserve">), </w:t>
      </w:r>
      <w:r w:rsidRPr="00873FEC">
        <w:rPr>
          <w:rFonts w:ascii="Verdana" w:eastAsia="Times New Roman" w:hAnsi="Verdana"/>
          <w:bCs/>
          <w:color w:val="000000"/>
          <w:sz w:val="20"/>
          <w:szCs w:val="20"/>
        </w:rPr>
        <w:t xml:space="preserve">no puede </w:t>
      </w:r>
      <w:r w:rsidR="00550BBF" w:rsidRPr="00873FEC">
        <w:rPr>
          <w:rFonts w:ascii="Verdana" w:eastAsia="Times New Roman" w:hAnsi="Verdana"/>
          <w:bCs/>
          <w:color w:val="000000"/>
          <w:sz w:val="20"/>
          <w:szCs w:val="20"/>
        </w:rPr>
        <w:t xml:space="preserve">presumirse la </w:t>
      </w:r>
      <w:r w:rsidRPr="00873FEC">
        <w:rPr>
          <w:rFonts w:ascii="Verdana" w:eastAsia="Times New Roman" w:hAnsi="Verdana"/>
          <w:bCs/>
          <w:color w:val="000000"/>
          <w:sz w:val="20"/>
          <w:szCs w:val="20"/>
        </w:rPr>
        <w:t xml:space="preserve">responsabilidad </w:t>
      </w:r>
      <w:r w:rsidR="00550BBF" w:rsidRPr="00873FEC">
        <w:rPr>
          <w:rFonts w:ascii="Verdana" w:eastAsia="Times New Roman" w:hAnsi="Verdana"/>
          <w:bCs/>
          <w:color w:val="000000"/>
          <w:sz w:val="20"/>
          <w:szCs w:val="20"/>
        </w:rPr>
        <w:t xml:space="preserve">estatal </w:t>
      </w:r>
      <w:r w:rsidRPr="00873FEC">
        <w:rPr>
          <w:rFonts w:ascii="Verdana" w:eastAsia="Times New Roman" w:hAnsi="Verdana"/>
          <w:bCs/>
          <w:color w:val="000000"/>
          <w:sz w:val="20"/>
          <w:szCs w:val="20"/>
        </w:rPr>
        <w:t>por una afectación a la integridad personal de sus familiares. Por otra parte, no constan pruebas y argumentos que demuestren</w:t>
      </w:r>
      <w:r w:rsidRPr="00873FEC">
        <w:rPr>
          <w:rFonts w:ascii="Verdana" w:hAnsi="Verdana"/>
          <w:sz w:val="20"/>
          <w:szCs w:val="20"/>
        </w:rPr>
        <w:t xml:space="preserve"> algún tipo de afectación causada a los familiares de dichas personas a causa de </w:t>
      </w:r>
      <w:r w:rsidRPr="00873FEC">
        <w:rPr>
          <w:rFonts w:ascii="Verdana" w:eastAsia="Times New Roman" w:hAnsi="Verdana"/>
          <w:bCs/>
          <w:color w:val="000000"/>
          <w:sz w:val="20"/>
          <w:szCs w:val="20"/>
        </w:rPr>
        <w:t>las heridas que ellos sufrieron. Por lo tanto, no procede</w:t>
      </w:r>
      <w:r w:rsidR="00DC2D75" w:rsidRPr="00873FEC">
        <w:rPr>
          <w:rFonts w:ascii="Verdana" w:eastAsia="Times New Roman" w:hAnsi="Verdana"/>
          <w:bCs/>
          <w:color w:val="000000"/>
          <w:sz w:val="20"/>
          <w:szCs w:val="20"/>
        </w:rPr>
        <w:t>, en relación con las heridas sufridas por las dos personas nombradas,</w:t>
      </w:r>
      <w:r w:rsidRPr="00873FEC">
        <w:rPr>
          <w:rFonts w:ascii="Verdana" w:eastAsia="Times New Roman" w:hAnsi="Verdana"/>
          <w:bCs/>
          <w:color w:val="000000"/>
          <w:sz w:val="20"/>
          <w:szCs w:val="20"/>
        </w:rPr>
        <w:t xml:space="preserve"> declarar vulnerado el derecho a la integridad personal en perjuicio de Manuela Pop</w:t>
      </w:r>
      <w:r w:rsidR="00FA5CA1">
        <w:rPr>
          <w:rFonts w:ascii="Verdana" w:eastAsia="Times New Roman" w:hAnsi="Verdana"/>
          <w:bCs/>
          <w:color w:val="000000"/>
          <w:sz w:val="20"/>
          <w:szCs w:val="20"/>
        </w:rPr>
        <w:t xml:space="preserve"> </w:t>
      </w:r>
      <w:proofErr w:type="spellStart"/>
      <w:r w:rsidR="00FA5CA1">
        <w:rPr>
          <w:rFonts w:ascii="Verdana" w:eastAsia="Times New Roman" w:hAnsi="Verdana"/>
          <w:bCs/>
          <w:color w:val="000000"/>
          <w:sz w:val="20"/>
          <w:szCs w:val="20"/>
        </w:rPr>
        <w:t>Choc</w:t>
      </w:r>
      <w:proofErr w:type="spellEnd"/>
      <w:r w:rsidR="00FA5CA1">
        <w:rPr>
          <w:rFonts w:ascii="Verdana" w:eastAsia="Times New Roman" w:hAnsi="Verdana"/>
          <w:bCs/>
          <w:color w:val="000000"/>
          <w:sz w:val="20"/>
          <w:szCs w:val="20"/>
        </w:rPr>
        <w:t xml:space="preserve">, Francisco </w:t>
      </w:r>
      <w:proofErr w:type="spellStart"/>
      <w:r w:rsidR="00FA5CA1">
        <w:rPr>
          <w:rFonts w:ascii="Verdana" w:eastAsia="Times New Roman" w:hAnsi="Verdana"/>
          <w:bCs/>
          <w:color w:val="000000"/>
          <w:sz w:val="20"/>
          <w:szCs w:val="20"/>
        </w:rPr>
        <w:t>Quip</w:t>
      </w:r>
      <w:proofErr w:type="spellEnd"/>
      <w:r w:rsidR="00FA5CA1">
        <w:rPr>
          <w:rFonts w:ascii="Verdana" w:eastAsia="Times New Roman" w:hAnsi="Verdana"/>
          <w:bCs/>
          <w:color w:val="000000"/>
          <w:sz w:val="20"/>
          <w:szCs w:val="20"/>
        </w:rPr>
        <w:t xml:space="preserve"> </w:t>
      </w:r>
      <w:proofErr w:type="spellStart"/>
      <w:r w:rsidR="00FA5CA1">
        <w:rPr>
          <w:rFonts w:ascii="Verdana" w:eastAsia="Times New Roman" w:hAnsi="Verdana"/>
          <w:bCs/>
          <w:color w:val="000000"/>
          <w:sz w:val="20"/>
          <w:szCs w:val="20"/>
        </w:rPr>
        <w:t>Choc</w:t>
      </w:r>
      <w:proofErr w:type="spellEnd"/>
      <w:r w:rsidR="00FA5CA1">
        <w:rPr>
          <w:rFonts w:ascii="Verdana" w:eastAsia="Times New Roman" w:hAnsi="Verdana"/>
          <w:bCs/>
          <w:color w:val="000000"/>
          <w:sz w:val="20"/>
          <w:szCs w:val="20"/>
        </w:rPr>
        <w:t xml:space="preserve">, Petrona </w:t>
      </w:r>
      <w:proofErr w:type="spellStart"/>
      <w:r w:rsidR="00FA5CA1">
        <w:rPr>
          <w:rFonts w:ascii="Verdana" w:eastAsia="Times New Roman" w:hAnsi="Verdana"/>
          <w:bCs/>
          <w:color w:val="000000"/>
          <w:sz w:val="20"/>
          <w:szCs w:val="20"/>
        </w:rPr>
        <w:t>Quip</w:t>
      </w:r>
      <w:proofErr w:type="spellEnd"/>
      <w:r w:rsidR="00FA5CA1">
        <w:rPr>
          <w:rFonts w:ascii="Verdana" w:eastAsia="Times New Roman" w:hAnsi="Verdana"/>
          <w:bCs/>
          <w:color w:val="000000"/>
          <w:sz w:val="20"/>
          <w:szCs w:val="20"/>
        </w:rPr>
        <w:t xml:space="preserve"> Pop, Margarita </w:t>
      </w:r>
      <w:proofErr w:type="spellStart"/>
      <w:r w:rsidR="00FA5CA1">
        <w:rPr>
          <w:rFonts w:ascii="Verdana" w:eastAsia="Times New Roman" w:hAnsi="Verdana"/>
          <w:bCs/>
          <w:color w:val="000000"/>
          <w:sz w:val="20"/>
          <w:szCs w:val="20"/>
        </w:rPr>
        <w:t>Quip</w:t>
      </w:r>
      <w:proofErr w:type="spellEnd"/>
      <w:r w:rsidR="00FA5CA1">
        <w:rPr>
          <w:rFonts w:ascii="Verdana" w:eastAsia="Times New Roman" w:hAnsi="Verdana"/>
          <w:bCs/>
          <w:color w:val="000000"/>
          <w:sz w:val="20"/>
          <w:szCs w:val="20"/>
        </w:rPr>
        <w:t xml:space="preserve"> Pop, Martín </w:t>
      </w:r>
      <w:proofErr w:type="spellStart"/>
      <w:r w:rsidR="00FA5CA1">
        <w:rPr>
          <w:rFonts w:ascii="Verdana" w:eastAsia="Times New Roman" w:hAnsi="Verdana"/>
          <w:bCs/>
          <w:color w:val="000000"/>
          <w:sz w:val="20"/>
          <w:szCs w:val="20"/>
        </w:rPr>
        <w:t>Maquín</w:t>
      </w:r>
      <w:proofErr w:type="spellEnd"/>
      <w:r w:rsidR="00FA5CA1">
        <w:rPr>
          <w:rFonts w:ascii="Verdana" w:eastAsia="Times New Roman" w:hAnsi="Verdana"/>
          <w:bCs/>
          <w:color w:val="000000"/>
          <w:sz w:val="20"/>
          <w:szCs w:val="20"/>
        </w:rPr>
        <w:t xml:space="preserve"> </w:t>
      </w:r>
      <w:proofErr w:type="spellStart"/>
      <w:r w:rsidR="00FA5CA1">
        <w:rPr>
          <w:rFonts w:ascii="Verdana" w:eastAsia="Times New Roman" w:hAnsi="Verdana"/>
          <w:bCs/>
          <w:color w:val="000000"/>
          <w:sz w:val="20"/>
          <w:szCs w:val="20"/>
        </w:rPr>
        <w:t>Quip</w:t>
      </w:r>
      <w:proofErr w:type="spellEnd"/>
      <w:r w:rsidRPr="00873FEC">
        <w:rPr>
          <w:rFonts w:ascii="Verdana" w:eastAsia="Times New Roman" w:hAnsi="Verdana"/>
          <w:bCs/>
          <w:color w:val="000000"/>
          <w:sz w:val="20"/>
          <w:szCs w:val="20"/>
        </w:rPr>
        <w:t xml:space="preserve"> Pop, D</w:t>
      </w:r>
      <w:r w:rsidR="00FA5CA1">
        <w:rPr>
          <w:rFonts w:ascii="Verdana" w:eastAsia="Times New Roman" w:hAnsi="Verdana"/>
          <w:bCs/>
          <w:color w:val="000000"/>
          <w:sz w:val="20"/>
          <w:szCs w:val="20"/>
        </w:rPr>
        <w:t xml:space="preserve">ominga </w:t>
      </w:r>
      <w:proofErr w:type="spellStart"/>
      <w:r w:rsidR="00FA5CA1">
        <w:rPr>
          <w:rFonts w:ascii="Verdana" w:eastAsia="Times New Roman" w:hAnsi="Verdana"/>
          <w:bCs/>
          <w:color w:val="000000"/>
          <w:sz w:val="20"/>
          <w:szCs w:val="20"/>
        </w:rPr>
        <w:t>Maquín</w:t>
      </w:r>
      <w:proofErr w:type="spellEnd"/>
      <w:r w:rsidR="00FA5CA1">
        <w:rPr>
          <w:rFonts w:ascii="Verdana" w:eastAsia="Times New Roman" w:hAnsi="Verdana"/>
          <w:bCs/>
          <w:color w:val="000000"/>
          <w:sz w:val="20"/>
          <w:szCs w:val="20"/>
        </w:rPr>
        <w:t xml:space="preserve"> Pop, Santiago </w:t>
      </w:r>
      <w:proofErr w:type="spellStart"/>
      <w:r w:rsidR="00FA5CA1">
        <w:rPr>
          <w:rFonts w:ascii="Verdana" w:eastAsia="Times New Roman" w:hAnsi="Verdana"/>
          <w:bCs/>
          <w:color w:val="000000"/>
          <w:sz w:val="20"/>
          <w:szCs w:val="20"/>
        </w:rPr>
        <w:t>Quip</w:t>
      </w:r>
      <w:proofErr w:type="spellEnd"/>
      <w:r w:rsidR="00135334">
        <w:rPr>
          <w:rFonts w:ascii="Verdana" w:eastAsia="Times New Roman" w:hAnsi="Verdana"/>
          <w:bCs/>
          <w:color w:val="000000"/>
          <w:sz w:val="20"/>
          <w:szCs w:val="20"/>
        </w:rPr>
        <w:t xml:space="preserve"> Pop y José Morales </w:t>
      </w:r>
      <w:proofErr w:type="spellStart"/>
      <w:r w:rsidR="00135334">
        <w:rPr>
          <w:rFonts w:ascii="Verdana" w:eastAsia="Times New Roman" w:hAnsi="Verdana"/>
          <w:bCs/>
          <w:color w:val="000000"/>
          <w:sz w:val="20"/>
          <w:szCs w:val="20"/>
        </w:rPr>
        <w:t>Ortí</w:t>
      </w:r>
      <w:r w:rsidRPr="00873FEC">
        <w:rPr>
          <w:rFonts w:ascii="Verdana" w:eastAsia="Times New Roman" w:hAnsi="Verdana"/>
          <w:bCs/>
          <w:color w:val="000000"/>
          <w:sz w:val="20"/>
          <w:szCs w:val="20"/>
        </w:rPr>
        <w:t>z</w:t>
      </w:r>
      <w:proofErr w:type="spellEnd"/>
      <w:r w:rsidRPr="00873FEC">
        <w:rPr>
          <w:rFonts w:ascii="Verdana" w:eastAsia="Times New Roman" w:hAnsi="Verdana"/>
          <w:bCs/>
          <w:color w:val="000000"/>
          <w:sz w:val="20"/>
          <w:szCs w:val="20"/>
        </w:rPr>
        <w:t>.</w:t>
      </w:r>
    </w:p>
    <w:p w:rsidR="00332F58" w:rsidRPr="00873FEC" w:rsidRDefault="00332F58" w:rsidP="00126E97">
      <w:pPr>
        <w:pStyle w:val="ListParagraph"/>
        <w:spacing w:after="0" w:line="20" w:lineRule="atLeast"/>
        <w:rPr>
          <w:rFonts w:ascii="Verdana" w:hAnsi="Verdana"/>
          <w:sz w:val="20"/>
          <w:szCs w:val="20"/>
        </w:rPr>
      </w:pPr>
    </w:p>
    <w:p w:rsidR="00332F58" w:rsidRPr="00873FEC" w:rsidRDefault="00332F58" w:rsidP="00126E97">
      <w:pPr>
        <w:numPr>
          <w:ilvl w:val="0"/>
          <w:numId w:val="3"/>
        </w:numPr>
        <w:spacing w:after="0" w:line="20" w:lineRule="atLeast"/>
        <w:ind w:right="-138"/>
        <w:jc w:val="both"/>
        <w:rPr>
          <w:rFonts w:ascii="Verdana" w:hAnsi="Verdana"/>
          <w:sz w:val="20"/>
          <w:szCs w:val="20"/>
          <w:lang w:val="es-CR"/>
        </w:rPr>
      </w:pPr>
      <w:r w:rsidRPr="00873FEC">
        <w:rPr>
          <w:rFonts w:ascii="Verdana" w:hAnsi="Verdana"/>
          <w:sz w:val="20"/>
          <w:szCs w:val="20"/>
        </w:rPr>
        <w:t xml:space="preserve">Resta abordar los argumentos que relacionan el derecho a la integridad personal de familiares de personas muertas y heridas con los procesos judiciales. </w:t>
      </w:r>
      <w:r w:rsidR="006C5A57">
        <w:rPr>
          <w:rFonts w:ascii="Verdana" w:hAnsi="Verdana"/>
          <w:sz w:val="20"/>
          <w:szCs w:val="20"/>
        </w:rPr>
        <w:t>E</w:t>
      </w:r>
      <w:r w:rsidRPr="00873FEC">
        <w:rPr>
          <w:rFonts w:ascii="Verdana" w:hAnsi="Verdana"/>
          <w:sz w:val="20"/>
          <w:szCs w:val="20"/>
        </w:rPr>
        <w:t xml:space="preserve">l proceso judicial posibilitó determinar lo sucedido y establecer responsabilidades y no </w:t>
      </w:r>
      <w:r w:rsidR="006C5A57">
        <w:rPr>
          <w:rFonts w:ascii="Verdana" w:hAnsi="Verdana"/>
          <w:sz w:val="20"/>
          <w:szCs w:val="20"/>
        </w:rPr>
        <w:t>se presentan</w:t>
      </w:r>
      <w:r w:rsidRPr="00873FEC">
        <w:rPr>
          <w:rFonts w:ascii="Verdana" w:hAnsi="Verdana"/>
          <w:sz w:val="20"/>
          <w:szCs w:val="20"/>
        </w:rPr>
        <w:t xml:space="preserve"> elementos que permitan concluir </w:t>
      </w:r>
      <w:r w:rsidR="006C5A57">
        <w:rPr>
          <w:rFonts w:ascii="Verdana" w:hAnsi="Verdana"/>
          <w:sz w:val="20"/>
          <w:szCs w:val="20"/>
        </w:rPr>
        <w:t xml:space="preserve">a esta Corte </w:t>
      </w:r>
      <w:r w:rsidRPr="00873FEC">
        <w:rPr>
          <w:rFonts w:ascii="Verdana" w:hAnsi="Verdana"/>
          <w:sz w:val="20"/>
          <w:szCs w:val="20"/>
        </w:rPr>
        <w:t>que, por sí mism</w:t>
      </w:r>
      <w:r w:rsidR="00550BBF" w:rsidRPr="00873FEC">
        <w:rPr>
          <w:rFonts w:ascii="Verdana" w:hAnsi="Verdana"/>
          <w:sz w:val="20"/>
          <w:szCs w:val="20"/>
        </w:rPr>
        <w:t>o</w:t>
      </w:r>
      <w:r w:rsidRPr="00873FEC">
        <w:rPr>
          <w:rFonts w:ascii="Verdana" w:hAnsi="Verdana"/>
          <w:sz w:val="20"/>
          <w:szCs w:val="20"/>
        </w:rPr>
        <w:t>, el hecho de que algunas personas se encuentren prófugas haya generado afectaciones a la integridad personal. En cuanto al aducido temor por la liberación de militares (</w:t>
      </w:r>
      <w:r w:rsidRPr="00873FEC">
        <w:rPr>
          <w:rFonts w:ascii="Verdana" w:hAnsi="Verdana"/>
          <w:i/>
          <w:sz w:val="20"/>
          <w:szCs w:val="20"/>
        </w:rPr>
        <w:t xml:space="preserve">supra </w:t>
      </w:r>
      <w:r w:rsidRPr="00873FEC">
        <w:rPr>
          <w:rFonts w:ascii="Verdana" w:hAnsi="Verdana"/>
          <w:sz w:val="20"/>
          <w:szCs w:val="20"/>
        </w:rPr>
        <w:t xml:space="preserve">nota a pie de página </w:t>
      </w:r>
      <w:r w:rsidR="008877A6" w:rsidRPr="00873FEC">
        <w:rPr>
          <w:rFonts w:ascii="Verdana" w:hAnsi="Verdana"/>
          <w:sz w:val="20"/>
          <w:szCs w:val="20"/>
        </w:rPr>
        <w:t>158</w:t>
      </w:r>
      <w:r w:rsidRPr="00873FEC">
        <w:rPr>
          <w:rFonts w:ascii="Verdana" w:hAnsi="Verdana"/>
          <w:sz w:val="20"/>
          <w:szCs w:val="20"/>
        </w:rPr>
        <w:t>), la Corte entiende que no puede atribuir responsabilidad al Estado por esa situación y se remite a lo indicado con relación a los derechos a las garantías y protección judiciales (</w:t>
      </w:r>
      <w:r w:rsidRPr="00873FEC">
        <w:rPr>
          <w:rFonts w:ascii="Verdana" w:hAnsi="Verdana"/>
          <w:i/>
          <w:sz w:val="20"/>
          <w:szCs w:val="20"/>
        </w:rPr>
        <w:t>supra</w:t>
      </w:r>
      <w:r w:rsidRPr="00873FEC">
        <w:rPr>
          <w:rFonts w:ascii="Verdana" w:hAnsi="Verdana"/>
          <w:sz w:val="20"/>
          <w:szCs w:val="20"/>
        </w:rPr>
        <w:t xml:space="preserve"> </w:t>
      </w:r>
      <w:proofErr w:type="spellStart"/>
      <w:r w:rsidRPr="00873FEC">
        <w:rPr>
          <w:rFonts w:ascii="Verdana" w:hAnsi="Verdana"/>
          <w:sz w:val="20"/>
          <w:szCs w:val="20"/>
        </w:rPr>
        <w:t>párr</w:t>
      </w:r>
      <w:r w:rsidR="008877A6" w:rsidRPr="00873FEC">
        <w:rPr>
          <w:rFonts w:ascii="Verdana" w:hAnsi="Verdana"/>
          <w:sz w:val="20"/>
          <w:szCs w:val="20"/>
        </w:rPr>
        <w:t>s</w:t>
      </w:r>
      <w:proofErr w:type="spellEnd"/>
      <w:r w:rsidRPr="00873FEC">
        <w:rPr>
          <w:rFonts w:ascii="Verdana" w:hAnsi="Verdana"/>
          <w:sz w:val="20"/>
          <w:szCs w:val="20"/>
        </w:rPr>
        <w:t xml:space="preserve">. </w:t>
      </w:r>
      <w:r w:rsidR="008877A6" w:rsidRPr="00873FEC">
        <w:rPr>
          <w:rFonts w:ascii="Verdana" w:hAnsi="Verdana"/>
          <w:sz w:val="20"/>
          <w:szCs w:val="20"/>
        </w:rPr>
        <w:t>86 y 87</w:t>
      </w:r>
      <w:r w:rsidRPr="00873FEC">
        <w:rPr>
          <w:rFonts w:ascii="Verdana" w:hAnsi="Verdana"/>
          <w:sz w:val="20"/>
          <w:szCs w:val="20"/>
        </w:rPr>
        <w:t>), recordando también lo señalado respecto de las medidas provisionales (</w:t>
      </w:r>
      <w:r w:rsidRPr="00873FEC">
        <w:rPr>
          <w:rFonts w:ascii="Verdana" w:hAnsi="Verdana"/>
          <w:i/>
          <w:sz w:val="20"/>
          <w:szCs w:val="20"/>
        </w:rPr>
        <w:t>supra</w:t>
      </w:r>
      <w:r w:rsidRPr="00873FEC">
        <w:rPr>
          <w:rFonts w:ascii="Verdana" w:hAnsi="Verdana"/>
          <w:sz w:val="20"/>
          <w:szCs w:val="20"/>
        </w:rPr>
        <w:t xml:space="preserve"> párr. 10 y nota a pie de página 7). </w:t>
      </w:r>
    </w:p>
    <w:p w:rsidR="00332F58" w:rsidRPr="00873FEC" w:rsidRDefault="00332F58" w:rsidP="00126E97">
      <w:pPr>
        <w:spacing w:after="0" w:line="20" w:lineRule="atLeast"/>
        <w:ind w:right="-138"/>
        <w:rPr>
          <w:rFonts w:ascii="Verdana" w:hAnsi="Verdana"/>
          <w:sz w:val="20"/>
          <w:szCs w:val="20"/>
          <w:lang w:val="es-CR"/>
        </w:rPr>
      </w:pPr>
    </w:p>
    <w:p w:rsidR="00332F58" w:rsidRPr="00873FEC" w:rsidRDefault="00332F58" w:rsidP="00126E97">
      <w:pPr>
        <w:numPr>
          <w:ilvl w:val="0"/>
          <w:numId w:val="3"/>
        </w:numPr>
        <w:spacing w:after="0" w:line="20" w:lineRule="atLeast"/>
        <w:ind w:right="-138"/>
        <w:jc w:val="both"/>
        <w:rPr>
          <w:rFonts w:ascii="Verdana" w:hAnsi="Verdana"/>
          <w:sz w:val="20"/>
          <w:szCs w:val="20"/>
          <w:lang w:val="es-CR"/>
        </w:rPr>
      </w:pPr>
      <w:r w:rsidRPr="00873FEC">
        <w:rPr>
          <w:rFonts w:ascii="Verdana" w:hAnsi="Verdana"/>
          <w:sz w:val="20"/>
          <w:szCs w:val="20"/>
          <w:lang w:val="es-CR"/>
        </w:rPr>
        <w:t xml:space="preserve">De acuerdo </w:t>
      </w:r>
      <w:r w:rsidR="006C5A57">
        <w:rPr>
          <w:rFonts w:ascii="Verdana" w:hAnsi="Verdana"/>
          <w:sz w:val="20"/>
          <w:szCs w:val="20"/>
          <w:lang w:val="es-CR"/>
        </w:rPr>
        <w:t>a</w:t>
      </w:r>
      <w:r w:rsidRPr="00873FEC">
        <w:rPr>
          <w:rFonts w:ascii="Verdana" w:hAnsi="Verdana"/>
          <w:sz w:val="20"/>
          <w:szCs w:val="20"/>
          <w:lang w:val="es-CR"/>
        </w:rPr>
        <w:t xml:space="preserve"> lo señalado en forma precedente, la Corte declara que </w:t>
      </w:r>
      <w:r w:rsidRPr="00873FEC">
        <w:rPr>
          <w:rFonts w:ascii="Verdana" w:hAnsi="Verdana"/>
          <w:sz w:val="20"/>
          <w:szCs w:val="20"/>
        </w:rPr>
        <w:t>Guatemala violó el derecho a la integridad personal</w:t>
      </w:r>
      <w:r w:rsidR="0034081F" w:rsidRPr="00873FEC">
        <w:rPr>
          <w:rFonts w:ascii="Verdana" w:hAnsi="Verdana"/>
          <w:sz w:val="20"/>
          <w:szCs w:val="20"/>
        </w:rPr>
        <w:t xml:space="preserve"> de l</w:t>
      </w:r>
      <w:r w:rsidR="006C5A57">
        <w:rPr>
          <w:rFonts w:ascii="Verdana" w:hAnsi="Verdana"/>
          <w:sz w:val="20"/>
          <w:szCs w:val="20"/>
        </w:rPr>
        <w:t>o</w:t>
      </w:r>
      <w:r w:rsidR="0034081F" w:rsidRPr="00873FEC">
        <w:rPr>
          <w:rFonts w:ascii="Verdana" w:hAnsi="Verdana"/>
          <w:sz w:val="20"/>
          <w:szCs w:val="20"/>
        </w:rPr>
        <w:t xml:space="preserve">s </w:t>
      </w:r>
      <w:r w:rsidRPr="00873FEC">
        <w:rPr>
          <w:rFonts w:ascii="Verdana" w:hAnsi="Verdana"/>
          <w:sz w:val="20"/>
          <w:szCs w:val="20"/>
        </w:rPr>
        <w:t>familiares direct</w:t>
      </w:r>
      <w:r w:rsidR="006C5A57">
        <w:rPr>
          <w:rFonts w:ascii="Verdana" w:hAnsi="Verdana"/>
          <w:sz w:val="20"/>
          <w:szCs w:val="20"/>
        </w:rPr>
        <w:t>o</w:t>
      </w:r>
      <w:r w:rsidRPr="00873FEC">
        <w:rPr>
          <w:rFonts w:ascii="Verdana" w:hAnsi="Verdana"/>
          <w:sz w:val="20"/>
          <w:szCs w:val="20"/>
        </w:rPr>
        <w:t>s de las víctimas fallecidas en la masacre acaecida el 5 de octubre de 1995</w:t>
      </w:r>
      <w:r w:rsidR="00DC2D75" w:rsidRPr="00873FEC">
        <w:rPr>
          <w:rFonts w:ascii="Verdana" w:hAnsi="Verdana"/>
          <w:sz w:val="20"/>
          <w:szCs w:val="20"/>
        </w:rPr>
        <w:t>,</w:t>
      </w:r>
      <w:r w:rsidRPr="00873FEC">
        <w:rPr>
          <w:rFonts w:ascii="Verdana" w:hAnsi="Verdana"/>
          <w:sz w:val="20"/>
          <w:szCs w:val="20"/>
        </w:rPr>
        <w:t xml:space="preserve"> tran</w:t>
      </w:r>
      <w:r w:rsidR="0034081F" w:rsidRPr="00873FEC">
        <w:rPr>
          <w:rFonts w:ascii="Verdana" w:hAnsi="Verdana"/>
          <w:sz w:val="20"/>
          <w:szCs w:val="20"/>
        </w:rPr>
        <w:t>sgrediendo, en perjuicio de aqué</w:t>
      </w:r>
      <w:r w:rsidRPr="00873FEC">
        <w:rPr>
          <w:rFonts w:ascii="Verdana" w:hAnsi="Verdana"/>
          <w:sz w:val="20"/>
          <w:szCs w:val="20"/>
        </w:rPr>
        <w:t>ll</w:t>
      </w:r>
      <w:r w:rsidR="0034081F" w:rsidRPr="00873FEC">
        <w:rPr>
          <w:rFonts w:ascii="Verdana" w:hAnsi="Verdana"/>
          <w:sz w:val="20"/>
          <w:szCs w:val="20"/>
        </w:rPr>
        <w:t>a</w:t>
      </w:r>
      <w:r w:rsidRPr="00873FEC">
        <w:rPr>
          <w:rFonts w:ascii="Verdana" w:hAnsi="Verdana"/>
          <w:sz w:val="20"/>
          <w:szCs w:val="20"/>
        </w:rPr>
        <w:t xml:space="preserve">s, el artículo 5.1 de la Convención </w:t>
      </w:r>
      <w:r w:rsidR="00DC2D75" w:rsidRPr="00873FEC">
        <w:rPr>
          <w:rFonts w:ascii="Verdana" w:hAnsi="Verdana"/>
          <w:sz w:val="20"/>
          <w:szCs w:val="20"/>
        </w:rPr>
        <w:t>Americana</w:t>
      </w:r>
      <w:r w:rsidR="006C5A57">
        <w:rPr>
          <w:rFonts w:ascii="Verdana" w:hAnsi="Verdana"/>
          <w:sz w:val="20"/>
          <w:szCs w:val="20"/>
        </w:rPr>
        <w:t>,</w:t>
      </w:r>
      <w:r w:rsidR="00DC2D75" w:rsidRPr="00873FEC">
        <w:rPr>
          <w:rFonts w:ascii="Verdana" w:hAnsi="Verdana"/>
          <w:sz w:val="20"/>
          <w:szCs w:val="20"/>
        </w:rPr>
        <w:t xml:space="preserve"> </w:t>
      </w:r>
      <w:r w:rsidRPr="00873FEC">
        <w:rPr>
          <w:rFonts w:ascii="Verdana" w:hAnsi="Verdana"/>
          <w:sz w:val="20"/>
          <w:szCs w:val="20"/>
        </w:rPr>
        <w:t xml:space="preserve">en relación con el artículo 1.1 del mismo tratado. Los nombres de las víctimas de la violación declarada se </w:t>
      </w:r>
      <w:r w:rsidR="006C5A57">
        <w:rPr>
          <w:rFonts w:ascii="Verdana" w:hAnsi="Verdana"/>
          <w:sz w:val="20"/>
          <w:szCs w:val="20"/>
        </w:rPr>
        <w:t>enlistan</w:t>
      </w:r>
      <w:r w:rsidR="00ED28B6">
        <w:rPr>
          <w:rFonts w:ascii="Verdana" w:hAnsi="Verdana"/>
          <w:sz w:val="20"/>
          <w:szCs w:val="20"/>
        </w:rPr>
        <w:t xml:space="preserve"> en el A</w:t>
      </w:r>
      <w:r w:rsidRPr="00873FEC">
        <w:rPr>
          <w:rFonts w:ascii="Verdana" w:hAnsi="Verdana"/>
          <w:sz w:val="20"/>
          <w:szCs w:val="20"/>
        </w:rPr>
        <w:t xml:space="preserve">nexo B.5 </w:t>
      </w:r>
      <w:r w:rsidR="006C5A57">
        <w:rPr>
          <w:rFonts w:ascii="Verdana" w:hAnsi="Verdana"/>
          <w:sz w:val="20"/>
          <w:szCs w:val="20"/>
        </w:rPr>
        <w:t>de</w:t>
      </w:r>
      <w:r w:rsidRPr="00873FEC">
        <w:rPr>
          <w:rFonts w:ascii="Verdana" w:hAnsi="Verdana"/>
          <w:sz w:val="20"/>
          <w:szCs w:val="20"/>
        </w:rPr>
        <w:t xml:space="preserve"> la presente Sentencia</w:t>
      </w:r>
      <w:r w:rsidR="002E4E3D">
        <w:rPr>
          <w:rFonts w:ascii="Verdana" w:hAnsi="Verdana"/>
          <w:sz w:val="20"/>
          <w:szCs w:val="20"/>
        </w:rPr>
        <w:t>, que integra la misma</w:t>
      </w:r>
      <w:r w:rsidRPr="00873FEC">
        <w:rPr>
          <w:rFonts w:ascii="Verdana" w:hAnsi="Verdana"/>
          <w:sz w:val="20"/>
          <w:szCs w:val="20"/>
        </w:rPr>
        <w:t>.</w:t>
      </w:r>
    </w:p>
    <w:p w:rsidR="00332F58" w:rsidRPr="006C5A57" w:rsidRDefault="00332F58" w:rsidP="00126E97">
      <w:pPr>
        <w:pStyle w:val="ListParagraph"/>
        <w:spacing w:after="0" w:line="20" w:lineRule="atLeast"/>
        <w:rPr>
          <w:rFonts w:ascii="Verdana" w:hAnsi="Verdana"/>
          <w:sz w:val="20"/>
          <w:szCs w:val="20"/>
          <w:lang w:val="es-CR"/>
        </w:rPr>
      </w:pPr>
    </w:p>
    <w:p w:rsidR="00332F58" w:rsidRPr="00873FEC" w:rsidRDefault="00332F58" w:rsidP="00126E97">
      <w:pPr>
        <w:pStyle w:val="Heading1"/>
        <w:spacing w:before="0" w:line="20" w:lineRule="atLeast"/>
        <w:jc w:val="center"/>
        <w:rPr>
          <w:rFonts w:ascii="Verdana" w:hAnsi="Verdana" w:cs="Times New Roman"/>
          <w:color w:val="auto"/>
          <w:sz w:val="20"/>
          <w:szCs w:val="20"/>
        </w:rPr>
      </w:pPr>
      <w:bookmarkStart w:id="179" w:name="_Toc525201189"/>
      <w:r w:rsidRPr="00873FEC">
        <w:rPr>
          <w:rFonts w:ascii="Verdana" w:hAnsi="Verdana" w:cs="Times New Roman"/>
          <w:color w:val="auto"/>
          <w:sz w:val="20"/>
          <w:szCs w:val="20"/>
        </w:rPr>
        <w:t>VII.4</w:t>
      </w:r>
      <w:bookmarkEnd w:id="179"/>
    </w:p>
    <w:p w:rsidR="00332F58" w:rsidRPr="00873FEC" w:rsidRDefault="00332F58" w:rsidP="00126E97">
      <w:pPr>
        <w:pStyle w:val="Heading1"/>
        <w:spacing w:before="0" w:line="20" w:lineRule="atLeast"/>
        <w:jc w:val="center"/>
        <w:rPr>
          <w:rFonts w:ascii="Verdana" w:hAnsi="Verdana" w:cs="Times New Roman"/>
          <w:color w:val="auto"/>
          <w:sz w:val="20"/>
          <w:szCs w:val="20"/>
        </w:rPr>
      </w:pPr>
      <w:bookmarkStart w:id="180" w:name="_Toc525201190"/>
      <w:r w:rsidRPr="00873FEC">
        <w:rPr>
          <w:rFonts w:ascii="Verdana" w:hAnsi="Verdana" w:cs="Times New Roman"/>
          <w:color w:val="auto"/>
          <w:sz w:val="20"/>
          <w:szCs w:val="20"/>
        </w:rPr>
        <w:t>ALEGADA VIOLACIÓN AL DERECHO A LA PROPIEDAD PRIVADA</w:t>
      </w:r>
      <w:r w:rsidRPr="00873FEC">
        <w:rPr>
          <w:rStyle w:val="FootnoteReference"/>
          <w:rFonts w:ascii="Verdana" w:hAnsi="Verdana"/>
          <w:b w:val="0"/>
          <w:color w:val="auto"/>
          <w:sz w:val="20"/>
          <w:lang w:eastAsia="x-none"/>
        </w:rPr>
        <w:footnoteReference w:id="195"/>
      </w:r>
      <w:bookmarkEnd w:id="180"/>
    </w:p>
    <w:p w:rsidR="00332F58" w:rsidRPr="00873FEC" w:rsidRDefault="00332F58" w:rsidP="00126E97">
      <w:pPr>
        <w:pStyle w:val="ListParagraph"/>
        <w:spacing w:after="0" w:line="20" w:lineRule="atLeast"/>
        <w:rPr>
          <w:rFonts w:ascii="Verdana" w:hAnsi="Verdana"/>
          <w:sz w:val="20"/>
          <w:szCs w:val="20"/>
        </w:rPr>
      </w:pPr>
    </w:p>
    <w:p w:rsidR="00332F58" w:rsidRPr="00873FEC" w:rsidRDefault="00332F58" w:rsidP="00126E97">
      <w:pPr>
        <w:pStyle w:val="ListParagraph"/>
        <w:numPr>
          <w:ilvl w:val="0"/>
          <w:numId w:val="9"/>
        </w:numPr>
        <w:spacing w:after="0" w:line="20" w:lineRule="atLeast"/>
        <w:ind w:left="284"/>
        <w:jc w:val="both"/>
        <w:outlineLvl w:val="1"/>
        <w:rPr>
          <w:rFonts w:ascii="Verdana" w:hAnsi="Verdana" w:cs="Times New Roman"/>
          <w:b/>
          <w:sz w:val="20"/>
          <w:szCs w:val="20"/>
          <w:lang w:val="es-CR"/>
        </w:rPr>
      </w:pPr>
      <w:bookmarkStart w:id="181" w:name="_Toc525201191"/>
      <w:r w:rsidRPr="00873FEC">
        <w:rPr>
          <w:rFonts w:ascii="Verdana" w:hAnsi="Verdana" w:cs="Times New Roman"/>
          <w:b/>
          <w:i/>
          <w:sz w:val="20"/>
          <w:szCs w:val="20"/>
          <w:lang w:val="es-CR"/>
        </w:rPr>
        <w:t>Alegatos de las partes</w:t>
      </w:r>
      <w:bookmarkEnd w:id="181"/>
    </w:p>
    <w:p w:rsidR="00332F58" w:rsidRPr="00873FEC" w:rsidRDefault="00332F58" w:rsidP="00126E97">
      <w:pPr>
        <w:pStyle w:val="ListParagraph"/>
        <w:spacing w:after="0" w:line="20" w:lineRule="atLeast"/>
        <w:rPr>
          <w:rFonts w:ascii="Verdana" w:hAnsi="Verdana"/>
          <w:sz w:val="20"/>
          <w:szCs w:val="20"/>
        </w:rPr>
      </w:pPr>
    </w:p>
    <w:p w:rsidR="00332F58" w:rsidRPr="00873FEC" w:rsidRDefault="00332F58" w:rsidP="00126E97">
      <w:pPr>
        <w:numPr>
          <w:ilvl w:val="0"/>
          <w:numId w:val="3"/>
        </w:numPr>
        <w:spacing w:after="0" w:line="20" w:lineRule="atLeast"/>
        <w:ind w:right="-138"/>
        <w:jc w:val="both"/>
        <w:rPr>
          <w:rFonts w:ascii="Verdana" w:hAnsi="Verdana"/>
          <w:sz w:val="20"/>
          <w:szCs w:val="20"/>
          <w:lang w:val="es-CR"/>
        </w:rPr>
      </w:pPr>
      <w:r w:rsidRPr="00873FEC">
        <w:rPr>
          <w:rFonts w:ascii="Verdana" w:hAnsi="Verdana"/>
          <w:sz w:val="20"/>
          <w:szCs w:val="20"/>
        </w:rPr>
        <w:t xml:space="preserve"> </w:t>
      </w:r>
      <w:r w:rsidRPr="00873FEC">
        <w:rPr>
          <w:rFonts w:ascii="Verdana" w:hAnsi="Verdana"/>
          <w:sz w:val="20"/>
          <w:szCs w:val="20"/>
          <w:lang w:val="es-CR"/>
        </w:rPr>
        <w:t xml:space="preserve">La </w:t>
      </w:r>
      <w:r w:rsidRPr="00873FEC">
        <w:rPr>
          <w:rFonts w:ascii="Verdana" w:hAnsi="Verdana"/>
          <w:b/>
          <w:i/>
          <w:sz w:val="20"/>
          <w:szCs w:val="20"/>
          <w:lang w:val="es-CR"/>
        </w:rPr>
        <w:t>Comisión</w:t>
      </w:r>
      <w:r w:rsidRPr="00873FEC">
        <w:rPr>
          <w:rFonts w:ascii="Verdana" w:hAnsi="Verdana"/>
          <w:sz w:val="20"/>
          <w:szCs w:val="20"/>
          <w:lang w:val="es-CR"/>
        </w:rPr>
        <w:t xml:space="preserve"> no </w:t>
      </w:r>
      <w:r w:rsidR="006C5A57">
        <w:rPr>
          <w:rFonts w:ascii="Verdana" w:hAnsi="Verdana"/>
          <w:sz w:val="20"/>
          <w:szCs w:val="20"/>
          <w:lang w:val="es-CR"/>
        </w:rPr>
        <w:t>alegó</w:t>
      </w:r>
      <w:r w:rsidRPr="00873FEC">
        <w:rPr>
          <w:rFonts w:ascii="Verdana" w:hAnsi="Verdana"/>
          <w:sz w:val="20"/>
          <w:szCs w:val="20"/>
          <w:lang w:val="es-CR"/>
        </w:rPr>
        <w:t xml:space="preserve"> la violación al derecho a la propiedad privada. </w:t>
      </w:r>
    </w:p>
    <w:p w:rsidR="00332F58" w:rsidRPr="00873FEC" w:rsidRDefault="00332F58" w:rsidP="00126E97">
      <w:pPr>
        <w:spacing w:after="0" w:line="20" w:lineRule="atLeast"/>
        <w:ind w:right="-138"/>
        <w:rPr>
          <w:rFonts w:ascii="Verdana" w:hAnsi="Verdana"/>
          <w:sz w:val="20"/>
          <w:szCs w:val="20"/>
          <w:lang w:val="es-CR"/>
        </w:rPr>
      </w:pPr>
    </w:p>
    <w:p w:rsidR="00332F58" w:rsidRPr="00873FEC" w:rsidRDefault="00332F58" w:rsidP="00126E97">
      <w:pPr>
        <w:numPr>
          <w:ilvl w:val="0"/>
          <w:numId w:val="3"/>
        </w:numPr>
        <w:spacing w:after="0" w:line="20" w:lineRule="atLeast"/>
        <w:ind w:right="-138"/>
        <w:jc w:val="both"/>
        <w:rPr>
          <w:rFonts w:ascii="Verdana" w:hAnsi="Verdana"/>
          <w:sz w:val="20"/>
          <w:szCs w:val="20"/>
          <w:lang w:val="es-CR"/>
        </w:rPr>
      </w:pPr>
      <w:r w:rsidRPr="00873FEC">
        <w:rPr>
          <w:rFonts w:ascii="Verdana" w:hAnsi="Verdana"/>
          <w:sz w:val="20"/>
          <w:szCs w:val="20"/>
          <w:lang w:val="es-CR"/>
        </w:rPr>
        <w:t xml:space="preserve">Los </w:t>
      </w:r>
      <w:r w:rsidRPr="00873FEC">
        <w:rPr>
          <w:rFonts w:ascii="Verdana" w:hAnsi="Verdana"/>
          <w:b/>
          <w:i/>
          <w:sz w:val="20"/>
          <w:szCs w:val="20"/>
          <w:lang w:val="es-CR"/>
        </w:rPr>
        <w:t>representantes</w:t>
      </w:r>
      <w:r w:rsidRPr="00873FEC">
        <w:rPr>
          <w:rFonts w:ascii="Verdana" w:hAnsi="Verdana"/>
          <w:sz w:val="20"/>
          <w:szCs w:val="20"/>
          <w:lang w:val="es-CR"/>
        </w:rPr>
        <w:t xml:space="preserve"> sostuvieron que se violó el derecho a la propiedad privada</w:t>
      </w:r>
      <w:r w:rsidR="006C5A57">
        <w:rPr>
          <w:rFonts w:ascii="Verdana" w:hAnsi="Verdana"/>
          <w:sz w:val="20"/>
          <w:szCs w:val="20"/>
          <w:lang w:val="es-CR"/>
        </w:rPr>
        <w:t>,</w:t>
      </w:r>
      <w:r w:rsidRPr="00873FEC">
        <w:rPr>
          <w:rFonts w:ascii="Verdana" w:hAnsi="Verdana"/>
          <w:sz w:val="20"/>
          <w:szCs w:val="20"/>
          <w:lang w:val="es-CR"/>
        </w:rPr>
        <w:t xml:space="preserve"> en perjuicio de todas las personas indicadas como víctimas, debido al ingreso del ejército sin una orden judicial. </w:t>
      </w:r>
    </w:p>
    <w:p w:rsidR="00332F58" w:rsidRPr="00873FEC" w:rsidRDefault="00332F58" w:rsidP="00126E97">
      <w:pPr>
        <w:pStyle w:val="ListParagraph"/>
        <w:spacing w:after="0" w:line="20" w:lineRule="atLeast"/>
        <w:rPr>
          <w:rFonts w:ascii="Verdana" w:hAnsi="Verdana"/>
          <w:sz w:val="20"/>
          <w:szCs w:val="20"/>
          <w:lang w:val="es-CR"/>
        </w:rPr>
      </w:pPr>
    </w:p>
    <w:p w:rsidR="00332F58" w:rsidRPr="00873FEC" w:rsidRDefault="00332F58" w:rsidP="00126E97">
      <w:pPr>
        <w:numPr>
          <w:ilvl w:val="0"/>
          <w:numId w:val="3"/>
        </w:numPr>
        <w:spacing w:after="0" w:line="20" w:lineRule="atLeast"/>
        <w:ind w:right="-138"/>
        <w:jc w:val="both"/>
        <w:rPr>
          <w:rFonts w:ascii="Verdana" w:hAnsi="Verdana"/>
          <w:sz w:val="20"/>
          <w:szCs w:val="20"/>
          <w:lang w:val="es-CR"/>
        </w:rPr>
      </w:pPr>
      <w:r w:rsidRPr="00873FEC">
        <w:rPr>
          <w:rFonts w:ascii="Verdana" w:hAnsi="Verdana"/>
          <w:sz w:val="20"/>
          <w:szCs w:val="20"/>
          <w:lang w:val="es-CR"/>
        </w:rPr>
        <w:t xml:space="preserve">El </w:t>
      </w:r>
      <w:r w:rsidRPr="00873FEC">
        <w:rPr>
          <w:rFonts w:ascii="Verdana" w:hAnsi="Verdana"/>
          <w:b/>
          <w:i/>
          <w:sz w:val="20"/>
          <w:szCs w:val="20"/>
          <w:lang w:val="es-CR"/>
        </w:rPr>
        <w:t>Estado</w:t>
      </w:r>
      <w:r w:rsidRPr="00873FEC">
        <w:rPr>
          <w:rFonts w:ascii="Verdana" w:hAnsi="Verdana"/>
          <w:sz w:val="20"/>
          <w:szCs w:val="20"/>
          <w:lang w:val="es-CR"/>
        </w:rPr>
        <w:t xml:space="preserve"> señaló que no realizó acciones de expropiación o usura respecto </w:t>
      </w:r>
      <w:r w:rsidR="00F5049E" w:rsidRPr="00873FEC">
        <w:rPr>
          <w:rFonts w:ascii="Verdana" w:hAnsi="Verdana"/>
          <w:sz w:val="20"/>
          <w:szCs w:val="20"/>
          <w:lang w:val="es-CR"/>
        </w:rPr>
        <w:t>a bienes de los miembros de la C</w:t>
      </w:r>
      <w:r w:rsidRPr="00873FEC">
        <w:rPr>
          <w:rFonts w:ascii="Verdana" w:hAnsi="Verdana"/>
          <w:sz w:val="20"/>
          <w:szCs w:val="20"/>
          <w:lang w:val="es-CR"/>
        </w:rPr>
        <w:t xml:space="preserve">omunidad. Entendió que no es responsable de violar el artículo 21 de la Convención. </w:t>
      </w:r>
    </w:p>
    <w:p w:rsidR="00332F58" w:rsidRDefault="00332F58" w:rsidP="00126E97">
      <w:pPr>
        <w:pStyle w:val="Heading2"/>
        <w:spacing w:before="0" w:line="20" w:lineRule="atLeast"/>
        <w:ind w:left="284"/>
        <w:rPr>
          <w:rFonts w:ascii="Verdana" w:hAnsi="Verdana"/>
          <w:color w:val="auto"/>
          <w:sz w:val="20"/>
          <w:szCs w:val="20"/>
          <w:lang w:val="es-CR"/>
        </w:rPr>
      </w:pPr>
    </w:p>
    <w:p w:rsidR="00126E97" w:rsidRDefault="00126E97" w:rsidP="00126E97">
      <w:pPr>
        <w:rPr>
          <w:lang w:val="es-CR"/>
        </w:rPr>
      </w:pPr>
    </w:p>
    <w:p w:rsidR="006C5A57" w:rsidRPr="00126E97" w:rsidRDefault="006C5A57" w:rsidP="00126E97">
      <w:pPr>
        <w:rPr>
          <w:lang w:val="es-CR"/>
        </w:rPr>
      </w:pPr>
    </w:p>
    <w:p w:rsidR="00332F58" w:rsidRPr="00873FEC" w:rsidRDefault="00332F58" w:rsidP="00126E97">
      <w:pPr>
        <w:pStyle w:val="Heading2"/>
        <w:numPr>
          <w:ilvl w:val="0"/>
          <w:numId w:val="9"/>
        </w:numPr>
        <w:spacing w:before="0" w:line="20" w:lineRule="atLeast"/>
        <w:ind w:left="284"/>
        <w:jc w:val="both"/>
        <w:rPr>
          <w:rFonts w:ascii="Verdana" w:hAnsi="Verdana"/>
          <w:i/>
          <w:color w:val="auto"/>
          <w:sz w:val="20"/>
          <w:szCs w:val="20"/>
          <w:lang w:val="es-CR"/>
        </w:rPr>
      </w:pPr>
      <w:bookmarkStart w:id="182" w:name="_Toc525201192"/>
      <w:r w:rsidRPr="00873FEC">
        <w:rPr>
          <w:rFonts w:ascii="Verdana" w:hAnsi="Verdana"/>
          <w:i/>
          <w:color w:val="auto"/>
          <w:sz w:val="20"/>
          <w:szCs w:val="20"/>
          <w:lang w:val="es-CR"/>
        </w:rPr>
        <w:lastRenderedPageBreak/>
        <w:t>Consideraciones de la Corte</w:t>
      </w:r>
      <w:bookmarkEnd w:id="182"/>
    </w:p>
    <w:p w:rsidR="00332F58" w:rsidRPr="00873FEC" w:rsidRDefault="00332F58" w:rsidP="00126E97">
      <w:pPr>
        <w:pStyle w:val="ListParagraph"/>
        <w:spacing w:after="0" w:line="20" w:lineRule="atLeast"/>
        <w:rPr>
          <w:rFonts w:ascii="Verdana" w:hAnsi="Verdana"/>
          <w:sz w:val="20"/>
          <w:szCs w:val="20"/>
          <w:lang w:val="es-CR"/>
        </w:rPr>
      </w:pPr>
    </w:p>
    <w:p w:rsidR="00332F58" w:rsidRPr="00873FEC" w:rsidRDefault="00332F58" w:rsidP="00126E97">
      <w:pPr>
        <w:numPr>
          <w:ilvl w:val="0"/>
          <w:numId w:val="3"/>
        </w:numPr>
        <w:spacing w:after="0" w:line="20" w:lineRule="atLeast"/>
        <w:ind w:right="-138"/>
        <w:jc w:val="both"/>
        <w:rPr>
          <w:rFonts w:ascii="Verdana" w:hAnsi="Verdana"/>
          <w:sz w:val="20"/>
          <w:szCs w:val="20"/>
          <w:lang w:val="es-CR"/>
        </w:rPr>
      </w:pPr>
      <w:r w:rsidRPr="00873FEC">
        <w:rPr>
          <w:rFonts w:ascii="Verdana" w:hAnsi="Verdana"/>
          <w:sz w:val="20"/>
          <w:szCs w:val="20"/>
          <w:lang w:val="es-CR"/>
        </w:rPr>
        <w:t>Las presuntas víctimas y sus representantes pueden invocar la violación de derechos distintos a los comprendidos en el Informe de Fondo, siempre y cuando se atengan a los hechos contenidos en dicho documento</w:t>
      </w:r>
      <w:r w:rsidRPr="00873FEC">
        <w:rPr>
          <w:rStyle w:val="FootnoteReference"/>
          <w:rFonts w:ascii="Verdana" w:hAnsi="Verdana"/>
          <w:sz w:val="20"/>
          <w:lang w:val="es-CR" w:eastAsia="x-none"/>
        </w:rPr>
        <w:footnoteReference w:id="196"/>
      </w:r>
      <w:r w:rsidRPr="00873FEC">
        <w:rPr>
          <w:rFonts w:ascii="Verdana" w:hAnsi="Verdana"/>
          <w:sz w:val="20"/>
          <w:szCs w:val="20"/>
          <w:lang w:val="es-CR"/>
        </w:rPr>
        <w:t xml:space="preserve">. Por ello, dado que encuentran sustento en el marco fáctico, procede a examinar el alegato de los representantes. </w:t>
      </w:r>
    </w:p>
    <w:p w:rsidR="00332F58" w:rsidRPr="00873FEC" w:rsidRDefault="00332F58" w:rsidP="00126E97">
      <w:pPr>
        <w:spacing w:after="0" w:line="20" w:lineRule="atLeast"/>
        <w:ind w:right="-138"/>
        <w:rPr>
          <w:rFonts w:ascii="Verdana" w:hAnsi="Verdana"/>
          <w:sz w:val="20"/>
          <w:szCs w:val="20"/>
          <w:lang w:val="es-CR"/>
        </w:rPr>
      </w:pPr>
    </w:p>
    <w:p w:rsidR="00332F58" w:rsidRPr="00873FEC" w:rsidRDefault="00332F58" w:rsidP="00126E97">
      <w:pPr>
        <w:numPr>
          <w:ilvl w:val="0"/>
          <w:numId w:val="3"/>
        </w:numPr>
        <w:spacing w:after="0" w:line="20" w:lineRule="atLeast"/>
        <w:ind w:right="-138"/>
        <w:jc w:val="both"/>
        <w:rPr>
          <w:rFonts w:ascii="Verdana" w:hAnsi="Verdana"/>
          <w:sz w:val="20"/>
          <w:szCs w:val="20"/>
          <w:lang w:val="es-CR"/>
        </w:rPr>
      </w:pPr>
      <w:r w:rsidRPr="00873FEC">
        <w:rPr>
          <w:rFonts w:ascii="Verdana" w:hAnsi="Verdana"/>
          <w:sz w:val="20"/>
          <w:szCs w:val="20"/>
          <w:lang w:val="es-CR"/>
        </w:rPr>
        <w:t>La jurisprudencia de la Corte ha desarrollado un concepto amplio de la propiedad privada, comprendiendo el uso y goce de los “bienes”, definidos como cosas materiales apropiables, así como todo derecho que pueda formar parte del patrimonio de una persona. Dicho concepto comprende tanto los bienes muebles, como inmuebles, elementos corporales o incorporales y cualquier otro objeto inmaterial susceptible de valor</w:t>
      </w:r>
      <w:r w:rsidRPr="00873FEC">
        <w:rPr>
          <w:rStyle w:val="FootnoteReference"/>
          <w:rFonts w:ascii="Verdana" w:hAnsi="Verdana"/>
          <w:sz w:val="20"/>
          <w:lang w:val="es-CR" w:eastAsia="x-none"/>
        </w:rPr>
        <w:footnoteReference w:id="197"/>
      </w:r>
      <w:r w:rsidRPr="00873FEC">
        <w:rPr>
          <w:rFonts w:ascii="Verdana" w:hAnsi="Verdana"/>
          <w:sz w:val="20"/>
          <w:szCs w:val="20"/>
          <w:lang w:val="es-CR"/>
        </w:rPr>
        <w:t>. Asimismo, el Tribunal ha considerado que la destrucción de hogares puede constituir una violación al derecho a la propiedad de especial gravedad</w:t>
      </w:r>
      <w:r w:rsidRPr="00873FEC">
        <w:rPr>
          <w:rStyle w:val="FootnoteReference"/>
          <w:rFonts w:ascii="Verdana" w:hAnsi="Verdana"/>
          <w:sz w:val="20"/>
          <w:lang w:val="es-CR" w:eastAsia="x-none"/>
        </w:rPr>
        <w:footnoteReference w:id="198"/>
      </w:r>
      <w:r w:rsidRPr="00873FEC">
        <w:rPr>
          <w:rFonts w:ascii="Verdana" w:hAnsi="Verdana"/>
          <w:sz w:val="20"/>
          <w:szCs w:val="20"/>
          <w:lang w:val="es-CR"/>
        </w:rPr>
        <w:t>.</w:t>
      </w:r>
      <w:r w:rsidRPr="00873FEC">
        <w:rPr>
          <w:rFonts w:ascii="Verdana" w:hAnsi="Verdana"/>
          <w:bCs/>
          <w:sz w:val="20"/>
          <w:szCs w:val="20"/>
          <w:lang w:val="es-CR"/>
        </w:rPr>
        <w:t xml:space="preserve"> </w:t>
      </w:r>
    </w:p>
    <w:p w:rsidR="00332F58" w:rsidRPr="00873FEC" w:rsidRDefault="00332F58" w:rsidP="00126E97">
      <w:pPr>
        <w:pStyle w:val="ListParagraph"/>
        <w:spacing w:after="0" w:line="20" w:lineRule="atLeast"/>
        <w:rPr>
          <w:rFonts w:ascii="Verdana" w:hAnsi="Verdana" w:cs="Times New Roman"/>
          <w:sz w:val="20"/>
          <w:szCs w:val="20"/>
          <w:lang w:val="es-CR"/>
        </w:rPr>
      </w:pPr>
    </w:p>
    <w:p w:rsidR="00332F58" w:rsidRPr="00873FEC" w:rsidRDefault="00332F58" w:rsidP="00126E97">
      <w:pPr>
        <w:numPr>
          <w:ilvl w:val="0"/>
          <w:numId w:val="3"/>
        </w:numPr>
        <w:spacing w:after="0" w:line="20" w:lineRule="atLeast"/>
        <w:ind w:right="-138"/>
        <w:jc w:val="both"/>
        <w:rPr>
          <w:rFonts w:ascii="Verdana" w:hAnsi="Verdana"/>
          <w:sz w:val="20"/>
          <w:szCs w:val="20"/>
          <w:lang w:val="es-CR"/>
        </w:rPr>
      </w:pPr>
      <w:r w:rsidRPr="00873FEC">
        <w:rPr>
          <w:rFonts w:ascii="Verdana" w:hAnsi="Verdana" w:cs="Times New Roman"/>
          <w:sz w:val="20"/>
          <w:szCs w:val="20"/>
          <w:lang w:val="es-CR"/>
        </w:rPr>
        <w:t xml:space="preserve">En el caso, debe señalarse que si bien el ejército ingresó a la Comunidad “Aurora 8 de Octubre”, la finca </w:t>
      </w:r>
      <w:proofErr w:type="spellStart"/>
      <w:r w:rsidR="00F5049E" w:rsidRPr="00873FEC">
        <w:rPr>
          <w:rFonts w:ascii="Verdana" w:hAnsi="Verdana" w:cs="Times New Roman"/>
          <w:sz w:val="20"/>
          <w:szCs w:val="20"/>
          <w:lang w:val="es-CR"/>
        </w:rPr>
        <w:t>Xamán</w:t>
      </w:r>
      <w:proofErr w:type="spellEnd"/>
      <w:r w:rsidR="00F5049E" w:rsidRPr="00873FEC">
        <w:rPr>
          <w:rFonts w:ascii="Verdana" w:hAnsi="Verdana" w:cs="Times New Roman"/>
          <w:sz w:val="20"/>
          <w:szCs w:val="20"/>
          <w:lang w:val="es-CR"/>
        </w:rPr>
        <w:t>, en que se asienta dicha C</w:t>
      </w:r>
      <w:r w:rsidRPr="00873FEC">
        <w:rPr>
          <w:rFonts w:ascii="Verdana" w:hAnsi="Verdana" w:cs="Times New Roman"/>
          <w:sz w:val="20"/>
          <w:szCs w:val="20"/>
          <w:lang w:val="es-CR"/>
        </w:rPr>
        <w:t>omunidad</w:t>
      </w:r>
      <w:r w:rsidR="00013983">
        <w:rPr>
          <w:rFonts w:ascii="Verdana" w:hAnsi="Verdana" w:cs="Times New Roman"/>
          <w:sz w:val="20"/>
          <w:szCs w:val="20"/>
          <w:lang w:val="es-CR"/>
        </w:rPr>
        <w:t>,</w:t>
      </w:r>
      <w:r w:rsidRPr="00873FEC">
        <w:rPr>
          <w:rFonts w:ascii="Verdana" w:hAnsi="Verdana" w:cs="Times New Roman"/>
          <w:sz w:val="20"/>
          <w:szCs w:val="20"/>
          <w:lang w:val="es-CR"/>
        </w:rPr>
        <w:t xml:space="preserve"> era propiedad de una Cooperativa</w:t>
      </w:r>
      <w:r w:rsidRPr="00873FEC">
        <w:rPr>
          <w:rStyle w:val="FootnoteReference"/>
          <w:rFonts w:ascii="Verdana" w:hAnsi="Verdana"/>
          <w:sz w:val="20"/>
          <w:lang w:val="es-CR" w:eastAsia="x-none"/>
        </w:rPr>
        <w:footnoteReference w:id="199"/>
      </w:r>
      <w:r w:rsidRPr="00873FEC">
        <w:rPr>
          <w:rFonts w:ascii="Verdana" w:hAnsi="Verdana" w:cs="Times New Roman"/>
          <w:sz w:val="20"/>
          <w:szCs w:val="20"/>
          <w:lang w:val="es-CR"/>
        </w:rPr>
        <w:t xml:space="preserve">, no de alguna o varias de las presuntas víctimas consideradas en forma individual. Por ello, el mero ingreso de los militares a la Comunidad, que es el hecho alegado por los representantes, no pudo lesionar la propiedad privada de ninguna de las personas indicadas como víctimas. De modo adicional, nótese que no consta que los militares ingresaren </w:t>
      </w:r>
      <w:r w:rsidR="00013983">
        <w:rPr>
          <w:rFonts w:ascii="Verdana" w:hAnsi="Verdana" w:cs="Times New Roman"/>
          <w:sz w:val="20"/>
          <w:szCs w:val="20"/>
          <w:lang w:val="es-CR"/>
        </w:rPr>
        <w:t xml:space="preserve">en </w:t>
      </w:r>
      <w:r w:rsidRPr="00873FEC">
        <w:rPr>
          <w:rFonts w:ascii="Verdana" w:hAnsi="Verdana" w:cs="Times New Roman"/>
          <w:sz w:val="20"/>
          <w:szCs w:val="20"/>
          <w:lang w:val="es-CR"/>
        </w:rPr>
        <w:t xml:space="preserve">terrenos o viviendas particulares, ni que produjeran daños a bienes. En consecuencia, la Corte determina que el Estado no es responsable </w:t>
      </w:r>
      <w:r w:rsidR="00013983">
        <w:rPr>
          <w:rFonts w:ascii="Verdana" w:hAnsi="Verdana" w:cs="Times New Roman"/>
          <w:sz w:val="20"/>
          <w:szCs w:val="20"/>
          <w:lang w:val="es-CR"/>
        </w:rPr>
        <w:t>por</w:t>
      </w:r>
      <w:r w:rsidRPr="00873FEC">
        <w:rPr>
          <w:rFonts w:ascii="Verdana" w:hAnsi="Verdana" w:cs="Times New Roman"/>
          <w:sz w:val="20"/>
          <w:szCs w:val="20"/>
          <w:lang w:val="es-CR"/>
        </w:rPr>
        <w:t xml:space="preserve"> la violación del artículo 21 de la Convención.</w:t>
      </w:r>
    </w:p>
    <w:p w:rsidR="00332F58" w:rsidRPr="00873FEC" w:rsidRDefault="00332F58" w:rsidP="00126E97">
      <w:pPr>
        <w:pStyle w:val="ListParagraph"/>
        <w:spacing w:after="0" w:line="20" w:lineRule="atLeast"/>
        <w:rPr>
          <w:rFonts w:ascii="Verdana" w:hAnsi="Verdana"/>
          <w:sz w:val="20"/>
          <w:szCs w:val="20"/>
          <w:lang w:val="es-CR"/>
        </w:rPr>
      </w:pPr>
    </w:p>
    <w:p w:rsidR="00332F58" w:rsidRPr="00873FEC" w:rsidRDefault="00332F58" w:rsidP="00126E97">
      <w:pPr>
        <w:pStyle w:val="ListParagraph"/>
        <w:spacing w:after="0" w:line="20" w:lineRule="atLeast"/>
        <w:jc w:val="center"/>
        <w:outlineLvl w:val="0"/>
        <w:rPr>
          <w:rFonts w:ascii="Verdana" w:hAnsi="Verdana"/>
          <w:b/>
          <w:sz w:val="20"/>
          <w:szCs w:val="20"/>
          <w:lang w:val="es-CR"/>
        </w:rPr>
      </w:pPr>
      <w:bookmarkStart w:id="183" w:name="_Toc525201193"/>
      <w:r w:rsidRPr="00873FEC">
        <w:rPr>
          <w:rFonts w:ascii="Verdana" w:hAnsi="Verdana"/>
          <w:b/>
          <w:sz w:val="20"/>
          <w:szCs w:val="20"/>
          <w:lang w:val="es-CR"/>
        </w:rPr>
        <w:t>VII.5.</w:t>
      </w:r>
      <w:bookmarkEnd w:id="183"/>
    </w:p>
    <w:p w:rsidR="00332F58" w:rsidRPr="00873FEC" w:rsidRDefault="00332F58" w:rsidP="00126E97">
      <w:pPr>
        <w:pStyle w:val="ListParagraph"/>
        <w:spacing w:after="0" w:line="20" w:lineRule="atLeast"/>
        <w:jc w:val="center"/>
        <w:outlineLvl w:val="0"/>
        <w:rPr>
          <w:rFonts w:ascii="Verdana" w:hAnsi="Verdana"/>
          <w:b/>
          <w:sz w:val="20"/>
          <w:szCs w:val="20"/>
          <w:lang w:val="es-CR"/>
        </w:rPr>
      </w:pPr>
      <w:bookmarkStart w:id="184" w:name="_Toc525201194"/>
      <w:r w:rsidRPr="00873FEC">
        <w:rPr>
          <w:rFonts w:ascii="Verdana" w:hAnsi="Verdana"/>
          <w:b/>
          <w:sz w:val="20"/>
          <w:szCs w:val="20"/>
          <w:lang w:val="es-CR"/>
        </w:rPr>
        <w:t>ALEGADA VIOLACIÓN AL DERECHO A LA IGUALDAD ANTE LA LEY</w:t>
      </w:r>
      <w:r w:rsidRPr="00873FEC">
        <w:rPr>
          <w:rStyle w:val="FootnoteReference"/>
          <w:rFonts w:ascii="Verdana" w:hAnsi="Verdana"/>
          <w:sz w:val="20"/>
          <w:lang w:val="es-CR" w:eastAsia="x-none"/>
        </w:rPr>
        <w:footnoteReference w:id="200"/>
      </w:r>
      <w:bookmarkEnd w:id="184"/>
    </w:p>
    <w:p w:rsidR="00332F58" w:rsidRPr="00873FEC" w:rsidRDefault="00332F58" w:rsidP="00126E97">
      <w:pPr>
        <w:pStyle w:val="ListParagraph"/>
        <w:spacing w:after="0" w:line="20" w:lineRule="atLeast"/>
        <w:rPr>
          <w:rFonts w:ascii="Verdana" w:hAnsi="Verdana"/>
          <w:sz w:val="20"/>
          <w:szCs w:val="20"/>
          <w:lang w:val="es-CR"/>
        </w:rPr>
      </w:pPr>
    </w:p>
    <w:p w:rsidR="00332F58" w:rsidRPr="00873FEC" w:rsidRDefault="00332F58" w:rsidP="00126E97">
      <w:pPr>
        <w:numPr>
          <w:ilvl w:val="0"/>
          <w:numId w:val="3"/>
        </w:numPr>
        <w:spacing w:after="0" w:line="20" w:lineRule="atLeast"/>
        <w:ind w:right="-138"/>
        <w:jc w:val="both"/>
        <w:rPr>
          <w:rFonts w:ascii="Verdana" w:hAnsi="Verdana"/>
          <w:sz w:val="20"/>
          <w:szCs w:val="20"/>
          <w:lang w:val="es-CR"/>
        </w:rPr>
      </w:pPr>
      <w:r w:rsidRPr="00873FEC">
        <w:rPr>
          <w:rFonts w:ascii="Verdana" w:hAnsi="Verdana"/>
          <w:sz w:val="20"/>
          <w:szCs w:val="20"/>
          <w:lang w:val="es-CR"/>
        </w:rPr>
        <w:t>La Corte ya ha analizado argumentos relacionados con la alegada violación al derecho a la igualdad ante la ley, respecto de la actuación militar el 5 de octubre de 1995 (</w:t>
      </w:r>
      <w:r w:rsidRPr="00873FEC">
        <w:rPr>
          <w:rFonts w:ascii="Verdana" w:hAnsi="Verdana"/>
          <w:i/>
          <w:sz w:val="20"/>
          <w:szCs w:val="20"/>
          <w:lang w:val="es-CR"/>
        </w:rPr>
        <w:t>supra</w:t>
      </w:r>
      <w:r w:rsidRPr="00873FEC">
        <w:rPr>
          <w:rFonts w:ascii="Verdana" w:hAnsi="Verdana"/>
          <w:sz w:val="20"/>
          <w:szCs w:val="20"/>
          <w:lang w:val="es-CR"/>
        </w:rPr>
        <w:t xml:space="preserve"> párr. 105). Resta ahora considerar alegatos sobre ese derecho relacionados con la actuación de las autoridades judiciales. </w:t>
      </w:r>
    </w:p>
    <w:p w:rsidR="00332F58" w:rsidRPr="00873FEC" w:rsidRDefault="00332F58" w:rsidP="00126E97">
      <w:pPr>
        <w:pStyle w:val="Heading2"/>
        <w:spacing w:before="0" w:line="20" w:lineRule="atLeast"/>
        <w:ind w:left="284"/>
        <w:rPr>
          <w:rFonts w:ascii="Verdana" w:hAnsi="Verdana"/>
          <w:color w:val="auto"/>
          <w:sz w:val="20"/>
          <w:szCs w:val="20"/>
          <w:lang w:val="es-CR"/>
        </w:rPr>
      </w:pPr>
    </w:p>
    <w:p w:rsidR="00332F58" w:rsidRPr="00873FEC" w:rsidRDefault="00332F58" w:rsidP="00126E97">
      <w:pPr>
        <w:pStyle w:val="Heading2"/>
        <w:numPr>
          <w:ilvl w:val="0"/>
          <w:numId w:val="10"/>
        </w:numPr>
        <w:spacing w:before="0" w:line="20" w:lineRule="atLeast"/>
        <w:ind w:left="284"/>
        <w:jc w:val="both"/>
        <w:rPr>
          <w:rFonts w:ascii="Verdana" w:hAnsi="Verdana"/>
          <w:i/>
          <w:color w:val="auto"/>
          <w:sz w:val="20"/>
          <w:szCs w:val="20"/>
          <w:lang w:val="es-CR"/>
        </w:rPr>
      </w:pPr>
      <w:bookmarkStart w:id="185" w:name="_Toc525201195"/>
      <w:r w:rsidRPr="00873FEC">
        <w:rPr>
          <w:rFonts w:ascii="Verdana" w:hAnsi="Verdana"/>
          <w:i/>
          <w:color w:val="auto"/>
          <w:sz w:val="20"/>
          <w:szCs w:val="20"/>
          <w:lang w:val="es-CR"/>
        </w:rPr>
        <w:t>Alegatos de la Comisión y de las partes</w:t>
      </w:r>
      <w:bookmarkEnd w:id="185"/>
    </w:p>
    <w:p w:rsidR="00332F58" w:rsidRPr="00873FEC" w:rsidRDefault="00332F58" w:rsidP="00126E97">
      <w:pPr>
        <w:spacing w:after="0" w:line="20" w:lineRule="atLeast"/>
        <w:rPr>
          <w:rFonts w:ascii="Verdana" w:hAnsi="Verdana"/>
          <w:b/>
          <w:sz w:val="20"/>
          <w:szCs w:val="20"/>
          <w:lang w:val="es-CR"/>
        </w:rPr>
      </w:pPr>
    </w:p>
    <w:p w:rsidR="00332F58" w:rsidRPr="00873FEC" w:rsidRDefault="00332F58" w:rsidP="00126E97">
      <w:pPr>
        <w:numPr>
          <w:ilvl w:val="0"/>
          <w:numId w:val="3"/>
        </w:numPr>
        <w:spacing w:after="0" w:line="20" w:lineRule="atLeast"/>
        <w:ind w:right="-138"/>
        <w:jc w:val="both"/>
        <w:rPr>
          <w:rFonts w:ascii="Verdana" w:hAnsi="Verdana"/>
          <w:sz w:val="20"/>
          <w:szCs w:val="20"/>
          <w:lang w:val="es-CR"/>
        </w:rPr>
      </w:pPr>
      <w:r w:rsidRPr="00873FEC">
        <w:rPr>
          <w:rFonts w:ascii="Verdana" w:hAnsi="Verdana"/>
          <w:sz w:val="20"/>
          <w:szCs w:val="20"/>
          <w:lang w:val="es-CR"/>
        </w:rPr>
        <w:t xml:space="preserve">La </w:t>
      </w:r>
      <w:r w:rsidRPr="00873FEC">
        <w:rPr>
          <w:rFonts w:ascii="Verdana" w:hAnsi="Verdana"/>
          <w:b/>
          <w:i/>
          <w:sz w:val="20"/>
          <w:szCs w:val="20"/>
          <w:lang w:val="es-CR"/>
        </w:rPr>
        <w:t>Comisión</w:t>
      </w:r>
      <w:r w:rsidRPr="00873FEC">
        <w:rPr>
          <w:rFonts w:ascii="Verdana" w:hAnsi="Verdana"/>
          <w:sz w:val="20"/>
          <w:szCs w:val="20"/>
          <w:lang w:val="es-CR"/>
        </w:rPr>
        <w:t xml:space="preserve"> consideró que la respuesta de las autoridades en el manejo de la investigación y las reiteradas demoras reflejan una “</w:t>
      </w:r>
      <w:proofErr w:type="spellStart"/>
      <w:r w:rsidRPr="00873FEC">
        <w:rPr>
          <w:rFonts w:ascii="Verdana" w:hAnsi="Verdana"/>
          <w:sz w:val="20"/>
          <w:szCs w:val="20"/>
          <w:lang w:val="es-CR"/>
        </w:rPr>
        <w:t>despriorización</w:t>
      </w:r>
      <w:proofErr w:type="spellEnd"/>
      <w:r w:rsidRPr="00873FEC">
        <w:rPr>
          <w:rFonts w:ascii="Verdana" w:hAnsi="Verdana"/>
          <w:sz w:val="20"/>
          <w:szCs w:val="20"/>
          <w:lang w:val="es-CR"/>
        </w:rPr>
        <w:t>” de los casos de graves violaciones a los derechos humanos de dichas comunidades en la época. Encontró, por ende, que los hechos fueron una expresión de “discriminación racial” y</w:t>
      </w:r>
      <w:r w:rsidR="00552A1D">
        <w:rPr>
          <w:rFonts w:ascii="Verdana" w:hAnsi="Verdana"/>
          <w:sz w:val="20"/>
          <w:szCs w:val="20"/>
          <w:lang w:val="es-CR"/>
        </w:rPr>
        <w:t>,</w:t>
      </w:r>
      <w:r w:rsidRPr="00873FEC">
        <w:rPr>
          <w:rFonts w:ascii="Verdana" w:hAnsi="Verdana"/>
          <w:sz w:val="20"/>
          <w:szCs w:val="20"/>
          <w:lang w:val="es-CR"/>
        </w:rPr>
        <w:t xml:space="preserve"> en </w:t>
      </w:r>
      <w:r w:rsidRPr="00873FEC">
        <w:rPr>
          <w:rFonts w:ascii="Verdana" w:hAnsi="Verdana"/>
          <w:sz w:val="20"/>
          <w:szCs w:val="20"/>
          <w:lang w:val="es-CR"/>
        </w:rPr>
        <w:lastRenderedPageBreak/>
        <w:t>consecuencia</w:t>
      </w:r>
      <w:r w:rsidR="00552A1D">
        <w:rPr>
          <w:rFonts w:ascii="Verdana" w:hAnsi="Verdana"/>
          <w:sz w:val="20"/>
          <w:szCs w:val="20"/>
          <w:lang w:val="es-CR"/>
        </w:rPr>
        <w:t>,</w:t>
      </w:r>
      <w:r w:rsidRPr="00873FEC">
        <w:rPr>
          <w:rFonts w:ascii="Verdana" w:hAnsi="Verdana"/>
          <w:sz w:val="20"/>
          <w:szCs w:val="20"/>
          <w:lang w:val="es-CR"/>
        </w:rPr>
        <w:t xml:space="preserve"> una violación al artículo 24 de la Convención, en relación con el artículo 1.1 de la misma. </w:t>
      </w:r>
    </w:p>
    <w:p w:rsidR="00332F58" w:rsidRPr="00873FEC" w:rsidRDefault="00332F58" w:rsidP="00126E97">
      <w:pPr>
        <w:spacing w:after="0" w:line="20" w:lineRule="atLeast"/>
        <w:ind w:right="-138"/>
        <w:rPr>
          <w:rFonts w:ascii="Verdana" w:hAnsi="Verdana"/>
          <w:sz w:val="20"/>
          <w:szCs w:val="20"/>
          <w:lang w:val="es-CR"/>
        </w:rPr>
      </w:pPr>
    </w:p>
    <w:p w:rsidR="00332F58" w:rsidRPr="00873FEC" w:rsidRDefault="00332F58" w:rsidP="00126E97">
      <w:pPr>
        <w:numPr>
          <w:ilvl w:val="0"/>
          <w:numId w:val="3"/>
        </w:numPr>
        <w:spacing w:after="0" w:line="20" w:lineRule="atLeast"/>
        <w:ind w:right="-138"/>
        <w:jc w:val="both"/>
        <w:rPr>
          <w:rFonts w:ascii="Verdana" w:hAnsi="Verdana"/>
          <w:sz w:val="20"/>
          <w:szCs w:val="20"/>
          <w:lang w:val="es-CR"/>
        </w:rPr>
      </w:pPr>
      <w:r w:rsidRPr="00873FEC">
        <w:rPr>
          <w:rFonts w:ascii="Verdana" w:eastAsia="Times New Roman" w:hAnsi="Verdana" w:cs="Times New Roman"/>
          <w:bCs/>
          <w:color w:val="000000"/>
          <w:sz w:val="20"/>
          <w:szCs w:val="20"/>
          <w:lang w:val="es-CR"/>
        </w:rPr>
        <w:t xml:space="preserve">Los </w:t>
      </w:r>
      <w:r w:rsidRPr="00873FEC">
        <w:rPr>
          <w:rFonts w:ascii="Verdana" w:eastAsia="Times New Roman" w:hAnsi="Verdana" w:cs="Times New Roman"/>
          <w:b/>
          <w:bCs/>
          <w:i/>
          <w:color w:val="000000"/>
          <w:sz w:val="20"/>
          <w:szCs w:val="20"/>
          <w:lang w:val="es-CR"/>
        </w:rPr>
        <w:t>representantes</w:t>
      </w:r>
      <w:r w:rsidRPr="00873FEC">
        <w:rPr>
          <w:rFonts w:ascii="Verdana" w:eastAsia="Times New Roman" w:hAnsi="Verdana" w:cs="Times New Roman"/>
          <w:bCs/>
          <w:color w:val="000000"/>
          <w:sz w:val="20"/>
          <w:szCs w:val="20"/>
          <w:lang w:val="es-CR"/>
        </w:rPr>
        <w:t xml:space="preserve"> entendieron que se vulneró el derecho a la igual protección de la ley, a partir de las falencias y demoras de la investigación.</w:t>
      </w:r>
      <w:r w:rsidRPr="00873FEC">
        <w:rPr>
          <w:rFonts w:ascii="Verdana" w:hAnsi="Verdana"/>
          <w:sz w:val="20"/>
          <w:szCs w:val="20"/>
        </w:rPr>
        <w:t xml:space="preserve">Consideraron que la condición de pobreza y pobreza extrema que enfrentan muchas de las víctimas también es considerada una situación de discriminación para acceder a la justicia por los altos costos y el abandono de infraestructura del Estado en las poblaciones mayas. </w:t>
      </w:r>
    </w:p>
    <w:p w:rsidR="00332F58" w:rsidRPr="00873FEC" w:rsidRDefault="00332F58" w:rsidP="00126E97">
      <w:pPr>
        <w:pStyle w:val="ListParagraph"/>
        <w:spacing w:after="0" w:line="20" w:lineRule="atLeast"/>
        <w:rPr>
          <w:rFonts w:ascii="Verdana" w:hAnsi="Verdana"/>
          <w:sz w:val="20"/>
          <w:szCs w:val="20"/>
          <w:lang w:val="es-CR"/>
        </w:rPr>
      </w:pPr>
    </w:p>
    <w:p w:rsidR="00332F58" w:rsidRPr="00873FEC" w:rsidRDefault="00332F58" w:rsidP="00126E97">
      <w:pPr>
        <w:numPr>
          <w:ilvl w:val="0"/>
          <w:numId w:val="3"/>
        </w:numPr>
        <w:spacing w:after="0" w:line="20" w:lineRule="atLeast"/>
        <w:ind w:right="-138"/>
        <w:jc w:val="both"/>
        <w:rPr>
          <w:rFonts w:ascii="Verdana" w:hAnsi="Verdana"/>
          <w:sz w:val="20"/>
          <w:szCs w:val="20"/>
          <w:lang w:val="es-CR"/>
        </w:rPr>
      </w:pPr>
      <w:r w:rsidRPr="00873FEC">
        <w:rPr>
          <w:rFonts w:ascii="Verdana" w:hAnsi="Verdana"/>
          <w:sz w:val="20"/>
          <w:szCs w:val="20"/>
          <w:lang w:val="es-CR"/>
        </w:rPr>
        <w:t xml:space="preserve">El </w:t>
      </w:r>
      <w:r w:rsidRPr="00873FEC">
        <w:rPr>
          <w:rFonts w:ascii="Verdana" w:hAnsi="Verdana"/>
          <w:b/>
          <w:i/>
          <w:sz w:val="20"/>
          <w:szCs w:val="20"/>
          <w:lang w:val="es-CR"/>
        </w:rPr>
        <w:t>Estado</w:t>
      </w:r>
      <w:r w:rsidRPr="00873FEC">
        <w:rPr>
          <w:rFonts w:ascii="Verdana" w:hAnsi="Verdana"/>
          <w:sz w:val="20"/>
          <w:szCs w:val="20"/>
          <w:lang w:val="es-CR"/>
        </w:rPr>
        <w:t xml:space="preserve"> indicó que efectuó una investigación diligente que concluyó con la sanción de personas involucradas en los hechos </w:t>
      </w:r>
      <w:r w:rsidRPr="00873FEC">
        <w:rPr>
          <w:rFonts w:ascii="Verdana" w:eastAsia="Times New Roman" w:hAnsi="Verdana" w:cs="Times New Roman"/>
          <w:bCs/>
          <w:color w:val="000000"/>
          <w:sz w:val="20"/>
          <w:szCs w:val="20"/>
          <w:lang w:val="es-CR"/>
        </w:rPr>
        <w:t>y sus actuaciones no se enmarcaron en una discriminación ni de hecho ni de derecho.</w:t>
      </w:r>
      <w:r w:rsidRPr="00873FEC">
        <w:rPr>
          <w:rFonts w:ascii="Verdana" w:eastAsia="Times New Roman" w:hAnsi="Verdana" w:cs="Times New Roman"/>
          <w:b/>
          <w:bCs/>
          <w:color w:val="000000"/>
          <w:sz w:val="20"/>
          <w:szCs w:val="20"/>
          <w:lang w:val="es-CR"/>
        </w:rPr>
        <w:t xml:space="preserve"> </w:t>
      </w:r>
    </w:p>
    <w:p w:rsidR="00332F58" w:rsidRPr="00873FEC" w:rsidRDefault="00332F58" w:rsidP="00126E97">
      <w:pPr>
        <w:pStyle w:val="ListParagraph"/>
        <w:spacing w:after="0" w:line="20" w:lineRule="atLeast"/>
        <w:rPr>
          <w:rFonts w:ascii="Verdana" w:eastAsia="Times New Roman" w:hAnsi="Verdana" w:cs="Times New Roman"/>
          <w:color w:val="000000"/>
          <w:sz w:val="20"/>
          <w:szCs w:val="20"/>
          <w:lang w:val="es-CR"/>
        </w:rPr>
      </w:pPr>
    </w:p>
    <w:p w:rsidR="00332F58" w:rsidRPr="00873FEC" w:rsidRDefault="00332F58" w:rsidP="00126E97">
      <w:pPr>
        <w:pStyle w:val="Heading2"/>
        <w:numPr>
          <w:ilvl w:val="0"/>
          <w:numId w:val="10"/>
        </w:numPr>
        <w:spacing w:before="0" w:line="20" w:lineRule="atLeast"/>
        <w:ind w:left="644" w:hanging="360"/>
        <w:jc w:val="both"/>
        <w:rPr>
          <w:rFonts w:ascii="Verdana" w:hAnsi="Verdana"/>
          <w:i/>
          <w:color w:val="auto"/>
          <w:sz w:val="20"/>
          <w:szCs w:val="20"/>
          <w:lang w:val="es-CR"/>
        </w:rPr>
      </w:pPr>
      <w:bookmarkStart w:id="186" w:name="_Toc525201196"/>
      <w:r w:rsidRPr="00873FEC">
        <w:rPr>
          <w:rFonts w:ascii="Verdana" w:hAnsi="Verdana"/>
          <w:i/>
          <w:color w:val="auto"/>
          <w:sz w:val="20"/>
          <w:szCs w:val="20"/>
          <w:lang w:val="es-CR"/>
        </w:rPr>
        <w:t>Consideraciones de la Corte</w:t>
      </w:r>
      <w:bookmarkEnd w:id="186"/>
    </w:p>
    <w:p w:rsidR="00332F58" w:rsidRPr="00873FEC" w:rsidRDefault="00332F58" w:rsidP="00126E97">
      <w:pPr>
        <w:pStyle w:val="ListParagraph"/>
        <w:spacing w:after="0" w:line="20" w:lineRule="atLeast"/>
        <w:rPr>
          <w:rFonts w:ascii="Verdana" w:eastAsia="Times New Roman" w:hAnsi="Verdana" w:cs="Times New Roman"/>
          <w:color w:val="000000"/>
          <w:sz w:val="20"/>
          <w:szCs w:val="20"/>
          <w:lang w:val="es-CR"/>
        </w:rPr>
      </w:pPr>
    </w:p>
    <w:p w:rsidR="00332F58" w:rsidRPr="00873FEC" w:rsidRDefault="00332F58" w:rsidP="00126E97">
      <w:pPr>
        <w:numPr>
          <w:ilvl w:val="0"/>
          <w:numId w:val="3"/>
        </w:numPr>
        <w:spacing w:after="0" w:line="20" w:lineRule="atLeast"/>
        <w:ind w:right="-138"/>
        <w:jc w:val="both"/>
        <w:rPr>
          <w:rFonts w:ascii="Verdana" w:hAnsi="Verdana"/>
          <w:sz w:val="20"/>
          <w:szCs w:val="20"/>
          <w:lang w:val="es-CR"/>
        </w:rPr>
      </w:pPr>
      <w:r w:rsidRPr="00873FEC">
        <w:rPr>
          <w:rFonts w:ascii="Verdana" w:eastAsia="Times New Roman" w:hAnsi="Verdana" w:cs="Times New Roman"/>
          <w:bCs/>
          <w:color w:val="000000"/>
          <w:sz w:val="20"/>
          <w:szCs w:val="20"/>
          <w:lang w:val="es-CR"/>
        </w:rPr>
        <w:t xml:space="preserve">En primer lugar, la Corte nota que la Comisión y los representantes no especificaron las personas en perjuicio de quienes se habría violado el derecho a la igual protección de la ley. Sin perjuicio de ello, por sus argumentos, este Tribunal considera que se refieren a todas las personas consideradas presuntas víctimas.  </w:t>
      </w:r>
    </w:p>
    <w:p w:rsidR="00332F58" w:rsidRPr="00873FEC" w:rsidRDefault="00332F58" w:rsidP="00126E97">
      <w:pPr>
        <w:pStyle w:val="ListParagraph"/>
        <w:spacing w:after="0" w:line="20" w:lineRule="atLeast"/>
        <w:rPr>
          <w:rFonts w:ascii="Verdana" w:eastAsia="Times New Roman" w:hAnsi="Verdana" w:cs="Times New Roman"/>
          <w:color w:val="000000"/>
          <w:sz w:val="20"/>
          <w:szCs w:val="20"/>
          <w:lang w:val="es-CR"/>
        </w:rPr>
      </w:pPr>
    </w:p>
    <w:p w:rsidR="00332F58" w:rsidRPr="00873FEC" w:rsidRDefault="00332F58" w:rsidP="00126E97">
      <w:pPr>
        <w:numPr>
          <w:ilvl w:val="0"/>
          <w:numId w:val="3"/>
        </w:numPr>
        <w:spacing w:after="0" w:line="20" w:lineRule="atLeast"/>
        <w:ind w:right="-138"/>
        <w:jc w:val="both"/>
        <w:rPr>
          <w:rFonts w:ascii="Verdana" w:hAnsi="Verdana"/>
          <w:b/>
          <w:sz w:val="20"/>
          <w:szCs w:val="20"/>
          <w:lang w:val="es-CR"/>
        </w:rPr>
      </w:pPr>
      <w:r w:rsidRPr="00873FEC">
        <w:rPr>
          <w:rFonts w:ascii="Verdana" w:eastAsia="Times New Roman" w:hAnsi="Verdana" w:cs="Times New Roman"/>
          <w:bCs/>
          <w:color w:val="000000"/>
          <w:sz w:val="20"/>
          <w:szCs w:val="20"/>
          <w:lang w:val="es-CR"/>
        </w:rPr>
        <w:t>En cuanto a los procesos j</w:t>
      </w:r>
      <w:r w:rsidRPr="00873FEC">
        <w:rPr>
          <w:rFonts w:ascii="Verdana" w:eastAsia="Times New Roman" w:hAnsi="Verdana" w:cs="Times New Roman"/>
          <w:bCs/>
          <w:sz w:val="20"/>
          <w:szCs w:val="20"/>
          <w:lang w:val="es-CR"/>
        </w:rPr>
        <w:t>udiciales, la Corte ha</w:t>
      </w:r>
      <w:r w:rsidRPr="00873FEC">
        <w:rPr>
          <w:rFonts w:ascii="Verdana" w:eastAsia="Times New Roman" w:hAnsi="Verdana" w:cs="Times New Roman"/>
          <w:bCs/>
          <w:color w:val="000000"/>
          <w:sz w:val="20"/>
          <w:szCs w:val="20"/>
          <w:lang w:val="es-CR"/>
        </w:rPr>
        <w:t xml:space="preserve"> </w:t>
      </w:r>
      <w:r w:rsidRPr="00873FEC">
        <w:rPr>
          <w:rFonts w:ascii="Verdana" w:hAnsi="Verdana"/>
          <w:sz w:val="20"/>
          <w:szCs w:val="20"/>
          <w:lang w:val="es-CR"/>
        </w:rPr>
        <w:t xml:space="preserve">“establecido violaciones al artículo 24 de la Convención cuando se [ha] </w:t>
      </w:r>
      <w:proofErr w:type="gramStart"/>
      <w:r w:rsidRPr="00873FEC">
        <w:rPr>
          <w:rFonts w:ascii="Verdana" w:hAnsi="Verdana"/>
          <w:sz w:val="20"/>
          <w:szCs w:val="20"/>
          <w:lang w:val="es-CR"/>
        </w:rPr>
        <w:t>consta[</w:t>
      </w:r>
      <w:proofErr w:type="spellStart"/>
      <w:proofErr w:type="gramEnd"/>
      <w:r w:rsidRPr="00873FEC">
        <w:rPr>
          <w:rFonts w:ascii="Verdana" w:hAnsi="Verdana"/>
          <w:sz w:val="20"/>
          <w:szCs w:val="20"/>
          <w:lang w:val="es-CR"/>
        </w:rPr>
        <w:t>tado</w:t>
      </w:r>
      <w:proofErr w:type="spellEnd"/>
      <w:r w:rsidRPr="00873FEC">
        <w:rPr>
          <w:rFonts w:ascii="Verdana" w:hAnsi="Verdana"/>
          <w:sz w:val="20"/>
          <w:szCs w:val="20"/>
          <w:lang w:val="es-CR"/>
        </w:rPr>
        <w:t>] una vulneración al acceso a la justicia con base en criterios discriminatorios”</w:t>
      </w:r>
      <w:r w:rsidRPr="00873FEC">
        <w:rPr>
          <w:rStyle w:val="FootnoteReference"/>
          <w:rFonts w:ascii="Verdana" w:hAnsi="Verdana"/>
          <w:sz w:val="20"/>
          <w:lang w:val="es-CR" w:eastAsia="x-none"/>
        </w:rPr>
        <w:footnoteReference w:id="201"/>
      </w:r>
      <w:r w:rsidRPr="00873FEC">
        <w:rPr>
          <w:rFonts w:ascii="Verdana" w:hAnsi="Verdana"/>
          <w:sz w:val="20"/>
          <w:szCs w:val="20"/>
          <w:lang w:val="es-CR"/>
        </w:rPr>
        <w:t>. No obstante, entiende que para determinar dicha violación no bastaría una situación meramente contextual</w:t>
      </w:r>
      <w:r w:rsidRPr="00873FEC">
        <w:rPr>
          <w:rStyle w:val="FootnoteReference"/>
          <w:rFonts w:ascii="Verdana" w:hAnsi="Verdana"/>
          <w:sz w:val="20"/>
          <w:lang w:val="es-CR" w:eastAsia="x-none"/>
        </w:rPr>
        <w:footnoteReference w:id="202"/>
      </w:r>
      <w:r w:rsidRPr="00873FEC">
        <w:rPr>
          <w:rFonts w:ascii="Verdana" w:hAnsi="Verdana"/>
          <w:sz w:val="20"/>
          <w:szCs w:val="20"/>
          <w:lang w:val="es-CR"/>
        </w:rPr>
        <w:t>, sino que resulta necesario que se acrediten “hechos concretos de discriminación en el marco de las investigaciones que constituyeran obstáculos [</w:t>
      </w:r>
      <w:r w:rsidR="00552A1D">
        <w:rPr>
          <w:rFonts w:ascii="Verdana" w:hAnsi="Verdana"/>
          <w:sz w:val="20"/>
          <w:szCs w:val="20"/>
          <w:lang w:val="es-CR"/>
        </w:rPr>
        <w:t>a</w:t>
      </w:r>
      <w:r w:rsidRPr="00873FEC">
        <w:rPr>
          <w:rFonts w:ascii="Verdana" w:hAnsi="Verdana"/>
          <w:sz w:val="20"/>
          <w:szCs w:val="20"/>
          <w:lang w:val="es-CR"/>
        </w:rPr>
        <w:t>] acceder a la justicia, en razón [del carácter sobre el que se manifiesta la discriminación]</w:t>
      </w:r>
      <w:r w:rsidRPr="00873FEC">
        <w:rPr>
          <w:rStyle w:val="FootnoteReference"/>
          <w:rFonts w:ascii="Verdana" w:hAnsi="Verdana"/>
          <w:sz w:val="20"/>
          <w:lang w:val="es-CR" w:eastAsia="x-none"/>
        </w:rPr>
        <w:footnoteReference w:id="203"/>
      </w:r>
      <w:r w:rsidRPr="00873FEC">
        <w:rPr>
          <w:rFonts w:ascii="Verdana" w:hAnsi="Verdana"/>
          <w:sz w:val="20"/>
          <w:szCs w:val="20"/>
          <w:lang w:val="es-CR"/>
        </w:rPr>
        <w:t>. La Corte no observa tales hechos concretos en el caso. Además, destaca que el proceso judicial derivó en el esclarecimiento de lo acontecido y la determinación de responsabilidades. En ese marco, no resulta evidente, ni ha sido suficientemente fundamentada, la “</w:t>
      </w:r>
      <w:proofErr w:type="spellStart"/>
      <w:r w:rsidRPr="00873FEC">
        <w:rPr>
          <w:rFonts w:ascii="Verdana" w:hAnsi="Verdana"/>
          <w:sz w:val="20"/>
          <w:szCs w:val="20"/>
          <w:lang w:val="es-CR"/>
        </w:rPr>
        <w:t>despriorización</w:t>
      </w:r>
      <w:proofErr w:type="spellEnd"/>
      <w:r w:rsidRPr="00873FEC">
        <w:rPr>
          <w:rFonts w:ascii="Verdana" w:hAnsi="Verdana"/>
          <w:sz w:val="20"/>
          <w:szCs w:val="20"/>
          <w:lang w:val="es-CR"/>
        </w:rPr>
        <w:t>” referida por la Comisión; tampoco que la supuesta incidencia perjudicial en el caso, con relación a la actuación judicial, de la situación de pobreza señalada por los representantes.</w:t>
      </w:r>
    </w:p>
    <w:p w:rsidR="00332F58" w:rsidRPr="00873FEC" w:rsidRDefault="00332F58" w:rsidP="00126E97">
      <w:pPr>
        <w:pStyle w:val="ListParagraph"/>
        <w:spacing w:after="0" w:line="20" w:lineRule="atLeast"/>
        <w:rPr>
          <w:rFonts w:ascii="Verdana" w:hAnsi="Verdana"/>
          <w:sz w:val="20"/>
          <w:szCs w:val="20"/>
          <w:lang w:val="es-CR"/>
        </w:rPr>
      </w:pPr>
    </w:p>
    <w:p w:rsidR="00332F58" w:rsidRPr="00873FEC" w:rsidRDefault="00332F58" w:rsidP="00126E97">
      <w:pPr>
        <w:numPr>
          <w:ilvl w:val="0"/>
          <w:numId w:val="3"/>
        </w:numPr>
        <w:spacing w:after="0" w:line="20" w:lineRule="atLeast"/>
        <w:ind w:right="-138"/>
        <w:jc w:val="both"/>
        <w:rPr>
          <w:rFonts w:ascii="Verdana" w:hAnsi="Verdana"/>
          <w:sz w:val="20"/>
          <w:szCs w:val="20"/>
          <w:lang w:val="es-CR"/>
        </w:rPr>
      </w:pPr>
      <w:r w:rsidRPr="00873FEC">
        <w:rPr>
          <w:rFonts w:ascii="Verdana" w:hAnsi="Verdana"/>
          <w:sz w:val="20"/>
          <w:szCs w:val="20"/>
          <w:lang w:val="es-CR"/>
        </w:rPr>
        <w:t xml:space="preserve">Por lo expuesto, la Corte considera que Guatemala no violó el artículo 24 de la Convención Americana.  </w:t>
      </w:r>
    </w:p>
    <w:p w:rsidR="00D05F7B" w:rsidRDefault="00D05F7B" w:rsidP="00126E97">
      <w:pPr>
        <w:spacing w:line="20" w:lineRule="atLeast"/>
        <w:jc w:val="both"/>
        <w:rPr>
          <w:rFonts w:ascii="Verdana" w:hAnsi="Verdana"/>
          <w:sz w:val="20"/>
          <w:szCs w:val="20"/>
          <w:lang w:val="es-CR"/>
        </w:rPr>
      </w:pPr>
    </w:p>
    <w:p w:rsidR="00126E97" w:rsidRDefault="00126E97" w:rsidP="00126E97">
      <w:pPr>
        <w:spacing w:line="20" w:lineRule="atLeast"/>
        <w:jc w:val="both"/>
        <w:rPr>
          <w:rFonts w:ascii="Verdana" w:hAnsi="Verdana"/>
          <w:sz w:val="20"/>
          <w:szCs w:val="20"/>
          <w:lang w:val="es-CR"/>
        </w:rPr>
      </w:pPr>
    </w:p>
    <w:p w:rsidR="00126E97" w:rsidRDefault="00126E97" w:rsidP="00126E97">
      <w:pPr>
        <w:spacing w:line="20" w:lineRule="atLeast"/>
        <w:jc w:val="both"/>
        <w:rPr>
          <w:rFonts w:ascii="Verdana" w:hAnsi="Verdana"/>
          <w:sz w:val="20"/>
          <w:szCs w:val="20"/>
          <w:lang w:val="es-CR"/>
        </w:rPr>
      </w:pPr>
    </w:p>
    <w:p w:rsidR="00126E97" w:rsidRDefault="00126E97" w:rsidP="00126E97">
      <w:pPr>
        <w:spacing w:line="20" w:lineRule="atLeast"/>
        <w:jc w:val="both"/>
        <w:rPr>
          <w:rFonts w:ascii="Verdana" w:hAnsi="Verdana"/>
          <w:sz w:val="20"/>
          <w:szCs w:val="20"/>
          <w:lang w:val="es-CR"/>
        </w:rPr>
      </w:pPr>
    </w:p>
    <w:p w:rsidR="00126E97" w:rsidRPr="00873FEC" w:rsidRDefault="00126E97" w:rsidP="00126E97">
      <w:pPr>
        <w:spacing w:line="20" w:lineRule="atLeast"/>
        <w:jc w:val="both"/>
        <w:rPr>
          <w:rFonts w:ascii="Calibri" w:eastAsia="Calibri" w:hAnsi="Calibri" w:cs="Times"/>
          <w:szCs w:val="20"/>
          <w:lang w:eastAsia="es-CR"/>
        </w:rPr>
      </w:pPr>
    </w:p>
    <w:p w:rsidR="00D05F7B" w:rsidRPr="00873FEC" w:rsidRDefault="00D05F7B" w:rsidP="00126E97">
      <w:pPr>
        <w:spacing w:after="0" w:line="20" w:lineRule="atLeast"/>
        <w:ind w:left="720"/>
        <w:contextualSpacing/>
        <w:jc w:val="center"/>
        <w:outlineLvl w:val="0"/>
        <w:rPr>
          <w:rFonts w:ascii="Verdana" w:eastAsia="Calibri" w:hAnsi="Verdana" w:cs="Times"/>
          <w:b/>
          <w:sz w:val="20"/>
          <w:szCs w:val="20"/>
          <w:lang w:eastAsia="es-CR"/>
        </w:rPr>
      </w:pPr>
      <w:bookmarkStart w:id="187" w:name="_Toc520207611"/>
      <w:bookmarkStart w:id="188" w:name="_Toc525201197"/>
      <w:bookmarkEnd w:id="187"/>
      <w:r w:rsidRPr="00873FEC">
        <w:rPr>
          <w:rFonts w:ascii="Verdana" w:eastAsia="Calibri" w:hAnsi="Verdana" w:cs="Times"/>
          <w:b/>
          <w:sz w:val="20"/>
          <w:szCs w:val="20"/>
          <w:lang w:eastAsia="es-CR"/>
        </w:rPr>
        <w:lastRenderedPageBreak/>
        <w:t>VIII</w:t>
      </w:r>
      <w:bookmarkEnd w:id="188"/>
    </w:p>
    <w:p w:rsidR="00D05F7B" w:rsidRPr="00873FEC" w:rsidRDefault="00D05F7B" w:rsidP="00126E97">
      <w:pPr>
        <w:spacing w:after="0" w:line="20" w:lineRule="atLeast"/>
        <w:ind w:left="720"/>
        <w:contextualSpacing/>
        <w:jc w:val="center"/>
        <w:outlineLvl w:val="0"/>
        <w:rPr>
          <w:rFonts w:ascii="Verdana" w:eastAsia="Calibri" w:hAnsi="Verdana" w:cs="Times"/>
          <w:b/>
          <w:sz w:val="20"/>
          <w:szCs w:val="20"/>
          <w:lang w:eastAsia="es-CR"/>
        </w:rPr>
      </w:pPr>
      <w:bookmarkStart w:id="189" w:name="_Toc520207612"/>
      <w:bookmarkStart w:id="190" w:name="_Toc525201198"/>
      <w:bookmarkEnd w:id="189"/>
      <w:r w:rsidRPr="00873FEC">
        <w:rPr>
          <w:rFonts w:ascii="Verdana" w:eastAsia="Calibri" w:hAnsi="Verdana" w:cs="Times"/>
          <w:b/>
          <w:sz w:val="20"/>
          <w:szCs w:val="20"/>
          <w:lang w:eastAsia="es-CR"/>
        </w:rPr>
        <w:t>REPARACIONES</w:t>
      </w:r>
      <w:bookmarkEnd w:id="190"/>
    </w:p>
    <w:p w:rsidR="00D05F7B" w:rsidRPr="00873FEC" w:rsidRDefault="00D05F7B" w:rsidP="00126E97">
      <w:pPr>
        <w:spacing w:after="0" w:line="20" w:lineRule="atLeast"/>
        <w:ind w:left="720"/>
        <w:contextualSpacing/>
        <w:jc w:val="center"/>
        <w:outlineLvl w:val="0"/>
        <w:rPr>
          <w:rFonts w:ascii="Verdana" w:eastAsia="Calibri" w:hAnsi="Verdana" w:cs="Times"/>
          <w:b/>
          <w:sz w:val="20"/>
          <w:szCs w:val="20"/>
          <w:lang w:eastAsia="es-CR"/>
        </w:rPr>
      </w:pPr>
      <w:bookmarkStart w:id="191" w:name="_Toc520207613"/>
      <w:bookmarkStart w:id="192" w:name="_Toc520212033"/>
      <w:bookmarkStart w:id="193" w:name="_Toc521532512"/>
      <w:bookmarkStart w:id="194" w:name="_Toc525201199"/>
      <w:bookmarkEnd w:id="191"/>
      <w:bookmarkEnd w:id="192"/>
      <w:bookmarkEnd w:id="193"/>
      <w:r w:rsidRPr="00873FEC">
        <w:rPr>
          <w:rFonts w:ascii="Verdana" w:eastAsia="Calibri" w:hAnsi="Verdana" w:cs="Times"/>
          <w:b/>
          <w:sz w:val="20"/>
          <w:szCs w:val="20"/>
          <w:lang w:eastAsia="es-CR"/>
        </w:rPr>
        <w:t>(Aplicación del artículo 63.1 de la Convención Americana)</w:t>
      </w:r>
      <w:bookmarkEnd w:id="194"/>
    </w:p>
    <w:p w:rsidR="00D05F7B" w:rsidRPr="00873FEC" w:rsidRDefault="00D05F7B" w:rsidP="00126E97">
      <w:pPr>
        <w:spacing w:after="0" w:line="20" w:lineRule="atLeast"/>
        <w:ind w:left="720"/>
        <w:contextualSpacing/>
        <w:rPr>
          <w:rFonts w:ascii="Calibri" w:eastAsia="Calibri" w:hAnsi="Calibri" w:cs="Times"/>
          <w:szCs w:val="20"/>
          <w:lang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eastAsia="es-CR"/>
        </w:rPr>
        <w:t xml:space="preserve">Sobre </w:t>
      </w:r>
      <w:r w:rsidRPr="00873FEC">
        <w:rPr>
          <w:rFonts w:ascii="Verdana" w:eastAsia="Batang" w:hAnsi="Verdana" w:cs="Times"/>
          <w:bCs/>
          <w:sz w:val="20"/>
          <w:szCs w:val="20"/>
          <w:lang w:eastAsia="es-CR"/>
        </w:rPr>
        <w:t>la</w:t>
      </w:r>
      <w:r w:rsidRPr="00873FEC">
        <w:rPr>
          <w:rFonts w:ascii="Verdana" w:eastAsia="Batang" w:hAnsi="Verdana" w:cs="Times"/>
          <w:sz w:val="20"/>
          <w:szCs w:val="20"/>
          <w:lang w:eastAsia="es-CR"/>
        </w:rPr>
        <w:t xml:space="preserve"> base del artículo 63.1 de la Convención</w:t>
      </w:r>
      <w:r w:rsidRPr="00873FEC">
        <w:rPr>
          <w:rFonts w:ascii="Verdana" w:eastAsia="Batang" w:hAnsi="Verdana" w:cs="Times New Roman"/>
          <w:sz w:val="20"/>
          <w:szCs w:val="20"/>
          <w:vertAlign w:val="superscript"/>
          <w:lang w:eastAsia="x-none"/>
        </w:rPr>
        <w:footnoteReference w:id="204"/>
      </w:r>
      <w:r w:rsidRPr="00873FEC">
        <w:rPr>
          <w:rFonts w:ascii="Verdana" w:eastAsia="Batang" w:hAnsi="Verdana" w:cs="Times"/>
          <w:sz w:val="20"/>
          <w:szCs w:val="20"/>
          <w:lang w:eastAsia="es-CR"/>
        </w:rPr>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873FEC">
        <w:rPr>
          <w:rFonts w:ascii="Verdana" w:eastAsia="Batang" w:hAnsi="Verdana" w:cs="Times New Roman"/>
          <w:sz w:val="20"/>
          <w:szCs w:val="20"/>
          <w:vertAlign w:val="superscript"/>
          <w:lang w:eastAsia="x-none"/>
        </w:rPr>
        <w:footnoteReference w:id="205"/>
      </w:r>
      <w:r w:rsidRPr="00873FEC">
        <w:rPr>
          <w:rFonts w:ascii="Verdana" w:eastAsia="Batang" w:hAnsi="Verdana" w:cs="Times"/>
          <w:sz w:val="20"/>
          <w:szCs w:val="20"/>
          <w:lang w:eastAsia="es-CR"/>
        </w:rPr>
        <w:t>.</w:t>
      </w:r>
    </w:p>
    <w:p w:rsidR="00D05F7B" w:rsidRPr="00873FEC" w:rsidRDefault="00D05F7B" w:rsidP="00126E97">
      <w:pPr>
        <w:spacing w:after="0" w:line="20" w:lineRule="atLeast"/>
        <w:ind w:right="-138"/>
        <w:jc w:val="both"/>
        <w:rPr>
          <w:rFonts w:ascii="Verdana" w:eastAsia="Batang" w:hAnsi="Verdana" w:cs="Times"/>
          <w:sz w:val="20"/>
          <w:szCs w:val="24"/>
          <w:lang w:val="es-CR"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bCs/>
          <w:sz w:val="20"/>
          <w:szCs w:val="20"/>
          <w:lang w:eastAsia="es-CR"/>
        </w:rPr>
        <w:t xml:space="preserve">La </w:t>
      </w:r>
      <w:r w:rsidRPr="00873FEC">
        <w:rPr>
          <w:rFonts w:ascii="Verdana" w:eastAsia="Batang" w:hAnsi="Verdana" w:cs="Times"/>
          <w:sz w:val="20"/>
          <w:szCs w:val="20"/>
          <w:lang w:eastAsia="es-CR"/>
        </w:rPr>
        <w:t>reparación</w:t>
      </w:r>
      <w:r w:rsidRPr="00873FEC">
        <w:rPr>
          <w:rFonts w:ascii="Verdana" w:eastAsia="Batang" w:hAnsi="Verdana" w:cs="Times"/>
          <w:bCs/>
          <w:sz w:val="20"/>
          <w:szCs w:val="20"/>
          <w:lang w:eastAsia="es-CR"/>
        </w:rPr>
        <w:t xml:space="preserve"> del daño ocasionado por la infracción de una obligación internacional requiere, siempre que sea posible, la plena restitución (</w:t>
      </w:r>
      <w:proofErr w:type="spellStart"/>
      <w:r w:rsidRPr="00873FEC">
        <w:rPr>
          <w:rFonts w:ascii="Verdana" w:eastAsia="Batang" w:hAnsi="Verdana" w:cs="Times"/>
          <w:bCs/>
          <w:i/>
          <w:sz w:val="20"/>
          <w:szCs w:val="20"/>
          <w:lang w:eastAsia="es-CR"/>
        </w:rPr>
        <w:t>restitutio</w:t>
      </w:r>
      <w:proofErr w:type="spellEnd"/>
      <w:r w:rsidRPr="00873FEC">
        <w:rPr>
          <w:rFonts w:ascii="Verdana" w:eastAsia="Batang" w:hAnsi="Verdana" w:cs="Times"/>
          <w:bCs/>
          <w:i/>
          <w:sz w:val="20"/>
          <w:szCs w:val="20"/>
          <w:lang w:eastAsia="es-CR"/>
        </w:rPr>
        <w:t xml:space="preserve"> in </w:t>
      </w:r>
      <w:proofErr w:type="spellStart"/>
      <w:r w:rsidRPr="00873FEC">
        <w:rPr>
          <w:rFonts w:ascii="Verdana" w:eastAsia="Batang" w:hAnsi="Verdana" w:cs="Times"/>
          <w:bCs/>
          <w:i/>
          <w:sz w:val="20"/>
          <w:szCs w:val="20"/>
          <w:lang w:eastAsia="es-CR"/>
        </w:rPr>
        <w:t>integrum</w:t>
      </w:r>
      <w:proofErr w:type="spellEnd"/>
      <w:r w:rsidRPr="00873FEC">
        <w:rPr>
          <w:rFonts w:ascii="Verdana" w:eastAsia="Batang" w:hAnsi="Verdana" w:cs="Times"/>
          <w:bCs/>
          <w:sz w:val="20"/>
          <w:szCs w:val="20"/>
          <w:lang w:eastAsia="es-CR"/>
        </w:rPr>
        <w:t>), que consiste en el restablecimiento de la situación anterior. De no ser esto factible, el Tribunal determinará medidas para garantizar los derechos conculcados y reparar las consecuencias que las infracciones produjeron</w:t>
      </w:r>
      <w:r w:rsidRPr="00873FEC">
        <w:rPr>
          <w:rFonts w:ascii="Verdana" w:eastAsia="Batang" w:hAnsi="Verdana" w:cs="Times New Roman"/>
          <w:sz w:val="20"/>
          <w:szCs w:val="20"/>
          <w:vertAlign w:val="superscript"/>
          <w:lang w:eastAsia="x-none"/>
        </w:rPr>
        <w:footnoteReference w:id="206"/>
      </w:r>
      <w:r w:rsidRPr="00873FEC">
        <w:rPr>
          <w:rFonts w:ascii="Verdana" w:eastAsia="Batang" w:hAnsi="Verdana" w:cs="Times"/>
          <w:bCs/>
          <w:sz w:val="20"/>
          <w:szCs w:val="20"/>
          <w:lang w:eastAsia="es-CR"/>
        </w:rPr>
        <w:t xml:space="preserve">. </w:t>
      </w:r>
      <w:r w:rsidRPr="00873FEC">
        <w:rPr>
          <w:rFonts w:ascii="Verdana" w:eastAsia="Batang" w:hAnsi="Verdana" w:cs="Times"/>
          <w:sz w:val="20"/>
          <w:szCs w:val="20"/>
          <w:lang w:eastAsia="es-CR"/>
        </w:rPr>
        <w:t>Las reparaciones deben tener un nexo causal con los hechos del caso, las violaciones declaradas y los daños acreditados, así como con las medidas solicitadas para repararlos</w:t>
      </w:r>
      <w:r w:rsidRPr="00873FEC">
        <w:rPr>
          <w:rFonts w:ascii="Verdana" w:eastAsia="Batang" w:hAnsi="Verdana" w:cs="Times New Roman"/>
          <w:sz w:val="20"/>
          <w:szCs w:val="20"/>
          <w:vertAlign w:val="superscript"/>
          <w:lang w:eastAsia="x-none"/>
        </w:rPr>
        <w:footnoteReference w:id="207"/>
      </w:r>
      <w:r w:rsidRPr="00873FEC">
        <w:rPr>
          <w:rFonts w:ascii="Verdana" w:eastAsia="Batang" w:hAnsi="Verdana" w:cs="Times"/>
          <w:sz w:val="20"/>
          <w:szCs w:val="20"/>
          <w:lang w:eastAsia="es-CR"/>
        </w:rPr>
        <w:t xml:space="preserve">. </w:t>
      </w:r>
    </w:p>
    <w:p w:rsidR="00D05F7B" w:rsidRPr="00873FEC" w:rsidRDefault="00D05F7B" w:rsidP="00126E97">
      <w:pPr>
        <w:spacing w:after="0" w:line="20" w:lineRule="atLeast"/>
        <w:ind w:left="720"/>
        <w:contextualSpacing/>
        <w:rPr>
          <w:rFonts w:ascii="Calibri" w:eastAsia="Calibri" w:hAnsi="Calibri" w:cs="Times"/>
          <w:szCs w:val="20"/>
          <w:lang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eastAsia="es-CR"/>
        </w:rPr>
        <w:t>Tomando en cuenta las violaciones a la Convención declaradas, a la luz de los criterios fijados en su jurisprudencia en relación con la naturaleza y alcances de la obligación de reparar</w:t>
      </w:r>
      <w:r w:rsidRPr="00873FEC">
        <w:rPr>
          <w:rFonts w:ascii="Verdana" w:eastAsia="Calibri" w:hAnsi="Verdana" w:cs="Times New Roman"/>
          <w:sz w:val="20"/>
          <w:szCs w:val="20"/>
          <w:vertAlign w:val="superscript"/>
          <w:lang w:val="es-CR" w:eastAsia="x-none"/>
        </w:rPr>
        <w:footnoteReference w:id="208"/>
      </w:r>
      <w:r w:rsidRPr="00873FEC">
        <w:rPr>
          <w:rFonts w:ascii="Verdana" w:eastAsia="Batang" w:hAnsi="Verdana" w:cs="Times"/>
          <w:sz w:val="20"/>
          <w:szCs w:val="20"/>
          <w:lang w:eastAsia="es-CR"/>
        </w:rPr>
        <w:t>, la Corte analizará las pretensiones y argumentos respectivos de la Comisión y las partes. Al respecto, aunque la sentencia constituye por sí misma una forma de reparación</w:t>
      </w:r>
      <w:r w:rsidRPr="00873FEC">
        <w:rPr>
          <w:rFonts w:ascii="Verdana" w:eastAsia="Batang" w:hAnsi="Verdana" w:cs="Times New Roman"/>
          <w:sz w:val="20"/>
          <w:szCs w:val="20"/>
          <w:vertAlign w:val="superscript"/>
          <w:lang w:val="en-US" w:eastAsia="x-none"/>
        </w:rPr>
        <w:footnoteReference w:id="209"/>
      </w:r>
      <w:r w:rsidRPr="00873FEC">
        <w:rPr>
          <w:rFonts w:ascii="Verdana" w:eastAsia="Batang" w:hAnsi="Verdana" w:cs="Times"/>
          <w:sz w:val="20"/>
          <w:szCs w:val="20"/>
          <w:lang w:eastAsia="es-CR"/>
        </w:rPr>
        <w:t>, considerando los daños causados las víctimas, la Corte fijará otras medidas.</w:t>
      </w:r>
    </w:p>
    <w:p w:rsidR="00D05F7B" w:rsidRPr="00873FEC" w:rsidRDefault="00D05F7B" w:rsidP="00126E97">
      <w:pPr>
        <w:spacing w:after="0" w:line="20" w:lineRule="atLeast"/>
        <w:ind w:left="720"/>
        <w:contextualSpacing/>
        <w:rPr>
          <w:rFonts w:ascii="Calibri" w:eastAsia="Calibri" w:hAnsi="Calibri" w:cs="Times"/>
          <w:szCs w:val="20"/>
          <w:lang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eastAsia="es-CR"/>
        </w:rPr>
        <w:t>Antes de efectuar las precisiones correspondientes, la Corte advierte que e</w:t>
      </w:r>
      <w:r w:rsidRPr="00873FEC">
        <w:rPr>
          <w:rFonts w:ascii="Verdana" w:eastAsia="MS Mincho" w:hAnsi="Verdana" w:cs="Times"/>
          <w:sz w:val="20"/>
          <w:szCs w:val="20"/>
          <w:lang w:val="es-CR" w:eastAsia="es-CR"/>
        </w:rPr>
        <w:t xml:space="preserve">l </w:t>
      </w:r>
      <w:r w:rsidRPr="00873FEC">
        <w:rPr>
          <w:rFonts w:ascii="Verdana" w:eastAsia="MS Mincho" w:hAnsi="Verdana" w:cs="Times"/>
          <w:b/>
          <w:i/>
          <w:sz w:val="20"/>
          <w:szCs w:val="20"/>
          <w:lang w:val="es-CR" w:eastAsia="es-CR"/>
        </w:rPr>
        <w:t>Estado</w:t>
      </w:r>
      <w:r w:rsidRPr="00873FEC">
        <w:rPr>
          <w:rFonts w:ascii="Verdana" w:eastAsia="MS Mincho" w:hAnsi="Verdana" w:cs="Times"/>
          <w:sz w:val="20"/>
          <w:szCs w:val="20"/>
          <w:lang w:val="es-CR" w:eastAsia="es-CR"/>
        </w:rPr>
        <w:t xml:space="preserve"> señaló que cuenta con el Programa Nacional de Resarcimiento, creado mediante decreto gubernativo número 258-2003. Indicó que el PNR tiene, como un objetivo central, efectuar el resarcimiento individual y/o colectivo de las víctimas de violaciones a los derechos humanos en el marco del enfrentamiento armado interno. Guatemala, en sus alegatos finales escritos, solicitó a la Corte considerar los beneficios de resarcimiento económico y de vivienda otorgada por el Estado a la Comunidad, para lo cual adjuntó un documento del PNR en que consta un listado de quiénes han recibido algún tipo de beneficio. Los </w:t>
      </w:r>
      <w:r w:rsidRPr="00873FEC">
        <w:rPr>
          <w:rFonts w:ascii="Verdana" w:eastAsia="MS Mincho" w:hAnsi="Verdana" w:cs="Times"/>
          <w:b/>
          <w:i/>
          <w:sz w:val="20"/>
          <w:szCs w:val="20"/>
          <w:lang w:val="es-CR" w:eastAsia="es-CR"/>
        </w:rPr>
        <w:t>representantes</w:t>
      </w:r>
      <w:r w:rsidRPr="00873FEC">
        <w:rPr>
          <w:rFonts w:ascii="Verdana" w:eastAsia="MS Mincho" w:hAnsi="Verdana" w:cs="Times"/>
          <w:sz w:val="20"/>
          <w:szCs w:val="20"/>
          <w:lang w:val="es-CR" w:eastAsia="es-CR"/>
        </w:rPr>
        <w:t xml:space="preserve">, por su parte, negaron que por los hechos de la masacre las víctimas hubieran obtenido reparaciones provenientes del PNR. La </w:t>
      </w:r>
      <w:r w:rsidRPr="00873FEC">
        <w:rPr>
          <w:rFonts w:ascii="Verdana" w:eastAsia="MS Mincho" w:hAnsi="Verdana" w:cs="Times"/>
          <w:b/>
          <w:i/>
          <w:sz w:val="20"/>
          <w:szCs w:val="20"/>
          <w:lang w:val="es-CR" w:eastAsia="es-CR"/>
        </w:rPr>
        <w:t>Corte</w:t>
      </w:r>
      <w:r w:rsidRPr="00873FEC">
        <w:rPr>
          <w:rFonts w:ascii="Verdana" w:eastAsia="MS Mincho" w:hAnsi="Verdana" w:cs="Times"/>
          <w:sz w:val="20"/>
          <w:szCs w:val="20"/>
          <w:lang w:val="es-CR" w:eastAsia="es-CR"/>
        </w:rPr>
        <w:t xml:space="preserve"> valora las acciones emprendidas a través del PNR para reparar violaciones a </w:t>
      </w:r>
      <w:r w:rsidRPr="00873FEC">
        <w:rPr>
          <w:rFonts w:ascii="Verdana" w:eastAsia="MS Mincho" w:hAnsi="Verdana" w:cs="Times"/>
          <w:sz w:val="20"/>
          <w:szCs w:val="20"/>
          <w:lang w:val="es-CR" w:eastAsia="es-CR"/>
        </w:rPr>
        <w:lastRenderedPageBreak/>
        <w:t>derechos humanos perpetradas en el marco del conflicto armado interno</w:t>
      </w:r>
      <w:r w:rsidRPr="00873FEC">
        <w:rPr>
          <w:rFonts w:ascii="Verdana" w:eastAsia="MS Mincho" w:hAnsi="Verdana" w:cs="Times New Roman"/>
          <w:sz w:val="20"/>
          <w:szCs w:val="20"/>
          <w:vertAlign w:val="superscript"/>
          <w:lang w:val="en-US" w:eastAsia="es-CR"/>
        </w:rPr>
        <w:footnoteReference w:id="210"/>
      </w:r>
      <w:r w:rsidRPr="00873FEC">
        <w:rPr>
          <w:rFonts w:ascii="Verdana" w:eastAsia="MS Mincho" w:hAnsi="Verdana" w:cs="Times"/>
          <w:sz w:val="20"/>
          <w:szCs w:val="20"/>
          <w:lang w:val="es-CR" w:eastAsia="es-CR"/>
        </w:rPr>
        <w:t xml:space="preserve">. Sin perjuicio de ello, </w:t>
      </w:r>
      <w:r w:rsidR="0020708F" w:rsidRPr="00873FEC">
        <w:rPr>
          <w:rFonts w:ascii="Verdana" w:eastAsia="MS Mincho" w:hAnsi="Verdana" w:cs="Times"/>
          <w:sz w:val="20"/>
          <w:szCs w:val="20"/>
          <w:lang w:val="es-CR" w:eastAsia="es-CR"/>
        </w:rPr>
        <w:t>nota que el pedido estatal es extemporáneo y no puede considerarse</w:t>
      </w:r>
      <w:r w:rsidR="0020708F" w:rsidRPr="00873FEC">
        <w:rPr>
          <w:rStyle w:val="FootnoteReference"/>
          <w:rFonts w:ascii="Verdana" w:eastAsia="MS Mincho" w:hAnsi="Verdana"/>
          <w:sz w:val="20"/>
          <w:lang w:val="es-CR" w:eastAsia="es-CR"/>
        </w:rPr>
        <w:footnoteReference w:id="211"/>
      </w:r>
      <w:r w:rsidR="0020708F" w:rsidRPr="00873FEC">
        <w:rPr>
          <w:rFonts w:ascii="Verdana" w:eastAsia="MS Mincho" w:hAnsi="Verdana" w:cs="Times"/>
          <w:sz w:val="20"/>
          <w:szCs w:val="20"/>
          <w:lang w:val="es-CR" w:eastAsia="es-CR"/>
        </w:rPr>
        <w:t xml:space="preserve">, y </w:t>
      </w:r>
      <w:r w:rsidRPr="00873FEC">
        <w:rPr>
          <w:rFonts w:ascii="Verdana" w:eastAsia="Batang" w:hAnsi="Verdana" w:cs="Times"/>
          <w:sz w:val="20"/>
          <w:szCs w:val="20"/>
          <w:lang w:val="es-CR" w:eastAsia="es-CR"/>
        </w:rPr>
        <w:t xml:space="preserve">recuerda que corresponde </w:t>
      </w:r>
      <w:r w:rsidR="0020708F" w:rsidRPr="00873FEC">
        <w:rPr>
          <w:rFonts w:ascii="Verdana" w:eastAsia="Batang" w:hAnsi="Verdana" w:cs="Times"/>
          <w:sz w:val="20"/>
          <w:szCs w:val="20"/>
          <w:lang w:val="es-CR" w:eastAsia="es-CR"/>
        </w:rPr>
        <w:t xml:space="preserve">a este Tribunal </w:t>
      </w:r>
      <w:r w:rsidRPr="00873FEC">
        <w:rPr>
          <w:rFonts w:ascii="Verdana" w:eastAsia="Batang" w:hAnsi="Verdana" w:cs="Times"/>
          <w:sz w:val="20"/>
          <w:szCs w:val="20"/>
          <w:lang w:val="es-CR" w:eastAsia="es-CR"/>
        </w:rPr>
        <w:t>velar por que se reparen las consecuencias de las violaciones de los derechos humanos declaradas en la Sentencia</w:t>
      </w:r>
      <w:r w:rsidRPr="00873FEC">
        <w:rPr>
          <w:rFonts w:ascii="Verdana" w:eastAsia="Batang" w:hAnsi="Verdana" w:cs="Times New Roman"/>
          <w:sz w:val="20"/>
          <w:szCs w:val="20"/>
          <w:vertAlign w:val="superscript"/>
          <w:lang w:val="en-US" w:eastAsia="es-CR"/>
        </w:rPr>
        <w:footnoteReference w:id="212"/>
      </w:r>
      <w:r w:rsidRPr="00873FEC">
        <w:rPr>
          <w:rFonts w:ascii="Verdana" w:eastAsia="Batang" w:hAnsi="Verdana" w:cs="Times"/>
          <w:sz w:val="20"/>
          <w:szCs w:val="20"/>
          <w:lang w:val="es-CR" w:eastAsia="es-CR"/>
        </w:rPr>
        <w:t>.</w:t>
      </w:r>
      <w:r w:rsidR="0020708F" w:rsidRPr="00873FEC">
        <w:rPr>
          <w:rFonts w:ascii="Verdana" w:eastAsia="Batang" w:hAnsi="Verdana" w:cs="Times"/>
          <w:sz w:val="20"/>
          <w:szCs w:val="20"/>
          <w:lang w:val="es-CR" w:eastAsia="es-CR"/>
        </w:rPr>
        <w:t xml:space="preserve"> Por ello, procede a determinar las reparaciones conducentes.</w:t>
      </w:r>
      <w:r w:rsidRPr="00873FEC">
        <w:rPr>
          <w:rFonts w:ascii="Verdana" w:eastAsia="Batang" w:hAnsi="Verdana" w:cs="Times"/>
          <w:sz w:val="20"/>
          <w:szCs w:val="20"/>
          <w:lang w:val="es-CR" w:eastAsia="es-CR"/>
        </w:rPr>
        <w:t xml:space="preserve">  </w:t>
      </w:r>
    </w:p>
    <w:p w:rsidR="00D05F7B" w:rsidRPr="00873FEC" w:rsidRDefault="00D05F7B" w:rsidP="00126E97">
      <w:pPr>
        <w:tabs>
          <w:tab w:val="left" w:pos="567"/>
        </w:tabs>
        <w:spacing w:after="0" w:line="20" w:lineRule="atLeast"/>
        <w:jc w:val="both"/>
        <w:rPr>
          <w:rFonts w:ascii="Verdana" w:eastAsia="Batang" w:hAnsi="Verdana" w:cs="Times"/>
          <w:sz w:val="20"/>
          <w:szCs w:val="20"/>
          <w:lang w:eastAsia="es-CR"/>
        </w:rPr>
      </w:pPr>
    </w:p>
    <w:p w:rsidR="00D05F7B" w:rsidRPr="00873FEC" w:rsidRDefault="00D05F7B" w:rsidP="00126E97">
      <w:pPr>
        <w:keepNext/>
        <w:keepLines/>
        <w:numPr>
          <w:ilvl w:val="0"/>
          <w:numId w:val="12"/>
        </w:numPr>
        <w:spacing w:after="0" w:line="20" w:lineRule="atLeast"/>
        <w:ind w:left="284"/>
        <w:jc w:val="both"/>
        <w:outlineLvl w:val="1"/>
        <w:rPr>
          <w:rFonts w:ascii="Verdana" w:eastAsia="Cambria" w:hAnsi="Verdana" w:cs="Times"/>
          <w:b/>
          <w:i/>
          <w:sz w:val="20"/>
          <w:szCs w:val="20"/>
          <w:lang w:val="en-US" w:eastAsia="es-CR"/>
        </w:rPr>
      </w:pPr>
      <w:bookmarkStart w:id="195" w:name="_Toc495658694"/>
      <w:bookmarkStart w:id="196" w:name="_Toc476390738"/>
      <w:bookmarkStart w:id="197" w:name="_Toc514172662"/>
      <w:bookmarkStart w:id="198" w:name="_Toc520207614"/>
      <w:bookmarkStart w:id="199" w:name="_Toc521694828"/>
      <w:bookmarkStart w:id="200" w:name="_Toc525201200"/>
      <w:bookmarkEnd w:id="195"/>
      <w:bookmarkEnd w:id="196"/>
      <w:bookmarkEnd w:id="197"/>
      <w:bookmarkEnd w:id="198"/>
      <w:r w:rsidRPr="00873FEC">
        <w:rPr>
          <w:rFonts w:ascii="Verdana" w:eastAsia="Cambria" w:hAnsi="Verdana" w:cs="Times"/>
          <w:b/>
          <w:i/>
          <w:sz w:val="20"/>
          <w:szCs w:val="20"/>
          <w:lang w:val="en-US" w:eastAsia="es-CR"/>
        </w:rPr>
        <w:t xml:space="preserve">Parte </w:t>
      </w:r>
      <w:proofErr w:type="spellStart"/>
      <w:r w:rsidRPr="00873FEC">
        <w:rPr>
          <w:rFonts w:ascii="Verdana" w:eastAsia="Cambria" w:hAnsi="Verdana" w:cs="Times"/>
          <w:b/>
          <w:i/>
          <w:sz w:val="20"/>
          <w:szCs w:val="20"/>
          <w:lang w:val="en-US" w:eastAsia="es-CR"/>
        </w:rPr>
        <w:t>Lesionada</w:t>
      </w:r>
      <w:bookmarkEnd w:id="199"/>
      <w:bookmarkEnd w:id="200"/>
      <w:proofErr w:type="spellEnd"/>
    </w:p>
    <w:p w:rsidR="00D05F7B" w:rsidRPr="00873FEC" w:rsidRDefault="00D05F7B" w:rsidP="00126E97">
      <w:pPr>
        <w:spacing w:after="0" w:line="20" w:lineRule="atLeast"/>
        <w:jc w:val="both"/>
        <w:rPr>
          <w:rFonts w:ascii="Verdana" w:eastAsia="MS Mincho" w:hAnsi="Verdana" w:cs="Times"/>
          <w:sz w:val="20"/>
          <w:szCs w:val="20"/>
          <w:lang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MS Mincho" w:hAnsi="Verdana" w:cs="Times"/>
          <w:sz w:val="20"/>
          <w:szCs w:val="20"/>
          <w:lang w:eastAsia="es-CR"/>
        </w:rPr>
        <w:t xml:space="preserve">Se </w:t>
      </w:r>
      <w:r w:rsidRPr="00873FEC">
        <w:rPr>
          <w:rFonts w:ascii="Verdana" w:eastAsia="Batang" w:hAnsi="Verdana" w:cs="Times"/>
          <w:sz w:val="20"/>
          <w:szCs w:val="20"/>
          <w:lang w:eastAsia="es-CR"/>
        </w:rPr>
        <w:t>considera</w:t>
      </w:r>
      <w:r w:rsidRPr="00873FEC">
        <w:rPr>
          <w:rFonts w:ascii="Verdana" w:eastAsia="MS Mincho" w:hAnsi="Verdana" w:cs="Times"/>
          <w:sz w:val="20"/>
          <w:szCs w:val="20"/>
          <w:lang w:eastAsia="es-CR"/>
        </w:rPr>
        <w:t xml:space="preserve"> parte lesionada, en los términos del citado artículo 63.1, a las personas </w:t>
      </w:r>
      <w:r w:rsidRPr="00873FEC">
        <w:rPr>
          <w:rFonts w:ascii="Verdana" w:eastAsia="Batang" w:hAnsi="Verdana" w:cs="Times"/>
          <w:bCs/>
          <w:sz w:val="20"/>
          <w:szCs w:val="20"/>
          <w:lang w:eastAsia="es-CR"/>
        </w:rPr>
        <w:t>declaradas</w:t>
      </w:r>
      <w:r w:rsidRPr="00873FEC">
        <w:rPr>
          <w:rFonts w:ascii="Verdana" w:eastAsia="MS Mincho" w:hAnsi="Verdana" w:cs="Times"/>
          <w:sz w:val="20"/>
          <w:szCs w:val="20"/>
          <w:lang w:eastAsia="es-CR"/>
        </w:rPr>
        <w:t xml:space="preserve"> víctimas de la violación de algún derecho </w:t>
      </w:r>
      <w:r w:rsidR="00552A1D">
        <w:rPr>
          <w:rFonts w:ascii="Verdana" w:eastAsia="MS Mincho" w:hAnsi="Verdana" w:cs="Times"/>
          <w:sz w:val="20"/>
          <w:szCs w:val="20"/>
          <w:lang w:eastAsia="es-CR"/>
        </w:rPr>
        <w:t>de la Convención</w:t>
      </w:r>
      <w:r w:rsidRPr="00873FEC">
        <w:rPr>
          <w:rFonts w:ascii="Verdana" w:eastAsia="MS Mincho" w:hAnsi="Verdana" w:cs="Times"/>
          <w:sz w:val="20"/>
          <w:szCs w:val="20"/>
          <w:lang w:eastAsia="es-CR"/>
        </w:rPr>
        <w:t xml:space="preserve">. Por lo tanto, la Corte considera como “parte lesionada” a todas las personas que se indican en el Anexo B </w:t>
      </w:r>
      <w:r w:rsidR="00E372C2">
        <w:rPr>
          <w:rFonts w:ascii="Verdana" w:eastAsia="MS Mincho" w:hAnsi="Verdana" w:cs="Times"/>
          <w:sz w:val="20"/>
          <w:szCs w:val="20"/>
          <w:lang w:eastAsia="es-CR"/>
        </w:rPr>
        <w:t>de</w:t>
      </w:r>
      <w:r w:rsidRPr="00873FEC">
        <w:rPr>
          <w:rFonts w:ascii="Verdana" w:eastAsia="MS Mincho" w:hAnsi="Verdana" w:cs="Times"/>
          <w:sz w:val="20"/>
          <w:szCs w:val="20"/>
          <w:lang w:eastAsia="es-CR"/>
        </w:rPr>
        <w:t xml:space="preserve"> la presente Sentencia</w:t>
      </w:r>
      <w:r w:rsidRPr="00873FEC">
        <w:rPr>
          <w:rFonts w:ascii="Verdana" w:eastAsia="Verdana" w:hAnsi="Verdana" w:cs="Verdana"/>
          <w:sz w:val="20"/>
          <w:szCs w:val="20"/>
          <w:lang w:eastAsia="es-CR"/>
        </w:rPr>
        <w:t xml:space="preserve">, </w:t>
      </w:r>
      <w:r w:rsidRPr="00873FEC">
        <w:rPr>
          <w:rFonts w:ascii="Verdana" w:eastAsia="MS Mincho" w:hAnsi="Verdana" w:cs="Times"/>
          <w:sz w:val="20"/>
          <w:szCs w:val="20"/>
          <w:lang w:eastAsia="es-CR"/>
        </w:rPr>
        <w:t>quienes serán consideradas beneficiarias de las reparaciones que la Corte ordene.</w:t>
      </w:r>
      <w:bookmarkStart w:id="201" w:name="_Toc476390740"/>
      <w:bookmarkStart w:id="202" w:name="_Toc495658696"/>
      <w:bookmarkStart w:id="203" w:name="_Toc514172664"/>
      <w:bookmarkEnd w:id="201"/>
      <w:bookmarkEnd w:id="202"/>
      <w:bookmarkEnd w:id="203"/>
    </w:p>
    <w:p w:rsidR="00D05F7B" w:rsidRPr="00873FEC" w:rsidRDefault="00D05F7B" w:rsidP="00126E97">
      <w:pPr>
        <w:spacing w:after="0" w:line="20" w:lineRule="atLeast"/>
        <w:ind w:left="720"/>
        <w:contextualSpacing/>
        <w:rPr>
          <w:rFonts w:ascii="Calibri" w:eastAsia="MS Mincho" w:hAnsi="Calibri" w:cs="Times"/>
          <w:szCs w:val="20"/>
          <w:lang w:eastAsia="es-CR"/>
        </w:rPr>
      </w:pPr>
    </w:p>
    <w:p w:rsidR="00D05F7B" w:rsidRPr="00873FEC" w:rsidRDefault="00D05F7B" w:rsidP="00126E97">
      <w:pPr>
        <w:keepNext/>
        <w:keepLines/>
        <w:numPr>
          <w:ilvl w:val="0"/>
          <w:numId w:val="12"/>
        </w:numPr>
        <w:spacing w:after="0" w:line="20" w:lineRule="atLeast"/>
        <w:ind w:left="284"/>
        <w:jc w:val="both"/>
        <w:outlineLvl w:val="1"/>
        <w:rPr>
          <w:rFonts w:ascii="Verdana" w:eastAsia="Cambria" w:hAnsi="Verdana" w:cs="Times"/>
          <w:i/>
          <w:sz w:val="20"/>
          <w:szCs w:val="20"/>
          <w:lang w:val="es-CR" w:eastAsia="es-CR"/>
        </w:rPr>
      </w:pPr>
      <w:bookmarkStart w:id="204" w:name="_Toc520207616"/>
      <w:bookmarkStart w:id="205" w:name="_Toc521694829"/>
      <w:bookmarkStart w:id="206" w:name="_Toc525201201"/>
      <w:bookmarkEnd w:id="204"/>
      <w:r w:rsidRPr="00873FEC">
        <w:rPr>
          <w:rFonts w:ascii="Verdana" w:eastAsia="MS Mincho" w:hAnsi="Verdana" w:cs="Times"/>
          <w:b/>
          <w:i/>
          <w:sz w:val="20"/>
          <w:szCs w:val="20"/>
          <w:lang w:val="es-CR" w:eastAsia="es-CR"/>
        </w:rPr>
        <w:t>Obligación de investigar los hechos del caso y, en su caso, juzgar y sancionar a los responsables</w:t>
      </w:r>
      <w:bookmarkEnd w:id="205"/>
      <w:bookmarkEnd w:id="206"/>
      <w:r w:rsidRPr="00873FEC">
        <w:rPr>
          <w:rFonts w:ascii="Verdana" w:eastAsia="MS Mincho" w:hAnsi="Verdana" w:cs="Times"/>
          <w:b/>
          <w:i/>
          <w:sz w:val="20"/>
          <w:szCs w:val="20"/>
          <w:lang w:val="es-CR" w:eastAsia="es-CR"/>
        </w:rPr>
        <w:t xml:space="preserve"> </w:t>
      </w:r>
    </w:p>
    <w:p w:rsidR="00D05F7B" w:rsidRPr="00873FEC" w:rsidRDefault="00D05F7B" w:rsidP="00126E97">
      <w:pPr>
        <w:spacing w:after="0" w:line="20" w:lineRule="atLeast"/>
        <w:ind w:left="720"/>
        <w:contextualSpacing/>
        <w:rPr>
          <w:rFonts w:ascii="Calibri" w:eastAsia="MS Mincho" w:hAnsi="Calibri" w:cs="Times"/>
          <w:szCs w:val="20"/>
          <w:lang w:val="es-CR" w:eastAsia="es-CR"/>
        </w:rPr>
      </w:pPr>
    </w:p>
    <w:p w:rsidR="00D05F7B" w:rsidRPr="00873FEC" w:rsidRDefault="00D05F7B" w:rsidP="00126E97">
      <w:pPr>
        <w:numPr>
          <w:ilvl w:val="0"/>
          <w:numId w:val="3"/>
        </w:numPr>
        <w:spacing w:after="0" w:line="20" w:lineRule="atLeast"/>
        <w:ind w:right="-138"/>
        <w:jc w:val="both"/>
        <w:rPr>
          <w:rFonts w:ascii="Verdana" w:eastAsia="MS Mincho" w:hAnsi="Verdana" w:cs="Times"/>
          <w:b/>
          <w:sz w:val="20"/>
          <w:szCs w:val="20"/>
          <w:lang w:val="es-CR" w:eastAsia="es-CR"/>
        </w:rPr>
      </w:pPr>
      <w:r w:rsidRPr="00873FEC">
        <w:rPr>
          <w:rFonts w:ascii="Verdana" w:eastAsia="MS Mincho" w:hAnsi="Verdana" w:cs="Times"/>
          <w:sz w:val="20"/>
          <w:szCs w:val="20"/>
          <w:lang w:val="es-CR" w:eastAsia="es-CR"/>
        </w:rPr>
        <w:t>La</w:t>
      </w:r>
      <w:r w:rsidRPr="00873FEC">
        <w:rPr>
          <w:rFonts w:ascii="Verdana" w:eastAsia="MS Mincho" w:hAnsi="Verdana" w:cs="Times"/>
          <w:b/>
          <w:sz w:val="20"/>
          <w:szCs w:val="20"/>
          <w:lang w:val="es-CR" w:eastAsia="es-CR"/>
        </w:rPr>
        <w:t xml:space="preserve"> </w:t>
      </w:r>
      <w:r w:rsidRPr="00873FEC">
        <w:rPr>
          <w:rFonts w:ascii="Verdana" w:eastAsia="MS Mincho" w:hAnsi="Verdana" w:cs="Times"/>
          <w:b/>
          <w:i/>
          <w:sz w:val="20"/>
          <w:szCs w:val="20"/>
          <w:lang w:val="es-CR" w:eastAsia="es-CR"/>
        </w:rPr>
        <w:t>Comisión</w:t>
      </w:r>
      <w:r w:rsidRPr="00873FEC">
        <w:rPr>
          <w:rFonts w:ascii="Verdana" w:eastAsia="MS Mincho" w:hAnsi="Verdana" w:cs="Times"/>
          <w:b/>
          <w:sz w:val="20"/>
          <w:szCs w:val="20"/>
          <w:lang w:val="es-CR" w:eastAsia="es-CR"/>
        </w:rPr>
        <w:t xml:space="preserve"> </w:t>
      </w:r>
      <w:r w:rsidRPr="00873FEC">
        <w:rPr>
          <w:rFonts w:ascii="Verdana" w:eastAsia="MS Mincho" w:hAnsi="Verdana" w:cs="Times"/>
          <w:sz w:val="20"/>
          <w:szCs w:val="20"/>
          <w:lang w:val="es-CR" w:eastAsia="es-CR"/>
        </w:rPr>
        <w:t>no realizó alegatos específicos sobre esta medida.</w:t>
      </w:r>
    </w:p>
    <w:p w:rsidR="00D05F7B" w:rsidRPr="00873FEC" w:rsidRDefault="00D05F7B" w:rsidP="00126E97">
      <w:pPr>
        <w:spacing w:after="0" w:line="20" w:lineRule="atLeast"/>
        <w:ind w:right="-138"/>
        <w:jc w:val="both"/>
        <w:rPr>
          <w:rFonts w:ascii="Verdana" w:eastAsia="MS Mincho" w:hAnsi="Verdana" w:cs="Times"/>
          <w:b/>
          <w:sz w:val="20"/>
          <w:szCs w:val="20"/>
          <w:lang w:val="es-CR" w:eastAsia="es-CR"/>
        </w:rPr>
      </w:pPr>
    </w:p>
    <w:p w:rsidR="00D05F7B" w:rsidRPr="00873FEC" w:rsidRDefault="00D05F7B" w:rsidP="00126E97">
      <w:pPr>
        <w:numPr>
          <w:ilvl w:val="0"/>
          <w:numId w:val="3"/>
        </w:numPr>
        <w:spacing w:after="0" w:line="20" w:lineRule="atLeast"/>
        <w:ind w:right="-138"/>
        <w:jc w:val="both"/>
        <w:rPr>
          <w:rFonts w:ascii="Verdana" w:eastAsia="MS Mincho" w:hAnsi="Verdana" w:cs="Times"/>
          <w:b/>
          <w:sz w:val="20"/>
          <w:szCs w:val="20"/>
          <w:lang w:val="es-CR" w:eastAsia="es-CR"/>
        </w:rPr>
      </w:pPr>
      <w:r w:rsidRPr="00873FEC">
        <w:rPr>
          <w:rFonts w:ascii="Verdana" w:eastAsia="MS Mincho" w:hAnsi="Verdana" w:cs="Times"/>
          <w:sz w:val="20"/>
          <w:szCs w:val="20"/>
          <w:lang w:val="es-CR" w:eastAsia="es-CR"/>
        </w:rPr>
        <w:t xml:space="preserve">Los </w:t>
      </w:r>
      <w:r w:rsidRPr="00873FEC">
        <w:rPr>
          <w:rFonts w:ascii="Verdana" w:eastAsia="MS Mincho" w:hAnsi="Verdana" w:cs="Times"/>
          <w:b/>
          <w:i/>
          <w:sz w:val="20"/>
          <w:szCs w:val="20"/>
          <w:lang w:val="es-CR" w:eastAsia="es-CR"/>
        </w:rPr>
        <w:t>representantes</w:t>
      </w:r>
      <w:r w:rsidR="008E0A4C" w:rsidRPr="008E0A4C">
        <w:rPr>
          <w:rFonts w:ascii="Verdana" w:eastAsia="MS Mincho" w:hAnsi="Verdana" w:cs="Times"/>
          <w:i/>
          <w:sz w:val="20"/>
          <w:szCs w:val="20"/>
          <w:lang w:val="es-CR" w:eastAsia="es-CR"/>
        </w:rPr>
        <w:t>,</w:t>
      </w:r>
      <w:r w:rsidRPr="00873FEC">
        <w:rPr>
          <w:rFonts w:ascii="Verdana" w:eastAsia="MS Mincho" w:hAnsi="Verdana" w:cs="Times"/>
          <w:sz w:val="20"/>
          <w:szCs w:val="20"/>
          <w:lang w:val="es-CR" w:eastAsia="es-CR"/>
        </w:rPr>
        <w:t xml:space="preserve"> al referirse a su solicitud de que se ordene, como medida de reparación, el “fortalecimiento” de la Unidad de Derechos Humanos del Ministerio Público </w:t>
      </w:r>
      <w:r w:rsidRPr="00873FEC">
        <w:rPr>
          <w:rFonts w:ascii="Verdana" w:eastAsia="MS Mincho" w:hAnsi="Verdana" w:cs="Times"/>
          <w:i/>
          <w:sz w:val="20"/>
          <w:szCs w:val="20"/>
          <w:lang w:val="es-CR" w:eastAsia="es-CR"/>
        </w:rPr>
        <w:t>(infra</w:t>
      </w:r>
      <w:r w:rsidRPr="00873FEC">
        <w:rPr>
          <w:rFonts w:ascii="Verdana" w:eastAsia="MS Mincho" w:hAnsi="Verdana" w:cs="Times"/>
          <w:sz w:val="20"/>
          <w:szCs w:val="20"/>
          <w:lang w:val="es-CR" w:eastAsia="es-CR"/>
        </w:rPr>
        <w:t xml:space="preserve"> párr. </w:t>
      </w:r>
      <w:r w:rsidR="00F90CFC" w:rsidRPr="00873FEC">
        <w:rPr>
          <w:rFonts w:ascii="Verdana" w:eastAsia="MS Mincho" w:hAnsi="Verdana" w:cs="Times"/>
          <w:sz w:val="20"/>
          <w:szCs w:val="20"/>
          <w:lang w:val="es-CR" w:eastAsia="es-CR"/>
        </w:rPr>
        <w:t>17</w:t>
      </w:r>
      <w:r w:rsidR="001D1F47" w:rsidRPr="00873FEC">
        <w:rPr>
          <w:rFonts w:ascii="Verdana" w:eastAsia="MS Mincho" w:hAnsi="Verdana" w:cs="Times"/>
          <w:sz w:val="20"/>
          <w:szCs w:val="20"/>
          <w:lang w:val="es-CR" w:eastAsia="es-CR"/>
        </w:rPr>
        <w:t>3</w:t>
      </w:r>
      <w:r w:rsidRPr="00873FEC">
        <w:rPr>
          <w:rFonts w:ascii="Verdana" w:eastAsia="MS Mincho" w:hAnsi="Verdana" w:cs="Times"/>
          <w:sz w:val="20"/>
          <w:szCs w:val="20"/>
          <w:lang w:val="es-CR" w:eastAsia="es-CR"/>
        </w:rPr>
        <w:t xml:space="preserve">), agregaron el pedido de que se investigue el caso de la “Masacre </w:t>
      </w:r>
      <w:proofErr w:type="spellStart"/>
      <w:r w:rsidRPr="00873FEC">
        <w:rPr>
          <w:rFonts w:ascii="Verdana" w:eastAsia="MS Mincho" w:hAnsi="Verdana" w:cs="Times"/>
          <w:sz w:val="20"/>
          <w:szCs w:val="20"/>
          <w:lang w:val="es-CR" w:eastAsia="es-CR"/>
        </w:rPr>
        <w:t>Xamán</w:t>
      </w:r>
      <w:proofErr w:type="spellEnd"/>
      <w:r w:rsidRPr="00873FEC">
        <w:rPr>
          <w:rFonts w:ascii="Verdana" w:eastAsia="MS Mincho" w:hAnsi="Verdana" w:cs="Times"/>
          <w:sz w:val="20"/>
          <w:szCs w:val="20"/>
          <w:lang w:val="es-CR" w:eastAsia="es-CR"/>
        </w:rPr>
        <w:t>”.</w:t>
      </w:r>
      <w:r w:rsidRPr="00873FEC">
        <w:rPr>
          <w:rFonts w:ascii="Verdana" w:eastAsia="MS Mincho" w:hAnsi="Verdana" w:cs="Times"/>
          <w:b/>
          <w:sz w:val="20"/>
          <w:szCs w:val="20"/>
          <w:lang w:val="es-CR" w:eastAsia="es-CR"/>
        </w:rPr>
        <w:t xml:space="preserve"> </w:t>
      </w:r>
    </w:p>
    <w:p w:rsidR="00D05F7B" w:rsidRPr="00873FEC" w:rsidRDefault="00D05F7B" w:rsidP="00126E97">
      <w:pPr>
        <w:spacing w:after="0" w:line="20" w:lineRule="atLeast"/>
        <w:ind w:right="-138"/>
        <w:jc w:val="both"/>
        <w:rPr>
          <w:rFonts w:ascii="Verdana" w:eastAsia="MS Mincho" w:hAnsi="Verdana" w:cs="Times"/>
          <w:b/>
          <w:sz w:val="20"/>
          <w:szCs w:val="20"/>
          <w:lang w:val="es-CR" w:eastAsia="es-CR"/>
        </w:rPr>
      </w:pPr>
    </w:p>
    <w:p w:rsidR="00D05F7B" w:rsidRPr="00873FEC" w:rsidRDefault="00D05F7B" w:rsidP="00126E97">
      <w:pPr>
        <w:numPr>
          <w:ilvl w:val="0"/>
          <w:numId w:val="3"/>
        </w:numPr>
        <w:spacing w:after="0" w:line="20" w:lineRule="atLeast"/>
        <w:ind w:right="-138"/>
        <w:jc w:val="both"/>
        <w:rPr>
          <w:rFonts w:ascii="Verdana" w:eastAsia="MS Mincho" w:hAnsi="Verdana" w:cs="Times"/>
          <w:b/>
          <w:sz w:val="20"/>
          <w:szCs w:val="20"/>
          <w:lang w:val="es-CR" w:eastAsia="es-CR"/>
        </w:rPr>
      </w:pPr>
      <w:r w:rsidRPr="00873FEC">
        <w:rPr>
          <w:rFonts w:ascii="Verdana" w:eastAsia="MS Mincho" w:hAnsi="Verdana" w:cs="Times"/>
          <w:sz w:val="20"/>
          <w:szCs w:val="20"/>
          <w:lang w:val="es-CR" w:eastAsia="es-CR"/>
        </w:rPr>
        <w:t xml:space="preserve">El </w:t>
      </w:r>
      <w:r w:rsidRPr="00873FEC">
        <w:rPr>
          <w:rFonts w:ascii="Verdana" w:eastAsia="MS Mincho" w:hAnsi="Verdana" w:cs="Times"/>
          <w:b/>
          <w:i/>
          <w:sz w:val="20"/>
          <w:szCs w:val="20"/>
          <w:lang w:val="es-CR" w:eastAsia="es-CR"/>
        </w:rPr>
        <w:t>Estado</w:t>
      </w:r>
      <w:r w:rsidRPr="00873FEC">
        <w:rPr>
          <w:rFonts w:ascii="Verdana" w:eastAsia="MS Mincho" w:hAnsi="Verdana" w:cs="Times"/>
          <w:sz w:val="20"/>
          <w:szCs w:val="20"/>
          <w:lang w:val="es-CR" w:eastAsia="es-CR"/>
        </w:rPr>
        <w:t xml:space="preserve"> no hizo referencia específica respecto de la mencionada solicitud, pero entre sus alegatos sobre las violaciones a derechos decididas, consideró que había cumplido con </w:t>
      </w:r>
      <w:r w:rsidRPr="00873FEC">
        <w:rPr>
          <w:rFonts w:ascii="Verdana" w:eastAsia="Batang" w:hAnsi="Verdana" w:cs="Times"/>
          <w:sz w:val="20"/>
          <w:szCs w:val="20"/>
          <w:lang w:val="es-CR" w:eastAsia="es-CR"/>
        </w:rPr>
        <w:t xml:space="preserve">su “actuar diligente [debido a que] </w:t>
      </w:r>
      <w:r w:rsidRPr="00873FEC">
        <w:rPr>
          <w:rFonts w:ascii="Verdana" w:eastAsia="Calibri" w:hAnsi="Verdana" w:cs="Times New Roman"/>
          <w:sz w:val="20"/>
          <w:szCs w:val="20"/>
          <w:lang w:val="es-CR" w:eastAsia="es-CR"/>
        </w:rPr>
        <w:t>concluyó con la sentencia condenatoria</w:t>
      </w:r>
      <w:r w:rsidRPr="00873FEC">
        <w:rPr>
          <w:rFonts w:ascii="Verdana" w:eastAsia="Batang" w:hAnsi="Verdana" w:cs="Times"/>
          <w:sz w:val="20"/>
          <w:szCs w:val="20"/>
          <w:lang w:val="es-CR" w:eastAsia="es-CR"/>
        </w:rPr>
        <w:t xml:space="preserve"> </w:t>
      </w:r>
      <w:r w:rsidRPr="00873FEC">
        <w:rPr>
          <w:rFonts w:ascii="Verdana" w:eastAsia="Calibri" w:hAnsi="Verdana" w:cs="Times New Roman"/>
          <w:sz w:val="20"/>
          <w:szCs w:val="20"/>
          <w:lang w:val="es-CR" w:eastAsia="es-CR"/>
        </w:rPr>
        <w:t xml:space="preserve">a 14 miembros de las fuerzas de seguridad nacional y la orden de aprehensión en contra de 11 personas las cuales se encuentra[n] vigentes debido a que éstos están prófugos de la </w:t>
      </w:r>
      <w:r w:rsidRPr="00873FEC">
        <w:rPr>
          <w:rFonts w:ascii="Verdana" w:eastAsia="Batang" w:hAnsi="Verdana" w:cs="Times New Roman"/>
          <w:sz w:val="20"/>
          <w:szCs w:val="20"/>
          <w:lang w:val="es-CR" w:eastAsia="es-CR"/>
        </w:rPr>
        <w:t xml:space="preserve">justicia”. </w:t>
      </w:r>
      <w:r w:rsidRPr="00873FEC">
        <w:rPr>
          <w:rFonts w:ascii="Verdana" w:eastAsia="MS Mincho" w:hAnsi="Verdana" w:cs="Times"/>
          <w:sz w:val="20"/>
          <w:szCs w:val="20"/>
          <w:lang w:val="es-CR" w:eastAsia="es-CR"/>
        </w:rPr>
        <w:t xml:space="preserve"> </w:t>
      </w:r>
    </w:p>
    <w:p w:rsidR="00D05F7B" w:rsidRPr="00873FEC" w:rsidRDefault="00D05F7B" w:rsidP="00126E97">
      <w:pPr>
        <w:spacing w:after="0" w:line="20" w:lineRule="atLeast"/>
        <w:ind w:right="-138"/>
        <w:jc w:val="both"/>
        <w:rPr>
          <w:rFonts w:ascii="Verdana" w:eastAsia="Batang" w:hAnsi="Verdana" w:cs="Times"/>
          <w:sz w:val="20"/>
          <w:szCs w:val="24"/>
          <w:lang w:val="es-CR"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bookmarkStart w:id="207" w:name="_Ref437872239"/>
      <w:bookmarkEnd w:id="207"/>
      <w:r w:rsidRPr="00873FEC">
        <w:rPr>
          <w:rFonts w:ascii="Verdana" w:eastAsia="MS Mincho" w:hAnsi="Verdana" w:cs="Times"/>
          <w:sz w:val="20"/>
          <w:szCs w:val="20"/>
          <w:lang w:val="es-CR" w:eastAsia="es-CR"/>
        </w:rPr>
        <w:t>L</w:t>
      </w:r>
      <w:r w:rsidRPr="00873FEC">
        <w:rPr>
          <w:rFonts w:ascii="Verdana" w:eastAsia="Batang" w:hAnsi="Verdana" w:cs="Times"/>
          <w:sz w:val="20"/>
          <w:szCs w:val="24"/>
          <w:lang w:val="es-CR" w:eastAsia="es-CR"/>
        </w:rPr>
        <w:t xml:space="preserve">a </w:t>
      </w:r>
      <w:r w:rsidRPr="00873FEC">
        <w:rPr>
          <w:rFonts w:ascii="Verdana" w:eastAsia="Batang" w:hAnsi="Verdana" w:cs="Times"/>
          <w:b/>
          <w:i/>
          <w:sz w:val="20"/>
          <w:szCs w:val="24"/>
          <w:lang w:val="es-CR" w:eastAsia="es-CR"/>
        </w:rPr>
        <w:t>Corte</w:t>
      </w:r>
      <w:r w:rsidRPr="00873FEC">
        <w:rPr>
          <w:rFonts w:ascii="Verdana" w:eastAsia="Batang" w:hAnsi="Verdana" w:cs="Times"/>
          <w:sz w:val="20"/>
          <w:szCs w:val="24"/>
          <w:lang w:val="es-CR" w:eastAsia="es-CR"/>
        </w:rPr>
        <w:t xml:space="preserve"> advierte que los representantes no han solicitado, en forma autónoma, la investigación de los hechos como medida de reparación. Han formulado su pedido como parte de otra medida requerida, </w:t>
      </w:r>
      <w:r w:rsidRPr="00873FEC">
        <w:rPr>
          <w:rFonts w:ascii="Verdana" w:eastAsia="MS Mincho" w:hAnsi="Verdana" w:cs="Times"/>
          <w:sz w:val="20"/>
          <w:szCs w:val="20"/>
          <w:lang w:val="es-CR" w:eastAsia="es-CR"/>
        </w:rPr>
        <w:t>el “fortalecimiento” de la Unidad de Derechos Humanos del Ministerio Público</w:t>
      </w:r>
      <w:r w:rsidRPr="00873FEC">
        <w:rPr>
          <w:rFonts w:ascii="Verdana" w:eastAsia="Batang" w:hAnsi="Verdana" w:cs="Times"/>
          <w:sz w:val="20"/>
          <w:szCs w:val="24"/>
          <w:lang w:val="es-CR" w:eastAsia="es-CR"/>
        </w:rPr>
        <w:t>. No obstante, este Tribunal considera adecuado separar ambos aspectos y abordar en forma independiente la investigación de los hechos. Al respecto, la Corte recuerda que</w:t>
      </w:r>
      <w:r w:rsidR="008E0A4C">
        <w:rPr>
          <w:rFonts w:ascii="Verdana" w:eastAsia="Batang" w:hAnsi="Verdana" w:cs="Times"/>
          <w:sz w:val="20"/>
          <w:szCs w:val="24"/>
          <w:lang w:val="es-CR" w:eastAsia="es-CR"/>
        </w:rPr>
        <w:t>,</w:t>
      </w:r>
      <w:r w:rsidRPr="00873FEC">
        <w:rPr>
          <w:rFonts w:ascii="Verdana" w:eastAsia="Batang" w:hAnsi="Verdana" w:cs="Times"/>
          <w:sz w:val="20"/>
          <w:szCs w:val="24"/>
          <w:lang w:val="es-CR" w:eastAsia="es-CR"/>
        </w:rPr>
        <w:t xml:space="preserve"> en relación con violaciones a derechos humanos como las determinadas en el presente caso, las autoridades estatales deben realizar una investigación seria, imparcial y efectiva por todos los medios legales disponibles y orientada a la determinación de la verdad y a la persecución, captura, enjuiciamiento y eventual castigo de los autores de los hechos, siendo esto especialmente relevante cuando están involucrados agentes estatales</w:t>
      </w:r>
      <w:r w:rsidRPr="00873FEC">
        <w:rPr>
          <w:rFonts w:ascii="Verdana" w:eastAsia="Batang" w:hAnsi="Verdana" w:cs="Times New Roman"/>
          <w:sz w:val="20"/>
          <w:szCs w:val="20"/>
          <w:vertAlign w:val="superscript"/>
          <w:lang w:val="es-CR" w:eastAsia="x-none"/>
        </w:rPr>
        <w:footnoteReference w:id="213"/>
      </w:r>
      <w:r w:rsidRPr="00873FEC">
        <w:rPr>
          <w:rFonts w:ascii="Verdana" w:eastAsia="Batang" w:hAnsi="Verdana" w:cs="Times"/>
          <w:sz w:val="20"/>
          <w:szCs w:val="24"/>
          <w:lang w:val="es-CR" w:eastAsia="es-CR"/>
        </w:rPr>
        <w:t xml:space="preserve">. </w:t>
      </w:r>
    </w:p>
    <w:p w:rsidR="00D05F7B" w:rsidRPr="00873FEC" w:rsidRDefault="00D05F7B" w:rsidP="00126E97">
      <w:pPr>
        <w:spacing w:after="0" w:line="20" w:lineRule="atLeast"/>
        <w:ind w:left="720"/>
        <w:contextualSpacing/>
        <w:rPr>
          <w:rFonts w:ascii="Calibri" w:eastAsia="Calibri" w:hAnsi="Calibri" w:cs="Times"/>
          <w:lang w:val="es-CR"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4"/>
          <w:lang w:val="es-CR" w:eastAsia="es-CR"/>
        </w:rPr>
        <w:lastRenderedPageBreak/>
        <w:t>En el caso, se ha determinado que el Estado, a través de sus autoridades judiciales, condenó a 14 personas y entendió que respecto de otras 11 era necesario realizar acciones para determinar su posible responsabilidad penal. Guatemala señaló que existen órdenes de aprehensión vigentes respecto a las 11 personas referidas, quienes están “prófugas” (</w:t>
      </w:r>
      <w:r w:rsidRPr="00873FEC">
        <w:rPr>
          <w:rFonts w:ascii="Verdana" w:eastAsia="Batang" w:hAnsi="Verdana" w:cs="Times"/>
          <w:i/>
          <w:sz w:val="20"/>
          <w:szCs w:val="24"/>
          <w:lang w:val="es-CR" w:eastAsia="es-CR"/>
        </w:rPr>
        <w:t xml:space="preserve">supra </w:t>
      </w:r>
      <w:proofErr w:type="spellStart"/>
      <w:r w:rsidRPr="00873FEC">
        <w:rPr>
          <w:rFonts w:ascii="Verdana" w:eastAsia="Batang" w:hAnsi="Verdana" w:cs="Times"/>
          <w:sz w:val="20"/>
          <w:szCs w:val="24"/>
          <w:lang w:val="es-CR" w:eastAsia="es-CR"/>
        </w:rPr>
        <w:t>párr</w:t>
      </w:r>
      <w:r w:rsidR="008877A6" w:rsidRPr="00873FEC">
        <w:rPr>
          <w:rFonts w:ascii="Verdana" w:eastAsia="Batang" w:hAnsi="Verdana" w:cs="Times"/>
          <w:sz w:val="20"/>
          <w:szCs w:val="24"/>
          <w:lang w:val="es-CR" w:eastAsia="es-CR"/>
        </w:rPr>
        <w:t>s</w:t>
      </w:r>
      <w:proofErr w:type="spellEnd"/>
      <w:r w:rsidRPr="00873FEC">
        <w:rPr>
          <w:rFonts w:ascii="Verdana" w:eastAsia="Batang" w:hAnsi="Verdana" w:cs="Times"/>
          <w:sz w:val="20"/>
          <w:szCs w:val="24"/>
          <w:lang w:val="es-CR" w:eastAsia="es-CR"/>
        </w:rPr>
        <w:t xml:space="preserve">. </w:t>
      </w:r>
      <w:r w:rsidR="008877A6" w:rsidRPr="00873FEC">
        <w:rPr>
          <w:rFonts w:ascii="Verdana" w:eastAsia="Batang" w:hAnsi="Verdana" w:cs="Times"/>
          <w:sz w:val="20"/>
          <w:szCs w:val="24"/>
          <w:lang w:val="es-CR" w:eastAsia="es-CR"/>
        </w:rPr>
        <w:t>66 y 76</w:t>
      </w:r>
      <w:r w:rsidRPr="00873FEC">
        <w:rPr>
          <w:rFonts w:ascii="Verdana" w:eastAsia="Batang" w:hAnsi="Verdana" w:cs="Times"/>
          <w:sz w:val="20"/>
          <w:szCs w:val="24"/>
          <w:lang w:val="es-CR" w:eastAsia="es-CR"/>
        </w:rPr>
        <w:t>). Dado que en un periodo mayor a 18 años no constan acciones concretas para hacer efectiva la medida de aprehensión determinada por las propias autoridades estatales, este Tribunal determinó la responsabilidad del Estado (</w:t>
      </w:r>
      <w:r w:rsidRPr="00873FEC">
        <w:rPr>
          <w:rFonts w:ascii="Verdana" w:eastAsia="Batang" w:hAnsi="Verdana" w:cs="Times"/>
          <w:i/>
          <w:sz w:val="20"/>
          <w:szCs w:val="24"/>
          <w:lang w:val="es-CR" w:eastAsia="es-CR"/>
        </w:rPr>
        <w:t xml:space="preserve">supra </w:t>
      </w:r>
      <w:proofErr w:type="spellStart"/>
      <w:r w:rsidRPr="00873FEC">
        <w:rPr>
          <w:rFonts w:ascii="Verdana" w:eastAsia="Batang" w:hAnsi="Verdana" w:cs="Times"/>
          <w:sz w:val="20"/>
          <w:szCs w:val="24"/>
          <w:lang w:val="es-CR" w:eastAsia="es-CR"/>
        </w:rPr>
        <w:t>párr</w:t>
      </w:r>
      <w:r w:rsidR="008877A6" w:rsidRPr="00873FEC">
        <w:rPr>
          <w:rFonts w:ascii="Verdana" w:eastAsia="Batang" w:hAnsi="Verdana" w:cs="Times"/>
          <w:sz w:val="20"/>
          <w:szCs w:val="24"/>
          <w:lang w:val="es-CR" w:eastAsia="es-CR"/>
        </w:rPr>
        <w:t>s</w:t>
      </w:r>
      <w:proofErr w:type="spellEnd"/>
      <w:r w:rsidRPr="00873FEC">
        <w:rPr>
          <w:rFonts w:ascii="Verdana" w:eastAsia="Batang" w:hAnsi="Verdana" w:cs="Times"/>
          <w:sz w:val="20"/>
          <w:szCs w:val="24"/>
          <w:lang w:val="es-CR" w:eastAsia="es-CR"/>
        </w:rPr>
        <w:t>.</w:t>
      </w:r>
      <w:r w:rsidR="008877A6" w:rsidRPr="00873FEC">
        <w:rPr>
          <w:rFonts w:ascii="Verdana" w:eastAsia="Batang" w:hAnsi="Verdana" w:cs="Times"/>
          <w:sz w:val="20"/>
          <w:szCs w:val="24"/>
          <w:lang w:val="es-CR" w:eastAsia="es-CR"/>
        </w:rPr>
        <w:t xml:space="preserve"> 88 a 92 y</w:t>
      </w:r>
      <w:r w:rsidRPr="00873FEC">
        <w:rPr>
          <w:rFonts w:ascii="Verdana" w:eastAsia="Batang" w:hAnsi="Verdana" w:cs="Times"/>
          <w:sz w:val="20"/>
          <w:szCs w:val="24"/>
          <w:lang w:val="es-CR" w:eastAsia="es-CR"/>
        </w:rPr>
        <w:t xml:space="preserve"> 9</w:t>
      </w:r>
      <w:r w:rsidR="008877A6" w:rsidRPr="00873FEC">
        <w:rPr>
          <w:rFonts w:ascii="Verdana" w:eastAsia="Batang" w:hAnsi="Verdana" w:cs="Times"/>
          <w:sz w:val="20"/>
          <w:szCs w:val="24"/>
          <w:lang w:val="es-CR" w:eastAsia="es-CR"/>
        </w:rPr>
        <w:t>8</w:t>
      </w:r>
      <w:r w:rsidRPr="00873FEC">
        <w:rPr>
          <w:rFonts w:ascii="Verdana" w:eastAsia="Batang" w:hAnsi="Verdana" w:cs="Times"/>
          <w:sz w:val="20"/>
          <w:szCs w:val="24"/>
          <w:lang w:val="es-CR" w:eastAsia="es-CR"/>
        </w:rPr>
        <w:t xml:space="preserve">). Por ello, la Corte </w:t>
      </w:r>
      <w:r w:rsidRPr="00873FEC">
        <w:rPr>
          <w:rFonts w:ascii="Verdana" w:eastAsia="Times New Roman" w:hAnsi="Verdana" w:cs="Times"/>
          <w:sz w:val="20"/>
          <w:szCs w:val="24"/>
          <w:lang w:val="es-CR" w:eastAsia="es-CR"/>
        </w:rPr>
        <w:t xml:space="preserve">ordena al Estado que, de conformidad con el derecho interno, continué, en un plazo razonable, las acciones nacionales e internacionales pertinentes para concluir la investigación sobre los hechos ocurridos el 5 de octubre de 1995 en la finca </w:t>
      </w:r>
      <w:proofErr w:type="spellStart"/>
      <w:r w:rsidRPr="00873FEC">
        <w:rPr>
          <w:rFonts w:ascii="Verdana" w:eastAsia="Times New Roman" w:hAnsi="Verdana" w:cs="Times"/>
          <w:sz w:val="20"/>
          <w:szCs w:val="24"/>
          <w:lang w:val="es-CR" w:eastAsia="es-CR"/>
        </w:rPr>
        <w:t>Xamán</w:t>
      </w:r>
      <w:proofErr w:type="spellEnd"/>
      <w:r w:rsidRPr="00873FEC">
        <w:rPr>
          <w:rFonts w:ascii="Verdana" w:eastAsia="Times New Roman" w:hAnsi="Verdana" w:cs="Times"/>
          <w:sz w:val="20"/>
          <w:szCs w:val="24"/>
          <w:lang w:val="es-CR" w:eastAsia="es-CR"/>
        </w:rPr>
        <w:t>, respecto a las 11 personas que Guatemala señaló que están prófugas y que cuentan con órdenes de captura vigentes en su perjuicio, como también, de ser el caso, respecto de otros elementos</w:t>
      </w:r>
      <w:r w:rsidRPr="00873FEC">
        <w:rPr>
          <w:rFonts w:ascii="Verdana" w:eastAsia="Times New Roman" w:hAnsi="Verdana" w:cs="Times"/>
          <w:b/>
          <w:sz w:val="20"/>
          <w:szCs w:val="24"/>
          <w:lang w:val="es-CR" w:eastAsia="es-CR"/>
        </w:rPr>
        <w:t xml:space="preserve"> </w:t>
      </w:r>
      <w:r w:rsidRPr="00873FEC">
        <w:rPr>
          <w:rFonts w:ascii="Verdana" w:eastAsia="Times New Roman" w:hAnsi="Verdana" w:cs="Times"/>
          <w:sz w:val="20"/>
          <w:szCs w:val="24"/>
          <w:lang w:val="es-CR" w:eastAsia="es-CR"/>
        </w:rPr>
        <w:t xml:space="preserve">que resultaren pertinentes. </w:t>
      </w:r>
    </w:p>
    <w:p w:rsidR="00D05F7B" w:rsidRPr="00873FEC" w:rsidRDefault="00D05F7B" w:rsidP="00126E97">
      <w:pPr>
        <w:spacing w:after="0" w:line="20" w:lineRule="atLeast"/>
        <w:ind w:right="-138"/>
        <w:jc w:val="both"/>
        <w:rPr>
          <w:rFonts w:ascii="Verdana" w:eastAsia="Batang" w:hAnsi="Verdana" w:cs="Times"/>
          <w:sz w:val="20"/>
          <w:szCs w:val="24"/>
          <w:lang w:val="es-CR" w:eastAsia="es-CR"/>
        </w:rPr>
      </w:pPr>
    </w:p>
    <w:p w:rsidR="00D05F7B" w:rsidRPr="00873FEC" w:rsidRDefault="00D05F7B" w:rsidP="00126E97">
      <w:pPr>
        <w:keepNext/>
        <w:keepLines/>
        <w:widowControl w:val="0"/>
        <w:numPr>
          <w:ilvl w:val="0"/>
          <w:numId w:val="12"/>
        </w:numPr>
        <w:spacing w:after="0" w:line="20" w:lineRule="atLeast"/>
        <w:ind w:left="284"/>
        <w:jc w:val="both"/>
        <w:outlineLvl w:val="1"/>
        <w:rPr>
          <w:rFonts w:ascii="Verdana" w:eastAsia="MS Mincho" w:hAnsi="Verdana" w:cs="Times"/>
          <w:b/>
          <w:i/>
          <w:sz w:val="20"/>
          <w:szCs w:val="20"/>
          <w:lang w:val="es-CR" w:eastAsia="es-CR"/>
        </w:rPr>
      </w:pPr>
      <w:bookmarkStart w:id="208" w:name="_Toc520207617"/>
      <w:bookmarkStart w:id="209" w:name="_Toc521694830"/>
      <w:bookmarkStart w:id="210" w:name="_Toc525201202"/>
      <w:bookmarkEnd w:id="208"/>
      <w:r w:rsidRPr="00873FEC">
        <w:rPr>
          <w:rFonts w:ascii="Verdana" w:eastAsia="MS Mincho" w:hAnsi="Verdana" w:cs="Times"/>
          <w:b/>
          <w:i/>
          <w:sz w:val="20"/>
          <w:szCs w:val="20"/>
          <w:lang w:val="es-CR" w:eastAsia="es-CR"/>
        </w:rPr>
        <w:t>Medidas de rehabilitación, satisfacción y garantías de no repetición</w:t>
      </w:r>
      <w:bookmarkEnd w:id="209"/>
      <w:bookmarkEnd w:id="210"/>
    </w:p>
    <w:p w:rsidR="00D05F7B" w:rsidRPr="00873FEC" w:rsidRDefault="00D05F7B" w:rsidP="00126E97">
      <w:pPr>
        <w:keepNext/>
        <w:keepLines/>
        <w:spacing w:after="0" w:line="20" w:lineRule="atLeast"/>
        <w:jc w:val="both"/>
        <w:outlineLvl w:val="2"/>
        <w:rPr>
          <w:rFonts w:ascii="Verdana" w:eastAsia="Cambria" w:hAnsi="Verdana" w:cs="Times"/>
          <w:i/>
          <w:sz w:val="20"/>
          <w:szCs w:val="24"/>
          <w:lang w:val="es-CR" w:eastAsia="es-CR"/>
        </w:rPr>
      </w:pPr>
      <w:bookmarkStart w:id="211" w:name="_Toc495658697"/>
      <w:bookmarkStart w:id="212" w:name="_Toc514172665"/>
      <w:bookmarkEnd w:id="211"/>
      <w:bookmarkEnd w:id="212"/>
    </w:p>
    <w:p w:rsidR="00D05F7B" w:rsidRPr="00873FEC" w:rsidRDefault="00D05F7B" w:rsidP="00126E97">
      <w:pPr>
        <w:keepNext/>
        <w:keepLines/>
        <w:spacing w:after="0" w:line="20" w:lineRule="atLeast"/>
        <w:ind w:left="567"/>
        <w:jc w:val="both"/>
        <w:outlineLvl w:val="2"/>
        <w:rPr>
          <w:rFonts w:ascii="Verdana" w:eastAsia="Cambria" w:hAnsi="Verdana" w:cs="Times"/>
          <w:i/>
          <w:sz w:val="20"/>
          <w:szCs w:val="24"/>
          <w:lang w:val="en-US" w:eastAsia="es-CR"/>
        </w:rPr>
      </w:pPr>
      <w:bookmarkStart w:id="213" w:name="_Toc520207619"/>
      <w:bookmarkStart w:id="214" w:name="_Toc521694831"/>
      <w:bookmarkStart w:id="215" w:name="_Toc525201203"/>
      <w:bookmarkEnd w:id="213"/>
      <w:r w:rsidRPr="00873FEC">
        <w:rPr>
          <w:rFonts w:ascii="Verdana" w:eastAsia="Cambria" w:hAnsi="Verdana" w:cs="Times"/>
          <w:i/>
          <w:sz w:val="20"/>
          <w:szCs w:val="24"/>
          <w:lang w:val="en-US" w:eastAsia="es-CR"/>
        </w:rPr>
        <w:t xml:space="preserve">C.1. </w:t>
      </w:r>
      <w:proofErr w:type="spellStart"/>
      <w:r w:rsidRPr="00873FEC">
        <w:rPr>
          <w:rFonts w:ascii="Verdana" w:eastAsia="Cambria" w:hAnsi="Verdana" w:cs="Times"/>
          <w:i/>
          <w:sz w:val="20"/>
          <w:szCs w:val="24"/>
          <w:u w:val="single"/>
          <w:lang w:val="en-US" w:eastAsia="es-CR"/>
        </w:rPr>
        <w:t>Medidas</w:t>
      </w:r>
      <w:proofErr w:type="spellEnd"/>
      <w:r w:rsidRPr="00873FEC">
        <w:rPr>
          <w:rFonts w:ascii="Verdana" w:eastAsia="Cambria" w:hAnsi="Verdana" w:cs="Times"/>
          <w:i/>
          <w:sz w:val="20"/>
          <w:szCs w:val="24"/>
          <w:u w:val="single"/>
          <w:lang w:val="en-US" w:eastAsia="es-CR"/>
        </w:rPr>
        <w:t xml:space="preserve"> de </w:t>
      </w:r>
      <w:proofErr w:type="spellStart"/>
      <w:r w:rsidRPr="00873FEC">
        <w:rPr>
          <w:rFonts w:ascii="Verdana" w:eastAsia="Cambria" w:hAnsi="Verdana" w:cs="Times"/>
          <w:i/>
          <w:sz w:val="20"/>
          <w:szCs w:val="24"/>
          <w:u w:val="single"/>
          <w:lang w:val="en-US" w:eastAsia="es-CR"/>
        </w:rPr>
        <w:t>rehabilitación</w:t>
      </w:r>
      <w:bookmarkEnd w:id="214"/>
      <w:bookmarkEnd w:id="215"/>
      <w:proofErr w:type="spellEnd"/>
      <w:r w:rsidRPr="00873FEC">
        <w:rPr>
          <w:rFonts w:ascii="Verdana" w:eastAsia="Cambria" w:hAnsi="Verdana" w:cs="Times"/>
          <w:i/>
          <w:sz w:val="20"/>
          <w:szCs w:val="24"/>
          <w:lang w:val="en-US" w:eastAsia="es-CR"/>
        </w:rPr>
        <w:t xml:space="preserve"> </w:t>
      </w:r>
    </w:p>
    <w:p w:rsidR="00D05F7B" w:rsidRPr="00873FEC" w:rsidRDefault="00D05F7B" w:rsidP="00126E97">
      <w:pPr>
        <w:spacing w:after="0" w:line="20" w:lineRule="atLeast"/>
        <w:jc w:val="both"/>
        <w:rPr>
          <w:rFonts w:ascii="Verdana" w:eastAsia="Batang" w:hAnsi="Verdana" w:cs="Times"/>
          <w:b/>
          <w:sz w:val="20"/>
          <w:szCs w:val="24"/>
          <w:lang w:val="en-US"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MS Mincho" w:hAnsi="Verdana" w:cs="Times"/>
          <w:sz w:val="20"/>
          <w:szCs w:val="20"/>
          <w:lang w:eastAsia="es-CR"/>
        </w:rPr>
        <w:t xml:space="preserve">La </w:t>
      </w:r>
      <w:r w:rsidRPr="00873FEC">
        <w:rPr>
          <w:rFonts w:ascii="Verdana" w:eastAsia="MS Mincho" w:hAnsi="Verdana" w:cs="Times"/>
          <w:b/>
          <w:i/>
          <w:sz w:val="20"/>
          <w:szCs w:val="20"/>
          <w:lang w:eastAsia="es-CR"/>
        </w:rPr>
        <w:t>Comisión</w:t>
      </w:r>
      <w:r w:rsidRPr="00873FEC">
        <w:rPr>
          <w:rFonts w:ascii="Verdana" w:eastAsia="MS Mincho" w:hAnsi="Verdana" w:cs="Times"/>
          <w:sz w:val="20"/>
          <w:szCs w:val="20"/>
          <w:lang w:eastAsia="es-CR"/>
        </w:rPr>
        <w:t xml:space="preserve"> solicitó la implementación de un programa de atención en salud física y mental y/o psicosocial culturalmente adecuado a los sobrevivientes y familiares de las víctimas. Asimismo, indicó que en su contestación el Estado se refirió a servicios de salud en términos genéricos, sin poderse establecer cuál habría sido la atención específica para las víctimas de este caso.</w:t>
      </w:r>
    </w:p>
    <w:p w:rsidR="00D05F7B" w:rsidRPr="00873FEC" w:rsidRDefault="00D05F7B" w:rsidP="00126E97">
      <w:pPr>
        <w:spacing w:after="0" w:line="20" w:lineRule="atLeast"/>
        <w:ind w:right="-138"/>
        <w:jc w:val="both"/>
        <w:rPr>
          <w:rFonts w:ascii="Verdana" w:eastAsia="MS Mincho" w:hAnsi="Verdana" w:cs="Times"/>
          <w:sz w:val="20"/>
          <w:szCs w:val="20"/>
          <w:lang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MS Mincho" w:hAnsi="Verdana" w:cs="Times"/>
          <w:sz w:val="20"/>
          <w:szCs w:val="20"/>
          <w:lang w:eastAsia="es-CR"/>
        </w:rPr>
        <w:t xml:space="preserve">El </w:t>
      </w:r>
      <w:r w:rsidRPr="00873FEC">
        <w:rPr>
          <w:rFonts w:ascii="Verdana" w:eastAsia="MS Mincho" w:hAnsi="Verdana" w:cs="Times"/>
          <w:b/>
          <w:i/>
          <w:sz w:val="20"/>
          <w:szCs w:val="20"/>
          <w:lang w:eastAsia="es-CR"/>
        </w:rPr>
        <w:t>Estado</w:t>
      </w:r>
      <w:r w:rsidRPr="00873FEC">
        <w:rPr>
          <w:rFonts w:ascii="Verdana" w:eastAsia="MS Mincho" w:hAnsi="Verdana" w:cs="Times"/>
          <w:sz w:val="20"/>
          <w:szCs w:val="20"/>
          <w:lang w:eastAsia="es-CR"/>
        </w:rPr>
        <w:t xml:space="preserve"> señaló que ya está dando cumplimiento a la medida de posibilitar la atención médica. Indicó que cuenta con 20 Unidades Notificadoras de Salud que prestan servicios básicos de salud en 20 aldeas y que, además, cuenta con un Centro de Atención Permanente (CAP), ubicado en el Barrio El Centro del Municipio de </w:t>
      </w:r>
      <w:proofErr w:type="spellStart"/>
      <w:r w:rsidRPr="00873FEC">
        <w:rPr>
          <w:rFonts w:ascii="Verdana" w:eastAsia="MS Mincho" w:hAnsi="Verdana" w:cs="Times"/>
          <w:sz w:val="20"/>
          <w:szCs w:val="20"/>
          <w:lang w:eastAsia="es-CR"/>
        </w:rPr>
        <w:t>Chisec</w:t>
      </w:r>
      <w:proofErr w:type="spellEnd"/>
      <w:r w:rsidRPr="00873FEC">
        <w:rPr>
          <w:rFonts w:ascii="Verdana" w:eastAsia="MS Mincho" w:hAnsi="Verdana" w:cs="Times"/>
          <w:sz w:val="20"/>
          <w:szCs w:val="20"/>
          <w:lang w:eastAsia="es-CR"/>
        </w:rPr>
        <w:t xml:space="preserve">, Departamento de Alta Verapaz. Afirmó que en el municipio de </w:t>
      </w:r>
      <w:proofErr w:type="spellStart"/>
      <w:r w:rsidRPr="00873FEC">
        <w:rPr>
          <w:rFonts w:ascii="Verdana" w:eastAsia="MS Mincho" w:hAnsi="Verdana" w:cs="Times"/>
          <w:sz w:val="20"/>
          <w:szCs w:val="20"/>
          <w:lang w:eastAsia="es-CR"/>
        </w:rPr>
        <w:t>Chisec</w:t>
      </w:r>
      <w:proofErr w:type="spellEnd"/>
      <w:r w:rsidRPr="00873FEC">
        <w:rPr>
          <w:rFonts w:ascii="Verdana" w:eastAsia="MS Mincho" w:hAnsi="Verdana" w:cs="Times"/>
          <w:sz w:val="20"/>
          <w:szCs w:val="20"/>
          <w:lang w:eastAsia="es-CR"/>
        </w:rPr>
        <w:t>, se contempla l</w:t>
      </w:r>
      <w:r w:rsidR="0040546C">
        <w:rPr>
          <w:rFonts w:ascii="Verdana" w:eastAsia="MS Mincho" w:hAnsi="Verdana" w:cs="Times"/>
          <w:sz w:val="20"/>
          <w:szCs w:val="20"/>
          <w:lang w:eastAsia="es-CR"/>
        </w:rPr>
        <w:t>a atención de acuerdo con la co</w:t>
      </w:r>
      <w:r w:rsidRPr="00873FEC">
        <w:rPr>
          <w:rFonts w:ascii="Verdana" w:eastAsia="MS Mincho" w:hAnsi="Verdana" w:cs="Times"/>
          <w:sz w:val="20"/>
          <w:szCs w:val="20"/>
          <w:lang w:eastAsia="es-CR"/>
        </w:rPr>
        <w:t xml:space="preserve">smovisión maya, pues la misma se realiza en idioma </w:t>
      </w:r>
      <w:proofErr w:type="spellStart"/>
      <w:r w:rsidRPr="00873FEC">
        <w:rPr>
          <w:rFonts w:ascii="Verdana" w:eastAsia="MS Mincho" w:hAnsi="Verdana" w:cs="Times"/>
          <w:sz w:val="20"/>
          <w:szCs w:val="20"/>
          <w:lang w:eastAsia="es-CR"/>
        </w:rPr>
        <w:t>Q´eqchi</w:t>
      </w:r>
      <w:proofErr w:type="spellEnd"/>
      <w:r w:rsidRPr="00873FEC">
        <w:rPr>
          <w:rFonts w:ascii="Verdana" w:eastAsia="MS Mincho" w:hAnsi="Verdana" w:cs="Times"/>
          <w:sz w:val="20"/>
          <w:szCs w:val="20"/>
          <w:lang w:eastAsia="es-CR"/>
        </w:rPr>
        <w:t xml:space="preserve">, respetando las culturas, costumbres y tradiciones respectivas. </w:t>
      </w:r>
    </w:p>
    <w:p w:rsidR="00D05F7B" w:rsidRPr="00873FEC" w:rsidRDefault="00D05F7B" w:rsidP="00126E97">
      <w:pPr>
        <w:spacing w:after="0" w:line="20" w:lineRule="atLeast"/>
        <w:ind w:left="720"/>
        <w:contextualSpacing/>
        <w:rPr>
          <w:rFonts w:ascii="Calibri" w:eastAsia="Calibri" w:hAnsi="Calibri" w:cs="Times"/>
          <w:spacing w:val="-2"/>
          <w:lang w:val="es-CR"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b/>
          <w:sz w:val="20"/>
          <w:szCs w:val="24"/>
          <w:lang w:val="es-CR" w:eastAsia="es-CR"/>
        </w:rPr>
      </w:pPr>
      <w:r w:rsidRPr="00873FEC">
        <w:rPr>
          <w:rFonts w:ascii="Verdana" w:eastAsia="Batang" w:hAnsi="Verdana" w:cs="Times"/>
          <w:spacing w:val="-2"/>
          <w:sz w:val="20"/>
          <w:szCs w:val="24"/>
          <w:lang w:val="es-CR" w:eastAsia="es-CR"/>
        </w:rPr>
        <w:t xml:space="preserve">La </w:t>
      </w:r>
      <w:r w:rsidRPr="00873FEC">
        <w:rPr>
          <w:rFonts w:ascii="Verdana" w:eastAsia="Batang" w:hAnsi="Verdana" w:cs="Times"/>
          <w:b/>
          <w:i/>
          <w:spacing w:val="-2"/>
          <w:sz w:val="20"/>
          <w:szCs w:val="24"/>
          <w:lang w:val="es-CR" w:eastAsia="es-CR"/>
        </w:rPr>
        <w:t>Corte</w:t>
      </w:r>
      <w:r w:rsidRPr="00873FEC">
        <w:rPr>
          <w:rFonts w:ascii="Verdana" w:eastAsia="Batang" w:hAnsi="Verdana" w:cs="Times"/>
          <w:spacing w:val="-2"/>
          <w:sz w:val="20"/>
          <w:szCs w:val="24"/>
          <w:lang w:val="es-CR" w:eastAsia="es-CR"/>
        </w:rPr>
        <w:t xml:space="preserve"> valora la información presentada por el Estado, pero advierte que no cuenta con información que permita concluir que las políticas generales de atención en salud impliquen un mecanismo adecuado para las necesidades específicas de reparación respecto a las violaciones a derechos humanos establecidas en este caso. Por eso, este Tribunal estima preciso disponer que el Estado brinde atención adecuada a los padecimientos sufridos por las víctimas. Esta medida corresponde en beneficio de aquellas personas que vieron afectado su derecho a la integridad personal, nombradas en los Anexos B.3 y B.5 de la presente Sentencia. Por ello, como en otros casos</w:t>
      </w:r>
      <w:r w:rsidRPr="00873FEC">
        <w:rPr>
          <w:rFonts w:ascii="Verdana" w:eastAsia="Batang" w:hAnsi="Verdana" w:cs="Times New Roman"/>
          <w:sz w:val="20"/>
          <w:szCs w:val="20"/>
          <w:vertAlign w:val="superscript"/>
          <w:lang w:val="es-CR" w:eastAsia="x-none"/>
        </w:rPr>
        <w:footnoteReference w:id="214"/>
      </w:r>
      <w:r w:rsidRPr="00873FEC">
        <w:rPr>
          <w:rFonts w:ascii="Verdana" w:eastAsia="Batang" w:hAnsi="Verdana" w:cs="Times"/>
          <w:spacing w:val="-2"/>
          <w:sz w:val="20"/>
          <w:szCs w:val="24"/>
          <w:lang w:val="es-CR" w:eastAsia="es-CR"/>
        </w:rPr>
        <w:t xml:space="preserve">, ordena al Estado brindar </w:t>
      </w:r>
      <w:r w:rsidRPr="00873FEC">
        <w:rPr>
          <w:rFonts w:ascii="Verdana" w:eastAsia="Calibri" w:hAnsi="Verdana" w:cs="Verdana"/>
          <w:sz w:val="20"/>
          <w:szCs w:val="24"/>
          <w:lang w:val="es-CR" w:eastAsia="es-CR"/>
        </w:rPr>
        <w:t>gratuitamente</w:t>
      </w:r>
      <w:r w:rsidRPr="00873FEC">
        <w:rPr>
          <w:rFonts w:ascii="Verdana" w:eastAsia="Batang" w:hAnsi="Verdana" w:cs="Times"/>
          <w:spacing w:val="-2"/>
          <w:sz w:val="20"/>
          <w:szCs w:val="24"/>
          <w:lang w:val="es-CR" w:eastAsia="es-CR"/>
        </w:rPr>
        <w:t>, en forma inmediata y</w:t>
      </w:r>
      <w:r w:rsidRPr="00873FEC">
        <w:rPr>
          <w:rFonts w:ascii="Verdana" w:eastAsia="Batang" w:hAnsi="Verdana" w:cs="Times"/>
          <w:b/>
          <w:spacing w:val="-2"/>
          <w:sz w:val="20"/>
          <w:szCs w:val="24"/>
          <w:lang w:val="es-CR" w:eastAsia="es-CR"/>
        </w:rPr>
        <w:t xml:space="preserve"> </w:t>
      </w:r>
      <w:r w:rsidRPr="00873FEC">
        <w:rPr>
          <w:rFonts w:ascii="Verdana" w:eastAsia="Batang" w:hAnsi="Verdana" w:cs="Times"/>
          <w:spacing w:val="-2"/>
          <w:sz w:val="20"/>
          <w:szCs w:val="24"/>
          <w:lang w:val="es-CR" w:eastAsia="es-CR"/>
        </w:rPr>
        <w:t xml:space="preserve">prioritaria, sin cargo alguno, a través de sus instituciones especializadas, de forma </w:t>
      </w:r>
      <w:r w:rsidRPr="00873FEC">
        <w:rPr>
          <w:rFonts w:ascii="Verdana" w:eastAsia="Batang" w:hAnsi="Verdana" w:cs="Times"/>
          <w:sz w:val="20"/>
          <w:szCs w:val="24"/>
          <w:lang w:val="es-CR" w:eastAsia="es-CR"/>
        </w:rPr>
        <w:t>adecuada</w:t>
      </w:r>
      <w:r w:rsidRPr="00873FEC">
        <w:rPr>
          <w:rFonts w:ascii="Verdana" w:eastAsia="Batang" w:hAnsi="Verdana" w:cs="Times"/>
          <w:spacing w:val="-2"/>
          <w:sz w:val="20"/>
          <w:szCs w:val="24"/>
          <w:lang w:val="es-CR" w:eastAsia="es-CR"/>
        </w:rPr>
        <w:t xml:space="preserve"> y efectiva, tratamiento psicológico o psiquiátrico a las víctimas nombradas en los Anexos B.3 y B.5 de la presente Sentencia que así lo soliciten, </w:t>
      </w:r>
      <w:r w:rsidRPr="00873FEC">
        <w:rPr>
          <w:rFonts w:ascii="Verdana" w:eastAsia="Batang" w:hAnsi="Verdana" w:cs="Verdana-Italic"/>
          <w:spacing w:val="-2"/>
          <w:sz w:val="20"/>
          <w:szCs w:val="24"/>
          <w:lang w:val="es-CR" w:eastAsia="es-CR"/>
        </w:rPr>
        <w:t>previo consentimiento informado,</w:t>
      </w:r>
      <w:r w:rsidRPr="00873FEC">
        <w:rPr>
          <w:rFonts w:ascii="Verdana" w:eastAsia="Batang" w:hAnsi="Verdana" w:cs="Times"/>
          <w:spacing w:val="-2"/>
          <w:sz w:val="20"/>
          <w:szCs w:val="24"/>
          <w:lang w:val="es-CR" w:eastAsia="es-CR"/>
        </w:rPr>
        <w:t xml:space="preserve"> incluyendo el suministro gratuito de los medicamentos que eventualmente se requieran, tomando en consideración los padecimientos de cada una de las víctimas. </w:t>
      </w:r>
      <w:r w:rsidRPr="00873FEC">
        <w:rPr>
          <w:rFonts w:ascii="Verdana" w:hAnsi="Verdana" w:cs="Verdana"/>
          <w:sz w:val="20"/>
          <w:szCs w:val="20"/>
          <w:lang w:val="es-CR"/>
        </w:rPr>
        <w:t>Lo anterior implica que las víctimas deberán recibir un tratamiento diferenciado en relación con el trámite y procedimiento que debieran realizar para ser atendidos en instituciones públicas.</w:t>
      </w:r>
      <w:r w:rsidRPr="00873FEC">
        <w:rPr>
          <w:rFonts w:ascii="Verdana" w:eastAsia="Batang" w:hAnsi="Verdana" w:cs="Times"/>
          <w:b/>
          <w:sz w:val="20"/>
          <w:szCs w:val="24"/>
          <w:lang w:val="es-CR" w:eastAsia="es-CR"/>
        </w:rPr>
        <w:t xml:space="preserve"> </w:t>
      </w:r>
      <w:r w:rsidRPr="00873FEC">
        <w:rPr>
          <w:rFonts w:ascii="Verdana" w:eastAsia="Batang" w:hAnsi="Verdana" w:cs="Times"/>
          <w:spacing w:val="-2"/>
          <w:sz w:val="20"/>
          <w:szCs w:val="24"/>
          <w:lang w:val="es-CR" w:eastAsia="es-CR"/>
        </w:rPr>
        <w:t xml:space="preserve">Al proveer el tratamiento psicológico o psiquiátrico se debe considerar las circunstancias y necesidades particulares </w:t>
      </w:r>
      <w:r w:rsidRPr="00873FEC">
        <w:rPr>
          <w:rFonts w:ascii="Verdana" w:eastAsia="Batang" w:hAnsi="Verdana" w:cs="Times"/>
          <w:spacing w:val="-2"/>
          <w:sz w:val="20"/>
          <w:szCs w:val="24"/>
          <w:lang w:val="es-CR" w:eastAsia="es-CR"/>
        </w:rPr>
        <w:lastRenderedPageBreak/>
        <w:t xml:space="preserve">de cada una de las víctimas, </w:t>
      </w:r>
      <w:r w:rsidRPr="00873FEC">
        <w:rPr>
          <w:rFonts w:ascii="Verdana" w:hAnsi="Verdana" w:cs="Verdana"/>
          <w:color w:val="000000"/>
          <w:sz w:val="20"/>
          <w:szCs w:val="20"/>
          <w:lang w:val="es-CR" w:eastAsia="es-CR"/>
        </w:rPr>
        <w:t>de manera que se les brinden tratamientos colectivos, familiares e individuales, según lo que se acuerde con cada una de ellas y después de una evaluación individual.</w:t>
      </w:r>
      <w:r w:rsidRPr="00873FEC">
        <w:rPr>
          <w:rFonts w:ascii="Verdana" w:eastAsia="Batang" w:hAnsi="Verdana" w:cs="Times"/>
          <w:spacing w:val="-2"/>
          <w:sz w:val="20"/>
          <w:szCs w:val="24"/>
          <w:lang w:val="es-CR" w:eastAsia="es-CR"/>
        </w:rPr>
        <w:t xml:space="preserve"> </w:t>
      </w:r>
      <w:r w:rsidRPr="00873FEC">
        <w:rPr>
          <w:rFonts w:ascii="Verdana" w:hAnsi="Verdana" w:cs="Verdana"/>
          <w:sz w:val="20"/>
          <w:szCs w:val="20"/>
          <w:lang w:val="es-CR"/>
        </w:rPr>
        <w:t>Asimismo, los tratamientos psiquiátricos o psicológicos respectivos deberán ser brindados por el tiempo que sea necesario, en la medida de lo posible en los centros más cercanos a los lugares de residencia de las víctimas del presente caso y, en todo caso, en un lugar accesible para tales personas</w:t>
      </w:r>
      <w:r w:rsidRPr="00873FEC">
        <w:rPr>
          <w:rFonts w:ascii="Verdana" w:eastAsia="Batang" w:hAnsi="Verdana" w:cs="Times"/>
          <w:spacing w:val="-2"/>
          <w:sz w:val="20"/>
          <w:szCs w:val="24"/>
          <w:lang w:val="es-CR" w:eastAsia="es-CR"/>
        </w:rPr>
        <w:t xml:space="preserve"> </w:t>
      </w:r>
    </w:p>
    <w:p w:rsidR="00D05F7B" w:rsidRPr="00873FEC" w:rsidRDefault="00D05F7B" w:rsidP="00126E97">
      <w:pPr>
        <w:spacing w:after="0" w:line="20" w:lineRule="atLeast"/>
        <w:ind w:right="-138"/>
        <w:jc w:val="both"/>
        <w:rPr>
          <w:rFonts w:ascii="Verdana" w:eastAsia="Batang" w:hAnsi="Verdana" w:cs="Times"/>
          <w:sz w:val="20"/>
          <w:szCs w:val="24"/>
          <w:lang w:val="es-CR"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b/>
          <w:sz w:val="20"/>
          <w:szCs w:val="24"/>
          <w:lang w:val="es-CR" w:eastAsia="es-CR"/>
        </w:rPr>
      </w:pPr>
      <w:r w:rsidRPr="00873FEC">
        <w:rPr>
          <w:rFonts w:ascii="Verdana" w:eastAsia="Batang" w:hAnsi="Verdana" w:cs="Times"/>
          <w:spacing w:val="-2"/>
          <w:sz w:val="20"/>
          <w:szCs w:val="24"/>
          <w:lang w:val="es-CR" w:eastAsia="es-CR"/>
        </w:rPr>
        <w:t>Las víctimas que soliciten la medida de rehabilitación, disponen de un plazo de seis meses, contado a partir de la notificación de la presente Sentencia, para dar a conocer al Estado, por sí mismas o a través de sus representantes, su intención de recibir atención. Una vez recibida la notificación respectiva, el Estado deben comenzar a brindar el tratamiento de modo inmediato.</w:t>
      </w:r>
    </w:p>
    <w:p w:rsidR="00D05F7B" w:rsidRPr="00873FEC" w:rsidRDefault="00D05F7B" w:rsidP="00126E97">
      <w:pPr>
        <w:spacing w:after="0" w:line="20" w:lineRule="atLeast"/>
        <w:ind w:right="-138"/>
        <w:jc w:val="both"/>
        <w:rPr>
          <w:rFonts w:ascii="Verdana" w:eastAsia="Batang" w:hAnsi="Verdana" w:cs="Times"/>
          <w:b/>
          <w:sz w:val="20"/>
          <w:szCs w:val="24"/>
          <w:lang w:val="es-CR"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4"/>
          <w:lang w:val="es-CR" w:eastAsia="es-CR"/>
        </w:rPr>
        <w:t>En cuanto a la atención médica o de salud distinta al tratamiento psiquiátrico o psicológico, la Corte no considera necesario en este caso ordenar una medida específica al respecto y, en relación con ello, tiene en consideración la medida de establecer un Centro de Salud en la Comunidad, que se trata más adelante (</w:t>
      </w:r>
      <w:r w:rsidRPr="00873FEC">
        <w:rPr>
          <w:rFonts w:ascii="Verdana" w:eastAsia="Batang" w:hAnsi="Verdana" w:cs="Times"/>
          <w:i/>
          <w:sz w:val="20"/>
          <w:szCs w:val="24"/>
          <w:lang w:val="es-CR" w:eastAsia="es-CR"/>
        </w:rPr>
        <w:t xml:space="preserve">infra </w:t>
      </w:r>
      <w:proofErr w:type="spellStart"/>
      <w:r w:rsidRPr="00873FEC">
        <w:rPr>
          <w:rFonts w:ascii="Verdana" w:eastAsia="Batang" w:hAnsi="Verdana" w:cs="Times"/>
          <w:sz w:val="20"/>
          <w:szCs w:val="24"/>
          <w:lang w:val="es-CR" w:eastAsia="es-CR"/>
        </w:rPr>
        <w:t>párr</w:t>
      </w:r>
      <w:r w:rsidR="00F90CFC" w:rsidRPr="00873FEC">
        <w:rPr>
          <w:rFonts w:ascii="Verdana" w:eastAsia="Batang" w:hAnsi="Verdana" w:cs="Times"/>
          <w:sz w:val="20"/>
          <w:szCs w:val="24"/>
          <w:lang w:val="es-CR" w:eastAsia="es-CR"/>
        </w:rPr>
        <w:t>s</w:t>
      </w:r>
      <w:proofErr w:type="spellEnd"/>
      <w:r w:rsidRPr="00873FEC">
        <w:rPr>
          <w:rFonts w:ascii="Verdana" w:eastAsia="Batang" w:hAnsi="Verdana" w:cs="Times"/>
          <w:sz w:val="20"/>
          <w:szCs w:val="24"/>
          <w:lang w:val="es-CR" w:eastAsia="es-CR"/>
        </w:rPr>
        <w:t>. 16</w:t>
      </w:r>
      <w:r w:rsidR="001D1F47" w:rsidRPr="00873FEC">
        <w:rPr>
          <w:rFonts w:ascii="Verdana" w:eastAsia="Batang" w:hAnsi="Verdana" w:cs="Times"/>
          <w:sz w:val="20"/>
          <w:szCs w:val="24"/>
          <w:lang w:val="es-CR" w:eastAsia="es-CR"/>
        </w:rPr>
        <w:t>4</w:t>
      </w:r>
      <w:r w:rsidR="00F90CFC" w:rsidRPr="00873FEC">
        <w:rPr>
          <w:rFonts w:ascii="Verdana" w:eastAsia="Batang" w:hAnsi="Verdana" w:cs="Times"/>
          <w:sz w:val="20"/>
          <w:szCs w:val="24"/>
          <w:lang w:val="es-CR" w:eastAsia="es-CR"/>
        </w:rPr>
        <w:t xml:space="preserve"> a 16</w:t>
      </w:r>
      <w:r w:rsidR="001D1F47" w:rsidRPr="00873FEC">
        <w:rPr>
          <w:rFonts w:ascii="Verdana" w:eastAsia="Batang" w:hAnsi="Verdana" w:cs="Times"/>
          <w:sz w:val="20"/>
          <w:szCs w:val="24"/>
          <w:lang w:val="es-CR" w:eastAsia="es-CR"/>
        </w:rPr>
        <w:t>7</w:t>
      </w:r>
      <w:r w:rsidRPr="00873FEC">
        <w:rPr>
          <w:rFonts w:ascii="Verdana" w:eastAsia="Batang" w:hAnsi="Verdana" w:cs="Times"/>
          <w:sz w:val="20"/>
          <w:szCs w:val="24"/>
          <w:lang w:val="es-CR" w:eastAsia="es-CR"/>
        </w:rPr>
        <w:t>).</w:t>
      </w:r>
    </w:p>
    <w:p w:rsidR="00787F00" w:rsidRPr="00873FEC" w:rsidRDefault="00787F00" w:rsidP="00126E97">
      <w:pPr>
        <w:spacing w:after="0" w:line="20" w:lineRule="atLeast"/>
        <w:ind w:right="-138"/>
        <w:jc w:val="both"/>
        <w:rPr>
          <w:rFonts w:ascii="Verdana" w:eastAsia="Batang" w:hAnsi="Verdana" w:cs="Times"/>
          <w:b/>
          <w:sz w:val="20"/>
          <w:szCs w:val="24"/>
          <w:lang w:val="es-CR" w:eastAsia="es-CR"/>
        </w:rPr>
      </w:pPr>
    </w:p>
    <w:p w:rsidR="00787F00" w:rsidRPr="00873FEC" w:rsidRDefault="00787F00" w:rsidP="00126E97">
      <w:pPr>
        <w:keepNext/>
        <w:keepLines/>
        <w:spacing w:after="0" w:line="20" w:lineRule="atLeast"/>
        <w:ind w:left="567"/>
        <w:jc w:val="both"/>
        <w:outlineLvl w:val="2"/>
        <w:rPr>
          <w:rFonts w:ascii="Verdana" w:eastAsia="Cambria" w:hAnsi="Verdana" w:cs="Times"/>
          <w:i/>
          <w:sz w:val="20"/>
          <w:szCs w:val="24"/>
          <w:lang w:val="es-CR" w:eastAsia="es-CR"/>
        </w:rPr>
      </w:pPr>
      <w:bookmarkStart w:id="216" w:name="_Toc520207620"/>
      <w:bookmarkStart w:id="217" w:name="_Toc521694832"/>
      <w:bookmarkStart w:id="218" w:name="_Toc525201204"/>
      <w:bookmarkEnd w:id="216"/>
      <w:r w:rsidRPr="00873FEC">
        <w:rPr>
          <w:rFonts w:ascii="Verdana" w:eastAsia="Cambria" w:hAnsi="Verdana" w:cs="Times"/>
          <w:i/>
          <w:sz w:val="20"/>
          <w:szCs w:val="24"/>
          <w:lang w:val="es-CR" w:eastAsia="es-CR"/>
        </w:rPr>
        <w:t xml:space="preserve">C.2. </w:t>
      </w:r>
      <w:r w:rsidRPr="00873FEC">
        <w:rPr>
          <w:rFonts w:ascii="Verdana" w:eastAsia="Cambria" w:hAnsi="Verdana" w:cs="Times"/>
          <w:i/>
          <w:sz w:val="20"/>
          <w:szCs w:val="24"/>
          <w:u w:val="single"/>
          <w:lang w:val="es-CR" w:eastAsia="es-CR"/>
        </w:rPr>
        <w:t>Medidas de satisfacción</w:t>
      </w:r>
      <w:bookmarkEnd w:id="217"/>
      <w:bookmarkEnd w:id="218"/>
      <w:r w:rsidRPr="00873FEC">
        <w:rPr>
          <w:rFonts w:ascii="Verdana" w:eastAsia="Cambria" w:hAnsi="Verdana" w:cs="Times"/>
          <w:i/>
          <w:sz w:val="20"/>
          <w:szCs w:val="24"/>
          <w:u w:val="single"/>
          <w:lang w:val="es-CR" w:eastAsia="es-CR"/>
        </w:rPr>
        <w:t xml:space="preserve"> </w:t>
      </w:r>
    </w:p>
    <w:p w:rsidR="00787F00" w:rsidRPr="00873FEC" w:rsidRDefault="00787F00" w:rsidP="00126E97">
      <w:pPr>
        <w:spacing w:after="0" w:line="20" w:lineRule="atLeast"/>
        <w:jc w:val="both"/>
        <w:rPr>
          <w:rFonts w:ascii="Verdana" w:eastAsia="Batang" w:hAnsi="Verdana" w:cs="Times"/>
          <w:sz w:val="20"/>
          <w:szCs w:val="20"/>
          <w:lang w:val="es-CR" w:eastAsia="es-CR"/>
        </w:rPr>
      </w:pPr>
    </w:p>
    <w:p w:rsidR="00787F00" w:rsidRPr="00873FEC" w:rsidRDefault="00787F00" w:rsidP="00126E97">
      <w:pPr>
        <w:keepNext/>
        <w:keepLines/>
        <w:spacing w:after="0" w:line="20" w:lineRule="atLeast"/>
        <w:ind w:left="851"/>
        <w:jc w:val="both"/>
        <w:outlineLvl w:val="3"/>
        <w:rPr>
          <w:rFonts w:ascii="Verdana" w:eastAsia="Cambria" w:hAnsi="Verdana" w:cs="Times"/>
          <w:i/>
          <w:sz w:val="20"/>
          <w:szCs w:val="20"/>
          <w:lang w:eastAsia="es-CR"/>
        </w:rPr>
      </w:pPr>
      <w:bookmarkStart w:id="219" w:name="_Toc520207621"/>
      <w:bookmarkStart w:id="220" w:name="_Toc521694833"/>
      <w:bookmarkStart w:id="221" w:name="_Toc525201205"/>
      <w:bookmarkEnd w:id="219"/>
      <w:r w:rsidRPr="00873FEC">
        <w:rPr>
          <w:rFonts w:ascii="Verdana" w:eastAsia="Cambria" w:hAnsi="Verdana" w:cs="Times"/>
          <w:i/>
          <w:sz w:val="20"/>
          <w:szCs w:val="20"/>
          <w:lang w:eastAsia="es-CR"/>
        </w:rPr>
        <w:t>C.2.1. Publicación de la Sentencia</w:t>
      </w:r>
      <w:bookmarkEnd w:id="220"/>
      <w:bookmarkEnd w:id="221"/>
    </w:p>
    <w:p w:rsidR="00787F00" w:rsidRPr="00873FEC" w:rsidRDefault="00787F00" w:rsidP="00126E97">
      <w:pPr>
        <w:spacing w:after="0" w:line="20" w:lineRule="atLeast"/>
        <w:ind w:left="720"/>
        <w:contextualSpacing/>
        <w:rPr>
          <w:rFonts w:ascii="Calibri" w:eastAsia="Calibri" w:hAnsi="Calibri" w:cs="Times"/>
          <w:szCs w:val="20"/>
          <w:lang w:eastAsia="es-CR"/>
        </w:rPr>
      </w:pPr>
    </w:p>
    <w:p w:rsidR="00787F00" w:rsidRPr="00873FEC" w:rsidRDefault="00787F00"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Calibri" w:hAnsi="Verdana" w:cs="Times"/>
          <w:sz w:val="20"/>
          <w:szCs w:val="20"/>
          <w:lang w:val="es-CR" w:eastAsia="es-CR"/>
        </w:rPr>
        <w:t>La Corte, como lo ha hecho en otros casos</w:t>
      </w:r>
      <w:r w:rsidRPr="00873FEC">
        <w:rPr>
          <w:rFonts w:ascii="Verdana" w:eastAsia="Calibri" w:hAnsi="Verdana" w:cs="Times New Roman"/>
          <w:sz w:val="20"/>
          <w:szCs w:val="20"/>
          <w:vertAlign w:val="superscript"/>
          <w:lang w:val="es-CR" w:eastAsia="x-none"/>
        </w:rPr>
        <w:footnoteReference w:id="215"/>
      </w:r>
      <w:r w:rsidRPr="00873FEC">
        <w:rPr>
          <w:rFonts w:ascii="Verdana" w:eastAsia="Calibri" w:hAnsi="Verdana" w:cs="Times"/>
          <w:sz w:val="20"/>
          <w:szCs w:val="20"/>
          <w:lang w:val="es-CR" w:eastAsia="es-CR"/>
        </w:rPr>
        <w:t xml:space="preserve">, estima pertinente ordenar al Estado que publique, en un plazo de seis meses, contado a partir de la notificación de la Sentencia: a) el resumen oficial de la presente Sentencia elaborado por la Corte, por una sola vez, en el Diario Oficial y en otro diario de circulación nacional, con un tamaño de letra legible y adecuado, y b) la presente Sentencia en su integridad, disponible, por un período de al menos un </w:t>
      </w:r>
      <w:proofErr w:type="spellStart"/>
      <w:r w:rsidRPr="00873FEC">
        <w:rPr>
          <w:rFonts w:ascii="Verdana" w:eastAsia="Calibri" w:hAnsi="Verdana" w:cs="Times"/>
          <w:sz w:val="20"/>
          <w:szCs w:val="20"/>
          <w:lang w:val="es-CR" w:eastAsia="es-CR"/>
        </w:rPr>
        <w:t>año</w:t>
      </w:r>
      <w:proofErr w:type="spellEnd"/>
      <w:r w:rsidRPr="00873FEC">
        <w:rPr>
          <w:rFonts w:ascii="Verdana" w:eastAsia="Calibri" w:hAnsi="Verdana" w:cs="Times"/>
          <w:sz w:val="20"/>
          <w:szCs w:val="20"/>
          <w:lang w:val="es-CR" w:eastAsia="es-CR"/>
        </w:rPr>
        <w:t xml:space="preserve">, en un sitio </w:t>
      </w:r>
      <w:r w:rsidRPr="00873FEC">
        <w:rPr>
          <w:rFonts w:ascii="Verdana" w:eastAsia="Calibri" w:hAnsi="Verdana" w:cs="Times"/>
          <w:i/>
          <w:iCs/>
          <w:sz w:val="20"/>
          <w:szCs w:val="20"/>
          <w:lang w:val="es-CR" w:eastAsia="es-CR"/>
        </w:rPr>
        <w:t xml:space="preserve">web </w:t>
      </w:r>
      <w:r w:rsidRPr="00873FEC">
        <w:rPr>
          <w:rFonts w:ascii="Verdana" w:eastAsia="Calibri" w:hAnsi="Verdana" w:cs="Times"/>
          <w:sz w:val="20"/>
          <w:szCs w:val="20"/>
          <w:lang w:val="es-CR" w:eastAsia="es-CR"/>
        </w:rPr>
        <w:t xml:space="preserve">oficial del Estado, de manera accesible al </w:t>
      </w:r>
      <w:proofErr w:type="spellStart"/>
      <w:r w:rsidRPr="00873FEC">
        <w:rPr>
          <w:rFonts w:ascii="Verdana" w:eastAsia="Calibri" w:hAnsi="Verdana" w:cs="Times"/>
          <w:sz w:val="20"/>
          <w:szCs w:val="20"/>
          <w:lang w:val="es-CR" w:eastAsia="es-CR"/>
        </w:rPr>
        <w:t>público</w:t>
      </w:r>
      <w:proofErr w:type="spellEnd"/>
      <w:r w:rsidRPr="00873FEC">
        <w:rPr>
          <w:rFonts w:ascii="Verdana" w:eastAsia="Calibri" w:hAnsi="Verdana" w:cs="Times"/>
          <w:sz w:val="20"/>
          <w:szCs w:val="20"/>
          <w:lang w:val="es-CR" w:eastAsia="es-CR"/>
        </w:rPr>
        <w:t xml:space="preserve"> y desde la </w:t>
      </w:r>
      <w:proofErr w:type="spellStart"/>
      <w:r w:rsidRPr="00873FEC">
        <w:rPr>
          <w:rFonts w:ascii="Verdana" w:eastAsia="Calibri" w:hAnsi="Verdana" w:cs="Times"/>
          <w:sz w:val="20"/>
          <w:szCs w:val="20"/>
          <w:lang w:val="es-CR" w:eastAsia="es-CR"/>
        </w:rPr>
        <w:t>página</w:t>
      </w:r>
      <w:proofErr w:type="spellEnd"/>
      <w:r w:rsidRPr="00873FEC">
        <w:rPr>
          <w:rFonts w:ascii="Verdana" w:eastAsia="Calibri" w:hAnsi="Verdana" w:cs="Times"/>
          <w:sz w:val="20"/>
          <w:szCs w:val="20"/>
          <w:lang w:val="es-CR" w:eastAsia="es-CR"/>
        </w:rPr>
        <w:t xml:space="preserve"> de inicio del sitio </w:t>
      </w:r>
      <w:r w:rsidRPr="00873FEC">
        <w:rPr>
          <w:rFonts w:ascii="Verdana" w:eastAsia="Calibri" w:hAnsi="Verdana" w:cs="Times"/>
          <w:i/>
          <w:iCs/>
          <w:sz w:val="20"/>
          <w:szCs w:val="20"/>
          <w:lang w:val="es-CR" w:eastAsia="es-CR"/>
        </w:rPr>
        <w:t>web</w:t>
      </w:r>
      <w:r w:rsidRPr="00873FEC">
        <w:rPr>
          <w:rFonts w:ascii="Verdana" w:eastAsia="Calibri" w:hAnsi="Verdana" w:cs="Times"/>
          <w:sz w:val="20"/>
          <w:szCs w:val="20"/>
          <w:lang w:val="es-CR" w:eastAsia="es-CR"/>
        </w:rPr>
        <w:t xml:space="preserve">. El Estado </w:t>
      </w:r>
      <w:proofErr w:type="spellStart"/>
      <w:r w:rsidRPr="00873FEC">
        <w:rPr>
          <w:rFonts w:ascii="Verdana" w:eastAsia="Calibri" w:hAnsi="Verdana" w:cs="Times"/>
          <w:sz w:val="20"/>
          <w:szCs w:val="20"/>
          <w:lang w:val="es-CR" w:eastAsia="es-CR"/>
        </w:rPr>
        <w:t>debera</w:t>
      </w:r>
      <w:proofErr w:type="spellEnd"/>
      <w:r w:rsidRPr="00873FEC">
        <w:rPr>
          <w:rFonts w:ascii="Verdana" w:eastAsia="Calibri" w:hAnsi="Verdana" w:cs="Times"/>
          <w:sz w:val="20"/>
          <w:szCs w:val="20"/>
          <w:lang w:val="es-CR" w:eastAsia="es-CR"/>
        </w:rPr>
        <w:t xml:space="preserve">́ informar de forma inmediata a este Tribunal una vez que proceda a realizar cada una de las publicaciones dispuestas, independientemente del plazo de un </w:t>
      </w:r>
      <w:proofErr w:type="spellStart"/>
      <w:r w:rsidRPr="00873FEC">
        <w:rPr>
          <w:rFonts w:ascii="Verdana" w:eastAsia="Calibri" w:hAnsi="Verdana" w:cs="Times"/>
          <w:sz w:val="20"/>
          <w:szCs w:val="20"/>
          <w:lang w:val="es-CR" w:eastAsia="es-CR"/>
        </w:rPr>
        <w:t>año</w:t>
      </w:r>
      <w:proofErr w:type="spellEnd"/>
      <w:r w:rsidRPr="00873FEC">
        <w:rPr>
          <w:rFonts w:ascii="Verdana" w:eastAsia="Calibri" w:hAnsi="Verdana" w:cs="Times"/>
          <w:sz w:val="20"/>
          <w:szCs w:val="20"/>
          <w:lang w:val="es-CR" w:eastAsia="es-CR"/>
        </w:rPr>
        <w:t xml:space="preserve"> para presentar su primer informe dispuesto en el punto resolutivo 15 de la presente Sentencia. </w:t>
      </w:r>
    </w:p>
    <w:p w:rsidR="00787F00" w:rsidRPr="00873FEC" w:rsidRDefault="00787F00" w:rsidP="00126E97">
      <w:pPr>
        <w:spacing w:after="0" w:line="20" w:lineRule="atLeast"/>
        <w:ind w:right="-138"/>
        <w:jc w:val="both"/>
        <w:rPr>
          <w:rFonts w:ascii="Verdana" w:eastAsia="Calibri" w:hAnsi="Verdana" w:cs="Times"/>
          <w:sz w:val="20"/>
          <w:szCs w:val="20"/>
          <w:lang w:val="es-CR" w:eastAsia="es-CR"/>
        </w:rPr>
      </w:pPr>
    </w:p>
    <w:p w:rsidR="00787F00" w:rsidRPr="00873FEC" w:rsidRDefault="00787F00" w:rsidP="00126E97">
      <w:pPr>
        <w:keepNext/>
        <w:keepLines/>
        <w:spacing w:after="0" w:line="20" w:lineRule="atLeast"/>
        <w:ind w:left="851"/>
        <w:jc w:val="both"/>
        <w:outlineLvl w:val="3"/>
        <w:rPr>
          <w:rFonts w:ascii="Cambria" w:eastAsia="Calibri" w:hAnsi="Cambria" w:cs="Times"/>
          <w:b/>
          <w:i/>
          <w:color w:val="4F81BD"/>
          <w:sz w:val="20"/>
          <w:szCs w:val="20"/>
          <w:lang w:val="es-CR" w:eastAsia="es-CR"/>
        </w:rPr>
      </w:pPr>
      <w:bookmarkStart w:id="222" w:name="_Toc520207622"/>
      <w:bookmarkStart w:id="223" w:name="_Toc521694834"/>
      <w:bookmarkStart w:id="224" w:name="_Toc525201206"/>
      <w:bookmarkEnd w:id="222"/>
      <w:r w:rsidRPr="00873FEC">
        <w:rPr>
          <w:rFonts w:ascii="Verdana" w:eastAsia="MS Mincho" w:hAnsi="Verdana" w:cs="Times"/>
          <w:i/>
          <w:color w:val="000000"/>
          <w:sz w:val="20"/>
          <w:szCs w:val="20"/>
          <w:lang w:eastAsia="es-CR"/>
        </w:rPr>
        <w:t>C.2.2. Acto público de reconocimiento de responsabilidad</w:t>
      </w:r>
      <w:bookmarkEnd w:id="223"/>
      <w:bookmarkEnd w:id="224"/>
    </w:p>
    <w:p w:rsidR="00787F00" w:rsidRPr="00873FEC" w:rsidRDefault="00787F00" w:rsidP="00126E97">
      <w:pPr>
        <w:tabs>
          <w:tab w:val="left" w:pos="3801"/>
        </w:tabs>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4"/>
          <w:lang w:val="es-CR" w:eastAsia="es-CR"/>
        </w:rPr>
        <w:tab/>
      </w:r>
    </w:p>
    <w:p w:rsidR="00787F00" w:rsidRPr="00873FEC" w:rsidRDefault="00787F00"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4"/>
          <w:lang w:eastAsia="es-CR"/>
        </w:rPr>
        <w:t xml:space="preserve">La </w:t>
      </w:r>
      <w:r w:rsidRPr="00873FEC">
        <w:rPr>
          <w:rFonts w:ascii="Verdana" w:eastAsia="Batang" w:hAnsi="Verdana" w:cs="Times"/>
          <w:b/>
          <w:i/>
          <w:sz w:val="20"/>
          <w:szCs w:val="24"/>
          <w:lang w:eastAsia="es-CR"/>
        </w:rPr>
        <w:t>Comisión</w:t>
      </w:r>
      <w:r w:rsidRPr="00873FEC">
        <w:rPr>
          <w:rFonts w:ascii="Verdana" w:eastAsia="Batang" w:hAnsi="Verdana" w:cs="Times"/>
          <w:sz w:val="20"/>
          <w:szCs w:val="24"/>
          <w:lang w:eastAsia="es-CR"/>
        </w:rPr>
        <w:t xml:space="preserve"> entendió adecuado que se tomen “medidas de satisfacción para la recuperación de la memoria de las víctimas y para el reconocimiento público de la responsabilidad estatal por los hechos”. </w:t>
      </w:r>
    </w:p>
    <w:p w:rsidR="00787F00" w:rsidRPr="00873FEC" w:rsidRDefault="00787F00" w:rsidP="00126E97">
      <w:pPr>
        <w:spacing w:after="0" w:line="20" w:lineRule="atLeast"/>
        <w:ind w:right="-138"/>
        <w:jc w:val="both"/>
        <w:rPr>
          <w:rFonts w:ascii="Verdana" w:eastAsia="Batang" w:hAnsi="Verdana" w:cs="Times"/>
          <w:sz w:val="20"/>
          <w:szCs w:val="24"/>
          <w:lang w:val="es-CR" w:eastAsia="es-CR"/>
        </w:rPr>
      </w:pPr>
    </w:p>
    <w:p w:rsidR="00787F00" w:rsidRPr="00873FEC" w:rsidRDefault="00787F00"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4"/>
          <w:lang w:eastAsia="es-CR"/>
        </w:rPr>
        <w:t xml:space="preserve">Los </w:t>
      </w:r>
      <w:r w:rsidRPr="00873FEC">
        <w:rPr>
          <w:rFonts w:ascii="Verdana" w:eastAsia="Batang" w:hAnsi="Verdana" w:cs="Times"/>
          <w:b/>
          <w:i/>
          <w:sz w:val="20"/>
          <w:szCs w:val="24"/>
          <w:lang w:eastAsia="es-CR"/>
        </w:rPr>
        <w:t>representantes</w:t>
      </w:r>
      <w:r w:rsidRPr="00873FEC">
        <w:rPr>
          <w:rFonts w:ascii="Verdana" w:eastAsia="Batang" w:hAnsi="Verdana" w:cs="Times"/>
          <w:sz w:val="20"/>
          <w:szCs w:val="24"/>
          <w:lang w:eastAsia="es-CR"/>
        </w:rPr>
        <w:t xml:space="preserve"> solicitaron que el Presidente de la República pidiera perdón a las víctimas y que se efectúe un reconocimiento internacional de la comisión de las graves violaciones de derechos humanos cometidas por el Estado. </w:t>
      </w:r>
    </w:p>
    <w:p w:rsidR="00787F00" w:rsidRPr="00873FEC" w:rsidRDefault="00787F00" w:rsidP="00126E97">
      <w:pPr>
        <w:spacing w:after="0" w:line="20" w:lineRule="atLeast"/>
        <w:ind w:left="720"/>
        <w:contextualSpacing/>
        <w:rPr>
          <w:rFonts w:ascii="Calibri" w:eastAsia="Calibri" w:hAnsi="Calibri" w:cs="Times"/>
          <w:lang w:val="es-CR" w:eastAsia="es-CR"/>
        </w:rPr>
      </w:pPr>
    </w:p>
    <w:p w:rsidR="00787F00" w:rsidRPr="00873FEC" w:rsidRDefault="00787F00" w:rsidP="00126E97">
      <w:pPr>
        <w:numPr>
          <w:ilvl w:val="0"/>
          <w:numId w:val="3"/>
        </w:numPr>
        <w:spacing w:after="0" w:line="20" w:lineRule="atLeast"/>
        <w:ind w:right="-138"/>
        <w:jc w:val="both"/>
        <w:rPr>
          <w:rFonts w:ascii="Verdana" w:eastAsia="Batang" w:hAnsi="Verdana" w:cs="Times"/>
          <w:sz w:val="20"/>
          <w:szCs w:val="20"/>
          <w:lang w:val="es-CR" w:eastAsia="es-CR"/>
        </w:rPr>
      </w:pPr>
      <w:r w:rsidRPr="00873FEC">
        <w:rPr>
          <w:rFonts w:ascii="Verdana" w:eastAsia="Batang" w:hAnsi="Verdana" w:cs="Times"/>
          <w:sz w:val="20"/>
          <w:szCs w:val="24"/>
          <w:lang w:val="es-CR" w:eastAsia="es-CR"/>
        </w:rPr>
        <w:t xml:space="preserve">El </w:t>
      </w:r>
      <w:r w:rsidRPr="00873FEC">
        <w:rPr>
          <w:rFonts w:ascii="Verdana" w:eastAsia="Batang" w:hAnsi="Verdana" w:cs="Times"/>
          <w:b/>
          <w:i/>
          <w:sz w:val="20"/>
          <w:szCs w:val="24"/>
          <w:lang w:val="es-CR" w:eastAsia="es-CR"/>
        </w:rPr>
        <w:t>Estado</w:t>
      </w:r>
      <w:r w:rsidRPr="00873FEC">
        <w:rPr>
          <w:rFonts w:ascii="Verdana" w:eastAsia="Batang" w:hAnsi="Verdana" w:cs="Times"/>
          <w:sz w:val="20"/>
          <w:szCs w:val="24"/>
          <w:lang w:val="es-CR" w:eastAsia="es-CR"/>
        </w:rPr>
        <w:t xml:space="preserve"> señaló que está anuente a realizar un acto público de reconocimiento de responsabilidad, únicamente por los hechos por los cuales la Corte atribuya responsabilidad. </w:t>
      </w:r>
    </w:p>
    <w:p w:rsidR="00787F00" w:rsidRPr="00873FEC" w:rsidRDefault="00787F00" w:rsidP="00126E97">
      <w:pPr>
        <w:spacing w:after="0" w:line="20" w:lineRule="atLeast"/>
        <w:ind w:left="720"/>
        <w:contextualSpacing/>
        <w:rPr>
          <w:rFonts w:ascii="Verdana" w:eastAsia="Calibri" w:hAnsi="Verdana" w:cs="Verdana"/>
          <w:sz w:val="20"/>
          <w:szCs w:val="20"/>
          <w:lang w:val="es-CR" w:eastAsia="es-CR"/>
        </w:rPr>
      </w:pPr>
    </w:p>
    <w:p w:rsidR="00787F00" w:rsidRPr="00873FEC" w:rsidRDefault="00787F00" w:rsidP="00126E97">
      <w:pPr>
        <w:numPr>
          <w:ilvl w:val="0"/>
          <w:numId w:val="3"/>
        </w:numPr>
        <w:spacing w:after="0" w:line="20" w:lineRule="atLeast"/>
        <w:ind w:right="-138"/>
        <w:jc w:val="both"/>
        <w:rPr>
          <w:rFonts w:ascii="Verdana" w:eastAsia="Batang" w:hAnsi="Verdana" w:cs="Times"/>
          <w:sz w:val="20"/>
          <w:szCs w:val="20"/>
          <w:lang w:val="es-CR" w:eastAsia="es-CR"/>
        </w:rPr>
      </w:pPr>
      <w:r w:rsidRPr="00873FEC">
        <w:rPr>
          <w:rFonts w:ascii="Verdana" w:eastAsia="Batang" w:hAnsi="Verdana" w:cs="Verdana"/>
          <w:sz w:val="20"/>
          <w:szCs w:val="20"/>
          <w:lang w:val="es-CR" w:eastAsia="es-CR"/>
        </w:rPr>
        <w:t xml:space="preserve">La </w:t>
      </w:r>
      <w:r w:rsidRPr="00873FEC">
        <w:rPr>
          <w:rFonts w:ascii="Verdana" w:eastAsia="Batang" w:hAnsi="Verdana" w:cs="Verdana"/>
          <w:b/>
          <w:i/>
          <w:sz w:val="20"/>
          <w:szCs w:val="20"/>
          <w:lang w:val="es-CR" w:eastAsia="es-CR"/>
        </w:rPr>
        <w:t>Corte</w:t>
      </w:r>
      <w:r w:rsidRPr="00873FEC">
        <w:rPr>
          <w:rFonts w:ascii="Verdana" w:eastAsia="Batang" w:hAnsi="Verdana" w:cs="Verdana"/>
          <w:sz w:val="20"/>
          <w:szCs w:val="20"/>
          <w:lang w:val="es-CR" w:eastAsia="es-CR"/>
        </w:rPr>
        <w:t xml:space="preserve"> valora que el Estado, a través de sus más altas autoridades y, de modo inmediato posterior al acaecimiento de la masacre, haya manifestado un </w:t>
      </w:r>
      <w:r w:rsidRPr="00873FEC">
        <w:rPr>
          <w:rFonts w:ascii="Verdana" w:eastAsia="Batang" w:hAnsi="Verdana" w:cs="Verdana"/>
          <w:sz w:val="20"/>
          <w:szCs w:val="20"/>
          <w:lang w:val="es-CR" w:eastAsia="es-CR"/>
        </w:rPr>
        <w:lastRenderedPageBreak/>
        <w:t xml:space="preserve">“reconocimiento institucional” de lo sucedido, y llevado a cabo acciones judiciales al respecto. Sin perjuicio de ello, Guatemala no ha efectuado un reconocimiento de responsabilidad internacional por las violaciones declaradas en esta Sentencia. </w:t>
      </w:r>
    </w:p>
    <w:p w:rsidR="00787F00" w:rsidRPr="00873FEC" w:rsidRDefault="00787F00" w:rsidP="00126E97">
      <w:pPr>
        <w:spacing w:after="0" w:line="20" w:lineRule="atLeast"/>
        <w:ind w:left="720"/>
        <w:contextualSpacing/>
        <w:rPr>
          <w:rFonts w:ascii="Calibri" w:eastAsia="Calibri" w:hAnsi="Calibri" w:cs="Verdana"/>
          <w:sz w:val="20"/>
          <w:szCs w:val="20"/>
          <w:lang w:val="es-CR" w:eastAsia="es-CR"/>
        </w:rPr>
      </w:pPr>
    </w:p>
    <w:p w:rsidR="00787F00" w:rsidRPr="00873FEC" w:rsidRDefault="00787F00"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Verdana"/>
          <w:sz w:val="20"/>
          <w:szCs w:val="20"/>
          <w:lang w:val="es-CR" w:eastAsia="es-CR"/>
        </w:rPr>
        <w:t>Teniendo en cuenta lo anterior, así como la anuencia del Estado respecto de la medida solicitada,</w:t>
      </w:r>
      <w:r w:rsidRPr="00873FEC">
        <w:rPr>
          <w:rFonts w:ascii="Verdana" w:eastAsia="Batang" w:hAnsi="Verdana" w:cs="Verdana"/>
          <w:sz w:val="20"/>
          <w:szCs w:val="24"/>
          <w:lang w:val="es-CR" w:eastAsia="es-CR"/>
        </w:rPr>
        <w:t xml:space="preserve"> tal como lo ha hecho en otros casos</w:t>
      </w:r>
      <w:r w:rsidRPr="00873FEC">
        <w:rPr>
          <w:rFonts w:ascii="Verdana" w:eastAsia="Batang" w:hAnsi="Verdana" w:cs="Verdana"/>
          <w:sz w:val="20"/>
          <w:szCs w:val="20"/>
          <w:vertAlign w:val="superscript"/>
          <w:lang w:val="es-CR" w:eastAsia="x-none"/>
        </w:rPr>
        <w:footnoteReference w:id="216"/>
      </w:r>
      <w:r w:rsidRPr="00873FEC">
        <w:rPr>
          <w:rFonts w:ascii="Verdana" w:eastAsia="Batang" w:hAnsi="Verdana" w:cs="Verdana"/>
          <w:sz w:val="20"/>
          <w:szCs w:val="24"/>
          <w:lang w:val="es-CR" w:eastAsia="es-CR"/>
        </w:rPr>
        <w:t>, la Corte</w:t>
      </w:r>
      <w:r w:rsidRPr="00873FEC">
        <w:rPr>
          <w:rFonts w:ascii="Verdana" w:eastAsia="Batang" w:hAnsi="Verdana" w:cs="Times"/>
          <w:sz w:val="20"/>
          <w:szCs w:val="24"/>
          <w:lang w:val="es-CR" w:eastAsia="es-CR"/>
        </w:rPr>
        <w:t xml:space="preserve"> estima necesario, para reparar el daño causado a las víctimas, ordenar al Estado, dentro del plazo de un año contado a partir de la notificación de la presente Sentencia, realizar un acto público de reconocimiento de responsabilidad, en el cual se haga referencia a los hechos del caso y a la responsabilidad estatal declarada en los términos de esta Sentencia. El acto deberá realizarse en</w:t>
      </w:r>
      <w:r w:rsidRPr="00873FEC">
        <w:rPr>
          <w:rFonts w:ascii="Verdana" w:eastAsia="Batang" w:hAnsi="Verdana" w:cs="Calibri"/>
          <w:sz w:val="20"/>
          <w:szCs w:val="24"/>
          <w:lang w:val="es-CR" w:eastAsia="es-CR"/>
        </w:rPr>
        <w:t xml:space="preserve"> </w:t>
      </w:r>
      <w:r w:rsidRPr="00873FEC">
        <w:rPr>
          <w:rFonts w:ascii="Verdana" w:eastAsia="Batang" w:hAnsi="Verdana" w:cs="Times"/>
          <w:sz w:val="20"/>
          <w:szCs w:val="24"/>
          <w:lang w:val="es-CR" w:eastAsia="es-CR"/>
        </w:rPr>
        <w:t>idioma español. Asimismo, si fuera necesario para su comprensión por alguna o varias de las víctimas, el Estado  deberá acordar con las víctimas o sus representantes que el acto sea realizado también en otras lenguas. El acto, en el momento de su realización, deberá</w:t>
      </w:r>
      <w:r w:rsidRPr="00873FEC">
        <w:rPr>
          <w:rFonts w:ascii="Verdana" w:eastAsia="Batang" w:hAnsi="Verdana" w:cs="Times"/>
          <w:i/>
          <w:sz w:val="20"/>
          <w:szCs w:val="24"/>
          <w:lang w:val="es-CR" w:eastAsia="es-CR"/>
        </w:rPr>
        <w:t xml:space="preserve"> </w:t>
      </w:r>
      <w:r w:rsidRPr="00873FEC">
        <w:rPr>
          <w:rFonts w:ascii="Verdana" w:eastAsia="Batang" w:hAnsi="Verdana" w:cs="Times"/>
          <w:sz w:val="20"/>
          <w:szCs w:val="24"/>
          <w:lang w:val="es-CR" w:eastAsia="es-CR"/>
        </w:rPr>
        <w:t>ser transmitido a través de medios de comunicación televisivos y/o radiales. E</w:t>
      </w:r>
      <w:r w:rsidR="003001C0" w:rsidRPr="00873FEC">
        <w:rPr>
          <w:rFonts w:ascii="Verdana" w:eastAsia="Batang" w:hAnsi="Verdana" w:cs="Times"/>
          <w:sz w:val="20"/>
          <w:szCs w:val="24"/>
          <w:lang w:val="es-CR" w:eastAsia="es-CR"/>
        </w:rPr>
        <w:t>l</w:t>
      </w:r>
      <w:r w:rsidRPr="00873FEC">
        <w:rPr>
          <w:rFonts w:ascii="Verdana" w:eastAsia="Batang" w:hAnsi="Verdana" w:cs="Times"/>
          <w:sz w:val="20"/>
          <w:szCs w:val="24"/>
          <w:lang w:val="es-CR" w:eastAsia="es-CR"/>
        </w:rPr>
        <w:t xml:space="preserve"> acto deberá realizarse en una ceremonia pública, en presencia de altos funcionarios estatales y las víctimas. La realización, el lugar y las particularidades de dicha ceremonia pública </w:t>
      </w:r>
      <w:r w:rsidRPr="00873FEC">
        <w:rPr>
          <w:rFonts w:ascii="Verdana" w:eastAsia="Batang" w:hAnsi="Verdana" w:cs="Verdana"/>
          <w:sz w:val="20"/>
          <w:szCs w:val="24"/>
          <w:lang w:val="es-CR" w:eastAsia="es-CR"/>
        </w:rPr>
        <w:t xml:space="preserve">deberán acordarse con las víctimas y sus representantes. El Estado </w:t>
      </w:r>
      <w:r w:rsidRPr="00873FEC">
        <w:rPr>
          <w:rFonts w:ascii="Verdana" w:eastAsia="Batang" w:hAnsi="Verdana" w:cs="Times"/>
          <w:sz w:val="20"/>
          <w:szCs w:val="24"/>
          <w:lang w:val="es-CR" w:eastAsia="es-CR"/>
        </w:rPr>
        <w:t xml:space="preserve">deberá garantizar y sufragar los gastos de transporte necesarios, para que las víctimas que se encuentran en Guatemala puedan asistir al acto de reconocimiento. </w:t>
      </w:r>
    </w:p>
    <w:p w:rsidR="00787F00" w:rsidRPr="00873FEC" w:rsidRDefault="00787F00" w:rsidP="00126E97">
      <w:pPr>
        <w:spacing w:after="0" w:line="20" w:lineRule="atLeast"/>
        <w:ind w:left="720"/>
        <w:contextualSpacing/>
        <w:rPr>
          <w:rFonts w:ascii="Calibri" w:eastAsia="MS Mincho" w:hAnsi="Calibri" w:cs="Times"/>
          <w:szCs w:val="20"/>
          <w:lang w:eastAsia="es-CR"/>
        </w:rPr>
      </w:pPr>
    </w:p>
    <w:p w:rsidR="00787F00" w:rsidRPr="00873FEC" w:rsidRDefault="00787F00" w:rsidP="00126E97">
      <w:pPr>
        <w:keepNext/>
        <w:keepLines/>
        <w:spacing w:after="0" w:line="20" w:lineRule="atLeast"/>
        <w:ind w:left="851"/>
        <w:jc w:val="both"/>
        <w:outlineLvl w:val="3"/>
        <w:rPr>
          <w:rFonts w:ascii="Verdana" w:eastAsia="Cambria" w:hAnsi="Verdana" w:cs="Times"/>
          <w:i/>
          <w:sz w:val="20"/>
          <w:szCs w:val="20"/>
          <w:lang w:eastAsia="es-CR"/>
        </w:rPr>
      </w:pPr>
      <w:bookmarkStart w:id="225" w:name="_Toc520207623"/>
      <w:bookmarkStart w:id="226" w:name="_Toc521694835"/>
      <w:bookmarkStart w:id="227" w:name="_Toc525201207"/>
      <w:bookmarkEnd w:id="225"/>
      <w:r w:rsidRPr="00873FEC">
        <w:rPr>
          <w:rFonts w:ascii="Verdana" w:eastAsia="Cambria" w:hAnsi="Verdana" w:cs="Times"/>
          <w:i/>
          <w:sz w:val="20"/>
          <w:szCs w:val="20"/>
          <w:lang w:eastAsia="es-CR"/>
        </w:rPr>
        <w:t>C.</w:t>
      </w:r>
      <w:r w:rsidR="00E35130" w:rsidRPr="00873FEC">
        <w:rPr>
          <w:rFonts w:ascii="Verdana" w:eastAsia="Cambria" w:hAnsi="Verdana" w:cs="Times"/>
          <w:i/>
          <w:sz w:val="20"/>
          <w:szCs w:val="20"/>
          <w:lang w:eastAsia="es-CR"/>
        </w:rPr>
        <w:t>2</w:t>
      </w:r>
      <w:r w:rsidRPr="00873FEC">
        <w:rPr>
          <w:rFonts w:ascii="Verdana" w:eastAsia="Cambria" w:hAnsi="Verdana" w:cs="Times"/>
          <w:i/>
          <w:sz w:val="20"/>
          <w:szCs w:val="20"/>
          <w:lang w:eastAsia="es-CR"/>
        </w:rPr>
        <w:t>.3. Centro de Salud</w:t>
      </w:r>
      <w:bookmarkEnd w:id="226"/>
      <w:bookmarkEnd w:id="227"/>
    </w:p>
    <w:p w:rsidR="00787F00" w:rsidRPr="00873FEC" w:rsidRDefault="00787F00" w:rsidP="00126E97">
      <w:pPr>
        <w:spacing w:after="0" w:line="20" w:lineRule="atLeast"/>
        <w:ind w:right="-138"/>
        <w:jc w:val="both"/>
        <w:rPr>
          <w:rFonts w:ascii="Verdana" w:eastAsia="Batang" w:hAnsi="Verdana" w:cs="Times"/>
          <w:sz w:val="20"/>
          <w:szCs w:val="24"/>
          <w:lang w:val="es-CR" w:eastAsia="es-CR"/>
        </w:rPr>
      </w:pPr>
    </w:p>
    <w:p w:rsidR="00787F00" w:rsidRPr="00873FEC" w:rsidRDefault="00787F00"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MS Mincho" w:hAnsi="Verdana" w:cs="Times"/>
          <w:sz w:val="20"/>
          <w:szCs w:val="20"/>
          <w:lang w:eastAsia="es-CR"/>
        </w:rPr>
        <w:t xml:space="preserve">Los </w:t>
      </w:r>
      <w:r w:rsidRPr="00873FEC">
        <w:rPr>
          <w:rFonts w:ascii="Verdana" w:eastAsia="MS Mincho" w:hAnsi="Verdana" w:cs="Times"/>
          <w:b/>
          <w:i/>
          <w:sz w:val="20"/>
          <w:szCs w:val="20"/>
          <w:lang w:eastAsia="es-CR"/>
        </w:rPr>
        <w:t>representantes</w:t>
      </w:r>
      <w:r w:rsidRPr="00873FEC">
        <w:rPr>
          <w:rFonts w:ascii="Verdana" w:eastAsia="MS Mincho" w:hAnsi="Verdana" w:cs="Times"/>
          <w:sz w:val="20"/>
          <w:szCs w:val="20"/>
          <w:lang w:eastAsia="es-CR"/>
        </w:rPr>
        <w:t xml:space="preserve"> solicitaron a la Corte que ordenara al Estado la construcci</w:t>
      </w:r>
      <w:r w:rsidR="00F5049E" w:rsidRPr="00873FEC">
        <w:rPr>
          <w:rFonts w:ascii="Verdana" w:eastAsia="MS Mincho" w:hAnsi="Verdana" w:cs="Times"/>
          <w:sz w:val="20"/>
          <w:szCs w:val="20"/>
          <w:lang w:eastAsia="es-CR"/>
        </w:rPr>
        <w:t>ón de un Centro de Salud en la C</w:t>
      </w:r>
      <w:r w:rsidRPr="00873FEC">
        <w:rPr>
          <w:rFonts w:ascii="Verdana" w:eastAsia="MS Mincho" w:hAnsi="Verdana" w:cs="Times"/>
          <w:sz w:val="20"/>
          <w:szCs w:val="20"/>
          <w:lang w:eastAsia="es-CR"/>
        </w:rPr>
        <w:t>omunidad con integración de la cosmovisión maya, con capacidad, equipo y mantenimiento para cubrir todas las nec</w:t>
      </w:r>
      <w:r w:rsidR="00F5049E" w:rsidRPr="00873FEC">
        <w:rPr>
          <w:rFonts w:ascii="Verdana" w:eastAsia="MS Mincho" w:hAnsi="Verdana" w:cs="Times"/>
          <w:sz w:val="20"/>
          <w:szCs w:val="20"/>
          <w:lang w:eastAsia="es-CR"/>
        </w:rPr>
        <w:t>esidades de los miembros de la C</w:t>
      </w:r>
      <w:r w:rsidRPr="00873FEC">
        <w:rPr>
          <w:rFonts w:ascii="Verdana" w:eastAsia="MS Mincho" w:hAnsi="Verdana" w:cs="Times"/>
          <w:sz w:val="20"/>
          <w:szCs w:val="20"/>
          <w:lang w:eastAsia="es-CR"/>
        </w:rPr>
        <w:t>omunidad.</w:t>
      </w:r>
      <w:r w:rsidRPr="00873FEC">
        <w:rPr>
          <w:rFonts w:ascii="Verdana" w:eastAsia="MS Mincho" w:hAnsi="Verdana" w:cs="Times"/>
          <w:sz w:val="16"/>
          <w:szCs w:val="16"/>
          <w:lang w:eastAsia="es-CR"/>
        </w:rPr>
        <w:t xml:space="preserve"> </w:t>
      </w:r>
    </w:p>
    <w:p w:rsidR="00787F00" w:rsidRPr="00873FEC" w:rsidRDefault="00787F00" w:rsidP="00126E97">
      <w:pPr>
        <w:spacing w:after="0" w:line="20" w:lineRule="atLeast"/>
        <w:jc w:val="both"/>
        <w:rPr>
          <w:rFonts w:ascii="Verdana" w:eastAsia="MS Mincho" w:hAnsi="Verdana" w:cs="Times"/>
          <w:sz w:val="20"/>
          <w:szCs w:val="20"/>
          <w:lang w:eastAsia="es-CR"/>
        </w:rPr>
      </w:pPr>
    </w:p>
    <w:p w:rsidR="00787F00" w:rsidRPr="00873FEC" w:rsidRDefault="00787F00"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MS Mincho" w:hAnsi="Verdana" w:cs="Times"/>
          <w:sz w:val="20"/>
          <w:szCs w:val="20"/>
          <w:lang w:eastAsia="es-CR"/>
        </w:rPr>
        <w:t xml:space="preserve">El </w:t>
      </w:r>
      <w:r w:rsidRPr="00873FEC">
        <w:rPr>
          <w:rFonts w:ascii="Verdana" w:eastAsia="MS Mincho" w:hAnsi="Verdana" w:cs="Times"/>
          <w:b/>
          <w:i/>
          <w:sz w:val="20"/>
          <w:szCs w:val="20"/>
          <w:lang w:eastAsia="es-CR"/>
        </w:rPr>
        <w:t>Estado</w:t>
      </w:r>
      <w:r w:rsidRPr="00873FEC">
        <w:rPr>
          <w:rFonts w:ascii="Verdana" w:eastAsia="MS Mincho" w:hAnsi="Verdana" w:cs="Times"/>
          <w:sz w:val="20"/>
          <w:szCs w:val="20"/>
          <w:lang w:eastAsia="es-CR"/>
        </w:rPr>
        <w:t xml:space="preserve"> no realizó una diferenciación entre la medida de rehabilitación solicitada por la Comisión </w:t>
      </w:r>
      <w:r w:rsidR="003001C0" w:rsidRPr="00873FEC">
        <w:rPr>
          <w:rFonts w:ascii="Verdana" w:eastAsia="MS Mincho" w:hAnsi="Verdana" w:cs="Times"/>
          <w:sz w:val="20"/>
          <w:szCs w:val="20"/>
          <w:lang w:eastAsia="es-CR"/>
        </w:rPr>
        <w:t>(</w:t>
      </w:r>
      <w:r w:rsidR="003001C0" w:rsidRPr="00873FEC">
        <w:rPr>
          <w:rFonts w:ascii="Verdana" w:eastAsia="MS Mincho" w:hAnsi="Verdana" w:cs="Times"/>
          <w:i/>
          <w:sz w:val="20"/>
          <w:szCs w:val="20"/>
          <w:lang w:eastAsia="es-CR"/>
        </w:rPr>
        <w:t>supra</w:t>
      </w:r>
      <w:r w:rsidR="003001C0" w:rsidRPr="00873FEC">
        <w:rPr>
          <w:rFonts w:ascii="Verdana" w:eastAsia="MS Mincho" w:hAnsi="Verdana" w:cs="Times"/>
          <w:sz w:val="20"/>
          <w:szCs w:val="20"/>
          <w:lang w:eastAsia="es-CR"/>
        </w:rPr>
        <w:t xml:space="preserve"> párr. 15</w:t>
      </w:r>
      <w:r w:rsidR="001D1F47" w:rsidRPr="00873FEC">
        <w:rPr>
          <w:rFonts w:ascii="Verdana" w:eastAsia="MS Mincho" w:hAnsi="Verdana" w:cs="Times"/>
          <w:sz w:val="20"/>
          <w:szCs w:val="20"/>
          <w:lang w:eastAsia="es-CR"/>
        </w:rPr>
        <w:t>3</w:t>
      </w:r>
      <w:r w:rsidR="003001C0" w:rsidRPr="00873FEC">
        <w:rPr>
          <w:rFonts w:ascii="Verdana" w:eastAsia="MS Mincho" w:hAnsi="Verdana" w:cs="Times"/>
          <w:sz w:val="20"/>
          <w:szCs w:val="20"/>
          <w:lang w:eastAsia="es-CR"/>
        </w:rPr>
        <w:t xml:space="preserve">) </w:t>
      </w:r>
      <w:r w:rsidRPr="00873FEC">
        <w:rPr>
          <w:rFonts w:ascii="Verdana" w:eastAsia="MS Mincho" w:hAnsi="Verdana" w:cs="Times"/>
          <w:sz w:val="20"/>
          <w:szCs w:val="20"/>
          <w:lang w:eastAsia="es-CR"/>
        </w:rPr>
        <w:t>y la presente medida de satisfacción solicitada por los representantes. En este sentido, la Corte tiene en consideración los argumentos estatales sobre atención en salud resumidos con anterioridad. (</w:t>
      </w:r>
      <w:r w:rsidRPr="00873FEC">
        <w:rPr>
          <w:rFonts w:ascii="Verdana" w:eastAsia="MS Mincho" w:hAnsi="Verdana" w:cs="Times"/>
          <w:i/>
          <w:sz w:val="20"/>
          <w:szCs w:val="20"/>
          <w:lang w:eastAsia="es-CR"/>
        </w:rPr>
        <w:t>supra</w:t>
      </w:r>
      <w:r w:rsidRPr="00873FEC">
        <w:rPr>
          <w:rFonts w:ascii="Verdana" w:eastAsia="MS Mincho" w:hAnsi="Verdana" w:cs="Times"/>
          <w:sz w:val="20"/>
          <w:szCs w:val="20"/>
          <w:lang w:eastAsia="es-CR"/>
        </w:rPr>
        <w:t xml:space="preserve"> párr. 15</w:t>
      </w:r>
      <w:r w:rsidR="001D1F47" w:rsidRPr="00873FEC">
        <w:rPr>
          <w:rFonts w:ascii="Verdana" w:eastAsia="MS Mincho" w:hAnsi="Verdana" w:cs="Times"/>
          <w:sz w:val="20"/>
          <w:szCs w:val="20"/>
          <w:lang w:eastAsia="es-CR"/>
        </w:rPr>
        <w:t>4</w:t>
      </w:r>
      <w:r w:rsidRPr="00873FEC">
        <w:rPr>
          <w:rFonts w:ascii="Verdana" w:eastAsia="MS Mincho" w:hAnsi="Verdana" w:cs="Times"/>
          <w:sz w:val="20"/>
          <w:szCs w:val="20"/>
          <w:lang w:eastAsia="es-CR"/>
        </w:rPr>
        <w:t>).</w:t>
      </w:r>
      <w:r w:rsidRPr="00873FEC">
        <w:rPr>
          <w:rFonts w:ascii="Verdana" w:eastAsia="MS Mincho" w:hAnsi="Verdana" w:cs="Times"/>
          <w:b/>
          <w:sz w:val="16"/>
          <w:szCs w:val="16"/>
          <w:lang w:eastAsia="es-CR"/>
        </w:rPr>
        <w:t xml:space="preserve"> </w:t>
      </w:r>
      <w:r w:rsidRPr="00873FEC">
        <w:rPr>
          <w:rFonts w:ascii="Verdana" w:eastAsia="Batang" w:hAnsi="Verdana" w:cs="Times"/>
          <w:sz w:val="20"/>
          <w:szCs w:val="20"/>
          <w:lang w:eastAsia="es-CR"/>
        </w:rPr>
        <w:t xml:space="preserve"> </w:t>
      </w:r>
    </w:p>
    <w:p w:rsidR="00787F00" w:rsidRPr="00873FEC" w:rsidRDefault="00787F00" w:rsidP="00126E97">
      <w:pPr>
        <w:spacing w:after="0" w:line="20" w:lineRule="atLeast"/>
        <w:ind w:left="720"/>
        <w:contextualSpacing/>
        <w:rPr>
          <w:rFonts w:ascii="Calibri" w:eastAsia="Calibri" w:hAnsi="Calibri" w:cs="Times"/>
          <w:b/>
          <w:spacing w:val="-2"/>
          <w:lang w:eastAsia="es-CR"/>
        </w:rPr>
      </w:pPr>
    </w:p>
    <w:p w:rsidR="00787F00" w:rsidRPr="00873FEC" w:rsidRDefault="00787F00"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pacing w:val="-2"/>
          <w:sz w:val="20"/>
          <w:szCs w:val="24"/>
          <w:lang w:eastAsia="es-CR"/>
        </w:rPr>
        <w:t xml:space="preserve">La </w:t>
      </w:r>
      <w:r w:rsidRPr="00873FEC">
        <w:rPr>
          <w:rFonts w:ascii="Verdana" w:eastAsia="Batang" w:hAnsi="Verdana" w:cs="Times"/>
          <w:b/>
          <w:i/>
          <w:spacing w:val="-2"/>
          <w:sz w:val="20"/>
          <w:szCs w:val="24"/>
          <w:lang w:eastAsia="es-CR"/>
        </w:rPr>
        <w:t>Corte</w:t>
      </w:r>
      <w:r w:rsidRPr="00873FEC">
        <w:rPr>
          <w:rFonts w:ascii="Verdana" w:eastAsia="Batang" w:hAnsi="Verdana" w:cs="Times"/>
          <w:spacing w:val="-2"/>
          <w:sz w:val="20"/>
          <w:szCs w:val="24"/>
          <w:lang w:eastAsia="es-CR"/>
        </w:rPr>
        <w:t xml:space="preserve"> considera que, en la victimización del grupo fue determinante su vulnerabilidad social y económica, razón por la cual, como parte de las medidas de reparación, resulta no solo procedente sino necesario, disponer medidas que, al menos, garanticen condiciones de ciudadanía real, con acceso a la salud y comunicación.</w:t>
      </w:r>
    </w:p>
    <w:p w:rsidR="00787F00" w:rsidRPr="00873FEC" w:rsidRDefault="00787F00" w:rsidP="00126E97">
      <w:pPr>
        <w:spacing w:after="0" w:line="20" w:lineRule="atLeast"/>
        <w:ind w:left="720"/>
        <w:contextualSpacing/>
        <w:rPr>
          <w:rFonts w:ascii="Calibri" w:eastAsia="Calibri" w:hAnsi="Calibri" w:cs="Times"/>
          <w:i/>
          <w:lang w:val="es-CR" w:eastAsia="es-CR"/>
        </w:rPr>
      </w:pPr>
    </w:p>
    <w:p w:rsidR="00787F00" w:rsidRPr="00873FEC" w:rsidRDefault="00787F00"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4"/>
          <w:lang w:val="es-CR" w:eastAsia="es-CR"/>
        </w:rPr>
        <w:t xml:space="preserve">Por ello, esta Corte ordena, como medida de satisfacción, el establecimiento, en el plazo de un dos años de un Centro de Salud ubicado en la Comunidad “Aurora 8 de Octubre”, en el cual las víctimas y, en general, los miembros de la Comunidad, tengan acceso a servicios básicos de salud. La atención </w:t>
      </w:r>
      <w:r w:rsidRPr="00873FEC">
        <w:rPr>
          <w:rFonts w:ascii="Verdana" w:eastAsia="Batang" w:hAnsi="Verdana" w:cs="Times"/>
          <w:spacing w:val="-2"/>
          <w:sz w:val="20"/>
          <w:szCs w:val="24"/>
          <w:lang w:val="es-CR" w:eastAsia="es-CR"/>
        </w:rPr>
        <w:t>médica</w:t>
      </w:r>
      <w:r w:rsidRPr="00873FEC">
        <w:rPr>
          <w:rFonts w:ascii="Verdana" w:eastAsia="Batang" w:hAnsi="Verdana" w:cs="Times"/>
          <w:sz w:val="20"/>
          <w:szCs w:val="24"/>
          <w:lang w:val="es-CR" w:eastAsia="es-CR"/>
        </w:rPr>
        <w:t xml:space="preserve"> que se brinde deberá ser impartida respetando las </w:t>
      </w:r>
      <w:r w:rsidRPr="00873FEC">
        <w:rPr>
          <w:rFonts w:ascii="Verdana" w:eastAsia="Calibri" w:hAnsi="Verdana" w:cs="Verdana"/>
          <w:sz w:val="20"/>
          <w:szCs w:val="24"/>
          <w:lang w:val="es-CR" w:eastAsia="es-CR"/>
        </w:rPr>
        <w:t>prácticas</w:t>
      </w:r>
      <w:r w:rsidRPr="00873FEC">
        <w:rPr>
          <w:rFonts w:ascii="Verdana" w:eastAsia="Batang" w:hAnsi="Verdana" w:cs="Times"/>
          <w:sz w:val="20"/>
          <w:szCs w:val="24"/>
          <w:lang w:val="es-CR" w:eastAsia="es-CR"/>
        </w:rPr>
        <w:t xml:space="preserve"> y el uso de medicinas tradicionales. Asimismo, la medida debe cumplirse considerando que, en el mismo sentido que ya fue indicado en otra Sentencia respecto de Guatemala, los</w:t>
      </w:r>
      <w:r w:rsidRPr="00873FEC">
        <w:rPr>
          <w:rFonts w:ascii="Verdana" w:eastAsia="Batang" w:hAnsi="Verdana" w:cs="Times"/>
          <w:spacing w:val="-2"/>
          <w:sz w:val="20"/>
          <w:szCs w:val="24"/>
          <w:lang w:val="es-CR" w:eastAsia="es-CR"/>
        </w:rPr>
        <w:t xml:space="preserve"> programas de salud en pueblos indígenas y tribales deben</w:t>
      </w:r>
      <w:r w:rsidRPr="00873FEC">
        <w:rPr>
          <w:rFonts w:ascii="Verdana" w:eastAsia="Batang" w:hAnsi="Verdana" w:cs="Times"/>
          <w:sz w:val="20"/>
          <w:szCs w:val="24"/>
          <w:lang w:val="es-PE" w:eastAsia="es-CR"/>
        </w:rPr>
        <w:t xml:space="preserve"> basarse en la comunidad y ser complementarios de las prácticas curativas tradicionales y comprenderlas</w:t>
      </w:r>
      <w:r w:rsidRPr="00873FEC">
        <w:rPr>
          <w:rFonts w:ascii="Verdana" w:eastAsia="Batang" w:hAnsi="Verdana" w:cs="Times New Roman"/>
          <w:sz w:val="20"/>
          <w:szCs w:val="20"/>
          <w:vertAlign w:val="superscript"/>
          <w:lang w:val="es-CR" w:eastAsia="x-none"/>
        </w:rPr>
        <w:footnoteReference w:id="217"/>
      </w:r>
      <w:r w:rsidRPr="00873FEC">
        <w:rPr>
          <w:rFonts w:ascii="Verdana" w:eastAsia="Batang" w:hAnsi="Verdana" w:cs="Times"/>
          <w:sz w:val="20"/>
          <w:szCs w:val="24"/>
          <w:lang w:val="es-PE" w:eastAsia="es-CR"/>
        </w:rPr>
        <w:t>.</w:t>
      </w:r>
    </w:p>
    <w:p w:rsidR="00787F00" w:rsidRPr="00873FEC" w:rsidRDefault="00787F00" w:rsidP="00126E97">
      <w:pPr>
        <w:spacing w:after="0" w:line="20" w:lineRule="atLeast"/>
        <w:ind w:right="-138"/>
        <w:jc w:val="both"/>
        <w:rPr>
          <w:rFonts w:ascii="Verdana" w:eastAsia="Batang" w:hAnsi="Verdana" w:cs="Times"/>
          <w:sz w:val="20"/>
          <w:szCs w:val="24"/>
          <w:lang w:val="es-CR" w:eastAsia="es-CR"/>
        </w:rPr>
      </w:pPr>
    </w:p>
    <w:p w:rsidR="00787F00" w:rsidRPr="00873FEC" w:rsidRDefault="00787F00" w:rsidP="00126E97">
      <w:pPr>
        <w:keepNext/>
        <w:keepLines/>
        <w:spacing w:after="0" w:line="20" w:lineRule="atLeast"/>
        <w:ind w:left="851"/>
        <w:jc w:val="both"/>
        <w:outlineLvl w:val="3"/>
        <w:rPr>
          <w:rFonts w:ascii="Verdana" w:eastAsia="Cambria" w:hAnsi="Verdana" w:cs="Times"/>
          <w:i/>
          <w:sz w:val="20"/>
          <w:szCs w:val="20"/>
          <w:lang w:eastAsia="es-CR"/>
        </w:rPr>
      </w:pPr>
      <w:bookmarkStart w:id="228" w:name="_Toc520207624"/>
      <w:bookmarkStart w:id="229" w:name="_Toc521694836"/>
      <w:bookmarkStart w:id="230" w:name="_Toc525201208"/>
      <w:bookmarkEnd w:id="228"/>
      <w:r w:rsidRPr="00873FEC">
        <w:rPr>
          <w:rFonts w:ascii="Verdana" w:eastAsia="Cambria" w:hAnsi="Verdana" w:cs="Times"/>
          <w:i/>
          <w:sz w:val="20"/>
          <w:szCs w:val="20"/>
          <w:lang w:eastAsia="es-CR"/>
        </w:rPr>
        <w:t>C.</w:t>
      </w:r>
      <w:r w:rsidR="00E35130" w:rsidRPr="00873FEC">
        <w:rPr>
          <w:rFonts w:ascii="Verdana" w:eastAsia="Cambria" w:hAnsi="Verdana" w:cs="Times"/>
          <w:i/>
          <w:sz w:val="20"/>
          <w:szCs w:val="20"/>
          <w:lang w:eastAsia="es-CR"/>
        </w:rPr>
        <w:t>2</w:t>
      </w:r>
      <w:r w:rsidRPr="00873FEC">
        <w:rPr>
          <w:rFonts w:ascii="Verdana" w:eastAsia="Cambria" w:hAnsi="Verdana" w:cs="Times"/>
          <w:i/>
          <w:sz w:val="20"/>
          <w:szCs w:val="20"/>
          <w:lang w:eastAsia="es-CR"/>
        </w:rPr>
        <w:t>.4. Ampliación y asfalto de una carretera</w:t>
      </w:r>
      <w:bookmarkEnd w:id="229"/>
      <w:bookmarkEnd w:id="230"/>
      <w:r w:rsidRPr="00873FEC">
        <w:rPr>
          <w:rFonts w:ascii="Verdana" w:eastAsia="Cambria" w:hAnsi="Verdana" w:cs="Times"/>
          <w:i/>
          <w:sz w:val="20"/>
          <w:szCs w:val="20"/>
          <w:lang w:eastAsia="es-CR"/>
        </w:rPr>
        <w:t xml:space="preserve"> </w:t>
      </w:r>
    </w:p>
    <w:p w:rsidR="00787F00" w:rsidRPr="00873FEC" w:rsidRDefault="00787F00" w:rsidP="00126E97">
      <w:pPr>
        <w:spacing w:after="0" w:line="20" w:lineRule="atLeast"/>
        <w:ind w:left="720"/>
        <w:contextualSpacing/>
        <w:rPr>
          <w:rFonts w:ascii="Calibri" w:eastAsia="Calibri" w:hAnsi="Calibri" w:cs="Times"/>
          <w:lang w:val="es-CR" w:eastAsia="es-CR"/>
        </w:rPr>
      </w:pPr>
    </w:p>
    <w:p w:rsidR="00787F00" w:rsidRPr="00873FEC" w:rsidRDefault="00787F00"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4"/>
          <w:lang w:val="es-CR" w:eastAsia="es-CR"/>
        </w:rPr>
        <w:t xml:space="preserve">Los </w:t>
      </w:r>
      <w:r w:rsidRPr="00873FEC">
        <w:rPr>
          <w:rFonts w:ascii="Verdana" w:eastAsia="Batang" w:hAnsi="Verdana" w:cs="Times"/>
          <w:b/>
          <w:i/>
          <w:sz w:val="20"/>
          <w:szCs w:val="24"/>
          <w:lang w:val="es-CR" w:eastAsia="es-CR"/>
        </w:rPr>
        <w:t xml:space="preserve">representantes </w:t>
      </w:r>
      <w:r w:rsidRPr="00873FEC">
        <w:rPr>
          <w:rFonts w:ascii="Verdana" w:eastAsia="Batang" w:hAnsi="Verdana" w:cs="Times"/>
          <w:sz w:val="20"/>
          <w:szCs w:val="24"/>
          <w:lang w:val="es-CR" w:eastAsia="es-CR"/>
        </w:rPr>
        <w:t xml:space="preserve">solicitaron “la ampliación y asfalto de la carretera que se dirige de la autopista denominada Franja Transversal del Norte hacia el interior de la Comunidad […] que suma […] 5 km de asfalto”. </w:t>
      </w:r>
    </w:p>
    <w:p w:rsidR="00787F00" w:rsidRPr="00873FEC" w:rsidRDefault="00787F00" w:rsidP="00126E97">
      <w:pPr>
        <w:spacing w:after="0" w:line="20" w:lineRule="atLeast"/>
        <w:ind w:right="-138"/>
        <w:jc w:val="both"/>
        <w:rPr>
          <w:rFonts w:ascii="Verdana" w:eastAsia="Batang" w:hAnsi="Verdana" w:cs="Times"/>
          <w:sz w:val="20"/>
          <w:szCs w:val="24"/>
          <w:lang w:val="es-CR" w:eastAsia="es-CR"/>
        </w:rPr>
      </w:pPr>
    </w:p>
    <w:p w:rsidR="003001C0" w:rsidRPr="00873FEC" w:rsidRDefault="003001C0"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4"/>
          <w:lang w:val="es-CR" w:eastAsia="es-CR"/>
        </w:rPr>
        <w:t xml:space="preserve">La </w:t>
      </w:r>
      <w:r w:rsidRPr="00873FEC">
        <w:rPr>
          <w:rFonts w:ascii="Verdana" w:eastAsia="Batang" w:hAnsi="Verdana" w:cs="Times"/>
          <w:b/>
          <w:i/>
          <w:sz w:val="20"/>
          <w:szCs w:val="24"/>
          <w:lang w:val="es-CR" w:eastAsia="es-CR"/>
        </w:rPr>
        <w:t>Comisión</w:t>
      </w:r>
      <w:r w:rsidRPr="00873FEC">
        <w:rPr>
          <w:rFonts w:ascii="Verdana" w:eastAsia="Batang" w:hAnsi="Verdana" w:cs="Times"/>
          <w:sz w:val="20"/>
          <w:szCs w:val="24"/>
          <w:lang w:val="es-CR" w:eastAsia="es-CR"/>
        </w:rPr>
        <w:t xml:space="preserve"> señaló que el Estado reconoció que dicha medida no había sido implementada y se limitó a “tomar nota de dicho planteamiento”. </w:t>
      </w:r>
    </w:p>
    <w:p w:rsidR="003001C0" w:rsidRPr="00873FEC" w:rsidRDefault="003001C0" w:rsidP="00126E97">
      <w:pPr>
        <w:spacing w:after="0" w:line="20" w:lineRule="atLeast"/>
        <w:ind w:right="-138"/>
        <w:jc w:val="both"/>
        <w:rPr>
          <w:rFonts w:ascii="Verdana" w:eastAsia="Batang" w:hAnsi="Verdana" w:cs="Times"/>
          <w:sz w:val="20"/>
          <w:szCs w:val="24"/>
          <w:lang w:val="es-CR" w:eastAsia="es-CR"/>
        </w:rPr>
      </w:pPr>
    </w:p>
    <w:p w:rsidR="00787F00" w:rsidRPr="00873FEC" w:rsidRDefault="00787F00"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4"/>
          <w:lang w:val="es-CR" w:eastAsia="es-CR"/>
        </w:rPr>
        <w:t xml:space="preserve">El </w:t>
      </w:r>
      <w:r w:rsidRPr="00873FEC">
        <w:rPr>
          <w:rFonts w:ascii="Verdana" w:eastAsia="Batang" w:hAnsi="Verdana" w:cs="Times"/>
          <w:b/>
          <w:i/>
          <w:sz w:val="20"/>
          <w:szCs w:val="24"/>
          <w:lang w:val="es-CR" w:eastAsia="es-CR"/>
        </w:rPr>
        <w:t>Estado</w:t>
      </w:r>
      <w:r w:rsidRPr="00873FEC">
        <w:rPr>
          <w:rFonts w:ascii="Verdana" w:eastAsia="Batang" w:hAnsi="Verdana" w:cs="Times"/>
          <w:sz w:val="20"/>
          <w:szCs w:val="24"/>
          <w:lang w:val="es-CR" w:eastAsia="es-CR"/>
        </w:rPr>
        <w:t xml:space="preserve"> indicó que tomaba nota del planteamiento a efecto de poder incluirlo en la programación de obras de la Dirección General de Caminos.</w:t>
      </w:r>
    </w:p>
    <w:p w:rsidR="00787F00" w:rsidRPr="00873FEC" w:rsidRDefault="00787F00" w:rsidP="00126E97">
      <w:pPr>
        <w:spacing w:after="0" w:line="20" w:lineRule="atLeast"/>
        <w:ind w:left="720"/>
        <w:contextualSpacing/>
        <w:rPr>
          <w:rFonts w:ascii="Calibri" w:eastAsia="MS Mincho" w:hAnsi="Calibri" w:cs="Times"/>
          <w:szCs w:val="20"/>
          <w:lang w:eastAsia="es-CR"/>
        </w:rPr>
      </w:pPr>
    </w:p>
    <w:p w:rsidR="00787F00" w:rsidRPr="00873FEC" w:rsidRDefault="00787F00"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MS Mincho" w:hAnsi="Verdana" w:cs="Times"/>
          <w:sz w:val="20"/>
          <w:szCs w:val="20"/>
          <w:lang w:eastAsia="es-CR"/>
        </w:rPr>
        <w:t xml:space="preserve">La </w:t>
      </w:r>
      <w:r w:rsidRPr="00873FEC">
        <w:rPr>
          <w:rFonts w:ascii="Verdana" w:eastAsia="MS Mincho" w:hAnsi="Verdana" w:cs="Times"/>
          <w:b/>
          <w:i/>
          <w:sz w:val="20"/>
          <w:szCs w:val="20"/>
          <w:lang w:eastAsia="es-CR"/>
        </w:rPr>
        <w:t>Corte</w:t>
      </w:r>
      <w:r w:rsidRPr="00873FEC">
        <w:rPr>
          <w:rFonts w:ascii="Verdana" w:eastAsia="MS Mincho" w:hAnsi="Verdana" w:cs="Times"/>
          <w:sz w:val="20"/>
          <w:szCs w:val="20"/>
          <w:lang w:eastAsia="es-CR"/>
        </w:rPr>
        <w:t xml:space="preserve"> valora que el Estado haya indicado que puede programar la realización de la obra y, teniendo en cuenta las consideraciones ya expresadas sobre la vulnerabilidad del grupo de personas victimizadas (</w:t>
      </w:r>
      <w:r w:rsidRPr="00873FEC">
        <w:rPr>
          <w:rFonts w:ascii="Verdana" w:eastAsia="MS Mincho" w:hAnsi="Verdana" w:cs="Times"/>
          <w:i/>
          <w:sz w:val="20"/>
          <w:szCs w:val="20"/>
          <w:lang w:eastAsia="es-CR"/>
        </w:rPr>
        <w:t>supra</w:t>
      </w:r>
      <w:r w:rsidRPr="00873FEC">
        <w:rPr>
          <w:rFonts w:ascii="Verdana" w:eastAsia="MS Mincho" w:hAnsi="Verdana" w:cs="Times"/>
          <w:sz w:val="20"/>
          <w:szCs w:val="20"/>
          <w:lang w:eastAsia="es-CR"/>
        </w:rPr>
        <w:t xml:space="preserve"> párr. 16</w:t>
      </w:r>
      <w:r w:rsidR="001D1F47" w:rsidRPr="00873FEC">
        <w:rPr>
          <w:rFonts w:ascii="Verdana" w:eastAsia="MS Mincho" w:hAnsi="Verdana" w:cs="Times"/>
          <w:sz w:val="20"/>
          <w:szCs w:val="20"/>
          <w:lang w:eastAsia="es-CR"/>
        </w:rPr>
        <w:t>6</w:t>
      </w:r>
      <w:r w:rsidRPr="00873FEC">
        <w:rPr>
          <w:rFonts w:ascii="Verdana" w:eastAsia="MS Mincho" w:hAnsi="Verdana" w:cs="Times"/>
          <w:sz w:val="20"/>
          <w:szCs w:val="20"/>
          <w:lang w:eastAsia="es-CR"/>
        </w:rPr>
        <w:t xml:space="preserve">), determina, como medida de satisfacción, ordenar a Guatemala que, en el plazo de dos años, </w:t>
      </w:r>
      <w:r w:rsidRPr="00873FEC">
        <w:rPr>
          <w:rFonts w:ascii="Verdana" w:eastAsia="Batang" w:hAnsi="Verdana" w:cs="Times"/>
          <w:sz w:val="20"/>
          <w:szCs w:val="24"/>
          <w:lang w:val="es-CR" w:eastAsia="es-CR"/>
        </w:rPr>
        <w:t xml:space="preserve">amplíe y asfalte la carretera que se dirige de la autopista denominada Franja Transversal del Norte hacia el interior de la Comunidad </w:t>
      </w:r>
      <w:r w:rsidR="00F5049E" w:rsidRPr="00873FEC">
        <w:rPr>
          <w:rFonts w:ascii="Verdana" w:eastAsia="Batang" w:hAnsi="Verdana" w:cs="Times"/>
          <w:sz w:val="20"/>
          <w:szCs w:val="24"/>
          <w:lang w:val="es-CR" w:eastAsia="es-CR"/>
        </w:rPr>
        <w:t>“</w:t>
      </w:r>
      <w:r w:rsidRPr="00873FEC">
        <w:rPr>
          <w:rFonts w:ascii="Verdana" w:eastAsia="Batang" w:hAnsi="Verdana" w:cs="Times"/>
          <w:sz w:val="20"/>
          <w:szCs w:val="24"/>
          <w:lang w:val="es-CR" w:eastAsia="es-CR"/>
        </w:rPr>
        <w:t>Aurora 8 de octubre</w:t>
      </w:r>
      <w:r w:rsidR="00F5049E" w:rsidRPr="00873FEC">
        <w:rPr>
          <w:rFonts w:ascii="Verdana" w:eastAsia="Batang" w:hAnsi="Verdana" w:cs="Times"/>
          <w:sz w:val="20"/>
          <w:szCs w:val="24"/>
          <w:lang w:val="es-CR" w:eastAsia="es-CR"/>
        </w:rPr>
        <w:t>”</w:t>
      </w:r>
      <w:r w:rsidRPr="00873FEC">
        <w:rPr>
          <w:rFonts w:ascii="Verdana" w:eastAsia="Batang" w:hAnsi="Verdana" w:cs="Times"/>
          <w:sz w:val="20"/>
          <w:szCs w:val="24"/>
          <w:lang w:val="es-CR" w:eastAsia="es-CR"/>
        </w:rPr>
        <w:t>.</w:t>
      </w:r>
    </w:p>
    <w:p w:rsidR="00787F00" w:rsidRPr="00873FEC" w:rsidRDefault="00787F00" w:rsidP="00126E97">
      <w:pPr>
        <w:spacing w:after="0" w:line="20" w:lineRule="atLeast"/>
        <w:ind w:left="720"/>
        <w:contextualSpacing/>
        <w:rPr>
          <w:rFonts w:ascii="Calibri" w:eastAsia="MS Mincho" w:hAnsi="Calibri" w:cs="Times"/>
          <w:szCs w:val="20"/>
          <w:lang w:val="es-CR" w:eastAsia="es-CR"/>
        </w:rPr>
      </w:pPr>
    </w:p>
    <w:p w:rsidR="00787F00" w:rsidRPr="00873FEC" w:rsidRDefault="00E35130" w:rsidP="00126E97">
      <w:pPr>
        <w:keepNext/>
        <w:keepLines/>
        <w:spacing w:after="0" w:line="20" w:lineRule="atLeast"/>
        <w:ind w:left="851"/>
        <w:jc w:val="both"/>
        <w:outlineLvl w:val="3"/>
        <w:rPr>
          <w:rFonts w:ascii="Verdana" w:eastAsia="Cambria" w:hAnsi="Verdana" w:cs="Times"/>
          <w:i/>
          <w:sz w:val="20"/>
          <w:szCs w:val="20"/>
          <w:lang w:eastAsia="es-CR"/>
        </w:rPr>
      </w:pPr>
      <w:bookmarkStart w:id="231" w:name="_Toc520207625"/>
      <w:bookmarkStart w:id="232" w:name="_Toc521694837"/>
      <w:bookmarkStart w:id="233" w:name="_Toc525201209"/>
      <w:bookmarkEnd w:id="231"/>
      <w:r w:rsidRPr="00873FEC">
        <w:rPr>
          <w:rFonts w:ascii="Verdana" w:eastAsia="Cambria" w:hAnsi="Verdana" w:cs="Times"/>
          <w:i/>
          <w:sz w:val="20"/>
          <w:szCs w:val="20"/>
          <w:lang w:val="es-CR" w:eastAsia="es-CR"/>
        </w:rPr>
        <w:t>C</w:t>
      </w:r>
      <w:r w:rsidR="00787F00" w:rsidRPr="00873FEC">
        <w:rPr>
          <w:rFonts w:ascii="Verdana" w:eastAsia="Cambria" w:hAnsi="Verdana" w:cs="Times"/>
          <w:i/>
          <w:sz w:val="20"/>
          <w:szCs w:val="20"/>
          <w:lang w:val="es-CR" w:eastAsia="es-CR"/>
        </w:rPr>
        <w:t>.</w:t>
      </w:r>
      <w:r w:rsidRPr="00873FEC">
        <w:rPr>
          <w:rFonts w:ascii="Verdana" w:eastAsia="Cambria" w:hAnsi="Verdana" w:cs="Times"/>
          <w:i/>
          <w:sz w:val="20"/>
          <w:szCs w:val="20"/>
          <w:lang w:val="es-CR" w:eastAsia="es-CR"/>
        </w:rPr>
        <w:t>2</w:t>
      </w:r>
      <w:r w:rsidR="00787F00" w:rsidRPr="00873FEC">
        <w:rPr>
          <w:rFonts w:ascii="Verdana" w:eastAsia="Cambria" w:hAnsi="Verdana" w:cs="Times"/>
          <w:i/>
          <w:sz w:val="20"/>
          <w:szCs w:val="20"/>
          <w:lang w:val="es-CR" w:eastAsia="es-CR"/>
        </w:rPr>
        <w:t>.5. Visita de la Corte</w:t>
      </w:r>
      <w:bookmarkEnd w:id="232"/>
      <w:bookmarkEnd w:id="233"/>
      <w:r w:rsidR="00787F00" w:rsidRPr="00873FEC">
        <w:rPr>
          <w:rFonts w:ascii="Verdana" w:eastAsia="Cambria" w:hAnsi="Verdana" w:cs="Times"/>
          <w:i/>
          <w:sz w:val="20"/>
          <w:szCs w:val="20"/>
          <w:lang w:eastAsia="es-CR"/>
        </w:rPr>
        <w:t xml:space="preserve"> </w:t>
      </w:r>
    </w:p>
    <w:p w:rsidR="00787F00" w:rsidRPr="00873FEC" w:rsidRDefault="00787F00" w:rsidP="00126E97">
      <w:pPr>
        <w:spacing w:after="0" w:line="20" w:lineRule="atLeast"/>
        <w:ind w:left="720"/>
        <w:contextualSpacing/>
        <w:rPr>
          <w:rFonts w:ascii="Calibri" w:eastAsia="MS Mincho" w:hAnsi="Calibri" w:cs="Times"/>
          <w:szCs w:val="20"/>
          <w:lang w:eastAsia="es-CR"/>
        </w:rPr>
      </w:pPr>
    </w:p>
    <w:p w:rsidR="00787F00" w:rsidRPr="00873FEC" w:rsidRDefault="00787F00"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MS Mincho" w:hAnsi="Verdana" w:cs="Times"/>
          <w:sz w:val="20"/>
          <w:szCs w:val="20"/>
          <w:lang w:eastAsia="es-CR"/>
        </w:rPr>
        <w:t>La</w:t>
      </w:r>
      <w:r w:rsidRPr="00873FEC">
        <w:rPr>
          <w:rFonts w:ascii="Verdana" w:eastAsia="MS Mincho" w:hAnsi="Verdana" w:cs="Verdana"/>
          <w:sz w:val="20"/>
          <w:szCs w:val="20"/>
          <w:lang w:eastAsia="es-CR"/>
        </w:rPr>
        <w:t xml:space="preserve"> </w:t>
      </w:r>
      <w:r w:rsidRPr="00873FEC">
        <w:rPr>
          <w:rFonts w:ascii="Verdana" w:eastAsia="MS Mincho" w:hAnsi="Verdana" w:cs="Times"/>
          <w:sz w:val="20"/>
          <w:szCs w:val="20"/>
          <w:lang w:eastAsia="es-CR"/>
        </w:rPr>
        <w:t>Corte</w:t>
      </w:r>
      <w:r w:rsidRPr="00873FEC">
        <w:rPr>
          <w:rFonts w:ascii="Verdana" w:eastAsia="MS Mincho" w:hAnsi="Verdana" w:cs="Verdana"/>
          <w:sz w:val="20"/>
          <w:szCs w:val="20"/>
          <w:lang w:eastAsia="es-CR"/>
        </w:rPr>
        <w:t xml:space="preserve"> considera pertinente hacer notar que, con anuencia del Estado y en consenso con las partes, con posterioridad a que haya transcurrido el plazo de un año para que el Estado presente su primer informe (</w:t>
      </w:r>
      <w:r w:rsidRPr="00873FEC">
        <w:rPr>
          <w:rFonts w:ascii="Verdana" w:eastAsia="MS Mincho" w:hAnsi="Verdana" w:cs="Verdana"/>
          <w:i/>
          <w:sz w:val="20"/>
          <w:szCs w:val="20"/>
          <w:lang w:eastAsia="es-CR"/>
        </w:rPr>
        <w:t xml:space="preserve">infra </w:t>
      </w:r>
      <w:r w:rsidRPr="00873FEC">
        <w:rPr>
          <w:rFonts w:ascii="Verdana" w:eastAsia="MS Mincho" w:hAnsi="Verdana" w:cs="Verdana"/>
          <w:sz w:val="20"/>
          <w:szCs w:val="20"/>
          <w:lang w:eastAsia="es-CR"/>
        </w:rPr>
        <w:t>punto resolutivo 15), podrá evaluar la realización de una visita al Estado, incluyendo a la Comunidad, a efectos de evaluar el avance en las medidas ya ordenadas así como, en lo que fuera procedente, de otras medidas dispuestas en la presente Sentencia</w:t>
      </w:r>
      <w:r w:rsidRPr="00873FEC">
        <w:rPr>
          <w:rFonts w:ascii="Verdana" w:eastAsia="MS Mincho" w:hAnsi="Verdana" w:cs="Times New Roman"/>
          <w:sz w:val="20"/>
          <w:szCs w:val="20"/>
          <w:vertAlign w:val="superscript"/>
          <w:lang w:eastAsia="es-CR"/>
        </w:rPr>
        <w:footnoteReference w:id="218"/>
      </w:r>
      <w:r w:rsidRPr="00873FEC">
        <w:rPr>
          <w:rFonts w:ascii="Verdana" w:eastAsia="MS Mincho" w:hAnsi="Verdana" w:cs="Verdana"/>
          <w:sz w:val="20"/>
          <w:szCs w:val="20"/>
          <w:lang w:eastAsia="es-CR"/>
        </w:rPr>
        <w:t>.</w:t>
      </w:r>
      <w:r w:rsidRPr="00873FEC">
        <w:rPr>
          <w:rFonts w:ascii="Verdana" w:eastAsia="MS Mincho" w:hAnsi="Verdana" w:cs="Verdana"/>
          <w:b/>
          <w:sz w:val="20"/>
          <w:szCs w:val="20"/>
          <w:lang w:eastAsia="es-CR"/>
        </w:rPr>
        <w:t xml:space="preserve"> </w:t>
      </w:r>
    </w:p>
    <w:p w:rsidR="00787F00" w:rsidRPr="00873FEC" w:rsidRDefault="00787F00" w:rsidP="00126E97">
      <w:pPr>
        <w:tabs>
          <w:tab w:val="left" w:pos="1665"/>
        </w:tabs>
        <w:spacing w:after="0" w:line="20" w:lineRule="atLeast"/>
        <w:ind w:left="720"/>
        <w:contextualSpacing/>
        <w:rPr>
          <w:rFonts w:ascii="Calibri" w:eastAsia="MS Mincho" w:hAnsi="Calibri" w:cs="Times"/>
          <w:szCs w:val="20"/>
          <w:lang w:eastAsia="es-CR"/>
        </w:rPr>
      </w:pPr>
      <w:bookmarkStart w:id="234" w:name="_Toc495658699"/>
      <w:bookmarkStart w:id="235" w:name="_Toc514172667"/>
      <w:bookmarkStart w:id="236" w:name="_Toc520207626"/>
      <w:bookmarkEnd w:id="234"/>
      <w:bookmarkEnd w:id="235"/>
      <w:bookmarkEnd w:id="236"/>
    </w:p>
    <w:p w:rsidR="00787F00" w:rsidRPr="00873FEC" w:rsidRDefault="00787F00" w:rsidP="00126E97">
      <w:pPr>
        <w:keepNext/>
        <w:keepLines/>
        <w:numPr>
          <w:ilvl w:val="0"/>
          <w:numId w:val="12"/>
        </w:numPr>
        <w:spacing w:after="0" w:line="20" w:lineRule="atLeast"/>
        <w:ind w:left="284"/>
        <w:jc w:val="both"/>
        <w:outlineLvl w:val="1"/>
        <w:rPr>
          <w:rFonts w:ascii="Verdana" w:eastAsia="Cambria" w:hAnsi="Verdana" w:cs="Times"/>
          <w:b/>
          <w:i/>
          <w:sz w:val="20"/>
          <w:szCs w:val="20"/>
          <w:lang w:eastAsia="es-CR"/>
        </w:rPr>
      </w:pPr>
      <w:bookmarkStart w:id="237" w:name="_Toc520207627"/>
      <w:bookmarkStart w:id="238" w:name="_Toc521694838"/>
      <w:bookmarkStart w:id="239" w:name="_Toc525201210"/>
      <w:bookmarkEnd w:id="237"/>
      <w:r w:rsidRPr="00873FEC">
        <w:rPr>
          <w:rFonts w:ascii="Verdana" w:eastAsia="Cambria" w:hAnsi="Verdana" w:cs="Times"/>
          <w:b/>
          <w:i/>
          <w:sz w:val="20"/>
          <w:szCs w:val="20"/>
          <w:lang w:eastAsia="es-CR"/>
        </w:rPr>
        <w:t>Otras medidas solicitadas</w:t>
      </w:r>
      <w:bookmarkEnd w:id="238"/>
      <w:bookmarkEnd w:id="239"/>
    </w:p>
    <w:p w:rsidR="00787F00" w:rsidRPr="00873FEC" w:rsidRDefault="00787F00" w:rsidP="00126E97">
      <w:pPr>
        <w:spacing w:after="0" w:line="20" w:lineRule="atLeast"/>
        <w:ind w:right="-138"/>
        <w:jc w:val="both"/>
        <w:rPr>
          <w:rFonts w:ascii="Verdana" w:eastAsia="Batang" w:hAnsi="Verdana" w:cs="Times"/>
          <w:sz w:val="20"/>
          <w:szCs w:val="24"/>
          <w:lang w:val="es-CR" w:eastAsia="es-CR"/>
        </w:rPr>
      </w:pPr>
    </w:p>
    <w:p w:rsidR="00787F00" w:rsidRPr="00873FEC" w:rsidRDefault="00787F00"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MS Mincho" w:hAnsi="Verdana" w:cs="Times"/>
          <w:sz w:val="20"/>
          <w:szCs w:val="20"/>
          <w:lang w:eastAsia="es-CR"/>
        </w:rPr>
        <w:t xml:space="preserve">La </w:t>
      </w:r>
      <w:r w:rsidRPr="00873FEC">
        <w:rPr>
          <w:rFonts w:ascii="Verdana" w:eastAsia="MS Mincho" w:hAnsi="Verdana" w:cs="Verdana"/>
          <w:b/>
          <w:i/>
          <w:sz w:val="20"/>
          <w:szCs w:val="20"/>
          <w:lang w:eastAsia="es-CR"/>
        </w:rPr>
        <w:t>Comisión</w:t>
      </w:r>
      <w:r w:rsidRPr="00873FEC">
        <w:rPr>
          <w:rFonts w:ascii="Verdana" w:eastAsia="MS Mincho" w:hAnsi="Verdana" w:cs="Times"/>
          <w:sz w:val="20"/>
          <w:szCs w:val="20"/>
          <w:lang w:eastAsia="es-CR"/>
        </w:rPr>
        <w:t xml:space="preserve"> solicitó la creación de programas permanentes de derechos humanos y derecho internacional humanitario en las escuelas de formación de las Fuerzas Armadas, como una medida de no repetición</w:t>
      </w:r>
      <w:r w:rsidRPr="00873FEC">
        <w:rPr>
          <w:rFonts w:ascii="Verdana" w:eastAsia="Batang" w:hAnsi="Verdana" w:cs="Times"/>
          <w:sz w:val="20"/>
          <w:szCs w:val="20"/>
          <w:lang w:eastAsia="es-CR"/>
        </w:rPr>
        <w:t xml:space="preserve">. </w:t>
      </w:r>
      <w:r w:rsidRPr="00873FEC">
        <w:rPr>
          <w:rFonts w:ascii="Verdana" w:eastAsia="MS Mincho" w:hAnsi="Verdana" w:cs="Times"/>
          <w:iCs/>
          <w:sz w:val="20"/>
          <w:szCs w:val="20"/>
          <w:lang w:eastAsia="es-CR"/>
        </w:rPr>
        <w:t>Los</w:t>
      </w:r>
      <w:r w:rsidRPr="00873FEC">
        <w:rPr>
          <w:rFonts w:ascii="Verdana" w:eastAsia="MS Mincho" w:hAnsi="Verdana" w:cs="Times"/>
          <w:i/>
          <w:sz w:val="20"/>
          <w:szCs w:val="20"/>
          <w:lang w:eastAsia="es-CR"/>
        </w:rPr>
        <w:t xml:space="preserve"> </w:t>
      </w:r>
      <w:r w:rsidRPr="00873FEC">
        <w:rPr>
          <w:rFonts w:ascii="Verdana" w:eastAsia="MS Mincho" w:hAnsi="Verdana" w:cs="Times"/>
          <w:b/>
          <w:i/>
          <w:sz w:val="20"/>
          <w:szCs w:val="20"/>
          <w:lang w:eastAsia="es-CR"/>
        </w:rPr>
        <w:t>representantes</w:t>
      </w:r>
      <w:r w:rsidRPr="00873FEC">
        <w:rPr>
          <w:rFonts w:ascii="Verdana" w:eastAsia="MS Mincho" w:hAnsi="Verdana" w:cs="Times"/>
          <w:sz w:val="20"/>
          <w:szCs w:val="20"/>
          <w:lang w:eastAsia="es-CR"/>
        </w:rPr>
        <w:t xml:space="preserve"> adhirieron a esa petición.</w:t>
      </w:r>
      <w:r w:rsidRPr="00873FEC">
        <w:rPr>
          <w:rFonts w:ascii="Verdana" w:eastAsia="MS Mincho" w:hAnsi="Verdana" w:cs="Times"/>
          <w:sz w:val="16"/>
          <w:szCs w:val="16"/>
          <w:lang w:eastAsia="es-CR"/>
        </w:rPr>
        <w:t xml:space="preserve"> </w:t>
      </w:r>
      <w:r w:rsidRPr="00873FEC">
        <w:rPr>
          <w:rFonts w:ascii="Verdana" w:eastAsia="Batang" w:hAnsi="Verdana" w:cs="Times"/>
          <w:sz w:val="20"/>
          <w:szCs w:val="24"/>
          <w:lang w:val="es-CR" w:eastAsia="es-CR"/>
        </w:rPr>
        <w:t xml:space="preserve">Además, </w:t>
      </w:r>
      <w:r w:rsidR="001F330C" w:rsidRPr="00873FEC">
        <w:rPr>
          <w:rFonts w:ascii="Verdana" w:eastAsia="Batang" w:hAnsi="Verdana" w:cs="Times"/>
          <w:sz w:val="20"/>
          <w:szCs w:val="24"/>
          <w:lang w:val="es-CR" w:eastAsia="es-CR"/>
        </w:rPr>
        <w:t xml:space="preserve">la </w:t>
      </w:r>
      <w:r w:rsidR="001F330C" w:rsidRPr="00873FEC">
        <w:rPr>
          <w:rFonts w:ascii="Verdana" w:eastAsia="Batang" w:hAnsi="Verdana" w:cs="Times"/>
          <w:b/>
          <w:i/>
          <w:sz w:val="20"/>
          <w:szCs w:val="24"/>
          <w:lang w:val="es-CR" w:eastAsia="es-CR"/>
        </w:rPr>
        <w:t xml:space="preserve">Comisión </w:t>
      </w:r>
      <w:r w:rsidRPr="00873FEC">
        <w:rPr>
          <w:rFonts w:ascii="Verdana" w:eastAsia="MS Mincho" w:hAnsi="Verdana" w:cs="Times"/>
          <w:sz w:val="20"/>
          <w:szCs w:val="20"/>
          <w:lang w:eastAsia="es-CR"/>
        </w:rPr>
        <w:t>requirió el fortalecimiento de la capacidad institucional para investigar las graves violaciones de derechos humanos ocurridas durante el conflicto armado</w:t>
      </w:r>
      <w:r w:rsidRPr="00873FEC">
        <w:rPr>
          <w:rFonts w:ascii="Verdana" w:eastAsia="Batang" w:hAnsi="Verdana" w:cs="Times"/>
          <w:sz w:val="20"/>
          <w:szCs w:val="20"/>
          <w:lang w:eastAsia="es-CR"/>
        </w:rPr>
        <w:t xml:space="preserve">. Asimismo, pidió la adopción de mecanismos eficaces para enfrentar las amenazas y hostigamientos sufridos por los operadores jurídicos, víctimas y testigos en el marco de estas investigaciones. </w:t>
      </w:r>
      <w:r w:rsidRPr="00873FEC">
        <w:rPr>
          <w:rFonts w:ascii="Verdana" w:eastAsia="MS Mincho" w:hAnsi="Verdana" w:cs="Times"/>
          <w:iCs/>
          <w:sz w:val="20"/>
          <w:szCs w:val="20"/>
          <w:lang w:eastAsia="es-CR"/>
        </w:rPr>
        <w:t>Los</w:t>
      </w:r>
      <w:r w:rsidRPr="00873FEC">
        <w:rPr>
          <w:rFonts w:ascii="Verdana" w:eastAsia="MS Mincho" w:hAnsi="Verdana" w:cs="Times"/>
          <w:i/>
          <w:sz w:val="20"/>
          <w:szCs w:val="20"/>
          <w:lang w:eastAsia="es-CR"/>
        </w:rPr>
        <w:t xml:space="preserve"> </w:t>
      </w:r>
      <w:r w:rsidRPr="00873FEC">
        <w:rPr>
          <w:rFonts w:ascii="Verdana" w:eastAsia="MS Mincho" w:hAnsi="Verdana" w:cs="Times"/>
          <w:b/>
          <w:i/>
          <w:sz w:val="20"/>
          <w:szCs w:val="20"/>
          <w:lang w:eastAsia="es-CR"/>
        </w:rPr>
        <w:t>representantes</w:t>
      </w:r>
      <w:r w:rsidRPr="00873FEC">
        <w:rPr>
          <w:rFonts w:ascii="Verdana" w:eastAsia="MS Mincho" w:hAnsi="Verdana" w:cs="Times"/>
          <w:sz w:val="20"/>
          <w:szCs w:val="20"/>
          <w:lang w:eastAsia="es-CR"/>
        </w:rPr>
        <w:t xml:space="preserve"> reclamaron que la </w:t>
      </w:r>
      <w:r w:rsidRPr="00873FEC">
        <w:rPr>
          <w:rFonts w:ascii="Verdana" w:eastAsia="MS Mincho" w:hAnsi="Verdana" w:cs="Times"/>
          <w:sz w:val="20"/>
          <w:szCs w:val="20"/>
          <w:lang w:eastAsia="es-CR"/>
        </w:rPr>
        <w:lastRenderedPageBreak/>
        <w:t xml:space="preserve">Unidad de Derechos Humanos del Ministerio Público sea fortalecida por medio de la integración de al menos cinco personas más de las que hay en la actualidad. </w:t>
      </w:r>
    </w:p>
    <w:p w:rsidR="00787F00" w:rsidRPr="00873FEC" w:rsidRDefault="00787F00" w:rsidP="00126E97">
      <w:pPr>
        <w:spacing w:after="0" w:line="20" w:lineRule="atLeast"/>
        <w:ind w:right="-138"/>
        <w:jc w:val="both"/>
        <w:rPr>
          <w:rFonts w:ascii="Verdana" w:eastAsia="Batang" w:hAnsi="Verdana" w:cs="Times"/>
          <w:sz w:val="20"/>
          <w:szCs w:val="24"/>
          <w:lang w:val="es-CR" w:eastAsia="es-CR"/>
        </w:rPr>
      </w:pPr>
    </w:p>
    <w:p w:rsidR="00787F00" w:rsidRPr="00873FEC" w:rsidRDefault="00787F00"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MS Mincho" w:hAnsi="Verdana" w:cs="Times"/>
          <w:sz w:val="20"/>
          <w:szCs w:val="20"/>
          <w:lang w:eastAsia="es-CR"/>
        </w:rPr>
        <w:t xml:space="preserve">El </w:t>
      </w:r>
      <w:r w:rsidRPr="00873FEC">
        <w:rPr>
          <w:rFonts w:ascii="Verdana" w:eastAsia="MS Mincho" w:hAnsi="Verdana" w:cs="Times"/>
          <w:b/>
          <w:i/>
          <w:sz w:val="20"/>
          <w:szCs w:val="20"/>
          <w:lang w:eastAsia="es-CR"/>
        </w:rPr>
        <w:t>Estado</w:t>
      </w:r>
      <w:r w:rsidRPr="00873FEC">
        <w:rPr>
          <w:rFonts w:ascii="Verdana" w:eastAsia="MS Mincho" w:hAnsi="Verdana" w:cs="Times"/>
          <w:sz w:val="20"/>
          <w:szCs w:val="20"/>
          <w:lang w:eastAsia="es-CR"/>
        </w:rPr>
        <w:t xml:space="preserve"> adujo que, por medio del Ministerio de Defensa Nacional, ya está cumpliendo con programas de formación por medio de la integración de materias en Derechos Humanos, Derecho Internacional Humanitario, uso de la fuerza y armas de fuego, contando desde el 2015 con el apoyo del Comité Internacional de la Cruz Roja para la instrucción del personal militar en el tema del uso de la fuerza y principios humanitarios</w:t>
      </w:r>
      <w:r w:rsidRPr="00873FEC">
        <w:rPr>
          <w:rFonts w:ascii="Verdana" w:eastAsia="MS Mincho" w:hAnsi="Verdana" w:cs="Times New Roman"/>
          <w:sz w:val="20"/>
          <w:szCs w:val="20"/>
          <w:vertAlign w:val="superscript"/>
          <w:lang w:eastAsia="x-none"/>
        </w:rPr>
        <w:footnoteReference w:id="219"/>
      </w:r>
      <w:r w:rsidR="001F330C" w:rsidRPr="00873FEC">
        <w:rPr>
          <w:rFonts w:ascii="Verdana" w:eastAsia="MS Mincho" w:hAnsi="Verdana" w:cs="Times"/>
          <w:sz w:val="20"/>
          <w:szCs w:val="20"/>
          <w:lang w:eastAsia="es-CR"/>
        </w:rPr>
        <w:t>.</w:t>
      </w:r>
      <w:r w:rsidRPr="00873FEC">
        <w:rPr>
          <w:rFonts w:ascii="Verdana" w:eastAsia="MS Mincho" w:hAnsi="Verdana" w:cs="Times"/>
          <w:sz w:val="20"/>
          <w:szCs w:val="20"/>
          <w:lang w:eastAsia="es-CR"/>
        </w:rPr>
        <w:t xml:space="preserve"> </w:t>
      </w:r>
      <w:r w:rsidRPr="00873FEC">
        <w:rPr>
          <w:rFonts w:ascii="Verdana" w:eastAsia="Batang" w:hAnsi="Verdana" w:cs="Times"/>
          <w:sz w:val="20"/>
          <w:szCs w:val="24"/>
          <w:lang w:val="es-CR" w:eastAsia="es-CR"/>
        </w:rPr>
        <w:t xml:space="preserve">Por otra parte, en cuanto al fortalecimiento de capacidades institucionales, </w:t>
      </w:r>
      <w:r w:rsidRPr="00873FEC">
        <w:rPr>
          <w:rFonts w:ascii="Verdana" w:eastAsia="MS Mincho" w:hAnsi="Verdana" w:cs="Times"/>
          <w:sz w:val="20"/>
          <w:szCs w:val="20"/>
          <w:lang w:eastAsia="es-CR"/>
        </w:rPr>
        <w:t xml:space="preserve">señaló que </w:t>
      </w:r>
      <w:r w:rsidRPr="00873FEC">
        <w:rPr>
          <w:rFonts w:ascii="Verdana" w:eastAsia="Calibri" w:hAnsi="Verdana" w:cs="Cambria"/>
          <w:sz w:val="20"/>
          <w:szCs w:val="20"/>
          <w:lang w:val="es-CR" w:eastAsia="es-CR"/>
        </w:rPr>
        <w:t>se ha generado un mecanismo de coordinación entre el Ministerio Público y COPREDEH, sin interferir en las competencias y autonomía de cada una de las instituciones, que permitirá que se preste especial atención a las investigaciones derivadas de los casos con sentencias ante la Corte. Asimismo, informó que el Ministerio Público tiene programada la apertura de una “Agencia Fiscal” dentro de la Unidad de Casos Especiales del Conflicto Armado Interno</w:t>
      </w:r>
      <w:r w:rsidRPr="00873FEC">
        <w:rPr>
          <w:rFonts w:ascii="Verdana" w:eastAsia="Calibri" w:hAnsi="Verdana" w:cs="Cambria"/>
          <w:sz w:val="20"/>
          <w:szCs w:val="20"/>
          <w:vertAlign w:val="superscript"/>
          <w:lang w:val="es-CR" w:eastAsia="x-none"/>
        </w:rPr>
        <w:footnoteReference w:id="220"/>
      </w:r>
      <w:r w:rsidRPr="00873FEC">
        <w:rPr>
          <w:rFonts w:ascii="Verdana" w:eastAsia="Calibri" w:hAnsi="Verdana" w:cs="Cambria"/>
          <w:sz w:val="20"/>
          <w:szCs w:val="20"/>
          <w:lang w:val="es-CR" w:eastAsia="es-CR"/>
        </w:rPr>
        <w:t xml:space="preserve">. </w:t>
      </w:r>
      <w:r w:rsidRPr="00873FEC">
        <w:rPr>
          <w:rFonts w:ascii="Verdana" w:eastAsia="Batang" w:hAnsi="Verdana" w:cs="Times"/>
          <w:sz w:val="20"/>
          <w:szCs w:val="20"/>
          <w:lang w:eastAsia="es-CR"/>
        </w:rPr>
        <w:t>A</w:t>
      </w:r>
      <w:r w:rsidRPr="00873FEC">
        <w:rPr>
          <w:rFonts w:ascii="Verdana" w:eastAsia="MS Mincho" w:hAnsi="Verdana" w:cs="Times"/>
          <w:sz w:val="20"/>
          <w:szCs w:val="20"/>
          <w:lang w:eastAsia="es-CR"/>
        </w:rPr>
        <w:t>dujo, además, que cuenta con una Ley denominada “Ley para la protección de sujetos procesales y personas vinculadas a la administración de justicia penal”, la cual señaló que cuenta con su propio reglamento</w:t>
      </w:r>
      <w:r w:rsidRPr="00873FEC">
        <w:rPr>
          <w:rFonts w:ascii="Verdana" w:eastAsia="MS Mincho" w:hAnsi="Verdana" w:cs="Times New Roman"/>
          <w:sz w:val="20"/>
          <w:szCs w:val="20"/>
          <w:vertAlign w:val="superscript"/>
          <w:lang w:eastAsia="x-none"/>
        </w:rPr>
        <w:footnoteReference w:id="221"/>
      </w:r>
      <w:r w:rsidRPr="00873FEC">
        <w:rPr>
          <w:rFonts w:ascii="Verdana" w:eastAsia="MS Mincho" w:hAnsi="Verdana" w:cs="Times"/>
          <w:sz w:val="20"/>
          <w:szCs w:val="20"/>
          <w:lang w:eastAsia="es-CR"/>
        </w:rPr>
        <w:t xml:space="preserve">. </w:t>
      </w:r>
    </w:p>
    <w:p w:rsidR="00787F00" w:rsidRPr="00873FEC" w:rsidRDefault="00787F00" w:rsidP="00126E97">
      <w:pPr>
        <w:spacing w:after="0" w:line="20" w:lineRule="atLeast"/>
        <w:ind w:left="720"/>
        <w:contextualSpacing/>
        <w:rPr>
          <w:rFonts w:ascii="Calibri" w:eastAsia="Calibri" w:hAnsi="Calibri" w:cs="Times"/>
          <w:szCs w:val="20"/>
          <w:lang w:eastAsia="es-CR"/>
        </w:rPr>
      </w:pPr>
    </w:p>
    <w:p w:rsidR="00787F00" w:rsidRPr="00873FEC" w:rsidRDefault="00787F00"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eastAsia="es-CR"/>
        </w:rPr>
        <w:t xml:space="preserve">La </w:t>
      </w:r>
      <w:r w:rsidRPr="00873FEC">
        <w:rPr>
          <w:rFonts w:ascii="Verdana" w:eastAsia="Batang" w:hAnsi="Verdana" w:cs="Times"/>
          <w:b/>
          <w:i/>
          <w:sz w:val="20"/>
          <w:szCs w:val="20"/>
          <w:lang w:eastAsia="es-CR"/>
        </w:rPr>
        <w:t>Corte</w:t>
      </w:r>
      <w:r w:rsidRPr="00873FEC">
        <w:rPr>
          <w:rFonts w:ascii="Verdana" w:eastAsia="Batang" w:hAnsi="Verdana" w:cs="Times"/>
          <w:sz w:val="20"/>
          <w:szCs w:val="20"/>
          <w:lang w:eastAsia="es-CR"/>
        </w:rPr>
        <w:t xml:space="preserve"> observa que el Estado remitió documentación relativa a las iniciativas realizadas con el fin de formar a sus fuerzas armadas en temas de Derechos Humanos y </w:t>
      </w:r>
      <w:r w:rsidRPr="00873FEC">
        <w:rPr>
          <w:rFonts w:ascii="Verdana" w:eastAsia="Batang" w:hAnsi="Verdana" w:cs="Times"/>
          <w:sz w:val="20"/>
          <w:szCs w:val="20"/>
          <w:lang w:eastAsia="es-CR"/>
        </w:rPr>
        <w:lastRenderedPageBreak/>
        <w:t>Derecho Internacional Humanitario</w:t>
      </w:r>
      <w:r w:rsidRPr="00873FEC">
        <w:rPr>
          <w:rFonts w:ascii="Verdana" w:eastAsia="Batang" w:hAnsi="Verdana" w:cs="Times New Roman"/>
          <w:sz w:val="20"/>
          <w:szCs w:val="20"/>
          <w:vertAlign w:val="superscript"/>
          <w:lang w:eastAsia="x-none"/>
        </w:rPr>
        <w:footnoteReference w:id="222"/>
      </w:r>
      <w:r w:rsidRPr="00873FEC">
        <w:rPr>
          <w:rFonts w:ascii="Verdana" w:eastAsia="Batang" w:hAnsi="Verdana" w:cs="Times"/>
          <w:sz w:val="20"/>
          <w:szCs w:val="20"/>
          <w:lang w:eastAsia="es-CR"/>
        </w:rPr>
        <w:t>. Además, el Tribunal ya ha ordenado la capacitación en derechos humanos de fuerzas militares en otro caso</w:t>
      </w:r>
      <w:r w:rsidRPr="00873FEC">
        <w:rPr>
          <w:rFonts w:ascii="Verdana" w:eastAsia="Batang" w:hAnsi="Verdana" w:cs="Times New Roman"/>
          <w:bCs/>
          <w:sz w:val="20"/>
          <w:szCs w:val="20"/>
          <w:vertAlign w:val="superscript"/>
          <w:lang w:eastAsia="x-none"/>
        </w:rPr>
        <w:footnoteReference w:id="223"/>
      </w:r>
      <w:r w:rsidRPr="00873FEC">
        <w:rPr>
          <w:rFonts w:ascii="Verdana" w:eastAsia="Batang" w:hAnsi="Verdana" w:cs="Times"/>
          <w:sz w:val="20"/>
          <w:szCs w:val="20"/>
          <w:lang w:val="es-CR" w:eastAsia="es-CR"/>
        </w:rPr>
        <w:t xml:space="preserve">. Por ello, la Corte entiende que no es necesario, en este caso, ordenar la medida requerida. </w:t>
      </w:r>
      <w:r w:rsidRPr="00873FEC">
        <w:rPr>
          <w:rFonts w:ascii="Verdana" w:eastAsia="Batang" w:hAnsi="Verdana" w:cs="Times"/>
          <w:sz w:val="20"/>
          <w:szCs w:val="24"/>
          <w:lang w:val="es-CR" w:eastAsia="es-CR"/>
        </w:rPr>
        <w:t xml:space="preserve">Por otra parte, este Tribunal </w:t>
      </w:r>
      <w:r w:rsidRPr="00873FEC">
        <w:rPr>
          <w:rFonts w:ascii="Verdana" w:eastAsia="Batang" w:hAnsi="Verdana" w:cs="Verdana"/>
          <w:sz w:val="20"/>
          <w:szCs w:val="20"/>
          <w:lang w:val="es-CR" w:eastAsia="es-CR"/>
        </w:rPr>
        <w:t>advierte que en el presente caso los órganos judiciales internos llegaron a la determinación de lo sucedido y condenaron a personas responsables. La Corte ha declarado violaciones, en el presente caso, en relación con la falta de adopción de acciones para la aprehensión de personas que el Estado señaló que se encuentran prófugas. No obstante, nota que las medidas solicitadas por la Comisión y los representantes tendientes al fortalecimiento institucional resultan generales, sin que se evidencie su vínculo con la capacidad estatal para efectuar acciones en relación a la ejecución de órdenes de aprehensión. Por ello,</w:t>
      </w:r>
      <w:r w:rsidRPr="00873FEC">
        <w:rPr>
          <w:rFonts w:ascii="Verdana" w:eastAsia="Batang" w:hAnsi="Verdana" w:cs="Verdana"/>
          <w:b/>
          <w:sz w:val="20"/>
          <w:szCs w:val="20"/>
          <w:lang w:val="es-CR" w:eastAsia="es-CR"/>
        </w:rPr>
        <w:t xml:space="preserve"> </w:t>
      </w:r>
      <w:r w:rsidRPr="00873FEC">
        <w:rPr>
          <w:rFonts w:ascii="Verdana" w:eastAsia="Batang" w:hAnsi="Verdana" w:cs="Verdana"/>
          <w:sz w:val="20"/>
          <w:szCs w:val="20"/>
          <w:lang w:val="es-CR" w:eastAsia="es-CR"/>
        </w:rPr>
        <w:t xml:space="preserve">no encuentra que las violaciones a derechos humanos determinadas, se relacionen con las medidas requeridas. Por ende, considera que no procede ordenar las medidas tendientes al fortalecimiento institucional solicitadas por la Comisión y los representantes. </w:t>
      </w:r>
    </w:p>
    <w:p w:rsidR="00787F00" w:rsidRPr="00873FEC" w:rsidRDefault="00787F00" w:rsidP="00126E97">
      <w:pPr>
        <w:spacing w:after="0" w:line="20" w:lineRule="atLeast"/>
        <w:jc w:val="both"/>
        <w:rPr>
          <w:rFonts w:ascii="Verdana" w:eastAsia="Batang" w:hAnsi="Verdana" w:cs="Times"/>
          <w:sz w:val="20"/>
          <w:szCs w:val="24"/>
          <w:lang w:val="es-CR" w:eastAsia="es-CR"/>
        </w:rPr>
      </w:pPr>
    </w:p>
    <w:p w:rsidR="00D05F7B" w:rsidRPr="00873FEC" w:rsidRDefault="00E35130" w:rsidP="00126E97">
      <w:pPr>
        <w:pStyle w:val="Heading2"/>
        <w:numPr>
          <w:ilvl w:val="0"/>
          <w:numId w:val="12"/>
        </w:numPr>
        <w:spacing w:before="0" w:line="20" w:lineRule="atLeast"/>
        <w:ind w:left="284"/>
        <w:jc w:val="both"/>
        <w:rPr>
          <w:rFonts w:ascii="Verdana" w:eastAsia="Batang" w:hAnsi="Verdana" w:cs="Times"/>
          <w:color w:val="auto"/>
          <w:sz w:val="20"/>
          <w:szCs w:val="24"/>
          <w:lang w:val="es-CR" w:eastAsia="es-CR"/>
        </w:rPr>
      </w:pPr>
      <w:bookmarkStart w:id="240" w:name="_Toc525201211"/>
      <w:r w:rsidRPr="00873FEC">
        <w:rPr>
          <w:rFonts w:ascii="Verdana" w:eastAsia="Batang" w:hAnsi="Verdana" w:cs="Times"/>
          <w:i/>
          <w:color w:val="auto"/>
          <w:sz w:val="20"/>
          <w:szCs w:val="24"/>
          <w:lang w:val="es-CR" w:eastAsia="es-CR"/>
        </w:rPr>
        <w:t>Indemnizaciones compensatorias</w:t>
      </w:r>
      <w:r w:rsidRPr="00873FEC">
        <w:rPr>
          <w:rStyle w:val="FootnoteReference"/>
          <w:rFonts w:ascii="Verdana" w:eastAsia="Batang" w:hAnsi="Verdana"/>
          <w:b w:val="0"/>
          <w:color w:val="auto"/>
          <w:sz w:val="20"/>
          <w:lang w:val="es-CR" w:eastAsia="es-CR"/>
        </w:rPr>
        <w:footnoteReference w:id="224"/>
      </w:r>
      <w:bookmarkEnd w:id="240"/>
    </w:p>
    <w:p w:rsidR="00D05F7B" w:rsidRPr="00873FEC" w:rsidRDefault="00D05F7B" w:rsidP="00126E97">
      <w:pPr>
        <w:spacing w:after="0" w:line="20" w:lineRule="atLeast"/>
        <w:ind w:left="720" w:firstLine="708"/>
        <w:contextualSpacing/>
        <w:rPr>
          <w:rFonts w:ascii="Calibri" w:eastAsia="MS Mincho" w:hAnsi="Calibri" w:cs="Times"/>
          <w:szCs w:val="20"/>
          <w:lang w:eastAsia="es-CR"/>
        </w:rPr>
      </w:pPr>
      <w:bookmarkStart w:id="241" w:name="_Toc514172668"/>
      <w:bookmarkStart w:id="242" w:name="_Toc520207629"/>
      <w:bookmarkEnd w:id="241"/>
      <w:bookmarkEnd w:id="242"/>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MS Mincho" w:hAnsi="Verdana" w:cs="Times"/>
          <w:sz w:val="20"/>
          <w:szCs w:val="20"/>
          <w:lang w:eastAsia="es-CR"/>
        </w:rPr>
        <w:t xml:space="preserve">La </w:t>
      </w:r>
      <w:r w:rsidRPr="00873FEC">
        <w:rPr>
          <w:rFonts w:ascii="Verdana" w:eastAsia="MS Mincho" w:hAnsi="Verdana" w:cs="Verdana"/>
          <w:b/>
          <w:i/>
          <w:sz w:val="20"/>
          <w:szCs w:val="20"/>
          <w:lang w:eastAsia="es-CR"/>
        </w:rPr>
        <w:t>Comisión</w:t>
      </w:r>
      <w:r w:rsidRPr="00873FEC">
        <w:rPr>
          <w:rFonts w:ascii="Verdana" w:eastAsia="MS Mincho" w:hAnsi="Verdana" w:cs="Times"/>
          <w:sz w:val="20"/>
          <w:szCs w:val="20"/>
          <w:lang w:eastAsia="es-CR"/>
        </w:rPr>
        <w:t xml:space="preserve"> entendió que debía </w:t>
      </w:r>
      <w:proofErr w:type="spellStart"/>
      <w:r w:rsidRPr="00873FEC">
        <w:rPr>
          <w:rFonts w:ascii="Verdana" w:eastAsia="MS Mincho" w:hAnsi="Verdana" w:cs="Times"/>
          <w:sz w:val="20"/>
          <w:szCs w:val="20"/>
          <w:lang w:eastAsia="es-CR"/>
        </w:rPr>
        <w:t>reparararse</w:t>
      </w:r>
      <w:proofErr w:type="spellEnd"/>
      <w:r w:rsidRPr="00873FEC">
        <w:rPr>
          <w:rFonts w:ascii="Verdana" w:eastAsia="MS Mincho" w:hAnsi="Verdana" w:cs="Times"/>
          <w:sz w:val="20"/>
          <w:szCs w:val="20"/>
          <w:lang w:eastAsia="es-CR"/>
        </w:rPr>
        <w:t xml:space="preserve"> “integralmente” a las víctimas, incluyendo una “justa compensación”. </w:t>
      </w:r>
      <w:r w:rsidRPr="00873FEC">
        <w:rPr>
          <w:rFonts w:ascii="Verdana" w:eastAsia="MS Mincho" w:hAnsi="Verdana" w:cs="Times"/>
          <w:iCs/>
          <w:sz w:val="20"/>
          <w:szCs w:val="20"/>
          <w:lang w:eastAsia="es-CR"/>
        </w:rPr>
        <w:t>Los</w:t>
      </w:r>
      <w:r w:rsidRPr="00873FEC">
        <w:rPr>
          <w:rFonts w:ascii="Verdana" w:eastAsia="MS Mincho" w:hAnsi="Verdana" w:cs="Times"/>
          <w:i/>
          <w:sz w:val="20"/>
          <w:szCs w:val="20"/>
          <w:lang w:eastAsia="es-CR"/>
        </w:rPr>
        <w:t xml:space="preserve"> </w:t>
      </w:r>
      <w:r w:rsidRPr="00873FEC">
        <w:rPr>
          <w:rFonts w:ascii="Verdana" w:eastAsia="MS Mincho" w:hAnsi="Verdana" w:cs="Times"/>
          <w:b/>
          <w:i/>
          <w:sz w:val="20"/>
          <w:szCs w:val="20"/>
          <w:lang w:eastAsia="es-CR"/>
        </w:rPr>
        <w:t>representantes</w:t>
      </w:r>
      <w:r w:rsidRPr="00873FEC">
        <w:rPr>
          <w:rFonts w:ascii="Verdana" w:eastAsia="MS Mincho" w:hAnsi="Verdana" w:cs="Times"/>
          <w:sz w:val="20"/>
          <w:szCs w:val="20"/>
          <w:lang w:eastAsia="es-CR"/>
        </w:rPr>
        <w:t xml:space="preserve"> solicitaron a la Corte, en términos generales, que las víctimas “sean reparadas de una forma integral […] a través de la [r]</w:t>
      </w:r>
      <w:proofErr w:type="spellStart"/>
      <w:r w:rsidRPr="00873FEC">
        <w:rPr>
          <w:rFonts w:ascii="Verdana" w:eastAsia="MS Mincho" w:hAnsi="Verdana" w:cs="Times"/>
          <w:sz w:val="20"/>
          <w:szCs w:val="20"/>
          <w:lang w:eastAsia="es-CR"/>
        </w:rPr>
        <w:t>eparación</w:t>
      </w:r>
      <w:proofErr w:type="spellEnd"/>
      <w:r w:rsidRPr="00873FEC">
        <w:rPr>
          <w:rFonts w:ascii="Verdana" w:eastAsia="MS Mincho" w:hAnsi="Verdana" w:cs="Times"/>
          <w:sz w:val="20"/>
          <w:szCs w:val="20"/>
          <w:lang w:eastAsia="es-CR"/>
        </w:rPr>
        <w:t xml:space="preserve"> </w:t>
      </w:r>
      <w:proofErr w:type="gramStart"/>
      <w:r w:rsidRPr="00873FEC">
        <w:rPr>
          <w:rFonts w:ascii="Verdana" w:eastAsia="MS Mincho" w:hAnsi="Verdana" w:cs="Times"/>
          <w:sz w:val="20"/>
          <w:szCs w:val="20"/>
          <w:lang w:eastAsia="es-CR"/>
        </w:rPr>
        <w:t>de[</w:t>
      </w:r>
      <w:proofErr w:type="gramEnd"/>
      <w:r w:rsidRPr="00873FEC">
        <w:rPr>
          <w:rFonts w:ascii="Verdana" w:eastAsia="MS Mincho" w:hAnsi="Verdana" w:cs="Times"/>
          <w:sz w:val="20"/>
          <w:szCs w:val="20"/>
          <w:lang w:eastAsia="es-CR"/>
        </w:rPr>
        <w:t>l l]</w:t>
      </w:r>
      <w:proofErr w:type="spellStart"/>
      <w:r w:rsidRPr="00873FEC">
        <w:rPr>
          <w:rFonts w:ascii="Verdana" w:eastAsia="MS Mincho" w:hAnsi="Verdana" w:cs="Times"/>
          <w:sz w:val="20"/>
          <w:szCs w:val="20"/>
          <w:lang w:eastAsia="es-CR"/>
        </w:rPr>
        <w:t>ucro</w:t>
      </w:r>
      <w:proofErr w:type="spellEnd"/>
      <w:r w:rsidRPr="00873FEC">
        <w:rPr>
          <w:rFonts w:ascii="Verdana" w:eastAsia="MS Mincho" w:hAnsi="Verdana" w:cs="Times"/>
          <w:sz w:val="20"/>
          <w:szCs w:val="20"/>
          <w:lang w:eastAsia="es-CR"/>
        </w:rPr>
        <w:t xml:space="preserve"> [c]</w:t>
      </w:r>
      <w:proofErr w:type="spellStart"/>
      <w:r w:rsidRPr="00873FEC">
        <w:rPr>
          <w:rFonts w:ascii="Verdana" w:eastAsia="MS Mincho" w:hAnsi="Verdana" w:cs="Times"/>
          <w:sz w:val="20"/>
          <w:szCs w:val="20"/>
          <w:lang w:eastAsia="es-CR"/>
        </w:rPr>
        <w:t>esante</w:t>
      </w:r>
      <w:proofErr w:type="spellEnd"/>
      <w:r w:rsidRPr="00873FEC">
        <w:rPr>
          <w:rFonts w:ascii="Verdana" w:eastAsia="MS Mincho" w:hAnsi="Verdana" w:cs="Times"/>
          <w:sz w:val="20"/>
          <w:szCs w:val="20"/>
          <w:lang w:eastAsia="es-CR"/>
        </w:rPr>
        <w:t>, [del d]año [e]</w:t>
      </w:r>
      <w:proofErr w:type="spellStart"/>
      <w:r w:rsidRPr="00873FEC">
        <w:rPr>
          <w:rFonts w:ascii="Verdana" w:eastAsia="MS Mincho" w:hAnsi="Verdana" w:cs="Times"/>
          <w:sz w:val="20"/>
          <w:szCs w:val="20"/>
          <w:lang w:eastAsia="es-CR"/>
        </w:rPr>
        <w:t>mergente</w:t>
      </w:r>
      <w:proofErr w:type="spellEnd"/>
      <w:r w:rsidRPr="00873FEC">
        <w:rPr>
          <w:rFonts w:ascii="Verdana" w:eastAsia="MS Mincho" w:hAnsi="Verdana" w:cs="Times"/>
          <w:sz w:val="20"/>
          <w:szCs w:val="20"/>
          <w:lang w:eastAsia="es-CR"/>
        </w:rPr>
        <w:t xml:space="preserve"> y [del d]año [m]oral”, para lo cual remitieron a un anexo documental que presentaron, en el que plasmaron un cálculo de los mencionados aspectos</w:t>
      </w:r>
      <w:r w:rsidRPr="00873FEC">
        <w:rPr>
          <w:rFonts w:ascii="Verdana" w:eastAsia="MS Mincho" w:hAnsi="Verdana" w:cs="Times New Roman"/>
          <w:sz w:val="20"/>
          <w:szCs w:val="20"/>
          <w:vertAlign w:val="superscript"/>
          <w:lang w:eastAsia="x-none"/>
        </w:rPr>
        <w:footnoteReference w:id="225"/>
      </w:r>
      <w:r w:rsidRPr="00873FEC">
        <w:rPr>
          <w:rFonts w:ascii="Verdana" w:eastAsia="MS Mincho" w:hAnsi="Verdana" w:cs="Times"/>
          <w:sz w:val="20"/>
          <w:szCs w:val="20"/>
          <w:lang w:eastAsia="es-CR"/>
        </w:rPr>
        <w:t xml:space="preserve">. El </w:t>
      </w:r>
      <w:r w:rsidRPr="00873FEC">
        <w:rPr>
          <w:rFonts w:ascii="Verdana" w:eastAsia="MS Mincho" w:hAnsi="Verdana" w:cs="Times"/>
          <w:b/>
          <w:i/>
          <w:sz w:val="20"/>
          <w:szCs w:val="20"/>
          <w:lang w:eastAsia="es-CR"/>
        </w:rPr>
        <w:t>Estado</w:t>
      </w:r>
      <w:r w:rsidRPr="00873FEC">
        <w:rPr>
          <w:rFonts w:ascii="Verdana" w:eastAsia="MS Mincho" w:hAnsi="Verdana" w:cs="Times"/>
          <w:sz w:val="20"/>
          <w:szCs w:val="20"/>
          <w:lang w:eastAsia="es-CR"/>
        </w:rPr>
        <w:t xml:space="preserve"> advirtió que el daño material solo debe ser compensado hay la prueba necesaria, excluyendo daños meramente eventuales. A continuación la </w:t>
      </w:r>
      <w:r w:rsidRPr="00873FEC">
        <w:rPr>
          <w:rFonts w:ascii="Verdana" w:eastAsia="MS Mincho" w:hAnsi="Verdana" w:cs="Times"/>
          <w:b/>
          <w:i/>
          <w:sz w:val="20"/>
          <w:szCs w:val="20"/>
          <w:lang w:eastAsia="es-CR"/>
        </w:rPr>
        <w:t>Corte</w:t>
      </w:r>
      <w:r w:rsidRPr="00873FEC">
        <w:rPr>
          <w:rFonts w:ascii="Verdana" w:eastAsia="MS Mincho" w:hAnsi="Verdana" w:cs="Times"/>
          <w:sz w:val="20"/>
          <w:szCs w:val="20"/>
          <w:lang w:eastAsia="es-CR"/>
        </w:rPr>
        <w:t xml:space="preserve"> examina las solicitudes y argumentos pertinentes. </w:t>
      </w:r>
    </w:p>
    <w:p w:rsidR="00D05F7B" w:rsidRPr="00873FEC" w:rsidRDefault="00D05F7B" w:rsidP="00126E97">
      <w:pPr>
        <w:spacing w:after="0" w:line="20" w:lineRule="atLeast"/>
        <w:ind w:right="-138"/>
        <w:jc w:val="both"/>
        <w:rPr>
          <w:rFonts w:ascii="Verdana" w:eastAsia="MS Mincho" w:hAnsi="Verdana" w:cs="Times"/>
          <w:sz w:val="20"/>
          <w:szCs w:val="20"/>
          <w:lang w:eastAsia="es-CR"/>
        </w:rPr>
      </w:pPr>
    </w:p>
    <w:p w:rsidR="00D05F7B" w:rsidRPr="00873FEC" w:rsidRDefault="00E35130" w:rsidP="00126E97">
      <w:pPr>
        <w:keepNext/>
        <w:keepLines/>
        <w:spacing w:after="0" w:line="20" w:lineRule="atLeast"/>
        <w:ind w:left="567"/>
        <w:jc w:val="both"/>
        <w:outlineLvl w:val="2"/>
        <w:rPr>
          <w:rFonts w:ascii="Verdana" w:eastAsia="Cambria" w:hAnsi="Verdana" w:cs="Times"/>
          <w:i/>
          <w:sz w:val="20"/>
          <w:szCs w:val="24"/>
          <w:lang w:val="en-US" w:eastAsia="es-CR"/>
        </w:rPr>
      </w:pPr>
      <w:bookmarkStart w:id="243" w:name="_Toc520207630"/>
      <w:bookmarkStart w:id="244" w:name="_Toc521694840"/>
      <w:bookmarkStart w:id="245" w:name="_Toc525201212"/>
      <w:bookmarkEnd w:id="243"/>
      <w:r w:rsidRPr="00873FEC">
        <w:rPr>
          <w:rFonts w:ascii="Verdana" w:eastAsia="Cambria" w:hAnsi="Verdana" w:cs="Times"/>
          <w:i/>
          <w:sz w:val="20"/>
          <w:szCs w:val="24"/>
          <w:lang w:val="en-US" w:eastAsia="es-CR"/>
        </w:rPr>
        <w:t>E</w:t>
      </w:r>
      <w:r w:rsidR="00D05F7B" w:rsidRPr="00873FEC">
        <w:rPr>
          <w:rFonts w:ascii="Verdana" w:eastAsia="Cambria" w:hAnsi="Verdana" w:cs="Times"/>
          <w:i/>
          <w:sz w:val="20"/>
          <w:szCs w:val="24"/>
          <w:lang w:val="en-US" w:eastAsia="es-CR"/>
        </w:rPr>
        <w:t xml:space="preserve">.1. </w:t>
      </w:r>
      <w:proofErr w:type="spellStart"/>
      <w:r w:rsidR="00D05F7B" w:rsidRPr="00873FEC">
        <w:rPr>
          <w:rFonts w:ascii="Verdana" w:eastAsia="Cambria" w:hAnsi="Verdana" w:cs="Times"/>
          <w:i/>
          <w:sz w:val="20"/>
          <w:szCs w:val="24"/>
          <w:u w:val="single"/>
          <w:lang w:val="en-US" w:eastAsia="es-CR"/>
        </w:rPr>
        <w:t>Daño</w:t>
      </w:r>
      <w:proofErr w:type="spellEnd"/>
      <w:r w:rsidR="00D05F7B" w:rsidRPr="00873FEC">
        <w:rPr>
          <w:rFonts w:ascii="Verdana" w:eastAsia="Cambria" w:hAnsi="Verdana" w:cs="Times"/>
          <w:i/>
          <w:sz w:val="20"/>
          <w:szCs w:val="24"/>
          <w:u w:val="single"/>
          <w:lang w:val="en-US" w:eastAsia="es-CR"/>
        </w:rPr>
        <w:t xml:space="preserve"> material</w:t>
      </w:r>
      <w:bookmarkEnd w:id="244"/>
      <w:bookmarkEnd w:id="245"/>
      <w:r w:rsidR="00D05F7B" w:rsidRPr="00873FEC">
        <w:rPr>
          <w:rFonts w:ascii="Verdana" w:eastAsia="Cambria" w:hAnsi="Verdana" w:cs="Times"/>
          <w:i/>
          <w:sz w:val="20"/>
          <w:szCs w:val="24"/>
          <w:lang w:val="en-US" w:eastAsia="es-CR"/>
        </w:rPr>
        <w:t xml:space="preserve"> </w:t>
      </w:r>
    </w:p>
    <w:p w:rsidR="00D05F7B" w:rsidRPr="00873FEC" w:rsidRDefault="00D05F7B" w:rsidP="00126E97">
      <w:pPr>
        <w:spacing w:after="0" w:line="20" w:lineRule="atLeast"/>
        <w:ind w:right="-138"/>
        <w:jc w:val="both"/>
        <w:rPr>
          <w:rFonts w:ascii="Verdana" w:eastAsia="Batang" w:hAnsi="Verdana" w:cs="Times"/>
          <w:sz w:val="20"/>
          <w:szCs w:val="24"/>
          <w:lang w:val="es-CR"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Verdana"/>
          <w:bCs/>
          <w:iCs/>
          <w:sz w:val="20"/>
          <w:szCs w:val="20"/>
          <w:lang w:eastAsia="es-CR"/>
        </w:rPr>
        <w:t>La Corte</w:t>
      </w:r>
      <w:r w:rsidRPr="00873FEC">
        <w:rPr>
          <w:rFonts w:ascii="Verdana" w:eastAsia="Batang" w:hAnsi="Verdana" w:cs="Verdana"/>
          <w:bCs/>
          <w:i/>
          <w:iCs/>
          <w:sz w:val="20"/>
          <w:szCs w:val="20"/>
          <w:lang w:eastAsia="es-CR"/>
        </w:rPr>
        <w:t xml:space="preserve"> </w:t>
      </w:r>
      <w:r w:rsidRPr="00873FEC">
        <w:rPr>
          <w:rFonts w:ascii="Verdana" w:eastAsia="Batang" w:hAnsi="Verdana" w:cs="Verdana"/>
          <w:bCs/>
          <w:iCs/>
          <w:sz w:val="20"/>
          <w:szCs w:val="20"/>
          <w:lang w:eastAsia="es-CR"/>
        </w:rPr>
        <w:t xml:space="preserve">ha desarrollado en su jurisprudencia el concepto de daño material y ha establecido que éste supone “la pérdida o detrimento de los ingresos de las víctimas, los </w:t>
      </w:r>
      <w:r w:rsidRPr="00873FEC">
        <w:rPr>
          <w:rFonts w:ascii="Verdana" w:eastAsia="Batang" w:hAnsi="Verdana" w:cs="Verdana"/>
          <w:bCs/>
          <w:iCs/>
          <w:sz w:val="20"/>
          <w:szCs w:val="20"/>
          <w:lang w:eastAsia="es-CR"/>
        </w:rPr>
        <w:lastRenderedPageBreak/>
        <w:t>gastos efectuados con motivo de los hechos y las consecuencias de carácter pecuniario que tengan un nexo causal con los hechos del caso”</w:t>
      </w:r>
      <w:r w:rsidRPr="00873FEC">
        <w:rPr>
          <w:rFonts w:ascii="Verdana" w:eastAsia="MS Mincho" w:hAnsi="Verdana" w:cs="Times New Roman"/>
          <w:bCs/>
          <w:sz w:val="20"/>
          <w:szCs w:val="20"/>
          <w:vertAlign w:val="superscript"/>
          <w:lang w:eastAsia="x-none"/>
        </w:rPr>
        <w:footnoteReference w:id="226"/>
      </w:r>
      <w:r w:rsidRPr="00873FEC">
        <w:rPr>
          <w:rFonts w:ascii="Verdana" w:eastAsia="Batang" w:hAnsi="Verdana" w:cs="Verdana"/>
          <w:bCs/>
          <w:iCs/>
          <w:sz w:val="20"/>
          <w:szCs w:val="20"/>
          <w:lang w:eastAsia="es-CR"/>
        </w:rPr>
        <w:t>.</w:t>
      </w:r>
    </w:p>
    <w:p w:rsidR="00D05F7B" w:rsidRPr="00873FEC" w:rsidRDefault="00D05F7B" w:rsidP="00126E97">
      <w:pPr>
        <w:spacing w:after="0" w:line="20" w:lineRule="atLeast"/>
        <w:ind w:right="-138"/>
        <w:jc w:val="both"/>
        <w:rPr>
          <w:rFonts w:ascii="Verdana" w:eastAsia="Batang" w:hAnsi="Verdana" w:cs="Verdana"/>
          <w:sz w:val="20"/>
          <w:szCs w:val="20"/>
          <w:lang w:eastAsia="es-CR"/>
        </w:rPr>
      </w:pPr>
    </w:p>
    <w:p w:rsidR="00D05F7B" w:rsidRPr="00873FEC" w:rsidRDefault="00E35130" w:rsidP="00126E97">
      <w:pPr>
        <w:keepNext/>
        <w:keepLines/>
        <w:spacing w:after="0" w:line="20" w:lineRule="atLeast"/>
        <w:ind w:left="851"/>
        <w:jc w:val="both"/>
        <w:outlineLvl w:val="3"/>
        <w:rPr>
          <w:rFonts w:ascii="Verdana" w:eastAsia="Cambria" w:hAnsi="Verdana" w:cs="Times"/>
          <w:i/>
          <w:sz w:val="20"/>
          <w:szCs w:val="20"/>
          <w:lang w:eastAsia="es-CR"/>
        </w:rPr>
      </w:pPr>
      <w:bookmarkStart w:id="246" w:name="_Toc520207631"/>
      <w:bookmarkStart w:id="247" w:name="_Toc521694841"/>
      <w:bookmarkStart w:id="248" w:name="_Toc525201213"/>
      <w:bookmarkEnd w:id="246"/>
      <w:r w:rsidRPr="00873FEC">
        <w:rPr>
          <w:rFonts w:ascii="Verdana" w:eastAsia="Cambria" w:hAnsi="Verdana" w:cs="Times"/>
          <w:i/>
          <w:sz w:val="20"/>
          <w:szCs w:val="20"/>
          <w:lang w:eastAsia="es-CR"/>
        </w:rPr>
        <w:t>E</w:t>
      </w:r>
      <w:r w:rsidR="00D05F7B" w:rsidRPr="00873FEC">
        <w:rPr>
          <w:rFonts w:ascii="Verdana" w:eastAsia="Cambria" w:hAnsi="Verdana" w:cs="Times"/>
          <w:i/>
          <w:sz w:val="20"/>
          <w:szCs w:val="20"/>
          <w:lang w:eastAsia="es-CR"/>
        </w:rPr>
        <w:t>.1.1. Daño Emergente</w:t>
      </w:r>
      <w:bookmarkEnd w:id="247"/>
      <w:bookmarkEnd w:id="248"/>
    </w:p>
    <w:p w:rsidR="00D05F7B" w:rsidRPr="00873FEC" w:rsidRDefault="00D05F7B" w:rsidP="00126E97">
      <w:pPr>
        <w:spacing w:after="0" w:line="20" w:lineRule="atLeast"/>
        <w:ind w:right="-138"/>
        <w:jc w:val="both"/>
        <w:rPr>
          <w:rFonts w:ascii="Verdana" w:eastAsia="Batang" w:hAnsi="Verdana" w:cs="Times"/>
          <w:sz w:val="20"/>
          <w:szCs w:val="24"/>
          <w:lang w:val="es-CR"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MS Mincho" w:hAnsi="Verdana" w:cs="Times"/>
          <w:sz w:val="20"/>
          <w:szCs w:val="20"/>
          <w:lang w:eastAsia="es-CR"/>
        </w:rPr>
        <w:t xml:space="preserve">Los </w:t>
      </w:r>
      <w:r w:rsidRPr="00873FEC">
        <w:rPr>
          <w:rFonts w:ascii="Verdana" w:eastAsia="MS Mincho" w:hAnsi="Verdana" w:cs="Times"/>
          <w:b/>
          <w:i/>
          <w:sz w:val="20"/>
          <w:szCs w:val="20"/>
          <w:lang w:eastAsia="es-CR"/>
        </w:rPr>
        <w:t>representantes</w:t>
      </w:r>
      <w:r w:rsidRPr="00873FEC">
        <w:rPr>
          <w:rFonts w:ascii="Verdana" w:eastAsia="MS Mincho" w:hAnsi="Verdana" w:cs="Times"/>
          <w:sz w:val="20"/>
          <w:szCs w:val="20"/>
          <w:lang w:eastAsia="es-CR"/>
        </w:rPr>
        <w:t xml:space="preserve"> indicaron que estimaban una compensación de Q 300,000.00, lo que equivale a US$ 40,136.78 por daño emergente para cada persona, sin especificar motivos.</w:t>
      </w:r>
      <w:r w:rsidRPr="00873FEC">
        <w:rPr>
          <w:rFonts w:ascii="Verdana" w:eastAsia="MS Mincho" w:hAnsi="Verdana" w:cs="Times"/>
          <w:sz w:val="16"/>
          <w:szCs w:val="16"/>
          <w:lang w:eastAsia="es-CR"/>
        </w:rPr>
        <w:t xml:space="preserve"> </w:t>
      </w:r>
    </w:p>
    <w:p w:rsidR="00D05F7B" w:rsidRPr="00873FEC" w:rsidRDefault="00D05F7B" w:rsidP="00126E97">
      <w:pPr>
        <w:spacing w:after="0" w:line="20" w:lineRule="atLeast"/>
        <w:ind w:left="720"/>
        <w:contextualSpacing/>
        <w:rPr>
          <w:rFonts w:ascii="Calibri" w:eastAsia="MS Mincho" w:hAnsi="Calibri" w:cs="Times"/>
          <w:szCs w:val="20"/>
          <w:lang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MS Mincho" w:hAnsi="Verdana" w:cs="Times"/>
          <w:iCs/>
          <w:sz w:val="20"/>
          <w:szCs w:val="20"/>
          <w:lang w:eastAsia="es-CR"/>
        </w:rPr>
        <w:t xml:space="preserve">La </w:t>
      </w:r>
      <w:r w:rsidRPr="00873FEC">
        <w:rPr>
          <w:rFonts w:ascii="Verdana" w:eastAsia="MS Mincho" w:hAnsi="Verdana" w:cs="Times"/>
          <w:b/>
          <w:i/>
          <w:iCs/>
          <w:sz w:val="20"/>
          <w:szCs w:val="20"/>
          <w:lang w:eastAsia="es-CR"/>
        </w:rPr>
        <w:t>Corte</w:t>
      </w:r>
      <w:r w:rsidRPr="00873FEC">
        <w:rPr>
          <w:rFonts w:ascii="Verdana" w:eastAsia="MS Mincho" w:hAnsi="Verdana" w:cs="Times"/>
          <w:iCs/>
          <w:sz w:val="20"/>
          <w:szCs w:val="20"/>
          <w:lang w:eastAsia="es-CR"/>
        </w:rPr>
        <w:t xml:space="preserve"> nota que los representantes no explicaron los fundamentos por los cuales solicitan como indemnización para cada víctima el monto mencionado. En razón de ello, este Tribunal no dispondrá la compensación del daño emergente.</w:t>
      </w:r>
    </w:p>
    <w:p w:rsidR="00D05F7B" w:rsidRPr="00873FEC" w:rsidRDefault="00D05F7B" w:rsidP="00126E97">
      <w:pPr>
        <w:spacing w:after="0" w:line="20" w:lineRule="atLeast"/>
        <w:ind w:left="720"/>
        <w:contextualSpacing/>
        <w:rPr>
          <w:rFonts w:ascii="Calibri" w:eastAsia="MS Mincho" w:hAnsi="Calibri" w:cs="Times"/>
          <w:szCs w:val="20"/>
          <w:lang w:eastAsia="es-CR"/>
        </w:rPr>
      </w:pPr>
    </w:p>
    <w:p w:rsidR="00D05F7B" w:rsidRPr="00873FEC" w:rsidRDefault="00E35130" w:rsidP="00126E97">
      <w:pPr>
        <w:keepNext/>
        <w:keepLines/>
        <w:spacing w:after="0" w:line="20" w:lineRule="atLeast"/>
        <w:ind w:left="851"/>
        <w:jc w:val="both"/>
        <w:outlineLvl w:val="3"/>
        <w:rPr>
          <w:rFonts w:ascii="Verdana" w:eastAsia="Cambria" w:hAnsi="Verdana" w:cs="Times"/>
          <w:i/>
          <w:sz w:val="20"/>
          <w:szCs w:val="20"/>
          <w:lang w:eastAsia="es-CR"/>
        </w:rPr>
      </w:pPr>
      <w:bookmarkStart w:id="249" w:name="_Toc520207632"/>
      <w:bookmarkStart w:id="250" w:name="_Toc521694842"/>
      <w:bookmarkStart w:id="251" w:name="_Toc525201214"/>
      <w:bookmarkEnd w:id="249"/>
      <w:r w:rsidRPr="00873FEC">
        <w:rPr>
          <w:rFonts w:ascii="Verdana" w:eastAsia="Cambria" w:hAnsi="Verdana" w:cs="Times"/>
          <w:i/>
          <w:sz w:val="20"/>
          <w:szCs w:val="20"/>
          <w:lang w:eastAsia="es-CR"/>
        </w:rPr>
        <w:t>E</w:t>
      </w:r>
      <w:r w:rsidR="00D05F7B" w:rsidRPr="00873FEC">
        <w:rPr>
          <w:rFonts w:ascii="Verdana" w:eastAsia="Cambria" w:hAnsi="Verdana" w:cs="Times"/>
          <w:i/>
          <w:sz w:val="20"/>
          <w:szCs w:val="20"/>
          <w:lang w:eastAsia="es-CR"/>
        </w:rPr>
        <w:t>.1.2. Lucro Cesante</w:t>
      </w:r>
      <w:bookmarkEnd w:id="250"/>
      <w:bookmarkEnd w:id="251"/>
    </w:p>
    <w:p w:rsidR="00D05F7B" w:rsidRPr="00873FEC" w:rsidRDefault="00D05F7B" w:rsidP="00126E97">
      <w:pPr>
        <w:spacing w:after="0" w:line="20" w:lineRule="atLeast"/>
        <w:ind w:left="720"/>
        <w:contextualSpacing/>
        <w:rPr>
          <w:rFonts w:ascii="Calibri" w:eastAsia="MS Mincho" w:hAnsi="Calibri" w:cs="Times"/>
          <w:szCs w:val="20"/>
          <w:lang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MS Mincho" w:hAnsi="Verdana" w:cs="Times"/>
          <w:iCs/>
          <w:sz w:val="20"/>
          <w:szCs w:val="20"/>
          <w:lang w:eastAsia="es-CR"/>
        </w:rPr>
        <w:t>Los</w:t>
      </w:r>
      <w:r w:rsidRPr="00873FEC">
        <w:rPr>
          <w:rFonts w:ascii="Verdana" w:eastAsia="MS Mincho" w:hAnsi="Verdana" w:cs="Times"/>
          <w:i/>
          <w:sz w:val="20"/>
          <w:szCs w:val="20"/>
          <w:lang w:eastAsia="es-CR"/>
        </w:rPr>
        <w:t xml:space="preserve"> </w:t>
      </w:r>
      <w:r w:rsidRPr="00873FEC">
        <w:rPr>
          <w:rFonts w:ascii="Verdana" w:eastAsia="MS Mincho" w:hAnsi="Verdana" w:cs="Times"/>
          <w:b/>
          <w:i/>
          <w:sz w:val="20"/>
          <w:szCs w:val="20"/>
          <w:lang w:eastAsia="es-CR"/>
        </w:rPr>
        <w:t>representantes</w:t>
      </w:r>
      <w:r w:rsidRPr="00873FEC">
        <w:rPr>
          <w:rFonts w:ascii="Verdana" w:eastAsia="MS Mincho" w:hAnsi="Verdana" w:cs="Times"/>
          <w:sz w:val="20"/>
          <w:szCs w:val="20"/>
          <w:lang w:eastAsia="es-CR"/>
        </w:rPr>
        <w:t xml:space="preserve"> expresaron que utilizaron como criterio para el cálculo del lucro cesante pautas establecidas por la Corte en el caso </w:t>
      </w:r>
      <w:r w:rsidRPr="00873FEC">
        <w:rPr>
          <w:rFonts w:ascii="Verdana" w:eastAsia="MS Mincho" w:hAnsi="Verdana" w:cs="Times"/>
          <w:i/>
          <w:sz w:val="20"/>
          <w:szCs w:val="20"/>
          <w:lang w:eastAsia="es-CR"/>
        </w:rPr>
        <w:t>Villagrán Morales y Otros Vs. Guatemala</w:t>
      </w:r>
      <w:r w:rsidRPr="00873FEC">
        <w:rPr>
          <w:rFonts w:ascii="Verdana" w:eastAsia="MS Mincho" w:hAnsi="Verdana" w:cs="Times New Roman"/>
          <w:sz w:val="20"/>
          <w:szCs w:val="20"/>
          <w:vertAlign w:val="superscript"/>
          <w:lang w:eastAsia="x-none"/>
        </w:rPr>
        <w:footnoteReference w:id="227"/>
      </w:r>
      <w:r w:rsidRPr="00873FEC">
        <w:rPr>
          <w:rFonts w:ascii="Verdana" w:eastAsia="MS Mincho" w:hAnsi="Verdana" w:cs="Times"/>
          <w:sz w:val="20"/>
          <w:szCs w:val="20"/>
          <w:lang w:eastAsia="es-CR"/>
        </w:rPr>
        <w:t>. Manifestaron que tomaron como referencia el salario mínimo anual en el campo, durante los últimos seis meses, haciendo el cómputo del plazo a partir del momento en que ocurrió la masacre para quienes eran mayores de edad, y a partir del momento de la mayoría de edad para quienes eran niños o niña, para tomar en cuenta posteriormente las vacaciones, aguinaldo, “bono 14” e indemnización anual durante el periodo. Con base en lo anterior, realizaron los cálculos correspondientes agrupando los montos según el grupo de víctimas.</w:t>
      </w:r>
    </w:p>
    <w:p w:rsidR="00D05F7B" w:rsidRPr="00873FEC" w:rsidRDefault="00D05F7B" w:rsidP="00126E97">
      <w:pPr>
        <w:spacing w:after="0" w:line="20" w:lineRule="atLeast"/>
        <w:ind w:right="-138"/>
        <w:jc w:val="both"/>
        <w:rPr>
          <w:rFonts w:ascii="Verdana" w:eastAsia="Batang" w:hAnsi="Verdana" w:cs="Times"/>
          <w:sz w:val="20"/>
          <w:szCs w:val="24"/>
          <w:lang w:val="es-CR"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MS Mincho" w:hAnsi="Verdana" w:cs="Times"/>
          <w:i/>
          <w:sz w:val="20"/>
          <w:szCs w:val="20"/>
          <w:lang w:eastAsia="es-CR"/>
        </w:rPr>
        <w:t xml:space="preserve">Personas fallecidas.- </w:t>
      </w:r>
      <w:r w:rsidRPr="00873FEC">
        <w:rPr>
          <w:rFonts w:ascii="Verdana" w:eastAsia="MS Mincho" w:hAnsi="Verdana" w:cs="Times"/>
          <w:sz w:val="20"/>
          <w:szCs w:val="20"/>
          <w:lang w:eastAsia="es-CR"/>
        </w:rPr>
        <w:t>Utilizando la fórmula antes descrita solicitaron un monto por concepto de lucro cesante respecto de cada una de 10 víctimas fallecidas</w:t>
      </w:r>
      <w:r w:rsidRPr="00873FEC">
        <w:rPr>
          <w:rFonts w:ascii="Verdana" w:eastAsia="MS Mincho" w:hAnsi="Verdana" w:cs="Times New Roman"/>
          <w:sz w:val="20"/>
          <w:szCs w:val="20"/>
          <w:vertAlign w:val="superscript"/>
          <w:lang w:eastAsia="x-none"/>
        </w:rPr>
        <w:footnoteReference w:id="228"/>
      </w:r>
      <w:r w:rsidRPr="00873FEC">
        <w:rPr>
          <w:rFonts w:ascii="Verdana" w:eastAsia="MS Mincho" w:hAnsi="Verdana" w:cs="Times"/>
          <w:sz w:val="20"/>
          <w:szCs w:val="20"/>
          <w:lang w:eastAsia="es-CR"/>
        </w:rPr>
        <w:t xml:space="preserve">, indicando que la sumatoria de cada monto da un total de Q 55,133,009.76, lo cual corresponde a </w:t>
      </w:r>
      <w:r w:rsidRPr="00873FEC">
        <w:rPr>
          <w:rFonts w:ascii="Verdana" w:eastAsia="Batang" w:hAnsi="Verdana" w:cs="Calibri"/>
          <w:sz w:val="20"/>
          <w:szCs w:val="20"/>
          <w:lang w:val="es-CR" w:eastAsia="es-CR"/>
        </w:rPr>
        <w:t>US$</w:t>
      </w:r>
      <w:r w:rsidRPr="00873FEC" w:rsidDel="00134CE0">
        <w:rPr>
          <w:rFonts w:ascii="Verdana" w:eastAsia="Batang" w:hAnsi="Verdana" w:cs="Calibri"/>
          <w:sz w:val="20"/>
          <w:szCs w:val="20"/>
          <w:lang w:val="es-CR" w:eastAsia="es-CR"/>
        </w:rPr>
        <w:t xml:space="preserve"> </w:t>
      </w:r>
      <w:r w:rsidRPr="00873FEC">
        <w:rPr>
          <w:rFonts w:ascii="Verdana" w:eastAsia="MS Mincho" w:hAnsi="Verdana" w:cs="Times"/>
          <w:sz w:val="20"/>
          <w:szCs w:val="20"/>
          <w:lang w:eastAsia="es-CR"/>
        </w:rPr>
        <w:t>7,376,206.07. Consideraron que a ese total corresponde adicionar Q 531,273.81</w:t>
      </w:r>
      <w:r w:rsidRPr="00873FEC">
        <w:rPr>
          <w:rFonts w:ascii="Verdana" w:eastAsia="MS Mincho" w:hAnsi="Verdana" w:cs="Times New Roman"/>
          <w:sz w:val="20"/>
          <w:szCs w:val="20"/>
          <w:vertAlign w:val="superscript"/>
          <w:lang w:eastAsia="x-none"/>
        </w:rPr>
        <w:footnoteReference w:id="229"/>
      </w:r>
      <w:r w:rsidRPr="00873FEC">
        <w:rPr>
          <w:rFonts w:ascii="Verdana" w:eastAsia="MS Mincho" w:hAnsi="Verdana" w:cs="Times"/>
          <w:sz w:val="20"/>
          <w:szCs w:val="20"/>
          <w:lang w:eastAsia="es-CR"/>
        </w:rPr>
        <w:t>, lo cual corresponde a US$ 71,078.74, por intereses por el retraso en el cumplimiento de las reparaciones. Por tanto, solicitaron un total de US$ 7</w:t>
      </w:r>
      <w:proofErr w:type="gramStart"/>
      <w:r w:rsidRPr="00873FEC">
        <w:rPr>
          <w:rFonts w:ascii="Verdana" w:eastAsia="MS Mincho" w:hAnsi="Verdana" w:cs="Times"/>
          <w:sz w:val="20"/>
          <w:szCs w:val="20"/>
          <w:lang w:eastAsia="es-CR"/>
        </w:rPr>
        <w:t>,447,284.81</w:t>
      </w:r>
      <w:proofErr w:type="gramEnd"/>
      <w:r w:rsidRPr="00873FEC">
        <w:rPr>
          <w:rFonts w:ascii="Verdana" w:eastAsia="MS Mincho" w:hAnsi="Verdana" w:cs="Times"/>
          <w:sz w:val="20"/>
          <w:szCs w:val="20"/>
          <w:lang w:eastAsia="es-CR"/>
        </w:rPr>
        <w:t>.</w:t>
      </w:r>
    </w:p>
    <w:p w:rsidR="00D05F7B" w:rsidRPr="00873FEC" w:rsidRDefault="00D05F7B" w:rsidP="00126E97">
      <w:pPr>
        <w:spacing w:after="0" w:line="20" w:lineRule="atLeast"/>
        <w:ind w:left="720"/>
        <w:contextualSpacing/>
        <w:rPr>
          <w:rFonts w:ascii="Calibri" w:eastAsia="MS Mincho" w:hAnsi="Calibri" w:cs="Times"/>
          <w:i/>
          <w:szCs w:val="20"/>
          <w:lang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MS Mincho" w:hAnsi="Verdana" w:cs="Times"/>
          <w:i/>
          <w:sz w:val="20"/>
          <w:szCs w:val="20"/>
          <w:lang w:eastAsia="es-CR"/>
        </w:rPr>
        <w:t xml:space="preserve">Personas heridas. </w:t>
      </w:r>
      <w:r w:rsidRPr="00873FEC">
        <w:rPr>
          <w:rFonts w:ascii="Verdana" w:eastAsia="MS Mincho" w:hAnsi="Verdana" w:cs="Times"/>
          <w:sz w:val="20"/>
          <w:szCs w:val="20"/>
          <w:lang w:eastAsia="es-CR"/>
        </w:rPr>
        <w:t>Los representantes solicitaron un monto por “lucro cesante” para cada una de 26 personas heridas</w:t>
      </w:r>
      <w:r w:rsidRPr="00873FEC">
        <w:rPr>
          <w:rFonts w:ascii="Verdana" w:eastAsia="MS Mincho" w:hAnsi="Verdana" w:cs="Times New Roman"/>
          <w:sz w:val="20"/>
          <w:szCs w:val="20"/>
          <w:vertAlign w:val="superscript"/>
          <w:lang w:eastAsia="x-none"/>
        </w:rPr>
        <w:footnoteReference w:id="230"/>
      </w:r>
      <w:r w:rsidRPr="00873FEC">
        <w:rPr>
          <w:rFonts w:ascii="Verdana" w:eastAsia="MS Mincho" w:hAnsi="Verdana" w:cs="Times"/>
          <w:sz w:val="20"/>
          <w:szCs w:val="20"/>
          <w:lang w:eastAsia="es-CR"/>
        </w:rPr>
        <w:t xml:space="preserve"> e indicaron un total, correspondiente a la suma </w:t>
      </w:r>
      <w:r w:rsidRPr="00873FEC">
        <w:rPr>
          <w:rFonts w:ascii="Verdana" w:eastAsia="MS Mincho" w:hAnsi="Verdana" w:cs="Times"/>
          <w:sz w:val="20"/>
          <w:szCs w:val="20"/>
          <w:lang w:eastAsia="es-CR"/>
        </w:rPr>
        <w:lastRenderedPageBreak/>
        <w:t>de cada uno de tales montos, de Q 4</w:t>
      </w:r>
      <w:proofErr w:type="gramStart"/>
      <w:r w:rsidRPr="00873FEC">
        <w:rPr>
          <w:rFonts w:ascii="Verdana" w:eastAsia="MS Mincho" w:hAnsi="Verdana" w:cs="Times"/>
          <w:sz w:val="20"/>
          <w:szCs w:val="20"/>
          <w:lang w:eastAsia="es-CR"/>
        </w:rPr>
        <w:t>,513,407.60</w:t>
      </w:r>
      <w:proofErr w:type="gramEnd"/>
      <w:r w:rsidRPr="00873FEC">
        <w:rPr>
          <w:rFonts w:ascii="Verdana" w:eastAsia="MS Mincho" w:hAnsi="Verdana" w:cs="Times"/>
          <w:sz w:val="20"/>
          <w:szCs w:val="20"/>
          <w:lang w:eastAsia="es-CR"/>
        </w:rPr>
        <w:t>, equivalente a US$ 603,845.58</w:t>
      </w:r>
      <w:r w:rsidRPr="00873FEC">
        <w:rPr>
          <w:rFonts w:ascii="Verdana" w:eastAsia="MS Mincho" w:hAnsi="Verdana" w:cs="Times New Roman"/>
          <w:sz w:val="20"/>
          <w:szCs w:val="20"/>
          <w:vertAlign w:val="superscript"/>
          <w:lang w:eastAsia="x-none"/>
        </w:rPr>
        <w:footnoteReference w:id="231"/>
      </w:r>
      <w:r w:rsidRPr="00873FEC">
        <w:rPr>
          <w:rFonts w:ascii="Verdana" w:eastAsia="MS Mincho" w:hAnsi="Verdana" w:cs="Times"/>
          <w:sz w:val="20"/>
          <w:szCs w:val="20"/>
          <w:lang w:eastAsia="es-CR"/>
        </w:rPr>
        <w:t>. Expresaron que corresponde incluir intereses a favor de cada una de las 26 personas referidas, bajo el mismo principio utilizado respecto de víctimas fallecidas. Por ese concepto solicitaron, en total, una suma equivalente a US$ 625,994.64</w:t>
      </w:r>
      <w:r w:rsidRPr="00873FEC">
        <w:rPr>
          <w:rFonts w:ascii="Verdana" w:eastAsia="MS Mincho" w:hAnsi="Verdana" w:cs="Times New Roman"/>
          <w:sz w:val="20"/>
          <w:szCs w:val="20"/>
          <w:vertAlign w:val="superscript"/>
          <w:lang w:eastAsia="x-none"/>
        </w:rPr>
        <w:footnoteReference w:id="232"/>
      </w:r>
      <w:r w:rsidRPr="00873FEC">
        <w:rPr>
          <w:rFonts w:ascii="Verdana" w:eastAsia="MS Mincho" w:hAnsi="Verdana" w:cs="Times"/>
          <w:sz w:val="20"/>
          <w:szCs w:val="20"/>
          <w:lang w:eastAsia="es-CR"/>
        </w:rPr>
        <w:t>. Por ende, requirieron un total de US$ 1</w:t>
      </w:r>
      <w:proofErr w:type="gramStart"/>
      <w:r w:rsidRPr="00873FEC">
        <w:rPr>
          <w:rFonts w:ascii="Verdana" w:eastAsia="MS Mincho" w:hAnsi="Verdana" w:cs="Times"/>
          <w:sz w:val="20"/>
          <w:szCs w:val="20"/>
          <w:lang w:eastAsia="es-CR"/>
        </w:rPr>
        <w:t>,229,840.22</w:t>
      </w:r>
      <w:proofErr w:type="gramEnd"/>
      <w:r w:rsidRPr="00873FEC">
        <w:rPr>
          <w:rFonts w:ascii="Verdana" w:eastAsia="MS Mincho" w:hAnsi="Verdana" w:cs="Times"/>
          <w:sz w:val="20"/>
          <w:szCs w:val="20"/>
          <w:lang w:eastAsia="es-CR"/>
        </w:rPr>
        <w:t>.</w:t>
      </w:r>
    </w:p>
    <w:p w:rsidR="00D05F7B" w:rsidRPr="00873FEC" w:rsidRDefault="00D05F7B" w:rsidP="00126E97">
      <w:pPr>
        <w:spacing w:after="0" w:line="20" w:lineRule="atLeast"/>
        <w:ind w:right="-138"/>
        <w:jc w:val="both"/>
        <w:rPr>
          <w:rFonts w:ascii="Verdana" w:eastAsia="Batang" w:hAnsi="Verdana" w:cs="Times"/>
          <w:sz w:val="20"/>
          <w:szCs w:val="24"/>
          <w:lang w:val="es-CR"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MS Mincho" w:hAnsi="Verdana" w:cs="Times"/>
          <w:sz w:val="20"/>
          <w:szCs w:val="20"/>
          <w:lang w:eastAsia="es-CR"/>
        </w:rPr>
        <w:t xml:space="preserve">Los representantes efectuaron una solicitud particular respecto de Gerardo Maldonado </w:t>
      </w:r>
      <w:r w:rsidR="00D2259F">
        <w:rPr>
          <w:rFonts w:ascii="Verdana" w:eastAsia="MS Mincho" w:hAnsi="Verdana" w:cs="Times"/>
          <w:sz w:val="20"/>
          <w:szCs w:val="20"/>
          <w:lang w:eastAsia="es-CR"/>
        </w:rPr>
        <w:t>Sales,</w:t>
      </w:r>
      <w:r w:rsidRPr="00873FEC">
        <w:rPr>
          <w:rFonts w:ascii="Verdana" w:eastAsia="MS Mincho" w:hAnsi="Verdana" w:cs="Times"/>
          <w:sz w:val="20"/>
          <w:szCs w:val="20"/>
          <w:lang w:eastAsia="es-CR"/>
        </w:rPr>
        <w:t xml:space="preserve"> señalando que “[e]n el momento de la masacre tenía dos años [y] murió luego de nueve años […] cuando tenía [11] años de edad”. En este sentido, utilizando la misma fórmula antes aludida, solicitaron un monto de Quetzales que, en total, equivale a USD $ 295,419.80</w:t>
      </w:r>
      <w:r w:rsidRPr="00873FEC">
        <w:rPr>
          <w:rFonts w:ascii="Verdana" w:eastAsia="MS Mincho" w:hAnsi="Verdana" w:cs="Times New Roman"/>
          <w:sz w:val="20"/>
          <w:szCs w:val="20"/>
          <w:vertAlign w:val="superscript"/>
          <w:lang w:eastAsia="x-none"/>
        </w:rPr>
        <w:footnoteReference w:id="233"/>
      </w:r>
      <w:r w:rsidRPr="00873FEC">
        <w:rPr>
          <w:rFonts w:ascii="Verdana" w:eastAsia="MS Mincho" w:hAnsi="Verdana" w:cs="Times"/>
          <w:sz w:val="20"/>
          <w:szCs w:val="20"/>
          <w:lang w:eastAsia="es-CR"/>
        </w:rPr>
        <w:t xml:space="preserve">. </w:t>
      </w:r>
    </w:p>
    <w:p w:rsidR="00D05F7B" w:rsidRPr="00873FEC" w:rsidRDefault="00D05F7B" w:rsidP="00126E97">
      <w:pPr>
        <w:spacing w:after="0" w:line="20" w:lineRule="atLeast"/>
        <w:ind w:right="-138"/>
        <w:jc w:val="both"/>
        <w:rPr>
          <w:rFonts w:ascii="Verdana" w:eastAsia="Batang" w:hAnsi="Verdana" w:cs="Times"/>
          <w:sz w:val="20"/>
          <w:szCs w:val="24"/>
          <w:lang w:val="es-CR"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b/>
          <w:sz w:val="16"/>
          <w:szCs w:val="16"/>
          <w:lang w:eastAsia="es-CR"/>
        </w:rPr>
      </w:pPr>
      <w:r w:rsidRPr="00873FEC">
        <w:rPr>
          <w:rFonts w:ascii="Verdana" w:eastAsia="Batang" w:hAnsi="Verdana" w:cs="Times"/>
          <w:sz w:val="20"/>
          <w:szCs w:val="24"/>
          <w:lang w:val="es-CR" w:eastAsia="es-CR"/>
        </w:rPr>
        <w:t xml:space="preserve">El </w:t>
      </w:r>
      <w:r w:rsidRPr="00873FEC">
        <w:rPr>
          <w:rFonts w:ascii="Verdana" w:eastAsia="MS Mincho" w:hAnsi="Verdana" w:cs="Times"/>
          <w:b/>
          <w:i/>
          <w:sz w:val="20"/>
          <w:szCs w:val="20"/>
          <w:lang w:eastAsia="es-CR"/>
        </w:rPr>
        <w:t>Estado</w:t>
      </w:r>
      <w:r w:rsidRPr="00873FEC">
        <w:rPr>
          <w:rFonts w:ascii="Verdana" w:eastAsia="MS Mincho" w:hAnsi="Verdana" w:cs="Times"/>
          <w:sz w:val="20"/>
          <w:szCs w:val="20"/>
          <w:lang w:eastAsia="es-CR"/>
        </w:rPr>
        <w:t xml:space="preserve"> alegó que el lucro cesante debe ser incluido únicamente en la medida que sea probado y siguiendo los parámetros establecidos de la jurisprudencia, tales como: la expectativa de vida en el país al momento de los hechos, las circunstancias del caso, el salario mínimo y la pérdida de una chance cierta. Manifestó también que “viene afrontando serias dificultades financieras y presupuestarias, las cuales han tendido a agravarse en los últimos años, situación que ha mermado el cumplimiento oportuno de sus compromisos económicos derivados de diversos instrumentos internacionales”.</w:t>
      </w:r>
    </w:p>
    <w:p w:rsidR="00D05F7B" w:rsidRPr="00873FEC" w:rsidRDefault="00D05F7B" w:rsidP="00126E97">
      <w:pPr>
        <w:tabs>
          <w:tab w:val="left" w:pos="0"/>
        </w:tabs>
        <w:spacing w:after="0" w:line="20" w:lineRule="atLeast"/>
        <w:ind w:right="-90"/>
        <w:jc w:val="both"/>
        <w:rPr>
          <w:rFonts w:ascii="Verdana" w:eastAsia="MS Mincho" w:hAnsi="Verdana" w:cs="Times New Roman"/>
          <w:b/>
          <w:sz w:val="16"/>
          <w:szCs w:val="16"/>
          <w:lang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4"/>
          <w:lang w:val="es-CR" w:eastAsia="es-CR"/>
        </w:rPr>
        <w:t xml:space="preserve">La </w:t>
      </w:r>
      <w:r w:rsidRPr="00873FEC">
        <w:rPr>
          <w:rFonts w:ascii="Verdana" w:eastAsia="Batang" w:hAnsi="Verdana" w:cs="Times"/>
          <w:b/>
          <w:i/>
          <w:sz w:val="20"/>
          <w:szCs w:val="24"/>
          <w:lang w:val="es-CR" w:eastAsia="es-CR"/>
        </w:rPr>
        <w:t>Corte</w:t>
      </w:r>
      <w:r w:rsidRPr="00873FEC">
        <w:rPr>
          <w:rFonts w:ascii="Verdana" w:eastAsia="Batang" w:hAnsi="Verdana" w:cs="Times"/>
          <w:sz w:val="20"/>
          <w:szCs w:val="24"/>
          <w:lang w:val="es-CR" w:eastAsia="es-CR"/>
        </w:rPr>
        <w:t xml:space="preserve"> nota que los representantes realizaron un cálculo del lucro cesante. No obstante, no tomaron en cuenta todos los elementos requeridos por la jurisprudencia de este Tribunal para la realización de los mismos. En este sentido observa, tal como lo ha señalado con anterioridad</w:t>
      </w:r>
      <w:r w:rsidRPr="00873FEC">
        <w:rPr>
          <w:rFonts w:ascii="Verdana" w:eastAsia="Batang" w:hAnsi="Verdana" w:cs="Times New Roman"/>
          <w:sz w:val="20"/>
          <w:szCs w:val="20"/>
          <w:vertAlign w:val="superscript"/>
          <w:lang w:val="es-CR" w:eastAsia="x-none"/>
        </w:rPr>
        <w:footnoteReference w:id="234"/>
      </w:r>
      <w:r w:rsidRPr="00873FEC">
        <w:rPr>
          <w:rFonts w:ascii="Verdana" w:eastAsia="Batang" w:hAnsi="Verdana" w:cs="Times"/>
          <w:sz w:val="20"/>
          <w:szCs w:val="24"/>
          <w:lang w:val="es-CR" w:eastAsia="es-CR"/>
        </w:rPr>
        <w:t xml:space="preserve">, que al cálculo del lucro cesante se le debe restar el 25% correspondiente a los gastos personales en los que pudo haber incurrido la víctima durante los años de vida con posterioridad a los hechos. El mencionado elemento no fue considerado por los representantes al momento de efectuar los cálculos. Asimismo, no se realiza una distinción en cuanto a las personas que sobrevivieron, sobre sus particularidades laborales o personales, así como tampoco el impacto individualizado que las heridas pudieron generar en las vidas laborales de las víctimas, razones por las cuales no resultan procedentes los montos solicitados por los representantes. </w:t>
      </w:r>
    </w:p>
    <w:p w:rsidR="00D05F7B" w:rsidRPr="00873FEC" w:rsidRDefault="00D05F7B" w:rsidP="00126E97">
      <w:pPr>
        <w:spacing w:after="0" w:line="20" w:lineRule="atLeast"/>
        <w:ind w:left="720"/>
        <w:rPr>
          <w:rFonts w:ascii="Verdana" w:eastAsia="MS Mincho" w:hAnsi="Verdana" w:cs="Verdana"/>
          <w:b/>
          <w:sz w:val="20"/>
          <w:szCs w:val="20"/>
          <w:lang w:val="es-CR" w:eastAsia="es-CR"/>
        </w:rPr>
      </w:pPr>
    </w:p>
    <w:p w:rsidR="00D05F7B" w:rsidRPr="00873FEC" w:rsidRDefault="00D05F7B" w:rsidP="00126E97">
      <w:pPr>
        <w:numPr>
          <w:ilvl w:val="0"/>
          <w:numId w:val="3"/>
        </w:numPr>
        <w:tabs>
          <w:tab w:val="left" w:pos="0"/>
        </w:tabs>
        <w:spacing w:after="0" w:line="20" w:lineRule="atLeast"/>
        <w:ind w:right="-90"/>
        <w:jc w:val="both"/>
        <w:rPr>
          <w:rFonts w:ascii="Verdana" w:eastAsia="MS Mincho" w:hAnsi="Verdana" w:cs="Times New Roman"/>
          <w:sz w:val="20"/>
          <w:szCs w:val="20"/>
          <w:lang w:val="es-CR" w:eastAsia="es-CR"/>
        </w:rPr>
      </w:pPr>
      <w:bookmarkStart w:id="252" w:name="_Toc495658701"/>
      <w:bookmarkStart w:id="253" w:name="_Toc476390741"/>
      <w:bookmarkStart w:id="254" w:name="_Toc514172669"/>
      <w:bookmarkEnd w:id="252"/>
      <w:bookmarkEnd w:id="253"/>
      <w:bookmarkEnd w:id="254"/>
      <w:r w:rsidRPr="00873FEC">
        <w:rPr>
          <w:rFonts w:ascii="Verdana" w:eastAsia="MS Mincho" w:hAnsi="Verdana" w:cs="Times New Roman"/>
          <w:sz w:val="20"/>
          <w:szCs w:val="20"/>
          <w:lang w:val="es-CR" w:eastAsia="es-CR"/>
        </w:rPr>
        <w:t xml:space="preserve">Por tanto, tomando en cuenta lo anterior y las particularidades del caso y para la adecuada reparación integral de las víctimas, esta Corte ordena, en equidad: a) por cada una de las 11 personas fallecidas respecto de quienes se determinó violado el derecho a la vida, que se nombraran en los Anexos B.2 y B.4 de la presente Sentencia, teniendo en cuenta las diferencias de edad al momento de su muerte, el pago de las siguientes cantidades: 1.-Abel Ramírez Pérez: US$ 67,000 (sesenta y siete mil dólares de los Estados Unidos de América); 2.-Andrés Miguel Mateo: US$ 15,000 (quince mil dólares de los Estados Unidos de América); 3.-Hilaria </w:t>
      </w:r>
      <w:proofErr w:type="spellStart"/>
      <w:r w:rsidRPr="00873FEC">
        <w:rPr>
          <w:rFonts w:ascii="Verdana" w:eastAsia="MS Mincho" w:hAnsi="Verdana" w:cs="Times New Roman"/>
          <w:sz w:val="20"/>
          <w:szCs w:val="20"/>
          <w:lang w:val="es-CR" w:eastAsia="es-CR"/>
        </w:rPr>
        <w:t>Morente</w:t>
      </w:r>
      <w:proofErr w:type="spellEnd"/>
      <w:r w:rsidRPr="00873FEC">
        <w:rPr>
          <w:rFonts w:ascii="Verdana" w:eastAsia="MS Mincho" w:hAnsi="Verdana" w:cs="Times New Roman"/>
          <w:sz w:val="20"/>
          <w:szCs w:val="20"/>
          <w:lang w:val="es-CR" w:eastAsia="es-CR"/>
        </w:rPr>
        <w:t xml:space="preserve"> de la Cruz: US$ 15,000 (quince mil dólares de los Estados Unidos de América); 4.-Juana Jacinto Felipe: US$ </w:t>
      </w:r>
      <w:r w:rsidRPr="00873FEC">
        <w:rPr>
          <w:rFonts w:ascii="Verdana" w:eastAsia="MS Mincho" w:hAnsi="Verdana" w:cs="Times New Roman"/>
          <w:sz w:val="20"/>
          <w:szCs w:val="20"/>
          <w:lang w:val="es-CR" w:eastAsia="es-CR"/>
        </w:rPr>
        <w:lastRenderedPageBreak/>
        <w:t xml:space="preserve">39,000 (treinta y nueve mil dólares de los Estados Unidos de América); 5.-Manuela Mateo Antonio: US$ 92,000 (noventa y dos mil dólares de los Estados Unidos de América); 6.-Pablo </w:t>
      </w:r>
      <w:proofErr w:type="spellStart"/>
      <w:r w:rsidRPr="00873FEC">
        <w:rPr>
          <w:rFonts w:ascii="Verdana" w:eastAsia="MS Mincho" w:hAnsi="Verdana" w:cs="Times New Roman"/>
          <w:sz w:val="20"/>
          <w:szCs w:val="20"/>
          <w:lang w:val="es-CR" w:eastAsia="es-CR"/>
        </w:rPr>
        <w:t>Coc</w:t>
      </w:r>
      <w:proofErr w:type="spellEnd"/>
      <w:r w:rsidRPr="00873FEC">
        <w:rPr>
          <w:rFonts w:ascii="Verdana" w:eastAsia="MS Mincho" w:hAnsi="Verdana" w:cs="Times New Roman"/>
          <w:sz w:val="20"/>
          <w:szCs w:val="20"/>
          <w:lang w:val="es-CR" w:eastAsia="es-CR"/>
        </w:rPr>
        <w:t xml:space="preserve"> </w:t>
      </w:r>
      <w:proofErr w:type="spellStart"/>
      <w:r w:rsidRPr="00873FEC">
        <w:rPr>
          <w:rFonts w:ascii="Verdana" w:eastAsia="MS Mincho" w:hAnsi="Verdana" w:cs="Times New Roman"/>
          <w:sz w:val="20"/>
          <w:szCs w:val="20"/>
          <w:lang w:val="es-CR" w:eastAsia="es-CR"/>
        </w:rPr>
        <w:t>Coc</w:t>
      </w:r>
      <w:proofErr w:type="spellEnd"/>
      <w:r w:rsidRPr="00873FEC">
        <w:rPr>
          <w:rFonts w:ascii="Verdana" w:eastAsia="MS Mincho" w:hAnsi="Verdana" w:cs="Times New Roman"/>
          <w:sz w:val="20"/>
          <w:szCs w:val="20"/>
          <w:lang w:val="es-CR" w:eastAsia="es-CR"/>
        </w:rPr>
        <w:t xml:space="preserve">: US$ 24,000 (veinticuatro mil dólares de los Estados Unidos de América); 7.-Pedro Diego Andrés: US$ 42,000 (cuarenta y dos mil dólares de los Estados Unidos de América); 8.-Pedro Medina Sánchez: US$ 22,000 (veintidós mil dólares de los Estados Unidos de América); 9.-Carlos Fernando </w:t>
      </w:r>
      <w:proofErr w:type="spellStart"/>
      <w:r w:rsidRPr="00873FEC">
        <w:rPr>
          <w:rFonts w:ascii="Verdana" w:eastAsia="MS Mincho" w:hAnsi="Verdana" w:cs="Times New Roman"/>
          <w:sz w:val="20"/>
          <w:szCs w:val="20"/>
          <w:lang w:val="es-CR" w:eastAsia="es-CR"/>
        </w:rPr>
        <w:t>Chop</w:t>
      </w:r>
      <w:proofErr w:type="spellEnd"/>
      <w:r w:rsidR="00FA5CA1">
        <w:rPr>
          <w:rFonts w:ascii="Verdana" w:eastAsia="MS Mincho" w:hAnsi="Verdana" w:cs="Times New Roman"/>
          <w:sz w:val="20"/>
          <w:szCs w:val="20"/>
          <w:lang w:val="es-CR" w:eastAsia="es-CR"/>
        </w:rPr>
        <w:t xml:space="preserve"> Chic</w:t>
      </w:r>
      <w:r w:rsidRPr="00873FEC">
        <w:rPr>
          <w:rFonts w:ascii="Verdana" w:eastAsia="MS Mincho" w:hAnsi="Verdana" w:cs="Times New Roman"/>
          <w:sz w:val="20"/>
          <w:szCs w:val="20"/>
          <w:lang w:val="es-CR" w:eastAsia="es-CR"/>
        </w:rPr>
        <w:t xml:space="preserve">: US$ 92,000 (noventa y dos mil dólares de los Estados Unidos de América); 10.-Santiago </w:t>
      </w:r>
      <w:proofErr w:type="spellStart"/>
      <w:r w:rsidRPr="00873FEC">
        <w:rPr>
          <w:rFonts w:ascii="Verdana" w:eastAsia="MS Mincho" w:hAnsi="Verdana" w:cs="Times New Roman"/>
          <w:sz w:val="20"/>
          <w:szCs w:val="20"/>
          <w:lang w:val="es-CR" w:eastAsia="es-CR"/>
        </w:rPr>
        <w:t>Coc</w:t>
      </w:r>
      <w:proofErr w:type="spellEnd"/>
      <w:r w:rsidRPr="00873FEC">
        <w:rPr>
          <w:rFonts w:ascii="Verdana" w:eastAsia="MS Mincho" w:hAnsi="Verdana" w:cs="Times New Roman"/>
          <w:sz w:val="20"/>
          <w:szCs w:val="20"/>
          <w:lang w:val="es-CR" w:eastAsia="es-CR"/>
        </w:rPr>
        <w:t xml:space="preserve">: US$ 100,000 (cien mil dólares de los Estados Unidos de América), y 11.-Maurilia </w:t>
      </w:r>
      <w:proofErr w:type="spellStart"/>
      <w:r w:rsidRPr="00873FEC">
        <w:rPr>
          <w:rFonts w:ascii="Verdana" w:eastAsia="MS Mincho" w:hAnsi="Verdana" w:cs="Times New Roman"/>
          <w:sz w:val="20"/>
          <w:szCs w:val="20"/>
          <w:lang w:val="es-CR" w:eastAsia="es-CR"/>
        </w:rPr>
        <w:t>Coc</w:t>
      </w:r>
      <w:proofErr w:type="spellEnd"/>
      <w:r w:rsidRPr="00873FEC">
        <w:rPr>
          <w:rFonts w:ascii="Verdana" w:eastAsia="MS Mincho" w:hAnsi="Verdana" w:cs="Times New Roman"/>
          <w:sz w:val="20"/>
          <w:szCs w:val="20"/>
          <w:lang w:val="es-CR" w:eastAsia="es-CR"/>
        </w:rPr>
        <w:t xml:space="preserve"> Max: US$ 108,000 (ciento ocho mil dólares de los Estados Unidos de América); b) para</w:t>
      </w:r>
      <w:r w:rsidRPr="00873FEC">
        <w:rPr>
          <w:rFonts w:ascii="Verdana" w:eastAsia="MS Mincho" w:hAnsi="Verdana" w:cs="Times New Roman"/>
          <w:sz w:val="20"/>
          <w:szCs w:val="20"/>
          <w:lang w:eastAsia="es-CR"/>
        </w:rPr>
        <w:t xml:space="preserve"> cada una de las 29 personas heridas respecto de quienes se determinó violado el derecho a la integridad personal por heridas sufridas, que se nombran en el Anexo B.3 </w:t>
      </w:r>
      <w:r w:rsidR="00E372C2">
        <w:rPr>
          <w:rFonts w:ascii="Verdana" w:eastAsia="MS Mincho" w:hAnsi="Verdana" w:cs="Times New Roman"/>
          <w:sz w:val="20"/>
          <w:szCs w:val="20"/>
          <w:lang w:eastAsia="es-CR"/>
        </w:rPr>
        <w:t>de</w:t>
      </w:r>
      <w:r w:rsidRPr="00873FEC">
        <w:rPr>
          <w:rFonts w:ascii="Verdana" w:eastAsia="MS Mincho" w:hAnsi="Verdana" w:cs="Times New Roman"/>
          <w:sz w:val="20"/>
          <w:szCs w:val="20"/>
          <w:lang w:eastAsia="es-CR"/>
        </w:rPr>
        <w:t xml:space="preserve"> la presente Sentencia, </w:t>
      </w:r>
      <w:r w:rsidRPr="00873FEC">
        <w:rPr>
          <w:rFonts w:ascii="Verdana" w:eastAsia="MS Mincho" w:hAnsi="Verdana" w:cs="Times New Roman"/>
          <w:sz w:val="20"/>
          <w:szCs w:val="20"/>
          <w:lang w:val="es-CR" w:eastAsia="es-CR"/>
        </w:rPr>
        <w:t>USD $7,000</w:t>
      </w:r>
      <w:r w:rsidRPr="00873FEC">
        <w:rPr>
          <w:rFonts w:ascii="Verdana" w:eastAsia="MS Mincho" w:hAnsi="Verdana" w:cs="Verdana"/>
          <w:sz w:val="20"/>
          <w:szCs w:val="20"/>
          <w:lang w:val="es-CR" w:eastAsia="es-CR"/>
        </w:rPr>
        <w:t xml:space="preserve">.00 (siete mil dólares </w:t>
      </w:r>
      <w:r w:rsidRPr="00873FEC">
        <w:rPr>
          <w:rFonts w:ascii="Verdana" w:eastAsia="MS Mincho" w:hAnsi="Verdana" w:cs="Times New Roman"/>
          <w:sz w:val="20"/>
          <w:szCs w:val="20"/>
          <w:lang w:eastAsia="es-CR"/>
        </w:rPr>
        <w:t>de los Estados Unidos de América).</w:t>
      </w:r>
      <w:r w:rsidRPr="00873FEC">
        <w:rPr>
          <w:rFonts w:ascii="Verdana" w:eastAsia="MS Mincho" w:hAnsi="Verdana" w:cs="Times New Roman"/>
          <w:sz w:val="20"/>
          <w:szCs w:val="20"/>
          <w:lang w:val="es-CR" w:eastAsia="es-CR"/>
        </w:rPr>
        <w:t xml:space="preserve"> </w:t>
      </w:r>
      <w:r w:rsidRPr="00873FEC">
        <w:rPr>
          <w:rFonts w:ascii="Verdana" w:hAnsi="Verdana" w:cs="Verdana"/>
          <w:sz w:val="20"/>
          <w:szCs w:val="20"/>
          <w:lang w:val="es-CR"/>
        </w:rPr>
        <w:t>Los montos dispuestos a favor de las personas indicadas que estuvieren fallecidas al momento de emitirse la presente Sentencia, deben ser pagados a sus familiares, en el plazo establecido en el párrafo 19</w:t>
      </w:r>
      <w:r w:rsidR="00214820" w:rsidRPr="00873FEC">
        <w:rPr>
          <w:rFonts w:ascii="Verdana" w:hAnsi="Verdana" w:cs="Verdana"/>
          <w:sz w:val="20"/>
          <w:szCs w:val="20"/>
          <w:lang w:val="es-CR"/>
        </w:rPr>
        <w:t>6</w:t>
      </w:r>
      <w:r w:rsidRPr="00873FEC">
        <w:rPr>
          <w:rFonts w:ascii="Verdana" w:hAnsi="Verdana" w:cs="Verdana"/>
          <w:sz w:val="20"/>
          <w:szCs w:val="20"/>
          <w:lang w:val="es-CR"/>
        </w:rPr>
        <w:t xml:space="preserve"> de la presente Sentencia, de acuerdo con los siguientes criterios:</w:t>
      </w:r>
    </w:p>
    <w:p w:rsidR="00D05F7B" w:rsidRPr="00873FEC" w:rsidRDefault="00D05F7B" w:rsidP="00126E97">
      <w:pPr>
        <w:autoSpaceDE w:val="0"/>
        <w:autoSpaceDN w:val="0"/>
        <w:adjustRightInd w:val="0"/>
        <w:spacing w:after="0" w:line="20" w:lineRule="atLeast"/>
        <w:ind w:left="284"/>
        <w:jc w:val="both"/>
        <w:rPr>
          <w:rFonts w:ascii="Verdana" w:hAnsi="Verdana" w:cs="Verdana"/>
          <w:sz w:val="20"/>
          <w:szCs w:val="20"/>
          <w:lang w:val="es-CR"/>
        </w:rPr>
      </w:pPr>
      <w:r w:rsidRPr="00873FEC">
        <w:rPr>
          <w:rFonts w:ascii="Verdana" w:hAnsi="Verdana" w:cs="Verdana"/>
          <w:sz w:val="20"/>
          <w:szCs w:val="20"/>
          <w:lang w:val="es-CR"/>
        </w:rPr>
        <w:t>a) el cincuenta por ciento (50%) de la indemnización correspondiente a cada víctima se repartirá, por partes iguales, entre los hijos de ésta. Si uno o varios de los hijos hubieren fallecido ya, la parte que le o les corresponda acrecerá a las de los demás hijos de la misma víctima;</w:t>
      </w:r>
    </w:p>
    <w:p w:rsidR="00D05F7B" w:rsidRPr="00873FEC" w:rsidRDefault="00D05F7B" w:rsidP="00126E97">
      <w:pPr>
        <w:autoSpaceDE w:val="0"/>
        <w:autoSpaceDN w:val="0"/>
        <w:adjustRightInd w:val="0"/>
        <w:spacing w:after="0" w:line="20" w:lineRule="atLeast"/>
        <w:ind w:left="284"/>
        <w:jc w:val="both"/>
        <w:rPr>
          <w:rFonts w:ascii="Verdana" w:hAnsi="Verdana" w:cs="Verdana"/>
          <w:sz w:val="20"/>
          <w:szCs w:val="20"/>
          <w:lang w:val="es-CR"/>
        </w:rPr>
      </w:pPr>
      <w:r w:rsidRPr="00873FEC">
        <w:rPr>
          <w:rFonts w:ascii="Verdana" w:hAnsi="Verdana" w:cs="Verdana"/>
          <w:sz w:val="20"/>
          <w:szCs w:val="20"/>
          <w:lang w:val="es-CR"/>
        </w:rPr>
        <w:t>b) el otro cincuenta por ciento (50%) de la indemnización deberá ser entregado a quien fuera cónyuge, compañero o compañera permanente de la víctima, al momento de la muerte de ésta, según corresponda;</w:t>
      </w:r>
    </w:p>
    <w:p w:rsidR="00D05F7B" w:rsidRPr="00873FEC" w:rsidRDefault="00D05F7B" w:rsidP="00126E97">
      <w:pPr>
        <w:autoSpaceDE w:val="0"/>
        <w:autoSpaceDN w:val="0"/>
        <w:adjustRightInd w:val="0"/>
        <w:spacing w:after="0" w:line="20" w:lineRule="atLeast"/>
        <w:ind w:left="284"/>
        <w:jc w:val="both"/>
        <w:rPr>
          <w:rFonts w:ascii="Verdana" w:hAnsi="Verdana" w:cs="Verdana"/>
          <w:sz w:val="20"/>
          <w:szCs w:val="20"/>
          <w:lang w:val="es-CR"/>
        </w:rPr>
      </w:pPr>
      <w:r w:rsidRPr="00873FEC">
        <w:rPr>
          <w:rFonts w:ascii="Verdana" w:hAnsi="Verdana" w:cs="Verdana"/>
          <w:sz w:val="20"/>
          <w:szCs w:val="20"/>
          <w:lang w:val="es-CR"/>
        </w:rPr>
        <w:t xml:space="preserve">c) en el evento de que la víctima no tuviese hijos o cónyuge, compañero o compañera permanente, lo que hubiere correspondido a los familiares ubicados en esa categoría acrecerá a la parte que le corresponda a la otra categoría; </w:t>
      </w:r>
    </w:p>
    <w:p w:rsidR="00D05F7B" w:rsidRPr="00873FEC" w:rsidRDefault="00D05F7B" w:rsidP="00126E97">
      <w:pPr>
        <w:autoSpaceDE w:val="0"/>
        <w:autoSpaceDN w:val="0"/>
        <w:adjustRightInd w:val="0"/>
        <w:spacing w:after="0" w:line="20" w:lineRule="atLeast"/>
        <w:ind w:left="284"/>
        <w:jc w:val="both"/>
        <w:rPr>
          <w:rFonts w:ascii="Verdana" w:hAnsi="Verdana" w:cs="Verdana"/>
          <w:sz w:val="20"/>
          <w:szCs w:val="20"/>
          <w:lang w:val="es-CR"/>
        </w:rPr>
      </w:pPr>
      <w:r w:rsidRPr="00873FEC">
        <w:rPr>
          <w:rFonts w:ascii="Verdana" w:hAnsi="Verdana" w:cs="Verdana"/>
          <w:sz w:val="20"/>
          <w:szCs w:val="20"/>
          <w:lang w:val="es-CR"/>
        </w:rPr>
        <w:t>d) en el caso de que la víctima no tuviere hijos ni cónyuge ni compañero o compañera permanente, la indemnización del daño material será entregado a sus padres o, en su defecto, a sus hermanos en partes iguales, y</w:t>
      </w:r>
    </w:p>
    <w:p w:rsidR="00D05F7B" w:rsidRPr="00873FEC" w:rsidRDefault="00D05F7B" w:rsidP="00126E97">
      <w:pPr>
        <w:autoSpaceDE w:val="0"/>
        <w:autoSpaceDN w:val="0"/>
        <w:adjustRightInd w:val="0"/>
        <w:spacing w:after="0" w:line="20" w:lineRule="atLeast"/>
        <w:ind w:left="284"/>
        <w:jc w:val="both"/>
        <w:rPr>
          <w:rFonts w:ascii="Verdana" w:eastAsia="Batang" w:hAnsi="Verdana" w:cs="Times"/>
          <w:sz w:val="20"/>
          <w:szCs w:val="20"/>
          <w:lang w:eastAsia="es-CR"/>
        </w:rPr>
      </w:pPr>
      <w:r w:rsidRPr="00873FEC">
        <w:rPr>
          <w:rFonts w:ascii="Verdana" w:hAnsi="Verdana" w:cs="Verdana"/>
          <w:sz w:val="20"/>
          <w:szCs w:val="20"/>
          <w:lang w:val="es-CR"/>
        </w:rPr>
        <w:t>e) en el evento de que la víctima no hubiera tenido ni hijos, ni cónyuge, compañera o compañero, ni padres, ni hermanos, la indemnización deberá ser pagada a los herederos de acuerdo con el derecho sucesorio interno.</w:t>
      </w:r>
    </w:p>
    <w:p w:rsidR="00D05F7B" w:rsidRPr="00873FEC" w:rsidRDefault="00D05F7B" w:rsidP="00126E97">
      <w:pPr>
        <w:tabs>
          <w:tab w:val="left" w:pos="6340"/>
        </w:tabs>
        <w:spacing w:after="0" w:line="20" w:lineRule="atLeast"/>
        <w:jc w:val="both"/>
        <w:rPr>
          <w:rFonts w:ascii="Verdana" w:eastAsia="Calibri" w:hAnsi="Verdana" w:cs="Verdana"/>
          <w:color w:val="000000"/>
          <w:sz w:val="20"/>
          <w:szCs w:val="20"/>
          <w:lang w:eastAsia="es-CR"/>
        </w:rPr>
      </w:pPr>
    </w:p>
    <w:p w:rsidR="00D05F7B" w:rsidRPr="00873FEC" w:rsidRDefault="00E35130" w:rsidP="00126E97">
      <w:pPr>
        <w:keepNext/>
        <w:keepLines/>
        <w:spacing w:after="0" w:line="20" w:lineRule="atLeast"/>
        <w:ind w:left="567"/>
        <w:jc w:val="both"/>
        <w:outlineLvl w:val="2"/>
        <w:rPr>
          <w:rFonts w:ascii="Verdana" w:eastAsia="Cambria" w:hAnsi="Verdana" w:cs="Times"/>
          <w:i/>
          <w:sz w:val="20"/>
          <w:szCs w:val="24"/>
          <w:lang w:val="en-US" w:eastAsia="es-CR"/>
        </w:rPr>
      </w:pPr>
      <w:bookmarkStart w:id="255" w:name="_Toc520207633"/>
      <w:bookmarkStart w:id="256" w:name="_Toc521694843"/>
      <w:bookmarkStart w:id="257" w:name="_Toc525201215"/>
      <w:bookmarkEnd w:id="255"/>
      <w:r w:rsidRPr="00873FEC">
        <w:rPr>
          <w:rFonts w:ascii="Verdana" w:eastAsia="Cambria" w:hAnsi="Verdana" w:cs="Times"/>
          <w:i/>
          <w:sz w:val="20"/>
          <w:szCs w:val="24"/>
          <w:lang w:val="en-US" w:eastAsia="es-CR"/>
        </w:rPr>
        <w:t>E</w:t>
      </w:r>
      <w:r w:rsidR="00D05F7B" w:rsidRPr="00873FEC">
        <w:rPr>
          <w:rFonts w:ascii="Verdana" w:eastAsia="Cambria" w:hAnsi="Verdana" w:cs="Times"/>
          <w:i/>
          <w:sz w:val="20"/>
          <w:szCs w:val="24"/>
          <w:lang w:val="en-US" w:eastAsia="es-CR"/>
        </w:rPr>
        <w:t xml:space="preserve">.2. </w:t>
      </w:r>
      <w:proofErr w:type="spellStart"/>
      <w:r w:rsidR="00D05F7B" w:rsidRPr="00873FEC">
        <w:rPr>
          <w:rFonts w:ascii="Verdana" w:eastAsia="Cambria" w:hAnsi="Verdana" w:cs="Times"/>
          <w:i/>
          <w:sz w:val="20"/>
          <w:szCs w:val="24"/>
          <w:u w:val="single"/>
          <w:lang w:val="en-US" w:eastAsia="es-CR"/>
        </w:rPr>
        <w:t>Daño</w:t>
      </w:r>
      <w:proofErr w:type="spellEnd"/>
      <w:r w:rsidR="00D05F7B" w:rsidRPr="00873FEC">
        <w:rPr>
          <w:rFonts w:ascii="Verdana" w:eastAsia="Cambria" w:hAnsi="Verdana" w:cs="Times"/>
          <w:i/>
          <w:sz w:val="20"/>
          <w:szCs w:val="24"/>
          <w:u w:val="single"/>
          <w:lang w:val="en-US" w:eastAsia="es-CR"/>
        </w:rPr>
        <w:t xml:space="preserve"> </w:t>
      </w:r>
      <w:proofErr w:type="spellStart"/>
      <w:r w:rsidR="00D05F7B" w:rsidRPr="00873FEC">
        <w:rPr>
          <w:rFonts w:ascii="Verdana" w:eastAsia="Cambria" w:hAnsi="Verdana" w:cs="Times"/>
          <w:i/>
          <w:sz w:val="20"/>
          <w:szCs w:val="24"/>
          <w:u w:val="single"/>
          <w:lang w:val="en-US" w:eastAsia="es-CR"/>
        </w:rPr>
        <w:t>inmaterial</w:t>
      </w:r>
      <w:bookmarkEnd w:id="256"/>
      <w:bookmarkEnd w:id="257"/>
      <w:proofErr w:type="spellEnd"/>
      <w:r w:rsidR="00D05F7B" w:rsidRPr="00873FEC">
        <w:rPr>
          <w:rFonts w:ascii="Verdana" w:eastAsia="Cambria" w:hAnsi="Verdana" w:cs="Times"/>
          <w:i/>
          <w:sz w:val="20"/>
          <w:szCs w:val="24"/>
          <w:lang w:val="en-US" w:eastAsia="es-CR"/>
        </w:rPr>
        <w:t xml:space="preserve"> </w:t>
      </w:r>
    </w:p>
    <w:p w:rsidR="00D05F7B" w:rsidRPr="00873FEC" w:rsidRDefault="00D05F7B" w:rsidP="00126E97">
      <w:pPr>
        <w:spacing w:after="0" w:line="20" w:lineRule="atLeast"/>
        <w:ind w:right="-138"/>
        <w:jc w:val="both"/>
        <w:rPr>
          <w:rFonts w:ascii="Verdana" w:eastAsia="Batang" w:hAnsi="Verdana" w:cs="Times"/>
          <w:sz w:val="20"/>
          <w:szCs w:val="24"/>
          <w:lang w:val="es-CR"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MS Mincho" w:hAnsi="Verdana" w:cs="Times"/>
          <w:iCs/>
          <w:sz w:val="20"/>
          <w:szCs w:val="20"/>
          <w:lang w:eastAsia="es-CR"/>
        </w:rPr>
        <w:t>Las</w:t>
      </w:r>
      <w:r w:rsidRPr="00873FEC">
        <w:rPr>
          <w:rFonts w:ascii="Verdana" w:eastAsia="MS Mincho" w:hAnsi="Verdana" w:cs="Times"/>
          <w:i/>
          <w:sz w:val="20"/>
          <w:szCs w:val="20"/>
          <w:lang w:eastAsia="es-CR"/>
        </w:rPr>
        <w:t xml:space="preserve"> </w:t>
      </w:r>
      <w:r w:rsidRPr="00873FEC">
        <w:rPr>
          <w:rFonts w:ascii="Verdana" w:eastAsia="MS Mincho" w:hAnsi="Verdana" w:cs="Times"/>
          <w:b/>
          <w:i/>
          <w:sz w:val="20"/>
          <w:szCs w:val="20"/>
          <w:lang w:eastAsia="es-CR"/>
        </w:rPr>
        <w:t>representantes</w:t>
      </w:r>
      <w:r w:rsidRPr="00873FEC">
        <w:rPr>
          <w:rFonts w:ascii="Verdana" w:eastAsia="MS Mincho" w:hAnsi="Verdana" w:cs="Times"/>
          <w:sz w:val="20"/>
          <w:szCs w:val="20"/>
          <w:lang w:eastAsia="es-CR"/>
        </w:rPr>
        <w:t xml:space="preserve"> solicitaron a la Corte una compensación de Q 500,000.00, lo que equivale a USD $66,894.64 por persona por daño moral, sin distinguir entre las personas fallecidas y heridas, y sin explicar las razones que dan base al monto solicitado. </w:t>
      </w:r>
    </w:p>
    <w:p w:rsidR="00D05F7B" w:rsidRPr="00873FEC" w:rsidRDefault="00D05F7B" w:rsidP="00126E97">
      <w:pPr>
        <w:spacing w:after="0" w:line="20" w:lineRule="atLeast"/>
        <w:ind w:right="-138"/>
        <w:jc w:val="both"/>
        <w:rPr>
          <w:rFonts w:ascii="Verdana" w:eastAsia="Batang" w:hAnsi="Verdana" w:cs="Times"/>
          <w:sz w:val="20"/>
          <w:szCs w:val="24"/>
          <w:lang w:val="es-CR"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MS Mincho" w:hAnsi="Verdana" w:cs="Times"/>
          <w:sz w:val="20"/>
          <w:szCs w:val="20"/>
          <w:lang w:eastAsia="es-CR"/>
        </w:rPr>
        <w:t xml:space="preserve">El </w:t>
      </w:r>
      <w:r w:rsidRPr="00873FEC">
        <w:rPr>
          <w:rFonts w:ascii="Verdana" w:eastAsia="MS Mincho" w:hAnsi="Verdana" w:cs="Times"/>
          <w:b/>
          <w:i/>
          <w:sz w:val="20"/>
          <w:szCs w:val="20"/>
          <w:lang w:eastAsia="es-CR"/>
        </w:rPr>
        <w:t>Estado</w:t>
      </w:r>
      <w:r w:rsidRPr="00873FEC">
        <w:rPr>
          <w:rFonts w:ascii="Verdana" w:eastAsia="MS Mincho" w:hAnsi="Verdana" w:cs="Times"/>
          <w:sz w:val="20"/>
          <w:szCs w:val="20"/>
          <w:lang w:eastAsia="es-CR"/>
        </w:rPr>
        <w:t xml:space="preserve"> argumentó que en caso de que se encontrase responsabilidad internacional del Estado, la Corte deberá tomar en cuenta estos aspectos con base en las pruebas que constan dentro del proceso internacional para determinar si corresponde un pago por daño inmaterial a favor de las víctimas del caso.</w:t>
      </w:r>
    </w:p>
    <w:p w:rsidR="00D05F7B" w:rsidRPr="00873FEC" w:rsidRDefault="00D05F7B" w:rsidP="00126E97">
      <w:pPr>
        <w:spacing w:after="0" w:line="20" w:lineRule="atLeast"/>
        <w:ind w:left="720"/>
        <w:contextualSpacing/>
        <w:rPr>
          <w:rFonts w:ascii="Calibri" w:eastAsia="Calibri" w:hAnsi="Calibri" w:cs="Times"/>
          <w:szCs w:val="20"/>
          <w:lang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eastAsia="es-CR"/>
        </w:rPr>
        <w:t xml:space="preserve">La </w:t>
      </w:r>
      <w:r w:rsidRPr="00873FEC">
        <w:rPr>
          <w:rFonts w:ascii="Verdana" w:eastAsia="Batang" w:hAnsi="Verdana" w:cs="Times"/>
          <w:b/>
          <w:i/>
          <w:sz w:val="20"/>
          <w:szCs w:val="20"/>
          <w:lang w:eastAsia="es-CR"/>
        </w:rPr>
        <w:t>Corte</w:t>
      </w:r>
      <w:r w:rsidRPr="00873FEC">
        <w:rPr>
          <w:rFonts w:ascii="Verdana" w:eastAsia="Batang" w:hAnsi="Verdana" w:cs="Times"/>
          <w:sz w:val="20"/>
          <w:szCs w:val="20"/>
          <w:lang w:eastAsia="es-CR"/>
        </w:rPr>
        <w:t xml:space="preserve"> ha establecido que el daño inmaterial puede comprender tanto los sufrimientos y las aflicciones causados por la violación como el menoscabo de valores muy significativos para las personas y alteraciones, de carácter no pecuniario, en las condiciones de existencia de las víctimas</w:t>
      </w:r>
      <w:r w:rsidRPr="00873FEC">
        <w:rPr>
          <w:rFonts w:ascii="Verdana" w:eastAsia="Batang" w:hAnsi="Verdana" w:cs="Times New Roman"/>
          <w:sz w:val="20"/>
          <w:szCs w:val="20"/>
          <w:vertAlign w:val="superscript"/>
          <w:lang w:val="es-CR" w:eastAsia="x-none"/>
        </w:rPr>
        <w:footnoteReference w:id="235"/>
      </w:r>
      <w:r w:rsidRPr="00873FEC">
        <w:rPr>
          <w:rFonts w:ascii="Verdana" w:eastAsia="Batang" w:hAnsi="Verdana" w:cs="Times"/>
          <w:sz w:val="20"/>
          <w:szCs w:val="20"/>
          <w:lang w:val="es-CR" w:eastAsia="es-CR"/>
        </w:rPr>
        <w:t xml:space="preserve">. </w:t>
      </w:r>
      <w:r w:rsidRPr="00873FEC">
        <w:rPr>
          <w:rFonts w:ascii="Verdana" w:eastAsia="Batang" w:hAnsi="Verdana" w:cs="Times"/>
          <w:sz w:val="20"/>
          <w:szCs w:val="20"/>
          <w:lang w:eastAsia="es-CR"/>
        </w:rPr>
        <w:t xml:space="preserve">Por otra parte, dado que no es posible asignar al daño inmaterial un equivalente monetario preciso, sólo puede ser objeto de </w:t>
      </w:r>
      <w:r w:rsidRPr="00873FEC">
        <w:rPr>
          <w:rFonts w:ascii="Verdana" w:eastAsia="Batang" w:hAnsi="Verdana" w:cs="Times"/>
          <w:sz w:val="20"/>
          <w:szCs w:val="20"/>
          <w:lang w:eastAsia="es-CR"/>
        </w:rPr>
        <w:lastRenderedPageBreak/>
        <w:t>compensación, para los fines de la reparación integral a la víctima, mediante el pago de una cantidad de dinero o la entrega de bienes o servicios apreciables en dinero, que el Tribunal determine en aplicación razonable del arbitrio judicial y en términos de equidad</w:t>
      </w:r>
      <w:r w:rsidRPr="00873FEC">
        <w:rPr>
          <w:rFonts w:ascii="Verdana" w:eastAsia="Calibri" w:hAnsi="Verdana" w:cs="Times New Roman"/>
          <w:sz w:val="20"/>
          <w:szCs w:val="20"/>
          <w:vertAlign w:val="superscript"/>
          <w:lang w:val="es-CR" w:eastAsia="x-none"/>
        </w:rPr>
        <w:footnoteReference w:id="236"/>
      </w:r>
      <w:r w:rsidRPr="00873FEC">
        <w:rPr>
          <w:rFonts w:ascii="Verdana" w:eastAsia="Batang" w:hAnsi="Verdana" w:cs="Times"/>
          <w:sz w:val="20"/>
          <w:szCs w:val="20"/>
          <w:lang w:eastAsia="es-CR"/>
        </w:rPr>
        <w:t>.</w:t>
      </w:r>
      <w:r w:rsidRPr="00873FEC">
        <w:rPr>
          <w:rFonts w:ascii="Verdana" w:eastAsia="Batang" w:hAnsi="Verdana" w:cs="Verdana"/>
          <w:sz w:val="20"/>
          <w:szCs w:val="20"/>
          <w:lang w:val="es-CR" w:eastAsia="es-CR"/>
        </w:rPr>
        <w:t xml:space="preserve"> </w:t>
      </w:r>
    </w:p>
    <w:p w:rsidR="00D05F7B" w:rsidRPr="00873FEC" w:rsidRDefault="00D05F7B" w:rsidP="00126E97">
      <w:pPr>
        <w:spacing w:after="0" w:line="20" w:lineRule="atLeast"/>
        <w:ind w:left="720"/>
        <w:contextualSpacing/>
        <w:rPr>
          <w:rFonts w:ascii="Calibri" w:eastAsia="Calibri" w:hAnsi="Calibri" w:cs="Times"/>
          <w:szCs w:val="20"/>
          <w:lang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b/>
          <w:sz w:val="20"/>
          <w:szCs w:val="24"/>
          <w:lang w:val="es-CR" w:eastAsia="es-CR"/>
        </w:rPr>
      </w:pPr>
      <w:r w:rsidRPr="00873FEC">
        <w:rPr>
          <w:rFonts w:ascii="Verdana" w:eastAsia="Batang" w:hAnsi="Verdana" w:cs="Times"/>
          <w:sz w:val="20"/>
          <w:szCs w:val="20"/>
          <w:lang w:eastAsia="es-CR"/>
        </w:rPr>
        <w:t>En el presente caso, la Corte nota que no se dieron argumentos ni prueba que fundamenten el monto solicitado por los representantes</w:t>
      </w:r>
      <w:r w:rsidRPr="00873FEC">
        <w:rPr>
          <w:rFonts w:ascii="Verdana" w:eastAsia="Batang" w:hAnsi="Verdana" w:cs="Times"/>
          <w:bCs/>
          <w:sz w:val="20"/>
          <w:szCs w:val="20"/>
          <w:lang w:eastAsia="es-CR"/>
        </w:rPr>
        <w:t xml:space="preserve">. </w:t>
      </w:r>
      <w:r w:rsidRPr="00873FEC">
        <w:rPr>
          <w:rFonts w:ascii="Verdana" w:eastAsia="Batang" w:hAnsi="Verdana" w:cs="Times"/>
          <w:sz w:val="20"/>
          <w:szCs w:val="20"/>
          <w:lang w:eastAsia="es-CR"/>
        </w:rPr>
        <w:t>No obstante, en atención a los criterios establecidos en la jurisprudencia de este Tribunal, las circunstancias del presente caso, la entidad, carácter y gravedad de las violaciones cometidas, así como los sufrimientos ocasionados a las víctimas</w:t>
      </w:r>
      <w:r w:rsidRPr="00873FEC">
        <w:rPr>
          <w:rFonts w:ascii="Verdana" w:eastAsia="Batang" w:hAnsi="Verdana" w:cs="Times New Roman"/>
          <w:sz w:val="20"/>
          <w:szCs w:val="20"/>
          <w:vertAlign w:val="superscript"/>
          <w:lang w:eastAsia="x-none"/>
        </w:rPr>
        <w:footnoteReference w:id="237"/>
      </w:r>
      <w:r w:rsidRPr="00873FEC">
        <w:rPr>
          <w:rFonts w:ascii="Verdana" w:eastAsia="Batang" w:hAnsi="Verdana" w:cs="Times"/>
          <w:sz w:val="20"/>
          <w:szCs w:val="20"/>
          <w:lang w:eastAsia="es-CR"/>
        </w:rPr>
        <w:t xml:space="preserve">, la Corte estima pertinente fijar, en equidad: </w:t>
      </w:r>
    </w:p>
    <w:p w:rsidR="00D05F7B" w:rsidRPr="00873FEC" w:rsidRDefault="00D05F7B" w:rsidP="00126E97">
      <w:pPr>
        <w:spacing w:after="0" w:line="20" w:lineRule="atLeast"/>
        <w:ind w:left="284" w:right="-138"/>
        <w:jc w:val="both"/>
        <w:rPr>
          <w:rFonts w:ascii="Verdana" w:eastAsia="Batang" w:hAnsi="Verdana" w:cs="Times"/>
          <w:sz w:val="20"/>
          <w:szCs w:val="24"/>
          <w:lang w:eastAsia="es-CR"/>
        </w:rPr>
      </w:pPr>
      <w:r w:rsidRPr="00873FEC">
        <w:rPr>
          <w:rFonts w:ascii="Verdana" w:eastAsia="Batang" w:hAnsi="Verdana" w:cs="Times"/>
          <w:sz w:val="20"/>
          <w:szCs w:val="20"/>
          <w:lang w:eastAsia="es-CR"/>
        </w:rPr>
        <w:t>a) respecto de cada una de las ocho víctimas fallecidas cuyo derecho a la vida se declaró violado,</w:t>
      </w:r>
      <w:r w:rsidRPr="00873FEC">
        <w:rPr>
          <w:rFonts w:ascii="Verdana" w:eastAsia="Batang" w:hAnsi="Verdana" w:cs="Times"/>
          <w:sz w:val="20"/>
          <w:szCs w:val="24"/>
          <w:lang w:val="es-CR" w:eastAsia="es-CR"/>
        </w:rPr>
        <w:t xml:space="preserve"> que se nombraran en el Anexo B.2</w:t>
      </w:r>
      <w:r w:rsidRPr="00873FEC">
        <w:rPr>
          <w:rFonts w:ascii="Verdana" w:eastAsia="Batang" w:hAnsi="Verdana" w:cs="Times"/>
          <w:b/>
          <w:sz w:val="20"/>
          <w:szCs w:val="24"/>
          <w:lang w:val="es-CR" w:eastAsia="es-CR"/>
        </w:rPr>
        <w:t xml:space="preserve"> </w:t>
      </w:r>
      <w:r w:rsidRPr="00873FEC">
        <w:rPr>
          <w:rFonts w:ascii="Verdana" w:eastAsia="Batang" w:hAnsi="Verdana" w:cs="Times"/>
          <w:sz w:val="20"/>
          <w:szCs w:val="24"/>
          <w:lang w:val="es-CR" w:eastAsia="es-CR"/>
        </w:rPr>
        <w:t>de la presente Sentencia,</w:t>
      </w:r>
      <w:r w:rsidRPr="00873FEC">
        <w:rPr>
          <w:rFonts w:ascii="Verdana" w:eastAsia="Batang" w:hAnsi="Verdana" w:cs="Times"/>
          <w:sz w:val="20"/>
          <w:szCs w:val="20"/>
          <w:lang w:eastAsia="es-CR"/>
        </w:rPr>
        <w:t xml:space="preserve"> US$ 80,000.00 (ochenta mil dólares </w:t>
      </w:r>
      <w:r w:rsidRPr="00873FEC">
        <w:rPr>
          <w:rFonts w:ascii="Verdana" w:eastAsia="MS Mincho" w:hAnsi="Verdana" w:cs="Times"/>
          <w:sz w:val="20"/>
          <w:szCs w:val="20"/>
          <w:lang w:eastAsia="es-CR"/>
        </w:rPr>
        <w:t>de los Estados Unidos de América);</w:t>
      </w:r>
      <w:r w:rsidRPr="00873FEC">
        <w:rPr>
          <w:rFonts w:ascii="Verdana" w:eastAsia="Batang" w:hAnsi="Verdana" w:cs="Times"/>
          <w:sz w:val="20"/>
          <w:szCs w:val="24"/>
          <w:lang w:eastAsia="es-CR"/>
        </w:rPr>
        <w:t xml:space="preserve"> </w:t>
      </w:r>
    </w:p>
    <w:p w:rsidR="00D05F7B" w:rsidRPr="00873FEC" w:rsidRDefault="00D05F7B" w:rsidP="00126E97">
      <w:pPr>
        <w:spacing w:after="0" w:line="20" w:lineRule="atLeast"/>
        <w:ind w:left="284" w:right="-138"/>
        <w:jc w:val="both"/>
        <w:rPr>
          <w:rFonts w:ascii="Verdana" w:eastAsia="Batang" w:hAnsi="Verdana" w:cs="Times"/>
          <w:sz w:val="20"/>
          <w:szCs w:val="24"/>
          <w:lang w:eastAsia="es-CR"/>
        </w:rPr>
      </w:pPr>
      <w:r w:rsidRPr="00873FEC">
        <w:rPr>
          <w:rFonts w:ascii="Verdana" w:eastAsia="Batang" w:hAnsi="Verdana" w:cs="Times"/>
          <w:sz w:val="20"/>
          <w:szCs w:val="24"/>
          <w:lang w:eastAsia="es-CR"/>
        </w:rPr>
        <w:t xml:space="preserve">b) respecto de cada una de las tres víctimas fallecidas siendo niña o niño cuyo derecho a la vida se declaró violado, que se nombran en el Anexo B.4 de la presente Sentencia, US$ 90,000.00 (noventa mil dólares de los Estados Unidos de América); </w:t>
      </w:r>
    </w:p>
    <w:p w:rsidR="00D05F7B" w:rsidRPr="00873FEC" w:rsidRDefault="00D05F7B" w:rsidP="00126E97">
      <w:pPr>
        <w:spacing w:after="0" w:line="20" w:lineRule="atLeast"/>
        <w:ind w:left="284" w:right="-138"/>
        <w:jc w:val="both"/>
        <w:rPr>
          <w:rFonts w:ascii="Verdana" w:eastAsia="MS Mincho" w:hAnsi="Verdana" w:cs="Times"/>
          <w:sz w:val="20"/>
          <w:szCs w:val="20"/>
          <w:lang w:eastAsia="es-CR"/>
        </w:rPr>
      </w:pPr>
      <w:r w:rsidRPr="00873FEC">
        <w:rPr>
          <w:rFonts w:ascii="Verdana" w:eastAsia="Batang" w:hAnsi="Verdana" w:cs="Times"/>
          <w:sz w:val="20"/>
          <w:szCs w:val="24"/>
          <w:lang w:eastAsia="es-CR"/>
        </w:rPr>
        <w:t xml:space="preserve">c) </w:t>
      </w:r>
      <w:r w:rsidRPr="00873FEC">
        <w:rPr>
          <w:rFonts w:ascii="Verdana" w:eastAsia="MS Mincho" w:hAnsi="Verdana" w:cs="Times"/>
          <w:sz w:val="20"/>
          <w:szCs w:val="20"/>
          <w:lang w:eastAsia="es-CR"/>
        </w:rPr>
        <w:t>respecto de cada una de las 29 víctimas heridas, cuyo derecho a la integridad personal se declaró violado,</w:t>
      </w:r>
      <w:r w:rsidRPr="00873FEC">
        <w:rPr>
          <w:rFonts w:ascii="Verdana" w:eastAsia="Batang" w:hAnsi="Verdana" w:cs="Times"/>
          <w:sz w:val="20"/>
          <w:szCs w:val="24"/>
          <w:lang w:eastAsia="es-CR"/>
        </w:rPr>
        <w:t xml:space="preserve"> que se nombran en el Anexo B.3 de la presente Sentencia,</w:t>
      </w:r>
      <w:r w:rsidRPr="00873FEC">
        <w:rPr>
          <w:rFonts w:ascii="Verdana" w:eastAsia="MS Mincho" w:hAnsi="Verdana" w:cs="Times"/>
          <w:sz w:val="20"/>
          <w:szCs w:val="20"/>
          <w:lang w:eastAsia="es-CR"/>
        </w:rPr>
        <w:t xml:space="preserve"> </w:t>
      </w:r>
      <w:r w:rsidRPr="00873FEC">
        <w:rPr>
          <w:rFonts w:ascii="Verdana" w:eastAsia="Batang" w:hAnsi="Verdana" w:cs="Times"/>
          <w:sz w:val="20"/>
          <w:szCs w:val="20"/>
          <w:lang w:eastAsia="es-CR"/>
        </w:rPr>
        <w:t xml:space="preserve">USD $20,000.00 (veinte mil dólares </w:t>
      </w:r>
      <w:r w:rsidRPr="00873FEC">
        <w:rPr>
          <w:rFonts w:ascii="Verdana" w:eastAsia="MS Mincho" w:hAnsi="Verdana" w:cs="Times"/>
          <w:sz w:val="20"/>
          <w:szCs w:val="20"/>
          <w:lang w:eastAsia="es-CR"/>
        </w:rPr>
        <w:t xml:space="preserve">de los Estados Unidos de América); </w:t>
      </w:r>
    </w:p>
    <w:p w:rsidR="00D05F7B" w:rsidRPr="00873FEC" w:rsidRDefault="00D05F7B" w:rsidP="00126E97">
      <w:pPr>
        <w:spacing w:after="0" w:line="20" w:lineRule="atLeast"/>
        <w:ind w:left="284" w:right="-138"/>
        <w:jc w:val="both"/>
        <w:rPr>
          <w:rFonts w:ascii="Verdana" w:eastAsia="MS Mincho" w:hAnsi="Verdana" w:cs="Times"/>
          <w:sz w:val="20"/>
          <w:szCs w:val="20"/>
          <w:lang w:eastAsia="es-CR"/>
        </w:rPr>
      </w:pPr>
      <w:r w:rsidRPr="00873FEC">
        <w:rPr>
          <w:rFonts w:ascii="Verdana" w:eastAsia="MS Mincho" w:hAnsi="Verdana" w:cs="Times"/>
          <w:sz w:val="20"/>
          <w:szCs w:val="20"/>
          <w:lang w:eastAsia="es-CR"/>
        </w:rPr>
        <w:t xml:space="preserve">d) respecto de cada una de las personas familiares de 10 víctimas fallecidas indicadas en los puntos a) y b) que se nombran en el Anexo B.5 de la presente Sentencia, </w:t>
      </w:r>
      <w:r w:rsidRPr="00873FEC">
        <w:rPr>
          <w:rFonts w:ascii="Verdana" w:eastAsia="Batang" w:hAnsi="Verdana" w:cs="Times"/>
          <w:sz w:val="20"/>
          <w:szCs w:val="20"/>
          <w:lang w:eastAsia="es-CR"/>
        </w:rPr>
        <w:t xml:space="preserve">USD $10,000.00 (diez mil dólares </w:t>
      </w:r>
      <w:r w:rsidRPr="00873FEC">
        <w:rPr>
          <w:rFonts w:ascii="Verdana" w:eastAsia="MS Mincho" w:hAnsi="Verdana" w:cs="Times"/>
          <w:sz w:val="20"/>
          <w:szCs w:val="20"/>
          <w:lang w:eastAsia="es-CR"/>
        </w:rPr>
        <w:t>de los Estados Unidos de América)</w:t>
      </w:r>
      <w:r w:rsidRPr="00873FEC">
        <w:rPr>
          <w:rFonts w:ascii="Verdana" w:eastAsia="MS Mincho" w:hAnsi="Verdana" w:cs="Times New Roman"/>
          <w:sz w:val="20"/>
          <w:szCs w:val="20"/>
          <w:vertAlign w:val="superscript"/>
          <w:lang w:eastAsia="es-CR"/>
        </w:rPr>
        <w:footnoteReference w:id="238"/>
      </w:r>
      <w:r w:rsidRPr="00873FEC">
        <w:rPr>
          <w:rFonts w:ascii="Verdana" w:eastAsia="MS Mincho" w:hAnsi="Verdana" w:cs="Times"/>
          <w:sz w:val="20"/>
          <w:szCs w:val="20"/>
          <w:lang w:eastAsia="es-CR"/>
        </w:rPr>
        <w:t xml:space="preserve">, y </w:t>
      </w:r>
    </w:p>
    <w:p w:rsidR="002212CF" w:rsidRPr="00873FEC" w:rsidRDefault="00D05F7B" w:rsidP="00126E97">
      <w:pPr>
        <w:spacing w:after="0" w:line="20" w:lineRule="atLeast"/>
        <w:ind w:left="284" w:right="-138"/>
        <w:jc w:val="both"/>
        <w:rPr>
          <w:rFonts w:ascii="Verdana" w:eastAsia="MS Mincho" w:hAnsi="Verdana" w:cs="Times"/>
          <w:sz w:val="20"/>
          <w:szCs w:val="20"/>
          <w:lang w:eastAsia="es-CR"/>
        </w:rPr>
      </w:pPr>
      <w:r w:rsidRPr="00873FEC">
        <w:rPr>
          <w:rFonts w:ascii="Verdana" w:eastAsia="MS Mincho" w:hAnsi="Verdana" w:cs="Times"/>
          <w:sz w:val="20"/>
          <w:szCs w:val="20"/>
          <w:lang w:eastAsia="es-CR"/>
        </w:rPr>
        <w:t xml:space="preserve">e) respecto a cada una de las personas que solo vieron vulnerados sus derechos a las garantías judiciales y protección judicial, </w:t>
      </w:r>
      <w:r w:rsidRPr="00873FEC">
        <w:rPr>
          <w:rFonts w:ascii="Verdana" w:eastAsia="Batang" w:hAnsi="Verdana" w:cs="Times"/>
          <w:sz w:val="20"/>
          <w:szCs w:val="20"/>
          <w:lang w:eastAsia="es-CR"/>
        </w:rPr>
        <w:t xml:space="preserve">USD $5,000.00 (cinco mil dólares </w:t>
      </w:r>
      <w:r w:rsidRPr="00873FEC">
        <w:rPr>
          <w:rFonts w:ascii="Verdana" w:eastAsia="MS Mincho" w:hAnsi="Verdana" w:cs="Times"/>
          <w:sz w:val="20"/>
          <w:szCs w:val="20"/>
          <w:lang w:eastAsia="es-CR"/>
        </w:rPr>
        <w:t xml:space="preserve">de los Estados Unidos de América). Las personas comprendidas en este último grupo son las siguientes: </w:t>
      </w:r>
      <w:r w:rsidR="002212CF" w:rsidRPr="00873FEC">
        <w:rPr>
          <w:rFonts w:ascii="Verdana" w:eastAsia="MS Mincho" w:hAnsi="Verdana" w:cs="Times"/>
          <w:sz w:val="20"/>
          <w:szCs w:val="20"/>
          <w:lang w:eastAsia="es-CR"/>
        </w:rPr>
        <w:t>1.-Manuela Pop</w:t>
      </w:r>
      <w:r w:rsidR="00FA5CA1">
        <w:rPr>
          <w:rFonts w:ascii="Verdana" w:eastAsia="MS Mincho" w:hAnsi="Verdana" w:cs="Times"/>
          <w:sz w:val="20"/>
          <w:szCs w:val="20"/>
          <w:lang w:eastAsia="es-CR"/>
        </w:rPr>
        <w:t xml:space="preserve"> </w:t>
      </w:r>
      <w:proofErr w:type="spellStart"/>
      <w:r w:rsidR="00FA5CA1">
        <w:rPr>
          <w:rFonts w:ascii="Verdana" w:eastAsia="MS Mincho" w:hAnsi="Verdana" w:cs="Times"/>
          <w:sz w:val="20"/>
          <w:szCs w:val="20"/>
          <w:lang w:eastAsia="es-CR"/>
        </w:rPr>
        <w:t>Choc</w:t>
      </w:r>
      <w:proofErr w:type="spellEnd"/>
      <w:r w:rsidR="002212CF" w:rsidRPr="00873FEC">
        <w:rPr>
          <w:rFonts w:ascii="Verdana" w:eastAsia="MS Mincho" w:hAnsi="Verdana" w:cs="Times"/>
          <w:sz w:val="20"/>
          <w:szCs w:val="20"/>
          <w:lang w:eastAsia="es-CR"/>
        </w:rPr>
        <w:t xml:space="preserve">; 2.-Francisco </w:t>
      </w:r>
      <w:proofErr w:type="spellStart"/>
      <w:r w:rsidR="002212CF" w:rsidRPr="00873FEC">
        <w:rPr>
          <w:rFonts w:ascii="Verdana" w:eastAsia="MS Mincho" w:hAnsi="Verdana" w:cs="Times"/>
          <w:sz w:val="20"/>
          <w:szCs w:val="20"/>
          <w:lang w:eastAsia="es-CR"/>
        </w:rPr>
        <w:t>Quip</w:t>
      </w:r>
      <w:proofErr w:type="spellEnd"/>
      <w:r w:rsidR="002212CF" w:rsidRPr="00873FEC">
        <w:rPr>
          <w:rFonts w:ascii="Verdana" w:eastAsia="MS Mincho" w:hAnsi="Verdana" w:cs="Times"/>
          <w:sz w:val="20"/>
          <w:szCs w:val="20"/>
          <w:lang w:eastAsia="es-CR"/>
        </w:rPr>
        <w:t xml:space="preserve"> </w:t>
      </w:r>
      <w:proofErr w:type="spellStart"/>
      <w:r w:rsidR="002212CF" w:rsidRPr="00873FEC">
        <w:rPr>
          <w:rFonts w:ascii="Verdana" w:eastAsia="MS Mincho" w:hAnsi="Verdana" w:cs="Times"/>
          <w:sz w:val="20"/>
          <w:szCs w:val="20"/>
          <w:lang w:eastAsia="es-CR"/>
        </w:rPr>
        <w:t>Choc</w:t>
      </w:r>
      <w:proofErr w:type="spellEnd"/>
      <w:r w:rsidR="002212CF" w:rsidRPr="00873FEC">
        <w:rPr>
          <w:rFonts w:ascii="Verdana" w:eastAsia="MS Mincho" w:hAnsi="Verdana" w:cs="Times"/>
          <w:sz w:val="20"/>
          <w:szCs w:val="20"/>
          <w:lang w:eastAsia="es-CR"/>
        </w:rPr>
        <w:t xml:space="preserve">; 3.-Petrona </w:t>
      </w:r>
      <w:proofErr w:type="spellStart"/>
      <w:r w:rsidR="002212CF" w:rsidRPr="00873FEC">
        <w:rPr>
          <w:rFonts w:ascii="Verdana" w:eastAsia="MS Mincho" w:hAnsi="Verdana" w:cs="Times"/>
          <w:sz w:val="20"/>
          <w:szCs w:val="20"/>
          <w:lang w:eastAsia="es-CR"/>
        </w:rPr>
        <w:t>Quip</w:t>
      </w:r>
      <w:proofErr w:type="spellEnd"/>
      <w:r w:rsidR="002212CF" w:rsidRPr="00873FEC">
        <w:rPr>
          <w:rFonts w:ascii="Verdana" w:eastAsia="MS Mincho" w:hAnsi="Verdana" w:cs="Times"/>
          <w:sz w:val="20"/>
          <w:szCs w:val="20"/>
          <w:lang w:eastAsia="es-CR"/>
        </w:rPr>
        <w:t xml:space="preserve"> Pop; 4.-Margarita </w:t>
      </w:r>
      <w:proofErr w:type="spellStart"/>
      <w:r w:rsidR="002212CF" w:rsidRPr="00873FEC">
        <w:rPr>
          <w:rFonts w:ascii="Verdana" w:eastAsia="MS Mincho" w:hAnsi="Verdana" w:cs="Times"/>
          <w:sz w:val="20"/>
          <w:szCs w:val="20"/>
          <w:lang w:eastAsia="es-CR"/>
        </w:rPr>
        <w:t>Quip</w:t>
      </w:r>
      <w:proofErr w:type="spellEnd"/>
      <w:r w:rsidR="002212CF" w:rsidRPr="00873FEC">
        <w:rPr>
          <w:rFonts w:ascii="Verdana" w:eastAsia="MS Mincho" w:hAnsi="Verdana" w:cs="Times"/>
          <w:sz w:val="20"/>
          <w:szCs w:val="20"/>
          <w:lang w:eastAsia="es-CR"/>
        </w:rPr>
        <w:t xml:space="preserve"> Pop; 5.-Martín </w:t>
      </w:r>
      <w:proofErr w:type="spellStart"/>
      <w:r w:rsidR="002212CF" w:rsidRPr="00873FEC">
        <w:rPr>
          <w:rFonts w:ascii="Verdana" w:eastAsia="MS Mincho" w:hAnsi="Verdana" w:cs="Times"/>
          <w:sz w:val="20"/>
          <w:szCs w:val="20"/>
          <w:lang w:eastAsia="es-CR"/>
        </w:rPr>
        <w:t>Maquín</w:t>
      </w:r>
      <w:proofErr w:type="spellEnd"/>
      <w:r w:rsidR="002212CF" w:rsidRPr="00873FEC">
        <w:rPr>
          <w:rFonts w:ascii="Verdana" w:eastAsia="MS Mincho" w:hAnsi="Verdana" w:cs="Times"/>
          <w:sz w:val="20"/>
          <w:szCs w:val="20"/>
          <w:lang w:eastAsia="es-CR"/>
        </w:rPr>
        <w:t xml:space="preserve"> </w:t>
      </w:r>
      <w:proofErr w:type="spellStart"/>
      <w:r w:rsidR="002212CF" w:rsidRPr="00873FEC">
        <w:rPr>
          <w:rFonts w:ascii="Verdana" w:eastAsia="MS Mincho" w:hAnsi="Verdana" w:cs="Times"/>
          <w:sz w:val="20"/>
          <w:szCs w:val="20"/>
          <w:lang w:eastAsia="es-CR"/>
        </w:rPr>
        <w:t>Quip</w:t>
      </w:r>
      <w:proofErr w:type="spellEnd"/>
      <w:r w:rsidR="002212CF" w:rsidRPr="00873FEC">
        <w:rPr>
          <w:rFonts w:ascii="Verdana" w:eastAsia="MS Mincho" w:hAnsi="Verdana" w:cs="Times"/>
          <w:sz w:val="20"/>
          <w:szCs w:val="20"/>
          <w:lang w:eastAsia="es-CR"/>
        </w:rPr>
        <w:t xml:space="preserve"> Pop; 6.-Dominga </w:t>
      </w:r>
      <w:proofErr w:type="spellStart"/>
      <w:r w:rsidR="002212CF" w:rsidRPr="00873FEC">
        <w:rPr>
          <w:rFonts w:ascii="Verdana" w:eastAsia="MS Mincho" w:hAnsi="Verdana" w:cs="Times"/>
          <w:sz w:val="20"/>
          <w:szCs w:val="20"/>
          <w:lang w:eastAsia="es-CR"/>
        </w:rPr>
        <w:t>Maquín</w:t>
      </w:r>
      <w:proofErr w:type="spellEnd"/>
      <w:r w:rsidR="002212CF" w:rsidRPr="00873FEC">
        <w:rPr>
          <w:rFonts w:ascii="Verdana" w:eastAsia="MS Mincho" w:hAnsi="Verdana" w:cs="Times"/>
          <w:sz w:val="20"/>
          <w:szCs w:val="20"/>
          <w:lang w:eastAsia="es-CR"/>
        </w:rPr>
        <w:t xml:space="preserve"> Pop; 7.-Santiago </w:t>
      </w:r>
      <w:proofErr w:type="spellStart"/>
      <w:r w:rsidR="002212CF" w:rsidRPr="00873FEC">
        <w:rPr>
          <w:rFonts w:ascii="Verdana" w:eastAsia="MS Mincho" w:hAnsi="Verdana" w:cs="Times"/>
          <w:sz w:val="20"/>
          <w:szCs w:val="20"/>
          <w:lang w:eastAsia="es-CR"/>
        </w:rPr>
        <w:t>Quip</w:t>
      </w:r>
      <w:proofErr w:type="spellEnd"/>
      <w:r w:rsidR="002212CF" w:rsidRPr="00873FEC">
        <w:rPr>
          <w:rFonts w:ascii="Verdana" w:eastAsia="MS Mincho" w:hAnsi="Verdana" w:cs="Times"/>
          <w:sz w:val="20"/>
          <w:szCs w:val="20"/>
          <w:lang w:eastAsia="es-CR"/>
        </w:rPr>
        <w:t xml:space="preserve"> Pop; 8.-José Morales Ortiz; 9.-Cruz Maldonado Silvestre; 10. </w:t>
      </w:r>
      <w:proofErr w:type="spellStart"/>
      <w:r w:rsidR="002212CF" w:rsidRPr="00873FEC">
        <w:rPr>
          <w:rFonts w:ascii="Verdana" w:eastAsia="MS Mincho" w:hAnsi="Verdana" w:cs="Times"/>
          <w:sz w:val="20"/>
          <w:szCs w:val="20"/>
          <w:lang w:eastAsia="es-CR"/>
        </w:rPr>
        <w:t>Martalia</w:t>
      </w:r>
      <w:proofErr w:type="spellEnd"/>
      <w:r w:rsidR="002212CF" w:rsidRPr="00873FEC">
        <w:rPr>
          <w:rFonts w:ascii="Verdana" w:eastAsia="MS Mincho" w:hAnsi="Verdana" w:cs="Times"/>
          <w:sz w:val="20"/>
          <w:szCs w:val="20"/>
          <w:lang w:eastAsia="es-CR"/>
        </w:rPr>
        <w:t xml:space="preserve"> Hernández Maldonado; 11.-Andrés Hernández Maldonado, 12.-Florencia Hernández Maldonado.</w:t>
      </w:r>
    </w:p>
    <w:p w:rsidR="00D05F7B" w:rsidRPr="00873FEC" w:rsidRDefault="00D05F7B" w:rsidP="00126E97">
      <w:pPr>
        <w:spacing w:after="0" w:line="20" w:lineRule="atLeast"/>
        <w:ind w:right="-138"/>
        <w:jc w:val="both"/>
        <w:rPr>
          <w:rFonts w:ascii="Verdana" w:eastAsia="Batang" w:hAnsi="Verdana" w:cs="Times"/>
          <w:b/>
          <w:sz w:val="20"/>
          <w:szCs w:val="24"/>
          <w:lang w:val="es-CR" w:eastAsia="es-CR"/>
        </w:rPr>
      </w:pPr>
      <w:r w:rsidRPr="00873FEC">
        <w:rPr>
          <w:rFonts w:ascii="Verdana" w:hAnsi="Verdana" w:cs="Verdana"/>
          <w:sz w:val="20"/>
          <w:szCs w:val="20"/>
          <w:lang w:val="es-CR"/>
        </w:rPr>
        <w:t>Los montos dispuestos a favor de aquellas personas antes referidas que se encuentren fallecidas al momento de emitirse la presente Sentencia, deben ser pagados a sus familiares, en el plazo establecido en el párrafo 19</w:t>
      </w:r>
      <w:r w:rsidR="00214820" w:rsidRPr="00873FEC">
        <w:rPr>
          <w:rFonts w:ascii="Verdana" w:hAnsi="Verdana" w:cs="Verdana"/>
          <w:sz w:val="20"/>
          <w:szCs w:val="20"/>
          <w:lang w:val="es-CR"/>
        </w:rPr>
        <w:t>6</w:t>
      </w:r>
      <w:r w:rsidRPr="00873FEC">
        <w:rPr>
          <w:rFonts w:ascii="Verdana" w:hAnsi="Verdana" w:cs="Verdana"/>
          <w:sz w:val="20"/>
          <w:szCs w:val="20"/>
          <w:lang w:val="es-CR"/>
        </w:rPr>
        <w:t xml:space="preserve"> de la Sentencia, de acuerdo con los criterios desarrollados en el párrafo 18</w:t>
      </w:r>
      <w:r w:rsidR="00214820" w:rsidRPr="00873FEC">
        <w:rPr>
          <w:rFonts w:ascii="Verdana" w:hAnsi="Verdana" w:cs="Verdana"/>
          <w:sz w:val="20"/>
          <w:szCs w:val="20"/>
          <w:lang w:val="es-CR"/>
        </w:rPr>
        <w:t>6</w:t>
      </w:r>
      <w:r w:rsidRPr="00873FEC">
        <w:rPr>
          <w:rFonts w:ascii="Verdana" w:hAnsi="Verdana" w:cs="Verdana"/>
          <w:sz w:val="20"/>
          <w:szCs w:val="20"/>
          <w:lang w:val="es-CR"/>
        </w:rPr>
        <w:t xml:space="preserve"> de la presente Sentencia</w:t>
      </w:r>
      <w:r w:rsidR="003D0120" w:rsidRPr="00873FEC">
        <w:rPr>
          <w:rStyle w:val="FootnoteReference"/>
          <w:rFonts w:ascii="Verdana" w:hAnsi="Verdana"/>
          <w:sz w:val="20"/>
          <w:lang w:val="es-CR"/>
        </w:rPr>
        <w:footnoteReference w:id="239"/>
      </w:r>
      <w:r w:rsidRPr="00873FEC">
        <w:rPr>
          <w:rFonts w:ascii="Verdana" w:hAnsi="Verdana" w:cs="Verdana"/>
          <w:sz w:val="20"/>
          <w:szCs w:val="20"/>
          <w:lang w:val="es-CR"/>
        </w:rPr>
        <w:t>.</w:t>
      </w:r>
    </w:p>
    <w:p w:rsidR="00D05F7B" w:rsidRDefault="00D05F7B" w:rsidP="00126E97">
      <w:pPr>
        <w:spacing w:after="0" w:line="20" w:lineRule="atLeast"/>
        <w:ind w:left="720" w:firstLine="708"/>
        <w:contextualSpacing/>
        <w:rPr>
          <w:rFonts w:ascii="Calibri" w:eastAsia="MS Mincho" w:hAnsi="Calibri" w:cs="Times"/>
          <w:szCs w:val="20"/>
          <w:lang w:eastAsia="es-CR"/>
        </w:rPr>
      </w:pPr>
    </w:p>
    <w:p w:rsidR="007E5A4B" w:rsidRDefault="007E5A4B" w:rsidP="00126E97">
      <w:pPr>
        <w:spacing w:after="0" w:line="20" w:lineRule="atLeast"/>
        <w:ind w:left="720" w:firstLine="708"/>
        <w:contextualSpacing/>
        <w:rPr>
          <w:rFonts w:ascii="Calibri" w:eastAsia="MS Mincho" w:hAnsi="Calibri" w:cs="Times"/>
          <w:szCs w:val="20"/>
          <w:lang w:eastAsia="es-CR"/>
        </w:rPr>
      </w:pPr>
    </w:p>
    <w:p w:rsidR="007E5A4B" w:rsidRDefault="007E5A4B" w:rsidP="00126E97">
      <w:pPr>
        <w:spacing w:after="0" w:line="20" w:lineRule="atLeast"/>
        <w:ind w:left="720" w:firstLine="708"/>
        <w:contextualSpacing/>
        <w:rPr>
          <w:rFonts w:ascii="Calibri" w:eastAsia="MS Mincho" w:hAnsi="Calibri" w:cs="Times"/>
          <w:szCs w:val="20"/>
          <w:lang w:eastAsia="es-CR"/>
        </w:rPr>
      </w:pPr>
    </w:p>
    <w:p w:rsidR="007E5A4B" w:rsidRDefault="007E5A4B" w:rsidP="00126E97">
      <w:pPr>
        <w:spacing w:after="0" w:line="20" w:lineRule="atLeast"/>
        <w:ind w:left="720" w:firstLine="708"/>
        <w:contextualSpacing/>
        <w:rPr>
          <w:rFonts w:ascii="Calibri" w:eastAsia="MS Mincho" w:hAnsi="Calibri" w:cs="Times"/>
          <w:szCs w:val="20"/>
          <w:lang w:eastAsia="es-CR"/>
        </w:rPr>
      </w:pPr>
    </w:p>
    <w:p w:rsidR="007E5A4B" w:rsidRDefault="007E5A4B" w:rsidP="00126E97">
      <w:pPr>
        <w:spacing w:after="0" w:line="20" w:lineRule="atLeast"/>
        <w:ind w:left="720" w:firstLine="708"/>
        <w:contextualSpacing/>
        <w:rPr>
          <w:rFonts w:ascii="Calibri" w:eastAsia="MS Mincho" w:hAnsi="Calibri" w:cs="Times"/>
          <w:szCs w:val="20"/>
          <w:lang w:eastAsia="es-CR"/>
        </w:rPr>
      </w:pPr>
    </w:p>
    <w:p w:rsidR="007E5A4B" w:rsidRDefault="007E5A4B" w:rsidP="00126E97">
      <w:pPr>
        <w:spacing w:after="0" w:line="20" w:lineRule="atLeast"/>
        <w:ind w:left="720" w:firstLine="708"/>
        <w:contextualSpacing/>
        <w:rPr>
          <w:rFonts w:ascii="Calibri" w:eastAsia="MS Mincho" w:hAnsi="Calibri" w:cs="Times"/>
          <w:szCs w:val="20"/>
          <w:lang w:eastAsia="es-CR"/>
        </w:rPr>
      </w:pPr>
    </w:p>
    <w:p w:rsidR="007E5A4B" w:rsidRPr="00873FEC" w:rsidRDefault="007E5A4B" w:rsidP="00126E97">
      <w:pPr>
        <w:spacing w:after="0" w:line="20" w:lineRule="atLeast"/>
        <w:ind w:left="720" w:firstLine="708"/>
        <w:contextualSpacing/>
        <w:rPr>
          <w:rFonts w:ascii="Calibri" w:eastAsia="MS Mincho" w:hAnsi="Calibri" w:cs="Times"/>
          <w:szCs w:val="20"/>
          <w:lang w:eastAsia="es-CR"/>
        </w:rPr>
      </w:pPr>
    </w:p>
    <w:p w:rsidR="00D05F7B" w:rsidRPr="00873FEC" w:rsidRDefault="00D05F7B" w:rsidP="00126E97">
      <w:pPr>
        <w:keepNext/>
        <w:keepLines/>
        <w:numPr>
          <w:ilvl w:val="0"/>
          <w:numId w:val="12"/>
        </w:numPr>
        <w:spacing w:after="0" w:line="20" w:lineRule="atLeast"/>
        <w:ind w:left="284"/>
        <w:jc w:val="both"/>
        <w:outlineLvl w:val="1"/>
        <w:rPr>
          <w:rFonts w:ascii="Verdana" w:eastAsia="Cambria" w:hAnsi="Verdana" w:cs="Times"/>
          <w:b/>
          <w:i/>
          <w:sz w:val="20"/>
          <w:szCs w:val="20"/>
          <w:lang w:eastAsia="es-CR"/>
        </w:rPr>
      </w:pPr>
      <w:r w:rsidRPr="00873FEC">
        <w:rPr>
          <w:rFonts w:ascii="Verdana" w:eastAsia="Cambria" w:hAnsi="Verdana" w:cs="Times"/>
          <w:b/>
          <w:i/>
          <w:sz w:val="20"/>
          <w:szCs w:val="20"/>
          <w:lang w:val="es-CR" w:eastAsia="es-CR"/>
        </w:rPr>
        <w:t xml:space="preserve"> </w:t>
      </w:r>
      <w:bookmarkStart w:id="258" w:name="_Toc520207634"/>
      <w:bookmarkStart w:id="259" w:name="_Toc521694844"/>
      <w:bookmarkStart w:id="260" w:name="_Toc525201216"/>
      <w:bookmarkEnd w:id="258"/>
      <w:r w:rsidRPr="00873FEC">
        <w:rPr>
          <w:rFonts w:ascii="Verdana" w:eastAsia="Cambria" w:hAnsi="Verdana" w:cs="Times"/>
          <w:b/>
          <w:i/>
          <w:sz w:val="20"/>
          <w:szCs w:val="20"/>
          <w:lang w:val="en-US" w:eastAsia="es-CR"/>
        </w:rPr>
        <w:t xml:space="preserve">Costas y </w:t>
      </w:r>
      <w:proofErr w:type="spellStart"/>
      <w:r w:rsidRPr="00873FEC">
        <w:rPr>
          <w:rFonts w:ascii="Verdana" w:eastAsia="Cambria" w:hAnsi="Verdana" w:cs="Times"/>
          <w:b/>
          <w:i/>
          <w:sz w:val="20"/>
          <w:szCs w:val="20"/>
          <w:lang w:val="en-US" w:eastAsia="es-CR"/>
        </w:rPr>
        <w:t>Gastos</w:t>
      </w:r>
      <w:bookmarkEnd w:id="259"/>
      <w:bookmarkEnd w:id="260"/>
      <w:proofErr w:type="spellEnd"/>
    </w:p>
    <w:p w:rsidR="00D05F7B" w:rsidRPr="00873FEC" w:rsidRDefault="00D05F7B" w:rsidP="00126E97">
      <w:pPr>
        <w:spacing w:after="0" w:line="20" w:lineRule="atLeast"/>
        <w:ind w:left="720"/>
        <w:contextualSpacing/>
        <w:rPr>
          <w:rFonts w:ascii="Calibri" w:eastAsia="MS Mincho" w:hAnsi="Calibri" w:cs="Times"/>
          <w:szCs w:val="20"/>
          <w:lang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MS Mincho" w:hAnsi="Verdana" w:cs="Times"/>
          <w:sz w:val="20"/>
          <w:szCs w:val="20"/>
          <w:lang w:eastAsia="es-CR"/>
        </w:rPr>
        <w:t xml:space="preserve">Los </w:t>
      </w:r>
      <w:r w:rsidRPr="00873FEC">
        <w:rPr>
          <w:rFonts w:ascii="Verdana" w:eastAsia="MS Mincho" w:hAnsi="Verdana" w:cs="Times"/>
          <w:b/>
          <w:i/>
          <w:sz w:val="20"/>
          <w:szCs w:val="20"/>
          <w:lang w:eastAsia="es-CR"/>
        </w:rPr>
        <w:t>representantes</w:t>
      </w:r>
      <w:r w:rsidRPr="00873FEC">
        <w:rPr>
          <w:rFonts w:ascii="Verdana" w:eastAsia="MS Mincho" w:hAnsi="Verdana" w:cs="Times"/>
          <w:sz w:val="20"/>
          <w:szCs w:val="20"/>
          <w:lang w:eastAsia="es-CR"/>
        </w:rPr>
        <w:t xml:space="preserve"> </w:t>
      </w:r>
      <w:r w:rsidRPr="00873FEC">
        <w:rPr>
          <w:rFonts w:ascii="Verdana" w:eastAsia="Batang" w:hAnsi="Verdana" w:cs="Times"/>
          <w:sz w:val="20"/>
          <w:szCs w:val="20"/>
          <w:lang w:eastAsia="es-CR"/>
        </w:rPr>
        <w:t>s</w:t>
      </w:r>
      <w:r w:rsidRPr="00873FEC">
        <w:rPr>
          <w:rFonts w:ascii="Verdana" w:eastAsia="Verdana" w:hAnsi="Verdana" w:cs="Verdana"/>
          <w:sz w:val="20"/>
          <w:szCs w:val="20"/>
          <w:lang w:eastAsia="es-CR"/>
        </w:rPr>
        <w:t>olicitaron en su escrito de solicitudes y argumentos un monto de Q1</w:t>
      </w:r>
      <w:proofErr w:type="gramStart"/>
      <w:r w:rsidRPr="00873FEC">
        <w:rPr>
          <w:rFonts w:ascii="Verdana" w:eastAsia="Verdana" w:hAnsi="Verdana" w:cs="Verdana"/>
          <w:sz w:val="20"/>
          <w:szCs w:val="20"/>
          <w:lang w:eastAsia="es-CR"/>
        </w:rPr>
        <w:t>,500,000.00</w:t>
      </w:r>
      <w:proofErr w:type="gramEnd"/>
      <w:r w:rsidRPr="00873FEC">
        <w:rPr>
          <w:rFonts w:ascii="Verdana" w:eastAsia="Verdana" w:hAnsi="Verdana" w:cs="Verdana"/>
          <w:sz w:val="20"/>
          <w:szCs w:val="20"/>
          <w:lang w:eastAsia="es-CR"/>
        </w:rPr>
        <w:t>. Después señalaron, en sus alegatos finales escritos, un monto de USD $136,425.65 refiriendo gastos realizados “a través de los años” que “no todos […] pueden ser documentados”.</w:t>
      </w:r>
    </w:p>
    <w:p w:rsidR="00D05F7B" w:rsidRPr="00873FEC" w:rsidRDefault="00D05F7B" w:rsidP="00126E97">
      <w:pPr>
        <w:spacing w:after="0" w:line="20" w:lineRule="atLeast"/>
        <w:ind w:right="-138"/>
        <w:jc w:val="both"/>
        <w:rPr>
          <w:rFonts w:ascii="Verdana" w:eastAsia="Batang" w:hAnsi="Verdana" w:cs="Times"/>
          <w:sz w:val="20"/>
          <w:szCs w:val="24"/>
          <w:lang w:val="es-CR"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MS Mincho" w:hAnsi="Verdana" w:cs="Times"/>
          <w:sz w:val="20"/>
          <w:szCs w:val="20"/>
          <w:lang w:eastAsia="es-CR"/>
        </w:rPr>
        <w:t xml:space="preserve">El </w:t>
      </w:r>
      <w:r w:rsidRPr="00873FEC">
        <w:rPr>
          <w:rFonts w:ascii="Verdana" w:eastAsia="MS Mincho" w:hAnsi="Verdana" w:cs="Times"/>
          <w:b/>
          <w:i/>
          <w:sz w:val="20"/>
          <w:szCs w:val="20"/>
          <w:lang w:eastAsia="es-CR"/>
        </w:rPr>
        <w:t xml:space="preserve">Estado </w:t>
      </w:r>
      <w:r w:rsidRPr="00873FEC">
        <w:rPr>
          <w:rFonts w:ascii="Verdana" w:eastAsia="MS Mincho" w:hAnsi="Verdana" w:cs="Times"/>
          <w:sz w:val="20"/>
          <w:szCs w:val="20"/>
          <w:lang w:eastAsia="es-CR"/>
        </w:rPr>
        <w:t xml:space="preserve">solicitó a la Corte que en concepto de reintegro de costas y gastos, únicamente se otorgue aquellos que sean debidamente comprobados ante la Corte.  </w:t>
      </w:r>
    </w:p>
    <w:p w:rsidR="00D05F7B" w:rsidRPr="00873FEC" w:rsidRDefault="00D05F7B" w:rsidP="00126E97">
      <w:pPr>
        <w:spacing w:after="0" w:line="20" w:lineRule="atLeast"/>
        <w:ind w:left="720"/>
        <w:contextualSpacing/>
        <w:rPr>
          <w:rFonts w:ascii="Calibri" w:eastAsia="Calibri" w:hAnsi="Calibri" w:cs="Verdana"/>
          <w:szCs w:val="20"/>
          <w:lang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Verdana"/>
          <w:bCs/>
          <w:iCs/>
          <w:sz w:val="20"/>
          <w:szCs w:val="20"/>
          <w:lang w:eastAsia="es-CR"/>
        </w:rPr>
        <w:t xml:space="preserve">La </w:t>
      </w:r>
      <w:r w:rsidRPr="00873FEC">
        <w:rPr>
          <w:rFonts w:ascii="Verdana" w:eastAsia="Batang" w:hAnsi="Verdana" w:cs="Verdana"/>
          <w:b/>
          <w:bCs/>
          <w:i/>
          <w:iCs/>
          <w:sz w:val="20"/>
          <w:szCs w:val="20"/>
          <w:lang w:eastAsia="es-CR"/>
        </w:rPr>
        <w:t>Corte</w:t>
      </w:r>
      <w:r w:rsidRPr="00873FEC">
        <w:rPr>
          <w:rFonts w:ascii="Verdana" w:eastAsia="Batang" w:hAnsi="Verdana" w:cs="Verdana"/>
          <w:bCs/>
          <w:iCs/>
          <w:sz w:val="20"/>
          <w:szCs w:val="20"/>
          <w:lang w:eastAsia="es-CR"/>
        </w:rPr>
        <w:t xml:space="preserve"> reitera que, conforme a su jurisprudencia</w:t>
      </w:r>
      <w:r w:rsidRPr="00873FEC">
        <w:rPr>
          <w:rFonts w:ascii="Verdana" w:eastAsia="Batang" w:hAnsi="Verdana" w:cs="Verdana"/>
          <w:bCs/>
          <w:iCs/>
          <w:sz w:val="20"/>
          <w:szCs w:val="20"/>
          <w:vertAlign w:val="superscript"/>
          <w:lang w:eastAsia="x-none"/>
        </w:rPr>
        <w:footnoteReference w:id="240"/>
      </w:r>
      <w:r w:rsidRPr="00873FEC">
        <w:rPr>
          <w:rFonts w:ascii="Verdana" w:eastAsia="Batang" w:hAnsi="Verdana" w:cs="Verdana"/>
          <w:bCs/>
          <w:iCs/>
          <w:sz w:val="20"/>
          <w:szCs w:val="20"/>
          <w:lang w:eastAsia="es-CR"/>
        </w:rPr>
        <w:t xml:space="preserve">,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En cuanto al reembolso de las costas y gastos, corresponde al Tribunal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derechos humanos. Esta apreciación puede ser realizada con base en el principio de equidad y tomando en cuenta los gastos señalados por las partes, siempre que su </w:t>
      </w:r>
      <w:r w:rsidRPr="00873FEC">
        <w:rPr>
          <w:rFonts w:ascii="Verdana" w:eastAsia="Batang" w:hAnsi="Verdana" w:cs="Verdana"/>
          <w:bCs/>
          <w:i/>
          <w:iCs/>
          <w:sz w:val="20"/>
          <w:szCs w:val="20"/>
          <w:lang w:eastAsia="es-CR"/>
        </w:rPr>
        <w:t xml:space="preserve">quantum </w:t>
      </w:r>
      <w:r w:rsidRPr="00873FEC">
        <w:rPr>
          <w:rFonts w:ascii="Verdana" w:eastAsia="Batang" w:hAnsi="Verdana" w:cs="Verdana"/>
          <w:bCs/>
          <w:iCs/>
          <w:sz w:val="20"/>
          <w:szCs w:val="20"/>
          <w:lang w:eastAsia="es-CR"/>
        </w:rPr>
        <w:t>sea razonable</w:t>
      </w:r>
      <w:r w:rsidRPr="00873FEC">
        <w:rPr>
          <w:rFonts w:ascii="Verdana" w:eastAsia="Batang" w:hAnsi="Verdana" w:cs="Verdana"/>
          <w:bCs/>
          <w:iCs/>
          <w:sz w:val="20"/>
          <w:szCs w:val="20"/>
          <w:vertAlign w:val="superscript"/>
          <w:lang w:eastAsia="x-none"/>
        </w:rPr>
        <w:footnoteReference w:id="241"/>
      </w:r>
      <w:r w:rsidRPr="00873FEC">
        <w:rPr>
          <w:rFonts w:ascii="Verdana" w:eastAsia="Batang" w:hAnsi="Verdana" w:cs="Verdana"/>
          <w:bCs/>
          <w:iCs/>
          <w:sz w:val="20"/>
          <w:szCs w:val="20"/>
          <w:lang w:eastAsia="es-CR"/>
        </w:rPr>
        <w:t>.</w:t>
      </w:r>
    </w:p>
    <w:p w:rsidR="00D05F7B" w:rsidRPr="00873FEC" w:rsidRDefault="00D05F7B" w:rsidP="00126E97">
      <w:pPr>
        <w:spacing w:after="0" w:line="20" w:lineRule="atLeast"/>
        <w:ind w:left="720"/>
        <w:contextualSpacing/>
        <w:rPr>
          <w:rFonts w:ascii="Calibri" w:eastAsia="MS Mincho" w:hAnsi="Calibri" w:cs="Times"/>
          <w:szCs w:val="20"/>
          <w:lang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MS Mincho" w:hAnsi="Verdana" w:cs="Times"/>
          <w:sz w:val="20"/>
          <w:szCs w:val="20"/>
          <w:lang w:eastAsia="es-CR"/>
        </w:rPr>
        <w:t>Este Tribunal ha señalado que “las pretensiones de las víctimas o sus representantes en materia de costas y gastos, y las pruebas que las sustentan, deben presentarse a la Corte en el primer momento procesal que se les concede, esto es, en el escrito de solicitudes y argumentos, sin perjuicio de que tales pretensiones se actualicen en un momento posterior, conforme a las nuevas costas y gastos en que se haya incurrido con ocasión del procedimiento ante esta Corte”</w:t>
      </w:r>
      <w:r w:rsidRPr="00873FEC">
        <w:rPr>
          <w:rFonts w:ascii="Verdana" w:eastAsia="MS Mincho" w:hAnsi="Verdana" w:cs="Times New Roman"/>
          <w:sz w:val="20"/>
          <w:szCs w:val="20"/>
          <w:vertAlign w:val="superscript"/>
          <w:lang w:eastAsia="x-none"/>
        </w:rPr>
        <w:footnoteReference w:id="242"/>
      </w:r>
      <w:r w:rsidRPr="00873FEC">
        <w:rPr>
          <w:rFonts w:ascii="Verdana" w:eastAsia="MS Mincho" w:hAnsi="Verdana" w:cs="Times"/>
          <w:sz w:val="20"/>
          <w:szCs w:val="20"/>
          <w:lang w:eastAsia="es-CR"/>
        </w:rPr>
        <w:t>. Asimismo, la Corte reitera que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r w:rsidRPr="00873FEC">
        <w:rPr>
          <w:rFonts w:ascii="Verdana" w:eastAsia="MS Mincho" w:hAnsi="Verdana" w:cs="Times New Roman"/>
          <w:sz w:val="20"/>
          <w:szCs w:val="20"/>
          <w:vertAlign w:val="superscript"/>
          <w:lang w:eastAsia="x-none"/>
        </w:rPr>
        <w:footnoteReference w:id="243"/>
      </w:r>
      <w:r w:rsidRPr="00873FEC">
        <w:rPr>
          <w:rFonts w:ascii="Verdana" w:eastAsia="MS Mincho" w:hAnsi="Verdana" w:cs="Times"/>
          <w:sz w:val="20"/>
          <w:szCs w:val="20"/>
          <w:lang w:eastAsia="es-CR"/>
        </w:rPr>
        <w:t>.</w:t>
      </w:r>
    </w:p>
    <w:p w:rsidR="00D05F7B" w:rsidRPr="00873FEC" w:rsidRDefault="00D05F7B" w:rsidP="00126E97">
      <w:pPr>
        <w:spacing w:after="0" w:line="20" w:lineRule="atLeast"/>
        <w:ind w:left="720"/>
        <w:contextualSpacing/>
        <w:rPr>
          <w:rFonts w:ascii="Calibri" w:eastAsia="Calibri" w:hAnsi="Calibri" w:cs="Times"/>
          <w:szCs w:val="20"/>
          <w:lang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eastAsia="es-CR"/>
        </w:rPr>
        <w:t xml:space="preserve">La Corte nota que </w:t>
      </w:r>
      <w:r w:rsidRPr="00873FEC">
        <w:rPr>
          <w:rFonts w:ascii="Verdana" w:eastAsia="MS Mincho" w:hAnsi="Verdana" w:cs="Arial"/>
          <w:sz w:val="20"/>
          <w:szCs w:val="20"/>
          <w:lang w:eastAsia="es-CR"/>
        </w:rPr>
        <w:t>no fueron aportados comprobantes de los gastos derivados de la búsqueda de justicia a nivel interno y a nivel internacional por las violaciones s</w:t>
      </w:r>
      <w:r w:rsidR="00F5049E" w:rsidRPr="00873FEC">
        <w:rPr>
          <w:rFonts w:ascii="Verdana" w:eastAsia="MS Mincho" w:hAnsi="Verdana" w:cs="Arial"/>
          <w:sz w:val="20"/>
          <w:szCs w:val="20"/>
          <w:lang w:eastAsia="es-CR"/>
        </w:rPr>
        <w:t>ufridos por los miembros de la C</w:t>
      </w:r>
      <w:r w:rsidRPr="00873FEC">
        <w:rPr>
          <w:rFonts w:ascii="Verdana" w:eastAsia="MS Mincho" w:hAnsi="Verdana" w:cs="Arial"/>
          <w:sz w:val="20"/>
          <w:szCs w:val="20"/>
          <w:lang w:eastAsia="es-CR"/>
        </w:rPr>
        <w:t>omunidad, más allá de una declaración jurada ante notario</w:t>
      </w:r>
      <w:r w:rsidRPr="00873FEC">
        <w:rPr>
          <w:rFonts w:ascii="Verdana" w:eastAsia="MS Mincho" w:hAnsi="Verdana" w:cs="Arial"/>
          <w:sz w:val="20"/>
          <w:szCs w:val="20"/>
          <w:vertAlign w:val="superscript"/>
          <w:lang w:eastAsia="x-none"/>
        </w:rPr>
        <w:footnoteReference w:id="244"/>
      </w:r>
      <w:r w:rsidRPr="00873FEC">
        <w:rPr>
          <w:rFonts w:ascii="Verdana" w:eastAsia="MS Mincho" w:hAnsi="Verdana" w:cs="Arial"/>
          <w:sz w:val="20"/>
          <w:szCs w:val="20"/>
          <w:lang w:eastAsia="es-CR"/>
        </w:rPr>
        <w:t xml:space="preserve"> que no resulta suficiente para comprobar los montos solicitados dado que no se aportan comprobantes de ninguna naturaleza y que, además, refiere a gastos que habrían sido efectuados tanto antes de la presentación del escrito de solicitudes y argumentos como con posterioridad. Sin perjuicio de ello, la Corte considera que es de presumir que el </w:t>
      </w:r>
      <w:r w:rsidRPr="00873FEC">
        <w:rPr>
          <w:rFonts w:ascii="Verdana" w:eastAsia="MS Mincho" w:hAnsi="Verdana" w:cs="Arial"/>
          <w:sz w:val="20"/>
          <w:szCs w:val="20"/>
          <w:lang w:eastAsia="es-CR"/>
        </w:rPr>
        <w:lastRenderedPageBreak/>
        <w:t xml:space="preserve">GAM incurrió en gastos para la búsqueda de justicia a nivel interno y ante el sistema interamericano. </w:t>
      </w:r>
      <w:bookmarkStart w:id="261" w:name="_Ref455680884"/>
      <w:bookmarkEnd w:id="261"/>
      <w:r w:rsidRPr="00873FEC">
        <w:rPr>
          <w:rFonts w:ascii="Verdana" w:eastAsia="MS Mincho" w:hAnsi="Verdana" w:cs="Times"/>
          <w:sz w:val="20"/>
          <w:szCs w:val="20"/>
          <w:lang w:eastAsia="es-CR"/>
        </w:rPr>
        <w:t xml:space="preserve">En consecuencia, la Corte decide fijar </w:t>
      </w:r>
      <w:r w:rsidRPr="00873FEC">
        <w:rPr>
          <w:rFonts w:ascii="Verdana" w:eastAsia="MS Mincho" w:hAnsi="Verdana" w:cs="Verdana"/>
          <w:sz w:val="20"/>
          <w:szCs w:val="20"/>
          <w:lang w:eastAsia="es-CR"/>
        </w:rPr>
        <w:t xml:space="preserve">el pago de un monto total </w:t>
      </w:r>
      <w:r w:rsidRPr="00873FEC">
        <w:rPr>
          <w:rFonts w:ascii="Verdana" w:eastAsia="MS Mincho" w:hAnsi="Verdana" w:cs="Verdana"/>
          <w:sz w:val="20"/>
          <w:szCs w:val="20"/>
          <w:lang w:val="es-CR" w:eastAsia="es-CR"/>
        </w:rPr>
        <w:t xml:space="preserve">de </w:t>
      </w:r>
      <w:r w:rsidRPr="00873FEC">
        <w:rPr>
          <w:rFonts w:ascii="Verdana" w:eastAsia="Batang" w:hAnsi="Verdana" w:cs="Times"/>
          <w:sz w:val="20"/>
          <w:szCs w:val="20"/>
          <w:lang w:val="es-CR" w:eastAsia="es-CR"/>
        </w:rPr>
        <w:t xml:space="preserve">US$ </w:t>
      </w:r>
      <w:r w:rsidRPr="00873FEC">
        <w:rPr>
          <w:rFonts w:ascii="Verdana" w:eastAsia="Batang" w:hAnsi="Verdana" w:cs="Verdana"/>
          <w:sz w:val="20"/>
          <w:szCs w:val="20"/>
          <w:lang w:val="es-CR" w:eastAsia="es-CR"/>
        </w:rPr>
        <w:t>30.000,00 (treinta mil dólares de los Estados Unidos de América)</w:t>
      </w:r>
      <w:r w:rsidRPr="00873FEC">
        <w:rPr>
          <w:rFonts w:ascii="Verdana" w:eastAsia="MS Mincho" w:hAnsi="Verdana" w:cs="Verdana"/>
          <w:sz w:val="20"/>
          <w:szCs w:val="20"/>
          <w:lang w:val="es-CR" w:eastAsia="es-CR"/>
        </w:rPr>
        <w:t xml:space="preserve"> por</w:t>
      </w:r>
      <w:r w:rsidRPr="00873FEC">
        <w:rPr>
          <w:rFonts w:ascii="Verdana" w:eastAsia="MS Mincho" w:hAnsi="Verdana" w:cs="Times"/>
          <w:bCs/>
          <w:sz w:val="20"/>
          <w:szCs w:val="20"/>
          <w:lang w:val="es-CR" w:eastAsia="es-CR"/>
        </w:rPr>
        <w:t xml:space="preserve"> concepto de costas y gastos. </w:t>
      </w:r>
      <w:r w:rsidRPr="00873FEC">
        <w:rPr>
          <w:rFonts w:ascii="Verdana" w:eastAsia="MS Mincho" w:hAnsi="Verdana" w:cs="Verdana"/>
          <w:sz w:val="20"/>
          <w:szCs w:val="20"/>
          <w:lang w:val="es-CR" w:eastAsia="es-CR"/>
        </w:rPr>
        <w:t xml:space="preserve">Dicha cantidad será entregada al </w:t>
      </w:r>
      <w:r w:rsidRPr="00873FEC">
        <w:rPr>
          <w:rFonts w:ascii="Verdana" w:eastAsia="Batang" w:hAnsi="Verdana" w:cs="Times"/>
          <w:sz w:val="20"/>
          <w:szCs w:val="20"/>
          <w:lang w:val="es-CR" w:eastAsia="es-CR"/>
        </w:rPr>
        <w:t>Grupo Apoyo Mutuo</w:t>
      </w:r>
      <w:r w:rsidRPr="00873FEC">
        <w:rPr>
          <w:rFonts w:ascii="Verdana" w:eastAsia="MS Mincho" w:hAnsi="Verdana" w:cs="Verdana"/>
          <w:sz w:val="20"/>
          <w:szCs w:val="20"/>
          <w:lang w:val="es-CR" w:eastAsia="es-CR"/>
        </w:rPr>
        <w:t xml:space="preserve">. </w:t>
      </w:r>
      <w:r w:rsidRPr="00873FEC">
        <w:rPr>
          <w:rFonts w:ascii="Verdana" w:eastAsia="Batang" w:hAnsi="Verdana" w:cs="Times"/>
          <w:sz w:val="20"/>
          <w:szCs w:val="20"/>
          <w:lang w:val="es-CR" w:eastAsia="es-CR"/>
        </w:rPr>
        <w:t>En el</w:t>
      </w:r>
      <w:r w:rsidRPr="00873FEC">
        <w:rPr>
          <w:rFonts w:ascii="Verdana" w:eastAsia="Batang" w:hAnsi="Verdana" w:cs="Times"/>
          <w:sz w:val="20"/>
          <w:szCs w:val="20"/>
          <w:lang w:eastAsia="es-CR"/>
        </w:rPr>
        <w:t xml:space="preserve"> procedimiento de supervisión de cumplimiento de la presente Sentencia, el Tribunal podrá disponer el reembolso por parte del Estado a las víctimas o sus representantes de los gastos razonables debidamente comprobados en dicha etapa procesal</w:t>
      </w:r>
      <w:r w:rsidRPr="00873FEC">
        <w:rPr>
          <w:rFonts w:ascii="Verdana" w:eastAsia="Calibri" w:hAnsi="Verdana" w:cs="Times New Roman"/>
          <w:sz w:val="20"/>
          <w:szCs w:val="20"/>
          <w:vertAlign w:val="superscript"/>
          <w:lang w:val="es-CR" w:eastAsia="x-none"/>
        </w:rPr>
        <w:footnoteReference w:id="245"/>
      </w:r>
      <w:r w:rsidRPr="00873FEC">
        <w:rPr>
          <w:rFonts w:ascii="Verdana" w:eastAsia="Batang" w:hAnsi="Verdana" w:cs="Times"/>
          <w:sz w:val="20"/>
          <w:szCs w:val="20"/>
          <w:lang w:eastAsia="es-CR"/>
        </w:rPr>
        <w:t>.</w:t>
      </w:r>
      <w:r w:rsidRPr="00873FEC">
        <w:rPr>
          <w:rFonts w:ascii="Verdana" w:eastAsia="Batang" w:hAnsi="Verdana" w:cs="Verdana"/>
          <w:sz w:val="20"/>
          <w:szCs w:val="20"/>
          <w:lang w:val="es-CR" w:eastAsia="es-CR"/>
        </w:rPr>
        <w:t xml:space="preserve"> </w:t>
      </w:r>
    </w:p>
    <w:p w:rsidR="00D05F7B" w:rsidRPr="00873FEC" w:rsidRDefault="00D05F7B" w:rsidP="00126E97">
      <w:pPr>
        <w:spacing w:after="0" w:line="20" w:lineRule="atLeast"/>
        <w:ind w:right="-138"/>
        <w:jc w:val="both"/>
        <w:rPr>
          <w:rFonts w:ascii="Verdana" w:eastAsia="Batang" w:hAnsi="Verdana" w:cs="Verdana"/>
          <w:sz w:val="20"/>
          <w:szCs w:val="20"/>
          <w:lang w:val="es-CR" w:eastAsia="es-CR"/>
        </w:rPr>
      </w:pPr>
    </w:p>
    <w:p w:rsidR="00D05F7B" w:rsidRPr="00873FEC" w:rsidRDefault="00D05F7B" w:rsidP="00126E97">
      <w:pPr>
        <w:keepNext/>
        <w:keepLines/>
        <w:numPr>
          <w:ilvl w:val="0"/>
          <w:numId w:val="12"/>
        </w:numPr>
        <w:spacing w:after="0" w:line="20" w:lineRule="atLeast"/>
        <w:ind w:left="284"/>
        <w:jc w:val="both"/>
        <w:outlineLvl w:val="1"/>
        <w:rPr>
          <w:rFonts w:ascii="Verdana" w:eastAsia="Cambria" w:hAnsi="Verdana" w:cs="Times"/>
          <w:b/>
          <w:i/>
          <w:sz w:val="20"/>
          <w:szCs w:val="20"/>
          <w:lang w:val="es-CR" w:eastAsia="es-CR"/>
        </w:rPr>
      </w:pPr>
      <w:bookmarkStart w:id="262" w:name="_Toc495658706"/>
      <w:bookmarkStart w:id="263" w:name="_Toc476390748"/>
      <w:bookmarkStart w:id="264" w:name="_Toc514172674"/>
      <w:bookmarkEnd w:id="262"/>
      <w:bookmarkEnd w:id="263"/>
      <w:bookmarkEnd w:id="264"/>
      <w:r w:rsidRPr="00873FEC">
        <w:rPr>
          <w:rFonts w:ascii="Verdana" w:eastAsia="Cambria" w:hAnsi="Verdana" w:cs="Times"/>
          <w:b/>
          <w:i/>
          <w:sz w:val="20"/>
          <w:szCs w:val="20"/>
          <w:lang w:val="es-CR" w:eastAsia="es-CR"/>
        </w:rPr>
        <w:t xml:space="preserve"> </w:t>
      </w:r>
      <w:bookmarkStart w:id="265" w:name="_Toc520207635"/>
      <w:bookmarkStart w:id="266" w:name="_Toc521694845"/>
      <w:bookmarkStart w:id="267" w:name="_Toc525201217"/>
      <w:bookmarkEnd w:id="265"/>
      <w:r w:rsidRPr="00873FEC">
        <w:rPr>
          <w:rFonts w:ascii="Verdana" w:eastAsia="Cambria" w:hAnsi="Verdana" w:cs="Times"/>
          <w:b/>
          <w:i/>
          <w:sz w:val="20"/>
          <w:szCs w:val="20"/>
          <w:lang w:val="es-CR" w:eastAsia="es-CR"/>
        </w:rPr>
        <w:t>Modalidad de cumplimiento de los pagos ordenados</w:t>
      </w:r>
      <w:bookmarkEnd w:id="266"/>
      <w:bookmarkEnd w:id="267"/>
    </w:p>
    <w:p w:rsidR="00D05F7B" w:rsidRPr="00873FEC" w:rsidRDefault="00D05F7B" w:rsidP="00126E97">
      <w:pPr>
        <w:spacing w:after="0" w:line="20" w:lineRule="atLeast"/>
        <w:ind w:right="-138"/>
        <w:jc w:val="both"/>
        <w:rPr>
          <w:rFonts w:ascii="Verdana" w:eastAsia="Batang" w:hAnsi="Verdana" w:cs="Times"/>
          <w:sz w:val="20"/>
          <w:szCs w:val="24"/>
          <w:lang w:val="es-CR"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MS Mincho" w:hAnsi="Verdana" w:cs="Times"/>
          <w:sz w:val="20"/>
          <w:szCs w:val="20"/>
          <w:lang w:eastAsia="es-CR"/>
        </w:rPr>
        <w:t xml:space="preserve">El </w:t>
      </w:r>
      <w:r w:rsidRPr="00873FEC">
        <w:rPr>
          <w:rFonts w:ascii="Verdana" w:eastAsia="MS Mincho" w:hAnsi="Verdana" w:cs="Verdana"/>
          <w:sz w:val="20"/>
          <w:szCs w:val="20"/>
          <w:lang w:eastAsia="es-CR"/>
        </w:rPr>
        <w:t>Estado</w:t>
      </w:r>
      <w:r w:rsidRPr="00873FEC">
        <w:rPr>
          <w:rFonts w:ascii="Verdana" w:eastAsia="MS Mincho" w:hAnsi="Verdana" w:cs="Times"/>
          <w:sz w:val="20"/>
          <w:szCs w:val="20"/>
          <w:lang w:eastAsia="es-CR"/>
        </w:rPr>
        <w:t xml:space="preserve"> deberá efectuar el pago de las indemnizaciones por concepto de daño material e </w:t>
      </w:r>
      <w:r w:rsidRPr="00873FEC">
        <w:rPr>
          <w:rFonts w:ascii="Verdana" w:eastAsia="MS Mincho" w:hAnsi="Verdana" w:cs="Verdana"/>
          <w:sz w:val="20"/>
          <w:szCs w:val="20"/>
          <w:lang w:eastAsia="es-CR"/>
        </w:rPr>
        <w:t>inmaterial</w:t>
      </w:r>
      <w:r w:rsidRPr="00873FEC">
        <w:rPr>
          <w:rFonts w:ascii="Verdana" w:eastAsia="MS Mincho" w:hAnsi="Verdana" w:cs="Times"/>
          <w:sz w:val="20"/>
          <w:szCs w:val="20"/>
          <w:lang w:eastAsia="es-CR"/>
        </w:rPr>
        <w:t xml:space="preserve"> y el reintegro de costas y gastos establecidos en la presente Sentencia directamente a las personas indicadas en la misma, dentro del plazo de un año, contado a partir de la notificación del presente Fallo, </w:t>
      </w:r>
      <w:r w:rsidRPr="00873FEC">
        <w:rPr>
          <w:rFonts w:ascii="Verdana" w:eastAsia="Batang" w:hAnsi="Verdana" w:cs="Times"/>
          <w:sz w:val="20"/>
          <w:szCs w:val="20"/>
          <w:lang w:eastAsia="es-CR"/>
        </w:rPr>
        <w:t>sin perjuicio de que pueda adelantar el pago completo en un plazo menor, en los términos de los siguientes párrafos</w:t>
      </w:r>
      <w:r w:rsidRPr="00873FEC">
        <w:rPr>
          <w:rFonts w:ascii="Verdana" w:eastAsia="MS Mincho" w:hAnsi="Verdana" w:cs="Times"/>
          <w:sz w:val="20"/>
          <w:szCs w:val="20"/>
          <w:lang w:eastAsia="es-CR"/>
        </w:rPr>
        <w:t>.</w:t>
      </w:r>
    </w:p>
    <w:p w:rsidR="00D05F7B" w:rsidRPr="00873FEC" w:rsidRDefault="00D05F7B" w:rsidP="00126E97">
      <w:pPr>
        <w:spacing w:after="0" w:line="20" w:lineRule="atLeast"/>
        <w:ind w:right="-138"/>
        <w:jc w:val="both"/>
        <w:rPr>
          <w:rFonts w:ascii="Verdana" w:eastAsia="Batang" w:hAnsi="Verdana" w:cs="Times"/>
          <w:sz w:val="20"/>
          <w:szCs w:val="24"/>
          <w:lang w:val="es-CR"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4"/>
          <w:lang w:val="es-CR" w:eastAsia="es-CR"/>
        </w:rPr>
        <w:t>En caso de que las personas beneficiarias que estén vivas al momento de emitirse la presente Sentencia fallezcan antes de que el Estado efectúe el pago correspondiente, éste se efectuará directamente a sus derechohabientes, conforme al derecho interno aplicable.</w:t>
      </w:r>
    </w:p>
    <w:p w:rsidR="00D05F7B" w:rsidRPr="00873FEC" w:rsidRDefault="00D05F7B" w:rsidP="00126E97">
      <w:pPr>
        <w:spacing w:after="0" w:line="20" w:lineRule="atLeast"/>
        <w:ind w:right="-138"/>
        <w:jc w:val="both"/>
        <w:rPr>
          <w:rFonts w:ascii="Verdana" w:eastAsia="Batang" w:hAnsi="Verdana" w:cs="Times"/>
          <w:sz w:val="20"/>
          <w:szCs w:val="24"/>
          <w:lang w:val="es-CR"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Batang" w:hAnsi="Verdana" w:cs="Times"/>
          <w:sz w:val="20"/>
          <w:szCs w:val="20"/>
          <w:lang w:val="es-CR" w:eastAsia="es-CR"/>
        </w:rPr>
        <w:t xml:space="preserve">El Estado deberá cumplir con las obligaciones monetarias mediante el pago en dólares de los Estados Unidos de América o su equivalente en moneda nacional, utilizando para el cálculo respectivo el tipo de </w:t>
      </w:r>
      <w:r w:rsidRPr="00873FEC">
        <w:rPr>
          <w:rFonts w:ascii="Verdana" w:eastAsia="Batang" w:hAnsi="Verdana" w:cs="Times"/>
          <w:spacing w:val="-2"/>
          <w:sz w:val="20"/>
          <w:szCs w:val="20"/>
          <w:lang w:val="es-CR" w:eastAsia="es-CR"/>
        </w:rPr>
        <w:t>cambio</w:t>
      </w:r>
      <w:r w:rsidRPr="00873FEC">
        <w:rPr>
          <w:rFonts w:ascii="Verdana" w:eastAsia="Batang" w:hAnsi="Verdana" w:cs="Times"/>
          <w:sz w:val="20"/>
          <w:szCs w:val="20"/>
          <w:lang w:val="es-CR" w:eastAsia="es-CR"/>
        </w:rPr>
        <w:t xml:space="preserve"> que se encuentre vigente en la bolsa de Nueva York, de Estados Unidos de América, el día anterior al pago</w:t>
      </w:r>
      <w:r w:rsidRPr="00873FEC">
        <w:rPr>
          <w:rFonts w:ascii="Verdana" w:eastAsia="Batang" w:hAnsi="Verdana" w:cs="Times"/>
          <w:sz w:val="20"/>
          <w:szCs w:val="20"/>
          <w:lang w:eastAsia="es-CR"/>
        </w:rPr>
        <w:t>.</w:t>
      </w:r>
    </w:p>
    <w:p w:rsidR="00D05F7B" w:rsidRPr="00873FEC" w:rsidRDefault="00D05F7B" w:rsidP="00126E97">
      <w:pPr>
        <w:spacing w:after="0" w:line="20" w:lineRule="atLeast"/>
        <w:ind w:left="720"/>
        <w:contextualSpacing/>
        <w:rPr>
          <w:rFonts w:ascii="Calibri" w:eastAsia="MS Mincho" w:hAnsi="Calibri" w:cs="Times"/>
          <w:szCs w:val="20"/>
          <w:lang w:eastAsia="es-CR"/>
        </w:rPr>
      </w:pPr>
    </w:p>
    <w:p w:rsidR="00D05F7B" w:rsidRPr="00873FEC" w:rsidRDefault="00287A5A"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MS Mincho" w:hAnsi="Verdana" w:cs="Times"/>
          <w:sz w:val="20"/>
          <w:szCs w:val="20"/>
          <w:lang w:eastAsia="es-CR"/>
        </w:rPr>
        <w:t>Si por causas atribuibles a la</w:t>
      </w:r>
      <w:r w:rsidR="00D05F7B" w:rsidRPr="00873FEC">
        <w:rPr>
          <w:rFonts w:ascii="Verdana" w:eastAsia="MS Mincho" w:hAnsi="Verdana" w:cs="Times"/>
          <w:sz w:val="20"/>
          <w:szCs w:val="20"/>
          <w:lang w:eastAsia="es-CR"/>
        </w:rPr>
        <w:t>s</w:t>
      </w:r>
      <w:r w:rsidRPr="00873FEC">
        <w:rPr>
          <w:rFonts w:ascii="Verdana" w:eastAsia="MS Mincho" w:hAnsi="Verdana" w:cs="Times"/>
          <w:sz w:val="20"/>
          <w:szCs w:val="20"/>
          <w:lang w:eastAsia="es-CR"/>
        </w:rPr>
        <w:t xml:space="preserve"> personas</w:t>
      </w:r>
      <w:r w:rsidR="00D05F7B" w:rsidRPr="00873FEC">
        <w:rPr>
          <w:rFonts w:ascii="Verdana" w:eastAsia="MS Mincho" w:hAnsi="Verdana" w:cs="Times"/>
          <w:sz w:val="20"/>
          <w:szCs w:val="20"/>
          <w:lang w:eastAsia="es-CR"/>
        </w:rPr>
        <w:t xml:space="preserve"> beneficiari</w:t>
      </w:r>
      <w:r w:rsidRPr="00873FEC">
        <w:rPr>
          <w:rFonts w:ascii="Verdana" w:eastAsia="MS Mincho" w:hAnsi="Verdana" w:cs="Times"/>
          <w:sz w:val="20"/>
          <w:szCs w:val="20"/>
          <w:lang w:eastAsia="es-CR"/>
        </w:rPr>
        <w:t>a</w:t>
      </w:r>
      <w:r w:rsidR="00D05F7B" w:rsidRPr="00873FEC">
        <w:rPr>
          <w:rFonts w:ascii="Verdana" w:eastAsia="MS Mincho" w:hAnsi="Verdana" w:cs="Times"/>
          <w:sz w:val="20"/>
          <w:szCs w:val="20"/>
          <w:lang w:eastAsia="es-CR"/>
        </w:rPr>
        <w:t>s de las indemnizaciones o a sus derechohabientes no fuese posible el pago de las cantidades determinadas dentro del plazo indicado, el Estado consignará dichos montos a su favor en una cuenta o certificado de depósito en una institución financiera guatemalteca solvente, en dólares de los Estados Unidos de América, y en las condiciones financieras más favorables que permitan la legislación y la práctica bancaria. Si no se reclama la indemnización correspondiente una vez transcurridos diez años, las cantidades serán devueltas al Estado con los intereses devengados.</w:t>
      </w:r>
    </w:p>
    <w:p w:rsidR="00D05F7B" w:rsidRPr="00873FEC" w:rsidRDefault="00D05F7B" w:rsidP="00126E97">
      <w:pPr>
        <w:spacing w:after="0" w:line="20" w:lineRule="atLeast"/>
        <w:ind w:left="720"/>
        <w:contextualSpacing/>
        <w:rPr>
          <w:rFonts w:ascii="Calibri" w:eastAsia="MS Mincho" w:hAnsi="Calibri" w:cs="Times"/>
          <w:szCs w:val="20"/>
          <w:lang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4"/>
          <w:lang w:val="es-CR" w:eastAsia="es-CR"/>
        </w:rPr>
      </w:pPr>
      <w:r w:rsidRPr="00873FEC">
        <w:rPr>
          <w:rFonts w:ascii="Verdana" w:eastAsia="MS Mincho" w:hAnsi="Verdana" w:cs="Times"/>
          <w:sz w:val="20"/>
          <w:szCs w:val="20"/>
          <w:lang w:eastAsia="es-CR"/>
        </w:rPr>
        <w:t>Las cantidades asignadas en la presente Sentencia como indemnización y como reintegro de costas y gastos deberán ser entregadas a las personas y organizaciones indicadas en forma íntegra, conforme a lo establecido en esta Sentencia, sin reducciones derivadas de eventuales cargas fiscales.</w:t>
      </w:r>
    </w:p>
    <w:p w:rsidR="000624C7" w:rsidRDefault="000624C7" w:rsidP="00126E97">
      <w:pPr>
        <w:spacing w:after="0" w:line="20" w:lineRule="atLeast"/>
        <w:ind w:left="720"/>
        <w:contextualSpacing/>
        <w:jc w:val="center"/>
        <w:outlineLvl w:val="0"/>
        <w:rPr>
          <w:rFonts w:ascii="Verdana" w:eastAsia="Calibri" w:hAnsi="Verdana" w:cs="Times"/>
          <w:b/>
          <w:sz w:val="20"/>
          <w:szCs w:val="20"/>
          <w:lang w:eastAsia="es-CR"/>
        </w:rPr>
      </w:pPr>
      <w:bookmarkStart w:id="268" w:name="_Toc520207636"/>
      <w:bookmarkStart w:id="269" w:name="_Toc525201218"/>
      <w:bookmarkEnd w:id="268"/>
    </w:p>
    <w:p w:rsidR="007E5A4B" w:rsidRDefault="007E5A4B" w:rsidP="00126E97">
      <w:pPr>
        <w:spacing w:after="0" w:line="20" w:lineRule="atLeast"/>
        <w:ind w:left="720"/>
        <w:contextualSpacing/>
        <w:jc w:val="center"/>
        <w:outlineLvl w:val="0"/>
        <w:rPr>
          <w:rFonts w:ascii="Verdana" w:eastAsia="Calibri" w:hAnsi="Verdana" w:cs="Times"/>
          <w:b/>
          <w:sz w:val="20"/>
          <w:szCs w:val="20"/>
          <w:lang w:eastAsia="es-CR"/>
        </w:rPr>
      </w:pPr>
    </w:p>
    <w:p w:rsidR="007E5A4B" w:rsidRDefault="007E5A4B" w:rsidP="00126E97">
      <w:pPr>
        <w:spacing w:after="0" w:line="20" w:lineRule="atLeast"/>
        <w:ind w:left="720"/>
        <w:contextualSpacing/>
        <w:jc w:val="center"/>
        <w:outlineLvl w:val="0"/>
        <w:rPr>
          <w:rFonts w:ascii="Verdana" w:eastAsia="Calibri" w:hAnsi="Verdana" w:cs="Times"/>
          <w:b/>
          <w:sz w:val="20"/>
          <w:szCs w:val="20"/>
          <w:lang w:eastAsia="es-CR"/>
        </w:rPr>
      </w:pPr>
    </w:p>
    <w:p w:rsidR="007E5A4B" w:rsidRDefault="007E5A4B" w:rsidP="00126E97">
      <w:pPr>
        <w:spacing w:after="0" w:line="20" w:lineRule="atLeast"/>
        <w:ind w:left="720"/>
        <w:contextualSpacing/>
        <w:jc w:val="center"/>
        <w:outlineLvl w:val="0"/>
        <w:rPr>
          <w:rFonts w:ascii="Verdana" w:eastAsia="Calibri" w:hAnsi="Verdana" w:cs="Times"/>
          <w:b/>
          <w:sz w:val="20"/>
          <w:szCs w:val="20"/>
          <w:lang w:eastAsia="es-CR"/>
        </w:rPr>
      </w:pPr>
    </w:p>
    <w:p w:rsidR="007E5A4B" w:rsidRDefault="007E5A4B" w:rsidP="00126E97">
      <w:pPr>
        <w:spacing w:after="0" w:line="20" w:lineRule="atLeast"/>
        <w:ind w:left="720"/>
        <w:contextualSpacing/>
        <w:jc w:val="center"/>
        <w:outlineLvl w:val="0"/>
        <w:rPr>
          <w:rFonts w:ascii="Verdana" w:eastAsia="Calibri" w:hAnsi="Verdana" w:cs="Times"/>
          <w:b/>
          <w:sz w:val="20"/>
          <w:szCs w:val="20"/>
          <w:lang w:eastAsia="es-CR"/>
        </w:rPr>
      </w:pPr>
    </w:p>
    <w:p w:rsidR="007E5A4B" w:rsidRDefault="007E5A4B" w:rsidP="00126E97">
      <w:pPr>
        <w:spacing w:after="0" w:line="20" w:lineRule="atLeast"/>
        <w:ind w:left="720"/>
        <w:contextualSpacing/>
        <w:jc w:val="center"/>
        <w:outlineLvl w:val="0"/>
        <w:rPr>
          <w:rFonts w:ascii="Verdana" w:eastAsia="Calibri" w:hAnsi="Verdana" w:cs="Times"/>
          <w:b/>
          <w:sz w:val="20"/>
          <w:szCs w:val="20"/>
          <w:lang w:eastAsia="es-CR"/>
        </w:rPr>
      </w:pPr>
    </w:p>
    <w:p w:rsidR="007E5A4B" w:rsidRDefault="007E5A4B" w:rsidP="00126E97">
      <w:pPr>
        <w:spacing w:after="0" w:line="20" w:lineRule="atLeast"/>
        <w:ind w:left="720"/>
        <w:contextualSpacing/>
        <w:jc w:val="center"/>
        <w:outlineLvl w:val="0"/>
        <w:rPr>
          <w:rFonts w:ascii="Verdana" w:eastAsia="Calibri" w:hAnsi="Verdana" w:cs="Times"/>
          <w:b/>
          <w:sz w:val="20"/>
          <w:szCs w:val="20"/>
          <w:lang w:eastAsia="es-CR"/>
        </w:rPr>
      </w:pPr>
    </w:p>
    <w:p w:rsidR="007E5A4B" w:rsidRDefault="007E5A4B" w:rsidP="00126E97">
      <w:pPr>
        <w:spacing w:after="0" w:line="20" w:lineRule="atLeast"/>
        <w:ind w:left="720"/>
        <w:contextualSpacing/>
        <w:jc w:val="center"/>
        <w:outlineLvl w:val="0"/>
        <w:rPr>
          <w:rFonts w:ascii="Verdana" w:eastAsia="Calibri" w:hAnsi="Verdana" w:cs="Times"/>
          <w:b/>
          <w:sz w:val="20"/>
          <w:szCs w:val="20"/>
          <w:lang w:eastAsia="es-CR"/>
        </w:rPr>
      </w:pPr>
    </w:p>
    <w:p w:rsidR="007E5A4B" w:rsidRDefault="007E5A4B" w:rsidP="00126E97">
      <w:pPr>
        <w:spacing w:after="0" w:line="20" w:lineRule="atLeast"/>
        <w:ind w:left="720"/>
        <w:contextualSpacing/>
        <w:jc w:val="center"/>
        <w:outlineLvl w:val="0"/>
        <w:rPr>
          <w:rFonts w:ascii="Verdana" w:eastAsia="Calibri" w:hAnsi="Verdana" w:cs="Times"/>
          <w:b/>
          <w:sz w:val="20"/>
          <w:szCs w:val="20"/>
          <w:lang w:eastAsia="es-CR"/>
        </w:rPr>
      </w:pPr>
    </w:p>
    <w:p w:rsidR="007E5A4B" w:rsidRDefault="007E5A4B" w:rsidP="00126E97">
      <w:pPr>
        <w:spacing w:after="0" w:line="20" w:lineRule="atLeast"/>
        <w:ind w:left="720"/>
        <w:contextualSpacing/>
        <w:jc w:val="center"/>
        <w:outlineLvl w:val="0"/>
        <w:rPr>
          <w:rFonts w:ascii="Verdana" w:eastAsia="Calibri" w:hAnsi="Verdana" w:cs="Times"/>
          <w:b/>
          <w:sz w:val="20"/>
          <w:szCs w:val="20"/>
          <w:lang w:eastAsia="es-CR"/>
        </w:rPr>
      </w:pPr>
    </w:p>
    <w:p w:rsidR="00D05F7B" w:rsidRPr="00873FEC" w:rsidRDefault="009D750E" w:rsidP="00126E97">
      <w:pPr>
        <w:spacing w:after="0" w:line="20" w:lineRule="atLeast"/>
        <w:ind w:left="720"/>
        <w:contextualSpacing/>
        <w:jc w:val="center"/>
        <w:outlineLvl w:val="0"/>
        <w:rPr>
          <w:rFonts w:ascii="Verdana" w:eastAsia="Calibri" w:hAnsi="Verdana" w:cs="Times"/>
          <w:b/>
          <w:sz w:val="20"/>
          <w:szCs w:val="20"/>
          <w:lang w:eastAsia="es-CR"/>
        </w:rPr>
      </w:pPr>
      <w:r w:rsidRPr="009D750E">
        <w:rPr>
          <w:rFonts w:ascii="Verdana" w:eastAsia="Calibri" w:hAnsi="Verdana" w:cs="Times"/>
          <w:b/>
          <w:sz w:val="20"/>
          <w:szCs w:val="20"/>
          <w:lang w:eastAsia="es-CR"/>
        </w:rPr>
        <w:lastRenderedPageBreak/>
        <w:t>I</w:t>
      </w:r>
      <w:r w:rsidR="00D05F7B" w:rsidRPr="00873FEC">
        <w:rPr>
          <w:rFonts w:ascii="Verdana" w:eastAsia="Calibri" w:hAnsi="Verdana" w:cs="Times"/>
          <w:b/>
          <w:sz w:val="20"/>
          <w:szCs w:val="20"/>
          <w:lang w:eastAsia="es-CR"/>
        </w:rPr>
        <w:t>X</w:t>
      </w:r>
      <w:bookmarkEnd w:id="269"/>
    </w:p>
    <w:p w:rsidR="00D05F7B" w:rsidRDefault="00D05F7B" w:rsidP="00126E97">
      <w:pPr>
        <w:spacing w:after="0" w:line="20" w:lineRule="atLeast"/>
        <w:ind w:left="720"/>
        <w:contextualSpacing/>
        <w:jc w:val="center"/>
        <w:outlineLvl w:val="0"/>
        <w:rPr>
          <w:rFonts w:ascii="Verdana" w:eastAsia="Calibri" w:hAnsi="Verdana" w:cs="Times"/>
          <w:b/>
          <w:sz w:val="20"/>
          <w:szCs w:val="20"/>
          <w:lang w:eastAsia="es-CR"/>
        </w:rPr>
      </w:pPr>
      <w:bookmarkStart w:id="270" w:name="_Toc520207637"/>
      <w:bookmarkStart w:id="271" w:name="_Toc525201219"/>
      <w:bookmarkEnd w:id="270"/>
      <w:r w:rsidRPr="00873FEC">
        <w:rPr>
          <w:rFonts w:ascii="Verdana" w:eastAsia="Calibri" w:hAnsi="Verdana" w:cs="Times"/>
          <w:b/>
          <w:sz w:val="20"/>
          <w:szCs w:val="20"/>
          <w:lang w:eastAsia="es-CR"/>
        </w:rPr>
        <w:t>PUNTOS RESOLUTIVOS</w:t>
      </w:r>
      <w:bookmarkEnd w:id="271"/>
    </w:p>
    <w:p w:rsidR="000624C7" w:rsidRDefault="000624C7" w:rsidP="00126E97">
      <w:pPr>
        <w:spacing w:after="0" w:line="20" w:lineRule="atLeast"/>
        <w:ind w:left="720"/>
        <w:contextualSpacing/>
        <w:jc w:val="center"/>
        <w:outlineLvl w:val="0"/>
        <w:rPr>
          <w:rFonts w:ascii="Verdana" w:eastAsia="Calibri" w:hAnsi="Verdana" w:cs="Times"/>
          <w:b/>
          <w:sz w:val="20"/>
          <w:szCs w:val="20"/>
          <w:lang w:eastAsia="es-CR"/>
        </w:rPr>
      </w:pPr>
    </w:p>
    <w:p w:rsidR="000624C7" w:rsidRPr="00873FEC" w:rsidRDefault="000624C7" w:rsidP="00126E97">
      <w:pPr>
        <w:spacing w:after="0" w:line="20" w:lineRule="atLeast"/>
        <w:ind w:left="720"/>
        <w:contextualSpacing/>
        <w:jc w:val="center"/>
        <w:outlineLvl w:val="0"/>
        <w:rPr>
          <w:rFonts w:ascii="Verdana" w:eastAsia="Calibri" w:hAnsi="Verdana" w:cs="Times"/>
          <w:b/>
          <w:sz w:val="20"/>
          <w:szCs w:val="20"/>
          <w:lang w:eastAsia="es-CR"/>
        </w:rPr>
      </w:pPr>
    </w:p>
    <w:p w:rsidR="00D05F7B" w:rsidRPr="00873FEC" w:rsidRDefault="00D05F7B" w:rsidP="00126E97">
      <w:pPr>
        <w:numPr>
          <w:ilvl w:val="0"/>
          <w:numId w:val="3"/>
        </w:numPr>
        <w:spacing w:after="0" w:line="20" w:lineRule="atLeast"/>
        <w:ind w:right="-138"/>
        <w:jc w:val="both"/>
        <w:rPr>
          <w:rFonts w:ascii="Verdana" w:eastAsia="Batang" w:hAnsi="Verdana" w:cs="Times"/>
          <w:sz w:val="20"/>
          <w:szCs w:val="20"/>
          <w:lang w:val="es-CR" w:eastAsia="es-CR"/>
        </w:rPr>
      </w:pPr>
      <w:r w:rsidRPr="00873FEC">
        <w:rPr>
          <w:rFonts w:ascii="Verdana" w:eastAsia="Batang" w:hAnsi="Verdana" w:cs="Times"/>
          <w:sz w:val="20"/>
          <w:szCs w:val="20"/>
          <w:lang w:val="es-CR" w:eastAsia="es-CR"/>
        </w:rPr>
        <w:t>Por tanto,</w:t>
      </w:r>
    </w:p>
    <w:p w:rsidR="00D05F7B" w:rsidRDefault="00D05F7B" w:rsidP="00126E97">
      <w:pPr>
        <w:spacing w:after="0" w:line="20" w:lineRule="atLeast"/>
        <w:jc w:val="both"/>
        <w:rPr>
          <w:rFonts w:ascii="Verdana" w:eastAsia="Batang" w:hAnsi="Verdana" w:cs="Times"/>
          <w:sz w:val="20"/>
          <w:szCs w:val="20"/>
          <w:lang w:eastAsia="es-CR"/>
        </w:rPr>
      </w:pPr>
    </w:p>
    <w:p w:rsidR="000624C7" w:rsidRPr="00873FEC" w:rsidRDefault="000624C7" w:rsidP="00126E97">
      <w:pPr>
        <w:spacing w:after="0" w:line="20" w:lineRule="atLeast"/>
        <w:jc w:val="both"/>
        <w:rPr>
          <w:rFonts w:ascii="Verdana" w:eastAsia="Batang" w:hAnsi="Verdana" w:cs="Times"/>
          <w:sz w:val="20"/>
          <w:szCs w:val="20"/>
          <w:lang w:eastAsia="es-CR"/>
        </w:rPr>
      </w:pPr>
    </w:p>
    <w:p w:rsidR="00D05F7B" w:rsidRPr="00873FEC" w:rsidRDefault="00D05F7B" w:rsidP="00126E97">
      <w:pPr>
        <w:spacing w:after="0" w:line="20" w:lineRule="atLeast"/>
        <w:jc w:val="both"/>
        <w:rPr>
          <w:rFonts w:ascii="Verdana" w:eastAsia="Batang" w:hAnsi="Verdana" w:cs="Times"/>
          <w:sz w:val="20"/>
          <w:szCs w:val="20"/>
          <w:lang w:eastAsia="es-CR"/>
        </w:rPr>
      </w:pPr>
      <w:r w:rsidRPr="00873FEC">
        <w:rPr>
          <w:rFonts w:ascii="Verdana" w:eastAsia="Batang" w:hAnsi="Verdana" w:cs="Times"/>
          <w:b/>
          <w:sz w:val="20"/>
          <w:szCs w:val="20"/>
          <w:lang w:eastAsia="es-CR"/>
        </w:rPr>
        <w:t>LA CORTE</w:t>
      </w:r>
    </w:p>
    <w:p w:rsidR="00D05F7B" w:rsidRDefault="00D05F7B" w:rsidP="00126E97">
      <w:pPr>
        <w:spacing w:after="0" w:line="20" w:lineRule="atLeast"/>
        <w:jc w:val="both"/>
        <w:rPr>
          <w:rFonts w:ascii="Verdana" w:eastAsia="Batang" w:hAnsi="Verdana" w:cs="Times"/>
          <w:sz w:val="20"/>
          <w:szCs w:val="20"/>
          <w:lang w:eastAsia="es-CR"/>
        </w:rPr>
      </w:pPr>
    </w:p>
    <w:p w:rsidR="00D05F7B" w:rsidRPr="00873FEC" w:rsidRDefault="00D05F7B" w:rsidP="00126E97">
      <w:pPr>
        <w:tabs>
          <w:tab w:val="left" w:pos="0"/>
        </w:tabs>
        <w:spacing w:after="0" w:line="20" w:lineRule="atLeast"/>
        <w:jc w:val="both"/>
        <w:rPr>
          <w:rFonts w:ascii="Verdana" w:eastAsia="Batang" w:hAnsi="Verdana" w:cs="Times"/>
          <w:b/>
          <w:sz w:val="20"/>
          <w:szCs w:val="20"/>
          <w:lang w:eastAsia="es-CR"/>
        </w:rPr>
      </w:pPr>
      <w:r w:rsidRPr="00873FEC">
        <w:rPr>
          <w:rFonts w:ascii="Verdana" w:eastAsia="Batang" w:hAnsi="Verdana" w:cs="Times"/>
          <w:b/>
          <w:sz w:val="20"/>
          <w:szCs w:val="20"/>
          <w:lang w:eastAsia="es-CR"/>
        </w:rPr>
        <w:t>DECLARA,</w:t>
      </w:r>
    </w:p>
    <w:p w:rsidR="00D05F7B" w:rsidRDefault="00D05F7B" w:rsidP="00126E97">
      <w:pPr>
        <w:tabs>
          <w:tab w:val="left" w:pos="0"/>
        </w:tabs>
        <w:spacing w:after="0" w:line="20" w:lineRule="atLeast"/>
        <w:jc w:val="both"/>
        <w:rPr>
          <w:rFonts w:ascii="Verdana" w:eastAsia="Batang" w:hAnsi="Verdana" w:cs="Times"/>
          <w:sz w:val="20"/>
          <w:szCs w:val="20"/>
          <w:lang w:eastAsia="es-CR"/>
        </w:rPr>
      </w:pPr>
    </w:p>
    <w:p w:rsidR="00F42B5A" w:rsidRPr="00873FEC" w:rsidRDefault="00F42B5A" w:rsidP="00126E97">
      <w:pPr>
        <w:tabs>
          <w:tab w:val="left" w:pos="0"/>
        </w:tabs>
        <w:spacing w:after="0" w:line="20" w:lineRule="atLeast"/>
        <w:jc w:val="both"/>
        <w:rPr>
          <w:rFonts w:ascii="Verdana" w:eastAsia="Batang" w:hAnsi="Verdana" w:cs="Times"/>
          <w:sz w:val="20"/>
          <w:szCs w:val="20"/>
          <w:lang w:eastAsia="es-CR"/>
        </w:rPr>
      </w:pPr>
    </w:p>
    <w:p w:rsidR="00D05F7B" w:rsidRPr="00873FEC" w:rsidRDefault="00D05F7B" w:rsidP="00126E97">
      <w:pPr>
        <w:widowControl w:val="0"/>
        <w:spacing w:after="0" w:line="20" w:lineRule="atLeast"/>
        <w:contextualSpacing/>
        <w:jc w:val="both"/>
        <w:rPr>
          <w:rFonts w:ascii="Verdana" w:eastAsia="Calibri" w:hAnsi="Verdana" w:cs="Times"/>
          <w:sz w:val="20"/>
          <w:szCs w:val="20"/>
          <w:lang w:eastAsia="es-CR"/>
        </w:rPr>
      </w:pPr>
      <w:r w:rsidRPr="00873FEC">
        <w:rPr>
          <w:rFonts w:ascii="Verdana" w:eastAsia="Calibri" w:hAnsi="Verdana" w:cs="Times"/>
          <w:sz w:val="20"/>
          <w:szCs w:val="20"/>
          <w:lang w:eastAsia="es-CR"/>
        </w:rPr>
        <w:t>Por unanimidad, que:</w:t>
      </w:r>
    </w:p>
    <w:p w:rsidR="00D05F7B" w:rsidRPr="00873FEC" w:rsidRDefault="00D05F7B" w:rsidP="00126E97">
      <w:pPr>
        <w:widowControl w:val="0"/>
        <w:spacing w:after="0" w:line="20" w:lineRule="atLeast"/>
        <w:contextualSpacing/>
        <w:jc w:val="both"/>
        <w:rPr>
          <w:rFonts w:ascii="Verdana" w:eastAsia="Calibri" w:hAnsi="Verdana" w:cs="Times"/>
          <w:sz w:val="20"/>
          <w:szCs w:val="20"/>
          <w:lang w:eastAsia="es-CR"/>
        </w:rPr>
      </w:pPr>
    </w:p>
    <w:p w:rsidR="00D05F7B" w:rsidRPr="00873FEC" w:rsidRDefault="00D05F7B" w:rsidP="00126E97">
      <w:pPr>
        <w:widowControl w:val="0"/>
        <w:numPr>
          <w:ilvl w:val="0"/>
          <w:numId w:val="13"/>
        </w:numPr>
        <w:spacing w:after="0" w:line="20" w:lineRule="atLeast"/>
        <w:contextualSpacing/>
        <w:jc w:val="both"/>
        <w:rPr>
          <w:rFonts w:ascii="Verdana" w:eastAsia="Calibri" w:hAnsi="Verdana" w:cs="Times"/>
          <w:sz w:val="20"/>
          <w:szCs w:val="20"/>
          <w:lang w:val="es-CR" w:eastAsia="es-CR"/>
        </w:rPr>
      </w:pPr>
      <w:r w:rsidRPr="00873FEC">
        <w:rPr>
          <w:rFonts w:ascii="Verdana" w:eastAsia="Calibri" w:hAnsi="Verdana" w:cs="Arial"/>
          <w:sz w:val="20"/>
          <w:szCs w:val="20"/>
          <w:lang w:val="es-CR" w:eastAsia="es-CR"/>
        </w:rPr>
        <w:t>El Estado es responsable por la violación de los derechos a las garantías judiciales y a la protección judicial contenidos en los artículos 8.1 y 25.1 de la Convención Americana sobre Derechos Humanos, en relación con el artículo 1.1 de la misma, en perjuicio de las personas indicadas en el Anexo B.1 de la presente Sentencia, en los términos de sus párrafos 77 a 98.</w:t>
      </w:r>
    </w:p>
    <w:p w:rsidR="00D05F7B" w:rsidRPr="00873FEC" w:rsidRDefault="00D05F7B" w:rsidP="00126E97">
      <w:pPr>
        <w:widowControl w:val="0"/>
        <w:spacing w:after="0" w:line="20" w:lineRule="atLeast"/>
        <w:contextualSpacing/>
        <w:jc w:val="both"/>
        <w:rPr>
          <w:rFonts w:ascii="Verdana" w:eastAsia="Calibri" w:hAnsi="Verdana" w:cs="Times"/>
          <w:sz w:val="20"/>
          <w:szCs w:val="20"/>
          <w:lang w:val="es-CR" w:eastAsia="es-CR"/>
        </w:rPr>
      </w:pPr>
    </w:p>
    <w:p w:rsidR="00D05F7B" w:rsidRPr="00873FEC" w:rsidRDefault="00D05F7B" w:rsidP="00126E97">
      <w:pPr>
        <w:numPr>
          <w:ilvl w:val="0"/>
          <w:numId w:val="13"/>
        </w:numPr>
        <w:tabs>
          <w:tab w:val="left" w:pos="0"/>
        </w:tabs>
        <w:spacing w:after="0" w:line="20" w:lineRule="atLeast"/>
        <w:contextualSpacing/>
        <w:jc w:val="both"/>
        <w:rPr>
          <w:rFonts w:ascii="Verdana" w:eastAsia="Calibri" w:hAnsi="Verdana" w:cs="Times"/>
          <w:sz w:val="20"/>
          <w:szCs w:val="20"/>
          <w:lang w:eastAsia="es-CR"/>
        </w:rPr>
      </w:pPr>
      <w:r w:rsidRPr="00873FEC">
        <w:rPr>
          <w:rFonts w:ascii="Verdana" w:eastAsia="Calibri" w:hAnsi="Verdana" w:cs="Times"/>
          <w:sz w:val="20"/>
          <w:szCs w:val="20"/>
          <w:lang w:eastAsia="es-CR"/>
        </w:rPr>
        <w:t>El Estado es responsable por la violación del derecho a la vida, contenido en el artículo 4. 1 de la Convención Americana sobre Derechos Humanos, en relación con la obligación de respetar los derechos sin discriminación, establecida en el artículo 1.1 de la misma, en perjuicio de las personas indicadas en el Anexo B.2 de la presente Sentencia, en los términos de sus párrafos 104 a 107, 109 a 11</w:t>
      </w:r>
      <w:r w:rsidR="00FA01FE" w:rsidRPr="00873FEC">
        <w:rPr>
          <w:rFonts w:ascii="Verdana" w:eastAsia="Calibri" w:hAnsi="Verdana" w:cs="Times"/>
          <w:sz w:val="20"/>
          <w:szCs w:val="20"/>
          <w:lang w:eastAsia="es-CR"/>
        </w:rPr>
        <w:t>1</w:t>
      </w:r>
      <w:r w:rsidRPr="00873FEC">
        <w:rPr>
          <w:rFonts w:ascii="Verdana" w:eastAsia="Calibri" w:hAnsi="Verdana" w:cs="Times"/>
          <w:sz w:val="20"/>
          <w:szCs w:val="20"/>
          <w:lang w:eastAsia="es-CR"/>
        </w:rPr>
        <w:t xml:space="preserve"> y 116 a 120.</w:t>
      </w:r>
    </w:p>
    <w:p w:rsidR="00D05F7B" w:rsidRPr="00873FEC" w:rsidRDefault="00D05F7B" w:rsidP="00126E97">
      <w:pPr>
        <w:spacing w:after="0" w:line="20" w:lineRule="atLeast"/>
        <w:contextualSpacing/>
        <w:jc w:val="both"/>
        <w:rPr>
          <w:rFonts w:ascii="Verdana" w:eastAsia="Calibri" w:hAnsi="Verdana" w:cs="Times"/>
          <w:sz w:val="20"/>
          <w:szCs w:val="20"/>
          <w:lang w:eastAsia="es-CR"/>
        </w:rPr>
      </w:pPr>
    </w:p>
    <w:p w:rsidR="00D05F7B" w:rsidRPr="00873FEC" w:rsidRDefault="00D05F7B" w:rsidP="00126E97">
      <w:pPr>
        <w:numPr>
          <w:ilvl w:val="0"/>
          <w:numId w:val="13"/>
        </w:numPr>
        <w:tabs>
          <w:tab w:val="left" w:pos="0"/>
        </w:tabs>
        <w:spacing w:after="0" w:line="20" w:lineRule="atLeast"/>
        <w:contextualSpacing/>
        <w:jc w:val="both"/>
        <w:rPr>
          <w:rFonts w:ascii="Verdana" w:eastAsia="Calibri" w:hAnsi="Verdana" w:cs="Times"/>
          <w:sz w:val="20"/>
          <w:szCs w:val="20"/>
          <w:lang w:eastAsia="es-CR"/>
        </w:rPr>
      </w:pPr>
      <w:r w:rsidRPr="00873FEC">
        <w:rPr>
          <w:rFonts w:ascii="Verdana" w:eastAsia="Calibri" w:hAnsi="Verdana" w:cs="Times"/>
          <w:sz w:val="20"/>
          <w:szCs w:val="20"/>
          <w:lang w:eastAsia="es-CR"/>
        </w:rPr>
        <w:t xml:space="preserve">El Estado es responsable por la violación del derecho a la integridad personal, contenido en el artículo 5.1 de la Convención Americana sobre Derechos Humanos, en relación con la obligación </w:t>
      </w:r>
      <w:r w:rsidR="00214820" w:rsidRPr="00873FEC">
        <w:rPr>
          <w:rFonts w:ascii="Verdana" w:eastAsia="Calibri" w:hAnsi="Verdana" w:cs="Times"/>
          <w:sz w:val="20"/>
          <w:szCs w:val="20"/>
          <w:lang w:eastAsia="es-CR"/>
        </w:rPr>
        <w:t xml:space="preserve">de respetar los derechos sin discriminación </w:t>
      </w:r>
      <w:r w:rsidRPr="00873FEC">
        <w:rPr>
          <w:rFonts w:ascii="Verdana" w:eastAsia="Calibri" w:hAnsi="Verdana" w:cs="Times"/>
          <w:sz w:val="20"/>
          <w:szCs w:val="20"/>
          <w:lang w:eastAsia="es-CR"/>
        </w:rPr>
        <w:t xml:space="preserve">establecida en el artículo 1.1 de la misma, en perjuicio de las personas indicadas en </w:t>
      </w:r>
      <w:r w:rsidR="002701EA">
        <w:rPr>
          <w:rFonts w:ascii="Verdana" w:eastAsia="Calibri" w:hAnsi="Verdana" w:cs="Times"/>
          <w:sz w:val="20"/>
          <w:szCs w:val="20"/>
          <w:lang w:eastAsia="es-CR"/>
        </w:rPr>
        <w:t>el</w:t>
      </w:r>
      <w:r w:rsidRPr="00873FEC">
        <w:rPr>
          <w:rFonts w:ascii="Verdana" w:eastAsia="Calibri" w:hAnsi="Verdana" w:cs="Times"/>
          <w:sz w:val="20"/>
          <w:szCs w:val="20"/>
          <w:lang w:eastAsia="es-CR"/>
        </w:rPr>
        <w:t xml:space="preserve"> Anexo B.3 </w:t>
      </w:r>
      <w:r w:rsidR="002701EA">
        <w:rPr>
          <w:rFonts w:ascii="Verdana" w:eastAsia="Calibri" w:hAnsi="Verdana" w:cs="Times"/>
          <w:sz w:val="20"/>
          <w:szCs w:val="20"/>
          <w:lang w:eastAsia="es-CR"/>
        </w:rPr>
        <w:t xml:space="preserve">de la presente Sentencia, </w:t>
      </w:r>
      <w:r w:rsidR="002701EA" w:rsidRPr="00873FEC">
        <w:rPr>
          <w:rFonts w:ascii="Verdana" w:eastAsia="Calibri" w:hAnsi="Verdana" w:cs="Times"/>
          <w:sz w:val="20"/>
          <w:szCs w:val="20"/>
          <w:lang w:eastAsia="es-CR"/>
        </w:rPr>
        <w:t>en los términos de sus párrafos 104 a 106, 108 a 112</w:t>
      </w:r>
      <w:r w:rsidR="002701EA">
        <w:rPr>
          <w:rFonts w:ascii="Verdana" w:eastAsia="Calibri" w:hAnsi="Verdana" w:cs="Times"/>
          <w:sz w:val="20"/>
          <w:szCs w:val="20"/>
          <w:lang w:eastAsia="es-CR"/>
        </w:rPr>
        <w:t xml:space="preserve"> y</w:t>
      </w:r>
      <w:r w:rsidR="002701EA" w:rsidRPr="00873FEC">
        <w:rPr>
          <w:rFonts w:ascii="Verdana" w:eastAsia="Calibri" w:hAnsi="Verdana" w:cs="Times"/>
          <w:sz w:val="20"/>
          <w:szCs w:val="20"/>
          <w:lang w:eastAsia="es-CR"/>
        </w:rPr>
        <w:t xml:space="preserve"> 116 a 120</w:t>
      </w:r>
      <w:r w:rsidR="002701EA">
        <w:rPr>
          <w:rFonts w:ascii="Verdana" w:eastAsia="Calibri" w:hAnsi="Verdana" w:cs="Times"/>
          <w:sz w:val="20"/>
          <w:szCs w:val="20"/>
          <w:lang w:eastAsia="es-CR"/>
        </w:rPr>
        <w:t>,</w:t>
      </w:r>
      <w:r w:rsidR="002701EA" w:rsidRPr="00873FEC">
        <w:rPr>
          <w:rFonts w:ascii="Verdana" w:eastAsia="Calibri" w:hAnsi="Verdana" w:cs="Times"/>
          <w:sz w:val="20"/>
          <w:szCs w:val="20"/>
          <w:lang w:eastAsia="es-CR"/>
        </w:rPr>
        <w:t xml:space="preserve"> </w:t>
      </w:r>
      <w:r w:rsidRPr="00873FEC">
        <w:rPr>
          <w:rFonts w:ascii="Verdana" w:eastAsia="Calibri" w:hAnsi="Verdana" w:cs="Times"/>
          <w:sz w:val="20"/>
          <w:szCs w:val="20"/>
          <w:lang w:eastAsia="es-CR"/>
        </w:rPr>
        <w:t xml:space="preserve">y </w:t>
      </w:r>
      <w:r w:rsidR="002701EA">
        <w:rPr>
          <w:rFonts w:ascii="Verdana" w:eastAsia="Calibri" w:hAnsi="Verdana" w:cs="Times"/>
          <w:sz w:val="20"/>
          <w:szCs w:val="20"/>
          <w:lang w:eastAsia="es-CR"/>
        </w:rPr>
        <w:t xml:space="preserve">en relación con la obligación establecida en el artículo 1.1 de la Convención, en perjuicio de las personas indicadas en el Anexo </w:t>
      </w:r>
      <w:r w:rsidRPr="00873FEC">
        <w:rPr>
          <w:rFonts w:ascii="Verdana" w:eastAsia="Calibri" w:hAnsi="Verdana" w:cs="Times"/>
          <w:sz w:val="20"/>
          <w:szCs w:val="20"/>
          <w:lang w:eastAsia="es-CR"/>
        </w:rPr>
        <w:t xml:space="preserve">B.5 de la presente Sentencia, en los términos de sus párrafos </w:t>
      </w:r>
      <w:r w:rsidR="00214820" w:rsidRPr="00873FEC">
        <w:rPr>
          <w:rFonts w:ascii="Verdana" w:eastAsia="Calibri" w:hAnsi="Verdana" w:cs="Times"/>
          <w:sz w:val="20"/>
          <w:szCs w:val="20"/>
          <w:lang w:eastAsia="es-CR"/>
        </w:rPr>
        <w:t>123 a 129</w:t>
      </w:r>
      <w:r w:rsidRPr="00873FEC">
        <w:rPr>
          <w:rFonts w:ascii="Verdana" w:eastAsia="Calibri" w:hAnsi="Verdana" w:cs="Times"/>
          <w:sz w:val="20"/>
          <w:szCs w:val="20"/>
          <w:lang w:eastAsia="es-CR"/>
        </w:rPr>
        <w:t>.</w:t>
      </w:r>
    </w:p>
    <w:p w:rsidR="00D05F7B" w:rsidRPr="00873FEC" w:rsidRDefault="00D05F7B" w:rsidP="00126E97">
      <w:pPr>
        <w:spacing w:after="0" w:line="20" w:lineRule="atLeast"/>
        <w:contextualSpacing/>
        <w:jc w:val="both"/>
        <w:rPr>
          <w:rFonts w:ascii="Verdana" w:eastAsia="Calibri" w:hAnsi="Verdana" w:cs="Times"/>
          <w:sz w:val="20"/>
          <w:szCs w:val="20"/>
          <w:lang w:eastAsia="es-CR"/>
        </w:rPr>
      </w:pPr>
    </w:p>
    <w:p w:rsidR="00D05F7B" w:rsidRPr="00873FEC" w:rsidRDefault="00D05F7B" w:rsidP="00126E97">
      <w:pPr>
        <w:numPr>
          <w:ilvl w:val="0"/>
          <w:numId w:val="13"/>
        </w:numPr>
        <w:tabs>
          <w:tab w:val="left" w:pos="0"/>
        </w:tabs>
        <w:spacing w:after="0" w:line="20" w:lineRule="atLeast"/>
        <w:contextualSpacing/>
        <w:jc w:val="both"/>
        <w:rPr>
          <w:rFonts w:ascii="Verdana" w:eastAsia="Calibri" w:hAnsi="Verdana" w:cs="Times"/>
          <w:sz w:val="20"/>
          <w:szCs w:val="20"/>
          <w:lang w:eastAsia="es-CR"/>
        </w:rPr>
      </w:pPr>
      <w:r w:rsidRPr="00873FEC">
        <w:rPr>
          <w:rFonts w:ascii="Verdana" w:eastAsia="Calibri" w:hAnsi="Verdana" w:cs="Times"/>
          <w:sz w:val="20"/>
          <w:szCs w:val="20"/>
          <w:lang w:val="es-ES" w:eastAsia="es-ES"/>
        </w:rPr>
        <w:t xml:space="preserve">El Estado es responsable por la violación del derecho a la vida, contenido en el artículo 4.1 de la Convención Americana sobre Derechos Humanos, en relación con su artículos 19 y </w:t>
      </w:r>
      <w:r w:rsidRPr="00873FEC">
        <w:rPr>
          <w:rFonts w:ascii="Verdana" w:eastAsia="Calibri" w:hAnsi="Verdana" w:cs="Times"/>
          <w:sz w:val="20"/>
          <w:szCs w:val="20"/>
          <w:lang w:eastAsia="es-CR"/>
        </w:rPr>
        <w:t>con la obligación de respetar los derechos sin discriminación, establecida en el artículo 1.1 de la misma</w:t>
      </w:r>
      <w:r w:rsidRPr="00873FEC">
        <w:rPr>
          <w:rFonts w:ascii="Verdana" w:eastAsia="Calibri" w:hAnsi="Verdana" w:cs="Times"/>
          <w:sz w:val="20"/>
          <w:szCs w:val="20"/>
          <w:lang w:val="es-ES" w:eastAsia="es-ES"/>
        </w:rPr>
        <w:t xml:space="preserve"> Convención, en perjuicio de la niña y los niños indicados en el Anexo B.4 de la presente Sentencia, en los términos de sus párrafos 104 a 107, 109 a 11</w:t>
      </w:r>
      <w:r w:rsidR="00873FEC" w:rsidRPr="00873FEC">
        <w:rPr>
          <w:rFonts w:ascii="Verdana" w:eastAsia="Calibri" w:hAnsi="Verdana" w:cs="Times"/>
          <w:sz w:val="20"/>
          <w:szCs w:val="20"/>
          <w:lang w:val="es-ES" w:eastAsia="es-ES"/>
        </w:rPr>
        <w:t xml:space="preserve">1, 113 y </w:t>
      </w:r>
      <w:r w:rsidRPr="00873FEC">
        <w:rPr>
          <w:rFonts w:ascii="Verdana" w:eastAsia="Calibri" w:hAnsi="Verdana" w:cs="Times"/>
          <w:sz w:val="20"/>
          <w:szCs w:val="20"/>
          <w:lang w:val="es-ES" w:eastAsia="es-ES"/>
        </w:rPr>
        <w:t>115 a 120.</w:t>
      </w:r>
    </w:p>
    <w:p w:rsidR="00D05F7B" w:rsidRPr="00873FEC" w:rsidRDefault="00D05F7B" w:rsidP="00126E97">
      <w:pPr>
        <w:spacing w:after="0" w:line="20" w:lineRule="atLeast"/>
        <w:jc w:val="both"/>
        <w:rPr>
          <w:rFonts w:ascii="Verdana" w:eastAsia="Batang" w:hAnsi="Verdana" w:cs="Times"/>
          <w:sz w:val="20"/>
          <w:szCs w:val="20"/>
          <w:lang w:eastAsia="es-CR"/>
        </w:rPr>
      </w:pPr>
    </w:p>
    <w:p w:rsidR="00D05F7B" w:rsidRPr="00873FEC" w:rsidRDefault="00D05F7B" w:rsidP="00126E97">
      <w:pPr>
        <w:numPr>
          <w:ilvl w:val="0"/>
          <w:numId w:val="13"/>
        </w:numPr>
        <w:tabs>
          <w:tab w:val="left" w:pos="0"/>
        </w:tabs>
        <w:spacing w:after="0" w:line="20" w:lineRule="atLeast"/>
        <w:contextualSpacing/>
        <w:jc w:val="both"/>
        <w:rPr>
          <w:rFonts w:ascii="Verdana" w:eastAsia="Calibri" w:hAnsi="Verdana" w:cs="Times"/>
          <w:sz w:val="20"/>
          <w:szCs w:val="20"/>
          <w:lang w:eastAsia="es-CR"/>
        </w:rPr>
      </w:pPr>
      <w:r w:rsidRPr="00873FEC">
        <w:rPr>
          <w:rFonts w:ascii="Verdana" w:eastAsia="Calibri" w:hAnsi="Verdana" w:cs="Times"/>
          <w:sz w:val="20"/>
          <w:szCs w:val="20"/>
          <w:lang w:eastAsia="es-CR"/>
        </w:rPr>
        <w:t xml:space="preserve">El Estado no es responsable por la violación del derecho a la propiedad privada, contenido en el artículo 21 de la Convención Americana sobre Derechos Humanos, en los términos de los párrafos 133 a 135 de la presente Sentencia. </w:t>
      </w:r>
    </w:p>
    <w:p w:rsidR="00D05F7B" w:rsidRPr="00873FEC" w:rsidRDefault="00D05F7B" w:rsidP="00126E97">
      <w:pPr>
        <w:spacing w:after="0" w:line="20" w:lineRule="atLeast"/>
        <w:contextualSpacing/>
        <w:jc w:val="both"/>
        <w:rPr>
          <w:rFonts w:ascii="Verdana" w:eastAsia="Calibri" w:hAnsi="Verdana" w:cs="Times"/>
          <w:sz w:val="20"/>
          <w:szCs w:val="20"/>
          <w:lang w:eastAsia="es-CR"/>
        </w:rPr>
      </w:pPr>
    </w:p>
    <w:p w:rsidR="00D05F7B" w:rsidRPr="00873FEC" w:rsidRDefault="00D05F7B" w:rsidP="00126E97">
      <w:pPr>
        <w:numPr>
          <w:ilvl w:val="0"/>
          <w:numId w:val="13"/>
        </w:numPr>
        <w:tabs>
          <w:tab w:val="left" w:pos="0"/>
        </w:tabs>
        <w:spacing w:after="0" w:line="20" w:lineRule="atLeast"/>
        <w:contextualSpacing/>
        <w:jc w:val="both"/>
        <w:rPr>
          <w:rFonts w:ascii="Verdana" w:eastAsia="Calibri" w:hAnsi="Verdana" w:cs="Times"/>
          <w:sz w:val="20"/>
          <w:szCs w:val="20"/>
          <w:lang w:eastAsia="es-CR"/>
        </w:rPr>
      </w:pPr>
      <w:r w:rsidRPr="00873FEC">
        <w:rPr>
          <w:rFonts w:ascii="Verdana" w:eastAsia="Calibri" w:hAnsi="Verdana" w:cs="Times"/>
          <w:sz w:val="20"/>
          <w:szCs w:val="20"/>
          <w:lang w:eastAsia="es-CR"/>
        </w:rPr>
        <w:t xml:space="preserve">El Estado no es responsable por la violación del derecho a la igualdad ante la ley, contenido en el artículo 24 de la Convención Americana sobre Derechos Humanos, en los términos de los párrafos 105 y 140 a 142 de la presente Sentencia. </w:t>
      </w:r>
    </w:p>
    <w:p w:rsidR="00D05F7B" w:rsidRDefault="00D05F7B" w:rsidP="00126E97">
      <w:pPr>
        <w:widowControl w:val="0"/>
        <w:spacing w:after="0" w:line="20" w:lineRule="atLeast"/>
        <w:contextualSpacing/>
        <w:jc w:val="both"/>
        <w:rPr>
          <w:rFonts w:ascii="Verdana" w:eastAsia="Calibri" w:hAnsi="Verdana" w:cs="Times"/>
          <w:sz w:val="20"/>
          <w:szCs w:val="20"/>
          <w:lang w:eastAsia="es-CR"/>
        </w:rPr>
      </w:pPr>
    </w:p>
    <w:p w:rsidR="00F42B5A" w:rsidRDefault="00F42B5A" w:rsidP="00126E97">
      <w:pPr>
        <w:widowControl w:val="0"/>
        <w:spacing w:after="0" w:line="20" w:lineRule="atLeast"/>
        <w:contextualSpacing/>
        <w:jc w:val="both"/>
        <w:rPr>
          <w:rFonts w:ascii="Verdana" w:eastAsia="Calibri" w:hAnsi="Verdana" w:cs="Times"/>
          <w:sz w:val="20"/>
          <w:szCs w:val="20"/>
          <w:lang w:eastAsia="es-CR"/>
        </w:rPr>
      </w:pPr>
    </w:p>
    <w:p w:rsidR="00F42B5A" w:rsidRDefault="00F42B5A" w:rsidP="00126E97">
      <w:pPr>
        <w:widowControl w:val="0"/>
        <w:spacing w:after="0" w:line="20" w:lineRule="atLeast"/>
        <w:contextualSpacing/>
        <w:jc w:val="both"/>
        <w:rPr>
          <w:rFonts w:ascii="Verdana" w:eastAsia="Calibri" w:hAnsi="Verdana" w:cs="Times"/>
          <w:sz w:val="20"/>
          <w:szCs w:val="20"/>
          <w:lang w:eastAsia="es-CR"/>
        </w:rPr>
      </w:pPr>
    </w:p>
    <w:p w:rsidR="00F42B5A" w:rsidRPr="00873FEC" w:rsidRDefault="00F42B5A" w:rsidP="00126E97">
      <w:pPr>
        <w:widowControl w:val="0"/>
        <w:spacing w:after="0" w:line="20" w:lineRule="atLeast"/>
        <w:contextualSpacing/>
        <w:jc w:val="both"/>
        <w:rPr>
          <w:rFonts w:ascii="Verdana" w:eastAsia="Calibri" w:hAnsi="Verdana" w:cs="Times"/>
          <w:sz w:val="20"/>
          <w:szCs w:val="20"/>
          <w:lang w:eastAsia="es-CR"/>
        </w:rPr>
      </w:pPr>
    </w:p>
    <w:p w:rsidR="00D05F7B" w:rsidRPr="00873FEC" w:rsidRDefault="00D05F7B" w:rsidP="00126E97">
      <w:pPr>
        <w:widowControl w:val="0"/>
        <w:spacing w:after="0" w:line="20" w:lineRule="atLeast"/>
        <w:contextualSpacing/>
        <w:jc w:val="both"/>
        <w:rPr>
          <w:rFonts w:ascii="Verdana" w:eastAsia="Times" w:hAnsi="Verdana" w:cs="Times"/>
          <w:b/>
          <w:sz w:val="20"/>
          <w:szCs w:val="20"/>
          <w:lang w:val="es-CR" w:eastAsia="es-CR"/>
        </w:rPr>
      </w:pPr>
      <w:r w:rsidRPr="00873FEC">
        <w:rPr>
          <w:rFonts w:ascii="Verdana" w:eastAsia="Times" w:hAnsi="Verdana" w:cs="Times"/>
          <w:b/>
          <w:sz w:val="20"/>
          <w:szCs w:val="20"/>
          <w:lang w:val="es-CR" w:eastAsia="es-CR"/>
        </w:rPr>
        <w:lastRenderedPageBreak/>
        <w:t>Y DISPONE:</w:t>
      </w:r>
    </w:p>
    <w:p w:rsidR="00D05F7B" w:rsidRDefault="00D05F7B" w:rsidP="00126E97">
      <w:pPr>
        <w:widowControl w:val="0"/>
        <w:spacing w:after="0" w:line="20" w:lineRule="atLeast"/>
        <w:contextualSpacing/>
        <w:jc w:val="both"/>
        <w:rPr>
          <w:rFonts w:ascii="Verdana" w:eastAsia="Times" w:hAnsi="Verdana" w:cs="Times"/>
          <w:sz w:val="20"/>
          <w:szCs w:val="20"/>
          <w:lang w:val="es-CR" w:eastAsia="es-CR"/>
        </w:rPr>
      </w:pPr>
    </w:p>
    <w:p w:rsidR="000624C7" w:rsidRPr="00873FEC" w:rsidRDefault="000624C7" w:rsidP="00126E97">
      <w:pPr>
        <w:widowControl w:val="0"/>
        <w:spacing w:after="0" w:line="20" w:lineRule="atLeast"/>
        <w:contextualSpacing/>
        <w:jc w:val="both"/>
        <w:rPr>
          <w:rFonts w:ascii="Verdana" w:eastAsia="Times" w:hAnsi="Verdana" w:cs="Times"/>
          <w:sz w:val="20"/>
          <w:szCs w:val="20"/>
          <w:lang w:val="es-CR" w:eastAsia="es-CR"/>
        </w:rPr>
      </w:pPr>
    </w:p>
    <w:p w:rsidR="00D05F7B" w:rsidRPr="00873FEC" w:rsidRDefault="00D05F7B" w:rsidP="00126E97">
      <w:pPr>
        <w:widowControl w:val="0"/>
        <w:spacing w:after="0" w:line="20" w:lineRule="atLeast"/>
        <w:contextualSpacing/>
        <w:jc w:val="both"/>
        <w:rPr>
          <w:rFonts w:ascii="Verdana" w:eastAsia="Times" w:hAnsi="Verdana" w:cs="Times"/>
          <w:sz w:val="20"/>
          <w:szCs w:val="20"/>
          <w:lang w:val="es-CR" w:eastAsia="es-CR"/>
        </w:rPr>
      </w:pPr>
      <w:r w:rsidRPr="00873FEC">
        <w:rPr>
          <w:rFonts w:ascii="Verdana" w:eastAsia="Times" w:hAnsi="Verdana" w:cs="Times"/>
          <w:sz w:val="20"/>
          <w:szCs w:val="20"/>
          <w:lang w:val="es-CR" w:eastAsia="es-CR"/>
        </w:rPr>
        <w:t>Por unanimidad, que:</w:t>
      </w:r>
    </w:p>
    <w:p w:rsidR="00D05F7B" w:rsidRDefault="00D05F7B" w:rsidP="00126E97">
      <w:pPr>
        <w:widowControl w:val="0"/>
        <w:spacing w:after="0" w:line="20" w:lineRule="atLeast"/>
        <w:contextualSpacing/>
        <w:jc w:val="both"/>
        <w:rPr>
          <w:rFonts w:ascii="Verdana" w:eastAsia="Times" w:hAnsi="Verdana" w:cs="Times"/>
          <w:sz w:val="20"/>
          <w:szCs w:val="20"/>
          <w:lang w:val="es-CR" w:eastAsia="es-CR"/>
        </w:rPr>
      </w:pPr>
    </w:p>
    <w:p w:rsidR="000624C7" w:rsidRPr="00873FEC" w:rsidRDefault="000624C7" w:rsidP="00126E97">
      <w:pPr>
        <w:widowControl w:val="0"/>
        <w:spacing w:after="0" w:line="20" w:lineRule="atLeast"/>
        <w:contextualSpacing/>
        <w:jc w:val="both"/>
        <w:rPr>
          <w:rFonts w:ascii="Verdana" w:eastAsia="Times" w:hAnsi="Verdana" w:cs="Times"/>
          <w:sz w:val="20"/>
          <w:szCs w:val="20"/>
          <w:lang w:val="es-CR" w:eastAsia="es-CR"/>
        </w:rPr>
      </w:pPr>
    </w:p>
    <w:p w:rsidR="00D05F7B" w:rsidRPr="00873FEC" w:rsidRDefault="00D05F7B" w:rsidP="00126E97">
      <w:pPr>
        <w:widowControl w:val="0"/>
        <w:numPr>
          <w:ilvl w:val="0"/>
          <w:numId w:val="13"/>
        </w:numPr>
        <w:spacing w:after="0" w:line="20" w:lineRule="atLeast"/>
        <w:contextualSpacing/>
        <w:jc w:val="both"/>
        <w:rPr>
          <w:rFonts w:ascii="Verdana" w:eastAsia="Calibri" w:hAnsi="Verdana" w:cs="Times"/>
          <w:sz w:val="20"/>
          <w:szCs w:val="20"/>
          <w:lang w:val="es-CR" w:eastAsia="es-CR"/>
        </w:rPr>
      </w:pPr>
      <w:r w:rsidRPr="00873FEC">
        <w:rPr>
          <w:rFonts w:ascii="Verdana" w:eastAsia="Times" w:hAnsi="Verdana" w:cs="Times"/>
          <w:sz w:val="20"/>
          <w:szCs w:val="20"/>
          <w:lang w:val="es-CR" w:eastAsia="es-CR"/>
        </w:rPr>
        <w:t>Esta Sentencia constituye, por sí misma</w:t>
      </w:r>
      <w:r w:rsidRPr="00873FEC">
        <w:rPr>
          <w:rFonts w:ascii="Verdana" w:eastAsia="Times" w:hAnsi="Verdana" w:cs="Times"/>
          <w:i/>
          <w:sz w:val="20"/>
          <w:szCs w:val="20"/>
          <w:lang w:val="es-CR" w:eastAsia="es-CR"/>
        </w:rPr>
        <w:t xml:space="preserve">, </w:t>
      </w:r>
      <w:r w:rsidRPr="00873FEC">
        <w:rPr>
          <w:rFonts w:ascii="Verdana" w:eastAsia="Times" w:hAnsi="Verdana" w:cs="Times"/>
          <w:sz w:val="20"/>
          <w:szCs w:val="20"/>
          <w:lang w:val="es-CR" w:eastAsia="es-CR"/>
        </w:rPr>
        <w:t>una forma de reparación.</w:t>
      </w:r>
    </w:p>
    <w:p w:rsidR="00D05F7B" w:rsidRPr="00873FEC" w:rsidRDefault="00D05F7B" w:rsidP="00126E97">
      <w:pPr>
        <w:widowControl w:val="0"/>
        <w:spacing w:after="0" w:line="20" w:lineRule="atLeast"/>
        <w:contextualSpacing/>
        <w:jc w:val="both"/>
        <w:rPr>
          <w:rFonts w:ascii="Verdana" w:eastAsia="Calibri" w:hAnsi="Verdana" w:cs="Times"/>
          <w:sz w:val="20"/>
          <w:szCs w:val="20"/>
          <w:lang w:val="es-CR" w:eastAsia="es-CR"/>
        </w:rPr>
      </w:pPr>
    </w:p>
    <w:p w:rsidR="00D05F7B" w:rsidRPr="00873FEC" w:rsidRDefault="00D05F7B" w:rsidP="00126E97">
      <w:pPr>
        <w:widowControl w:val="0"/>
        <w:numPr>
          <w:ilvl w:val="0"/>
          <w:numId w:val="13"/>
        </w:numPr>
        <w:spacing w:after="0" w:line="20" w:lineRule="atLeast"/>
        <w:contextualSpacing/>
        <w:jc w:val="both"/>
        <w:rPr>
          <w:rFonts w:ascii="Verdana" w:eastAsia="Calibri" w:hAnsi="Verdana" w:cs="Times"/>
          <w:sz w:val="20"/>
          <w:szCs w:val="20"/>
          <w:lang w:val="es-CR" w:eastAsia="es-CR"/>
        </w:rPr>
      </w:pPr>
      <w:r w:rsidRPr="00873FEC">
        <w:rPr>
          <w:rFonts w:ascii="Verdana" w:eastAsia="Calibri" w:hAnsi="Verdana" w:cs="Times"/>
          <w:sz w:val="20"/>
          <w:szCs w:val="20"/>
          <w:lang w:val="es-CR" w:eastAsia="es-CR"/>
        </w:rPr>
        <w:t>El Estado deber adoptar las medidas necesarias para continuar la investigación sobre los hechos, de conformidad con lo establecido en el párrafo 152 de la presente Sentencia.</w:t>
      </w:r>
    </w:p>
    <w:p w:rsidR="00D05F7B" w:rsidRPr="00873FEC" w:rsidRDefault="00D05F7B" w:rsidP="00126E97">
      <w:pPr>
        <w:spacing w:line="20" w:lineRule="atLeast"/>
        <w:contextualSpacing/>
        <w:rPr>
          <w:rFonts w:ascii="Verdana" w:eastAsia="Calibri" w:hAnsi="Verdana" w:cs="Verdana"/>
          <w:sz w:val="20"/>
          <w:szCs w:val="20"/>
          <w:lang w:val="es-CR" w:eastAsia="es-CR"/>
        </w:rPr>
      </w:pPr>
    </w:p>
    <w:p w:rsidR="00D05F7B" w:rsidRPr="00873FEC" w:rsidRDefault="00D05F7B" w:rsidP="00126E97">
      <w:pPr>
        <w:widowControl w:val="0"/>
        <w:numPr>
          <w:ilvl w:val="0"/>
          <w:numId w:val="13"/>
        </w:numPr>
        <w:tabs>
          <w:tab w:val="left" w:pos="90"/>
        </w:tabs>
        <w:suppressAutoHyphens/>
        <w:spacing w:after="0" w:line="20" w:lineRule="atLeast"/>
        <w:contextualSpacing/>
        <w:jc w:val="both"/>
        <w:rPr>
          <w:rFonts w:ascii="Verdana" w:eastAsia="Calibri" w:hAnsi="Verdana" w:cs="Verdana-Italic"/>
          <w:spacing w:val="-2"/>
          <w:sz w:val="20"/>
          <w:szCs w:val="20"/>
          <w:lang w:val="es-CR" w:eastAsia="es-CR"/>
        </w:rPr>
      </w:pPr>
      <w:r w:rsidRPr="00873FEC">
        <w:rPr>
          <w:rFonts w:ascii="Verdana" w:eastAsia="Calibri" w:hAnsi="Verdana" w:cs="Verdana-Italic"/>
          <w:spacing w:val="-2"/>
          <w:sz w:val="20"/>
          <w:szCs w:val="20"/>
          <w:lang w:val="es-CR" w:eastAsia="es-CR"/>
        </w:rPr>
        <w:t>El Estado debe brindar el tratamiento psiquiátrico o psicológico a las víctimas nombradas en los Anexos B.3 y B.5 de la presente Sentencia que así lo soliciten, en los términos de los párrafos 155 y 156 de la presente Sentencia.</w:t>
      </w:r>
    </w:p>
    <w:p w:rsidR="00D05F7B" w:rsidRPr="00873FEC" w:rsidRDefault="00D05F7B" w:rsidP="00126E97">
      <w:pPr>
        <w:spacing w:line="20" w:lineRule="atLeast"/>
        <w:contextualSpacing/>
        <w:rPr>
          <w:rFonts w:ascii="Verdana" w:eastAsia="Calibri" w:hAnsi="Verdana" w:cs="Verdana"/>
          <w:sz w:val="20"/>
          <w:szCs w:val="20"/>
          <w:lang w:val="es-CR" w:eastAsia="es-CR"/>
        </w:rPr>
      </w:pPr>
    </w:p>
    <w:p w:rsidR="00D05F7B" w:rsidRPr="00873FEC" w:rsidRDefault="00D05F7B" w:rsidP="00126E97">
      <w:pPr>
        <w:widowControl w:val="0"/>
        <w:numPr>
          <w:ilvl w:val="0"/>
          <w:numId w:val="13"/>
        </w:numPr>
        <w:spacing w:after="0" w:line="20" w:lineRule="atLeast"/>
        <w:contextualSpacing/>
        <w:jc w:val="both"/>
        <w:rPr>
          <w:rFonts w:ascii="Verdana" w:eastAsia="Calibri" w:hAnsi="Verdana" w:cs="Times"/>
          <w:sz w:val="20"/>
          <w:szCs w:val="20"/>
          <w:lang w:val="es-CR" w:eastAsia="es-CR"/>
        </w:rPr>
      </w:pPr>
      <w:r w:rsidRPr="00873FEC">
        <w:rPr>
          <w:rFonts w:ascii="Verdana" w:eastAsia="Calibri" w:hAnsi="Verdana" w:cs="Verdana"/>
          <w:sz w:val="20"/>
          <w:szCs w:val="20"/>
          <w:lang w:val="es-CR" w:eastAsia="es-CR"/>
        </w:rPr>
        <w:t>El Estado debe realizar las publicaciones indicadas en el párrafo 158 de esta sentencia,</w:t>
      </w:r>
      <w:r w:rsidRPr="00873FEC">
        <w:rPr>
          <w:rFonts w:ascii="Verdana" w:eastAsia="Calibri" w:hAnsi="Verdana" w:cs="Times"/>
          <w:sz w:val="20"/>
          <w:szCs w:val="20"/>
          <w:lang w:val="es-CR" w:eastAsia="es-CR"/>
        </w:rPr>
        <w:t xml:space="preserve"> </w:t>
      </w:r>
      <w:r w:rsidRPr="00873FEC">
        <w:rPr>
          <w:rFonts w:ascii="Verdana" w:eastAsia="Calibri" w:hAnsi="Verdana" w:cs="Verdana"/>
          <w:sz w:val="20"/>
          <w:szCs w:val="20"/>
          <w:lang w:val="es-CR" w:eastAsia="es-CR"/>
        </w:rPr>
        <w:t>de conformidad con lo establecido en dicho párrafo.</w:t>
      </w:r>
    </w:p>
    <w:p w:rsidR="00D05F7B" w:rsidRPr="00873FEC" w:rsidRDefault="00D05F7B" w:rsidP="00126E97">
      <w:pPr>
        <w:widowControl w:val="0"/>
        <w:tabs>
          <w:tab w:val="left" w:pos="90"/>
        </w:tabs>
        <w:suppressAutoHyphens/>
        <w:spacing w:after="0" w:line="20" w:lineRule="atLeast"/>
        <w:contextualSpacing/>
        <w:jc w:val="both"/>
        <w:rPr>
          <w:rFonts w:ascii="Verdana" w:eastAsia="Calibri" w:hAnsi="Verdana" w:cs="Verdana"/>
          <w:sz w:val="20"/>
          <w:szCs w:val="20"/>
          <w:lang w:val="es-CR" w:eastAsia="es-CR"/>
        </w:rPr>
      </w:pPr>
    </w:p>
    <w:p w:rsidR="00D05F7B" w:rsidRPr="00873FEC" w:rsidRDefault="00D05F7B" w:rsidP="00126E97">
      <w:pPr>
        <w:numPr>
          <w:ilvl w:val="0"/>
          <w:numId w:val="13"/>
        </w:numPr>
        <w:spacing w:after="0" w:line="20" w:lineRule="atLeast"/>
        <w:contextualSpacing/>
        <w:jc w:val="both"/>
        <w:rPr>
          <w:rFonts w:ascii="Verdana" w:eastAsia="Calibri" w:hAnsi="Verdana" w:cs="Verdana-Italic"/>
          <w:spacing w:val="-2"/>
          <w:sz w:val="20"/>
          <w:szCs w:val="20"/>
          <w:lang w:val="es-CR" w:eastAsia="es-CR"/>
        </w:rPr>
      </w:pPr>
      <w:r w:rsidRPr="00873FEC">
        <w:rPr>
          <w:rFonts w:ascii="Verdana" w:eastAsia="Calibri" w:hAnsi="Verdana" w:cs="Verdana-Italic"/>
          <w:spacing w:val="-2"/>
          <w:sz w:val="20"/>
          <w:szCs w:val="20"/>
          <w:lang w:val="es-CR" w:eastAsia="es-CR"/>
        </w:rPr>
        <w:t>El Estado debe realizar un acto público de reconocimiento de responsabilidad internacional, en relación con los hechos de este caso</w:t>
      </w:r>
      <w:r w:rsidRPr="00873FEC">
        <w:rPr>
          <w:rFonts w:ascii="Verdana" w:eastAsia="Calibri" w:hAnsi="Verdana" w:cs="Times"/>
          <w:spacing w:val="-2"/>
          <w:sz w:val="20"/>
          <w:szCs w:val="20"/>
          <w:lang w:val="es-CR" w:eastAsia="es-CR"/>
        </w:rPr>
        <w:t xml:space="preserve">, </w:t>
      </w:r>
      <w:r w:rsidRPr="00873FEC">
        <w:rPr>
          <w:rFonts w:ascii="Verdana" w:eastAsia="Calibri" w:hAnsi="Verdana" w:cs="Verdana-Italic"/>
          <w:spacing w:val="-2"/>
          <w:sz w:val="20"/>
          <w:szCs w:val="20"/>
          <w:lang w:val="es-CR" w:eastAsia="es-CR"/>
        </w:rPr>
        <w:t>en los términos del párrafo 163 de esta Sentencia.</w:t>
      </w:r>
    </w:p>
    <w:p w:rsidR="00D05F7B" w:rsidRPr="00873FEC" w:rsidRDefault="00D05F7B" w:rsidP="00126E97">
      <w:pPr>
        <w:spacing w:line="20" w:lineRule="atLeast"/>
        <w:contextualSpacing/>
        <w:rPr>
          <w:rFonts w:ascii="Verdana" w:eastAsia="Calibri" w:hAnsi="Verdana" w:cs="Verdana-Italic"/>
          <w:spacing w:val="-2"/>
          <w:sz w:val="20"/>
          <w:szCs w:val="20"/>
          <w:lang w:val="es-CR" w:eastAsia="es-CR"/>
        </w:rPr>
      </w:pPr>
    </w:p>
    <w:p w:rsidR="00D05F7B" w:rsidRPr="00873FEC" w:rsidRDefault="00D05F7B" w:rsidP="00126E97">
      <w:pPr>
        <w:widowControl w:val="0"/>
        <w:numPr>
          <w:ilvl w:val="0"/>
          <w:numId w:val="13"/>
        </w:numPr>
        <w:tabs>
          <w:tab w:val="left" w:pos="90"/>
        </w:tabs>
        <w:suppressAutoHyphens/>
        <w:spacing w:after="0" w:line="20" w:lineRule="atLeast"/>
        <w:contextualSpacing/>
        <w:jc w:val="both"/>
        <w:rPr>
          <w:rFonts w:ascii="Verdana" w:eastAsia="Calibri" w:hAnsi="Verdana" w:cs="Verdana-Italic"/>
          <w:spacing w:val="-2"/>
          <w:sz w:val="20"/>
          <w:szCs w:val="20"/>
          <w:lang w:val="es-CR" w:eastAsia="es-CR"/>
        </w:rPr>
      </w:pPr>
      <w:r w:rsidRPr="00873FEC">
        <w:rPr>
          <w:rFonts w:ascii="Verdana" w:eastAsia="Times" w:hAnsi="Verdana" w:cs="Times"/>
          <w:sz w:val="20"/>
          <w:szCs w:val="20"/>
          <w:lang w:val="es-CR" w:eastAsia="es-CR"/>
        </w:rPr>
        <w:t xml:space="preserve">El </w:t>
      </w:r>
      <w:r w:rsidRPr="00873FEC">
        <w:rPr>
          <w:rFonts w:ascii="Verdana" w:eastAsia="Calibri" w:hAnsi="Verdana" w:cs="Verdana-Italic"/>
          <w:spacing w:val="-2"/>
          <w:sz w:val="20"/>
          <w:szCs w:val="20"/>
          <w:lang w:val="es-CR" w:eastAsia="es-CR"/>
        </w:rPr>
        <w:t>Estado</w:t>
      </w:r>
      <w:r w:rsidRPr="00873FEC">
        <w:rPr>
          <w:rFonts w:ascii="Verdana" w:eastAsia="Times" w:hAnsi="Verdana" w:cs="Times"/>
          <w:sz w:val="20"/>
          <w:szCs w:val="20"/>
          <w:lang w:val="es-CR" w:eastAsia="es-CR"/>
        </w:rPr>
        <w:t xml:space="preserve"> </w:t>
      </w:r>
      <w:r w:rsidRPr="00873FEC">
        <w:rPr>
          <w:rFonts w:ascii="Verdana" w:eastAsia="Calibri" w:hAnsi="Verdana" w:cs="Verdana-Italic"/>
          <w:spacing w:val="-2"/>
          <w:sz w:val="20"/>
          <w:szCs w:val="20"/>
          <w:lang w:val="es-CR" w:eastAsia="es-CR"/>
        </w:rPr>
        <w:t xml:space="preserve">debe </w:t>
      </w:r>
      <w:r w:rsidRPr="00873FEC">
        <w:rPr>
          <w:rFonts w:ascii="Verdana" w:eastAsia="Calibri" w:hAnsi="Verdana" w:cs="Times"/>
          <w:sz w:val="20"/>
          <w:szCs w:val="20"/>
          <w:lang w:val="es-CR" w:eastAsia="es-CR"/>
        </w:rPr>
        <w:t xml:space="preserve">establecer </w:t>
      </w:r>
      <w:r w:rsidRPr="00873FEC">
        <w:rPr>
          <w:rFonts w:ascii="Verdana" w:eastAsia="Batang" w:hAnsi="Verdana" w:cs="Times"/>
          <w:sz w:val="20"/>
          <w:szCs w:val="20"/>
          <w:lang w:val="es-CR" w:eastAsia="es-CR"/>
        </w:rPr>
        <w:t xml:space="preserve">un Centro de Salud ubicado en la Comunidad </w:t>
      </w:r>
      <w:r w:rsidRPr="00873FEC">
        <w:rPr>
          <w:rFonts w:ascii="Verdana" w:eastAsia="Calibri" w:hAnsi="Verdana" w:cs="Times"/>
          <w:sz w:val="20"/>
          <w:szCs w:val="20"/>
          <w:lang w:val="es-CR" w:eastAsia="es-CR"/>
        </w:rPr>
        <w:t>“</w:t>
      </w:r>
      <w:r w:rsidRPr="00873FEC">
        <w:rPr>
          <w:rFonts w:ascii="Verdana" w:eastAsia="Batang" w:hAnsi="Verdana" w:cs="Times"/>
          <w:sz w:val="20"/>
          <w:szCs w:val="20"/>
          <w:lang w:val="es-CR" w:eastAsia="es-CR"/>
        </w:rPr>
        <w:t>Aurora 8 de Octubre</w:t>
      </w:r>
      <w:r w:rsidRPr="00873FEC">
        <w:rPr>
          <w:rFonts w:ascii="Verdana" w:eastAsia="Calibri" w:hAnsi="Verdana" w:cs="Times"/>
          <w:sz w:val="20"/>
          <w:szCs w:val="20"/>
          <w:lang w:val="es-CR" w:eastAsia="es-CR"/>
        </w:rPr>
        <w:t>”, en los términos del párrafo 167 de la presente Sentencia.</w:t>
      </w:r>
    </w:p>
    <w:p w:rsidR="00D05F7B" w:rsidRPr="00873FEC" w:rsidRDefault="00D05F7B" w:rsidP="00126E97">
      <w:pPr>
        <w:widowControl w:val="0"/>
        <w:tabs>
          <w:tab w:val="left" w:pos="90"/>
        </w:tabs>
        <w:suppressAutoHyphens/>
        <w:spacing w:after="0" w:line="20" w:lineRule="atLeast"/>
        <w:contextualSpacing/>
        <w:jc w:val="both"/>
        <w:rPr>
          <w:rFonts w:ascii="Verdana" w:eastAsia="Calibri" w:hAnsi="Verdana" w:cs="Verdana-Italic"/>
          <w:spacing w:val="-2"/>
          <w:sz w:val="20"/>
          <w:szCs w:val="20"/>
          <w:lang w:val="es-CR" w:eastAsia="es-CR"/>
        </w:rPr>
      </w:pPr>
    </w:p>
    <w:p w:rsidR="00D05F7B" w:rsidRPr="00873FEC" w:rsidRDefault="00D05F7B" w:rsidP="00126E97">
      <w:pPr>
        <w:widowControl w:val="0"/>
        <w:numPr>
          <w:ilvl w:val="0"/>
          <w:numId w:val="13"/>
        </w:numPr>
        <w:tabs>
          <w:tab w:val="left" w:pos="90"/>
        </w:tabs>
        <w:suppressAutoHyphens/>
        <w:spacing w:after="0" w:line="20" w:lineRule="atLeast"/>
        <w:contextualSpacing/>
        <w:jc w:val="both"/>
        <w:rPr>
          <w:rFonts w:ascii="Verdana" w:eastAsia="Calibri" w:hAnsi="Verdana" w:cs="Verdana-Italic"/>
          <w:spacing w:val="-2"/>
          <w:sz w:val="20"/>
          <w:szCs w:val="20"/>
          <w:lang w:val="es-CR" w:eastAsia="es-CR"/>
        </w:rPr>
      </w:pPr>
      <w:r w:rsidRPr="00873FEC">
        <w:rPr>
          <w:rFonts w:ascii="Verdana" w:eastAsia="Calibri" w:hAnsi="Verdana" w:cs="Verdana-Italic"/>
          <w:spacing w:val="-2"/>
          <w:sz w:val="20"/>
          <w:szCs w:val="20"/>
          <w:lang w:val="es-CR" w:eastAsia="es-CR"/>
        </w:rPr>
        <w:t xml:space="preserve">El Estado debe </w:t>
      </w:r>
      <w:r w:rsidRPr="00873FEC">
        <w:rPr>
          <w:rFonts w:ascii="Verdana" w:eastAsia="MS Mincho" w:hAnsi="Verdana" w:cs="Times"/>
          <w:sz w:val="20"/>
          <w:szCs w:val="20"/>
          <w:lang w:eastAsia="es-CR"/>
        </w:rPr>
        <w:t>ampliar y asfaltar la carretera que se dirige de la autopista denominada Franja Transversal del Norte hacia el interior de la Comunidad “</w:t>
      </w:r>
      <w:r w:rsidR="00F5049E" w:rsidRPr="00873FEC">
        <w:rPr>
          <w:rFonts w:ascii="Verdana" w:eastAsia="MS Mincho" w:hAnsi="Verdana" w:cs="Times"/>
          <w:sz w:val="20"/>
          <w:szCs w:val="20"/>
          <w:lang w:eastAsia="es-CR"/>
        </w:rPr>
        <w:t>Aurora 8</w:t>
      </w:r>
      <w:r w:rsidRPr="00873FEC">
        <w:rPr>
          <w:rFonts w:ascii="Verdana" w:eastAsia="MS Mincho" w:hAnsi="Verdana" w:cs="Times"/>
          <w:sz w:val="20"/>
          <w:szCs w:val="20"/>
          <w:lang w:eastAsia="es-CR"/>
        </w:rPr>
        <w:t xml:space="preserve"> de Octubre”</w:t>
      </w:r>
      <w:r w:rsidRPr="00873FEC">
        <w:rPr>
          <w:rFonts w:ascii="Verdana" w:eastAsia="Calibri" w:hAnsi="Verdana" w:cs="Verdana-Italic"/>
          <w:spacing w:val="-2"/>
          <w:sz w:val="20"/>
          <w:szCs w:val="20"/>
          <w:lang w:val="es-CR" w:eastAsia="es-CR"/>
        </w:rPr>
        <w:t>, en los términos del párrafo 171 de la presente Sentencia.</w:t>
      </w:r>
    </w:p>
    <w:p w:rsidR="00D05F7B" w:rsidRPr="00873FEC" w:rsidRDefault="00D05F7B" w:rsidP="00126E97">
      <w:pPr>
        <w:spacing w:after="0" w:line="20" w:lineRule="atLeast"/>
        <w:contextualSpacing/>
        <w:jc w:val="both"/>
        <w:rPr>
          <w:rFonts w:ascii="Verdana" w:eastAsia="Calibri" w:hAnsi="Verdana" w:cs="Times"/>
          <w:sz w:val="20"/>
          <w:szCs w:val="20"/>
          <w:lang w:val="es-CR" w:eastAsia="es-CR"/>
        </w:rPr>
      </w:pPr>
    </w:p>
    <w:p w:rsidR="00D05F7B" w:rsidRPr="00873FEC" w:rsidRDefault="00D05F7B" w:rsidP="00126E97">
      <w:pPr>
        <w:numPr>
          <w:ilvl w:val="0"/>
          <w:numId w:val="13"/>
        </w:numPr>
        <w:spacing w:after="0" w:line="20" w:lineRule="atLeast"/>
        <w:contextualSpacing/>
        <w:jc w:val="both"/>
        <w:rPr>
          <w:rFonts w:ascii="Verdana" w:eastAsia="Calibri" w:hAnsi="Verdana" w:cs="Verdana-Italic"/>
          <w:spacing w:val="-2"/>
          <w:sz w:val="20"/>
          <w:szCs w:val="20"/>
          <w:lang w:val="es-CR" w:eastAsia="es-CR"/>
        </w:rPr>
      </w:pPr>
      <w:r w:rsidRPr="00873FEC">
        <w:rPr>
          <w:rFonts w:ascii="Verdana" w:eastAsia="Calibri" w:hAnsi="Verdana" w:cs="Times"/>
          <w:sz w:val="20"/>
          <w:szCs w:val="20"/>
          <w:lang w:val="es-CR" w:eastAsia="es-CR"/>
        </w:rPr>
        <w:t>El Estado debe pagar las cantidades fijadas en los párrafos 18</w:t>
      </w:r>
      <w:r w:rsidR="00873FEC" w:rsidRPr="00873FEC">
        <w:rPr>
          <w:rFonts w:ascii="Verdana" w:eastAsia="Calibri" w:hAnsi="Verdana" w:cs="Times"/>
          <w:sz w:val="20"/>
          <w:szCs w:val="20"/>
          <w:lang w:val="es-CR" w:eastAsia="es-CR"/>
        </w:rPr>
        <w:t>6</w:t>
      </w:r>
      <w:r w:rsidRPr="00873FEC">
        <w:rPr>
          <w:rFonts w:ascii="Verdana" w:eastAsia="Calibri" w:hAnsi="Verdana" w:cs="Times"/>
          <w:sz w:val="20"/>
          <w:szCs w:val="20"/>
          <w:lang w:val="es-CR" w:eastAsia="es-CR"/>
        </w:rPr>
        <w:t>, 19</w:t>
      </w:r>
      <w:r w:rsidR="00873FEC" w:rsidRPr="00873FEC">
        <w:rPr>
          <w:rFonts w:ascii="Verdana" w:eastAsia="Calibri" w:hAnsi="Verdana" w:cs="Times"/>
          <w:sz w:val="20"/>
          <w:szCs w:val="20"/>
          <w:lang w:val="es-CR" w:eastAsia="es-CR"/>
        </w:rPr>
        <w:t>0</w:t>
      </w:r>
      <w:r w:rsidRPr="00873FEC">
        <w:rPr>
          <w:rFonts w:ascii="Verdana" w:eastAsia="Calibri" w:hAnsi="Verdana" w:cs="Times"/>
          <w:sz w:val="20"/>
          <w:szCs w:val="20"/>
          <w:lang w:val="es-CR" w:eastAsia="es-CR"/>
        </w:rPr>
        <w:t xml:space="preserve"> y 19</w:t>
      </w:r>
      <w:r w:rsidR="00873FEC" w:rsidRPr="00873FEC">
        <w:rPr>
          <w:rFonts w:ascii="Verdana" w:eastAsia="Calibri" w:hAnsi="Verdana" w:cs="Times"/>
          <w:sz w:val="20"/>
          <w:szCs w:val="20"/>
          <w:lang w:val="es-CR" w:eastAsia="es-CR"/>
        </w:rPr>
        <w:t>5</w:t>
      </w:r>
      <w:r w:rsidRPr="00873FEC">
        <w:rPr>
          <w:rFonts w:ascii="Verdana" w:eastAsia="Calibri" w:hAnsi="Verdana" w:cs="Times"/>
          <w:sz w:val="20"/>
          <w:szCs w:val="20"/>
          <w:lang w:val="es-CR" w:eastAsia="es-CR"/>
        </w:rPr>
        <w:t xml:space="preserve"> de la presente </w:t>
      </w:r>
      <w:r w:rsidRPr="00873FEC">
        <w:rPr>
          <w:rFonts w:ascii="Verdana" w:eastAsia="Calibri" w:hAnsi="Verdana" w:cs="Times New Roman"/>
          <w:sz w:val="20"/>
          <w:szCs w:val="20"/>
          <w:lang w:val="es-CR" w:eastAsia="es-CR"/>
        </w:rPr>
        <w:t>Sentencia</w:t>
      </w:r>
      <w:r w:rsidRPr="00873FEC">
        <w:rPr>
          <w:rFonts w:ascii="Verdana" w:eastAsia="Calibri" w:hAnsi="Verdana" w:cs="Times"/>
          <w:sz w:val="20"/>
          <w:szCs w:val="20"/>
          <w:lang w:val="es-CR" w:eastAsia="es-CR"/>
        </w:rPr>
        <w:t xml:space="preserve"> por daños materiales e inmateriales y por el reintegro de costas y gastos. Esos pagos deben efectuarse en los términos de los párrafos 19</w:t>
      </w:r>
      <w:r w:rsidR="00873FEC" w:rsidRPr="00873FEC">
        <w:rPr>
          <w:rFonts w:ascii="Verdana" w:eastAsia="Calibri" w:hAnsi="Verdana" w:cs="Times"/>
          <w:sz w:val="20"/>
          <w:szCs w:val="20"/>
          <w:lang w:val="es-CR" w:eastAsia="es-CR"/>
        </w:rPr>
        <w:t>6</w:t>
      </w:r>
      <w:r w:rsidRPr="00873FEC">
        <w:rPr>
          <w:rFonts w:ascii="Verdana" w:eastAsia="Calibri" w:hAnsi="Verdana" w:cs="Times"/>
          <w:sz w:val="20"/>
          <w:szCs w:val="20"/>
          <w:lang w:val="es-CR" w:eastAsia="es-CR"/>
        </w:rPr>
        <w:t xml:space="preserve"> a 20</w:t>
      </w:r>
      <w:r w:rsidR="00873FEC" w:rsidRPr="00873FEC">
        <w:rPr>
          <w:rFonts w:ascii="Verdana" w:eastAsia="Calibri" w:hAnsi="Verdana" w:cs="Times"/>
          <w:sz w:val="20"/>
          <w:szCs w:val="20"/>
          <w:lang w:val="es-CR" w:eastAsia="es-CR"/>
        </w:rPr>
        <w:t>0</w:t>
      </w:r>
      <w:r w:rsidRPr="00873FEC">
        <w:rPr>
          <w:rFonts w:ascii="Verdana" w:eastAsia="Calibri" w:hAnsi="Verdana" w:cs="Times"/>
          <w:sz w:val="20"/>
          <w:szCs w:val="20"/>
          <w:lang w:val="es-CR" w:eastAsia="es-CR"/>
        </w:rPr>
        <w:t xml:space="preserve"> de esta Sentencia.</w:t>
      </w:r>
    </w:p>
    <w:p w:rsidR="00D05F7B" w:rsidRPr="00873FEC" w:rsidRDefault="00D05F7B" w:rsidP="00126E97">
      <w:pPr>
        <w:spacing w:after="0" w:line="20" w:lineRule="atLeast"/>
        <w:contextualSpacing/>
        <w:jc w:val="both"/>
        <w:rPr>
          <w:rFonts w:ascii="Verdana" w:eastAsia="Calibri" w:hAnsi="Verdana" w:cs="Verdana-Italic"/>
          <w:spacing w:val="-2"/>
          <w:sz w:val="20"/>
          <w:szCs w:val="20"/>
          <w:lang w:val="es-CR" w:eastAsia="es-CR"/>
        </w:rPr>
      </w:pPr>
    </w:p>
    <w:p w:rsidR="00D05F7B" w:rsidRPr="00873FEC" w:rsidRDefault="00D05F7B" w:rsidP="00126E97">
      <w:pPr>
        <w:numPr>
          <w:ilvl w:val="0"/>
          <w:numId w:val="13"/>
        </w:numPr>
        <w:spacing w:after="0" w:line="20" w:lineRule="atLeast"/>
        <w:contextualSpacing/>
        <w:jc w:val="both"/>
        <w:rPr>
          <w:rFonts w:ascii="Verdana" w:eastAsia="Calibri" w:hAnsi="Verdana" w:cs="Verdana-Italic"/>
          <w:spacing w:val="-2"/>
          <w:sz w:val="20"/>
          <w:szCs w:val="20"/>
          <w:lang w:val="es-CR" w:eastAsia="es-CR"/>
        </w:rPr>
      </w:pPr>
      <w:r w:rsidRPr="00873FEC">
        <w:rPr>
          <w:rFonts w:ascii="Verdana" w:eastAsia="Calibri" w:hAnsi="Verdana" w:cs="Times"/>
          <w:sz w:val="20"/>
          <w:szCs w:val="20"/>
          <w:lang w:val="es-CR" w:eastAsia="es-CR"/>
        </w:rPr>
        <w:t>El Estado debe, dentro del plazo de un año contado a partir de la notificación de esta Sentencia, rendir al Tribunal un informe sobre las medidas adoptadas para cumplir con la misma.</w:t>
      </w:r>
    </w:p>
    <w:p w:rsidR="00D05F7B" w:rsidRPr="00873FEC" w:rsidRDefault="00D05F7B" w:rsidP="00126E97">
      <w:pPr>
        <w:spacing w:after="0" w:line="20" w:lineRule="atLeast"/>
        <w:contextualSpacing/>
        <w:jc w:val="both"/>
        <w:rPr>
          <w:rFonts w:ascii="Verdana" w:eastAsia="Calibri" w:hAnsi="Verdana" w:cs="Verdana-Italic"/>
          <w:spacing w:val="-2"/>
          <w:sz w:val="20"/>
          <w:szCs w:val="20"/>
          <w:lang w:val="es-CR" w:eastAsia="es-CR"/>
        </w:rPr>
      </w:pPr>
    </w:p>
    <w:p w:rsidR="00D05F7B" w:rsidRPr="00873FEC" w:rsidRDefault="00D05F7B" w:rsidP="00126E97">
      <w:pPr>
        <w:numPr>
          <w:ilvl w:val="0"/>
          <w:numId w:val="13"/>
        </w:numPr>
        <w:spacing w:after="0" w:line="20" w:lineRule="atLeast"/>
        <w:contextualSpacing/>
        <w:jc w:val="both"/>
        <w:rPr>
          <w:rFonts w:ascii="Verdana" w:eastAsia="Calibri" w:hAnsi="Verdana" w:cs="Verdana-Italic"/>
          <w:spacing w:val="-2"/>
          <w:sz w:val="20"/>
          <w:szCs w:val="20"/>
          <w:lang w:val="es-CR" w:eastAsia="es-CR"/>
        </w:rPr>
      </w:pPr>
      <w:r w:rsidRPr="00873FEC">
        <w:rPr>
          <w:rFonts w:ascii="Verdana" w:eastAsia="Calibri" w:hAnsi="Verdana" w:cs="Times"/>
          <w:sz w:val="20"/>
          <w:szCs w:val="20"/>
          <w:lang w:val="es-CR" w:eastAsia="es-CR"/>
        </w:rPr>
        <w:t xml:space="preserve">La Corte supervisará el cumplimiento íntegro de esta Sentencia, en ejercicio de sus </w:t>
      </w:r>
      <w:r w:rsidRPr="00873FEC">
        <w:rPr>
          <w:rFonts w:ascii="Verdana" w:eastAsia="Calibri" w:hAnsi="Verdana" w:cs="Verdana-Italic"/>
          <w:spacing w:val="-2"/>
          <w:sz w:val="20"/>
          <w:szCs w:val="20"/>
          <w:lang w:val="es-CR" w:eastAsia="es-CR"/>
        </w:rPr>
        <w:t>atribuciones</w:t>
      </w:r>
      <w:r w:rsidRPr="00873FEC">
        <w:rPr>
          <w:rFonts w:ascii="Verdana" w:eastAsia="Calibri" w:hAnsi="Verdana" w:cs="Times"/>
          <w:sz w:val="20"/>
          <w:szCs w:val="20"/>
          <w:lang w:val="es-CR" w:eastAsia="es-CR"/>
        </w:rPr>
        <w:t xml:space="preserve"> y en cumplimiento de sus deberes conforme a la Convención Americana sobre Derechos Humanos, y dará por concluido el presente caso una vez que el Estado haya dado cabal cumplimiento a lo dispuesto en la misma.</w:t>
      </w:r>
    </w:p>
    <w:p w:rsidR="00D05F7B" w:rsidRPr="00873FEC" w:rsidRDefault="00D05F7B" w:rsidP="00126E97">
      <w:pPr>
        <w:spacing w:after="0" w:line="20" w:lineRule="atLeast"/>
        <w:contextualSpacing/>
        <w:jc w:val="both"/>
        <w:rPr>
          <w:rFonts w:ascii="Verdana" w:eastAsia="Calibri" w:hAnsi="Verdana" w:cs="Verdana-Italic"/>
          <w:spacing w:val="-2"/>
          <w:sz w:val="20"/>
          <w:szCs w:val="20"/>
          <w:lang w:val="es-CR" w:eastAsia="es-CR"/>
        </w:rPr>
      </w:pPr>
    </w:p>
    <w:p w:rsidR="00D05F7B" w:rsidRPr="00873FEC" w:rsidRDefault="00D05F7B" w:rsidP="00126E97">
      <w:pPr>
        <w:spacing w:after="0" w:line="20" w:lineRule="atLeast"/>
        <w:contextualSpacing/>
        <w:jc w:val="both"/>
        <w:rPr>
          <w:rFonts w:ascii="Verdana" w:eastAsia="Calibri" w:hAnsi="Verdana" w:cs="Verdana-Italic"/>
          <w:spacing w:val="-2"/>
          <w:sz w:val="20"/>
          <w:szCs w:val="20"/>
          <w:lang w:val="es-CR" w:eastAsia="es-CR"/>
        </w:rPr>
      </w:pPr>
    </w:p>
    <w:p w:rsidR="00D05F7B" w:rsidRPr="00873FEC" w:rsidRDefault="00D05F7B" w:rsidP="00126E97">
      <w:pPr>
        <w:spacing w:after="0" w:line="20" w:lineRule="atLeast"/>
        <w:contextualSpacing/>
        <w:jc w:val="both"/>
        <w:rPr>
          <w:rFonts w:ascii="Verdana" w:eastAsia="Calibri" w:hAnsi="Verdana" w:cs="Verdana-Italic"/>
          <w:spacing w:val="-2"/>
          <w:sz w:val="20"/>
          <w:szCs w:val="20"/>
          <w:lang w:val="es-CR" w:eastAsia="es-CR"/>
        </w:rPr>
      </w:pPr>
    </w:p>
    <w:p w:rsidR="00D05F7B" w:rsidRPr="00873FEC" w:rsidRDefault="00D05F7B" w:rsidP="00126E97">
      <w:pPr>
        <w:spacing w:after="0" w:line="20" w:lineRule="atLeast"/>
        <w:jc w:val="both"/>
        <w:rPr>
          <w:rFonts w:ascii="Verdana" w:eastAsia="Times" w:hAnsi="Verdana" w:cs="Times"/>
          <w:sz w:val="20"/>
          <w:szCs w:val="20"/>
          <w:lang w:val="es-CR" w:eastAsia="es-CR"/>
        </w:rPr>
      </w:pPr>
      <w:r w:rsidRPr="00873FEC">
        <w:rPr>
          <w:rFonts w:ascii="Verdana" w:eastAsia="Times" w:hAnsi="Verdana" w:cs="Times"/>
          <w:sz w:val="20"/>
          <w:szCs w:val="20"/>
          <w:lang w:val="es-CR" w:eastAsia="es-CR"/>
        </w:rPr>
        <w:t xml:space="preserve">Sentencia de la Corte Interamericana de Derechos Humanos. Caso </w:t>
      </w:r>
      <w:proofErr w:type="spellStart"/>
      <w:r w:rsidRPr="00873FEC">
        <w:rPr>
          <w:rFonts w:ascii="Verdana" w:eastAsia="Times" w:hAnsi="Verdana" w:cs="Times"/>
          <w:sz w:val="20"/>
          <w:szCs w:val="20"/>
          <w:lang w:val="es-CR" w:eastAsia="es-CR"/>
        </w:rPr>
        <w:t>Coc</w:t>
      </w:r>
      <w:proofErr w:type="spellEnd"/>
      <w:r w:rsidRPr="00873FEC">
        <w:rPr>
          <w:rFonts w:ascii="Verdana" w:eastAsia="Times" w:hAnsi="Verdana" w:cs="Times"/>
          <w:sz w:val="20"/>
          <w:szCs w:val="20"/>
          <w:lang w:val="es-CR" w:eastAsia="es-CR"/>
        </w:rPr>
        <w:t xml:space="preserve"> Max y otros (Masacre de </w:t>
      </w:r>
      <w:proofErr w:type="spellStart"/>
      <w:r w:rsidRPr="00873FEC">
        <w:rPr>
          <w:rFonts w:ascii="Verdana" w:eastAsia="Times" w:hAnsi="Verdana" w:cs="Times"/>
          <w:sz w:val="20"/>
          <w:szCs w:val="20"/>
          <w:lang w:val="es-CR" w:eastAsia="es-CR"/>
        </w:rPr>
        <w:t>Xamán</w:t>
      </w:r>
      <w:proofErr w:type="spellEnd"/>
      <w:r w:rsidRPr="00873FEC">
        <w:rPr>
          <w:rFonts w:ascii="Verdana" w:eastAsia="Times" w:hAnsi="Verdana" w:cs="Times"/>
          <w:sz w:val="20"/>
          <w:szCs w:val="20"/>
          <w:lang w:val="es-CR" w:eastAsia="es-CR"/>
        </w:rPr>
        <w:t>) Vs. Guatemala. Fondo, Reparaciones y Costas.</w:t>
      </w:r>
    </w:p>
    <w:p w:rsidR="00D05F7B" w:rsidRPr="00873FEC" w:rsidRDefault="00D05F7B" w:rsidP="00126E97">
      <w:pPr>
        <w:spacing w:after="0" w:line="20" w:lineRule="atLeast"/>
        <w:jc w:val="both"/>
        <w:rPr>
          <w:rFonts w:ascii="Verdana" w:eastAsia="Times" w:hAnsi="Verdana" w:cs="Times"/>
          <w:sz w:val="20"/>
          <w:szCs w:val="20"/>
          <w:lang w:val="es-CR" w:eastAsia="es-CR"/>
        </w:rPr>
      </w:pPr>
    </w:p>
    <w:p w:rsidR="0057574C" w:rsidRDefault="00D05F7B" w:rsidP="00126E97">
      <w:pPr>
        <w:spacing w:after="0" w:line="20" w:lineRule="atLeast"/>
        <w:jc w:val="both"/>
        <w:rPr>
          <w:rFonts w:ascii="Verdana" w:eastAsia="Batang" w:hAnsi="Verdana" w:cs="Times"/>
          <w:sz w:val="20"/>
          <w:szCs w:val="20"/>
          <w:lang w:val="es-CR" w:eastAsia="es-CR"/>
        </w:rPr>
      </w:pPr>
      <w:r w:rsidRPr="00873FEC">
        <w:rPr>
          <w:rFonts w:ascii="Verdana" w:eastAsia="Batang" w:hAnsi="Verdana" w:cs="Times"/>
          <w:sz w:val="20"/>
          <w:szCs w:val="20"/>
          <w:lang w:val="es-CR" w:eastAsia="es-CR"/>
        </w:rPr>
        <w:t xml:space="preserve">Redactada en español en Ciudad de San José, Costa Rica, el </w:t>
      </w:r>
      <w:r w:rsidR="008A6061" w:rsidRPr="00873FEC">
        <w:rPr>
          <w:rFonts w:ascii="Verdana" w:eastAsia="Batang" w:hAnsi="Verdana" w:cs="Times"/>
          <w:sz w:val="20"/>
          <w:szCs w:val="20"/>
          <w:lang w:val="es-CR" w:eastAsia="es-CR"/>
        </w:rPr>
        <w:t>22</w:t>
      </w:r>
      <w:r w:rsidRPr="00873FEC">
        <w:rPr>
          <w:rFonts w:ascii="Verdana" w:eastAsia="Batang" w:hAnsi="Verdana" w:cs="Times"/>
          <w:sz w:val="20"/>
          <w:szCs w:val="20"/>
          <w:lang w:val="es-CR" w:eastAsia="es-CR"/>
        </w:rPr>
        <w:t xml:space="preserve"> de agosto de 2018.</w:t>
      </w:r>
    </w:p>
    <w:p w:rsidR="00AB53EC" w:rsidRDefault="00AB53EC" w:rsidP="00126E97">
      <w:pPr>
        <w:spacing w:after="0" w:line="20" w:lineRule="atLeast"/>
        <w:jc w:val="both"/>
        <w:rPr>
          <w:rFonts w:ascii="Verdana" w:eastAsia="Batang" w:hAnsi="Verdana" w:cs="Times"/>
          <w:sz w:val="20"/>
          <w:szCs w:val="20"/>
          <w:lang w:val="es-CR" w:eastAsia="es-CR"/>
        </w:rPr>
      </w:pPr>
    </w:p>
    <w:p w:rsidR="00AB53EC" w:rsidRDefault="00AB53EC" w:rsidP="00126E97">
      <w:pPr>
        <w:spacing w:after="0" w:line="20" w:lineRule="atLeast"/>
        <w:jc w:val="both"/>
        <w:rPr>
          <w:rFonts w:ascii="Verdana" w:eastAsia="Batang" w:hAnsi="Verdana" w:cs="Times"/>
          <w:sz w:val="20"/>
          <w:szCs w:val="20"/>
          <w:lang w:val="es-CR" w:eastAsia="es-CR"/>
        </w:rPr>
      </w:pPr>
    </w:p>
    <w:p w:rsidR="00AB53EC" w:rsidRDefault="00AB53EC" w:rsidP="00126E97">
      <w:pPr>
        <w:spacing w:after="0" w:line="20" w:lineRule="atLeast"/>
        <w:jc w:val="both"/>
        <w:rPr>
          <w:rFonts w:ascii="Verdana" w:eastAsia="Batang" w:hAnsi="Verdana" w:cs="Times"/>
          <w:sz w:val="20"/>
          <w:szCs w:val="20"/>
          <w:lang w:val="es-CR" w:eastAsia="es-CR"/>
        </w:rPr>
      </w:pPr>
    </w:p>
    <w:p w:rsidR="00AB4A38" w:rsidRDefault="00AB4A38" w:rsidP="00AB4A38">
      <w:pPr>
        <w:jc w:val="both"/>
        <w:rPr>
          <w:rFonts w:ascii="Verdana" w:hAnsi="Verdana"/>
          <w:sz w:val="20"/>
          <w:lang w:val="es-ES"/>
        </w:rPr>
      </w:pPr>
      <w:r>
        <w:rPr>
          <w:rFonts w:ascii="Verdana" w:hAnsi="Verdana"/>
          <w:sz w:val="20"/>
          <w:lang w:val="es-ES"/>
        </w:rPr>
        <w:lastRenderedPageBreak/>
        <w:t xml:space="preserve">Corte IDH. Caso </w:t>
      </w:r>
      <w:proofErr w:type="spellStart"/>
      <w:r>
        <w:rPr>
          <w:rFonts w:ascii="Verdana" w:hAnsi="Verdana"/>
          <w:i/>
          <w:sz w:val="20"/>
          <w:lang w:val="es-ES"/>
        </w:rPr>
        <w:t>Coc</w:t>
      </w:r>
      <w:proofErr w:type="spellEnd"/>
      <w:r>
        <w:rPr>
          <w:rFonts w:ascii="Verdana" w:hAnsi="Verdana"/>
          <w:i/>
          <w:sz w:val="20"/>
          <w:lang w:val="es-ES"/>
        </w:rPr>
        <w:t xml:space="preserve"> Max y otros (Masacre de </w:t>
      </w:r>
      <w:proofErr w:type="spellStart"/>
      <w:r>
        <w:rPr>
          <w:rFonts w:ascii="Verdana" w:hAnsi="Verdana"/>
          <w:i/>
          <w:sz w:val="20"/>
          <w:lang w:val="es-ES"/>
        </w:rPr>
        <w:t>Xamán</w:t>
      </w:r>
      <w:proofErr w:type="spellEnd"/>
      <w:r>
        <w:rPr>
          <w:rFonts w:ascii="Verdana" w:hAnsi="Verdana"/>
          <w:i/>
          <w:sz w:val="20"/>
          <w:lang w:val="es-ES"/>
        </w:rPr>
        <w:t>)</w:t>
      </w:r>
      <w:r w:rsidRPr="00D82419">
        <w:rPr>
          <w:rFonts w:ascii="Verdana" w:hAnsi="Verdana"/>
          <w:i/>
          <w:sz w:val="20"/>
          <w:lang w:val="es-ES"/>
        </w:rPr>
        <w:t xml:space="preserve"> Vs. </w:t>
      </w:r>
      <w:r>
        <w:rPr>
          <w:rFonts w:ascii="Verdana" w:hAnsi="Verdana"/>
          <w:i/>
          <w:sz w:val="20"/>
          <w:lang w:val="es-ES"/>
        </w:rPr>
        <w:t>Guatemala</w:t>
      </w:r>
      <w:r>
        <w:rPr>
          <w:rFonts w:ascii="Verdana" w:hAnsi="Verdana"/>
          <w:sz w:val="20"/>
          <w:lang w:val="es-ES"/>
        </w:rPr>
        <w:t xml:space="preserve">. Fondo, Reparaciones y Costas. Sentencia de </w:t>
      </w:r>
      <w:r w:rsidRPr="003619A0">
        <w:rPr>
          <w:rFonts w:ascii="Verdana" w:hAnsi="Verdana"/>
          <w:sz w:val="20"/>
          <w:lang w:val="es-ES"/>
        </w:rPr>
        <w:t>2</w:t>
      </w:r>
      <w:r>
        <w:rPr>
          <w:rFonts w:ascii="Verdana" w:hAnsi="Verdana"/>
          <w:sz w:val="20"/>
          <w:lang w:val="es-ES"/>
        </w:rPr>
        <w:t>2 de agosto de 2018.</w:t>
      </w:r>
    </w:p>
    <w:p w:rsidR="00AB4A38" w:rsidRPr="00DA00D0" w:rsidRDefault="00AB4A38" w:rsidP="00AB4A38">
      <w:pPr>
        <w:spacing w:after="0"/>
        <w:rPr>
          <w:rFonts w:ascii="Verdana" w:hAnsi="Verdana"/>
          <w:strike/>
          <w:sz w:val="20"/>
          <w:lang w:val="pt-BR"/>
        </w:rPr>
      </w:pPr>
    </w:p>
    <w:p w:rsidR="00AB4A38" w:rsidRDefault="00AB4A38" w:rsidP="00AB4A38">
      <w:pPr>
        <w:spacing w:after="0"/>
        <w:rPr>
          <w:rFonts w:ascii="Verdana" w:hAnsi="Verdana"/>
          <w:sz w:val="20"/>
          <w:lang w:val="pt-BR"/>
        </w:rPr>
      </w:pPr>
    </w:p>
    <w:p w:rsidR="00AB4A38" w:rsidRDefault="00AB4A38" w:rsidP="00AB4A38">
      <w:pPr>
        <w:spacing w:after="0"/>
        <w:rPr>
          <w:rFonts w:ascii="Verdana" w:hAnsi="Verdana"/>
          <w:sz w:val="20"/>
          <w:lang w:val="pt-BR"/>
        </w:rPr>
      </w:pPr>
    </w:p>
    <w:p w:rsidR="00AB4A38" w:rsidRPr="00DA00D0" w:rsidRDefault="00AB4A38" w:rsidP="00AB4A38">
      <w:pPr>
        <w:spacing w:after="0"/>
        <w:rPr>
          <w:rFonts w:ascii="Verdana" w:hAnsi="Verdana"/>
          <w:sz w:val="20"/>
          <w:lang w:val="pt-BR"/>
        </w:rPr>
      </w:pPr>
    </w:p>
    <w:p w:rsidR="00AB4A38" w:rsidRPr="00DA00D0" w:rsidRDefault="00AB4A38" w:rsidP="00AB4A38">
      <w:pPr>
        <w:spacing w:after="0"/>
        <w:jc w:val="center"/>
        <w:rPr>
          <w:rFonts w:ascii="Verdana" w:hAnsi="Verdana"/>
          <w:sz w:val="20"/>
          <w:lang w:val="pt-BR"/>
        </w:rPr>
      </w:pPr>
      <w:r w:rsidRPr="00DA00D0">
        <w:rPr>
          <w:rFonts w:ascii="Verdana" w:hAnsi="Verdana"/>
          <w:sz w:val="20"/>
          <w:lang w:val="pt-BR"/>
        </w:rPr>
        <w:t>Eduardo Ferrer Mac-Gregor Poisot</w:t>
      </w:r>
    </w:p>
    <w:p w:rsidR="00AB4A38" w:rsidRPr="00DA00D0" w:rsidRDefault="00AB4A38" w:rsidP="00AB4A38">
      <w:pPr>
        <w:spacing w:after="0"/>
        <w:jc w:val="center"/>
        <w:rPr>
          <w:rFonts w:ascii="Verdana" w:hAnsi="Verdana"/>
          <w:sz w:val="20"/>
          <w:lang w:val="pt-BR"/>
        </w:rPr>
      </w:pPr>
      <w:r>
        <w:rPr>
          <w:rFonts w:ascii="Verdana" w:hAnsi="Verdana"/>
          <w:sz w:val="20"/>
          <w:lang w:val="pt-BR"/>
        </w:rPr>
        <w:t xml:space="preserve">Presidente </w:t>
      </w:r>
    </w:p>
    <w:p w:rsidR="00AB4A38" w:rsidRPr="00DA00D0" w:rsidRDefault="00AB4A38" w:rsidP="00AB4A38">
      <w:pPr>
        <w:spacing w:after="0"/>
        <w:rPr>
          <w:rFonts w:ascii="Verdana" w:hAnsi="Verdana"/>
          <w:sz w:val="20"/>
          <w:lang w:val="pt-BR"/>
        </w:rPr>
      </w:pPr>
    </w:p>
    <w:p w:rsidR="00AB4A38" w:rsidRDefault="00AB4A38" w:rsidP="00AB4A38">
      <w:pPr>
        <w:spacing w:after="0"/>
        <w:rPr>
          <w:rFonts w:ascii="Verdana" w:hAnsi="Verdana"/>
          <w:sz w:val="20"/>
          <w:lang w:val="pt-BR"/>
        </w:rPr>
      </w:pPr>
    </w:p>
    <w:p w:rsidR="00AB4A38" w:rsidRPr="00DA00D0" w:rsidRDefault="00AB4A38" w:rsidP="00AB4A38">
      <w:pPr>
        <w:spacing w:after="0"/>
        <w:rPr>
          <w:rFonts w:ascii="Verdana" w:hAnsi="Verdana"/>
          <w:sz w:val="20"/>
          <w:lang w:val="pt-BR"/>
        </w:rPr>
      </w:pPr>
    </w:p>
    <w:p w:rsidR="00AB4A38" w:rsidRPr="00DA00D0" w:rsidRDefault="00AB4A38" w:rsidP="00AB4A38">
      <w:pPr>
        <w:spacing w:after="0"/>
        <w:rPr>
          <w:rFonts w:ascii="Verdana" w:hAnsi="Verdana"/>
          <w:sz w:val="20"/>
          <w:lang w:val="pt-BR"/>
        </w:rPr>
      </w:pPr>
    </w:p>
    <w:p w:rsidR="00AB4A38" w:rsidRPr="00DA00D0" w:rsidRDefault="00AB4A38" w:rsidP="00AB4A38">
      <w:pPr>
        <w:spacing w:after="0"/>
        <w:rPr>
          <w:rFonts w:ascii="Verdana" w:hAnsi="Verdana"/>
          <w:sz w:val="20"/>
          <w:lang w:val="pt-BR"/>
        </w:rPr>
      </w:pPr>
    </w:p>
    <w:p w:rsidR="00AB4A38" w:rsidRDefault="00AB4A38" w:rsidP="00AB4A38">
      <w:pPr>
        <w:spacing w:after="0"/>
        <w:rPr>
          <w:rFonts w:ascii="Verdana" w:hAnsi="Verdana"/>
          <w:sz w:val="20"/>
          <w:lang w:val="pt-BR"/>
        </w:rPr>
      </w:pPr>
      <w:r w:rsidRPr="00DA00D0">
        <w:rPr>
          <w:rFonts w:ascii="Verdana" w:hAnsi="Verdana"/>
          <w:sz w:val="20"/>
          <w:lang w:val="pt-BR"/>
        </w:rPr>
        <w:t xml:space="preserve">Humberto </w:t>
      </w:r>
      <w:r>
        <w:rPr>
          <w:rFonts w:ascii="Verdana" w:hAnsi="Verdana"/>
          <w:sz w:val="20"/>
          <w:lang w:val="pt-BR"/>
        </w:rPr>
        <w:t xml:space="preserve">A. </w:t>
      </w:r>
      <w:r w:rsidRPr="00DA00D0">
        <w:rPr>
          <w:rFonts w:ascii="Verdana" w:hAnsi="Verdana"/>
          <w:sz w:val="20"/>
          <w:lang w:val="pt-BR"/>
        </w:rPr>
        <w:t>Sierra Porto</w:t>
      </w:r>
      <w:r w:rsidRPr="00DA00D0">
        <w:rPr>
          <w:rFonts w:ascii="Verdana" w:hAnsi="Verdana"/>
          <w:sz w:val="20"/>
          <w:lang w:val="pt-BR"/>
        </w:rPr>
        <w:tab/>
      </w:r>
      <w:r w:rsidRPr="00DA00D0">
        <w:rPr>
          <w:rFonts w:ascii="Verdana" w:hAnsi="Verdana"/>
          <w:sz w:val="20"/>
          <w:lang w:val="pt-BR"/>
        </w:rPr>
        <w:tab/>
      </w:r>
      <w:r w:rsidRPr="00DA00D0">
        <w:rPr>
          <w:rFonts w:ascii="Verdana" w:hAnsi="Verdana"/>
          <w:sz w:val="20"/>
          <w:lang w:val="pt-BR"/>
        </w:rPr>
        <w:tab/>
      </w:r>
      <w:r w:rsidR="00B42848">
        <w:rPr>
          <w:rFonts w:ascii="Verdana" w:hAnsi="Verdana"/>
          <w:sz w:val="20"/>
          <w:lang w:val="pt-BR"/>
        </w:rPr>
        <w:tab/>
      </w:r>
      <w:r w:rsidR="00B42848">
        <w:rPr>
          <w:rFonts w:ascii="Verdana" w:hAnsi="Verdana"/>
          <w:sz w:val="20"/>
          <w:lang w:val="pt-BR"/>
        </w:rPr>
        <w:tab/>
        <w:t xml:space="preserve">    </w:t>
      </w:r>
      <w:r w:rsidRPr="00DA00D0">
        <w:rPr>
          <w:rFonts w:ascii="Verdana" w:hAnsi="Verdana"/>
          <w:sz w:val="20"/>
          <w:lang w:val="pt-BR"/>
        </w:rPr>
        <w:t>Eli</w:t>
      </w:r>
      <w:r w:rsidR="00B42848">
        <w:rPr>
          <w:rFonts w:ascii="Verdana" w:hAnsi="Verdana"/>
          <w:sz w:val="20"/>
          <w:lang w:val="pt-BR"/>
        </w:rPr>
        <w:t xml:space="preserve">zabeth Odio </w:t>
      </w:r>
      <w:r>
        <w:rPr>
          <w:rFonts w:ascii="Verdana" w:hAnsi="Verdana"/>
          <w:sz w:val="20"/>
          <w:lang w:val="pt-BR"/>
        </w:rPr>
        <w:t>Benito</w:t>
      </w:r>
    </w:p>
    <w:p w:rsidR="00AB4A38" w:rsidRDefault="00AB4A38" w:rsidP="00AB4A38">
      <w:pPr>
        <w:spacing w:after="0"/>
        <w:rPr>
          <w:rFonts w:ascii="Verdana" w:hAnsi="Verdana"/>
          <w:sz w:val="20"/>
          <w:lang w:val="pt-BR"/>
        </w:rPr>
      </w:pPr>
    </w:p>
    <w:p w:rsidR="00AB4A38" w:rsidRDefault="00AB4A38" w:rsidP="00AB4A38">
      <w:pPr>
        <w:spacing w:after="0"/>
        <w:rPr>
          <w:rFonts w:ascii="Verdana" w:hAnsi="Verdana"/>
          <w:sz w:val="20"/>
          <w:lang w:val="pt-BR"/>
        </w:rPr>
      </w:pPr>
    </w:p>
    <w:p w:rsidR="00AB4A38" w:rsidRDefault="00AB4A38" w:rsidP="00AB4A38">
      <w:pPr>
        <w:spacing w:after="0"/>
        <w:rPr>
          <w:rFonts w:ascii="Verdana" w:hAnsi="Verdana"/>
          <w:sz w:val="20"/>
          <w:lang w:val="pt-BR"/>
        </w:rPr>
      </w:pPr>
    </w:p>
    <w:p w:rsidR="00AB4A38" w:rsidRDefault="00AB4A38" w:rsidP="00AB4A38">
      <w:pPr>
        <w:spacing w:after="0"/>
        <w:rPr>
          <w:rFonts w:ascii="Verdana" w:hAnsi="Verdana"/>
          <w:sz w:val="20"/>
          <w:lang w:val="pt-BR"/>
        </w:rPr>
      </w:pPr>
    </w:p>
    <w:p w:rsidR="00AB4A38" w:rsidRDefault="00AB4A38" w:rsidP="00AB4A38">
      <w:pPr>
        <w:spacing w:after="0"/>
        <w:rPr>
          <w:rFonts w:ascii="Verdana" w:hAnsi="Verdana"/>
          <w:sz w:val="20"/>
          <w:lang w:val="pt-BR"/>
        </w:rPr>
      </w:pPr>
    </w:p>
    <w:p w:rsidR="00AB4A38" w:rsidRPr="00DA00D0" w:rsidRDefault="00AB4A38" w:rsidP="00B42848">
      <w:pPr>
        <w:spacing w:after="0"/>
        <w:ind w:left="5664" w:hanging="5664"/>
        <w:rPr>
          <w:rFonts w:ascii="Verdana" w:hAnsi="Verdana"/>
          <w:sz w:val="20"/>
          <w:lang w:val="pt-BR"/>
        </w:rPr>
      </w:pPr>
      <w:r w:rsidRPr="00DA00D0">
        <w:rPr>
          <w:rFonts w:ascii="Verdana" w:hAnsi="Verdana"/>
          <w:sz w:val="20"/>
          <w:lang w:val="pt-BR"/>
        </w:rPr>
        <w:t>Eugenio Raúl Zaffaroni</w:t>
      </w:r>
      <w:r w:rsidR="00B42848">
        <w:rPr>
          <w:rFonts w:ascii="Verdana" w:hAnsi="Verdana"/>
          <w:sz w:val="20"/>
          <w:lang w:val="pt-BR"/>
        </w:rPr>
        <w:tab/>
        <w:t xml:space="preserve"> </w:t>
      </w:r>
      <w:r>
        <w:rPr>
          <w:rFonts w:ascii="Verdana" w:hAnsi="Verdana"/>
          <w:sz w:val="20"/>
          <w:lang w:val="pt-BR"/>
        </w:rPr>
        <w:t>L.</w:t>
      </w:r>
      <w:r w:rsidRPr="00DA00D0">
        <w:rPr>
          <w:rFonts w:ascii="Verdana" w:hAnsi="Verdana"/>
          <w:sz w:val="20"/>
          <w:lang w:val="pt-BR"/>
        </w:rPr>
        <w:t xml:space="preserve"> Patricio </w:t>
      </w:r>
      <w:r w:rsidR="00B42848">
        <w:rPr>
          <w:rFonts w:ascii="Verdana" w:hAnsi="Verdana"/>
          <w:sz w:val="20"/>
          <w:lang w:val="pt-BR"/>
        </w:rPr>
        <w:t xml:space="preserve">Pazmiño </w:t>
      </w:r>
      <w:r w:rsidRPr="00DA00D0">
        <w:rPr>
          <w:rFonts w:ascii="Verdana" w:hAnsi="Verdana"/>
          <w:sz w:val="20"/>
          <w:lang w:val="pt-BR"/>
        </w:rPr>
        <w:t>Fre</w:t>
      </w:r>
      <w:r>
        <w:rPr>
          <w:rFonts w:ascii="Verdana" w:hAnsi="Verdana"/>
          <w:sz w:val="20"/>
          <w:lang w:val="pt-BR"/>
        </w:rPr>
        <w:t>i</w:t>
      </w:r>
      <w:r w:rsidRPr="00DA00D0">
        <w:rPr>
          <w:rFonts w:ascii="Verdana" w:hAnsi="Verdana"/>
          <w:sz w:val="20"/>
          <w:lang w:val="pt-BR"/>
        </w:rPr>
        <w:t>re</w:t>
      </w:r>
    </w:p>
    <w:p w:rsidR="00AB4A38" w:rsidRPr="00DA00D0" w:rsidRDefault="00AB4A38" w:rsidP="00AB4A38">
      <w:pPr>
        <w:spacing w:after="0"/>
        <w:rPr>
          <w:rFonts w:ascii="Verdana" w:hAnsi="Verdana"/>
          <w:sz w:val="20"/>
          <w:lang w:val="pt-BR"/>
        </w:rPr>
      </w:pPr>
    </w:p>
    <w:p w:rsidR="00AB4A38" w:rsidRDefault="00AB4A38" w:rsidP="00AB4A38">
      <w:pPr>
        <w:spacing w:after="0"/>
        <w:rPr>
          <w:rFonts w:ascii="Verdana" w:hAnsi="Verdana"/>
          <w:sz w:val="20"/>
          <w:lang w:val="pt-BR"/>
        </w:rPr>
      </w:pPr>
    </w:p>
    <w:p w:rsidR="00AB4A38" w:rsidRPr="00DA00D0" w:rsidRDefault="00AB4A38" w:rsidP="00AB4A38">
      <w:pPr>
        <w:spacing w:after="0"/>
        <w:rPr>
          <w:rFonts w:ascii="Verdana" w:hAnsi="Verdana"/>
          <w:sz w:val="20"/>
          <w:lang w:val="pt-BR"/>
        </w:rPr>
      </w:pPr>
    </w:p>
    <w:p w:rsidR="00AB4A38" w:rsidRPr="00DA00D0" w:rsidRDefault="00AB4A38" w:rsidP="00AB4A38">
      <w:pPr>
        <w:spacing w:after="0"/>
        <w:jc w:val="both"/>
        <w:rPr>
          <w:rFonts w:ascii="Verdana" w:hAnsi="Verdana"/>
          <w:sz w:val="20"/>
          <w:lang w:val="pt-BR"/>
        </w:rPr>
      </w:pPr>
    </w:p>
    <w:p w:rsidR="00AB4A38" w:rsidRPr="00DA00D0" w:rsidRDefault="00AB4A38" w:rsidP="00AB4A38">
      <w:pPr>
        <w:spacing w:after="0"/>
        <w:jc w:val="both"/>
        <w:rPr>
          <w:rFonts w:ascii="Verdana" w:hAnsi="Verdana"/>
          <w:sz w:val="20"/>
          <w:lang w:val="pt-BR"/>
        </w:rPr>
      </w:pPr>
    </w:p>
    <w:p w:rsidR="00AB4A38" w:rsidRPr="00DA00D0" w:rsidRDefault="00AB4A38" w:rsidP="00AB4A38">
      <w:pPr>
        <w:spacing w:after="0"/>
        <w:jc w:val="both"/>
        <w:rPr>
          <w:rFonts w:ascii="Verdana" w:hAnsi="Verdana"/>
          <w:sz w:val="20"/>
          <w:lang w:val="pt-BR"/>
        </w:rPr>
      </w:pPr>
    </w:p>
    <w:p w:rsidR="00AB4A38" w:rsidRPr="00FC4051" w:rsidRDefault="00AB4A38" w:rsidP="00AB4A38">
      <w:pPr>
        <w:spacing w:after="0"/>
        <w:jc w:val="center"/>
        <w:rPr>
          <w:rFonts w:ascii="Verdana" w:hAnsi="Verdana"/>
          <w:sz w:val="20"/>
          <w:lang w:val="pt-BR"/>
        </w:rPr>
      </w:pPr>
      <w:r w:rsidRPr="00FC4051">
        <w:rPr>
          <w:rFonts w:ascii="Verdana" w:hAnsi="Verdana"/>
          <w:sz w:val="20"/>
          <w:lang w:val="pt-BR"/>
        </w:rPr>
        <w:t>Pablo Saavedra Alessandri</w:t>
      </w:r>
    </w:p>
    <w:p w:rsidR="00AB4A38" w:rsidRPr="00FC4051" w:rsidRDefault="00AB4A38" w:rsidP="00AB4A38">
      <w:pPr>
        <w:spacing w:after="0"/>
        <w:jc w:val="center"/>
        <w:rPr>
          <w:rFonts w:ascii="Verdana" w:hAnsi="Verdana"/>
          <w:sz w:val="20"/>
          <w:lang w:val="pt-BR"/>
        </w:rPr>
      </w:pPr>
      <w:r w:rsidRPr="00FC4051">
        <w:rPr>
          <w:rFonts w:ascii="Verdana" w:hAnsi="Verdana"/>
          <w:sz w:val="20"/>
          <w:lang w:val="pt-BR"/>
        </w:rPr>
        <w:t>Secret</w:t>
      </w:r>
      <w:r>
        <w:rPr>
          <w:rFonts w:ascii="Verdana" w:hAnsi="Verdana"/>
          <w:sz w:val="20"/>
          <w:lang w:val="pt-BR"/>
        </w:rPr>
        <w:t>a</w:t>
      </w:r>
      <w:r w:rsidRPr="00FC4051">
        <w:rPr>
          <w:rFonts w:ascii="Verdana" w:hAnsi="Verdana"/>
          <w:sz w:val="20"/>
          <w:lang w:val="pt-BR"/>
        </w:rPr>
        <w:t>rio</w:t>
      </w:r>
    </w:p>
    <w:p w:rsidR="00AB4A38" w:rsidRDefault="00AB4A38" w:rsidP="00AB4A38">
      <w:pPr>
        <w:pStyle w:val="FootnoteText"/>
        <w:rPr>
          <w:lang w:val="pt-BR"/>
        </w:rPr>
      </w:pPr>
    </w:p>
    <w:p w:rsidR="00AB4A38" w:rsidRPr="00FC4051" w:rsidRDefault="00AB4A38" w:rsidP="00AB4A38">
      <w:pPr>
        <w:pStyle w:val="FootnoteText"/>
        <w:rPr>
          <w:lang w:val="pt-BR"/>
        </w:rPr>
      </w:pPr>
    </w:p>
    <w:p w:rsidR="00AB4A38" w:rsidRPr="00FC4051" w:rsidRDefault="00AB4A38" w:rsidP="00AB4A38">
      <w:pPr>
        <w:pStyle w:val="FootnoteText"/>
        <w:rPr>
          <w:lang w:val="pt-BR"/>
        </w:rPr>
      </w:pPr>
    </w:p>
    <w:p w:rsidR="00AB4A38" w:rsidRPr="00FC4051" w:rsidRDefault="00AB4A38" w:rsidP="00AB4A38">
      <w:pPr>
        <w:spacing w:after="0"/>
        <w:jc w:val="both"/>
        <w:rPr>
          <w:rFonts w:ascii="Verdana" w:hAnsi="Verdana"/>
          <w:sz w:val="20"/>
          <w:lang w:val="pt-BR"/>
        </w:rPr>
      </w:pPr>
      <w:r>
        <w:rPr>
          <w:rFonts w:ascii="Verdana" w:hAnsi="Verdana"/>
          <w:sz w:val="20"/>
          <w:lang w:val="pt-BR"/>
        </w:rPr>
        <w:t>Comuníquese y ejecútese</w:t>
      </w:r>
      <w:r w:rsidRPr="00FC4051">
        <w:rPr>
          <w:rFonts w:ascii="Verdana" w:hAnsi="Verdana"/>
          <w:sz w:val="20"/>
          <w:lang w:val="pt-BR"/>
        </w:rPr>
        <w:t>,</w:t>
      </w:r>
    </w:p>
    <w:p w:rsidR="00AB4A38" w:rsidRPr="00FC4051" w:rsidRDefault="00AB4A38" w:rsidP="00AB4A38">
      <w:pPr>
        <w:spacing w:after="0"/>
        <w:rPr>
          <w:rFonts w:ascii="Verdana" w:hAnsi="Verdana"/>
          <w:sz w:val="20"/>
          <w:lang w:val="pt-BR"/>
        </w:rPr>
      </w:pPr>
    </w:p>
    <w:p w:rsidR="00AB4A38" w:rsidRPr="00FC4051" w:rsidRDefault="00AB4A38" w:rsidP="00AB4A38">
      <w:pPr>
        <w:spacing w:after="0"/>
        <w:rPr>
          <w:rFonts w:ascii="Verdana" w:hAnsi="Verdana"/>
          <w:sz w:val="20"/>
          <w:lang w:val="pt-BR"/>
        </w:rPr>
      </w:pPr>
    </w:p>
    <w:p w:rsidR="00AB4A38" w:rsidRPr="00FC4051" w:rsidRDefault="00AB4A38" w:rsidP="00AB4A38">
      <w:pPr>
        <w:spacing w:after="0"/>
        <w:jc w:val="right"/>
        <w:rPr>
          <w:rFonts w:ascii="Verdana" w:hAnsi="Verdana"/>
          <w:sz w:val="20"/>
          <w:lang w:val="pt-BR"/>
        </w:rPr>
      </w:pPr>
    </w:p>
    <w:p w:rsidR="00AB4A38" w:rsidRPr="00FC4051" w:rsidRDefault="00AB4A38" w:rsidP="00AB4A38">
      <w:pPr>
        <w:spacing w:after="0"/>
        <w:jc w:val="right"/>
        <w:rPr>
          <w:rFonts w:ascii="Verdana" w:hAnsi="Verdana"/>
          <w:sz w:val="20"/>
          <w:lang w:val="pt-BR"/>
        </w:rPr>
      </w:pPr>
    </w:p>
    <w:p w:rsidR="00AB4A38" w:rsidRPr="00FC4051" w:rsidRDefault="00AB4A38" w:rsidP="00AB4A38">
      <w:pPr>
        <w:spacing w:after="0"/>
        <w:jc w:val="center"/>
        <w:rPr>
          <w:rFonts w:ascii="Verdana" w:hAnsi="Verdana"/>
          <w:sz w:val="20"/>
          <w:lang w:val="pt-BR"/>
        </w:rPr>
      </w:pPr>
      <w:r>
        <w:rPr>
          <w:rFonts w:ascii="Verdana" w:hAnsi="Verdana"/>
          <w:sz w:val="20"/>
          <w:lang w:val="pt-BR"/>
        </w:rPr>
        <w:t xml:space="preserve">                                                                           </w:t>
      </w:r>
      <w:r w:rsidRPr="00DA00D0">
        <w:rPr>
          <w:rFonts w:ascii="Verdana" w:hAnsi="Verdana"/>
          <w:sz w:val="20"/>
          <w:lang w:val="pt-BR"/>
        </w:rPr>
        <w:t>Eduardo Ferrer Mac-Gregor Poisot</w:t>
      </w:r>
    </w:p>
    <w:p w:rsidR="00AB4A38" w:rsidRPr="00DA00D0" w:rsidRDefault="00AB4A38" w:rsidP="00AB4A38">
      <w:pPr>
        <w:spacing w:after="0"/>
        <w:ind w:left="6480"/>
        <w:rPr>
          <w:rFonts w:ascii="Verdana" w:hAnsi="Verdana"/>
          <w:sz w:val="20"/>
          <w:lang w:val="pt-BR"/>
        </w:rPr>
      </w:pPr>
      <w:r>
        <w:rPr>
          <w:rFonts w:ascii="Verdana" w:hAnsi="Verdana"/>
          <w:sz w:val="20"/>
          <w:lang w:val="pt-BR"/>
        </w:rPr>
        <w:t xml:space="preserve">        Presidente </w:t>
      </w:r>
    </w:p>
    <w:p w:rsidR="00AB4A38" w:rsidRPr="00FC4051" w:rsidRDefault="00AB4A38" w:rsidP="00AB4A38">
      <w:pPr>
        <w:spacing w:after="0"/>
        <w:ind w:left="5040" w:firstLine="720"/>
        <w:jc w:val="center"/>
        <w:rPr>
          <w:rFonts w:ascii="Verdana" w:hAnsi="Verdana"/>
          <w:sz w:val="20"/>
          <w:lang w:val="pt-BR"/>
        </w:rPr>
      </w:pPr>
    </w:p>
    <w:p w:rsidR="00AB4A38" w:rsidRPr="00FC4051" w:rsidRDefault="00AB4A38" w:rsidP="00AB4A38">
      <w:pPr>
        <w:spacing w:after="0"/>
        <w:jc w:val="both"/>
        <w:rPr>
          <w:rFonts w:ascii="Verdana" w:hAnsi="Verdana"/>
          <w:sz w:val="20"/>
          <w:lang w:val="pt-BR"/>
        </w:rPr>
      </w:pPr>
    </w:p>
    <w:p w:rsidR="00AB4A38" w:rsidRPr="00FC4051" w:rsidRDefault="00AB4A38" w:rsidP="00AB4A38">
      <w:pPr>
        <w:spacing w:after="0"/>
        <w:jc w:val="both"/>
        <w:rPr>
          <w:rFonts w:ascii="Verdana" w:hAnsi="Verdana"/>
          <w:sz w:val="20"/>
          <w:lang w:val="pt-BR"/>
        </w:rPr>
      </w:pPr>
    </w:p>
    <w:p w:rsidR="00AB4A38" w:rsidRPr="00FC4051" w:rsidRDefault="00AB4A38" w:rsidP="00AB4A38">
      <w:pPr>
        <w:spacing w:after="0"/>
        <w:jc w:val="both"/>
        <w:rPr>
          <w:rFonts w:ascii="Verdana" w:hAnsi="Verdana"/>
          <w:sz w:val="20"/>
          <w:lang w:val="pt-BR"/>
        </w:rPr>
      </w:pPr>
      <w:r w:rsidRPr="00FC4051">
        <w:rPr>
          <w:rFonts w:ascii="Verdana" w:hAnsi="Verdana"/>
          <w:sz w:val="20"/>
          <w:lang w:val="pt-BR"/>
        </w:rPr>
        <w:t>Pablo Saavedra Alessandri</w:t>
      </w:r>
    </w:p>
    <w:p w:rsidR="0057574C" w:rsidRDefault="00AB4A38" w:rsidP="002918DC">
      <w:pPr>
        <w:spacing w:after="0"/>
        <w:rPr>
          <w:rFonts w:ascii="Verdana" w:hAnsi="Verdana"/>
          <w:sz w:val="20"/>
          <w:lang w:val="es-ES"/>
        </w:rPr>
      </w:pPr>
      <w:r w:rsidRPr="00FC4051">
        <w:rPr>
          <w:rFonts w:ascii="Verdana" w:hAnsi="Verdana"/>
          <w:sz w:val="20"/>
          <w:lang w:val="pt-BR"/>
        </w:rPr>
        <w:tab/>
      </w:r>
      <w:r w:rsidRPr="00DA00D0">
        <w:rPr>
          <w:rFonts w:ascii="Verdana" w:hAnsi="Verdana"/>
          <w:sz w:val="20"/>
          <w:lang w:val="es-ES"/>
        </w:rPr>
        <w:t>Secret</w:t>
      </w:r>
      <w:r>
        <w:rPr>
          <w:rFonts w:ascii="Verdana" w:hAnsi="Verdana"/>
          <w:sz w:val="20"/>
          <w:lang w:val="es-ES"/>
        </w:rPr>
        <w:t>a</w:t>
      </w:r>
      <w:r w:rsidRPr="00DA00D0">
        <w:rPr>
          <w:rFonts w:ascii="Verdana" w:hAnsi="Verdana"/>
          <w:sz w:val="20"/>
          <w:lang w:val="es-ES"/>
        </w:rPr>
        <w:t>rio</w:t>
      </w:r>
    </w:p>
    <w:p w:rsidR="003908EB" w:rsidRDefault="003908EB" w:rsidP="002918DC">
      <w:pPr>
        <w:spacing w:after="0"/>
        <w:rPr>
          <w:lang w:val="es-CR"/>
        </w:rPr>
        <w:sectPr w:rsidR="003908EB" w:rsidSect="007877C0">
          <w:headerReference w:type="default" r:id="rId9"/>
          <w:pgSz w:w="12240" w:h="15840"/>
          <w:pgMar w:top="1417" w:right="1701" w:bottom="1417" w:left="1701" w:header="708" w:footer="708" w:gutter="0"/>
          <w:cols w:space="708"/>
          <w:titlePg/>
          <w:docGrid w:linePitch="360"/>
        </w:sectPr>
      </w:pPr>
    </w:p>
    <w:p w:rsidR="00AA6E1B" w:rsidRDefault="00AA6E1B" w:rsidP="00446D8C">
      <w:pPr>
        <w:rPr>
          <w:rFonts w:ascii="Verdana" w:hAnsi="Verdana"/>
          <w:sz w:val="20"/>
          <w:szCs w:val="20"/>
          <w:lang w:val="es-CR"/>
        </w:rPr>
      </w:pPr>
    </w:p>
    <w:p w:rsidR="00B42848" w:rsidRDefault="00B42848" w:rsidP="00AA6E1B">
      <w:pPr>
        <w:jc w:val="center"/>
        <w:rPr>
          <w:rFonts w:ascii="Verdana" w:hAnsi="Verdana"/>
          <w:b/>
          <w:sz w:val="20"/>
          <w:szCs w:val="20"/>
          <w:lang w:val="es-CR"/>
        </w:rPr>
      </w:pPr>
    </w:p>
    <w:p w:rsidR="003908EB" w:rsidRPr="00AA6E1B" w:rsidRDefault="003908EB" w:rsidP="00AA6E1B">
      <w:pPr>
        <w:jc w:val="center"/>
        <w:rPr>
          <w:rFonts w:ascii="Verdana" w:hAnsi="Verdana"/>
          <w:b/>
          <w:sz w:val="20"/>
          <w:szCs w:val="20"/>
          <w:lang w:val="es-CR"/>
        </w:rPr>
      </w:pPr>
      <w:r w:rsidRPr="00AA6E1B">
        <w:rPr>
          <w:rFonts w:ascii="Verdana" w:hAnsi="Verdana"/>
          <w:b/>
          <w:sz w:val="20"/>
          <w:szCs w:val="20"/>
          <w:lang w:val="es-CR"/>
        </w:rPr>
        <w:lastRenderedPageBreak/>
        <w:t>ANEXO A</w:t>
      </w:r>
    </w:p>
    <w:p w:rsidR="003908EB" w:rsidRPr="003908EB" w:rsidRDefault="003908EB" w:rsidP="00606E62">
      <w:pPr>
        <w:jc w:val="center"/>
        <w:rPr>
          <w:rFonts w:ascii="Verdana" w:hAnsi="Verdana"/>
          <w:b/>
          <w:sz w:val="20"/>
          <w:szCs w:val="20"/>
          <w:lang w:val="es-CR"/>
        </w:rPr>
      </w:pPr>
    </w:p>
    <w:p w:rsidR="003908EB" w:rsidRPr="003908EB" w:rsidRDefault="003908EB" w:rsidP="00606E62">
      <w:pPr>
        <w:jc w:val="center"/>
        <w:rPr>
          <w:rFonts w:ascii="Verdana" w:hAnsi="Verdana"/>
          <w:b/>
          <w:sz w:val="20"/>
          <w:szCs w:val="20"/>
          <w:lang w:val="es-CR"/>
        </w:rPr>
      </w:pPr>
      <w:r w:rsidRPr="003908EB">
        <w:rPr>
          <w:rFonts w:ascii="Verdana" w:hAnsi="Verdana"/>
          <w:b/>
          <w:sz w:val="20"/>
          <w:szCs w:val="20"/>
          <w:lang w:val="es-CR"/>
        </w:rPr>
        <w:t>PERSONAS INDICADAS COMO VÍCTIMAS POR LA COMISIÓN INTERAMERICANA DE DERECHOS HUMANOS EN SU INFORME DE ADMISIBILIDAD Y FONDO 28/16</w:t>
      </w:r>
      <w:r w:rsidRPr="003908EB">
        <w:rPr>
          <w:rStyle w:val="FootnoteReference"/>
          <w:rFonts w:ascii="Verdana" w:hAnsi="Verdana"/>
          <w:sz w:val="20"/>
          <w:lang w:val="es-CR"/>
        </w:rPr>
        <w:footnoteReference w:id="246"/>
      </w:r>
    </w:p>
    <w:p w:rsidR="003908EB" w:rsidRPr="003908EB" w:rsidRDefault="003908EB" w:rsidP="00606E62">
      <w:pPr>
        <w:rPr>
          <w:rFonts w:ascii="Verdana" w:hAnsi="Verdana"/>
          <w:b/>
          <w:sz w:val="20"/>
          <w:szCs w:val="20"/>
          <w:lang w:val="es-CR"/>
        </w:rPr>
      </w:pPr>
    </w:p>
    <w:p w:rsidR="003908EB" w:rsidRPr="00E8771A" w:rsidRDefault="003908EB" w:rsidP="00E8771A">
      <w:pPr>
        <w:spacing w:after="0" w:line="240" w:lineRule="auto"/>
        <w:jc w:val="both"/>
        <w:rPr>
          <w:rFonts w:ascii="Verdana" w:eastAsia="Batang" w:hAnsi="Verdana" w:cs="Times"/>
          <w:sz w:val="20"/>
          <w:szCs w:val="20"/>
          <w:lang w:val="es-CR" w:eastAsia="es-CR"/>
        </w:rPr>
      </w:pPr>
      <w:r w:rsidRPr="00E8771A">
        <w:rPr>
          <w:rFonts w:ascii="Verdana" w:eastAsia="Batang" w:hAnsi="Verdana" w:cs="Times"/>
          <w:sz w:val="20"/>
          <w:szCs w:val="20"/>
          <w:lang w:val="es-CR" w:eastAsia="es-CR"/>
        </w:rPr>
        <w:t xml:space="preserve">1.-Abel Ramírez Pérez, 2.-Andrés Miguel Mateo, 3.-Hilaria </w:t>
      </w:r>
      <w:proofErr w:type="spellStart"/>
      <w:r w:rsidRPr="00E8771A">
        <w:rPr>
          <w:rFonts w:ascii="Verdana" w:eastAsia="Batang" w:hAnsi="Verdana" w:cs="Times"/>
          <w:sz w:val="20"/>
          <w:szCs w:val="20"/>
          <w:lang w:val="es-CR" w:eastAsia="es-CR"/>
        </w:rPr>
        <w:t>Morente</w:t>
      </w:r>
      <w:proofErr w:type="spellEnd"/>
      <w:r w:rsidRPr="00E8771A">
        <w:rPr>
          <w:rFonts w:ascii="Verdana" w:eastAsia="Batang" w:hAnsi="Verdana" w:cs="Times"/>
          <w:sz w:val="20"/>
          <w:szCs w:val="20"/>
          <w:lang w:val="es-CR" w:eastAsia="es-CR"/>
        </w:rPr>
        <w:t xml:space="preserve"> de la Cruz, 4.-Juana Jacinto Felipe, 5.-Manuela Mateo Antonio, 6.-Pablo </w:t>
      </w:r>
      <w:proofErr w:type="spellStart"/>
      <w:r w:rsidRPr="00E8771A">
        <w:rPr>
          <w:rFonts w:ascii="Verdana" w:eastAsia="Batang" w:hAnsi="Verdana" w:cs="Times"/>
          <w:sz w:val="20"/>
          <w:szCs w:val="20"/>
          <w:lang w:val="es-CR" w:eastAsia="es-CR"/>
        </w:rPr>
        <w:t>Coc</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Coc</w:t>
      </w:r>
      <w:proofErr w:type="spellEnd"/>
      <w:r w:rsidRPr="00E8771A">
        <w:rPr>
          <w:rFonts w:ascii="Verdana" w:eastAsia="Batang" w:hAnsi="Verdana" w:cs="Times"/>
          <w:sz w:val="20"/>
          <w:szCs w:val="20"/>
          <w:lang w:val="es-CR" w:eastAsia="es-CR"/>
        </w:rPr>
        <w:t xml:space="preserve">, 7.-Pedro Diego Andrés, 8.-Pedro Medina Sánchez, 9.- Carlos Fernando </w:t>
      </w:r>
      <w:proofErr w:type="spellStart"/>
      <w:r w:rsidRPr="00E8771A">
        <w:rPr>
          <w:rFonts w:ascii="Verdana" w:eastAsia="Batang" w:hAnsi="Verdana" w:cs="Times"/>
          <w:sz w:val="20"/>
          <w:szCs w:val="20"/>
          <w:lang w:val="es-CR" w:eastAsia="es-CR"/>
        </w:rPr>
        <w:t>Chop</w:t>
      </w:r>
      <w:proofErr w:type="spellEnd"/>
      <w:r w:rsidRPr="00E8771A">
        <w:rPr>
          <w:rFonts w:ascii="Verdana" w:eastAsia="Batang" w:hAnsi="Verdana" w:cs="Times"/>
          <w:sz w:val="20"/>
          <w:szCs w:val="20"/>
          <w:lang w:val="es-CR" w:eastAsia="es-CR"/>
        </w:rPr>
        <w:t xml:space="preserve"> Chic, 10.-Santiago </w:t>
      </w:r>
      <w:proofErr w:type="spellStart"/>
      <w:r w:rsidRPr="00E8771A">
        <w:rPr>
          <w:rFonts w:ascii="Verdana" w:eastAsia="Batang" w:hAnsi="Verdana" w:cs="Times"/>
          <w:sz w:val="20"/>
          <w:szCs w:val="20"/>
          <w:lang w:val="es-CR" w:eastAsia="es-CR"/>
        </w:rPr>
        <w:t>Coc</w:t>
      </w:r>
      <w:proofErr w:type="spellEnd"/>
      <w:r w:rsidRPr="00E8771A">
        <w:rPr>
          <w:rFonts w:ascii="Verdana" w:eastAsia="Batang" w:hAnsi="Verdana" w:cs="Times"/>
          <w:sz w:val="20"/>
          <w:szCs w:val="20"/>
          <w:lang w:val="es-CR" w:eastAsia="es-CR"/>
        </w:rPr>
        <w:t xml:space="preserve">, 11.-Maurilia </w:t>
      </w:r>
      <w:proofErr w:type="spellStart"/>
      <w:r w:rsidRPr="00E8771A">
        <w:rPr>
          <w:rFonts w:ascii="Verdana" w:eastAsia="Batang" w:hAnsi="Verdana" w:cs="Times"/>
          <w:sz w:val="20"/>
          <w:szCs w:val="20"/>
          <w:lang w:val="es-CR" w:eastAsia="es-CR"/>
        </w:rPr>
        <w:t>Coc</w:t>
      </w:r>
      <w:proofErr w:type="spellEnd"/>
      <w:r w:rsidRPr="00E8771A">
        <w:rPr>
          <w:rFonts w:ascii="Verdana" w:eastAsia="Batang" w:hAnsi="Verdana" w:cs="Times"/>
          <w:sz w:val="20"/>
          <w:szCs w:val="20"/>
          <w:lang w:val="es-CR" w:eastAsia="es-CR"/>
        </w:rPr>
        <w:t xml:space="preserve"> Max, 12.-Santiago </w:t>
      </w:r>
      <w:proofErr w:type="spellStart"/>
      <w:r w:rsidRPr="00E8771A">
        <w:rPr>
          <w:rFonts w:ascii="Verdana" w:eastAsia="Batang" w:hAnsi="Verdana" w:cs="Times"/>
          <w:sz w:val="20"/>
          <w:szCs w:val="20"/>
          <w:lang w:val="es-CR" w:eastAsia="es-CR"/>
        </w:rPr>
        <w:t>Maquín</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Quip</w:t>
      </w:r>
      <w:proofErr w:type="spellEnd"/>
      <w:r w:rsidRPr="00E8771A">
        <w:rPr>
          <w:rFonts w:ascii="Verdana" w:eastAsia="Batang" w:hAnsi="Verdana" w:cs="Times"/>
          <w:sz w:val="20"/>
          <w:szCs w:val="20"/>
          <w:lang w:val="es-CR" w:eastAsia="es-CR"/>
        </w:rPr>
        <w:t xml:space="preserve">, 13.-Gerardo Maldonado Sales, 14.-Rosendo Morales </w:t>
      </w:r>
      <w:proofErr w:type="spellStart"/>
      <w:r w:rsidRPr="00E8771A">
        <w:rPr>
          <w:rFonts w:ascii="Verdana" w:eastAsia="Batang" w:hAnsi="Verdana" w:cs="Times"/>
          <w:sz w:val="20"/>
          <w:szCs w:val="20"/>
          <w:lang w:val="es-CR" w:eastAsia="es-CR"/>
        </w:rPr>
        <w:t>Ortíz</w:t>
      </w:r>
      <w:proofErr w:type="spellEnd"/>
      <w:r w:rsidRPr="00E8771A">
        <w:rPr>
          <w:rFonts w:ascii="Verdana" w:eastAsia="Batang" w:hAnsi="Verdana" w:cs="Times"/>
          <w:sz w:val="20"/>
          <w:szCs w:val="20"/>
          <w:lang w:val="es-CR" w:eastAsia="es-CR"/>
        </w:rPr>
        <w:t xml:space="preserve">; 15.-Aurelio Hernández Morales, 16.-Carmen </w:t>
      </w:r>
      <w:proofErr w:type="spellStart"/>
      <w:r w:rsidRPr="00E8771A">
        <w:rPr>
          <w:rFonts w:ascii="Verdana" w:eastAsia="Batang" w:hAnsi="Verdana" w:cs="Times"/>
          <w:sz w:val="20"/>
          <w:szCs w:val="20"/>
          <w:lang w:val="es-CR" w:eastAsia="es-CR"/>
        </w:rPr>
        <w:t>Caal</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Saqui</w:t>
      </w:r>
      <w:proofErr w:type="spellEnd"/>
      <w:r w:rsidRPr="00E8771A">
        <w:rPr>
          <w:rFonts w:ascii="Verdana" w:eastAsia="Batang" w:hAnsi="Verdana" w:cs="Times"/>
          <w:sz w:val="20"/>
          <w:szCs w:val="20"/>
          <w:lang w:val="es-CR" w:eastAsia="es-CR"/>
        </w:rPr>
        <w:t xml:space="preserve">, 17.-Eliseo Hernández Morales, 18.-Francisco Hernández, 19.-Jacinta Matón Raymundo, 20.-Josefa Mendoza Aguilar, 21.-Juana Andrés Maldonado, 22.-Juana Felipe Velásquez, 23-Marcos </w:t>
      </w:r>
      <w:proofErr w:type="spellStart"/>
      <w:r w:rsidRPr="00E8771A">
        <w:rPr>
          <w:rFonts w:ascii="Verdana" w:eastAsia="Batang" w:hAnsi="Verdana" w:cs="Times"/>
          <w:sz w:val="20"/>
          <w:szCs w:val="20"/>
          <w:lang w:val="es-CR" w:eastAsia="es-CR"/>
        </w:rPr>
        <w:t>Jolomná</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Yat</w:t>
      </w:r>
      <w:proofErr w:type="spellEnd"/>
      <w:r w:rsidRPr="00E8771A">
        <w:rPr>
          <w:rFonts w:ascii="Verdana" w:eastAsia="Batang" w:hAnsi="Verdana" w:cs="Times"/>
          <w:sz w:val="20"/>
          <w:szCs w:val="20"/>
          <w:lang w:val="es-CR" w:eastAsia="es-CR"/>
        </w:rPr>
        <w:t xml:space="preserve">, 24.-Martín </w:t>
      </w:r>
      <w:proofErr w:type="spellStart"/>
      <w:r w:rsidRPr="00E8771A">
        <w:rPr>
          <w:rFonts w:ascii="Verdana" w:eastAsia="Batang" w:hAnsi="Verdana" w:cs="Times"/>
          <w:sz w:val="20"/>
          <w:szCs w:val="20"/>
          <w:lang w:val="es-CR" w:eastAsia="es-CR"/>
        </w:rPr>
        <w:t>Quip</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Mucú</w:t>
      </w:r>
      <w:proofErr w:type="spellEnd"/>
      <w:r w:rsidRPr="00E8771A">
        <w:rPr>
          <w:rFonts w:ascii="Verdana" w:eastAsia="Batang" w:hAnsi="Verdana" w:cs="Times"/>
          <w:sz w:val="20"/>
          <w:szCs w:val="20"/>
          <w:lang w:val="es-CR" w:eastAsia="es-CR"/>
        </w:rPr>
        <w:t xml:space="preserve">, 25.-Mateo Pedro, 26.-Natividad Sales Calmo, 27.-Pascual José Pascual, 28.-Pedro Daniel Carrillo López, 29.-Ricardo Pop </w:t>
      </w:r>
      <w:proofErr w:type="spellStart"/>
      <w:r w:rsidRPr="00E8771A">
        <w:rPr>
          <w:rFonts w:ascii="Verdana" w:eastAsia="Batang" w:hAnsi="Verdana" w:cs="Times"/>
          <w:sz w:val="20"/>
          <w:szCs w:val="20"/>
          <w:lang w:val="es-CR" w:eastAsia="es-CR"/>
        </w:rPr>
        <w:t>Caal</w:t>
      </w:r>
      <w:proofErr w:type="spellEnd"/>
      <w:r w:rsidRPr="00E8771A">
        <w:rPr>
          <w:rFonts w:ascii="Verdana" w:eastAsia="Batang" w:hAnsi="Verdana" w:cs="Times"/>
          <w:sz w:val="20"/>
          <w:szCs w:val="20"/>
          <w:lang w:val="es-CR" w:eastAsia="es-CR"/>
        </w:rPr>
        <w:t xml:space="preserve">, 30.-Rosenda Sales </w:t>
      </w:r>
      <w:proofErr w:type="spellStart"/>
      <w:r w:rsidRPr="00E8771A">
        <w:rPr>
          <w:rFonts w:ascii="Verdana" w:eastAsia="Batang" w:hAnsi="Verdana" w:cs="Times"/>
          <w:sz w:val="20"/>
          <w:szCs w:val="20"/>
          <w:lang w:val="es-CR" w:eastAsia="es-CR"/>
        </w:rPr>
        <w:t>Ortíz</w:t>
      </w:r>
      <w:proofErr w:type="spellEnd"/>
      <w:r w:rsidRPr="00E8771A">
        <w:rPr>
          <w:rFonts w:ascii="Verdana" w:eastAsia="Batang" w:hAnsi="Verdana" w:cs="Times"/>
          <w:sz w:val="20"/>
          <w:szCs w:val="20"/>
          <w:lang w:val="es-CR" w:eastAsia="es-CR"/>
        </w:rPr>
        <w:t xml:space="preserve">, 31.-Santiago </w:t>
      </w:r>
      <w:proofErr w:type="spellStart"/>
      <w:r w:rsidRPr="00E8771A">
        <w:rPr>
          <w:rFonts w:ascii="Verdana" w:eastAsia="Batang" w:hAnsi="Verdana" w:cs="Times"/>
          <w:sz w:val="20"/>
          <w:szCs w:val="20"/>
          <w:lang w:val="es-CR" w:eastAsia="es-CR"/>
        </w:rPr>
        <w:t>Cajbón</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Quip</w:t>
      </w:r>
      <w:proofErr w:type="spellEnd"/>
      <w:r w:rsidRPr="00E8771A">
        <w:rPr>
          <w:rFonts w:ascii="Verdana" w:eastAsia="Batang" w:hAnsi="Verdana" w:cs="Times"/>
          <w:sz w:val="20"/>
          <w:szCs w:val="20"/>
          <w:lang w:val="es-CR" w:eastAsia="es-CR"/>
        </w:rPr>
        <w:t xml:space="preserve">, 32.-Santos </w:t>
      </w:r>
      <w:proofErr w:type="spellStart"/>
      <w:r w:rsidRPr="00E8771A">
        <w:rPr>
          <w:rFonts w:ascii="Verdana" w:eastAsia="Batang" w:hAnsi="Verdana" w:cs="Times"/>
          <w:sz w:val="20"/>
          <w:szCs w:val="20"/>
          <w:lang w:val="es-CR" w:eastAsia="es-CR"/>
        </w:rPr>
        <w:t>Choc</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Coc</w:t>
      </w:r>
      <w:proofErr w:type="spellEnd"/>
      <w:r w:rsidRPr="00E8771A">
        <w:rPr>
          <w:rFonts w:ascii="Verdana" w:eastAsia="Batang" w:hAnsi="Verdana" w:cs="Times"/>
          <w:sz w:val="20"/>
          <w:szCs w:val="20"/>
          <w:lang w:val="es-CR" w:eastAsia="es-CR"/>
        </w:rPr>
        <w:t xml:space="preserve">, 33.-Víctor Carrillo Morales, 34.-Micaela Pascual Juan, 35.-José Hernández, 36.-Germán </w:t>
      </w:r>
      <w:proofErr w:type="spellStart"/>
      <w:r w:rsidRPr="00E8771A">
        <w:rPr>
          <w:rFonts w:ascii="Verdana" w:eastAsia="Batang" w:hAnsi="Verdana" w:cs="Times"/>
          <w:sz w:val="20"/>
          <w:szCs w:val="20"/>
          <w:lang w:val="es-CR" w:eastAsia="es-CR"/>
        </w:rPr>
        <w:t>Cajbón</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Choc</w:t>
      </w:r>
      <w:proofErr w:type="spellEnd"/>
      <w:r w:rsidRPr="00E8771A">
        <w:rPr>
          <w:rFonts w:ascii="Verdana" w:eastAsia="Batang" w:hAnsi="Verdana" w:cs="Times"/>
          <w:sz w:val="20"/>
          <w:szCs w:val="20"/>
          <w:lang w:val="es-CR" w:eastAsia="es-CR"/>
        </w:rPr>
        <w:t xml:space="preserve">, 37.-Efraín Grave </w:t>
      </w:r>
      <w:proofErr w:type="spellStart"/>
      <w:r w:rsidRPr="00E8771A">
        <w:rPr>
          <w:rFonts w:ascii="Verdana" w:eastAsia="Batang" w:hAnsi="Verdana" w:cs="Times"/>
          <w:sz w:val="20"/>
          <w:szCs w:val="20"/>
          <w:lang w:val="es-CR" w:eastAsia="es-CR"/>
        </w:rPr>
        <w:t>Morente</w:t>
      </w:r>
      <w:proofErr w:type="spellEnd"/>
      <w:r w:rsidRPr="00E8771A">
        <w:rPr>
          <w:rFonts w:ascii="Verdana" w:eastAsia="Batang" w:hAnsi="Verdana" w:cs="Times"/>
          <w:sz w:val="20"/>
          <w:szCs w:val="20"/>
          <w:lang w:val="es-CR" w:eastAsia="es-CR"/>
        </w:rPr>
        <w:t xml:space="preserve">, 38.-Juan Medina Toma, 39.-Rolando Hernández Maldonado, 40.-Tomás Grave </w:t>
      </w:r>
      <w:proofErr w:type="spellStart"/>
      <w:r w:rsidRPr="00E8771A">
        <w:rPr>
          <w:rFonts w:ascii="Verdana" w:eastAsia="Batang" w:hAnsi="Verdana" w:cs="Times"/>
          <w:sz w:val="20"/>
          <w:szCs w:val="20"/>
          <w:lang w:val="es-CR" w:eastAsia="es-CR"/>
        </w:rPr>
        <w:t>Morente</w:t>
      </w:r>
      <w:proofErr w:type="spellEnd"/>
      <w:r w:rsidRPr="00E8771A">
        <w:rPr>
          <w:rFonts w:ascii="Verdana" w:eastAsia="Batang" w:hAnsi="Verdana" w:cs="Times"/>
          <w:sz w:val="20"/>
          <w:szCs w:val="20"/>
          <w:lang w:val="es-CR" w:eastAsia="es-CR"/>
        </w:rPr>
        <w:t xml:space="preserve">, 41.-José María Grave, 42.- </w:t>
      </w:r>
      <w:proofErr w:type="spellStart"/>
      <w:r w:rsidRPr="00E8771A">
        <w:rPr>
          <w:rFonts w:ascii="Verdana" w:eastAsia="Batang" w:hAnsi="Verdana" w:cs="Times"/>
          <w:sz w:val="20"/>
          <w:szCs w:val="20"/>
          <w:lang w:val="es-CR" w:eastAsia="es-CR"/>
        </w:rPr>
        <w:t>Fermina</w:t>
      </w:r>
      <w:proofErr w:type="spellEnd"/>
      <w:r w:rsidRPr="00E8771A">
        <w:rPr>
          <w:rFonts w:ascii="Verdana" w:eastAsia="Batang" w:hAnsi="Verdana" w:cs="Times"/>
          <w:sz w:val="20"/>
          <w:szCs w:val="20"/>
          <w:lang w:val="es-CR" w:eastAsia="es-CR"/>
        </w:rPr>
        <w:t xml:space="preserve"> Grave </w:t>
      </w:r>
      <w:proofErr w:type="spellStart"/>
      <w:r w:rsidRPr="00E8771A">
        <w:rPr>
          <w:rFonts w:ascii="Verdana" w:eastAsia="Batang" w:hAnsi="Verdana" w:cs="Times"/>
          <w:sz w:val="20"/>
          <w:szCs w:val="20"/>
          <w:lang w:val="es-CR" w:eastAsia="es-CR"/>
        </w:rPr>
        <w:t>Morente</w:t>
      </w:r>
      <w:proofErr w:type="spellEnd"/>
      <w:r w:rsidRPr="00E8771A">
        <w:rPr>
          <w:rFonts w:ascii="Verdana" w:eastAsia="Batang" w:hAnsi="Verdana" w:cs="Times"/>
          <w:sz w:val="20"/>
          <w:szCs w:val="20"/>
          <w:lang w:val="es-CR" w:eastAsia="es-CR"/>
        </w:rPr>
        <w:t xml:space="preserve">, 43.-Marselo Grave </w:t>
      </w:r>
      <w:proofErr w:type="spellStart"/>
      <w:r w:rsidRPr="00E8771A">
        <w:rPr>
          <w:rFonts w:ascii="Verdana" w:eastAsia="Batang" w:hAnsi="Verdana" w:cs="Times"/>
          <w:sz w:val="20"/>
          <w:szCs w:val="20"/>
          <w:lang w:val="es-CR" w:eastAsia="es-CR"/>
        </w:rPr>
        <w:t>Morente</w:t>
      </w:r>
      <w:proofErr w:type="spellEnd"/>
      <w:r w:rsidRPr="00E8771A">
        <w:rPr>
          <w:rFonts w:ascii="Verdana" w:eastAsia="Batang" w:hAnsi="Verdana" w:cs="Times"/>
          <w:sz w:val="20"/>
          <w:szCs w:val="20"/>
          <w:lang w:val="es-CR" w:eastAsia="es-CR"/>
        </w:rPr>
        <w:t xml:space="preserve">, 44.-Margarita Grave </w:t>
      </w:r>
      <w:proofErr w:type="spellStart"/>
      <w:r w:rsidRPr="00E8771A">
        <w:rPr>
          <w:rFonts w:ascii="Verdana" w:eastAsia="Batang" w:hAnsi="Verdana" w:cs="Times"/>
          <w:sz w:val="20"/>
          <w:szCs w:val="20"/>
          <w:lang w:val="es-CR" w:eastAsia="es-CR"/>
        </w:rPr>
        <w:t>Morente</w:t>
      </w:r>
      <w:proofErr w:type="spellEnd"/>
      <w:r w:rsidRPr="00E8771A">
        <w:rPr>
          <w:rFonts w:ascii="Verdana" w:eastAsia="Batang" w:hAnsi="Verdana" w:cs="Times"/>
          <w:sz w:val="20"/>
          <w:szCs w:val="20"/>
          <w:lang w:val="es-CR" w:eastAsia="es-CR"/>
        </w:rPr>
        <w:t xml:space="preserve">, , 45.-Anastacio </w:t>
      </w:r>
      <w:proofErr w:type="spellStart"/>
      <w:r w:rsidRPr="00E8771A">
        <w:rPr>
          <w:rFonts w:ascii="Verdana" w:eastAsia="Batang" w:hAnsi="Verdana" w:cs="Times"/>
          <w:sz w:val="20"/>
          <w:szCs w:val="20"/>
          <w:lang w:val="es-CR" w:eastAsia="es-CR"/>
        </w:rPr>
        <w:t>Chop</w:t>
      </w:r>
      <w:proofErr w:type="spellEnd"/>
      <w:r w:rsidRPr="00E8771A">
        <w:rPr>
          <w:rFonts w:ascii="Verdana" w:eastAsia="Batang" w:hAnsi="Verdana" w:cs="Times"/>
          <w:sz w:val="20"/>
          <w:szCs w:val="20"/>
          <w:lang w:val="es-CR" w:eastAsia="es-CR"/>
        </w:rPr>
        <w:t xml:space="preserve"> García, 46.-Daniela Catarina Chic López, 47.-Manuela Toma Gómez, 48.-María Medina Toma, 49.-Antonio Medina Toma, 50.-Domingo Medina Toma, 51.-Diego Medina Toma, 52.-Pedro Medina Toma, 53.-Antonio Medina Toma, 54.-Teresa Medina Toma, 55.-Joel Medina Toma, 56.-Carlos Medina Toma, 57.-Atilana Hernández Maldonado, 58.-Mario Alberto Ramírez Hernández, 59.-Fabiana Ramírez Hernández, 60.-Juan Ramírez Hernández, 61.-José Eduardo Ramírez Hernández, 62.-Marcos Ramírez Hernández, 63.-María Alicia Ramírez Hernández, 64.- Roberto Rafael Ramírez Hernández, 65.-Ramón Mateo, 66.- Florinda Sales Jacinto, 67.-Adelina Sales Jacinto, 68.- Petrona Miguel Méndez, 69.-Angelina Diego Miguel, 70.-Andrés Diego Miguel, 71.-Lucía Diego Miguel, 72 .-Diego </w:t>
      </w:r>
      <w:proofErr w:type="spellStart"/>
      <w:r w:rsidRPr="00E8771A">
        <w:rPr>
          <w:rFonts w:ascii="Verdana" w:eastAsia="Batang" w:hAnsi="Verdana" w:cs="Times"/>
          <w:sz w:val="20"/>
          <w:szCs w:val="20"/>
          <w:lang w:val="es-CR" w:eastAsia="es-CR"/>
        </w:rPr>
        <w:t>Diego</w:t>
      </w:r>
      <w:proofErr w:type="spellEnd"/>
      <w:r w:rsidRPr="00E8771A">
        <w:rPr>
          <w:rFonts w:ascii="Verdana" w:eastAsia="Batang" w:hAnsi="Verdana" w:cs="Times"/>
          <w:sz w:val="20"/>
          <w:szCs w:val="20"/>
          <w:lang w:val="es-CR" w:eastAsia="es-CR"/>
        </w:rPr>
        <w:t xml:space="preserve"> Miguel, 73.-Pedro </w:t>
      </w:r>
      <w:proofErr w:type="spellStart"/>
      <w:r w:rsidRPr="00E8771A">
        <w:rPr>
          <w:rFonts w:ascii="Verdana" w:eastAsia="Batang" w:hAnsi="Verdana" w:cs="Times"/>
          <w:sz w:val="20"/>
          <w:szCs w:val="20"/>
          <w:lang w:val="es-CR" w:eastAsia="es-CR"/>
        </w:rPr>
        <w:t>Coc</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Chén</w:t>
      </w:r>
      <w:proofErr w:type="spellEnd"/>
      <w:r w:rsidRPr="00E8771A">
        <w:rPr>
          <w:rFonts w:ascii="Verdana" w:eastAsia="Batang" w:hAnsi="Verdana" w:cs="Times"/>
          <w:sz w:val="20"/>
          <w:szCs w:val="20"/>
          <w:lang w:val="es-CR" w:eastAsia="es-CR"/>
        </w:rPr>
        <w:t xml:space="preserve">, 74.- Victoria Max </w:t>
      </w:r>
      <w:proofErr w:type="spellStart"/>
      <w:r w:rsidRPr="00E8771A">
        <w:rPr>
          <w:rFonts w:ascii="Verdana" w:eastAsia="Batang" w:hAnsi="Verdana" w:cs="Times"/>
          <w:sz w:val="20"/>
          <w:szCs w:val="20"/>
          <w:lang w:val="es-CR" w:eastAsia="es-CR"/>
        </w:rPr>
        <w:t>Yat</w:t>
      </w:r>
      <w:proofErr w:type="spellEnd"/>
      <w:r w:rsidRPr="00E8771A">
        <w:rPr>
          <w:rFonts w:ascii="Verdana" w:eastAsia="Batang" w:hAnsi="Verdana" w:cs="Times"/>
          <w:sz w:val="20"/>
          <w:szCs w:val="20"/>
          <w:lang w:val="es-CR" w:eastAsia="es-CR"/>
        </w:rPr>
        <w:t xml:space="preserve">, 75.- Feliciana </w:t>
      </w:r>
      <w:proofErr w:type="spellStart"/>
      <w:r w:rsidRPr="00E8771A">
        <w:rPr>
          <w:rFonts w:ascii="Verdana" w:eastAsia="Batang" w:hAnsi="Verdana" w:cs="Times"/>
          <w:sz w:val="20"/>
          <w:szCs w:val="20"/>
          <w:lang w:val="es-CR" w:eastAsia="es-CR"/>
        </w:rPr>
        <w:t>Cajbón</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Hu</w:t>
      </w:r>
      <w:proofErr w:type="spellEnd"/>
      <w:r w:rsidRPr="00E8771A">
        <w:rPr>
          <w:rFonts w:ascii="Verdana" w:eastAsia="Batang" w:hAnsi="Verdana" w:cs="Times"/>
          <w:sz w:val="20"/>
          <w:szCs w:val="20"/>
          <w:lang w:val="es-CR" w:eastAsia="es-CR"/>
        </w:rPr>
        <w:t xml:space="preserve">, 76.- María </w:t>
      </w:r>
      <w:proofErr w:type="spellStart"/>
      <w:r w:rsidRPr="00E8771A">
        <w:rPr>
          <w:rFonts w:ascii="Verdana" w:eastAsia="Batang" w:hAnsi="Verdana" w:cs="Times"/>
          <w:sz w:val="20"/>
          <w:szCs w:val="20"/>
          <w:lang w:val="es-CR" w:eastAsia="es-CR"/>
        </w:rPr>
        <w:t>Coc</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Cajbón</w:t>
      </w:r>
      <w:proofErr w:type="spellEnd"/>
      <w:r w:rsidRPr="00E8771A">
        <w:rPr>
          <w:rFonts w:ascii="Verdana" w:eastAsia="Batang" w:hAnsi="Verdana" w:cs="Times"/>
          <w:sz w:val="20"/>
          <w:szCs w:val="20"/>
          <w:lang w:val="es-CR" w:eastAsia="es-CR"/>
        </w:rPr>
        <w:t xml:space="preserve">, 77.- José </w:t>
      </w:r>
      <w:proofErr w:type="spellStart"/>
      <w:r w:rsidRPr="00E8771A">
        <w:rPr>
          <w:rFonts w:ascii="Verdana" w:eastAsia="Batang" w:hAnsi="Verdana" w:cs="Times"/>
          <w:sz w:val="20"/>
          <w:szCs w:val="20"/>
          <w:lang w:val="es-CR" w:eastAsia="es-CR"/>
        </w:rPr>
        <w:t>Coc</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Cajbón</w:t>
      </w:r>
      <w:proofErr w:type="spellEnd"/>
      <w:r w:rsidRPr="00E8771A">
        <w:rPr>
          <w:rFonts w:ascii="Verdana" w:eastAsia="Batang" w:hAnsi="Verdana" w:cs="Times"/>
          <w:sz w:val="20"/>
          <w:szCs w:val="20"/>
          <w:lang w:val="es-CR" w:eastAsia="es-CR"/>
        </w:rPr>
        <w:t xml:space="preserve">, 78.- </w:t>
      </w:r>
      <w:proofErr w:type="spellStart"/>
      <w:r w:rsidRPr="00E8771A">
        <w:rPr>
          <w:rFonts w:ascii="Verdana" w:eastAsia="Batang" w:hAnsi="Verdana" w:cs="Times"/>
          <w:sz w:val="20"/>
          <w:szCs w:val="20"/>
          <w:lang w:val="es-CR" w:eastAsia="es-CR"/>
        </w:rPr>
        <w:t>Anastacia</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Coc</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Cajbón</w:t>
      </w:r>
      <w:proofErr w:type="spellEnd"/>
      <w:r w:rsidRPr="00E8771A">
        <w:rPr>
          <w:rFonts w:ascii="Verdana" w:eastAsia="Batang" w:hAnsi="Verdana" w:cs="Times"/>
          <w:sz w:val="20"/>
          <w:szCs w:val="20"/>
          <w:lang w:val="es-CR" w:eastAsia="es-CR"/>
        </w:rPr>
        <w:t xml:space="preserve">, 79.-Petrona </w:t>
      </w:r>
      <w:proofErr w:type="spellStart"/>
      <w:r w:rsidRPr="00E8771A">
        <w:rPr>
          <w:rFonts w:ascii="Verdana" w:eastAsia="Batang" w:hAnsi="Verdana" w:cs="Times"/>
          <w:sz w:val="20"/>
          <w:szCs w:val="20"/>
          <w:lang w:val="es-CR" w:eastAsia="es-CR"/>
        </w:rPr>
        <w:t>Coc</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Cajbón</w:t>
      </w:r>
      <w:proofErr w:type="spellEnd"/>
      <w:r w:rsidRPr="00E8771A">
        <w:rPr>
          <w:rFonts w:ascii="Verdana" w:eastAsia="Batang" w:hAnsi="Verdana" w:cs="Times"/>
          <w:sz w:val="20"/>
          <w:szCs w:val="20"/>
          <w:lang w:val="es-CR" w:eastAsia="es-CR"/>
        </w:rPr>
        <w:t xml:space="preserve">, 80.- Irene </w:t>
      </w:r>
      <w:proofErr w:type="spellStart"/>
      <w:r w:rsidRPr="00E8771A">
        <w:rPr>
          <w:rFonts w:ascii="Verdana" w:eastAsia="Batang" w:hAnsi="Verdana" w:cs="Times"/>
          <w:sz w:val="20"/>
          <w:szCs w:val="20"/>
          <w:lang w:val="es-CR" w:eastAsia="es-CR"/>
        </w:rPr>
        <w:t>Coc</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Cajbón</w:t>
      </w:r>
      <w:proofErr w:type="spellEnd"/>
      <w:r w:rsidRPr="00E8771A">
        <w:rPr>
          <w:rFonts w:ascii="Verdana" w:eastAsia="Batang" w:hAnsi="Verdana" w:cs="Times"/>
          <w:sz w:val="20"/>
          <w:szCs w:val="20"/>
          <w:lang w:val="es-CR" w:eastAsia="es-CR"/>
        </w:rPr>
        <w:t xml:space="preserve">, 81.- Salvador </w:t>
      </w:r>
      <w:proofErr w:type="spellStart"/>
      <w:r w:rsidRPr="00E8771A">
        <w:rPr>
          <w:rFonts w:ascii="Verdana" w:eastAsia="Batang" w:hAnsi="Verdana" w:cs="Times"/>
          <w:sz w:val="20"/>
          <w:szCs w:val="20"/>
          <w:lang w:val="es-CR" w:eastAsia="es-CR"/>
        </w:rPr>
        <w:t>Coc</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Cajbón</w:t>
      </w:r>
      <w:proofErr w:type="spellEnd"/>
      <w:r w:rsidRPr="00E8771A">
        <w:rPr>
          <w:rFonts w:ascii="Verdana" w:eastAsia="Batang" w:hAnsi="Verdana" w:cs="Times"/>
          <w:sz w:val="20"/>
          <w:szCs w:val="20"/>
          <w:lang w:val="es-CR" w:eastAsia="es-CR"/>
        </w:rPr>
        <w:t xml:space="preserve">, 82-Ana </w:t>
      </w:r>
      <w:proofErr w:type="spellStart"/>
      <w:r w:rsidRPr="00E8771A">
        <w:rPr>
          <w:rFonts w:ascii="Verdana" w:eastAsia="Batang" w:hAnsi="Verdana" w:cs="Times"/>
          <w:sz w:val="20"/>
          <w:szCs w:val="20"/>
          <w:lang w:val="es-CR" w:eastAsia="es-CR"/>
        </w:rPr>
        <w:t>Coc</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Cajbón</w:t>
      </w:r>
      <w:proofErr w:type="spellEnd"/>
      <w:r w:rsidRPr="00E8771A">
        <w:rPr>
          <w:rFonts w:ascii="Verdana" w:eastAsia="Batang" w:hAnsi="Verdana" w:cs="Times"/>
          <w:sz w:val="20"/>
          <w:szCs w:val="20"/>
          <w:lang w:val="es-CR" w:eastAsia="es-CR"/>
        </w:rPr>
        <w:t xml:space="preserve">, 83.- Juana Juan, 84.- María Miguel Juan, 85.- Dolores Miguel Bartolo, 86.-Francisco Miguel Bartolo, 87.-Manuela Pop </w:t>
      </w:r>
      <w:proofErr w:type="spellStart"/>
      <w:r w:rsidRPr="00E8771A">
        <w:rPr>
          <w:rFonts w:ascii="Verdana" w:eastAsia="Batang" w:hAnsi="Verdana" w:cs="Times"/>
          <w:sz w:val="20"/>
          <w:szCs w:val="20"/>
          <w:lang w:val="es-CR" w:eastAsia="es-CR"/>
        </w:rPr>
        <w:t>Choc</w:t>
      </w:r>
      <w:proofErr w:type="spellEnd"/>
      <w:r w:rsidRPr="00E8771A">
        <w:rPr>
          <w:rFonts w:ascii="Verdana" w:eastAsia="Batang" w:hAnsi="Verdana" w:cs="Times"/>
          <w:sz w:val="20"/>
          <w:szCs w:val="20"/>
          <w:lang w:val="es-CR" w:eastAsia="es-CR"/>
        </w:rPr>
        <w:t xml:space="preserve">, 88.-Francisco </w:t>
      </w:r>
      <w:proofErr w:type="spellStart"/>
      <w:r w:rsidRPr="00E8771A">
        <w:rPr>
          <w:rFonts w:ascii="Verdana" w:eastAsia="Batang" w:hAnsi="Verdana" w:cs="Times"/>
          <w:sz w:val="20"/>
          <w:szCs w:val="20"/>
          <w:lang w:val="es-CR" w:eastAsia="es-CR"/>
        </w:rPr>
        <w:t>Quip</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Choc</w:t>
      </w:r>
      <w:proofErr w:type="spellEnd"/>
      <w:r w:rsidRPr="00E8771A">
        <w:rPr>
          <w:rFonts w:ascii="Verdana" w:eastAsia="Batang" w:hAnsi="Verdana" w:cs="Times"/>
          <w:sz w:val="20"/>
          <w:szCs w:val="20"/>
          <w:lang w:val="es-CR" w:eastAsia="es-CR"/>
        </w:rPr>
        <w:t xml:space="preserve">, 89.-Petrona </w:t>
      </w:r>
      <w:proofErr w:type="spellStart"/>
      <w:r w:rsidRPr="00E8771A">
        <w:rPr>
          <w:rFonts w:ascii="Verdana" w:eastAsia="Batang" w:hAnsi="Verdana" w:cs="Times"/>
          <w:sz w:val="20"/>
          <w:szCs w:val="20"/>
          <w:lang w:val="es-CR" w:eastAsia="es-CR"/>
        </w:rPr>
        <w:t>Quip</w:t>
      </w:r>
      <w:proofErr w:type="spellEnd"/>
      <w:r w:rsidRPr="00E8771A">
        <w:rPr>
          <w:rFonts w:ascii="Verdana" w:eastAsia="Batang" w:hAnsi="Verdana" w:cs="Times"/>
          <w:sz w:val="20"/>
          <w:szCs w:val="20"/>
          <w:lang w:val="es-CR" w:eastAsia="es-CR"/>
        </w:rPr>
        <w:t xml:space="preserve"> Pop, 90.-Margarita </w:t>
      </w:r>
      <w:proofErr w:type="spellStart"/>
      <w:r w:rsidRPr="00E8771A">
        <w:rPr>
          <w:rFonts w:ascii="Verdana" w:eastAsia="Batang" w:hAnsi="Verdana" w:cs="Times"/>
          <w:sz w:val="20"/>
          <w:szCs w:val="20"/>
          <w:lang w:val="es-CR" w:eastAsia="es-CR"/>
        </w:rPr>
        <w:t>Quip</w:t>
      </w:r>
      <w:proofErr w:type="spellEnd"/>
      <w:r w:rsidRPr="00E8771A">
        <w:rPr>
          <w:rFonts w:ascii="Verdana" w:eastAsia="Batang" w:hAnsi="Verdana" w:cs="Times"/>
          <w:sz w:val="20"/>
          <w:szCs w:val="20"/>
          <w:lang w:val="es-CR" w:eastAsia="es-CR"/>
        </w:rPr>
        <w:t xml:space="preserve"> Pop, 91.-Martín </w:t>
      </w:r>
      <w:proofErr w:type="spellStart"/>
      <w:r w:rsidRPr="00E8771A">
        <w:rPr>
          <w:rFonts w:ascii="Verdana" w:eastAsia="Batang" w:hAnsi="Verdana" w:cs="Times"/>
          <w:sz w:val="20"/>
          <w:szCs w:val="20"/>
          <w:lang w:val="es-CR" w:eastAsia="es-CR"/>
        </w:rPr>
        <w:t>Maquín</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Quip</w:t>
      </w:r>
      <w:proofErr w:type="spellEnd"/>
      <w:r w:rsidRPr="00E8771A">
        <w:rPr>
          <w:rFonts w:ascii="Verdana" w:eastAsia="Batang" w:hAnsi="Verdana" w:cs="Times"/>
          <w:sz w:val="20"/>
          <w:szCs w:val="20"/>
          <w:lang w:val="es-CR" w:eastAsia="es-CR"/>
        </w:rPr>
        <w:t xml:space="preserve"> Pop, 92.-Dominga </w:t>
      </w:r>
      <w:proofErr w:type="spellStart"/>
      <w:r w:rsidRPr="00E8771A">
        <w:rPr>
          <w:rFonts w:ascii="Verdana" w:eastAsia="Batang" w:hAnsi="Verdana" w:cs="Times"/>
          <w:sz w:val="20"/>
          <w:szCs w:val="20"/>
          <w:lang w:val="es-CR" w:eastAsia="es-CR"/>
        </w:rPr>
        <w:t>Maquín</w:t>
      </w:r>
      <w:proofErr w:type="spellEnd"/>
      <w:r w:rsidRPr="00E8771A">
        <w:rPr>
          <w:rFonts w:ascii="Verdana" w:eastAsia="Batang" w:hAnsi="Verdana" w:cs="Times"/>
          <w:sz w:val="20"/>
          <w:szCs w:val="20"/>
          <w:lang w:val="es-CR" w:eastAsia="es-CR"/>
        </w:rPr>
        <w:t xml:space="preserve"> Pop, 93.-Santiago </w:t>
      </w:r>
      <w:proofErr w:type="spellStart"/>
      <w:r w:rsidRPr="00E8771A">
        <w:rPr>
          <w:rFonts w:ascii="Verdana" w:eastAsia="Batang" w:hAnsi="Verdana" w:cs="Times"/>
          <w:sz w:val="20"/>
          <w:szCs w:val="20"/>
          <w:lang w:val="es-CR" w:eastAsia="es-CR"/>
        </w:rPr>
        <w:t>Quip</w:t>
      </w:r>
      <w:proofErr w:type="spellEnd"/>
      <w:r w:rsidRPr="00E8771A">
        <w:rPr>
          <w:rFonts w:ascii="Verdana" w:eastAsia="Batang" w:hAnsi="Verdana" w:cs="Times"/>
          <w:sz w:val="20"/>
          <w:szCs w:val="20"/>
          <w:lang w:val="es-CR" w:eastAsia="es-CR"/>
        </w:rPr>
        <w:t xml:space="preserve"> Pop, 94.-José Morales </w:t>
      </w:r>
      <w:proofErr w:type="spellStart"/>
      <w:r w:rsidRPr="00E8771A">
        <w:rPr>
          <w:rFonts w:ascii="Verdana" w:eastAsia="Batang" w:hAnsi="Verdana" w:cs="Times"/>
          <w:sz w:val="20"/>
          <w:szCs w:val="20"/>
          <w:lang w:val="es-CR" w:eastAsia="es-CR"/>
        </w:rPr>
        <w:t>Ortíz</w:t>
      </w:r>
      <w:proofErr w:type="spellEnd"/>
      <w:r w:rsidRPr="00E8771A">
        <w:rPr>
          <w:rFonts w:ascii="Verdana" w:eastAsia="Batang" w:hAnsi="Verdana" w:cs="Times"/>
          <w:sz w:val="20"/>
          <w:szCs w:val="20"/>
          <w:lang w:val="es-CR" w:eastAsia="es-CR"/>
        </w:rPr>
        <w:t>, 95.-Cruz Maldonado Silvestre, 96.</w:t>
      </w:r>
      <w:r w:rsidRPr="00E8771A" w:rsidDel="00F14869">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Martalia</w:t>
      </w:r>
      <w:proofErr w:type="spellEnd"/>
      <w:r w:rsidRPr="00E8771A">
        <w:rPr>
          <w:rFonts w:ascii="Verdana" w:eastAsia="Batang" w:hAnsi="Verdana" w:cs="Times"/>
          <w:sz w:val="20"/>
          <w:szCs w:val="20"/>
          <w:lang w:val="es-CR" w:eastAsia="es-CR"/>
        </w:rPr>
        <w:t xml:space="preserve"> Hernández Maldonado, 97.-Andrés Hernández Maldonado, 98.-Florencia Hernández Maldonado, y 99.-Cristina Grave </w:t>
      </w:r>
      <w:proofErr w:type="spellStart"/>
      <w:r w:rsidRPr="00E8771A">
        <w:rPr>
          <w:rFonts w:ascii="Verdana" w:eastAsia="Batang" w:hAnsi="Verdana" w:cs="Times"/>
          <w:sz w:val="20"/>
          <w:szCs w:val="20"/>
          <w:lang w:val="es-CR" w:eastAsia="es-CR"/>
        </w:rPr>
        <w:t>Morente</w:t>
      </w:r>
      <w:proofErr w:type="spellEnd"/>
      <w:r w:rsidRPr="00E8771A">
        <w:rPr>
          <w:rFonts w:ascii="Verdana" w:eastAsia="Batang" w:hAnsi="Verdana" w:cs="Times"/>
          <w:sz w:val="20"/>
          <w:szCs w:val="20"/>
          <w:lang w:val="es-CR" w:eastAsia="es-CR"/>
        </w:rPr>
        <w:t xml:space="preserve">. </w:t>
      </w:r>
    </w:p>
    <w:p w:rsidR="003908EB" w:rsidRPr="00E8771A" w:rsidRDefault="003908EB" w:rsidP="00E8771A">
      <w:pPr>
        <w:spacing w:after="0" w:line="240" w:lineRule="auto"/>
        <w:jc w:val="both"/>
        <w:rPr>
          <w:rFonts w:ascii="Verdana" w:eastAsia="Batang" w:hAnsi="Verdana" w:cs="Times"/>
          <w:sz w:val="16"/>
          <w:szCs w:val="16"/>
          <w:lang w:val="es-CR" w:eastAsia="es-CR"/>
        </w:rPr>
      </w:pPr>
    </w:p>
    <w:p w:rsidR="003908EB" w:rsidRPr="00E8771A" w:rsidRDefault="003908EB" w:rsidP="00E8771A">
      <w:pPr>
        <w:spacing w:after="0" w:line="240" w:lineRule="auto"/>
        <w:jc w:val="both"/>
        <w:rPr>
          <w:rFonts w:ascii="Verdana" w:eastAsia="Batang" w:hAnsi="Verdana" w:cs="Times"/>
          <w:sz w:val="16"/>
          <w:szCs w:val="16"/>
          <w:lang w:val="es-CR" w:eastAsia="es-CR"/>
        </w:rPr>
      </w:pPr>
    </w:p>
    <w:p w:rsidR="003908EB" w:rsidRPr="00E8771A" w:rsidRDefault="003908EB" w:rsidP="00E8771A">
      <w:pPr>
        <w:spacing w:after="0" w:line="240" w:lineRule="auto"/>
        <w:jc w:val="both"/>
        <w:rPr>
          <w:rFonts w:ascii="Verdana" w:eastAsia="Batang" w:hAnsi="Verdana" w:cs="Times"/>
          <w:sz w:val="16"/>
          <w:szCs w:val="16"/>
          <w:lang w:val="es-CR" w:eastAsia="es-CR"/>
        </w:rPr>
      </w:pPr>
    </w:p>
    <w:p w:rsidR="003908EB" w:rsidRPr="00E8771A" w:rsidRDefault="003908EB" w:rsidP="00E8771A">
      <w:pPr>
        <w:spacing w:after="0" w:line="240" w:lineRule="auto"/>
        <w:jc w:val="both"/>
        <w:rPr>
          <w:rFonts w:ascii="Verdana" w:eastAsia="Batang" w:hAnsi="Verdana" w:cs="Times"/>
          <w:sz w:val="16"/>
          <w:szCs w:val="16"/>
          <w:lang w:val="es-CR" w:eastAsia="es-CR"/>
        </w:rPr>
      </w:pPr>
    </w:p>
    <w:p w:rsidR="003908EB" w:rsidRPr="00E8771A" w:rsidRDefault="003908EB" w:rsidP="00E8771A">
      <w:pPr>
        <w:spacing w:after="0" w:line="240" w:lineRule="auto"/>
        <w:jc w:val="both"/>
        <w:rPr>
          <w:rFonts w:ascii="Verdana" w:eastAsia="Batang" w:hAnsi="Verdana" w:cs="Times"/>
          <w:sz w:val="16"/>
          <w:szCs w:val="16"/>
          <w:lang w:val="es-CR" w:eastAsia="es-CR"/>
        </w:rPr>
      </w:pPr>
    </w:p>
    <w:p w:rsidR="003908EB" w:rsidRPr="00E8771A" w:rsidRDefault="003908EB" w:rsidP="00E8771A">
      <w:pPr>
        <w:spacing w:after="0" w:line="240" w:lineRule="auto"/>
        <w:jc w:val="both"/>
        <w:rPr>
          <w:rFonts w:ascii="Verdana" w:eastAsia="Batang" w:hAnsi="Verdana" w:cs="Times"/>
          <w:sz w:val="16"/>
          <w:szCs w:val="16"/>
          <w:lang w:val="es-CR" w:eastAsia="es-CR"/>
        </w:rPr>
      </w:pPr>
    </w:p>
    <w:p w:rsidR="003908EB" w:rsidRPr="00E8771A" w:rsidRDefault="003908EB" w:rsidP="00E8771A">
      <w:pPr>
        <w:spacing w:after="0" w:line="240" w:lineRule="auto"/>
        <w:jc w:val="both"/>
        <w:rPr>
          <w:rFonts w:ascii="Verdana" w:eastAsia="Batang" w:hAnsi="Verdana" w:cs="Times"/>
          <w:sz w:val="16"/>
          <w:szCs w:val="16"/>
          <w:lang w:val="es-CR" w:eastAsia="es-CR"/>
        </w:rPr>
      </w:pPr>
    </w:p>
    <w:p w:rsidR="003908EB" w:rsidRPr="00E8771A" w:rsidRDefault="003908EB" w:rsidP="00E8771A">
      <w:pPr>
        <w:spacing w:after="0" w:line="240" w:lineRule="auto"/>
        <w:jc w:val="both"/>
        <w:rPr>
          <w:rFonts w:ascii="Verdana" w:eastAsia="Batang" w:hAnsi="Verdana" w:cs="Times"/>
          <w:sz w:val="16"/>
          <w:szCs w:val="16"/>
          <w:lang w:val="es-CR" w:eastAsia="es-CR"/>
        </w:rPr>
      </w:pPr>
    </w:p>
    <w:p w:rsidR="003908EB" w:rsidRPr="00E8771A" w:rsidRDefault="003908EB" w:rsidP="00E8771A">
      <w:pPr>
        <w:spacing w:after="0" w:line="240" w:lineRule="auto"/>
        <w:jc w:val="both"/>
        <w:rPr>
          <w:rFonts w:ascii="Verdana" w:eastAsia="Batang" w:hAnsi="Verdana" w:cs="Times"/>
          <w:sz w:val="16"/>
          <w:szCs w:val="16"/>
          <w:lang w:val="es-CR" w:eastAsia="es-CR"/>
        </w:rPr>
      </w:pPr>
    </w:p>
    <w:p w:rsidR="003908EB" w:rsidRPr="00E8771A" w:rsidRDefault="003908EB" w:rsidP="00E8771A">
      <w:pPr>
        <w:spacing w:after="0" w:line="240" w:lineRule="auto"/>
        <w:jc w:val="both"/>
        <w:rPr>
          <w:rFonts w:ascii="Verdana" w:eastAsia="Batang" w:hAnsi="Verdana" w:cs="Times"/>
          <w:sz w:val="16"/>
          <w:szCs w:val="16"/>
          <w:lang w:val="es-CR" w:eastAsia="es-CR"/>
        </w:rPr>
      </w:pPr>
    </w:p>
    <w:p w:rsidR="003908EB" w:rsidRPr="00E8771A" w:rsidRDefault="003908EB" w:rsidP="00E8771A">
      <w:pPr>
        <w:spacing w:after="0" w:line="240" w:lineRule="auto"/>
        <w:jc w:val="both"/>
        <w:rPr>
          <w:rFonts w:ascii="Verdana" w:eastAsia="Batang" w:hAnsi="Verdana" w:cs="Times"/>
          <w:sz w:val="16"/>
          <w:szCs w:val="16"/>
          <w:lang w:val="es-CR" w:eastAsia="es-CR"/>
        </w:rPr>
      </w:pPr>
    </w:p>
    <w:p w:rsidR="003908EB" w:rsidRPr="00E8771A" w:rsidRDefault="003908EB" w:rsidP="00E8771A">
      <w:pPr>
        <w:spacing w:after="0" w:line="240" w:lineRule="auto"/>
        <w:jc w:val="center"/>
        <w:rPr>
          <w:rFonts w:ascii="Verdana" w:eastAsia="Batang" w:hAnsi="Verdana" w:cs="Times"/>
          <w:b/>
          <w:sz w:val="20"/>
          <w:szCs w:val="24"/>
          <w:lang w:val="es-CR" w:eastAsia="es-CR"/>
        </w:rPr>
      </w:pPr>
      <w:r w:rsidRPr="00E8771A">
        <w:rPr>
          <w:rFonts w:ascii="Verdana" w:eastAsia="Batang" w:hAnsi="Verdana" w:cs="Times"/>
          <w:b/>
          <w:sz w:val="20"/>
          <w:szCs w:val="24"/>
          <w:lang w:val="es-CR" w:eastAsia="es-CR"/>
        </w:rPr>
        <w:t>ANEXO B</w:t>
      </w:r>
    </w:p>
    <w:p w:rsidR="003908EB" w:rsidRPr="00E8771A" w:rsidRDefault="003908EB" w:rsidP="00E8771A">
      <w:pPr>
        <w:spacing w:after="0" w:line="240" w:lineRule="auto"/>
        <w:jc w:val="center"/>
        <w:rPr>
          <w:rFonts w:ascii="Verdana" w:eastAsia="Batang" w:hAnsi="Verdana" w:cs="Times"/>
          <w:b/>
          <w:sz w:val="20"/>
          <w:szCs w:val="24"/>
          <w:lang w:val="es-CR" w:eastAsia="es-CR"/>
        </w:rPr>
      </w:pPr>
    </w:p>
    <w:p w:rsidR="003908EB" w:rsidRPr="00E8771A" w:rsidRDefault="003908EB" w:rsidP="00E8771A">
      <w:pPr>
        <w:spacing w:after="0" w:line="240" w:lineRule="auto"/>
        <w:jc w:val="center"/>
        <w:rPr>
          <w:rFonts w:ascii="Verdana" w:eastAsia="Batang" w:hAnsi="Verdana" w:cs="Times"/>
          <w:b/>
          <w:sz w:val="20"/>
          <w:szCs w:val="24"/>
          <w:lang w:val="es-CR" w:eastAsia="es-CR"/>
        </w:rPr>
      </w:pPr>
      <w:r w:rsidRPr="00E8771A">
        <w:rPr>
          <w:rFonts w:ascii="Verdana" w:eastAsia="Batang" w:hAnsi="Verdana" w:cs="Times"/>
          <w:b/>
          <w:sz w:val="20"/>
          <w:szCs w:val="24"/>
          <w:lang w:val="es-CR" w:eastAsia="es-CR"/>
        </w:rPr>
        <w:t>PERSONAS DETERMINADAS COMO VÍCTIMAS POR LA CORTE INTERAMERICANA DE DERECHOS HUMANOS EN SU SENTENCIA</w:t>
      </w:r>
      <w:r w:rsidRPr="00E8771A">
        <w:rPr>
          <w:rFonts w:eastAsia="Batang" w:cs="Times"/>
          <w:szCs w:val="24"/>
          <w:lang w:eastAsia="es-CR"/>
        </w:rPr>
        <w:footnoteReference w:id="247"/>
      </w:r>
    </w:p>
    <w:p w:rsidR="003908EB" w:rsidRPr="00E8771A" w:rsidRDefault="003908EB" w:rsidP="00E8771A">
      <w:pPr>
        <w:spacing w:after="0" w:line="240" w:lineRule="auto"/>
        <w:jc w:val="center"/>
        <w:rPr>
          <w:rFonts w:ascii="Verdana" w:eastAsia="Batang" w:hAnsi="Verdana" w:cs="Times"/>
          <w:b/>
          <w:sz w:val="20"/>
          <w:szCs w:val="24"/>
          <w:lang w:val="es-CR" w:eastAsia="es-CR"/>
        </w:rPr>
      </w:pPr>
    </w:p>
    <w:p w:rsidR="003908EB" w:rsidRPr="00E8771A" w:rsidRDefault="003908EB" w:rsidP="00E8771A">
      <w:pPr>
        <w:spacing w:after="0" w:line="240" w:lineRule="auto"/>
        <w:jc w:val="center"/>
        <w:rPr>
          <w:rFonts w:ascii="Verdana" w:eastAsia="Batang" w:hAnsi="Verdana" w:cs="Times"/>
          <w:b/>
          <w:sz w:val="20"/>
          <w:szCs w:val="24"/>
          <w:lang w:val="es-CR" w:eastAsia="es-CR"/>
        </w:rPr>
      </w:pPr>
      <w:r w:rsidRPr="00E8771A">
        <w:rPr>
          <w:rFonts w:ascii="Verdana" w:eastAsia="Batang" w:hAnsi="Verdana" w:cs="Times"/>
          <w:b/>
          <w:sz w:val="20"/>
          <w:szCs w:val="24"/>
          <w:lang w:val="es-CR" w:eastAsia="es-CR"/>
        </w:rPr>
        <w:t>B.1</w:t>
      </w:r>
    </w:p>
    <w:p w:rsidR="003908EB" w:rsidRPr="00E8771A" w:rsidRDefault="003908EB" w:rsidP="00E8771A">
      <w:pPr>
        <w:spacing w:after="0" w:line="240" w:lineRule="auto"/>
        <w:jc w:val="center"/>
        <w:rPr>
          <w:rFonts w:ascii="Verdana" w:eastAsia="Batang" w:hAnsi="Verdana" w:cs="Times"/>
          <w:b/>
          <w:sz w:val="20"/>
          <w:szCs w:val="24"/>
          <w:lang w:val="es-CR" w:eastAsia="es-CR"/>
        </w:rPr>
      </w:pPr>
      <w:r w:rsidRPr="00E8771A">
        <w:rPr>
          <w:rFonts w:ascii="Verdana" w:eastAsia="Batang" w:hAnsi="Verdana" w:cs="Times"/>
          <w:b/>
          <w:sz w:val="20"/>
          <w:szCs w:val="24"/>
          <w:lang w:val="es-CR" w:eastAsia="es-CR"/>
        </w:rPr>
        <w:t>PERSONAS VÍCTIMAS DE LA VIOLACIÓN A LOS DERECHOS A LAS GARANTÍAS JUDICIALES Y A LA PROTECCIÓN JUDICIAL (ARTÍCULOS 8.1 Y 25.1 DE LA CONVENCIÓN AMERICANA SOBRE DERECHOS HUMANOS)</w:t>
      </w:r>
    </w:p>
    <w:p w:rsidR="003908EB" w:rsidRPr="003908EB" w:rsidRDefault="003908EB" w:rsidP="00606E62">
      <w:pPr>
        <w:jc w:val="center"/>
        <w:rPr>
          <w:rFonts w:ascii="Verdana" w:hAnsi="Verdana"/>
          <w:b/>
          <w:sz w:val="14"/>
          <w:szCs w:val="16"/>
          <w:lang w:val="es-CR"/>
        </w:rPr>
      </w:pPr>
    </w:p>
    <w:p w:rsidR="003908EB" w:rsidRPr="003908EB" w:rsidRDefault="003908EB" w:rsidP="00330F0B">
      <w:pPr>
        <w:rPr>
          <w:rFonts w:ascii="Verdana" w:hAnsi="Verdana"/>
          <w:sz w:val="16"/>
          <w:szCs w:val="16"/>
          <w:lang w:val="es-CR"/>
        </w:rPr>
      </w:pPr>
    </w:p>
    <w:p w:rsidR="003908EB" w:rsidRPr="003908EB" w:rsidRDefault="003908EB" w:rsidP="00AA6E1B">
      <w:pPr>
        <w:spacing w:line="240" w:lineRule="auto"/>
        <w:jc w:val="both"/>
        <w:rPr>
          <w:rFonts w:ascii="Verdana" w:hAnsi="Verdana"/>
          <w:sz w:val="16"/>
          <w:szCs w:val="16"/>
          <w:lang w:val="es-CR"/>
        </w:rPr>
      </w:pPr>
      <w:r w:rsidRPr="00E8771A">
        <w:rPr>
          <w:rFonts w:ascii="Verdana" w:eastAsia="Batang" w:hAnsi="Verdana" w:cs="Times"/>
          <w:sz w:val="20"/>
          <w:szCs w:val="20"/>
          <w:lang w:val="es-CR" w:eastAsia="es-CR"/>
        </w:rPr>
        <w:t xml:space="preserve">1.-Santiago </w:t>
      </w:r>
      <w:proofErr w:type="spellStart"/>
      <w:r w:rsidRPr="00E8771A">
        <w:rPr>
          <w:rFonts w:ascii="Verdana" w:eastAsia="Batang" w:hAnsi="Verdana" w:cs="Times"/>
          <w:sz w:val="20"/>
          <w:szCs w:val="20"/>
          <w:lang w:val="es-CR" w:eastAsia="es-CR"/>
        </w:rPr>
        <w:t>Maquín</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Quip</w:t>
      </w:r>
      <w:proofErr w:type="spellEnd"/>
      <w:r w:rsidRPr="00E8771A">
        <w:rPr>
          <w:rFonts w:ascii="Verdana" w:eastAsia="Batang" w:hAnsi="Verdana" w:cs="Times"/>
          <w:sz w:val="20"/>
          <w:szCs w:val="20"/>
          <w:lang w:val="es-CR" w:eastAsia="es-CR"/>
        </w:rPr>
        <w:t xml:space="preserve">; 2.-Gerardo Maldonado Sales; 3.-Rosendo Morales </w:t>
      </w:r>
      <w:proofErr w:type="spellStart"/>
      <w:r w:rsidRPr="00E8771A">
        <w:rPr>
          <w:rFonts w:ascii="Verdana" w:eastAsia="Batang" w:hAnsi="Verdana" w:cs="Times"/>
          <w:sz w:val="20"/>
          <w:szCs w:val="20"/>
          <w:lang w:val="es-CR" w:eastAsia="es-CR"/>
        </w:rPr>
        <w:t>Ortíz</w:t>
      </w:r>
      <w:proofErr w:type="spellEnd"/>
      <w:r w:rsidRPr="00E8771A">
        <w:rPr>
          <w:rFonts w:ascii="Verdana" w:eastAsia="Batang" w:hAnsi="Verdana" w:cs="Times"/>
          <w:sz w:val="20"/>
          <w:szCs w:val="20"/>
          <w:lang w:val="es-CR" w:eastAsia="es-CR"/>
        </w:rPr>
        <w:t xml:space="preserve">; 4.-Aurelio Hernández Morales; 5.-Carmen </w:t>
      </w:r>
      <w:proofErr w:type="spellStart"/>
      <w:r w:rsidRPr="00E8771A">
        <w:rPr>
          <w:rFonts w:ascii="Verdana" w:eastAsia="Batang" w:hAnsi="Verdana" w:cs="Times"/>
          <w:sz w:val="20"/>
          <w:szCs w:val="20"/>
          <w:lang w:val="es-CR" w:eastAsia="es-CR"/>
        </w:rPr>
        <w:t>Caal</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Saqui</w:t>
      </w:r>
      <w:proofErr w:type="spellEnd"/>
      <w:r w:rsidRPr="00E8771A">
        <w:rPr>
          <w:rFonts w:ascii="Verdana" w:eastAsia="Batang" w:hAnsi="Verdana" w:cs="Times"/>
          <w:sz w:val="20"/>
          <w:szCs w:val="20"/>
          <w:lang w:val="es-CR" w:eastAsia="es-CR"/>
        </w:rPr>
        <w:t xml:space="preserve">; 6.-Eliseo Hernández Morales; 7.-Francisco Hernández; 8.-Jacinta Matón Raymundo; 9.-Josefa Mendoza Aguilar; 10.-Juana Andrés Maldonado; 11.-Juana Felipe Velásquez; 12.-Marcos Raymundo </w:t>
      </w:r>
      <w:proofErr w:type="spellStart"/>
      <w:r w:rsidRPr="00E8771A">
        <w:rPr>
          <w:rFonts w:ascii="Verdana" w:eastAsia="Batang" w:hAnsi="Verdana" w:cs="Times"/>
          <w:sz w:val="20"/>
          <w:szCs w:val="20"/>
          <w:lang w:val="es-CR" w:eastAsia="es-CR"/>
        </w:rPr>
        <w:t>Jolomná</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Yat</w:t>
      </w:r>
      <w:proofErr w:type="spellEnd"/>
      <w:r w:rsidRPr="00E8771A">
        <w:rPr>
          <w:rFonts w:ascii="Verdana" w:eastAsia="Batang" w:hAnsi="Verdana" w:cs="Times"/>
          <w:sz w:val="20"/>
          <w:szCs w:val="20"/>
          <w:lang w:val="es-CR" w:eastAsia="es-CR"/>
        </w:rPr>
        <w:t xml:space="preserve">; 13.-Martín </w:t>
      </w:r>
      <w:proofErr w:type="spellStart"/>
      <w:r w:rsidRPr="00E8771A">
        <w:rPr>
          <w:rFonts w:ascii="Verdana" w:eastAsia="Batang" w:hAnsi="Verdana" w:cs="Times"/>
          <w:sz w:val="20"/>
          <w:szCs w:val="20"/>
          <w:lang w:val="es-CR" w:eastAsia="es-CR"/>
        </w:rPr>
        <w:t>Quip</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Mucú</w:t>
      </w:r>
      <w:proofErr w:type="spellEnd"/>
      <w:r w:rsidRPr="00E8771A">
        <w:rPr>
          <w:rFonts w:ascii="Verdana" w:eastAsia="Batang" w:hAnsi="Verdana" w:cs="Times"/>
          <w:sz w:val="20"/>
          <w:szCs w:val="20"/>
          <w:lang w:val="es-CR" w:eastAsia="es-CR"/>
        </w:rPr>
        <w:t xml:space="preserve">; 14.-Mateo Pedro; 15.-Natividad Sales Calmo; 16.-Pascual José Pascual; 17.-Pedro Daniel Carrillo López; 18.-Ricardo Pop </w:t>
      </w:r>
      <w:proofErr w:type="spellStart"/>
      <w:r w:rsidRPr="00E8771A">
        <w:rPr>
          <w:rFonts w:ascii="Verdana" w:eastAsia="Batang" w:hAnsi="Verdana" w:cs="Times"/>
          <w:sz w:val="20"/>
          <w:szCs w:val="20"/>
          <w:lang w:val="es-CR" w:eastAsia="es-CR"/>
        </w:rPr>
        <w:t>Caal</w:t>
      </w:r>
      <w:proofErr w:type="spellEnd"/>
      <w:r w:rsidRPr="00E8771A">
        <w:rPr>
          <w:rFonts w:ascii="Verdana" w:eastAsia="Batang" w:hAnsi="Verdana" w:cs="Times"/>
          <w:sz w:val="20"/>
          <w:szCs w:val="20"/>
          <w:lang w:val="es-CR" w:eastAsia="es-CR"/>
        </w:rPr>
        <w:t xml:space="preserve">; 19.-Rosenda Sales </w:t>
      </w:r>
      <w:proofErr w:type="spellStart"/>
      <w:r w:rsidRPr="00E8771A">
        <w:rPr>
          <w:rFonts w:ascii="Verdana" w:eastAsia="Batang" w:hAnsi="Verdana" w:cs="Times"/>
          <w:sz w:val="20"/>
          <w:szCs w:val="20"/>
          <w:lang w:val="es-CR" w:eastAsia="es-CR"/>
        </w:rPr>
        <w:t>Ortíz</w:t>
      </w:r>
      <w:proofErr w:type="spellEnd"/>
      <w:r w:rsidRPr="00E8771A">
        <w:rPr>
          <w:rFonts w:ascii="Verdana" w:eastAsia="Batang" w:hAnsi="Verdana" w:cs="Times"/>
          <w:sz w:val="20"/>
          <w:szCs w:val="20"/>
          <w:lang w:val="es-CR" w:eastAsia="es-CR"/>
        </w:rPr>
        <w:t xml:space="preserve">; 20.-Santiago </w:t>
      </w:r>
      <w:proofErr w:type="spellStart"/>
      <w:r w:rsidRPr="00E8771A">
        <w:rPr>
          <w:rFonts w:ascii="Verdana" w:eastAsia="Batang" w:hAnsi="Verdana" w:cs="Times"/>
          <w:sz w:val="20"/>
          <w:szCs w:val="20"/>
          <w:lang w:val="es-CR" w:eastAsia="es-CR"/>
        </w:rPr>
        <w:t>Cajbón</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Quip</w:t>
      </w:r>
      <w:proofErr w:type="spellEnd"/>
      <w:r w:rsidRPr="00E8771A">
        <w:rPr>
          <w:rFonts w:ascii="Verdana" w:eastAsia="Batang" w:hAnsi="Verdana" w:cs="Times"/>
          <w:sz w:val="20"/>
          <w:szCs w:val="20"/>
          <w:lang w:val="es-CR" w:eastAsia="es-CR"/>
        </w:rPr>
        <w:t xml:space="preserve">; 21.-Santos </w:t>
      </w:r>
      <w:proofErr w:type="spellStart"/>
      <w:r w:rsidRPr="00E8771A">
        <w:rPr>
          <w:rFonts w:ascii="Verdana" w:eastAsia="Batang" w:hAnsi="Verdana" w:cs="Times"/>
          <w:sz w:val="20"/>
          <w:szCs w:val="20"/>
          <w:lang w:val="es-CR" w:eastAsia="es-CR"/>
        </w:rPr>
        <w:t>Choc</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Coc</w:t>
      </w:r>
      <w:proofErr w:type="spellEnd"/>
      <w:r w:rsidRPr="00E8771A">
        <w:rPr>
          <w:rFonts w:ascii="Verdana" w:eastAsia="Batang" w:hAnsi="Verdana" w:cs="Times"/>
          <w:sz w:val="20"/>
          <w:szCs w:val="20"/>
          <w:lang w:val="es-CR" w:eastAsia="es-CR"/>
        </w:rPr>
        <w:t>; 22.-Víctor Carrillo Morales; 23.-Micaela Pascual Juan; 24.-José Hernández</w:t>
      </w:r>
      <w:r w:rsidRPr="00E8771A">
        <w:rPr>
          <w:rFonts w:ascii="Verdana" w:eastAsia="Batang" w:hAnsi="Verdana" w:cs="Times"/>
          <w:sz w:val="20"/>
          <w:szCs w:val="20"/>
          <w:lang w:val="es-CR" w:eastAsia="es-CR"/>
        </w:rPr>
        <w:tab/>
        <w:t xml:space="preserve">; 25.-Germán </w:t>
      </w:r>
      <w:proofErr w:type="spellStart"/>
      <w:r w:rsidRPr="00E8771A">
        <w:rPr>
          <w:rFonts w:ascii="Verdana" w:eastAsia="Batang" w:hAnsi="Verdana" w:cs="Times"/>
          <w:sz w:val="20"/>
          <w:szCs w:val="20"/>
          <w:lang w:val="es-CR" w:eastAsia="es-CR"/>
        </w:rPr>
        <w:t>Cajbón</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Choc</w:t>
      </w:r>
      <w:proofErr w:type="spellEnd"/>
      <w:r w:rsidRPr="00E8771A">
        <w:rPr>
          <w:rFonts w:ascii="Verdana" w:eastAsia="Batang" w:hAnsi="Verdana" w:cs="Times"/>
          <w:sz w:val="20"/>
          <w:szCs w:val="20"/>
          <w:lang w:val="es-CR" w:eastAsia="es-CR"/>
        </w:rPr>
        <w:t xml:space="preserve">; 26.-Efraín Grave </w:t>
      </w:r>
      <w:proofErr w:type="spellStart"/>
      <w:r w:rsidRPr="00E8771A">
        <w:rPr>
          <w:rFonts w:ascii="Verdana" w:eastAsia="Batang" w:hAnsi="Verdana" w:cs="Times"/>
          <w:sz w:val="20"/>
          <w:szCs w:val="20"/>
          <w:lang w:val="es-CR" w:eastAsia="es-CR"/>
        </w:rPr>
        <w:t>Morente</w:t>
      </w:r>
      <w:proofErr w:type="spellEnd"/>
      <w:r w:rsidRPr="00E8771A">
        <w:rPr>
          <w:rFonts w:ascii="Verdana" w:eastAsia="Batang" w:hAnsi="Verdana" w:cs="Times"/>
          <w:sz w:val="20"/>
          <w:szCs w:val="20"/>
          <w:lang w:val="es-CR" w:eastAsia="es-CR"/>
        </w:rPr>
        <w:t xml:space="preserve">; 27.-Juan Medina Toma; 28.-Rolando Hernández Maldonado; 29.-Tomás Grave </w:t>
      </w:r>
      <w:proofErr w:type="spellStart"/>
      <w:r w:rsidRPr="00E8771A">
        <w:rPr>
          <w:rFonts w:ascii="Verdana" w:eastAsia="Batang" w:hAnsi="Verdana" w:cs="Times"/>
          <w:sz w:val="20"/>
          <w:szCs w:val="20"/>
          <w:lang w:val="es-CR" w:eastAsia="es-CR"/>
        </w:rPr>
        <w:t>Morente</w:t>
      </w:r>
      <w:proofErr w:type="spellEnd"/>
      <w:r w:rsidRPr="00E8771A">
        <w:rPr>
          <w:rFonts w:ascii="Verdana" w:eastAsia="Batang" w:hAnsi="Verdana" w:cs="Times"/>
          <w:sz w:val="20"/>
          <w:szCs w:val="20"/>
          <w:lang w:val="es-CR" w:eastAsia="es-CR"/>
        </w:rPr>
        <w:t xml:space="preserve">; 30.-José María Grave; 31.- </w:t>
      </w:r>
      <w:proofErr w:type="spellStart"/>
      <w:r w:rsidRPr="00E8771A">
        <w:rPr>
          <w:rFonts w:ascii="Verdana" w:eastAsia="Batang" w:hAnsi="Verdana" w:cs="Times"/>
          <w:sz w:val="20"/>
          <w:szCs w:val="20"/>
          <w:lang w:val="es-CR" w:eastAsia="es-CR"/>
        </w:rPr>
        <w:t>Fermina</w:t>
      </w:r>
      <w:proofErr w:type="spellEnd"/>
      <w:r w:rsidRPr="00E8771A">
        <w:rPr>
          <w:rFonts w:ascii="Verdana" w:eastAsia="Batang" w:hAnsi="Verdana" w:cs="Times"/>
          <w:sz w:val="20"/>
          <w:szCs w:val="20"/>
          <w:lang w:val="es-CR" w:eastAsia="es-CR"/>
        </w:rPr>
        <w:t xml:space="preserve"> Grave </w:t>
      </w:r>
      <w:proofErr w:type="spellStart"/>
      <w:r w:rsidRPr="00E8771A">
        <w:rPr>
          <w:rFonts w:ascii="Verdana" w:eastAsia="Batang" w:hAnsi="Verdana" w:cs="Times"/>
          <w:sz w:val="20"/>
          <w:szCs w:val="20"/>
          <w:lang w:val="es-CR" w:eastAsia="es-CR"/>
        </w:rPr>
        <w:t>Morente</w:t>
      </w:r>
      <w:proofErr w:type="spellEnd"/>
      <w:r w:rsidRPr="00E8771A">
        <w:rPr>
          <w:rFonts w:ascii="Verdana" w:eastAsia="Batang" w:hAnsi="Verdana" w:cs="Times"/>
          <w:sz w:val="20"/>
          <w:szCs w:val="20"/>
          <w:lang w:val="es-CR" w:eastAsia="es-CR"/>
        </w:rPr>
        <w:t xml:space="preserve">; 32.-Marselo Grave </w:t>
      </w:r>
      <w:proofErr w:type="spellStart"/>
      <w:r w:rsidRPr="00E8771A">
        <w:rPr>
          <w:rFonts w:ascii="Verdana" w:eastAsia="Batang" w:hAnsi="Verdana" w:cs="Times"/>
          <w:sz w:val="20"/>
          <w:szCs w:val="20"/>
          <w:lang w:val="es-CR" w:eastAsia="es-CR"/>
        </w:rPr>
        <w:t>Morente</w:t>
      </w:r>
      <w:proofErr w:type="spellEnd"/>
      <w:r w:rsidRPr="00E8771A">
        <w:rPr>
          <w:rFonts w:ascii="Verdana" w:eastAsia="Batang" w:hAnsi="Verdana" w:cs="Times"/>
          <w:sz w:val="20"/>
          <w:szCs w:val="20"/>
          <w:lang w:val="es-CR" w:eastAsia="es-CR"/>
        </w:rPr>
        <w:t xml:space="preserve">; 33.-Margarita Grave </w:t>
      </w:r>
      <w:proofErr w:type="spellStart"/>
      <w:r w:rsidRPr="00E8771A">
        <w:rPr>
          <w:rFonts w:ascii="Verdana" w:eastAsia="Batang" w:hAnsi="Verdana" w:cs="Times"/>
          <w:sz w:val="20"/>
          <w:szCs w:val="20"/>
          <w:lang w:val="es-CR" w:eastAsia="es-CR"/>
        </w:rPr>
        <w:t>Morente</w:t>
      </w:r>
      <w:proofErr w:type="spellEnd"/>
      <w:r w:rsidRPr="00E8771A">
        <w:rPr>
          <w:rFonts w:ascii="Verdana" w:eastAsia="Batang" w:hAnsi="Verdana" w:cs="Times"/>
          <w:sz w:val="20"/>
          <w:szCs w:val="20"/>
          <w:lang w:val="es-CR" w:eastAsia="es-CR"/>
        </w:rPr>
        <w:t xml:space="preserve">; 34.-Anastacio </w:t>
      </w:r>
      <w:proofErr w:type="spellStart"/>
      <w:r w:rsidRPr="00E8771A">
        <w:rPr>
          <w:rFonts w:ascii="Verdana" w:eastAsia="Batang" w:hAnsi="Verdana" w:cs="Times"/>
          <w:sz w:val="20"/>
          <w:szCs w:val="20"/>
          <w:lang w:val="es-CR" w:eastAsia="es-CR"/>
        </w:rPr>
        <w:t>Chop</w:t>
      </w:r>
      <w:proofErr w:type="spellEnd"/>
      <w:r w:rsidRPr="00E8771A">
        <w:rPr>
          <w:rFonts w:ascii="Verdana" w:eastAsia="Batang" w:hAnsi="Verdana" w:cs="Times"/>
          <w:sz w:val="20"/>
          <w:szCs w:val="20"/>
          <w:lang w:val="es-CR" w:eastAsia="es-CR"/>
        </w:rPr>
        <w:t xml:space="preserve"> García; 35.-Daniela Catarina Chic López; 36.-Manuela Toma Gómez; 37.-María Medina Toma; 38.-Antonio Medina Toma; 39.-Domingo Medina Toma; 40.-Diego Medina Toma; 41.-Pedro Medina Toma; 42.-Antonio Medina Toma</w:t>
      </w:r>
      <w:r w:rsidRPr="00E8771A">
        <w:rPr>
          <w:rFonts w:eastAsia="Batang" w:cs="Times"/>
          <w:lang w:eastAsia="es-CR"/>
        </w:rPr>
        <w:footnoteReference w:id="248"/>
      </w:r>
      <w:r w:rsidRPr="00E8771A">
        <w:rPr>
          <w:rFonts w:ascii="Verdana" w:eastAsia="Batang" w:hAnsi="Verdana" w:cs="Times"/>
          <w:sz w:val="20"/>
          <w:szCs w:val="20"/>
          <w:lang w:val="es-CR" w:eastAsia="es-CR"/>
        </w:rPr>
        <w:t xml:space="preserve">; 43.-Teresa Medina Toma; 44.-Joel Medina Toma; 45.-Carlos Medina Toma; 46.-Atilana Hernández Maldonado; 47.-Mario Alberto Ramírez Hernández; 48.-Fabiana Ramírez Hernández; 49.-Juan Ramírez Hernández; 50.-José Eduardo Ramírez Hernández; 51.-Marcos Enrique Ramírez Hernández; 52.-María Alicia Ramírez Hernández; 53.- Roberto Rafael Ramírez Hernández; 54.-Ramón Mateo; 55.- Florinda Sales Jacinto; 56.-Adelina Sales Jacinto; 57.- Petrona Miguel Méndez; 58.-Angelina Diego Miguel; 59.-Andrés Diego Miguel; 60.-Lucía Diego Miguel; 61.-Diego Diego Miguel; 62.-Pedro </w:t>
      </w:r>
      <w:proofErr w:type="spellStart"/>
      <w:r w:rsidRPr="00E8771A">
        <w:rPr>
          <w:rFonts w:ascii="Verdana" w:eastAsia="Batang" w:hAnsi="Verdana" w:cs="Times"/>
          <w:sz w:val="20"/>
          <w:szCs w:val="20"/>
          <w:lang w:val="es-CR" w:eastAsia="es-CR"/>
        </w:rPr>
        <w:t>Coc</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Chén</w:t>
      </w:r>
      <w:proofErr w:type="spellEnd"/>
      <w:r w:rsidRPr="00E8771A">
        <w:rPr>
          <w:rFonts w:ascii="Verdana" w:eastAsia="Batang" w:hAnsi="Verdana" w:cs="Times"/>
          <w:sz w:val="20"/>
          <w:szCs w:val="20"/>
          <w:lang w:val="es-CR" w:eastAsia="es-CR"/>
        </w:rPr>
        <w:t xml:space="preserve">; 63.- Victoria Max </w:t>
      </w:r>
      <w:proofErr w:type="spellStart"/>
      <w:r w:rsidRPr="00E8771A">
        <w:rPr>
          <w:rFonts w:ascii="Verdana" w:eastAsia="Batang" w:hAnsi="Verdana" w:cs="Times"/>
          <w:sz w:val="20"/>
          <w:szCs w:val="20"/>
          <w:lang w:val="es-CR" w:eastAsia="es-CR"/>
        </w:rPr>
        <w:t>Yat</w:t>
      </w:r>
      <w:proofErr w:type="spellEnd"/>
      <w:r w:rsidRPr="00E8771A">
        <w:rPr>
          <w:rFonts w:ascii="Verdana" w:eastAsia="Batang" w:hAnsi="Verdana" w:cs="Times"/>
          <w:sz w:val="20"/>
          <w:szCs w:val="20"/>
          <w:lang w:val="es-CR" w:eastAsia="es-CR"/>
        </w:rPr>
        <w:t xml:space="preserve">; 64.- Feliciana </w:t>
      </w:r>
      <w:proofErr w:type="spellStart"/>
      <w:r w:rsidRPr="00E8771A">
        <w:rPr>
          <w:rFonts w:ascii="Verdana" w:eastAsia="Batang" w:hAnsi="Verdana" w:cs="Times"/>
          <w:sz w:val="20"/>
          <w:szCs w:val="20"/>
          <w:lang w:val="es-CR" w:eastAsia="es-CR"/>
        </w:rPr>
        <w:t>Cajbón</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Hu</w:t>
      </w:r>
      <w:proofErr w:type="spellEnd"/>
      <w:r w:rsidRPr="00E8771A">
        <w:rPr>
          <w:rFonts w:ascii="Verdana" w:eastAsia="Batang" w:hAnsi="Verdana" w:cs="Times"/>
          <w:sz w:val="20"/>
          <w:szCs w:val="20"/>
          <w:lang w:val="es-CR" w:eastAsia="es-CR"/>
        </w:rPr>
        <w:t xml:space="preserve">; 65.- María </w:t>
      </w:r>
      <w:proofErr w:type="spellStart"/>
      <w:r w:rsidRPr="00E8771A">
        <w:rPr>
          <w:rFonts w:ascii="Verdana" w:eastAsia="Batang" w:hAnsi="Verdana" w:cs="Times"/>
          <w:sz w:val="20"/>
          <w:szCs w:val="20"/>
          <w:lang w:val="es-CR" w:eastAsia="es-CR"/>
        </w:rPr>
        <w:t>Coc</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Cajbón</w:t>
      </w:r>
      <w:proofErr w:type="spellEnd"/>
      <w:r w:rsidRPr="00E8771A">
        <w:rPr>
          <w:rFonts w:ascii="Verdana" w:eastAsia="Batang" w:hAnsi="Verdana" w:cs="Times"/>
          <w:sz w:val="20"/>
          <w:szCs w:val="20"/>
          <w:lang w:val="es-CR" w:eastAsia="es-CR"/>
        </w:rPr>
        <w:t xml:space="preserve">; 66.- José </w:t>
      </w:r>
      <w:proofErr w:type="spellStart"/>
      <w:r w:rsidRPr="00E8771A">
        <w:rPr>
          <w:rFonts w:ascii="Verdana" w:eastAsia="Batang" w:hAnsi="Verdana" w:cs="Times"/>
          <w:sz w:val="20"/>
          <w:szCs w:val="20"/>
          <w:lang w:val="es-CR" w:eastAsia="es-CR"/>
        </w:rPr>
        <w:t>Coc</w:t>
      </w:r>
      <w:proofErr w:type="spellEnd"/>
      <w:r w:rsidRPr="00E8771A">
        <w:rPr>
          <w:rFonts w:ascii="Verdana" w:eastAsia="Batang" w:hAnsi="Verdana" w:cs="Times"/>
          <w:sz w:val="20"/>
          <w:szCs w:val="20"/>
          <w:lang w:val="es-CR" w:eastAsia="es-CR"/>
        </w:rPr>
        <w:t xml:space="preserve"> </w:t>
      </w:r>
      <w:proofErr w:type="spellStart"/>
      <w:r w:rsidRPr="00E8771A">
        <w:rPr>
          <w:rFonts w:ascii="Verdana" w:eastAsia="Batang" w:hAnsi="Verdana" w:cs="Times"/>
          <w:sz w:val="20"/>
          <w:szCs w:val="20"/>
          <w:lang w:val="es-CR" w:eastAsia="es-CR"/>
        </w:rPr>
        <w:t>Cajbón</w:t>
      </w:r>
      <w:proofErr w:type="spellEnd"/>
      <w:r w:rsidRPr="00E8771A">
        <w:rPr>
          <w:rFonts w:ascii="Verdana" w:eastAsia="Batang" w:hAnsi="Verdana" w:cs="Times"/>
          <w:sz w:val="20"/>
          <w:szCs w:val="20"/>
          <w:lang w:val="es-CR" w:eastAsia="es-CR"/>
        </w:rPr>
        <w:t>; 67.-</w:t>
      </w:r>
      <w:r w:rsidRPr="003908EB">
        <w:rPr>
          <w:rFonts w:ascii="Verdana" w:hAnsi="Verdana"/>
          <w:sz w:val="20"/>
          <w:szCs w:val="20"/>
          <w:lang w:val="es-CR"/>
        </w:rPr>
        <w:t xml:space="preserve"> </w:t>
      </w:r>
      <w:proofErr w:type="spellStart"/>
      <w:r w:rsidRPr="003908EB">
        <w:rPr>
          <w:rFonts w:ascii="Verdana" w:hAnsi="Verdana"/>
          <w:sz w:val="20"/>
          <w:szCs w:val="20"/>
          <w:lang w:val="es-CR"/>
        </w:rPr>
        <w:t>Anastacia</w:t>
      </w:r>
      <w:proofErr w:type="spellEnd"/>
      <w:r w:rsidRPr="003908EB">
        <w:rPr>
          <w:rFonts w:ascii="Verdana" w:hAnsi="Verdana"/>
          <w:sz w:val="20"/>
          <w:szCs w:val="20"/>
          <w:lang w:val="es-CR"/>
        </w:rPr>
        <w:t xml:space="preserve"> </w:t>
      </w:r>
      <w:proofErr w:type="spellStart"/>
      <w:r w:rsidRPr="003908EB">
        <w:rPr>
          <w:rFonts w:ascii="Verdana" w:hAnsi="Verdana"/>
          <w:sz w:val="20"/>
          <w:szCs w:val="20"/>
          <w:lang w:val="es-CR"/>
        </w:rPr>
        <w:t>Coc</w:t>
      </w:r>
      <w:proofErr w:type="spellEnd"/>
      <w:r w:rsidRPr="003908EB">
        <w:rPr>
          <w:rFonts w:ascii="Verdana" w:hAnsi="Verdana"/>
          <w:sz w:val="20"/>
          <w:szCs w:val="20"/>
          <w:lang w:val="es-CR"/>
        </w:rPr>
        <w:t xml:space="preserve"> </w:t>
      </w:r>
      <w:proofErr w:type="spellStart"/>
      <w:r w:rsidRPr="003908EB">
        <w:rPr>
          <w:rFonts w:ascii="Verdana" w:hAnsi="Verdana"/>
          <w:sz w:val="20"/>
          <w:szCs w:val="20"/>
          <w:lang w:val="es-CR"/>
        </w:rPr>
        <w:t>Cajbón</w:t>
      </w:r>
      <w:proofErr w:type="spellEnd"/>
      <w:r w:rsidRPr="003908EB">
        <w:rPr>
          <w:rFonts w:ascii="Verdana" w:hAnsi="Verdana"/>
          <w:sz w:val="20"/>
          <w:szCs w:val="20"/>
          <w:lang w:val="es-CR"/>
        </w:rPr>
        <w:t xml:space="preserve">; 68.-Petrona </w:t>
      </w:r>
      <w:proofErr w:type="spellStart"/>
      <w:r w:rsidRPr="003908EB">
        <w:rPr>
          <w:rFonts w:ascii="Verdana" w:hAnsi="Verdana"/>
          <w:sz w:val="20"/>
          <w:szCs w:val="20"/>
          <w:lang w:val="es-CR"/>
        </w:rPr>
        <w:t>Coc</w:t>
      </w:r>
      <w:proofErr w:type="spellEnd"/>
      <w:r w:rsidRPr="003908EB">
        <w:rPr>
          <w:rFonts w:ascii="Verdana" w:hAnsi="Verdana"/>
          <w:sz w:val="20"/>
          <w:szCs w:val="20"/>
          <w:lang w:val="es-CR"/>
        </w:rPr>
        <w:t xml:space="preserve"> </w:t>
      </w:r>
      <w:proofErr w:type="spellStart"/>
      <w:r w:rsidRPr="003908EB">
        <w:rPr>
          <w:rFonts w:ascii="Verdana" w:hAnsi="Verdana"/>
          <w:sz w:val="20"/>
          <w:szCs w:val="20"/>
          <w:lang w:val="es-CR"/>
        </w:rPr>
        <w:t>Cajbón</w:t>
      </w:r>
      <w:proofErr w:type="spellEnd"/>
      <w:r w:rsidRPr="003908EB">
        <w:rPr>
          <w:rFonts w:ascii="Verdana" w:hAnsi="Verdana"/>
          <w:sz w:val="20"/>
          <w:szCs w:val="20"/>
          <w:lang w:val="es-CR"/>
        </w:rPr>
        <w:t xml:space="preserve">; 69.- Irene </w:t>
      </w:r>
      <w:proofErr w:type="spellStart"/>
      <w:r w:rsidRPr="003908EB">
        <w:rPr>
          <w:rFonts w:ascii="Verdana" w:hAnsi="Verdana"/>
          <w:sz w:val="20"/>
          <w:szCs w:val="20"/>
          <w:lang w:val="es-CR"/>
        </w:rPr>
        <w:t>Coc</w:t>
      </w:r>
      <w:proofErr w:type="spellEnd"/>
      <w:r w:rsidRPr="003908EB">
        <w:rPr>
          <w:rFonts w:ascii="Verdana" w:hAnsi="Verdana"/>
          <w:sz w:val="20"/>
          <w:szCs w:val="20"/>
          <w:lang w:val="es-CR"/>
        </w:rPr>
        <w:t xml:space="preserve"> </w:t>
      </w:r>
      <w:proofErr w:type="spellStart"/>
      <w:r w:rsidRPr="003908EB">
        <w:rPr>
          <w:rFonts w:ascii="Verdana" w:hAnsi="Verdana"/>
          <w:sz w:val="20"/>
          <w:szCs w:val="20"/>
          <w:lang w:val="es-CR"/>
        </w:rPr>
        <w:t>Cajbón</w:t>
      </w:r>
      <w:proofErr w:type="spellEnd"/>
      <w:r w:rsidRPr="003908EB">
        <w:rPr>
          <w:rFonts w:ascii="Verdana" w:hAnsi="Verdana"/>
          <w:sz w:val="20"/>
          <w:szCs w:val="20"/>
          <w:lang w:val="es-CR"/>
        </w:rPr>
        <w:t xml:space="preserve">; 70.- Salvador </w:t>
      </w:r>
      <w:proofErr w:type="spellStart"/>
      <w:r w:rsidRPr="003908EB">
        <w:rPr>
          <w:rFonts w:ascii="Verdana" w:hAnsi="Verdana"/>
          <w:sz w:val="20"/>
          <w:szCs w:val="20"/>
          <w:lang w:val="es-CR"/>
        </w:rPr>
        <w:t>Coc</w:t>
      </w:r>
      <w:proofErr w:type="spellEnd"/>
      <w:r w:rsidRPr="003908EB">
        <w:rPr>
          <w:rFonts w:ascii="Verdana" w:hAnsi="Verdana"/>
          <w:sz w:val="20"/>
          <w:szCs w:val="20"/>
          <w:lang w:val="es-CR"/>
        </w:rPr>
        <w:t xml:space="preserve"> </w:t>
      </w:r>
      <w:proofErr w:type="spellStart"/>
      <w:r w:rsidRPr="003908EB">
        <w:rPr>
          <w:rFonts w:ascii="Verdana" w:hAnsi="Verdana"/>
          <w:sz w:val="20"/>
          <w:szCs w:val="20"/>
          <w:lang w:val="es-CR"/>
        </w:rPr>
        <w:t>Cajbón</w:t>
      </w:r>
      <w:proofErr w:type="spellEnd"/>
      <w:r w:rsidRPr="003908EB">
        <w:rPr>
          <w:rFonts w:ascii="Verdana" w:hAnsi="Verdana"/>
          <w:sz w:val="20"/>
          <w:szCs w:val="20"/>
          <w:lang w:val="es-CR"/>
        </w:rPr>
        <w:t xml:space="preserve">; 71-Ana </w:t>
      </w:r>
      <w:proofErr w:type="spellStart"/>
      <w:r w:rsidRPr="003908EB">
        <w:rPr>
          <w:rFonts w:ascii="Verdana" w:hAnsi="Verdana"/>
          <w:sz w:val="20"/>
          <w:szCs w:val="20"/>
          <w:lang w:val="es-CR"/>
        </w:rPr>
        <w:t>Coc</w:t>
      </w:r>
      <w:proofErr w:type="spellEnd"/>
      <w:r w:rsidRPr="003908EB">
        <w:rPr>
          <w:rFonts w:ascii="Verdana" w:hAnsi="Verdana"/>
          <w:sz w:val="20"/>
          <w:szCs w:val="20"/>
          <w:lang w:val="es-CR"/>
        </w:rPr>
        <w:t xml:space="preserve"> </w:t>
      </w:r>
      <w:proofErr w:type="spellStart"/>
      <w:r w:rsidRPr="003908EB">
        <w:rPr>
          <w:rFonts w:ascii="Verdana" w:hAnsi="Verdana"/>
          <w:sz w:val="20"/>
          <w:szCs w:val="20"/>
          <w:lang w:val="es-CR"/>
        </w:rPr>
        <w:t>Cajbón</w:t>
      </w:r>
      <w:proofErr w:type="spellEnd"/>
      <w:r w:rsidRPr="003908EB">
        <w:rPr>
          <w:rFonts w:ascii="Verdana" w:hAnsi="Verdana"/>
          <w:sz w:val="20"/>
          <w:szCs w:val="20"/>
          <w:lang w:val="es-CR"/>
        </w:rPr>
        <w:t xml:space="preserve">; 72.- Juana Juan; 73.- María Miguel Juan; 74.- Dolores Miguel Bartolo; 75.-Francisco Miguel Bartolo; 76.-Manuela Pop </w:t>
      </w:r>
      <w:proofErr w:type="spellStart"/>
      <w:r w:rsidRPr="003908EB">
        <w:rPr>
          <w:rFonts w:ascii="Verdana" w:hAnsi="Verdana"/>
          <w:sz w:val="20"/>
          <w:szCs w:val="20"/>
          <w:lang w:val="es-CR"/>
        </w:rPr>
        <w:t>Choc</w:t>
      </w:r>
      <w:proofErr w:type="spellEnd"/>
      <w:r w:rsidRPr="003908EB">
        <w:rPr>
          <w:rFonts w:ascii="Verdana" w:hAnsi="Verdana"/>
          <w:sz w:val="20"/>
          <w:szCs w:val="20"/>
          <w:lang w:val="es-CR"/>
        </w:rPr>
        <w:t xml:space="preserve">; 77.-Francisco </w:t>
      </w:r>
      <w:proofErr w:type="spellStart"/>
      <w:r w:rsidRPr="003908EB">
        <w:rPr>
          <w:rFonts w:ascii="Verdana" w:hAnsi="Verdana"/>
          <w:sz w:val="20"/>
          <w:szCs w:val="20"/>
          <w:lang w:val="es-CR"/>
        </w:rPr>
        <w:t>Quip</w:t>
      </w:r>
      <w:proofErr w:type="spellEnd"/>
      <w:r w:rsidRPr="003908EB">
        <w:rPr>
          <w:rFonts w:ascii="Verdana" w:hAnsi="Verdana"/>
          <w:sz w:val="20"/>
          <w:szCs w:val="20"/>
          <w:lang w:val="es-CR"/>
        </w:rPr>
        <w:t xml:space="preserve"> </w:t>
      </w:r>
      <w:proofErr w:type="spellStart"/>
      <w:r w:rsidRPr="003908EB">
        <w:rPr>
          <w:rFonts w:ascii="Verdana" w:hAnsi="Verdana"/>
          <w:sz w:val="20"/>
          <w:szCs w:val="20"/>
          <w:lang w:val="es-CR"/>
        </w:rPr>
        <w:t>Choc</w:t>
      </w:r>
      <w:proofErr w:type="spellEnd"/>
      <w:r w:rsidRPr="003908EB">
        <w:rPr>
          <w:rFonts w:ascii="Verdana" w:hAnsi="Verdana"/>
          <w:sz w:val="20"/>
          <w:szCs w:val="20"/>
          <w:lang w:val="es-CR"/>
        </w:rPr>
        <w:t xml:space="preserve">; 78.-Petrona </w:t>
      </w:r>
      <w:proofErr w:type="spellStart"/>
      <w:r w:rsidRPr="003908EB">
        <w:rPr>
          <w:rFonts w:ascii="Verdana" w:hAnsi="Verdana"/>
          <w:sz w:val="20"/>
          <w:szCs w:val="20"/>
          <w:lang w:val="es-CR"/>
        </w:rPr>
        <w:t>Quip</w:t>
      </w:r>
      <w:proofErr w:type="spellEnd"/>
      <w:r w:rsidRPr="003908EB">
        <w:rPr>
          <w:rFonts w:ascii="Verdana" w:hAnsi="Verdana"/>
          <w:sz w:val="20"/>
          <w:szCs w:val="20"/>
          <w:lang w:val="es-CR"/>
        </w:rPr>
        <w:t xml:space="preserve"> Pop; 79.-Margarita </w:t>
      </w:r>
      <w:proofErr w:type="spellStart"/>
      <w:r w:rsidRPr="003908EB">
        <w:rPr>
          <w:rFonts w:ascii="Verdana" w:hAnsi="Verdana"/>
          <w:sz w:val="20"/>
          <w:szCs w:val="20"/>
          <w:lang w:val="es-CR"/>
        </w:rPr>
        <w:t>Quip</w:t>
      </w:r>
      <w:proofErr w:type="spellEnd"/>
      <w:r w:rsidRPr="003908EB">
        <w:rPr>
          <w:rFonts w:ascii="Verdana" w:hAnsi="Verdana"/>
          <w:sz w:val="20"/>
          <w:szCs w:val="20"/>
          <w:lang w:val="es-CR"/>
        </w:rPr>
        <w:t xml:space="preserve"> Pop; 80.-Martín </w:t>
      </w:r>
      <w:proofErr w:type="spellStart"/>
      <w:r w:rsidRPr="003908EB">
        <w:rPr>
          <w:rFonts w:ascii="Verdana" w:hAnsi="Verdana"/>
          <w:sz w:val="20"/>
          <w:szCs w:val="20"/>
          <w:lang w:val="es-CR"/>
        </w:rPr>
        <w:t>Maquín</w:t>
      </w:r>
      <w:proofErr w:type="spellEnd"/>
      <w:r w:rsidRPr="003908EB">
        <w:rPr>
          <w:rFonts w:ascii="Verdana" w:hAnsi="Verdana"/>
          <w:sz w:val="20"/>
          <w:szCs w:val="20"/>
          <w:lang w:val="es-CR"/>
        </w:rPr>
        <w:t xml:space="preserve"> </w:t>
      </w:r>
      <w:proofErr w:type="spellStart"/>
      <w:r w:rsidRPr="003908EB">
        <w:rPr>
          <w:rFonts w:ascii="Verdana" w:hAnsi="Verdana"/>
          <w:sz w:val="20"/>
          <w:szCs w:val="20"/>
          <w:lang w:val="es-CR"/>
        </w:rPr>
        <w:t>Quip</w:t>
      </w:r>
      <w:proofErr w:type="spellEnd"/>
      <w:r w:rsidRPr="003908EB">
        <w:rPr>
          <w:rFonts w:ascii="Verdana" w:hAnsi="Verdana"/>
          <w:sz w:val="20"/>
          <w:szCs w:val="20"/>
          <w:lang w:val="es-CR"/>
        </w:rPr>
        <w:t xml:space="preserve"> Pop; 81.-Dominga </w:t>
      </w:r>
      <w:proofErr w:type="spellStart"/>
      <w:r w:rsidRPr="003908EB">
        <w:rPr>
          <w:rFonts w:ascii="Verdana" w:hAnsi="Verdana"/>
          <w:sz w:val="20"/>
          <w:szCs w:val="20"/>
          <w:lang w:val="es-CR"/>
        </w:rPr>
        <w:t>Maquín</w:t>
      </w:r>
      <w:proofErr w:type="spellEnd"/>
      <w:r w:rsidRPr="003908EB">
        <w:rPr>
          <w:rFonts w:ascii="Verdana" w:hAnsi="Verdana"/>
          <w:sz w:val="20"/>
          <w:szCs w:val="20"/>
          <w:lang w:val="es-CR"/>
        </w:rPr>
        <w:t xml:space="preserve"> Pop; 82.-Santiago </w:t>
      </w:r>
      <w:proofErr w:type="spellStart"/>
      <w:r w:rsidRPr="003908EB">
        <w:rPr>
          <w:rFonts w:ascii="Verdana" w:hAnsi="Verdana"/>
          <w:sz w:val="20"/>
          <w:szCs w:val="20"/>
          <w:lang w:val="es-CR"/>
        </w:rPr>
        <w:t>Quip</w:t>
      </w:r>
      <w:proofErr w:type="spellEnd"/>
      <w:r w:rsidRPr="003908EB">
        <w:rPr>
          <w:rFonts w:ascii="Verdana" w:hAnsi="Verdana"/>
          <w:sz w:val="20"/>
          <w:szCs w:val="20"/>
          <w:lang w:val="es-CR"/>
        </w:rPr>
        <w:t xml:space="preserve"> Pop; 83.-José Morales </w:t>
      </w:r>
      <w:proofErr w:type="spellStart"/>
      <w:r w:rsidRPr="003908EB">
        <w:rPr>
          <w:rFonts w:ascii="Verdana" w:hAnsi="Verdana"/>
          <w:sz w:val="20"/>
          <w:szCs w:val="20"/>
          <w:lang w:val="es-CR"/>
        </w:rPr>
        <w:t>Ortíz</w:t>
      </w:r>
      <w:proofErr w:type="spellEnd"/>
      <w:r w:rsidRPr="003908EB">
        <w:rPr>
          <w:rFonts w:ascii="Verdana" w:hAnsi="Verdana"/>
          <w:sz w:val="20"/>
          <w:szCs w:val="20"/>
          <w:lang w:val="es-CR"/>
        </w:rPr>
        <w:t>; 84.-Cruz Maldonado Silvestre; 85.</w:t>
      </w:r>
      <w:r w:rsidRPr="003908EB" w:rsidDel="00F14869">
        <w:rPr>
          <w:rFonts w:ascii="Verdana" w:hAnsi="Verdana"/>
          <w:sz w:val="20"/>
          <w:szCs w:val="20"/>
          <w:lang w:val="es-CR"/>
        </w:rPr>
        <w:t xml:space="preserve"> </w:t>
      </w:r>
      <w:proofErr w:type="spellStart"/>
      <w:r w:rsidRPr="003908EB">
        <w:rPr>
          <w:rFonts w:ascii="Verdana" w:hAnsi="Verdana"/>
          <w:sz w:val="20"/>
          <w:szCs w:val="20"/>
          <w:lang w:val="es-CR"/>
        </w:rPr>
        <w:t>Martalia</w:t>
      </w:r>
      <w:proofErr w:type="spellEnd"/>
      <w:r w:rsidRPr="003908EB">
        <w:rPr>
          <w:rFonts w:ascii="Verdana" w:hAnsi="Verdana"/>
          <w:sz w:val="20"/>
          <w:szCs w:val="20"/>
          <w:lang w:val="es-CR"/>
        </w:rPr>
        <w:t xml:space="preserve"> Hernández Maldonado; 86.-Andrés </w:t>
      </w:r>
      <w:r w:rsidRPr="003908EB">
        <w:rPr>
          <w:rFonts w:ascii="Verdana" w:hAnsi="Verdana"/>
          <w:sz w:val="20"/>
          <w:szCs w:val="20"/>
          <w:lang w:val="es-CR"/>
        </w:rPr>
        <w:lastRenderedPageBreak/>
        <w:t xml:space="preserve">Hernández Maldonado; 87.-Florencia Hernández Maldonado; 88.-Cristina Grave </w:t>
      </w:r>
      <w:proofErr w:type="spellStart"/>
      <w:r w:rsidRPr="003908EB">
        <w:rPr>
          <w:rFonts w:ascii="Verdana" w:hAnsi="Verdana"/>
          <w:sz w:val="20"/>
          <w:szCs w:val="20"/>
          <w:lang w:val="es-CR"/>
        </w:rPr>
        <w:t>Morente</w:t>
      </w:r>
      <w:proofErr w:type="spellEnd"/>
      <w:r w:rsidRPr="003908EB">
        <w:rPr>
          <w:rFonts w:ascii="Verdana" w:hAnsi="Verdana"/>
          <w:sz w:val="20"/>
          <w:szCs w:val="20"/>
          <w:lang w:val="es-CR"/>
        </w:rPr>
        <w:t>, y 89.- Eulalia Antonio</w:t>
      </w:r>
    </w:p>
    <w:p w:rsidR="003908EB" w:rsidRPr="00E8771A" w:rsidRDefault="003908EB" w:rsidP="00E8771A">
      <w:pPr>
        <w:spacing w:after="0" w:line="240" w:lineRule="auto"/>
        <w:jc w:val="both"/>
        <w:rPr>
          <w:rFonts w:ascii="Verdana" w:eastAsia="Batang" w:hAnsi="Verdana" w:cs="Times"/>
          <w:sz w:val="16"/>
          <w:szCs w:val="16"/>
          <w:lang w:val="es-CR" w:eastAsia="es-CR"/>
        </w:rPr>
      </w:pPr>
    </w:p>
    <w:p w:rsidR="003908EB" w:rsidRPr="003908EB" w:rsidRDefault="003908EB" w:rsidP="00606E62">
      <w:pPr>
        <w:rPr>
          <w:rFonts w:ascii="Verdana" w:hAnsi="Verdana"/>
          <w:szCs w:val="20"/>
          <w:lang w:val="es-CR"/>
        </w:rPr>
      </w:pPr>
    </w:p>
    <w:p w:rsidR="003908EB" w:rsidRPr="00E8771A" w:rsidRDefault="003908EB" w:rsidP="00E8771A">
      <w:pPr>
        <w:spacing w:after="0" w:line="240" w:lineRule="auto"/>
        <w:jc w:val="center"/>
        <w:rPr>
          <w:rFonts w:ascii="Verdana" w:eastAsia="Batang" w:hAnsi="Verdana" w:cs="Times"/>
          <w:b/>
          <w:sz w:val="20"/>
          <w:szCs w:val="20"/>
          <w:lang w:val="es-CR" w:eastAsia="es-CR"/>
        </w:rPr>
      </w:pPr>
      <w:r w:rsidRPr="00E8771A">
        <w:rPr>
          <w:rFonts w:ascii="Verdana" w:eastAsia="Batang" w:hAnsi="Verdana" w:cs="Times"/>
          <w:b/>
          <w:sz w:val="20"/>
          <w:szCs w:val="20"/>
          <w:lang w:val="es-CR" w:eastAsia="es-CR"/>
        </w:rPr>
        <w:t>B.2</w:t>
      </w:r>
    </w:p>
    <w:p w:rsidR="003908EB" w:rsidRPr="00E8771A" w:rsidRDefault="003908EB" w:rsidP="00E8771A">
      <w:pPr>
        <w:spacing w:after="0" w:line="240" w:lineRule="auto"/>
        <w:jc w:val="center"/>
        <w:rPr>
          <w:rFonts w:ascii="Verdana" w:eastAsia="Batang" w:hAnsi="Verdana" w:cs="Times"/>
          <w:b/>
          <w:sz w:val="20"/>
          <w:szCs w:val="20"/>
          <w:lang w:val="es-CR" w:eastAsia="es-CR"/>
        </w:rPr>
      </w:pPr>
      <w:r w:rsidRPr="00E8771A">
        <w:rPr>
          <w:rFonts w:ascii="Verdana" w:eastAsia="Batang" w:hAnsi="Verdana" w:cs="Times"/>
          <w:b/>
          <w:sz w:val="20"/>
          <w:szCs w:val="20"/>
          <w:lang w:val="es-CR" w:eastAsia="es-CR"/>
        </w:rPr>
        <w:t>PERSONAS VÍCTIMAS DE LA VIOLACIÓN AL DERECHO A LA VIDA EN RELACIÓN CON LA OBLIGACIÓN DE RESPETAR LOS DERECHOS SIN DISCRIMINACIÓN (ARTÍCULOS 4.1 Y 1.1 DE LA CONVENCIÓN AMERICANA SOBRE DERECHOS HUMANOS)</w:t>
      </w:r>
    </w:p>
    <w:p w:rsidR="003908EB" w:rsidRPr="003908EB" w:rsidRDefault="003908EB" w:rsidP="00606E62">
      <w:pPr>
        <w:rPr>
          <w:rFonts w:ascii="Verdana" w:hAnsi="Verdana"/>
          <w:sz w:val="20"/>
          <w:szCs w:val="20"/>
          <w:lang w:val="es-CR"/>
        </w:rPr>
      </w:pPr>
    </w:p>
    <w:p w:rsidR="003908EB" w:rsidRPr="00E8771A" w:rsidRDefault="003908EB" w:rsidP="00AA6E1B">
      <w:pPr>
        <w:spacing w:line="240" w:lineRule="auto"/>
        <w:jc w:val="both"/>
        <w:rPr>
          <w:rFonts w:ascii="Verdana" w:hAnsi="Verdana"/>
          <w:sz w:val="20"/>
          <w:szCs w:val="20"/>
          <w:lang w:val="es-CR"/>
        </w:rPr>
      </w:pPr>
      <w:r w:rsidRPr="003908EB">
        <w:rPr>
          <w:rFonts w:ascii="Verdana" w:hAnsi="Verdana"/>
          <w:sz w:val="20"/>
          <w:szCs w:val="20"/>
          <w:lang w:val="es-CR"/>
        </w:rPr>
        <w:t xml:space="preserve">1.-Abel Ramírez Pérez, 2.-Andrés Miguel Mateo, 3.-Hilaria </w:t>
      </w:r>
      <w:proofErr w:type="spellStart"/>
      <w:r w:rsidRPr="003908EB">
        <w:rPr>
          <w:rFonts w:ascii="Verdana" w:hAnsi="Verdana"/>
          <w:sz w:val="20"/>
          <w:szCs w:val="20"/>
          <w:lang w:val="es-CR"/>
        </w:rPr>
        <w:t>Morente</w:t>
      </w:r>
      <w:proofErr w:type="spellEnd"/>
      <w:r w:rsidRPr="003908EB">
        <w:rPr>
          <w:rFonts w:ascii="Verdana" w:hAnsi="Verdana"/>
          <w:sz w:val="20"/>
          <w:szCs w:val="20"/>
          <w:lang w:val="es-CR"/>
        </w:rPr>
        <w:t xml:space="preserve"> de la Cruz, 4.-Juana Jacinto Felipe, 5.-Manuela Mateo Antonio, 6.-Pablo </w:t>
      </w:r>
      <w:proofErr w:type="spellStart"/>
      <w:r w:rsidRPr="003908EB">
        <w:rPr>
          <w:rFonts w:ascii="Verdana" w:hAnsi="Verdana"/>
          <w:sz w:val="20"/>
          <w:szCs w:val="20"/>
          <w:lang w:val="es-CR"/>
        </w:rPr>
        <w:t>Coc</w:t>
      </w:r>
      <w:proofErr w:type="spellEnd"/>
      <w:r w:rsidRPr="003908EB">
        <w:rPr>
          <w:rFonts w:ascii="Verdana" w:hAnsi="Verdana"/>
          <w:sz w:val="20"/>
          <w:szCs w:val="20"/>
          <w:lang w:val="es-CR"/>
        </w:rPr>
        <w:t xml:space="preserve"> </w:t>
      </w:r>
      <w:proofErr w:type="spellStart"/>
      <w:r w:rsidRPr="003908EB">
        <w:rPr>
          <w:rFonts w:ascii="Verdana" w:hAnsi="Verdana"/>
          <w:sz w:val="20"/>
          <w:szCs w:val="20"/>
          <w:lang w:val="es-CR"/>
        </w:rPr>
        <w:t>Coc</w:t>
      </w:r>
      <w:proofErr w:type="spellEnd"/>
      <w:r w:rsidRPr="003908EB">
        <w:rPr>
          <w:rFonts w:ascii="Verdana" w:hAnsi="Verdana"/>
          <w:sz w:val="20"/>
          <w:szCs w:val="20"/>
          <w:lang w:val="es-CR"/>
        </w:rPr>
        <w:t xml:space="preserve">, 7.-Pedro Diego Andrés, y 8.-Pedro Medina Sánchez.  </w:t>
      </w:r>
    </w:p>
    <w:p w:rsidR="003908EB" w:rsidRPr="00E8771A" w:rsidRDefault="003908EB" w:rsidP="00E8771A">
      <w:pPr>
        <w:spacing w:after="0" w:line="240" w:lineRule="auto"/>
        <w:jc w:val="both"/>
        <w:rPr>
          <w:rFonts w:ascii="Verdana" w:eastAsia="Batang" w:hAnsi="Verdana" w:cs="Times"/>
          <w:sz w:val="16"/>
          <w:szCs w:val="16"/>
          <w:lang w:val="es-CR" w:eastAsia="es-CR"/>
        </w:rPr>
      </w:pPr>
    </w:p>
    <w:p w:rsidR="003908EB" w:rsidRPr="00E8771A" w:rsidRDefault="003908EB" w:rsidP="00E8771A">
      <w:pPr>
        <w:spacing w:after="0" w:line="240" w:lineRule="auto"/>
        <w:jc w:val="both"/>
        <w:rPr>
          <w:rFonts w:ascii="Verdana" w:eastAsia="Batang" w:hAnsi="Verdana" w:cs="Times"/>
          <w:sz w:val="16"/>
          <w:szCs w:val="16"/>
          <w:lang w:val="es-CR" w:eastAsia="es-CR"/>
        </w:rPr>
      </w:pPr>
    </w:p>
    <w:p w:rsidR="003908EB" w:rsidRPr="00E8771A" w:rsidRDefault="003908EB" w:rsidP="00B42848">
      <w:pPr>
        <w:rPr>
          <w:rFonts w:ascii="Verdana" w:eastAsia="Batang" w:hAnsi="Verdana" w:cs="Times"/>
          <w:b/>
          <w:sz w:val="20"/>
          <w:szCs w:val="24"/>
          <w:lang w:val="es-CR" w:eastAsia="es-CR"/>
        </w:rPr>
      </w:pPr>
    </w:p>
    <w:p w:rsidR="003908EB" w:rsidRPr="00E8771A" w:rsidRDefault="003908EB" w:rsidP="00E8771A">
      <w:pPr>
        <w:spacing w:after="0" w:line="240" w:lineRule="auto"/>
        <w:jc w:val="center"/>
        <w:rPr>
          <w:rFonts w:ascii="Verdana" w:eastAsia="Batang" w:hAnsi="Verdana" w:cs="Times"/>
          <w:b/>
          <w:sz w:val="20"/>
          <w:szCs w:val="20"/>
          <w:lang w:val="es-CR" w:eastAsia="es-CR"/>
        </w:rPr>
      </w:pPr>
      <w:r w:rsidRPr="00E8771A">
        <w:rPr>
          <w:rFonts w:ascii="Verdana" w:eastAsia="Batang" w:hAnsi="Verdana" w:cs="Times"/>
          <w:b/>
          <w:sz w:val="20"/>
          <w:szCs w:val="20"/>
          <w:lang w:val="es-CR" w:eastAsia="es-CR"/>
        </w:rPr>
        <w:t>B.3</w:t>
      </w:r>
    </w:p>
    <w:p w:rsidR="003908EB" w:rsidRPr="00E8771A" w:rsidRDefault="003908EB" w:rsidP="00E8771A">
      <w:pPr>
        <w:spacing w:after="0" w:line="240" w:lineRule="auto"/>
        <w:jc w:val="center"/>
        <w:rPr>
          <w:rFonts w:ascii="Verdana" w:eastAsia="Batang" w:hAnsi="Verdana" w:cs="Times"/>
          <w:b/>
          <w:sz w:val="20"/>
          <w:szCs w:val="20"/>
          <w:lang w:val="es-CR" w:eastAsia="es-CR"/>
        </w:rPr>
      </w:pPr>
      <w:r w:rsidRPr="00E8771A">
        <w:rPr>
          <w:rFonts w:ascii="Verdana" w:eastAsia="Batang" w:hAnsi="Verdana" w:cs="Times"/>
          <w:b/>
          <w:sz w:val="20"/>
          <w:szCs w:val="20"/>
          <w:lang w:val="es-CR" w:eastAsia="es-CR"/>
        </w:rPr>
        <w:t>PERSONAS VÍCTIMAS DE LA VIOLACIÓN AL DERECHO A LA INTEGRIDAD PERSONAL, POR HERIDAS SUFRIDAS, EN RELACIÓN CON LA OBLIGACIÓN DE RESPETAR LOS DERECHOS SIN DISCRIMINACIÓN (ARTÍCULOS 5.1 Y 1.1 DE LA CONVENCIÓN AMERICANA SOBRE DERECHOS HUMANOS)</w:t>
      </w:r>
    </w:p>
    <w:p w:rsidR="003908EB" w:rsidRPr="003908EB" w:rsidRDefault="003908EB" w:rsidP="00606E62">
      <w:pPr>
        <w:jc w:val="center"/>
        <w:rPr>
          <w:rFonts w:ascii="Verdana" w:hAnsi="Verdana"/>
          <w:b/>
          <w:sz w:val="20"/>
          <w:szCs w:val="20"/>
          <w:lang w:val="es-CR"/>
        </w:rPr>
      </w:pPr>
    </w:p>
    <w:p w:rsidR="003908EB" w:rsidRPr="003908EB" w:rsidRDefault="003908EB" w:rsidP="00AA6E1B">
      <w:pPr>
        <w:pStyle w:val="FootnoteText"/>
        <w:rPr>
          <w:lang w:val="es-CR"/>
        </w:rPr>
      </w:pPr>
      <w:r w:rsidRPr="003908EB">
        <w:rPr>
          <w:lang w:val="es-CR"/>
        </w:rPr>
        <w:t xml:space="preserve">1.-Aurelio Hernández Morales, 2.-Carmen </w:t>
      </w:r>
      <w:proofErr w:type="spellStart"/>
      <w:r w:rsidRPr="003908EB">
        <w:rPr>
          <w:lang w:val="es-CR"/>
        </w:rPr>
        <w:t>Caal</w:t>
      </w:r>
      <w:proofErr w:type="spellEnd"/>
      <w:r w:rsidRPr="003908EB">
        <w:rPr>
          <w:lang w:val="es-CR"/>
        </w:rPr>
        <w:t xml:space="preserve"> </w:t>
      </w:r>
      <w:proofErr w:type="spellStart"/>
      <w:r w:rsidRPr="003908EB">
        <w:rPr>
          <w:lang w:val="es-CR"/>
        </w:rPr>
        <w:t>Saqui</w:t>
      </w:r>
      <w:proofErr w:type="spellEnd"/>
      <w:r w:rsidRPr="003908EB">
        <w:rPr>
          <w:lang w:val="es-CR"/>
        </w:rPr>
        <w:t xml:space="preserve">, 3.-Eliseo Hernández Morales, 4.-Francisco Hernández, 5.-Jacinta Matón Raymundo, 6.-Josefa Mendoza Aguilar, 7.-Juana Andrés Maldonado, 8.-Juana Felipe Velásquez, 9.-Marcos </w:t>
      </w:r>
      <w:proofErr w:type="spellStart"/>
      <w:r w:rsidRPr="003908EB">
        <w:rPr>
          <w:lang w:val="es-CR"/>
        </w:rPr>
        <w:t>Jolomná</w:t>
      </w:r>
      <w:proofErr w:type="spellEnd"/>
      <w:r w:rsidRPr="003908EB">
        <w:rPr>
          <w:lang w:val="es-CR"/>
        </w:rPr>
        <w:t xml:space="preserve"> </w:t>
      </w:r>
      <w:proofErr w:type="spellStart"/>
      <w:r w:rsidRPr="003908EB">
        <w:rPr>
          <w:lang w:val="es-CR"/>
        </w:rPr>
        <w:t>Yat</w:t>
      </w:r>
      <w:proofErr w:type="spellEnd"/>
      <w:r w:rsidRPr="003908EB">
        <w:rPr>
          <w:lang w:val="es-CR"/>
        </w:rPr>
        <w:t xml:space="preserve">, 10.-Martín </w:t>
      </w:r>
      <w:proofErr w:type="spellStart"/>
      <w:r w:rsidRPr="003908EB">
        <w:rPr>
          <w:lang w:val="es-CR"/>
        </w:rPr>
        <w:t>Quip</w:t>
      </w:r>
      <w:proofErr w:type="spellEnd"/>
      <w:r w:rsidRPr="003908EB">
        <w:rPr>
          <w:lang w:val="es-CR"/>
        </w:rPr>
        <w:t xml:space="preserve"> </w:t>
      </w:r>
      <w:proofErr w:type="spellStart"/>
      <w:r w:rsidRPr="003908EB">
        <w:rPr>
          <w:lang w:val="es-CR"/>
        </w:rPr>
        <w:t>Mucú</w:t>
      </w:r>
      <w:proofErr w:type="spellEnd"/>
      <w:r w:rsidRPr="003908EB">
        <w:rPr>
          <w:lang w:val="es-CR"/>
        </w:rPr>
        <w:t xml:space="preserve">, 11.-Mateo Pedro, 12.-Natividad Sales Calmo, 13.-Pascual José Pascual, 14.-Pedro Daniel Carrillo López, 15.-Ricardo Pop </w:t>
      </w:r>
      <w:proofErr w:type="spellStart"/>
      <w:r w:rsidRPr="003908EB">
        <w:rPr>
          <w:lang w:val="es-CR"/>
        </w:rPr>
        <w:t>Caal</w:t>
      </w:r>
      <w:proofErr w:type="spellEnd"/>
      <w:r w:rsidRPr="003908EB">
        <w:rPr>
          <w:lang w:val="es-CR"/>
        </w:rPr>
        <w:t xml:space="preserve">, 16.-Rosenda Sales </w:t>
      </w:r>
      <w:proofErr w:type="spellStart"/>
      <w:r w:rsidRPr="003908EB">
        <w:rPr>
          <w:lang w:val="es-CR"/>
        </w:rPr>
        <w:t>Ortíz</w:t>
      </w:r>
      <w:proofErr w:type="spellEnd"/>
      <w:r w:rsidRPr="003908EB">
        <w:rPr>
          <w:lang w:val="es-CR"/>
        </w:rPr>
        <w:t xml:space="preserve">, 17.-Santiago </w:t>
      </w:r>
      <w:proofErr w:type="spellStart"/>
      <w:r w:rsidRPr="003908EB">
        <w:rPr>
          <w:lang w:val="es-CR"/>
        </w:rPr>
        <w:t>Cajbón</w:t>
      </w:r>
      <w:proofErr w:type="spellEnd"/>
      <w:r w:rsidRPr="003908EB">
        <w:rPr>
          <w:lang w:val="es-CR"/>
        </w:rPr>
        <w:t xml:space="preserve"> </w:t>
      </w:r>
      <w:proofErr w:type="spellStart"/>
      <w:r w:rsidRPr="003908EB">
        <w:rPr>
          <w:lang w:val="es-CR"/>
        </w:rPr>
        <w:t>Quip</w:t>
      </w:r>
      <w:proofErr w:type="spellEnd"/>
      <w:r w:rsidRPr="003908EB">
        <w:rPr>
          <w:lang w:val="es-CR"/>
        </w:rPr>
        <w:t xml:space="preserve">, 18.-Santos </w:t>
      </w:r>
      <w:proofErr w:type="spellStart"/>
      <w:r w:rsidRPr="003908EB">
        <w:rPr>
          <w:lang w:val="es-CR"/>
        </w:rPr>
        <w:t>Choc</w:t>
      </w:r>
      <w:proofErr w:type="spellEnd"/>
      <w:r w:rsidRPr="003908EB">
        <w:rPr>
          <w:lang w:val="es-CR"/>
        </w:rPr>
        <w:t xml:space="preserve"> </w:t>
      </w:r>
      <w:proofErr w:type="spellStart"/>
      <w:r w:rsidRPr="003908EB">
        <w:rPr>
          <w:lang w:val="es-CR"/>
        </w:rPr>
        <w:t>Coc</w:t>
      </w:r>
      <w:proofErr w:type="spellEnd"/>
      <w:r w:rsidRPr="003908EB">
        <w:rPr>
          <w:lang w:val="es-CR"/>
        </w:rPr>
        <w:t xml:space="preserve">, 19.-Víctor Carrillo, 20.-Micaela Pascual, 21.-José Hernández, 22.-Germán </w:t>
      </w:r>
      <w:proofErr w:type="spellStart"/>
      <w:r w:rsidRPr="003908EB">
        <w:rPr>
          <w:lang w:val="es-CR"/>
        </w:rPr>
        <w:t>Cajbón</w:t>
      </w:r>
      <w:proofErr w:type="spellEnd"/>
      <w:r w:rsidRPr="003908EB">
        <w:rPr>
          <w:lang w:val="es-CR"/>
        </w:rPr>
        <w:t xml:space="preserve"> </w:t>
      </w:r>
      <w:proofErr w:type="spellStart"/>
      <w:r w:rsidRPr="003908EB">
        <w:rPr>
          <w:lang w:val="es-CR"/>
        </w:rPr>
        <w:t>Choc</w:t>
      </w:r>
      <w:proofErr w:type="spellEnd"/>
      <w:r w:rsidRPr="003908EB">
        <w:rPr>
          <w:lang w:val="es-CR"/>
        </w:rPr>
        <w:t xml:space="preserve">, 23.-Efraín Grave </w:t>
      </w:r>
      <w:proofErr w:type="spellStart"/>
      <w:r w:rsidRPr="003908EB">
        <w:rPr>
          <w:lang w:val="es-CR"/>
        </w:rPr>
        <w:t>Morente</w:t>
      </w:r>
      <w:proofErr w:type="spellEnd"/>
      <w:r w:rsidRPr="003908EB">
        <w:rPr>
          <w:lang w:val="es-CR"/>
        </w:rPr>
        <w:t xml:space="preserve">, 24.-Juan Medina Toma, 25.-Rolando Hernández Maldonado, 26.-Tomas Grave </w:t>
      </w:r>
      <w:proofErr w:type="spellStart"/>
      <w:r w:rsidRPr="003908EB">
        <w:rPr>
          <w:lang w:val="es-CR"/>
        </w:rPr>
        <w:t>Morente</w:t>
      </w:r>
      <w:proofErr w:type="spellEnd"/>
      <w:r w:rsidRPr="003908EB">
        <w:rPr>
          <w:lang w:val="es-CR"/>
        </w:rPr>
        <w:t xml:space="preserve">, 27.-Santiago </w:t>
      </w:r>
      <w:proofErr w:type="spellStart"/>
      <w:r w:rsidRPr="003908EB">
        <w:rPr>
          <w:lang w:val="es-CR"/>
        </w:rPr>
        <w:t>Maquín</w:t>
      </w:r>
      <w:proofErr w:type="spellEnd"/>
      <w:r w:rsidRPr="003908EB">
        <w:rPr>
          <w:lang w:val="es-CR"/>
        </w:rPr>
        <w:t xml:space="preserve"> </w:t>
      </w:r>
      <w:proofErr w:type="spellStart"/>
      <w:r w:rsidRPr="003908EB">
        <w:rPr>
          <w:lang w:val="es-CR"/>
        </w:rPr>
        <w:t>Quip</w:t>
      </w:r>
      <w:proofErr w:type="spellEnd"/>
      <w:r w:rsidRPr="003908EB">
        <w:rPr>
          <w:lang w:val="es-CR"/>
        </w:rPr>
        <w:t xml:space="preserve">, 28.-Gerardo Maldonado Sales y 29.-Rosendo Morales Ortiz. </w:t>
      </w:r>
    </w:p>
    <w:p w:rsidR="003908EB" w:rsidRPr="00E8771A" w:rsidRDefault="003908EB" w:rsidP="00E8771A">
      <w:pPr>
        <w:spacing w:after="0" w:line="240" w:lineRule="auto"/>
        <w:jc w:val="both"/>
        <w:rPr>
          <w:rFonts w:ascii="Verdana" w:eastAsia="Batang" w:hAnsi="Verdana" w:cs="Times"/>
          <w:sz w:val="16"/>
          <w:szCs w:val="16"/>
          <w:lang w:val="es-CR" w:eastAsia="es-CR"/>
        </w:rPr>
      </w:pPr>
    </w:p>
    <w:p w:rsidR="003908EB" w:rsidRPr="00E8771A" w:rsidRDefault="003908EB" w:rsidP="00E8771A">
      <w:pPr>
        <w:spacing w:line="240" w:lineRule="auto"/>
        <w:rPr>
          <w:rFonts w:ascii="Verdana" w:hAnsi="Verdana"/>
          <w:sz w:val="18"/>
          <w:szCs w:val="20"/>
          <w:lang w:val="es-CR"/>
        </w:rPr>
      </w:pPr>
    </w:p>
    <w:p w:rsidR="003908EB" w:rsidRPr="003908EB" w:rsidRDefault="003908EB" w:rsidP="00606E62">
      <w:pPr>
        <w:rPr>
          <w:rFonts w:ascii="Verdana" w:hAnsi="Verdana"/>
          <w:sz w:val="20"/>
          <w:szCs w:val="20"/>
          <w:lang w:val="es-CR"/>
        </w:rPr>
      </w:pPr>
    </w:p>
    <w:p w:rsidR="003908EB" w:rsidRPr="003908EB" w:rsidRDefault="003908EB" w:rsidP="00606E62">
      <w:pPr>
        <w:jc w:val="center"/>
        <w:rPr>
          <w:rFonts w:ascii="Verdana" w:hAnsi="Verdana"/>
          <w:b/>
          <w:sz w:val="20"/>
          <w:szCs w:val="20"/>
          <w:lang w:val="es-CR"/>
        </w:rPr>
      </w:pPr>
      <w:bookmarkStart w:id="272" w:name="_GoBack"/>
      <w:bookmarkEnd w:id="272"/>
    </w:p>
    <w:p w:rsidR="003908EB" w:rsidRPr="00E8771A" w:rsidRDefault="003908EB" w:rsidP="00E8771A">
      <w:pPr>
        <w:spacing w:after="0" w:line="240" w:lineRule="auto"/>
        <w:jc w:val="center"/>
        <w:rPr>
          <w:rFonts w:ascii="Verdana" w:eastAsia="Batang" w:hAnsi="Verdana" w:cs="Times"/>
          <w:b/>
          <w:sz w:val="20"/>
          <w:szCs w:val="20"/>
          <w:lang w:val="es-CR" w:eastAsia="es-CR"/>
        </w:rPr>
      </w:pPr>
      <w:r w:rsidRPr="00E8771A">
        <w:rPr>
          <w:rFonts w:ascii="Verdana" w:eastAsia="Batang" w:hAnsi="Verdana" w:cs="Times"/>
          <w:b/>
          <w:sz w:val="20"/>
          <w:szCs w:val="20"/>
          <w:lang w:val="es-CR" w:eastAsia="es-CR"/>
        </w:rPr>
        <w:t>B.4</w:t>
      </w:r>
    </w:p>
    <w:p w:rsidR="003908EB" w:rsidRPr="00E8771A" w:rsidRDefault="003908EB" w:rsidP="00E8771A">
      <w:pPr>
        <w:spacing w:after="0" w:line="240" w:lineRule="auto"/>
        <w:jc w:val="center"/>
        <w:rPr>
          <w:rFonts w:ascii="Verdana" w:eastAsia="Batang" w:hAnsi="Verdana" w:cs="Times"/>
          <w:b/>
          <w:sz w:val="20"/>
          <w:szCs w:val="20"/>
          <w:lang w:val="es-CR" w:eastAsia="es-CR"/>
        </w:rPr>
      </w:pPr>
      <w:r w:rsidRPr="00E8771A">
        <w:rPr>
          <w:rFonts w:ascii="Verdana" w:eastAsia="Batang" w:hAnsi="Verdana" w:cs="Times"/>
          <w:b/>
          <w:sz w:val="20"/>
          <w:szCs w:val="20"/>
          <w:lang w:val="es-CR" w:eastAsia="es-CR"/>
        </w:rPr>
        <w:t>PERSONAS VÍCTIMAS DE LA VIOLACIÓN AL DERECHO A LA VIDA EN RELACIÓN CON LOS DERECHOS DEL NIÑO Y CON LA OBLIGACIÓN DE RESPETAR LOS DERECHOS SIN DISCRIMINACIÓN (ARTÍCULOS 4.1, 19 Y 1.1 DE LA CONVENCIÓN AMERICANA SOBRE DERECHOS HUMANOS)</w:t>
      </w:r>
    </w:p>
    <w:p w:rsidR="003908EB" w:rsidRPr="003908EB" w:rsidRDefault="003908EB" w:rsidP="00606E62">
      <w:pPr>
        <w:jc w:val="center"/>
        <w:rPr>
          <w:rFonts w:ascii="Verdana" w:hAnsi="Verdana"/>
          <w:b/>
          <w:sz w:val="20"/>
          <w:szCs w:val="20"/>
          <w:lang w:val="es-CR"/>
        </w:rPr>
      </w:pPr>
    </w:p>
    <w:p w:rsidR="003908EB" w:rsidRPr="003908EB" w:rsidRDefault="003908EB" w:rsidP="00606E62">
      <w:pPr>
        <w:rPr>
          <w:rFonts w:ascii="Verdana" w:hAnsi="Verdana"/>
          <w:b/>
          <w:sz w:val="20"/>
          <w:szCs w:val="20"/>
          <w:lang w:val="es-CR"/>
        </w:rPr>
      </w:pPr>
    </w:p>
    <w:p w:rsidR="003908EB" w:rsidRPr="00E8771A" w:rsidRDefault="003908EB" w:rsidP="00E8771A">
      <w:pPr>
        <w:rPr>
          <w:rFonts w:ascii="Verdana" w:hAnsi="Verdana"/>
          <w:sz w:val="20"/>
          <w:szCs w:val="20"/>
          <w:lang w:val="es-CR"/>
        </w:rPr>
      </w:pPr>
      <w:r w:rsidRPr="003908EB">
        <w:rPr>
          <w:rFonts w:ascii="Verdana" w:hAnsi="Verdana"/>
          <w:sz w:val="20"/>
          <w:szCs w:val="20"/>
          <w:lang w:val="es-CR"/>
        </w:rPr>
        <w:t xml:space="preserve">1.-Carlos Fernando </w:t>
      </w:r>
      <w:proofErr w:type="spellStart"/>
      <w:r w:rsidRPr="003908EB">
        <w:rPr>
          <w:rFonts w:ascii="Verdana" w:hAnsi="Verdana"/>
          <w:sz w:val="20"/>
          <w:szCs w:val="20"/>
          <w:lang w:val="es-CR"/>
        </w:rPr>
        <w:t>Chop</w:t>
      </w:r>
      <w:proofErr w:type="spellEnd"/>
      <w:r w:rsidRPr="003908EB">
        <w:rPr>
          <w:rFonts w:ascii="Verdana" w:hAnsi="Verdana"/>
          <w:sz w:val="20"/>
          <w:szCs w:val="20"/>
          <w:lang w:val="es-CR"/>
        </w:rPr>
        <w:t xml:space="preserve"> Chic,  2.-Santiago </w:t>
      </w:r>
      <w:proofErr w:type="spellStart"/>
      <w:r w:rsidRPr="003908EB">
        <w:rPr>
          <w:rFonts w:ascii="Verdana" w:hAnsi="Verdana"/>
          <w:sz w:val="20"/>
          <w:szCs w:val="20"/>
          <w:lang w:val="es-CR"/>
        </w:rPr>
        <w:t>Coc</w:t>
      </w:r>
      <w:proofErr w:type="spellEnd"/>
      <w:r w:rsidRPr="003908EB">
        <w:rPr>
          <w:rFonts w:ascii="Verdana" w:hAnsi="Verdana"/>
          <w:sz w:val="20"/>
          <w:szCs w:val="20"/>
          <w:lang w:val="es-CR"/>
        </w:rPr>
        <w:t xml:space="preserve">, y 3.-Maurilia </w:t>
      </w:r>
      <w:proofErr w:type="spellStart"/>
      <w:r w:rsidRPr="003908EB">
        <w:rPr>
          <w:rFonts w:ascii="Verdana" w:hAnsi="Verdana"/>
          <w:sz w:val="20"/>
          <w:szCs w:val="20"/>
          <w:lang w:val="es-CR"/>
        </w:rPr>
        <w:t>Coc</w:t>
      </w:r>
      <w:proofErr w:type="spellEnd"/>
      <w:r w:rsidRPr="003908EB">
        <w:rPr>
          <w:rFonts w:ascii="Verdana" w:hAnsi="Verdana"/>
          <w:sz w:val="20"/>
          <w:szCs w:val="20"/>
          <w:lang w:val="es-CR"/>
        </w:rPr>
        <w:t xml:space="preserve"> Max.</w:t>
      </w:r>
    </w:p>
    <w:p w:rsidR="003908EB" w:rsidRPr="00E8771A" w:rsidRDefault="003908EB" w:rsidP="00E8771A">
      <w:pPr>
        <w:spacing w:after="0" w:line="240" w:lineRule="auto"/>
        <w:jc w:val="both"/>
        <w:rPr>
          <w:rFonts w:ascii="Verdana" w:eastAsia="Batang" w:hAnsi="Verdana" w:cs="Times"/>
          <w:sz w:val="16"/>
          <w:szCs w:val="16"/>
          <w:lang w:val="es-CR" w:eastAsia="es-CR"/>
        </w:rPr>
      </w:pPr>
    </w:p>
    <w:p w:rsidR="003908EB" w:rsidRPr="003908EB" w:rsidRDefault="003908EB" w:rsidP="00606E62">
      <w:pPr>
        <w:jc w:val="center"/>
        <w:rPr>
          <w:rFonts w:ascii="Verdana" w:hAnsi="Verdana"/>
          <w:b/>
          <w:sz w:val="20"/>
          <w:szCs w:val="20"/>
          <w:lang w:val="es-CR"/>
        </w:rPr>
      </w:pPr>
    </w:p>
    <w:p w:rsidR="003908EB" w:rsidRPr="00E8771A" w:rsidRDefault="003908EB" w:rsidP="00E8771A">
      <w:pPr>
        <w:spacing w:after="0" w:line="240" w:lineRule="auto"/>
        <w:jc w:val="center"/>
        <w:rPr>
          <w:rFonts w:ascii="Verdana" w:eastAsia="Batang" w:hAnsi="Verdana" w:cs="Times"/>
          <w:b/>
          <w:sz w:val="20"/>
          <w:szCs w:val="20"/>
          <w:lang w:val="es-CR" w:eastAsia="es-CR"/>
        </w:rPr>
      </w:pPr>
      <w:r w:rsidRPr="00E8771A">
        <w:rPr>
          <w:rFonts w:ascii="Verdana" w:eastAsia="Batang" w:hAnsi="Verdana" w:cs="Times"/>
          <w:b/>
          <w:sz w:val="20"/>
          <w:szCs w:val="20"/>
          <w:lang w:val="es-CR" w:eastAsia="es-CR"/>
        </w:rPr>
        <w:t>B.5</w:t>
      </w:r>
    </w:p>
    <w:p w:rsidR="003908EB" w:rsidRPr="00E8771A" w:rsidRDefault="003908EB" w:rsidP="00E8771A">
      <w:pPr>
        <w:spacing w:after="0" w:line="240" w:lineRule="auto"/>
        <w:jc w:val="center"/>
        <w:rPr>
          <w:rFonts w:ascii="Verdana" w:eastAsia="Batang" w:hAnsi="Verdana" w:cs="Times"/>
          <w:b/>
          <w:sz w:val="20"/>
          <w:szCs w:val="20"/>
          <w:lang w:val="es-CR" w:eastAsia="es-CR"/>
        </w:rPr>
      </w:pPr>
      <w:r w:rsidRPr="00E8771A">
        <w:rPr>
          <w:rFonts w:ascii="Verdana" w:eastAsia="Batang" w:hAnsi="Verdana" w:cs="Times"/>
          <w:b/>
          <w:sz w:val="20"/>
          <w:szCs w:val="20"/>
          <w:lang w:val="es-CR" w:eastAsia="es-CR"/>
        </w:rPr>
        <w:t>PERSONAS VÍCTIMAS DE LA VIOLACIÓN AL DERECHO A LA INTEGRIDAD PERSONAL POR SU CONDICIÓN DE FAMILIARES DE PERSONAS FALLECIDAS (ARTÍCULOS 5 Y 1.1 DE LA CONVENCIÓN AMERICANA SOBRE DERECHOS HUMANOS)</w:t>
      </w:r>
    </w:p>
    <w:p w:rsidR="003908EB" w:rsidRPr="00E8771A" w:rsidRDefault="003908EB" w:rsidP="00E8771A">
      <w:pPr>
        <w:spacing w:after="0" w:line="240" w:lineRule="auto"/>
        <w:jc w:val="both"/>
        <w:rPr>
          <w:rFonts w:ascii="Verdana" w:eastAsia="Batang" w:hAnsi="Verdana" w:cs="Times"/>
          <w:sz w:val="16"/>
          <w:szCs w:val="16"/>
          <w:lang w:val="es-CR" w:eastAsia="es-CR"/>
        </w:rPr>
      </w:pPr>
    </w:p>
    <w:p w:rsidR="003908EB" w:rsidRPr="00E8771A" w:rsidRDefault="003908EB" w:rsidP="00E8771A">
      <w:pPr>
        <w:spacing w:after="0" w:line="240" w:lineRule="auto"/>
        <w:jc w:val="both"/>
        <w:rPr>
          <w:rFonts w:ascii="Verdana" w:eastAsia="Batang" w:hAnsi="Verdana" w:cs="Times"/>
          <w:sz w:val="16"/>
          <w:szCs w:val="16"/>
          <w:lang w:val="es-CR" w:eastAsia="es-CR"/>
        </w:rPr>
      </w:pPr>
    </w:p>
    <w:p w:rsidR="003908EB" w:rsidRPr="003908EB" w:rsidRDefault="003908EB" w:rsidP="00560BD9">
      <w:pPr>
        <w:spacing w:line="240" w:lineRule="auto"/>
        <w:jc w:val="both"/>
        <w:rPr>
          <w:rFonts w:ascii="Verdana" w:hAnsi="Verdana"/>
          <w:sz w:val="20"/>
          <w:szCs w:val="20"/>
          <w:lang w:val="es-CR"/>
        </w:rPr>
      </w:pPr>
      <w:r w:rsidRPr="003908EB">
        <w:rPr>
          <w:rFonts w:ascii="Verdana" w:hAnsi="Verdana"/>
          <w:sz w:val="20"/>
          <w:szCs w:val="20"/>
          <w:lang w:val="es-CR"/>
        </w:rPr>
        <w:t xml:space="preserve">A) </w:t>
      </w:r>
      <w:r w:rsidRPr="003908EB">
        <w:rPr>
          <w:rFonts w:ascii="Verdana" w:hAnsi="Verdana"/>
          <w:sz w:val="20"/>
          <w:szCs w:val="20"/>
          <w:u w:val="single"/>
          <w:lang w:val="es-CR"/>
        </w:rPr>
        <w:t xml:space="preserve">Familiares de Hilaria </w:t>
      </w:r>
      <w:proofErr w:type="spellStart"/>
      <w:r w:rsidRPr="003908EB">
        <w:rPr>
          <w:rFonts w:ascii="Verdana" w:hAnsi="Verdana"/>
          <w:sz w:val="20"/>
          <w:szCs w:val="20"/>
          <w:u w:val="single"/>
          <w:lang w:val="es-CR"/>
        </w:rPr>
        <w:t>Morente</w:t>
      </w:r>
      <w:proofErr w:type="spellEnd"/>
      <w:r w:rsidRPr="003908EB">
        <w:rPr>
          <w:rFonts w:ascii="Verdana" w:hAnsi="Verdana"/>
          <w:sz w:val="20"/>
          <w:szCs w:val="20"/>
          <w:u w:val="single"/>
          <w:lang w:val="es-CR"/>
        </w:rPr>
        <w:t xml:space="preserve"> de la Cruz (fallecida)</w:t>
      </w:r>
      <w:r w:rsidRPr="003908EB">
        <w:rPr>
          <w:rFonts w:ascii="Verdana" w:hAnsi="Verdana"/>
          <w:sz w:val="20"/>
          <w:szCs w:val="20"/>
          <w:lang w:val="es-CR"/>
        </w:rPr>
        <w:t xml:space="preserve">: 1.-José María Grave </w:t>
      </w:r>
      <w:r w:rsidRPr="003908EB">
        <w:rPr>
          <w:rFonts w:ascii="Verdana" w:hAnsi="Verdana" w:cs="Arial"/>
          <w:color w:val="222222"/>
          <w:sz w:val="20"/>
          <w:szCs w:val="20"/>
          <w:shd w:val="clear" w:color="auto" w:fill="FFFFFF"/>
          <w:lang w:val="es-CR"/>
        </w:rPr>
        <w:t>(e</w:t>
      </w:r>
      <w:r w:rsidRPr="003908EB">
        <w:rPr>
          <w:rFonts w:ascii="Verdana" w:hAnsi="Verdana"/>
          <w:sz w:val="20"/>
          <w:szCs w:val="20"/>
          <w:lang w:val="es-CR"/>
        </w:rPr>
        <w:t>sposo o conviviente</w:t>
      </w:r>
      <w:r w:rsidRPr="003908EB">
        <w:rPr>
          <w:rFonts w:ascii="Verdana" w:hAnsi="Verdana" w:cs="Arial"/>
          <w:color w:val="222222"/>
          <w:sz w:val="20"/>
          <w:szCs w:val="20"/>
          <w:shd w:val="clear" w:color="auto" w:fill="FFFFFF"/>
          <w:lang w:val="es-CR"/>
        </w:rPr>
        <w:t>); 2.-</w:t>
      </w:r>
      <w:r w:rsidRPr="003908EB">
        <w:rPr>
          <w:rFonts w:ascii="Verdana" w:hAnsi="Verdana"/>
          <w:sz w:val="20"/>
          <w:szCs w:val="20"/>
          <w:lang w:val="es-CR"/>
        </w:rPr>
        <w:t xml:space="preserve"> </w:t>
      </w:r>
      <w:proofErr w:type="spellStart"/>
      <w:r w:rsidRPr="003908EB">
        <w:rPr>
          <w:rFonts w:ascii="Verdana" w:hAnsi="Verdana"/>
          <w:sz w:val="20"/>
          <w:szCs w:val="20"/>
          <w:lang w:val="es-CR"/>
        </w:rPr>
        <w:t>Fermina</w:t>
      </w:r>
      <w:proofErr w:type="spellEnd"/>
      <w:r w:rsidRPr="003908EB">
        <w:rPr>
          <w:rFonts w:ascii="Verdana" w:hAnsi="Verdana"/>
          <w:sz w:val="20"/>
          <w:szCs w:val="20"/>
          <w:lang w:val="es-CR"/>
        </w:rPr>
        <w:t xml:space="preserve"> Grave </w:t>
      </w:r>
      <w:proofErr w:type="spellStart"/>
      <w:r w:rsidRPr="003908EB">
        <w:rPr>
          <w:rFonts w:ascii="Verdana" w:hAnsi="Verdana"/>
          <w:sz w:val="20"/>
          <w:szCs w:val="20"/>
          <w:lang w:val="es-CR"/>
        </w:rPr>
        <w:t>Morente</w:t>
      </w:r>
      <w:proofErr w:type="spellEnd"/>
      <w:r w:rsidRPr="003908EB">
        <w:rPr>
          <w:rFonts w:ascii="Verdana" w:hAnsi="Verdana"/>
          <w:sz w:val="20"/>
          <w:szCs w:val="20"/>
          <w:lang w:val="es-CR"/>
        </w:rPr>
        <w:t xml:space="preserve"> (hija</w:t>
      </w:r>
      <w:r w:rsidRPr="003908EB">
        <w:rPr>
          <w:rFonts w:ascii="Verdana" w:hAnsi="Verdana" w:cs="Arial"/>
          <w:color w:val="222222"/>
          <w:sz w:val="20"/>
          <w:szCs w:val="20"/>
          <w:shd w:val="clear" w:color="auto" w:fill="FFFFFF"/>
          <w:lang w:val="es-CR"/>
        </w:rPr>
        <w:t>)</w:t>
      </w:r>
      <w:r w:rsidRPr="003908EB">
        <w:rPr>
          <w:rFonts w:ascii="Verdana" w:hAnsi="Verdana"/>
          <w:sz w:val="20"/>
          <w:szCs w:val="20"/>
          <w:lang w:val="es-CR"/>
        </w:rPr>
        <w:t xml:space="preserve">; 3.-Marselo Grave </w:t>
      </w:r>
      <w:proofErr w:type="spellStart"/>
      <w:r w:rsidRPr="003908EB">
        <w:rPr>
          <w:rFonts w:ascii="Verdana" w:hAnsi="Verdana"/>
          <w:sz w:val="20"/>
          <w:szCs w:val="20"/>
          <w:lang w:val="es-CR"/>
        </w:rPr>
        <w:t>Morente</w:t>
      </w:r>
      <w:proofErr w:type="spellEnd"/>
      <w:r w:rsidRPr="003908EB">
        <w:rPr>
          <w:rFonts w:ascii="Verdana" w:hAnsi="Verdana"/>
          <w:sz w:val="20"/>
          <w:szCs w:val="20"/>
          <w:lang w:val="es-CR"/>
        </w:rPr>
        <w:t xml:space="preserve"> (hijo) 4.-Margarita Grave </w:t>
      </w:r>
      <w:proofErr w:type="spellStart"/>
      <w:r w:rsidRPr="003908EB">
        <w:rPr>
          <w:rFonts w:ascii="Verdana" w:hAnsi="Verdana"/>
          <w:sz w:val="20"/>
          <w:szCs w:val="20"/>
          <w:lang w:val="es-CR"/>
        </w:rPr>
        <w:t>Morente</w:t>
      </w:r>
      <w:proofErr w:type="spellEnd"/>
      <w:r w:rsidRPr="003908EB">
        <w:rPr>
          <w:rFonts w:ascii="Verdana" w:hAnsi="Verdana"/>
          <w:sz w:val="20"/>
          <w:szCs w:val="20"/>
          <w:lang w:val="es-CR"/>
        </w:rPr>
        <w:t xml:space="preserve"> (hija), 5.-Cristina Grave </w:t>
      </w:r>
      <w:proofErr w:type="spellStart"/>
      <w:r w:rsidRPr="003908EB">
        <w:rPr>
          <w:rFonts w:ascii="Verdana" w:hAnsi="Verdana"/>
          <w:sz w:val="20"/>
          <w:szCs w:val="20"/>
          <w:lang w:val="es-CR"/>
        </w:rPr>
        <w:t>Morente</w:t>
      </w:r>
      <w:proofErr w:type="spellEnd"/>
      <w:r w:rsidRPr="003908EB">
        <w:rPr>
          <w:rFonts w:ascii="Verdana" w:hAnsi="Verdana"/>
          <w:sz w:val="20"/>
          <w:szCs w:val="20"/>
          <w:lang w:val="es-CR"/>
        </w:rPr>
        <w:t xml:space="preserve"> (hija), 6.- Efraín Grave </w:t>
      </w:r>
      <w:proofErr w:type="spellStart"/>
      <w:r w:rsidRPr="003908EB">
        <w:rPr>
          <w:rFonts w:ascii="Verdana" w:hAnsi="Verdana"/>
          <w:sz w:val="20"/>
          <w:szCs w:val="20"/>
          <w:lang w:val="es-CR"/>
        </w:rPr>
        <w:t>Morente</w:t>
      </w:r>
      <w:proofErr w:type="spellEnd"/>
      <w:r w:rsidRPr="003908EB">
        <w:rPr>
          <w:rFonts w:ascii="Verdana" w:hAnsi="Verdana"/>
          <w:sz w:val="20"/>
          <w:szCs w:val="20"/>
          <w:lang w:val="es-CR"/>
        </w:rPr>
        <w:t xml:space="preserve"> (hijo), y 7.- Tomás Grave </w:t>
      </w:r>
      <w:proofErr w:type="spellStart"/>
      <w:r w:rsidRPr="003908EB">
        <w:rPr>
          <w:rFonts w:ascii="Verdana" w:hAnsi="Verdana"/>
          <w:sz w:val="20"/>
          <w:szCs w:val="20"/>
          <w:lang w:val="es-CR"/>
        </w:rPr>
        <w:t>Morente</w:t>
      </w:r>
      <w:proofErr w:type="spellEnd"/>
      <w:r w:rsidRPr="003908EB">
        <w:rPr>
          <w:rFonts w:ascii="Verdana" w:hAnsi="Verdana"/>
          <w:sz w:val="20"/>
          <w:szCs w:val="20"/>
          <w:lang w:val="es-CR"/>
        </w:rPr>
        <w:t xml:space="preserve"> (hijo). </w:t>
      </w:r>
    </w:p>
    <w:p w:rsidR="003908EB" w:rsidRPr="003908EB" w:rsidRDefault="003908EB" w:rsidP="00560BD9">
      <w:pPr>
        <w:spacing w:line="240" w:lineRule="auto"/>
        <w:jc w:val="both"/>
        <w:rPr>
          <w:rFonts w:ascii="Verdana" w:hAnsi="Verdana"/>
          <w:sz w:val="20"/>
          <w:szCs w:val="20"/>
          <w:lang w:val="es-CR"/>
        </w:rPr>
      </w:pPr>
      <w:r w:rsidRPr="003908EB">
        <w:rPr>
          <w:rFonts w:ascii="Verdana" w:hAnsi="Verdana"/>
          <w:sz w:val="20"/>
          <w:szCs w:val="20"/>
          <w:lang w:val="es-CR"/>
        </w:rPr>
        <w:t xml:space="preserve">B) </w:t>
      </w:r>
      <w:r w:rsidRPr="003908EB">
        <w:rPr>
          <w:rFonts w:ascii="Verdana" w:hAnsi="Verdana"/>
          <w:sz w:val="20"/>
          <w:szCs w:val="20"/>
          <w:u w:val="single"/>
          <w:lang w:val="es-CR"/>
        </w:rPr>
        <w:t xml:space="preserve">Familiares de Carlos Fernando </w:t>
      </w:r>
      <w:proofErr w:type="spellStart"/>
      <w:r w:rsidRPr="003908EB">
        <w:rPr>
          <w:rFonts w:ascii="Verdana" w:hAnsi="Verdana"/>
          <w:sz w:val="20"/>
          <w:szCs w:val="20"/>
          <w:u w:val="single"/>
          <w:lang w:val="es-CR"/>
        </w:rPr>
        <w:t>Chop</w:t>
      </w:r>
      <w:proofErr w:type="spellEnd"/>
      <w:r w:rsidRPr="003908EB">
        <w:rPr>
          <w:rFonts w:ascii="Verdana" w:hAnsi="Verdana"/>
          <w:sz w:val="20"/>
          <w:szCs w:val="20"/>
          <w:u w:val="single"/>
          <w:lang w:val="es-CR"/>
        </w:rPr>
        <w:t xml:space="preserve"> Chic</w:t>
      </w:r>
      <w:r w:rsidRPr="003908EB">
        <w:rPr>
          <w:rFonts w:ascii="Verdana" w:hAnsi="Verdana"/>
          <w:sz w:val="20"/>
          <w:szCs w:val="20"/>
          <w:lang w:val="es-CR"/>
        </w:rPr>
        <w:t xml:space="preserve"> (niño fallecido): 8.-Anastacio </w:t>
      </w:r>
      <w:proofErr w:type="spellStart"/>
      <w:r w:rsidRPr="003908EB">
        <w:rPr>
          <w:rFonts w:ascii="Verdana" w:hAnsi="Verdana"/>
          <w:sz w:val="20"/>
          <w:szCs w:val="20"/>
          <w:lang w:val="es-CR"/>
        </w:rPr>
        <w:t>Chop</w:t>
      </w:r>
      <w:proofErr w:type="spellEnd"/>
      <w:r w:rsidRPr="003908EB">
        <w:rPr>
          <w:rFonts w:ascii="Verdana" w:hAnsi="Verdana"/>
          <w:sz w:val="20"/>
          <w:szCs w:val="20"/>
          <w:lang w:val="es-CR"/>
        </w:rPr>
        <w:t xml:space="preserve"> García y 9.-Daniela Catarina Chic López (madre). </w:t>
      </w:r>
      <w:r w:rsidRPr="003908EB">
        <w:rPr>
          <w:rFonts w:ascii="Verdana" w:hAnsi="Verdana"/>
          <w:sz w:val="20"/>
          <w:szCs w:val="20"/>
          <w:lang w:val="es-CR"/>
        </w:rPr>
        <w:tab/>
      </w:r>
    </w:p>
    <w:p w:rsidR="003908EB" w:rsidRPr="003908EB" w:rsidRDefault="003908EB" w:rsidP="00560BD9">
      <w:pPr>
        <w:spacing w:line="240" w:lineRule="auto"/>
        <w:jc w:val="both"/>
        <w:rPr>
          <w:rFonts w:ascii="Verdana" w:hAnsi="Verdana"/>
          <w:sz w:val="20"/>
          <w:szCs w:val="20"/>
          <w:lang w:val="es-CR"/>
        </w:rPr>
      </w:pPr>
      <w:r w:rsidRPr="003908EB">
        <w:rPr>
          <w:rFonts w:ascii="Verdana" w:hAnsi="Verdana"/>
          <w:sz w:val="20"/>
          <w:szCs w:val="20"/>
          <w:lang w:val="es-CR"/>
        </w:rPr>
        <w:t xml:space="preserve">C) </w:t>
      </w:r>
      <w:r w:rsidRPr="003908EB">
        <w:rPr>
          <w:rFonts w:ascii="Verdana" w:hAnsi="Verdana"/>
          <w:sz w:val="20"/>
          <w:szCs w:val="20"/>
          <w:u w:val="single"/>
          <w:lang w:val="es-CR"/>
        </w:rPr>
        <w:t>Familiares de Pedro Medina Sánchez</w:t>
      </w:r>
      <w:r w:rsidRPr="003908EB">
        <w:rPr>
          <w:rFonts w:ascii="Verdana" w:hAnsi="Verdana"/>
          <w:sz w:val="20"/>
          <w:szCs w:val="20"/>
          <w:lang w:val="es-CR"/>
        </w:rPr>
        <w:t xml:space="preserve"> (fallecido): 10.-Manuela Toma Sánchez (esposa o conviviente); 11.-María Medina Toma </w:t>
      </w:r>
      <w:r w:rsidRPr="003908EB">
        <w:rPr>
          <w:rFonts w:ascii="Verdana" w:hAnsi="Verdana" w:cs="Arial"/>
          <w:color w:val="222222"/>
          <w:sz w:val="20"/>
          <w:szCs w:val="20"/>
          <w:shd w:val="clear" w:color="auto" w:fill="FFFFFF"/>
          <w:lang w:val="es-CR"/>
        </w:rPr>
        <w:t>(h</w:t>
      </w:r>
      <w:r w:rsidRPr="003908EB">
        <w:rPr>
          <w:rFonts w:ascii="Verdana" w:hAnsi="Verdana"/>
          <w:sz w:val="20"/>
          <w:szCs w:val="20"/>
          <w:lang w:val="es-CR"/>
        </w:rPr>
        <w:t>ija</w:t>
      </w:r>
      <w:r w:rsidRPr="003908EB">
        <w:rPr>
          <w:rFonts w:ascii="Verdana" w:hAnsi="Verdana" w:cs="Arial"/>
          <w:color w:val="222222"/>
          <w:sz w:val="20"/>
          <w:szCs w:val="20"/>
          <w:shd w:val="clear" w:color="auto" w:fill="FFFFFF"/>
          <w:lang w:val="es-CR"/>
        </w:rPr>
        <w:t>);</w:t>
      </w:r>
      <w:r w:rsidRPr="003908EB">
        <w:rPr>
          <w:rFonts w:ascii="Verdana" w:hAnsi="Verdana"/>
          <w:sz w:val="20"/>
          <w:szCs w:val="20"/>
          <w:lang w:val="es-CR"/>
        </w:rPr>
        <w:t xml:space="preserve"> 12.-Antonio Medina Toma (hijo); 13.-Domingo Medina Toma (hijo); 14.-Diego Medina Toma (hijo); 15.-Pedro Medina Toma (hijo); 16.-Antonio Medina Toma (hijo); 17.-Teresa Medina Toma (hija); 18.-Joel Medina Toma (hijo); 19.-Carlos Medina Toma (hijo), y 20.- Juan Medina Toma (hijo).</w:t>
      </w:r>
    </w:p>
    <w:p w:rsidR="003908EB" w:rsidRPr="003908EB" w:rsidRDefault="003908EB" w:rsidP="00560BD9">
      <w:pPr>
        <w:spacing w:line="240" w:lineRule="auto"/>
        <w:jc w:val="both"/>
        <w:rPr>
          <w:rFonts w:ascii="Verdana" w:hAnsi="Verdana"/>
          <w:sz w:val="20"/>
          <w:szCs w:val="20"/>
          <w:lang w:val="es-CR"/>
        </w:rPr>
      </w:pPr>
      <w:r w:rsidRPr="003908EB">
        <w:rPr>
          <w:rFonts w:ascii="Verdana" w:hAnsi="Verdana"/>
          <w:sz w:val="20"/>
          <w:szCs w:val="20"/>
          <w:lang w:val="es-CR"/>
        </w:rPr>
        <w:t xml:space="preserve"> D) </w:t>
      </w:r>
      <w:r w:rsidRPr="003908EB">
        <w:rPr>
          <w:rFonts w:ascii="Verdana" w:hAnsi="Verdana"/>
          <w:sz w:val="20"/>
          <w:szCs w:val="20"/>
          <w:u w:val="single"/>
          <w:lang w:val="es-CR"/>
        </w:rPr>
        <w:t>Familiares de Abel Ramírez Pérez</w:t>
      </w:r>
      <w:r w:rsidRPr="003908EB">
        <w:rPr>
          <w:rFonts w:ascii="Verdana" w:hAnsi="Verdana"/>
          <w:sz w:val="20"/>
          <w:szCs w:val="20"/>
          <w:lang w:val="es-CR"/>
        </w:rPr>
        <w:t xml:space="preserve"> (fallecido): 21.-Atilana Hernández (esposa o conviviente); 22.-Mario Alberto Ramírez Hernández (hijo); 23.-Fabiana Ramírez Hernández (hija); 24.-Juan Ramírez Hernández (hijo); 25.-José Ramírez Hernández (hijo); 26.-Marcos Ramírez Hernández (hijo); 27.-María Alicia Ramírez Hernández (hija), y 28.- Roberto Rafael Ramírez Hernández (hijo). </w:t>
      </w:r>
    </w:p>
    <w:p w:rsidR="003908EB" w:rsidRPr="003908EB" w:rsidRDefault="003908EB" w:rsidP="00560BD9">
      <w:pPr>
        <w:spacing w:line="240" w:lineRule="auto"/>
        <w:jc w:val="both"/>
        <w:rPr>
          <w:rFonts w:ascii="Verdana" w:hAnsi="Verdana"/>
          <w:sz w:val="20"/>
          <w:szCs w:val="20"/>
          <w:lang w:val="es-CR"/>
        </w:rPr>
      </w:pPr>
      <w:r w:rsidRPr="003908EB">
        <w:rPr>
          <w:rFonts w:ascii="Verdana" w:hAnsi="Verdana"/>
          <w:sz w:val="20"/>
          <w:szCs w:val="20"/>
          <w:lang w:val="es-CR"/>
        </w:rPr>
        <w:t xml:space="preserve">E) </w:t>
      </w:r>
      <w:r w:rsidRPr="003908EB">
        <w:rPr>
          <w:rFonts w:ascii="Verdana" w:hAnsi="Verdana"/>
          <w:sz w:val="20"/>
          <w:szCs w:val="20"/>
          <w:u w:val="single"/>
          <w:lang w:val="es-CR"/>
        </w:rPr>
        <w:t>Familiar de Manuela Mateo Antonio</w:t>
      </w:r>
      <w:r w:rsidRPr="003908EB">
        <w:rPr>
          <w:rFonts w:ascii="Verdana" w:hAnsi="Verdana"/>
          <w:sz w:val="20"/>
          <w:szCs w:val="20"/>
          <w:lang w:val="es-CR"/>
        </w:rPr>
        <w:t xml:space="preserve"> (fallecida): 29.-Ramón Mateo (padre), y 30.- Eulalia Antonio (madre). </w:t>
      </w:r>
    </w:p>
    <w:p w:rsidR="003908EB" w:rsidRPr="003908EB" w:rsidRDefault="003908EB" w:rsidP="00560BD9">
      <w:pPr>
        <w:spacing w:line="240" w:lineRule="auto"/>
        <w:jc w:val="both"/>
        <w:rPr>
          <w:rFonts w:ascii="Verdana" w:hAnsi="Verdana"/>
          <w:sz w:val="20"/>
          <w:szCs w:val="20"/>
          <w:lang w:val="es-CR"/>
        </w:rPr>
      </w:pPr>
      <w:r w:rsidRPr="003908EB">
        <w:rPr>
          <w:rFonts w:ascii="Verdana" w:hAnsi="Verdana"/>
          <w:sz w:val="20"/>
          <w:szCs w:val="20"/>
          <w:lang w:val="es-CR"/>
        </w:rPr>
        <w:t xml:space="preserve">F) </w:t>
      </w:r>
      <w:r w:rsidRPr="003908EB">
        <w:rPr>
          <w:rFonts w:ascii="Verdana" w:hAnsi="Verdana"/>
          <w:sz w:val="20"/>
          <w:szCs w:val="20"/>
          <w:u w:val="single"/>
          <w:lang w:val="es-CR"/>
        </w:rPr>
        <w:t>Familiares de Juana Jacinto Felipe</w:t>
      </w:r>
      <w:r w:rsidRPr="003908EB">
        <w:rPr>
          <w:rFonts w:ascii="Verdana" w:hAnsi="Verdana"/>
          <w:sz w:val="20"/>
          <w:szCs w:val="20"/>
          <w:lang w:val="es-CR"/>
        </w:rPr>
        <w:t xml:space="preserve"> (fallecida): 31.- Florinda Sales Jacinto (hija) y 32.-Adelina Sales Jacinto (hija). </w:t>
      </w:r>
    </w:p>
    <w:p w:rsidR="003908EB" w:rsidRPr="00E8771A" w:rsidRDefault="003908EB" w:rsidP="00560BD9">
      <w:pPr>
        <w:spacing w:line="240" w:lineRule="auto"/>
        <w:jc w:val="both"/>
        <w:rPr>
          <w:rFonts w:ascii="Verdana" w:hAnsi="Verdana"/>
          <w:sz w:val="16"/>
          <w:szCs w:val="20"/>
          <w:lang w:val="es-CR"/>
        </w:rPr>
      </w:pPr>
      <w:r w:rsidRPr="003908EB">
        <w:rPr>
          <w:rFonts w:ascii="Verdana" w:hAnsi="Verdana"/>
          <w:sz w:val="20"/>
          <w:szCs w:val="20"/>
          <w:lang w:val="es-CR"/>
        </w:rPr>
        <w:t xml:space="preserve">G) </w:t>
      </w:r>
      <w:r w:rsidRPr="003908EB">
        <w:rPr>
          <w:rFonts w:ascii="Verdana" w:hAnsi="Verdana"/>
          <w:sz w:val="20"/>
          <w:szCs w:val="20"/>
          <w:u w:val="single"/>
          <w:lang w:val="es-CR"/>
        </w:rPr>
        <w:t>Familiares de Pedro Diego Andrés</w:t>
      </w:r>
      <w:r w:rsidRPr="003908EB">
        <w:rPr>
          <w:rFonts w:ascii="Verdana" w:hAnsi="Verdana"/>
          <w:sz w:val="20"/>
          <w:szCs w:val="20"/>
          <w:lang w:val="es-CR"/>
        </w:rPr>
        <w:t xml:space="preserve"> (fallecido): 33.- Petrona Miguel Mendez (esposa o conviviente); 34.-Angelina Diego Miguel (hija); 35.-Andrés Diego Miguel (hijo); 36-Lucía Diego Miguel (hija), y 37.-Diego Diego Miguel (hijo). </w:t>
      </w:r>
    </w:p>
    <w:p w:rsidR="003908EB" w:rsidRPr="00E8771A" w:rsidRDefault="003908EB" w:rsidP="00560BD9">
      <w:pPr>
        <w:spacing w:line="240" w:lineRule="auto"/>
        <w:jc w:val="both"/>
        <w:rPr>
          <w:rFonts w:ascii="Verdana" w:hAnsi="Verdana"/>
          <w:sz w:val="16"/>
          <w:szCs w:val="20"/>
          <w:lang w:val="es-CR"/>
        </w:rPr>
      </w:pPr>
      <w:r w:rsidRPr="003908EB">
        <w:rPr>
          <w:rFonts w:ascii="Verdana" w:hAnsi="Verdana"/>
          <w:sz w:val="20"/>
          <w:szCs w:val="20"/>
          <w:lang w:val="es-CR"/>
        </w:rPr>
        <w:t xml:space="preserve">H) </w:t>
      </w:r>
      <w:r w:rsidRPr="003908EB">
        <w:rPr>
          <w:rFonts w:ascii="Verdana" w:hAnsi="Verdana"/>
          <w:sz w:val="20"/>
          <w:szCs w:val="20"/>
          <w:u w:val="single"/>
          <w:lang w:val="es-CR"/>
        </w:rPr>
        <w:t xml:space="preserve">Familiares de </w:t>
      </w:r>
      <w:proofErr w:type="spellStart"/>
      <w:r w:rsidRPr="003908EB">
        <w:rPr>
          <w:rFonts w:ascii="Verdana" w:hAnsi="Verdana"/>
          <w:sz w:val="20"/>
          <w:szCs w:val="20"/>
          <w:u w:val="single"/>
          <w:lang w:val="es-CR"/>
        </w:rPr>
        <w:t>Maurilia</w:t>
      </w:r>
      <w:proofErr w:type="spellEnd"/>
      <w:r w:rsidRPr="003908EB">
        <w:rPr>
          <w:rFonts w:ascii="Verdana" w:hAnsi="Verdana"/>
          <w:sz w:val="20"/>
          <w:szCs w:val="20"/>
          <w:u w:val="single"/>
          <w:lang w:val="es-CR"/>
        </w:rPr>
        <w:t xml:space="preserve"> </w:t>
      </w:r>
      <w:proofErr w:type="spellStart"/>
      <w:r w:rsidRPr="003908EB">
        <w:rPr>
          <w:rFonts w:ascii="Verdana" w:hAnsi="Verdana"/>
          <w:sz w:val="20"/>
          <w:szCs w:val="20"/>
          <w:u w:val="single"/>
          <w:lang w:val="es-CR"/>
        </w:rPr>
        <w:t>Coc</w:t>
      </w:r>
      <w:proofErr w:type="spellEnd"/>
      <w:r w:rsidRPr="003908EB">
        <w:rPr>
          <w:rFonts w:ascii="Verdana" w:hAnsi="Verdana"/>
          <w:sz w:val="20"/>
          <w:szCs w:val="20"/>
          <w:u w:val="single"/>
          <w:lang w:val="es-CR"/>
        </w:rPr>
        <w:t xml:space="preserve"> Max</w:t>
      </w:r>
      <w:r w:rsidRPr="003908EB">
        <w:rPr>
          <w:rFonts w:ascii="Verdana" w:hAnsi="Verdana"/>
          <w:sz w:val="20"/>
          <w:szCs w:val="20"/>
          <w:lang w:val="es-CR"/>
        </w:rPr>
        <w:t xml:space="preserve"> (niña fallecida): 38.-Pedro </w:t>
      </w:r>
      <w:proofErr w:type="spellStart"/>
      <w:r w:rsidRPr="003908EB">
        <w:rPr>
          <w:rFonts w:ascii="Verdana" w:hAnsi="Verdana"/>
          <w:sz w:val="20"/>
          <w:szCs w:val="20"/>
          <w:lang w:val="es-CR"/>
        </w:rPr>
        <w:t>Coc</w:t>
      </w:r>
      <w:proofErr w:type="spellEnd"/>
      <w:r w:rsidRPr="003908EB">
        <w:rPr>
          <w:rFonts w:ascii="Verdana" w:hAnsi="Verdana"/>
          <w:sz w:val="20"/>
          <w:szCs w:val="20"/>
          <w:lang w:val="es-CR"/>
        </w:rPr>
        <w:t xml:space="preserve"> </w:t>
      </w:r>
      <w:proofErr w:type="spellStart"/>
      <w:r w:rsidRPr="003908EB">
        <w:rPr>
          <w:rFonts w:ascii="Verdana" w:hAnsi="Verdana"/>
          <w:sz w:val="20"/>
          <w:szCs w:val="20"/>
          <w:lang w:val="es-CR"/>
        </w:rPr>
        <w:t>Chén</w:t>
      </w:r>
      <w:proofErr w:type="spellEnd"/>
      <w:r w:rsidRPr="003908EB">
        <w:rPr>
          <w:rFonts w:ascii="Verdana" w:hAnsi="Verdana"/>
          <w:sz w:val="20"/>
          <w:szCs w:val="20"/>
          <w:lang w:val="es-CR"/>
        </w:rPr>
        <w:t xml:space="preserve"> (padre) y 39.- Victoria Max </w:t>
      </w:r>
      <w:proofErr w:type="spellStart"/>
      <w:r w:rsidRPr="003908EB">
        <w:rPr>
          <w:rFonts w:ascii="Verdana" w:hAnsi="Verdana"/>
          <w:sz w:val="20"/>
          <w:szCs w:val="20"/>
          <w:lang w:val="es-CR"/>
        </w:rPr>
        <w:t>Yat</w:t>
      </w:r>
      <w:proofErr w:type="spellEnd"/>
      <w:r w:rsidRPr="003908EB">
        <w:rPr>
          <w:rFonts w:ascii="Verdana" w:hAnsi="Verdana"/>
          <w:sz w:val="20"/>
          <w:szCs w:val="20"/>
          <w:lang w:val="es-CR"/>
        </w:rPr>
        <w:t xml:space="preserve"> (madre). </w:t>
      </w:r>
    </w:p>
    <w:p w:rsidR="003908EB" w:rsidRPr="00E8771A" w:rsidRDefault="003908EB" w:rsidP="00560BD9">
      <w:pPr>
        <w:spacing w:line="240" w:lineRule="auto"/>
        <w:jc w:val="both"/>
        <w:rPr>
          <w:rFonts w:ascii="Verdana" w:hAnsi="Verdana"/>
          <w:sz w:val="16"/>
          <w:szCs w:val="20"/>
          <w:lang w:val="es-CR"/>
        </w:rPr>
      </w:pPr>
      <w:r w:rsidRPr="003908EB">
        <w:rPr>
          <w:rFonts w:ascii="Verdana" w:hAnsi="Verdana"/>
          <w:sz w:val="20"/>
          <w:szCs w:val="20"/>
          <w:lang w:val="es-CR"/>
        </w:rPr>
        <w:t xml:space="preserve">I) </w:t>
      </w:r>
      <w:r w:rsidRPr="003908EB">
        <w:rPr>
          <w:rFonts w:ascii="Verdana" w:hAnsi="Verdana"/>
          <w:sz w:val="20"/>
          <w:szCs w:val="20"/>
          <w:u w:val="single"/>
          <w:lang w:val="es-CR"/>
        </w:rPr>
        <w:t xml:space="preserve">Familiares de Pablo </w:t>
      </w:r>
      <w:proofErr w:type="spellStart"/>
      <w:r w:rsidRPr="003908EB">
        <w:rPr>
          <w:rFonts w:ascii="Verdana" w:hAnsi="Verdana"/>
          <w:sz w:val="20"/>
          <w:szCs w:val="20"/>
          <w:u w:val="single"/>
          <w:lang w:val="es-CR"/>
        </w:rPr>
        <w:t>Coc</w:t>
      </w:r>
      <w:proofErr w:type="spellEnd"/>
      <w:r w:rsidRPr="003908EB">
        <w:rPr>
          <w:rFonts w:ascii="Verdana" w:hAnsi="Verdana"/>
          <w:sz w:val="20"/>
          <w:szCs w:val="20"/>
          <w:u w:val="single"/>
          <w:lang w:val="es-CR"/>
        </w:rPr>
        <w:t xml:space="preserve"> </w:t>
      </w:r>
      <w:proofErr w:type="spellStart"/>
      <w:r w:rsidRPr="003908EB">
        <w:rPr>
          <w:rFonts w:ascii="Verdana" w:hAnsi="Verdana"/>
          <w:sz w:val="20"/>
          <w:szCs w:val="20"/>
          <w:u w:val="single"/>
          <w:lang w:val="es-CR"/>
        </w:rPr>
        <w:t>Coc</w:t>
      </w:r>
      <w:proofErr w:type="spellEnd"/>
      <w:r w:rsidRPr="003908EB">
        <w:rPr>
          <w:rFonts w:ascii="Verdana" w:hAnsi="Verdana"/>
          <w:sz w:val="20"/>
          <w:szCs w:val="20"/>
          <w:lang w:val="es-CR"/>
        </w:rPr>
        <w:t xml:space="preserve"> (fallecido): 40.- Feliciana </w:t>
      </w:r>
      <w:proofErr w:type="spellStart"/>
      <w:r w:rsidRPr="003908EB">
        <w:rPr>
          <w:rFonts w:ascii="Verdana" w:hAnsi="Verdana"/>
          <w:sz w:val="20"/>
          <w:szCs w:val="20"/>
          <w:lang w:val="es-CR"/>
        </w:rPr>
        <w:t>Cajbón</w:t>
      </w:r>
      <w:proofErr w:type="spellEnd"/>
      <w:r w:rsidRPr="003908EB">
        <w:rPr>
          <w:rFonts w:ascii="Verdana" w:hAnsi="Verdana"/>
          <w:sz w:val="20"/>
          <w:szCs w:val="20"/>
          <w:lang w:val="es-CR"/>
        </w:rPr>
        <w:t xml:space="preserve"> </w:t>
      </w:r>
      <w:proofErr w:type="spellStart"/>
      <w:r w:rsidRPr="003908EB">
        <w:rPr>
          <w:rFonts w:ascii="Verdana" w:hAnsi="Verdana"/>
          <w:sz w:val="20"/>
          <w:szCs w:val="20"/>
          <w:lang w:val="es-CR"/>
        </w:rPr>
        <w:t>Hu</w:t>
      </w:r>
      <w:proofErr w:type="spellEnd"/>
      <w:r w:rsidRPr="003908EB">
        <w:rPr>
          <w:rFonts w:ascii="Verdana" w:hAnsi="Verdana"/>
          <w:sz w:val="20"/>
          <w:szCs w:val="20"/>
          <w:lang w:val="es-CR"/>
        </w:rPr>
        <w:t xml:space="preserve"> (esposa o conviviente); 41.- María </w:t>
      </w:r>
      <w:proofErr w:type="spellStart"/>
      <w:r w:rsidRPr="003908EB">
        <w:rPr>
          <w:rFonts w:ascii="Verdana" w:hAnsi="Verdana"/>
          <w:sz w:val="20"/>
          <w:szCs w:val="20"/>
          <w:lang w:val="es-CR"/>
        </w:rPr>
        <w:t>Coc</w:t>
      </w:r>
      <w:proofErr w:type="spellEnd"/>
      <w:r w:rsidRPr="003908EB">
        <w:rPr>
          <w:rFonts w:ascii="Verdana" w:hAnsi="Verdana"/>
          <w:sz w:val="20"/>
          <w:szCs w:val="20"/>
          <w:lang w:val="es-CR"/>
        </w:rPr>
        <w:t xml:space="preserve"> </w:t>
      </w:r>
      <w:proofErr w:type="spellStart"/>
      <w:r w:rsidRPr="003908EB">
        <w:rPr>
          <w:rFonts w:ascii="Verdana" w:hAnsi="Verdana"/>
          <w:sz w:val="20"/>
          <w:szCs w:val="20"/>
          <w:lang w:val="es-CR"/>
        </w:rPr>
        <w:t>Cajbón</w:t>
      </w:r>
      <w:proofErr w:type="spellEnd"/>
      <w:r w:rsidRPr="003908EB">
        <w:rPr>
          <w:rFonts w:ascii="Verdana" w:hAnsi="Verdana"/>
          <w:sz w:val="20"/>
          <w:szCs w:val="20"/>
          <w:lang w:val="es-CR"/>
        </w:rPr>
        <w:t xml:space="preserve"> (hija); 42.- José </w:t>
      </w:r>
      <w:proofErr w:type="spellStart"/>
      <w:r w:rsidRPr="003908EB">
        <w:rPr>
          <w:rFonts w:ascii="Verdana" w:hAnsi="Verdana"/>
          <w:sz w:val="20"/>
          <w:szCs w:val="20"/>
          <w:lang w:val="es-CR"/>
        </w:rPr>
        <w:t>Coc</w:t>
      </w:r>
      <w:proofErr w:type="spellEnd"/>
      <w:r w:rsidRPr="003908EB">
        <w:rPr>
          <w:rFonts w:ascii="Verdana" w:hAnsi="Verdana"/>
          <w:sz w:val="20"/>
          <w:szCs w:val="20"/>
          <w:lang w:val="es-CR"/>
        </w:rPr>
        <w:t xml:space="preserve"> </w:t>
      </w:r>
      <w:proofErr w:type="spellStart"/>
      <w:r w:rsidRPr="003908EB">
        <w:rPr>
          <w:rFonts w:ascii="Verdana" w:hAnsi="Verdana"/>
          <w:sz w:val="20"/>
          <w:szCs w:val="20"/>
          <w:lang w:val="es-CR"/>
        </w:rPr>
        <w:t>Cajbón</w:t>
      </w:r>
      <w:proofErr w:type="spellEnd"/>
      <w:r w:rsidRPr="003908EB">
        <w:rPr>
          <w:rFonts w:ascii="Verdana" w:hAnsi="Verdana"/>
          <w:sz w:val="20"/>
          <w:szCs w:val="20"/>
          <w:lang w:val="es-CR"/>
        </w:rPr>
        <w:t xml:space="preserve"> (hijo); 43.- </w:t>
      </w:r>
      <w:proofErr w:type="spellStart"/>
      <w:r w:rsidRPr="003908EB">
        <w:rPr>
          <w:rFonts w:ascii="Verdana" w:hAnsi="Verdana"/>
          <w:sz w:val="20"/>
          <w:szCs w:val="20"/>
          <w:lang w:val="es-CR"/>
        </w:rPr>
        <w:t>Anastacia</w:t>
      </w:r>
      <w:proofErr w:type="spellEnd"/>
      <w:r w:rsidRPr="003908EB">
        <w:rPr>
          <w:rFonts w:ascii="Verdana" w:hAnsi="Verdana"/>
          <w:sz w:val="20"/>
          <w:szCs w:val="20"/>
          <w:lang w:val="es-CR"/>
        </w:rPr>
        <w:t xml:space="preserve"> </w:t>
      </w:r>
      <w:proofErr w:type="spellStart"/>
      <w:r w:rsidRPr="003908EB">
        <w:rPr>
          <w:rFonts w:ascii="Verdana" w:hAnsi="Verdana"/>
          <w:sz w:val="20"/>
          <w:szCs w:val="20"/>
          <w:lang w:val="es-CR"/>
        </w:rPr>
        <w:t>Coc</w:t>
      </w:r>
      <w:proofErr w:type="spellEnd"/>
      <w:r w:rsidRPr="003908EB">
        <w:rPr>
          <w:rFonts w:ascii="Verdana" w:hAnsi="Verdana"/>
          <w:sz w:val="20"/>
          <w:szCs w:val="20"/>
          <w:lang w:val="es-CR"/>
        </w:rPr>
        <w:t xml:space="preserve"> </w:t>
      </w:r>
      <w:proofErr w:type="spellStart"/>
      <w:r w:rsidRPr="003908EB">
        <w:rPr>
          <w:rFonts w:ascii="Verdana" w:hAnsi="Verdana"/>
          <w:sz w:val="20"/>
          <w:szCs w:val="20"/>
          <w:lang w:val="es-CR"/>
        </w:rPr>
        <w:t>Cajbón</w:t>
      </w:r>
      <w:proofErr w:type="spellEnd"/>
      <w:r w:rsidRPr="003908EB">
        <w:rPr>
          <w:rFonts w:ascii="Verdana" w:hAnsi="Verdana"/>
          <w:sz w:val="20"/>
          <w:szCs w:val="20"/>
          <w:lang w:val="es-CR"/>
        </w:rPr>
        <w:t xml:space="preserve"> (hija); 44.-Petrona </w:t>
      </w:r>
      <w:proofErr w:type="spellStart"/>
      <w:r w:rsidRPr="003908EB">
        <w:rPr>
          <w:rFonts w:ascii="Verdana" w:hAnsi="Verdana"/>
          <w:sz w:val="20"/>
          <w:szCs w:val="20"/>
          <w:lang w:val="es-CR"/>
        </w:rPr>
        <w:t>Coc</w:t>
      </w:r>
      <w:proofErr w:type="spellEnd"/>
      <w:r w:rsidRPr="003908EB">
        <w:rPr>
          <w:rFonts w:ascii="Verdana" w:hAnsi="Verdana"/>
          <w:sz w:val="20"/>
          <w:szCs w:val="20"/>
          <w:lang w:val="es-CR"/>
        </w:rPr>
        <w:t xml:space="preserve"> </w:t>
      </w:r>
      <w:proofErr w:type="spellStart"/>
      <w:r w:rsidRPr="003908EB">
        <w:rPr>
          <w:rFonts w:ascii="Verdana" w:hAnsi="Verdana"/>
          <w:sz w:val="20"/>
          <w:szCs w:val="20"/>
          <w:lang w:val="es-CR"/>
        </w:rPr>
        <w:t>Cajbón</w:t>
      </w:r>
      <w:proofErr w:type="spellEnd"/>
      <w:r w:rsidRPr="003908EB">
        <w:rPr>
          <w:rFonts w:ascii="Verdana" w:hAnsi="Verdana"/>
          <w:sz w:val="20"/>
          <w:szCs w:val="20"/>
          <w:lang w:val="es-CR"/>
        </w:rPr>
        <w:t xml:space="preserve"> (hija); 45.- Irene </w:t>
      </w:r>
      <w:proofErr w:type="spellStart"/>
      <w:r w:rsidRPr="003908EB">
        <w:rPr>
          <w:rFonts w:ascii="Verdana" w:hAnsi="Verdana"/>
          <w:sz w:val="20"/>
          <w:szCs w:val="20"/>
          <w:lang w:val="es-CR"/>
        </w:rPr>
        <w:t>Coc</w:t>
      </w:r>
      <w:proofErr w:type="spellEnd"/>
      <w:r w:rsidRPr="003908EB">
        <w:rPr>
          <w:rFonts w:ascii="Verdana" w:hAnsi="Verdana"/>
          <w:sz w:val="20"/>
          <w:szCs w:val="20"/>
          <w:lang w:val="es-CR"/>
        </w:rPr>
        <w:t xml:space="preserve"> </w:t>
      </w:r>
      <w:proofErr w:type="spellStart"/>
      <w:r w:rsidRPr="003908EB">
        <w:rPr>
          <w:rFonts w:ascii="Verdana" w:hAnsi="Verdana"/>
          <w:sz w:val="20"/>
          <w:szCs w:val="20"/>
          <w:lang w:val="es-CR"/>
        </w:rPr>
        <w:t>Cajbón</w:t>
      </w:r>
      <w:proofErr w:type="spellEnd"/>
      <w:r w:rsidRPr="003908EB">
        <w:rPr>
          <w:rFonts w:ascii="Verdana" w:hAnsi="Verdana"/>
          <w:sz w:val="20"/>
          <w:szCs w:val="20"/>
          <w:lang w:val="es-CR"/>
        </w:rPr>
        <w:t xml:space="preserve"> (hija); 46.- Salvador </w:t>
      </w:r>
      <w:proofErr w:type="spellStart"/>
      <w:r w:rsidRPr="003908EB">
        <w:rPr>
          <w:rFonts w:ascii="Verdana" w:hAnsi="Verdana"/>
          <w:sz w:val="20"/>
          <w:szCs w:val="20"/>
          <w:lang w:val="es-CR"/>
        </w:rPr>
        <w:t>Coc</w:t>
      </w:r>
      <w:proofErr w:type="spellEnd"/>
      <w:r w:rsidRPr="003908EB">
        <w:rPr>
          <w:rFonts w:ascii="Verdana" w:hAnsi="Verdana"/>
          <w:sz w:val="20"/>
          <w:szCs w:val="20"/>
          <w:lang w:val="es-CR"/>
        </w:rPr>
        <w:t xml:space="preserve"> </w:t>
      </w:r>
      <w:proofErr w:type="spellStart"/>
      <w:r w:rsidRPr="003908EB">
        <w:rPr>
          <w:rFonts w:ascii="Verdana" w:hAnsi="Verdana"/>
          <w:sz w:val="20"/>
          <w:szCs w:val="20"/>
          <w:lang w:val="es-CR"/>
        </w:rPr>
        <w:t>Cajbón</w:t>
      </w:r>
      <w:proofErr w:type="spellEnd"/>
      <w:r w:rsidRPr="003908EB">
        <w:rPr>
          <w:rFonts w:ascii="Verdana" w:hAnsi="Verdana"/>
          <w:sz w:val="20"/>
          <w:szCs w:val="20"/>
          <w:lang w:val="es-CR"/>
        </w:rPr>
        <w:t xml:space="preserve"> (hijo) y 47.-Ana </w:t>
      </w:r>
      <w:proofErr w:type="spellStart"/>
      <w:r w:rsidRPr="003908EB">
        <w:rPr>
          <w:rFonts w:ascii="Verdana" w:hAnsi="Verdana"/>
          <w:sz w:val="20"/>
          <w:szCs w:val="20"/>
          <w:lang w:val="es-CR"/>
        </w:rPr>
        <w:t>Coc</w:t>
      </w:r>
      <w:proofErr w:type="spellEnd"/>
      <w:r w:rsidRPr="003908EB">
        <w:rPr>
          <w:rFonts w:ascii="Verdana" w:hAnsi="Verdana"/>
          <w:sz w:val="20"/>
          <w:szCs w:val="20"/>
          <w:lang w:val="es-CR"/>
        </w:rPr>
        <w:t xml:space="preserve"> </w:t>
      </w:r>
      <w:proofErr w:type="spellStart"/>
      <w:r w:rsidRPr="003908EB">
        <w:rPr>
          <w:rFonts w:ascii="Verdana" w:hAnsi="Verdana"/>
          <w:sz w:val="20"/>
          <w:szCs w:val="20"/>
          <w:lang w:val="es-CR"/>
        </w:rPr>
        <w:t>Cajbón</w:t>
      </w:r>
      <w:proofErr w:type="spellEnd"/>
      <w:r w:rsidRPr="003908EB">
        <w:rPr>
          <w:rFonts w:ascii="Verdana" w:hAnsi="Verdana"/>
          <w:sz w:val="20"/>
          <w:szCs w:val="20"/>
          <w:lang w:val="es-CR"/>
        </w:rPr>
        <w:t xml:space="preserve"> (hija). </w:t>
      </w:r>
    </w:p>
    <w:p w:rsidR="003908EB" w:rsidRPr="003908EB" w:rsidRDefault="003908EB" w:rsidP="00560BD9">
      <w:pPr>
        <w:spacing w:line="240" w:lineRule="auto"/>
        <w:jc w:val="both"/>
        <w:rPr>
          <w:rFonts w:ascii="Verdana" w:hAnsi="Verdana"/>
          <w:sz w:val="20"/>
          <w:szCs w:val="20"/>
          <w:lang w:val="es-CR"/>
        </w:rPr>
      </w:pPr>
      <w:r w:rsidRPr="003908EB">
        <w:rPr>
          <w:rFonts w:ascii="Verdana" w:hAnsi="Verdana"/>
          <w:sz w:val="20"/>
          <w:szCs w:val="20"/>
          <w:lang w:val="es-CR"/>
        </w:rPr>
        <w:t xml:space="preserve">J) </w:t>
      </w:r>
      <w:r w:rsidRPr="003908EB">
        <w:rPr>
          <w:rFonts w:ascii="Verdana" w:hAnsi="Verdana"/>
          <w:sz w:val="20"/>
          <w:szCs w:val="20"/>
          <w:u w:val="single"/>
          <w:lang w:val="es-CR"/>
        </w:rPr>
        <w:t>Familiares de Andrés Miguel Mateo</w:t>
      </w:r>
      <w:r w:rsidRPr="003908EB">
        <w:rPr>
          <w:rFonts w:ascii="Verdana" w:hAnsi="Verdana"/>
          <w:sz w:val="20"/>
          <w:szCs w:val="20"/>
          <w:lang w:val="es-CR"/>
        </w:rPr>
        <w:t xml:space="preserve"> (fallecido): 48.- Juana Juan (esposa o conviviente); 49.- María Miguel Juan (hija); 50.- Dolores Miguel Bartolo (hija), y 51.-Francisco Miguel Bartolo (hijo). </w:t>
      </w:r>
    </w:p>
    <w:sectPr w:rsidR="003908EB" w:rsidRPr="003908EB" w:rsidSect="00E8771A">
      <w:headerReference w:type="default" r:id="rId10"/>
      <w:footnotePr>
        <w:numRestart w:val="eachSect"/>
      </w:footnotePr>
      <w:type w:val="continuous"/>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921" w:rsidRDefault="00785921" w:rsidP="006166D8">
      <w:pPr>
        <w:spacing w:after="0" w:line="240" w:lineRule="auto"/>
      </w:pPr>
      <w:r>
        <w:separator/>
      </w:r>
    </w:p>
  </w:endnote>
  <w:endnote w:type="continuationSeparator" w:id="0">
    <w:p w:rsidR="00785921" w:rsidRDefault="00785921" w:rsidP="0061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Bold">
    <w:altName w:val="Arial"/>
    <w:panose1 w:val="020B0804030504040204"/>
    <w:charset w:val="00"/>
    <w:family w:val="swiss"/>
    <w:pitch w:val="variable"/>
    <w:sig w:usb0="00000001"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Garamond-Regular">
    <w:panose1 w:val="00000000000000000000"/>
    <w:charset w:val="00"/>
    <w:family w:val="roman"/>
    <w:notTrueType/>
    <w:pitch w:val="default"/>
    <w:sig w:usb0="00000003" w:usb1="00000000" w:usb2="00000000" w:usb3="00000000" w:csb0="00000001" w:csb1="00000000"/>
  </w:font>
  <w:font w:name="Verdana-Italic">
    <w:altName w:val="Verda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921" w:rsidRDefault="00785921" w:rsidP="006166D8">
      <w:pPr>
        <w:spacing w:after="0" w:line="240" w:lineRule="auto"/>
      </w:pPr>
      <w:r>
        <w:separator/>
      </w:r>
    </w:p>
  </w:footnote>
  <w:footnote w:type="continuationSeparator" w:id="0">
    <w:p w:rsidR="00785921" w:rsidRDefault="00785921" w:rsidP="006166D8">
      <w:pPr>
        <w:spacing w:after="0" w:line="240" w:lineRule="auto"/>
      </w:pPr>
      <w:r>
        <w:continuationSeparator/>
      </w:r>
    </w:p>
  </w:footnote>
  <w:footnote w:id="1">
    <w:p w:rsidR="00785921" w:rsidRPr="00595BC3" w:rsidRDefault="00785921" w:rsidP="00126E97">
      <w:pPr>
        <w:spacing w:line="20" w:lineRule="atLeast"/>
        <w:rPr>
          <w:rFonts w:ascii="Verdana" w:hAnsi="Verdana"/>
          <w:sz w:val="16"/>
          <w:szCs w:val="16"/>
          <w:lang w:val="es-CR"/>
        </w:rPr>
      </w:pPr>
      <w:r w:rsidRPr="00595BC3">
        <w:rPr>
          <w:rStyle w:val="FootnoteReference"/>
          <w:rFonts w:ascii="Verdana" w:hAnsi="Verdana"/>
          <w:sz w:val="16"/>
          <w:szCs w:val="16"/>
          <w:lang w:val="es-CR" w:eastAsia="x-none"/>
        </w:rPr>
        <w:t>*</w:t>
      </w:r>
      <w:r w:rsidRPr="00595BC3">
        <w:rPr>
          <w:rFonts w:ascii="Verdana" w:hAnsi="Verdana"/>
          <w:sz w:val="16"/>
          <w:szCs w:val="16"/>
          <w:lang w:val="es-CR"/>
        </w:rPr>
        <w:t>E</w:t>
      </w:r>
      <w:r w:rsidRPr="00595BC3">
        <w:rPr>
          <w:rFonts w:ascii="Verdana" w:eastAsia="Calibri" w:hAnsi="Verdana" w:cs="Verdana"/>
          <w:sz w:val="16"/>
          <w:szCs w:val="16"/>
          <w:lang w:val="es-CR"/>
        </w:rPr>
        <w:t xml:space="preserve">l Juez </w:t>
      </w:r>
      <w:r w:rsidRPr="00595BC3">
        <w:rPr>
          <w:rFonts w:ascii="Verdana" w:eastAsia="Times New Roman" w:hAnsi="Verdana" w:cs="Times New Roman"/>
          <w:sz w:val="16"/>
          <w:szCs w:val="16"/>
          <w:lang w:val="es-CR"/>
        </w:rPr>
        <w:t>Eduardo Vio Grossi, Vicepresidente</w:t>
      </w:r>
      <w:r w:rsidRPr="00595BC3">
        <w:rPr>
          <w:rFonts w:ascii="Verdana" w:eastAsia="Calibri" w:hAnsi="Verdana" w:cs="Verdana"/>
          <w:sz w:val="16"/>
          <w:szCs w:val="16"/>
          <w:lang w:val="es-CR"/>
        </w:rPr>
        <w:t xml:space="preserve"> de la Corte, por razones de fuerza mayor aceptadas por el Pleno del Tribunal, no participó en la deliberación y firma de la presente Sentencia.</w:t>
      </w:r>
    </w:p>
  </w:footnote>
  <w:footnote w:id="2">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w:t>
      </w:r>
      <w:r>
        <w:rPr>
          <w:sz w:val="16"/>
          <w:szCs w:val="16"/>
          <w:lang w:val="es-CR"/>
        </w:rPr>
        <w:t>Expresó que l</w:t>
      </w:r>
      <w:proofErr w:type="spellStart"/>
      <w:r>
        <w:rPr>
          <w:rFonts w:cs="Verdana"/>
          <w:sz w:val="16"/>
          <w:szCs w:val="16"/>
          <w:lang w:val="es-ES_tradnl"/>
        </w:rPr>
        <w:t>o</w:t>
      </w:r>
      <w:proofErr w:type="spellEnd"/>
      <w:r>
        <w:rPr>
          <w:rFonts w:cs="Verdana"/>
          <w:sz w:val="16"/>
          <w:szCs w:val="16"/>
          <w:lang w:val="es-ES_tradnl"/>
        </w:rPr>
        <w:t xml:space="preserve"> hizo “ante la ausencia de una reparación integral” y la “necesidad de obtención de justicia”.</w:t>
      </w:r>
    </w:p>
  </w:footnote>
  <w:footnote w:id="3">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De modo previo, a través de una serie de comunicaciones entre la Secretaría de la Corte y personas y organizaciones relacionadas a aquellas que habían actuado como peticionarias (</w:t>
      </w:r>
      <w:r w:rsidRPr="008C5946">
        <w:rPr>
          <w:i/>
          <w:sz w:val="16"/>
          <w:szCs w:val="16"/>
          <w:lang w:val="es-CR"/>
        </w:rPr>
        <w:t xml:space="preserve">supra </w:t>
      </w:r>
      <w:r w:rsidRPr="008C5946">
        <w:rPr>
          <w:sz w:val="16"/>
          <w:szCs w:val="16"/>
          <w:lang w:val="es-CR"/>
        </w:rPr>
        <w:t>párr</w:t>
      </w:r>
      <w:r w:rsidRPr="00637508">
        <w:rPr>
          <w:sz w:val="16"/>
          <w:szCs w:val="16"/>
          <w:lang w:val="es-CR"/>
        </w:rPr>
        <w:t xml:space="preserve">. </w:t>
      </w:r>
      <w:r>
        <w:rPr>
          <w:sz w:val="16"/>
          <w:szCs w:val="16"/>
          <w:lang w:val="es-CR"/>
        </w:rPr>
        <w:t>2</w:t>
      </w:r>
      <w:r w:rsidRPr="00637508">
        <w:rPr>
          <w:sz w:val="16"/>
          <w:szCs w:val="16"/>
          <w:lang w:val="es-CR"/>
        </w:rPr>
        <w:t>), fue precisada la representación de las presuntas víctimas en el caso. Al respecto, por medio de comunicaciones de</w:t>
      </w:r>
      <w:r>
        <w:rPr>
          <w:sz w:val="16"/>
          <w:szCs w:val="16"/>
          <w:lang w:val="es-CR"/>
        </w:rPr>
        <w:t xml:space="preserve"> dicha</w:t>
      </w:r>
      <w:r w:rsidRPr="00637508">
        <w:rPr>
          <w:sz w:val="16"/>
          <w:szCs w:val="16"/>
          <w:lang w:val="es-CR"/>
        </w:rPr>
        <w:t xml:space="preserve"> Secretaría de 6 de enero de 2017 dirigidas a tales personas y organizaciones, se indicó que “siguiendo instrucciones del Presidente de la Corte […], se tendrá como único representante de las presuntas víctimas, a todos los efectos pertinentes relacionados con el trámite del caso ante la Corte […], al Grupo de Apoyo Mutuo (GAM)”.</w:t>
      </w:r>
    </w:p>
  </w:footnote>
  <w:footnote w:id="4">
    <w:p w:rsidR="00785921" w:rsidRPr="00637508" w:rsidRDefault="00785921" w:rsidP="00126E97">
      <w:pPr>
        <w:pStyle w:val="FootnoteText"/>
        <w:tabs>
          <w:tab w:val="left" w:pos="426"/>
        </w:tabs>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El 13 de febrero de 2017 el Estado designó como Agentes a</w:t>
      </w:r>
      <w:r>
        <w:rPr>
          <w:rFonts w:cs="Arial"/>
          <w:color w:val="000000"/>
          <w:sz w:val="16"/>
          <w:szCs w:val="16"/>
          <w:lang w:val="es-AR"/>
        </w:rPr>
        <w:t xml:space="preserve"> Víctor Hugo Godoy Morales y María José Ortiz Samayoa. El 26 de septiembre de 2017 Guatemala informó de la designación del nuevo Presidente de la Comisión Presidencial Coordinadora de la Política del Ejecutivo en Materia de Derechos Humanos (COPREDEH), el señor Jorge Luis </w:t>
      </w:r>
      <w:proofErr w:type="spellStart"/>
      <w:r>
        <w:rPr>
          <w:rFonts w:cs="Arial"/>
          <w:color w:val="000000"/>
          <w:sz w:val="16"/>
          <w:szCs w:val="16"/>
          <w:lang w:val="es-AR"/>
        </w:rPr>
        <w:t>Borrayo</w:t>
      </w:r>
      <w:proofErr w:type="spellEnd"/>
      <w:r>
        <w:rPr>
          <w:rFonts w:cs="Arial"/>
          <w:color w:val="000000"/>
          <w:sz w:val="16"/>
          <w:szCs w:val="16"/>
          <w:lang w:val="es-AR"/>
        </w:rPr>
        <w:t xml:space="preserve"> Reyes. El 6 de noviembre de 2017 informó de la designación del nuevo Director Ejecutivo de COPREDEH, el señor Felipe Sánchez González. </w:t>
      </w:r>
    </w:p>
  </w:footnote>
  <w:footnote w:id="5">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sidRPr="00637508">
        <w:rPr>
          <w:sz w:val="16"/>
          <w:szCs w:val="16"/>
          <w:lang w:val="es-CR"/>
        </w:rPr>
        <w:t xml:space="preserve"> Por razones de fuerza mayor, la Resolución</w:t>
      </w:r>
      <w:r>
        <w:rPr>
          <w:rFonts w:eastAsia="Times New Roman" w:cs="Times New Roman"/>
          <w:sz w:val="16"/>
          <w:szCs w:val="16"/>
          <w:lang w:val="pt-BR"/>
        </w:rPr>
        <w:t xml:space="preserve"> </w:t>
      </w:r>
      <w:r>
        <w:rPr>
          <w:rFonts w:eastAsia="Times New Roman" w:cs="Times New Roman"/>
          <w:sz w:val="16"/>
          <w:szCs w:val="16"/>
          <w:lang w:val="pt-BR"/>
        </w:rPr>
        <w:t xml:space="preserve">fue emitida por Eduardo Ferrer Mac-Gregor Poisot, entonces Vicepresidente de la Corte, quien asumió en esa fecha la Presidencia en ejercicio respecto del caso, de conformidad con los artículos 4.2 y 5 del Reglamento. </w:t>
      </w:r>
      <w:r w:rsidRPr="00637508">
        <w:rPr>
          <w:sz w:val="16"/>
          <w:szCs w:val="16"/>
          <w:lang w:val="es-CR"/>
        </w:rPr>
        <w:t xml:space="preserve"> </w:t>
      </w:r>
    </w:p>
  </w:footnote>
  <w:footnote w:id="6">
    <w:p w:rsidR="00785921" w:rsidRPr="005A2F71" w:rsidRDefault="00785921" w:rsidP="00126E97">
      <w:pPr>
        <w:pStyle w:val="FootnoteText"/>
        <w:tabs>
          <w:tab w:val="left" w:pos="426"/>
        </w:tabs>
        <w:spacing w:line="20" w:lineRule="atLeast"/>
        <w:rPr>
          <w:sz w:val="16"/>
          <w:szCs w:val="16"/>
          <w:lang w:val="es-CR"/>
        </w:rPr>
      </w:pPr>
      <w:r>
        <w:rPr>
          <w:rStyle w:val="FootnoteReference"/>
          <w:sz w:val="16"/>
          <w:szCs w:val="16"/>
          <w:lang w:val="es-CR" w:eastAsia="x-none"/>
        </w:rPr>
        <w:footnoteRef/>
      </w:r>
      <w:r w:rsidRPr="00637508">
        <w:rPr>
          <w:sz w:val="16"/>
          <w:szCs w:val="16"/>
          <w:lang w:val="es-CR"/>
        </w:rPr>
        <w:t xml:space="preserve"> </w:t>
      </w:r>
      <w:r w:rsidRPr="00637508">
        <w:rPr>
          <w:i/>
          <w:sz w:val="16"/>
          <w:szCs w:val="16"/>
          <w:lang w:val="es-CR"/>
        </w:rPr>
        <w:t xml:space="preserve">Cfr. </w:t>
      </w:r>
      <w:r>
        <w:rPr>
          <w:bCs/>
          <w:i/>
          <w:sz w:val="16"/>
          <w:szCs w:val="16"/>
          <w:lang w:val="es-CR"/>
        </w:rPr>
        <w:t xml:space="preserve">Caso </w:t>
      </w:r>
      <w:proofErr w:type="spellStart"/>
      <w:r>
        <w:rPr>
          <w:bCs/>
          <w:i/>
          <w:sz w:val="16"/>
          <w:szCs w:val="16"/>
          <w:lang w:val="es-CR"/>
        </w:rPr>
        <w:t>Coc</w:t>
      </w:r>
      <w:proofErr w:type="spellEnd"/>
      <w:r>
        <w:rPr>
          <w:bCs/>
          <w:i/>
          <w:sz w:val="16"/>
          <w:szCs w:val="16"/>
          <w:lang w:val="es-CR"/>
        </w:rPr>
        <w:t xml:space="preserve"> Max y otros Vs. Guatemala. Convocatoria a audiencia. </w:t>
      </w:r>
      <w:r>
        <w:rPr>
          <w:bCs/>
          <w:sz w:val="16"/>
          <w:szCs w:val="16"/>
          <w:lang w:val="es-CR"/>
        </w:rPr>
        <w:t>Resolución del Presidente de la Corte de 13 de diciembre de 2017.</w:t>
      </w:r>
      <w:r w:rsidRPr="00637508">
        <w:rPr>
          <w:sz w:val="16"/>
          <w:szCs w:val="16"/>
          <w:lang w:val="es-CR"/>
        </w:rPr>
        <w:t xml:space="preserve"> Disponible en: </w:t>
      </w:r>
      <w:hyperlink r:id="rId1" w:history="1">
        <w:r w:rsidRPr="005A2F71">
          <w:rPr>
            <w:sz w:val="16"/>
            <w:szCs w:val="16"/>
            <w:lang w:val="es-CR"/>
          </w:rPr>
          <w:t>http://www.corteidh.or.cr/docs/asuntos/cocmax_13_12_17.pdf</w:t>
        </w:r>
      </w:hyperlink>
    </w:p>
  </w:footnote>
  <w:footnote w:id="7">
    <w:p w:rsidR="00785921" w:rsidRPr="006166D8" w:rsidRDefault="00785921" w:rsidP="00126E97">
      <w:pPr>
        <w:tabs>
          <w:tab w:val="left" w:pos="426"/>
        </w:tabs>
        <w:spacing w:after="0" w:line="20" w:lineRule="atLeast"/>
        <w:ind w:right="-6"/>
        <w:jc w:val="both"/>
        <w:rPr>
          <w:rFonts w:ascii="Verdana" w:hAnsi="Verdana"/>
          <w:sz w:val="16"/>
          <w:szCs w:val="16"/>
          <w:lang w:val="es-CR"/>
        </w:rPr>
      </w:pPr>
      <w:r w:rsidRPr="006166D8">
        <w:rPr>
          <w:rStyle w:val="FootnoteReference"/>
          <w:rFonts w:ascii="Verdana" w:hAnsi="Verdana"/>
          <w:sz w:val="16"/>
          <w:szCs w:val="16"/>
          <w:lang w:eastAsia="x-none"/>
        </w:rPr>
        <w:footnoteRef/>
      </w:r>
      <w:r w:rsidRPr="006166D8">
        <w:rPr>
          <w:rFonts w:ascii="Verdana" w:hAnsi="Verdana"/>
          <w:sz w:val="16"/>
          <w:szCs w:val="16"/>
          <w:lang w:val="es-CR"/>
        </w:rPr>
        <w:t xml:space="preserve"> </w:t>
      </w:r>
      <w:r w:rsidRPr="006166D8">
        <w:rPr>
          <w:rFonts w:ascii="Verdana" w:hAnsi="Verdana"/>
          <w:sz w:val="16"/>
          <w:szCs w:val="16"/>
        </w:rPr>
        <w:t xml:space="preserve">A esta audiencia comparecieron: a) por la Comisión: la abogada de la Secretaría Ejecutiva, Selene Soto Rodríguez; b) por los representantes de las presuntas víctimas: Efraín Grave </w:t>
      </w:r>
      <w:proofErr w:type="spellStart"/>
      <w:r w:rsidRPr="006166D8">
        <w:rPr>
          <w:rFonts w:ascii="Verdana" w:hAnsi="Verdana"/>
          <w:sz w:val="16"/>
          <w:szCs w:val="16"/>
        </w:rPr>
        <w:t>Morente</w:t>
      </w:r>
      <w:proofErr w:type="spellEnd"/>
      <w:r w:rsidRPr="006166D8">
        <w:rPr>
          <w:rFonts w:ascii="Verdana" w:hAnsi="Verdana"/>
          <w:sz w:val="16"/>
          <w:szCs w:val="16"/>
        </w:rPr>
        <w:t xml:space="preserve">, representante de la Comunidad “Aurora 8 de Octubre”; el abogado </w:t>
      </w:r>
      <w:proofErr w:type="spellStart"/>
      <w:r w:rsidRPr="006166D8">
        <w:rPr>
          <w:rFonts w:ascii="Verdana" w:hAnsi="Verdana"/>
          <w:sz w:val="16"/>
          <w:szCs w:val="16"/>
        </w:rPr>
        <w:t>Maynor</w:t>
      </w:r>
      <w:proofErr w:type="spellEnd"/>
      <w:r w:rsidRPr="006166D8">
        <w:rPr>
          <w:rFonts w:ascii="Verdana" w:hAnsi="Verdana"/>
          <w:sz w:val="16"/>
          <w:szCs w:val="16"/>
        </w:rPr>
        <w:t xml:space="preserve"> Estuardo Alvarado Galeano y la abogada Karla Lorena Campos Flores, y c) por el Estado de Guatemala: </w:t>
      </w:r>
      <w:r w:rsidRPr="006166D8">
        <w:rPr>
          <w:rFonts w:ascii="Verdana" w:hAnsi="Verdana"/>
          <w:sz w:val="16"/>
          <w:szCs w:val="16"/>
          <w:lang w:val="es-CR"/>
        </w:rPr>
        <w:t>el embajador Juan Carlos Orellana Juárez;</w:t>
      </w:r>
      <w:r w:rsidRPr="006166D8">
        <w:rPr>
          <w:rFonts w:ascii="Verdana" w:hAnsi="Verdana"/>
          <w:sz w:val="16"/>
          <w:szCs w:val="16"/>
        </w:rPr>
        <w:t xml:space="preserve"> Felipe Sánchez González, Director Ejecutivo de COPREDEH; Lourdes </w:t>
      </w:r>
      <w:proofErr w:type="spellStart"/>
      <w:r w:rsidRPr="006166D8">
        <w:rPr>
          <w:rFonts w:ascii="Verdana" w:hAnsi="Verdana"/>
          <w:sz w:val="16"/>
          <w:szCs w:val="16"/>
        </w:rPr>
        <w:t>Woolfolk</w:t>
      </w:r>
      <w:proofErr w:type="spellEnd"/>
      <w:r w:rsidRPr="006166D8">
        <w:rPr>
          <w:rFonts w:ascii="Verdana" w:hAnsi="Verdana"/>
          <w:sz w:val="16"/>
          <w:szCs w:val="16"/>
        </w:rPr>
        <w:t xml:space="preserve"> Contreras, Directora de Seguimiento de Casos Internacionales en Materia de Derechos Humanos de COPREDEH, y Blanca Mariola Castañeda López, Agente Fiscal del Ministerio Público. </w:t>
      </w:r>
    </w:p>
  </w:footnote>
  <w:footnote w:id="8">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El 1 de febrero de 2018 los representantes solicitaron medidas provisionales a favor de “todos los miembros de la </w:t>
      </w:r>
      <w:r>
        <w:rPr>
          <w:sz w:val="16"/>
          <w:szCs w:val="16"/>
          <w:lang w:val="es-CR"/>
        </w:rPr>
        <w:t>[C]</w:t>
      </w:r>
      <w:proofErr w:type="spellStart"/>
      <w:r w:rsidRPr="00637508">
        <w:rPr>
          <w:sz w:val="16"/>
          <w:szCs w:val="16"/>
          <w:lang w:val="es-CR"/>
        </w:rPr>
        <w:t>omunidad</w:t>
      </w:r>
      <w:proofErr w:type="spellEnd"/>
      <w:r w:rsidRPr="00637508">
        <w:rPr>
          <w:sz w:val="16"/>
          <w:szCs w:val="16"/>
          <w:lang w:val="es-CR"/>
        </w:rPr>
        <w:t>”.</w:t>
      </w:r>
      <w:r w:rsidRPr="00637508">
        <w:rPr>
          <w:b/>
          <w:sz w:val="16"/>
          <w:szCs w:val="16"/>
          <w:lang w:val="es-CR"/>
        </w:rPr>
        <w:t xml:space="preserve"> </w:t>
      </w:r>
      <w:r w:rsidRPr="00637508">
        <w:rPr>
          <w:sz w:val="16"/>
          <w:szCs w:val="16"/>
          <w:lang w:val="es-CR"/>
        </w:rPr>
        <w:t>Después, cuando se les requirió “información detallada” sobre su pedido, identificaron solo a las cinco personas nombradas (</w:t>
      </w:r>
      <w:r w:rsidRPr="00637508">
        <w:rPr>
          <w:i/>
          <w:sz w:val="16"/>
          <w:szCs w:val="16"/>
          <w:lang w:val="es-CR"/>
        </w:rPr>
        <w:t xml:space="preserve">Cfr. </w:t>
      </w:r>
      <w:r w:rsidRPr="00637508">
        <w:rPr>
          <w:bCs/>
          <w:i/>
          <w:sz w:val="16"/>
          <w:szCs w:val="16"/>
          <w:lang w:val="es-CR"/>
        </w:rPr>
        <w:t xml:space="preserve">Caso </w:t>
      </w:r>
      <w:proofErr w:type="spellStart"/>
      <w:r w:rsidRPr="00637508">
        <w:rPr>
          <w:bCs/>
          <w:i/>
          <w:sz w:val="16"/>
          <w:szCs w:val="16"/>
          <w:lang w:val="es-CR"/>
        </w:rPr>
        <w:t>Coc</w:t>
      </w:r>
      <w:proofErr w:type="spellEnd"/>
      <w:r w:rsidRPr="00637508">
        <w:rPr>
          <w:bCs/>
          <w:i/>
          <w:sz w:val="16"/>
          <w:szCs w:val="16"/>
          <w:lang w:val="es-CR"/>
        </w:rPr>
        <w:t xml:space="preserve"> Max y otros Vs. Guatemala. Adopción de Medidas Provisionales.</w:t>
      </w:r>
      <w:r w:rsidRPr="00637508">
        <w:rPr>
          <w:bCs/>
          <w:sz w:val="16"/>
          <w:szCs w:val="16"/>
          <w:lang w:val="es-CR"/>
        </w:rPr>
        <w:t xml:space="preserve"> Resolución de la Corte Interamericana de Derechos Humanos de 8 de febrero de 2018, Considerando 7).</w:t>
      </w:r>
    </w:p>
  </w:footnote>
  <w:footnote w:id="9">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La Comisión señaló que los hechos ocurrieron hace más de veinte años, y que si bien muchas personas indígenas conservan sus nombres originarios, al ser inscritos ante el registro civil se consignan sus nombres de la manera más directa al castellano. Indicó que si bien corresponde identificar a las personas en la mayor medida de lo posible, debe seguirse “ciertos estándares de razonabilidad y flexibilidad”. </w:t>
      </w:r>
    </w:p>
  </w:footnote>
  <w:footnote w:id="10">
    <w:p w:rsidR="00785921" w:rsidRPr="005D7ADB" w:rsidRDefault="00785921" w:rsidP="00126E97">
      <w:pPr>
        <w:pStyle w:val="FootnoteText"/>
        <w:spacing w:line="20" w:lineRule="atLeast"/>
        <w:rPr>
          <w:sz w:val="16"/>
          <w:szCs w:val="16"/>
          <w:lang w:val="es-CR"/>
        </w:rPr>
      </w:pPr>
      <w:r w:rsidRPr="005D7ADB">
        <w:rPr>
          <w:rStyle w:val="FootnoteReference"/>
          <w:sz w:val="16"/>
          <w:szCs w:val="16"/>
          <w:lang w:val="es-CR" w:eastAsia="x-none"/>
        </w:rPr>
        <w:footnoteRef/>
      </w:r>
      <w:r w:rsidRPr="005D7ADB">
        <w:rPr>
          <w:sz w:val="16"/>
          <w:szCs w:val="16"/>
          <w:lang w:val="es-CR"/>
        </w:rPr>
        <w:t xml:space="preserve"> </w:t>
      </w:r>
      <w:r w:rsidRPr="005D7ADB">
        <w:rPr>
          <w:i/>
          <w:iCs/>
          <w:sz w:val="16"/>
          <w:szCs w:val="16"/>
          <w:lang w:val="es-CR"/>
        </w:rPr>
        <w:t xml:space="preserve">Caso Masacres de Río Negro Vs. Guatemala. Excepción Preliminar, Fondo, Reparaciones y Costas. </w:t>
      </w:r>
      <w:r w:rsidRPr="005D7ADB">
        <w:rPr>
          <w:sz w:val="16"/>
          <w:szCs w:val="16"/>
          <w:lang w:val="es-CR"/>
        </w:rPr>
        <w:t>Sentencia de 4 sep</w:t>
      </w:r>
      <w:r>
        <w:rPr>
          <w:sz w:val="16"/>
          <w:szCs w:val="16"/>
          <w:lang w:val="es-CR"/>
        </w:rPr>
        <w:t>tiembre de 2012 Serie C No. 250,</w:t>
      </w:r>
      <w:r w:rsidRPr="005D7ADB">
        <w:rPr>
          <w:sz w:val="16"/>
          <w:szCs w:val="16"/>
          <w:lang w:val="es-CR"/>
        </w:rPr>
        <w:t xml:space="preserve"> </w:t>
      </w:r>
      <w:r>
        <w:rPr>
          <w:sz w:val="16"/>
          <w:szCs w:val="16"/>
          <w:lang w:val="es-CR"/>
        </w:rPr>
        <w:t>p</w:t>
      </w:r>
      <w:r w:rsidRPr="005D7ADB">
        <w:rPr>
          <w:sz w:val="16"/>
          <w:szCs w:val="16"/>
          <w:lang w:val="es-CR"/>
        </w:rPr>
        <w:t>árr. 48</w:t>
      </w:r>
      <w:r w:rsidRPr="005D7ADB">
        <w:rPr>
          <w:i/>
          <w:iCs/>
          <w:sz w:val="16"/>
          <w:szCs w:val="16"/>
          <w:lang w:val="es-CR"/>
        </w:rPr>
        <w:t xml:space="preserve">, </w:t>
      </w:r>
      <w:r w:rsidRPr="005D7ADB">
        <w:rPr>
          <w:sz w:val="16"/>
          <w:szCs w:val="16"/>
          <w:lang w:val="es-CR"/>
        </w:rPr>
        <w:t xml:space="preserve">y </w:t>
      </w:r>
      <w:r w:rsidRPr="005D7ADB">
        <w:rPr>
          <w:i/>
          <w:iCs/>
          <w:sz w:val="16"/>
          <w:szCs w:val="16"/>
          <w:lang w:val="es-CR"/>
        </w:rPr>
        <w:t>Caso Trabajadores Cesados de Petroperú y otros Vs. Perú. Excepciones Preliminares, Fondo, Reparaciones y Costas.</w:t>
      </w:r>
      <w:r w:rsidRPr="005D7ADB">
        <w:rPr>
          <w:sz w:val="16"/>
          <w:szCs w:val="16"/>
          <w:lang w:val="es-CR"/>
        </w:rPr>
        <w:t xml:space="preserve"> Sentencia de 23 de noviembre de 2017. Serie C No. 344, párr. 55. </w:t>
      </w:r>
    </w:p>
  </w:footnote>
  <w:footnote w:id="11">
    <w:p w:rsidR="00785921" w:rsidRDefault="00785921" w:rsidP="00126E97">
      <w:pPr>
        <w:pStyle w:val="FootnoteText"/>
        <w:spacing w:line="20" w:lineRule="atLeast"/>
        <w:rPr>
          <w:sz w:val="16"/>
          <w:szCs w:val="16"/>
          <w:lang w:val="es-CR"/>
        </w:rPr>
      </w:pPr>
      <w:r w:rsidRPr="005D7ADB">
        <w:rPr>
          <w:rStyle w:val="FootnoteReference"/>
          <w:sz w:val="16"/>
          <w:szCs w:val="16"/>
          <w:lang w:val="es-CR" w:eastAsia="x-none"/>
        </w:rPr>
        <w:footnoteRef/>
      </w:r>
      <w:r w:rsidRPr="005D7ADB">
        <w:rPr>
          <w:sz w:val="16"/>
          <w:szCs w:val="16"/>
          <w:lang w:val="es-CR"/>
        </w:rPr>
        <w:t xml:space="preserve"> </w:t>
      </w:r>
      <w:r w:rsidRPr="005D7ADB">
        <w:rPr>
          <w:i/>
          <w:iCs/>
          <w:sz w:val="16"/>
          <w:szCs w:val="16"/>
          <w:lang w:val="es-ES"/>
        </w:rPr>
        <w:t>Cfr.</w:t>
      </w:r>
      <w:r w:rsidRPr="005D7ADB">
        <w:rPr>
          <w:sz w:val="16"/>
          <w:szCs w:val="16"/>
          <w:lang w:val="es-ES"/>
        </w:rPr>
        <w:t xml:space="preserve"> </w:t>
      </w:r>
      <w:r w:rsidRPr="005D7ADB">
        <w:rPr>
          <w:i/>
          <w:iCs/>
          <w:sz w:val="16"/>
          <w:szCs w:val="16"/>
          <w:lang w:val="es-CR"/>
        </w:rPr>
        <w:t>Caso Masa</w:t>
      </w:r>
      <w:r>
        <w:rPr>
          <w:i/>
          <w:iCs/>
          <w:sz w:val="16"/>
          <w:szCs w:val="16"/>
          <w:lang w:val="es-CR"/>
        </w:rPr>
        <w:t>cres de Río Negro Vs. Guatemala</w:t>
      </w:r>
      <w:r>
        <w:rPr>
          <w:sz w:val="16"/>
          <w:szCs w:val="16"/>
          <w:lang w:val="es-CR"/>
        </w:rPr>
        <w:t xml:space="preserve">, </w:t>
      </w:r>
      <w:r w:rsidRPr="005A2F71">
        <w:rPr>
          <w:i/>
          <w:sz w:val="16"/>
          <w:szCs w:val="16"/>
          <w:lang w:val="es-CR"/>
        </w:rPr>
        <w:t>supra</w:t>
      </w:r>
      <w:r>
        <w:rPr>
          <w:sz w:val="16"/>
          <w:szCs w:val="16"/>
          <w:lang w:val="es-CR"/>
        </w:rPr>
        <w:t>,</w:t>
      </w:r>
      <w:r w:rsidRPr="005D7ADB">
        <w:rPr>
          <w:sz w:val="16"/>
          <w:szCs w:val="16"/>
          <w:lang w:val="es-CR"/>
        </w:rPr>
        <w:t xml:space="preserve"> </w:t>
      </w:r>
      <w:proofErr w:type="spellStart"/>
      <w:r>
        <w:rPr>
          <w:sz w:val="16"/>
          <w:szCs w:val="16"/>
          <w:lang w:val="es-CR"/>
        </w:rPr>
        <w:t>p</w:t>
      </w:r>
      <w:r w:rsidRPr="005D7ADB">
        <w:rPr>
          <w:sz w:val="16"/>
          <w:szCs w:val="16"/>
          <w:lang w:val="es-CR"/>
        </w:rPr>
        <w:t>árr</w:t>
      </w:r>
      <w:r>
        <w:rPr>
          <w:sz w:val="16"/>
          <w:szCs w:val="16"/>
          <w:lang w:val="es-CR"/>
        </w:rPr>
        <w:t>s</w:t>
      </w:r>
      <w:proofErr w:type="spellEnd"/>
      <w:r w:rsidRPr="005D7ADB">
        <w:rPr>
          <w:sz w:val="16"/>
          <w:szCs w:val="16"/>
          <w:lang w:val="es-CR"/>
        </w:rPr>
        <w:t>. 48 a 51, y</w:t>
      </w:r>
      <w:r w:rsidRPr="005D7ADB">
        <w:rPr>
          <w:i/>
          <w:iCs/>
          <w:sz w:val="16"/>
          <w:szCs w:val="16"/>
          <w:lang w:val="es-CR"/>
        </w:rPr>
        <w:t xml:space="preserve"> Caso Trabajadores Cesados de Petroperú y otros Vs. Perú</w:t>
      </w:r>
      <w:r>
        <w:rPr>
          <w:i/>
          <w:iCs/>
          <w:sz w:val="16"/>
          <w:szCs w:val="16"/>
          <w:lang w:val="es-CR"/>
        </w:rPr>
        <w:t>, supra,</w:t>
      </w:r>
      <w:r w:rsidRPr="005D7ADB">
        <w:rPr>
          <w:sz w:val="16"/>
          <w:szCs w:val="16"/>
          <w:lang w:val="es-CR"/>
        </w:rPr>
        <w:t xml:space="preserve"> </w:t>
      </w:r>
      <w:proofErr w:type="spellStart"/>
      <w:r w:rsidRPr="005D7ADB">
        <w:rPr>
          <w:sz w:val="16"/>
          <w:szCs w:val="16"/>
          <w:lang w:val="es-CR"/>
        </w:rPr>
        <w:t>párr</w:t>
      </w:r>
      <w:r>
        <w:rPr>
          <w:sz w:val="16"/>
          <w:szCs w:val="16"/>
          <w:lang w:val="es-CR"/>
        </w:rPr>
        <w:t>s</w:t>
      </w:r>
      <w:proofErr w:type="spellEnd"/>
      <w:r w:rsidRPr="005D7ADB">
        <w:rPr>
          <w:sz w:val="16"/>
          <w:szCs w:val="16"/>
          <w:lang w:val="es-CR"/>
        </w:rPr>
        <w:t xml:space="preserve">. 61 y 62. </w:t>
      </w:r>
    </w:p>
  </w:footnote>
  <w:footnote w:id="12">
    <w:p w:rsidR="00785921" w:rsidRPr="005D7ADB" w:rsidRDefault="00785921" w:rsidP="00126E97">
      <w:pPr>
        <w:pStyle w:val="FootnoteText"/>
        <w:spacing w:line="20" w:lineRule="atLeast"/>
        <w:rPr>
          <w:lang w:val="es-CR"/>
        </w:rPr>
      </w:pPr>
      <w:r>
        <w:rPr>
          <w:rStyle w:val="FootnoteReference"/>
          <w:sz w:val="16"/>
          <w:szCs w:val="16"/>
          <w:lang w:eastAsia="x-none"/>
        </w:rPr>
        <w:footnoteRef/>
      </w:r>
      <w:r w:rsidRPr="00637508">
        <w:rPr>
          <w:sz w:val="16"/>
          <w:szCs w:val="16"/>
          <w:lang w:val="es-CR"/>
        </w:rPr>
        <w:t xml:space="preserve"> </w:t>
      </w:r>
      <w:r w:rsidRPr="00637508">
        <w:rPr>
          <w:i/>
          <w:sz w:val="16"/>
          <w:szCs w:val="16"/>
          <w:lang w:val="es-CR"/>
        </w:rPr>
        <w:t>Cfr.</w:t>
      </w:r>
      <w:r w:rsidRPr="00637508">
        <w:rPr>
          <w:sz w:val="16"/>
          <w:szCs w:val="16"/>
          <w:lang w:val="es-CR"/>
        </w:rPr>
        <w:t xml:space="preserve"> </w:t>
      </w:r>
      <w:r w:rsidRPr="00637508">
        <w:rPr>
          <w:i/>
          <w:sz w:val="16"/>
          <w:szCs w:val="16"/>
          <w:lang w:val="es-CR"/>
        </w:rPr>
        <w:t>Caso Velásquez Rodríguez Vs. Honduras. Fondo.</w:t>
      </w:r>
      <w:r w:rsidRPr="00637508">
        <w:rPr>
          <w:sz w:val="16"/>
          <w:szCs w:val="16"/>
          <w:lang w:val="es-CR"/>
        </w:rPr>
        <w:t xml:space="preserve"> Sentencia de 29 de julio de 1988. Serie C No. 4, párr. 140, y </w:t>
      </w:r>
      <w:r w:rsidRPr="00637508">
        <w:rPr>
          <w:i/>
          <w:sz w:val="16"/>
          <w:szCs w:val="16"/>
          <w:lang w:val="es-CR"/>
        </w:rPr>
        <w:t xml:space="preserve">Caso </w:t>
      </w:r>
      <w:proofErr w:type="spellStart"/>
      <w:r w:rsidRPr="00637508">
        <w:rPr>
          <w:i/>
          <w:sz w:val="16"/>
          <w:szCs w:val="16"/>
          <w:lang w:val="es-CR"/>
        </w:rPr>
        <w:t>Amrhein</w:t>
      </w:r>
      <w:proofErr w:type="spellEnd"/>
      <w:r w:rsidRPr="00637508">
        <w:rPr>
          <w:i/>
          <w:sz w:val="16"/>
          <w:szCs w:val="16"/>
          <w:lang w:val="es-CR"/>
        </w:rPr>
        <w:t xml:space="preserve"> y otros vs. Costa Rica. Excepciones Preliminares, Fondo, Reparaciones y Costas</w:t>
      </w:r>
      <w:r w:rsidRPr="00637508">
        <w:rPr>
          <w:sz w:val="16"/>
          <w:szCs w:val="16"/>
          <w:lang w:val="es-CR"/>
        </w:rPr>
        <w:t>. Sentencia de 25 de abril de</w:t>
      </w:r>
      <w:r>
        <w:rPr>
          <w:sz w:val="16"/>
          <w:szCs w:val="16"/>
          <w:lang w:val="es-CR"/>
        </w:rPr>
        <w:t xml:space="preserve"> 2018. Serie C No. 35, párr. 173</w:t>
      </w:r>
      <w:r w:rsidRPr="00637508">
        <w:rPr>
          <w:sz w:val="16"/>
          <w:szCs w:val="16"/>
          <w:lang w:val="es-CR"/>
        </w:rPr>
        <w:t xml:space="preserve">. </w:t>
      </w:r>
    </w:p>
  </w:footnote>
  <w:footnote w:id="13">
    <w:p w:rsidR="00785921" w:rsidRPr="00E221AF" w:rsidRDefault="00785921" w:rsidP="00126E97">
      <w:pPr>
        <w:spacing w:after="0" w:line="20" w:lineRule="atLeast"/>
        <w:ind w:right="-138"/>
        <w:jc w:val="both"/>
        <w:rPr>
          <w:rFonts w:ascii="Verdana" w:hAnsi="Verdana"/>
          <w:sz w:val="16"/>
          <w:szCs w:val="16"/>
          <w:lang w:val="es-CR"/>
        </w:rPr>
      </w:pPr>
      <w:r w:rsidRPr="00E221AF">
        <w:rPr>
          <w:rStyle w:val="FootnoteReference"/>
          <w:rFonts w:ascii="Verdana" w:hAnsi="Verdana"/>
          <w:sz w:val="16"/>
          <w:szCs w:val="16"/>
          <w:lang w:val="es-CR" w:eastAsia="x-none"/>
        </w:rPr>
        <w:footnoteRef/>
      </w:r>
      <w:r w:rsidRPr="00E221AF">
        <w:rPr>
          <w:rFonts w:ascii="Verdana" w:hAnsi="Verdana"/>
          <w:sz w:val="16"/>
          <w:szCs w:val="16"/>
          <w:lang w:val="es-CR"/>
        </w:rPr>
        <w:t xml:space="preserve"> En ese acto se incorporó al acervo probatorio, como prueba documental, videograbaciones de declaraciones de 17 personas, y cuatro peritajes rendidos en otros procesos seguidos ante este Tribunal. Los peritajes incorporados</w:t>
      </w:r>
      <w:r>
        <w:rPr>
          <w:rFonts w:ascii="Verdana" w:hAnsi="Verdana"/>
          <w:sz w:val="16"/>
          <w:szCs w:val="16"/>
          <w:lang w:val="es-CR"/>
        </w:rPr>
        <w:t>, como prueba documental,</w:t>
      </w:r>
      <w:r w:rsidRPr="00E221AF">
        <w:rPr>
          <w:rFonts w:ascii="Verdana" w:hAnsi="Verdana"/>
          <w:sz w:val="16"/>
          <w:szCs w:val="16"/>
          <w:lang w:val="es-CR"/>
        </w:rPr>
        <w:t xml:space="preserve"> fueron los de Alejandro Rodríguez y Cristian Correa, dictado</w:t>
      </w:r>
      <w:r>
        <w:rPr>
          <w:rFonts w:ascii="Verdana" w:hAnsi="Verdana"/>
          <w:sz w:val="16"/>
          <w:szCs w:val="16"/>
          <w:lang w:val="es-CR"/>
        </w:rPr>
        <w:t>s</w:t>
      </w:r>
      <w:r w:rsidRPr="00E221AF">
        <w:rPr>
          <w:rFonts w:ascii="Verdana" w:hAnsi="Verdana"/>
          <w:sz w:val="16"/>
          <w:szCs w:val="16"/>
          <w:lang w:val="es-CR"/>
        </w:rPr>
        <w:t xml:space="preserve"> en el </w:t>
      </w:r>
      <w:r>
        <w:rPr>
          <w:rFonts w:ascii="Verdana" w:hAnsi="Verdana"/>
          <w:i/>
          <w:iCs/>
          <w:sz w:val="16"/>
          <w:szCs w:val="16"/>
          <w:lang w:val="es-CR"/>
        </w:rPr>
        <w:t>C</w:t>
      </w:r>
      <w:r w:rsidRPr="00E221AF">
        <w:rPr>
          <w:rFonts w:ascii="Verdana" w:hAnsi="Verdana"/>
          <w:i/>
          <w:iCs/>
          <w:sz w:val="16"/>
          <w:szCs w:val="16"/>
          <w:lang w:val="es-CR"/>
        </w:rPr>
        <w:t xml:space="preserve">aso Miembros de la Aldea </w:t>
      </w:r>
      <w:proofErr w:type="spellStart"/>
      <w:r w:rsidRPr="00E221AF">
        <w:rPr>
          <w:rFonts w:ascii="Verdana" w:hAnsi="Verdana"/>
          <w:i/>
          <w:iCs/>
          <w:sz w:val="16"/>
          <w:szCs w:val="16"/>
          <w:lang w:val="es-CR"/>
        </w:rPr>
        <w:t>Chichupac</w:t>
      </w:r>
      <w:proofErr w:type="spellEnd"/>
      <w:r w:rsidRPr="00E221AF">
        <w:rPr>
          <w:rFonts w:ascii="Verdana" w:hAnsi="Verdana"/>
          <w:i/>
          <w:iCs/>
          <w:sz w:val="16"/>
          <w:szCs w:val="16"/>
          <w:lang w:val="es-CR"/>
        </w:rPr>
        <w:t xml:space="preserve"> y Comunidades Vecinas del Municipio de Rabinal Vs. Guatemala</w:t>
      </w:r>
      <w:r w:rsidRPr="00E221AF">
        <w:rPr>
          <w:rFonts w:ascii="Verdana" w:hAnsi="Verdana"/>
          <w:sz w:val="16"/>
          <w:szCs w:val="16"/>
          <w:lang w:val="es-CR"/>
        </w:rPr>
        <w:t xml:space="preserve">, así como los peritajes rendidos por los Michael Paul </w:t>
      </w:r>
      <w:proofErr w:type="spellStart"/>
      <w:r w:rsidRPr="00E221AF">
        <w:rPr>
          <w:rFonts w:ascii="Verdana" w:hAnsi="Verdana"/>
          <w:sz w:val="16"/>
          <w:szCs w:val="16"/>
          <w:lang w:val="es-CR"/>
        </w:rPr>
        <w:t>Hermann</w:t>
      </w:r>
      <w:proofErr w:type="spellEnd"/>
      <w:r w:rsidRPr="00E221AF">
        <w:rPr>
          <w:rFonts w:ascii="Verdana" w:hAnsi="Verdana"/>
          <w:sz w:val="16"/>
          <w:szCs w:val="16"/>
          <w:lang w:val="es-CR"/>
        </w:rPr>
        <w:t xml:space="preserve">, Juan Méndez y Rosalina </w:t>
      </w:r>
      <w:proofErr w:type="spellStart"/>
      <w:r w:rsidRPr="00E221AF">
        <w:rPr>
          <w:rFonts w:ascii="Verdana" w:hAnsi="Verdana"/>
          <w:sz w:val="16"/>
          <w:szCs w:val="16"/>
          <w:lang w:val="es-CR"/>
        </w:rPr>
        <w:t>Tuyuc</w:t>
      </w:r>
      <w:proofErr w:type="spellEnd"/>
      <w:r w:rsidRPr="00E221AF">
        <w:rPr>
          <w:rFonts w:ascii="Verdana" w:hAnsi="Verdana"/>
          <w:sz w:val="16"/>
          <w:szCs w:val="16"/>
          <w:lang w:val="es-CR"/>
        </w:rPr>
        <w:t xml:space="preserve">, en el </w:t>
      </w:r>
      <w:r>
        <w:rPr>
          <w:rFonts w:ascii="Verdana" w:hAnsi="Verdana"/>
          <w:i/>
          <w:iCs/>
          <w:sz w:val="16"/>
          <w:szCs w:val="16"/>
          <w:lang w:val="es-CR"/>
        </w:rPr>
        <w:t>C</w:t>
      </w:r>
      <w:r w:rsidRPr="00E221AF">
        <w:rPr>
          <w:rFonts w:ascii="Verdana" w:hAnsi="Verdana"/>
          <w:i/>
          <w:iCs/>
          <w:sz w:val="16"/>
          <w:szCs w:val="16"/>
          <w:lang w:val="es-CR"/>
        </w:rPr>
        <w:t>aso de las Masacres de Río Negro Vs. Guatemala</w:t>
      </w:r>
      <w:r w:rsidRPr="00E221AF">
        <w:rPr>
          <w:rFonts w:ascii="Verdana" w:hAnsi="Verdana"/>
          <w:sz w:val="16"/>
          <w:szCs w:val="16"/>
          <w:lang w:val="es-CR"/>
        </w:rPr>
        <w:t xml:space="preserve">. Las videograbaciones incorporadas incluyen declaraciones de las siguientes personas: </w:t>
      </w:r>
      <w:proofErr w:type="spellStart"/>
      <w:r w:rsidRPr="00E221AF">
        <w:rPr>
          <w:rFonts w:ascii="Verdana" w:hAnsi="Verdana"/>
          <w:sz w:val="16"/>
          <w:szCs w:val="16"/>
          <w:lang w:val="es-CR"/>
        </w:rPr>
        <w:t>Atilin</w:t>
      </w:r>
      <w:r>
        <w:rPr>
          <w:rFonts w:ascii="Verdana" w:hAnsi="Verdana"/>
          <w:sz w:val="16"/>
          <w:szCs w:val="16"/>
          <w:lang w:val="es-CR"/>
        </w:rPr>
        <w:t>a</w:t>
      </w:r>
      <w:proofErr w:type="spellEnd"/>
      <w:r>
        <w:rPr>
          <w:rFonts w:ascii="Verdana" w:hAnsi="Verdana"/>
          <w:sz w:val="16"/>
          <w:szCs w:val="16"/>
          <w:lang w:val="es-CR"/>
        </w:rPr>
        <w:t xml:space="preserve"> Hernández Maldonado</w:t>
      </w:r>
      <w:r w:rsidRPr="00E221AF">
        <w:rPr>
          <w:rFonts w:ascii="Verdana" w:hAnsi="Verdana"/>
          <w:sz w:val="16"/>
          <w:szCs w:val="16"/>
          <w:lang w:val="es-CR"/>
        </w:rPr>
        <w:t xml:space="preserve">, Efraín Grave </w:t>
      </w:r>
      <w:proofErr w:type="spellStart"/>
      <w:r w:rsidRPr="00E221AF">
        <w:rPr>
          <w:rFonts w:ascii="Verdana" w:hAnsi="Verdana"/>
          <w:sz w:val="16"/>
          <w:szCs w:val="16"/>
          <w:lang w:val="es-CR"/>
        </w:rPr>
        <w:t>Morente</w:t>
      </w:r>
      <w:proofErr w:type="spellEnd"/>
      <w:r w:rsidRPr="00E221AF">
        <w:rPr>
          <w:rFonts w:ascii="Verdana" w:hAnsi="Verdana"/>
          <w:sz w:val="16"/>
          <w:szCs w:val="16"/>
          <w:lang w:val="es-CR"/>
        </w:rPr>
        <w:t>, Eliseo Hernández Morales, Florinda Sal</w:t>
      </w:r>
      <w:r>
        <w:rPr>
          <w:rFonts w:ascii="Verdana" w:hAnsi="Verdana"/>
          <w:sz w:val="16"/>
          <w:szCs w:val="16"/>
          <w:lang w:val="es-CR"/>
        </w:rPr>
        <w:t xml:space="preserve">es Jacinto, José </w:t>
      </w:r>
      <w:proofErr w:type="spellStart"/>
      <w:r>
        <w:rPr>
          <w:rFonts w:ascii="Verdana" w:hAnsi="Verdana"/>
          <w:sz w:val="16"/>
          <w:szCs w:val="16"/>
          <w:lang w:val="es-CR"/>
        </w:rPr>
        <w:t>Coc</w:t>
      </w:r>
      <w:proofErr w:type="spellEnd"/>
      <w:r>
        <w:rPr>
          <w:rFonts w:ascii="Verdana" w:hAnsi="Verdana"/>
          <w:sz w:val="16"/>
          <w:szCs w:val="16"/>
          <w:lang w:val="es-CR"/>
        </w:rPr>
        <w:t xml:space="preserve"> </w:t>
      </w:r>
      <w:proofErr w:type="spellStart"/>
      <w:r>
        <w:rPr>
          <w:rFonts w:ascii="Verdana" w:hAnsi="Verdana"/>
          <w:sz w:val="16"/>
          <w:szCs w:val="16"/>
          <w:lang w:val="es-CR"/>
        </w:rPr>
        <w:t>Cajbó</w:t>
      </w:r>
      <w:r w:rsidRPr="00E221AF">
        <w:rPr>
          <w:rFonts w:ascii="Verdana" w:hAnsi="Verdana"/>
          <w:sz w:val="16"/>
          <w:szCs w:val="16"/>
          <w:lang w:val="es-CR"/>
        </w:rPr>
        <w:t>n</w:t>
      </w:r>
      <w:proofErr w:type="spellEnd"/>
      <w:r w:rsidRPr="00E221AF">
        <w:rPr>
          <w:rFonts w:ascii="Verdana" w:hAnsi="Verdana"/>
          <w:sz w:val="16"/>
          <w:szCs w:val="16"/>
          <w:lang w:val="es-CR"/>
        </w:rPr>
        <w:t xml:space="preserve">, María Medina, María Miguel, Mario Alberto </w:t>
      </w:r>
      <w:r>
        <w:rPr>
          <w:rFonts w:ascii="Verdana" w:hAnsi="Verdana"/>
          <w:sz w:val="16"/>
          <w:szCs w:val="16"/>
          <w:lang w:val="es-CR"/>
        </w:rPr>
        <w:t xml:space="preserve">Ramírez </w:t>
      </w:r>
      <w:r w:rsidRPr="00E221AF">
        <w:rPr>
          <w:rFonts w:ascii="Verdana" w:hAnsi="Verdana"/>
          <w:sz w:val="16"/>
          <w:szCs w:val="16"/>
          <w:lang w:val="es-CR"/>
        </w:rPr>
        <w:t>Hernández, Manuela Toma Gómez, Nati</w:t>
      </w:r>
      <w:r>
        <w:rPr>
          <w:rFonts w:ascii="Verdana" w:hAnsi="Verdana"/>
          <w:sz w:val="16"/>
          <w:szCs w:val="16"/>
          <w:lang w:val="es-CR"/>
        </w:rPr>
        <w:t xml:space="preserve">vidad Sales Calmo, Pedro </w:t>
      </w:r>
      <w:proofErr w:type="spellStart"/>
      <w:r>
        <w:rPr>
          <w:rFonts w:ascii="Verdana" w:hAnsi="Verdana"/>
          <w:sz w:val="16"/>
          <w:szCs w:val="16"/>
          <w:lang w:val="es-CR"/>
        </w:rPr>
        <w:t>Coc</w:t>
      </w:r>
      <w:proofErr w:type="spellEnd"/>
      <w:r>
        <w:rPr>
          <w:rFonts w:ascii="Verdana" w:hAnsi="Verdana"/>
          <w:sz w:val="16"/>
          <w:szCs w:val="16"/>
          <w:lang w:val="es-CR"/>
        </w:rPr>
        <w:t xml:space="preserve"> </w:t>
      </w:r>
      <w:proofErr w:type="spellStart"/>
      <w:r>
        <w:rPr>
          <w:rFonts w:ascii="Verdana" w:hAnsi="Verdana"/>
          <w:sz w:val="16"/>
          <w:szCs w:val="16"/>
          <w:lang w:val="es-CR"/>
        </w:rPr>
        <w:t>Chén</w:t>
      </w:r>
      <w:proofErr w:type="spellEnd"/>
      <w:r>
        <w:rPr>
          <w:rFonts w:ascii="Verdana" w:hAnsi="Verdana"/>
          <w:sz w:val="16"/>
          <w:szCs w:val="16"/>
          <w:lang w:val="es-CR"/>
        </w:rPr>
        <w:t>, Pet</w:t>
      </w:r>
      <w:r w:rsidRPr="00E221AF">
        <w:rPr>
          <w:rFonts w:ascii="Verdana" w:hAnsi="Verdana"/>
          <w:sz w:val="16"/>
          <w:szCs w:val="16"/>
          <w:lang w:val="es-CR"/>
        </w:rPr>
        <w:t xml:space="preserve">rona Miguel Méndez, Ramón Mateo, Rolando Hernández Maldonado, Ricardo </w:t>
      </w:r>
      <w:r>
        <w:rPr>
          <w:rFonts w:ascii="Verdana" w:hAnsi="Verdana"/>
          <w:sz w:val="16"/>
          <w:szCs w:val="16"/>
          <w:lang w:val="es-CR"/>
        </w:rPr>
        <w:t xml:space="preserve">Pop </w:t>
      </w:r>
      <w:proofErr w:type="spellStart"/>
      <w:r>
        <w:rPr>
          <w:rFonts w:ascii="Verdana" w:hAnsi="Verdana"/>
          <w:sz w:val="16"/>
          <w:szCs w:val="16"/>
          <w:lang w:val="es-CR"/>
        </w:rPr>
        <w:t>Caal</w:t>
      </w:r>
      <w:proofErr w:type="spellEnd"/>
      <w:r>
        <w:rPr>
          <w:rFonts w:ascii="Verdana" w:hAnsi="Verdana"/>
          <w:sz w:val="16"/>
          <w:szCs w:val="16"/>
          <w:lang w:val="es-CR"/>
        </w:rPr>
        <w:t xml:space="preserve">, Santos </w:t>
      </w:r>
      <w:proofErr w:type="spellStart"/>
      <w:r>
        <w:rPr>
          <w:rFonts w:ascii="Verdana" w:hAnsi="Verdana"/>
          <w:sz w:val="16"/>
          <w:szCs w:val="16"/>
          <w:lang w:val="es-CR"/>
        </w:rPr>
        <w:t>Choc</w:t>
      </w:r>
      <w:proofErr w:type="spellEnd"/>
      <w:r>
        <w:rPr>
          <w:rFonts w:ascii="Verdana" w:hAnsi="Verdana"/>
          <w:sz w:val="16"/>
          <w:szCs w:val="16"/>
          <w:lang w:val="es-CR"/>
        </w:rPr>
        <w:t xml:space="preserve"> </w:t>
      </w:r>
      <w:proofErr w:type="spellStart"/>
      <w:r>
        <w:rPr>
          <w:rFonts w:ascii="Verdana" w:hAnsi="Verdana"/>
          <w:sz w:val="16"/>
          <w:szCs w:val="16"/>
          <w:lang w:val="es-CR"/>
        </w:rPr>
        <w:t>Coc</w:t>
      </w:r>
      <w:proofErr w:type="spellEnd"/>
      <w:r>
        <w:rPr>
          <w:rFonts w:ascii="Verdana" w:hAnsi="Verdana"/>
          <w:sz w:val="16"/>
          <w:szCs w:val="16"/>
          <w:lang w:val="es-CR"/>
        </w:rPr>
        <w:t xml:space="preserve"> y Tomá</w:t>
      </w:r>
      <w:r w:rsidRPr="00E221AF">
        <w:rPr>
          <w:rFonts w:ascii="Verdana" w:hAnsi="Verdana"/>
          <w:sz w:val="16"/>
          <w:szCs w:val="16"/>
          <w:lang w:val="es-CR"/>
        </w:rPr>
        <w:t xml:space="preserve">s Grave </w:t>
      </w:r>
      <w:proofErr w:type="spellStart"/>
      <w:r w:rsidRPr="00E221AF">
        <w:rPr>
          <w:rFonts w:ascii="Verdana" w:hAnsi="Verdana"/>
          <w:sz w:val="16"/>
          <w:szCs w:val="16"/>
          <w:lang w:val="es-CR"/>
        </w:rPr>
        <w:t>Morente</w:t>
      </w:r>
      <w:proofErr w:type="spellEnd"/>
      <w:r w:rsidRPr="00E221AF">
        <w:rPr>
          <w:rFonts w:ascii="Verdana" w:hAnsi="Verdana"/>
          <w:sz w:val="16"/>
          <w:szCs w:val="16"/>
          <w:lang w:val="es-CR"/>
        </w:rPr>
        <w:t xml:space="preserve">. </w:t>
      </w:r>
      <w:r w:rsidRPr="00E221AF">
        <w:rPr>
          <w:rFonts w:ascii="Verdana" w:hAnsi="Verdana"/>
          <w:bCs/>
          <w:sz w:val="16"/>
          <w:szCs w:val="16"/>
          <w:lang w:val="es-CR"/>
        </w:rPr>
        <w:t xml:space="preserve">La incorporación de los peritajes fue solicitada por la Comisión, y las declaraciones fueron presentadas por los representantes. </w:t>
      </w:r>
      <w:r w:rsidRPr="00E221AF">
        <w:rPr>
          <w:rFonts w:ascii="Verdana" w:hAnsi="Verdana"/>
          <w:i/>
          <w:sz w:val="16"/>
          <w:szCs w:val="16"/>
          <w:lang w:val="es-CR"/>
        </w:rPr>
        <w:t xml:space="preserve">Cfr. </w:t>
      </w:r>
      <w:r w:rsidRPr="00E221AF">
        <w:rPr>
          <w:rFonts w:ascii="Verdana" w:hAnsi="Verdana"/>
          <w:bCs/>
          <w:i/>
          <w:sz w:val="16"/>
          <w:szCs w:val="16"/>
          <w:lang w:val="es-CR"/>
        </w:rPr>
        <w:t xml:space="preserve">Caso </w:t>
      </w:r>
      <w:proofErr w:type="spellStart"/>
      <w:r w:rsidRPr="00E221AF">
        <w:rPr>
          <w:rFonts w:ascii="Verdana" w:hAnsi="Verdana"/>
          <w:bCs/>
          <w:i/>
          <w:sz w:val="16"/>
          <w:szCs w:val="16"/>
          <w:lang w:val="es-CR"/>
        </w:rPr>
        <w:t>Coc</w:t>
      </w:r>
      <w:proofErr w:type="spellEnd"/>
      <w:r w:rsidRPr="00E221AF">
        <w:rPr>
          <w:rFonts w:ascii="Verdana" w:hAnsi="Verdana"/>
          <w:bCs/>
          <w:i/>
          <w:sz w:val="16"/>
          <w:szCs w:val="16"/>
          <w:lang w:val="es-CR"/>
        </w:rPr>
        <w:t xml:space="preserve"> Max y otros Vs. Guatemala. Convocatoria a audiencia, supra, </w:t>
      </w:r>
      <w:r w:rsidRPr="00E221AF">
        <w:rPr>
          <w:rFonts w:ascii="Verdana" w:hAnsi="Verdana"/>
          <w:bCs/>
          <w:sz w:val="16"/>
          <w:szCs w:val="16"/>
          <w:lang w:val="es-CR"/>
        </w:rPr>
        <w:t>Considerandos 12 a 20 y puntos resolutivos 11 y 12.</w:t>
      </w:r>
    </w:p>
  </w:footnote>
  <w:footnote w:id="14">
    <w:p w:rsidR="00785921" w:rsidRDefault="00785921" w:rsidP="00126E97">
      <w:pPr>
        <w:pStyle w:val="FootnoteText"/>
        <w:spacing w:line="20" w:lineRule="atLeast"/>
        <w:ind w:right="-138"/>
        <w:rPr>
          <w:sz w:val="16"/>
          <w:szCs w:val="16"/>
          <w:lang w:val="es-CR"/>
        </w:rPr>
      </w:pPr>
      <w:r>
        <w:rPr>
          <w:rStyle w:val="FootnoteReference"/>
          <w:sz w:val="16"/>
          <w:szCs w:val="16"/>
          <w:lang w:val="es-CR" w:eastAsia="x-none"/>
        </w:rPr>
        <w:footnoteRef/>
      </w:r>
      <w:r w:rsidRPr="00637508">
        <w:rPr>
          <w:sz w:val="16"/>
          <w:szCs w:val="16"/>
          <w:lang w:val="es-CR"/>
        </w:rPr>
        <w:t xml:space="preserve"> Tres son declaraciones testimoniales ante el Tribunal Primero de Sentencia Penal, Narcoactividad y Delitos contra el Ambiente de a) Efraín Grave </w:t>
      </w:r>
      <w:proofErr w:type="spellStart"/>
      <w:r w:rsidRPr="00637508">
        <w:rPr>
          <w:sz w:val="16"/>
          <w:szCs w:val="16"/>
          <w:lang w:val="es-CR"/>
        </w:rPr>
        <w:t>Morente</w:t>
      </w:r>
      <w:proofErr w:type="spellEnd"/>
      <w:r w:rsidRPr="00637508">
        <w:rPr>
          <w:sz w:val="16"/>
          <w:szCs w:val="16"/>
          <w:lang w:val="es-CR"/>
        </w:rPr>
        <w:t>; b) Natividad Sales</w:t>
      </w:r>
      <w:r>
        <w:rPr>
          <w:sz w:val="16"/>
          <w:szCs w:val="16"/>
          <w:lang w:val="es-CR"/>
        </w:rPr>
        <w:t xml:space="preserve"> Calmo</w:t>
      </w:r>
      <w:r w:rsidRPr="00637508">
        <w:rPr>
          <w:sz w:val="16"/>
          <w:szCs w:val="16"/>
          <w:lang w:val="es-CR"/>
        </w:rPr>
        <w:t xml:space="preserve">, y c) Tomás Grave </w:t>
      </w:r>
      <w:proofErr w:type="spellStart"/>
      <w:r w:rsidRPr="00637508">
        <w:rPr>
          <w:sz w:val="16"/>
          <w:szCs w:val="16"/>
          <w:lang w:val="es-CR"/>
        </w:rPr>
        <w:t>Morente</w:t>
      </w:r>
      <w:proofErr w:type="spellEnd"/>
      <w:r w:rsidRPr="00637508">
        <w:rPr>
          <w:sz w:val="16"/>
          <w:szCs w:val="16"/>
          <w:lang w:val="es-CR"/>
        </w:rPr>
        <w:t>. Los otros dos son “fotografías del lugar de los hechos” y “</w:t>
      </w:r>
      <w:r>
        <w:rPr>
          <w:sz w:val="16"/>
          <w:szCs w:val="16"/>
          <w:lang w:val="es-CR"/>
        </w:rPr>
        <w:t>[d]</w:t>
      </w:r>
      <w:proofErr w:type="spellStart"/>
      <w:r w:rsidRPr="00637508">
        <w:rPr>
          <w:sz w:val="16"/>
          <w:szCs w:val="16"/>
          <w:lang w:val="es-CR"/>
        </w:rPr>
        <w:t>ocumentos</w:t>
      </w:r>
      <w:proofErr w:type="spellEnd"/>
      <w:r w:rsidRPr="00637508">
        <w:rPr>
          <w:sz w:val="16"/>
          <w:szCs w:val="16"/>
          <w:lang w:val="es-CR"/>
        </w:rPr>
        <w:t xml:space="preserve"> del Programa Nacional de Resarcimiento”.</w:t>
      </w:r>
    </w:p>
  </w:footnote>
  <w:footnote w:id="15">
    <w:p w:rsidR="00785921" w:rsidRPr="00637508" w:rsidRDefault="00785921" w:rsidP="00126E97">
      <w:pPr>
        <w:pStyle w:val="FootnoteText"/>
        <w:spacing w:line="20" w:lineRule="atLeast"/>
        <w:ind w:right="-93"/>
        <w:rPr>
          <w:sz w:val="16"/>
          <w:szCs w:val="16"/>
          <w:lang w:val="es-CR"/>
        </w:rPr>
      </w:pPr>
      <w:r>
        <w:rPr>
          <w:rStyle w:val="FootnoteReference"/>
          <w:sz w:val="16"/>
          <w:szCs w:val="16"/>
          <w:lang w:eastAsia="x-none"/>
        </w:rPr>
        <w:footnoteRef/>
      </w:r>
      <w:r w:rsidRPr="00637508">
        <w:rPr>
          <w:sz w:val="16"/>
          <w:szCs w:val="16"/>
          <w:lang w:val="es-CR"/>
        </w:rPr>
        <w:t xml:space="preserve"> Son los siguientes: a) “Documento que contiene cómputo de penas”; b) “Escrituras de propiedad de la tierra de la </w:t>
      </w:r>
      <w:r>
        <w:rPr>
          <w:sz w:val="16"/>
          <w:szCs w:val="16"/>
          <w:lang w:val="es-CR"/>
        </w:rPr>
        <w:t>[C]</w:t>
      </w:r>
      <w:proofErr w:type="spellStart"/>
      <w:r w:rsidRPr="00637508">
        <w:rPr>
          <w:sz w:val="16"/>
          <w:szCs w:val="16"/>
          <w:lang w:val="es-CR"/>
        </w:rPr>
        <w:t>omunidad</w:t>
      </w:r>
      <w:proofErr w:type="spellEnd"/>
      <w:r w:rsidRPr="00637508">
        <w:rPr>
          <w:sz w:val="16"/>
          <w:szCs w:val="16"/>
          <w:lang w:val="es-CR"/>
        </w:rPr>
        <w:t xml:space="preserve"> Aurora 8 de Octubre”; c) “Acuerdo suscrito ente las Comisiones Permanentes de Representantes de los Refugiados guatemaltecos en México y el Gobierno de Guatemala”; d) “Comunicaciones enviadas a COPREDEH”; e) “Documentación de soporte sobre gastos realizados por [los] </w:t>
      </w:r>
      <w:proofErr w:type="spellStart"/>
      <w:r w:rsidRPr="00637508">
        <w:rPr>
          <w:sz w:val="16"/>
          <w:szCs w:val="16"/>
          <w:lang w:val="es-CR"/>
        </w:rPr>
        <w:t>respresenta</w:t>
      </w:r>
      <w:proofErr w:type="spellEnd"/>
      <w:r w:rsidRPr="00637508">
        <w:rPr>
          <w:sz w:val="16"/>
          <w:szCs w:val="16"/>
          <w:lang w:val="es-CR"/>
        </w:rPr>
        <w:t>[</w:t>
      </w:r>
      <w:proofErr w:type="spellStart"/>
      <w:r w:rsidRPr="00637508">
        <w:rPr>
          <w:sz w:val="16"/>
          <w:szCs w:val="16"/>
          <w:lang w:val="es-CR"/>
        </w:rPr>
        <w:t>ntes</w:t>
      </w:r>
      <w:proofErr w:type="spellEnd"/>
      <w:r w:rsidRPr="00637508">
        <w:rPr>
          <w:sz w:val="16"/>
          <w:szCs w:val="16"/>
          <w:lang w:val="es-CR"/>
        </w:rPr>
        <w:t xml:space="preserve">]”; f) “Acuerdo para el reasentamiento de las poblaciones desarraigadas por el enfrentamiento armado, Oslo, 17 de junio de 1994”, y g) “Convención sobre el Estatuto de los Refugiados”. </w:t>
      </w:r>
    </w:p>
  </w:footnote>
  <w:footnote w:id="16">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En cuanto a las consideraciones estatales sobre la falta de comprobantes en relación con ese documento, este Tribunal entiende que se refieren a su valor probatorio y no afecta su admisibilidad.</w:t>
      </w:r>
    </w:p>
  </w:footnote>
  <w:footnote w:id="17">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En efecto: a) se preguntó por el título jurídico de la tierra en que se instaló la Comunidad “Aurora 8 de Octubre”, y con ello tienen relación los documentos señalados como: i.- “Escrituras de propiedad de la tierra de la </w:t>
      </w:r>
      <w:r>
        <w:rPr>
          <w:sz w:val="16"/>
          <w:szCs w:val="16"/>
          <w:lang w:val="es-CR"/>
        </w:rPr>
        <w:t>[C]</w:t>
      </w:r>
      <w:proofErr w:type="spellStart"/>
      <w:r w:rsidRPr="00637508">
        <w:rPr>
          <w:sz w:val="16"/>
          <w:szCs w:val="16"/>
          <w:lang w:val="es-CR"/>
        </w:rPr>
        <w:t>omunidad</w:t>
      </w:r>
      <w:proofErr w:type="spellEnd"/>
      <w:r w:rsidRPr="00637508">
        <w:rPr>
          <w:sz w:val="16"/>
          <w:szCs w:val="16"/>
          <w:lang w:val="es-CR"/>
        </w:rPr>
        <w:t xml:space="preserve"> Aurora 8 de Octubre”; ii.- “Acuerdo suscrito ente las Comisiones Permanentes de Representantes de los Refugiados guatemaltecos en México y el Gobierno de Guatemala”, y iii.- “Acuerdo para el reasentamiento de las poblaciones desarraigadas por el enfrentamiento armado, Oslo, 17 de junio de 1994”, b) se preguntó por el tiempo fijado en las condenas privativas de libertad y a ello se refiere el “[d]</w:t>
      </w:r>
      <w:proofErr w:type="spellStart"/>
      <w:r w:rsidRPr="00637508">
        <w:rPr>
          <w:sz w:val="16"/>
          <w:szCs w:val="16"/>
          <w:lang w:val="es-CR"/>
        </w:rPr>
        <w:t>ocumento</w:t>
      </w:r>
      <w:proofErr w:type="spellEnd"/>
      <w:r w:rsidRPr="00637508">
        <w:rPr>
          <w:sz w:val="16"/>
          <w:szCs w:val="16"/>
          <w:lang w:val="es-CR"/>
        </w:rPr>
        <w:t xml:space="preserve"> que contiene cómputo de penas”, y c) se preguntó por el proceso de solución amistosa y a ello se refieren las “[c]</w:t>
      </w:r>
      <w:proofErr w:type="spellStart"/>
      <w:r w:rsidRPr="00637508">
        <w:rPr>
          <w:sz w:val="16"/>
          <w:szCs w:val="16"/>
          <w:lang w:val="es-CR"/>
        </w:rPr>
        <w:t>omunicaciones</w:t>
      </w:r>
      <w:proofErr w:type="spellEnd"/>
      <w:r w:rsidRPr="00637508">
        <w:rPr>
          <w:sz w:val="16"/>
          <w:szCs w:val="16"/>
          <w:lang w:val="es-CR"/>
        </w:rPr>
        <w:t xml:space="preserve"> enviadas a COPREDEH”. </w:t>
      </w:r>
    </w:p>
  </w:footnote>
  <w:footnote w:id="18">
    <w:p w:rsidR="00785921" w:rsidRPr="0067284D" w:rsidRDefault="00785921" w:rsidP="00126E97">
      <w:pPr>
        <w:pStyle w:val="FootnoteText"/>
        <w:spacing w:line="20" w:lineRule="atLeast"/>
        <w:rPr>
          <w:sz w:val="16"/>
          <w:szCs w:val="16"/>
          <w:lang w:val="es-CR"/>
        </w:rPr>
      </w:pPr>
      <w:r w:rsidRPr="0067284D">
        <w:rPr>
          <w:rStyle w:val="FootnoteReference"/>
          <w:sz w:val="16"/>
          <w:szCs w:val="16"/>
        </w:rPr>
        <w:footnoteRef/>
      </w:r>
      <w:r w:rsidRPr="0067284D">
        <w:rPr>
          <w:sz w:val="16"/>
          <w:szCs w:val="16"/>
          <w:lang w:val="es-CR"/>
        </w:rPr>
        <w:t xml:space="preserve"> </w:t>
      </w:r>
      <w:r w:rsidRPr="0067284D">
        <w:rPr>
          <w:i/>
          <w:sz w:val="16"/>
          <w:szCs w:val="16"/>
          <w:lang w:val="es-CR"/>
        </w:rPr>
        <w:t>Cfr.</w:t>
      </w:r>
      <w:r w:rsidRPr="0067284D">
        <w:rPr>
          <w:sz w:val="16"/>
          <w:szCs w:val="16"/>
          <w:lang w:val="es-CR"/>
        </w:rPr>
        <w:t xml:space="preserve"> Certificados de nacimiento y defunción de Pedro Daniel Carrillo López, emitidos el 8 y el 6 de </w:t>
      </w:r>
      <w:r>
        <w:rPr>
          <w:sz w:val="16"/>
          <w:szCs w:val="16"/>
          <w:lang w:val="es-CR"/>
        </w:rPr>
        <w:t>agosto de 2018, respectivamente, adjuntos a la comunicación de los representantes de 16 de agosto de 2018 (e</w:t>
      </w:r>
      <w:r w:rsidRPr="0067284D">
        <w:rPr>
          <w:sz w:val="16"/>
          <w:szCs w:val="16"/>
          <w:lang w:val="es-CR"/>
        </w:rPr>
        <w:t>xpediente de fondo, f</w:t>
      </w:r>
      <w:r>
        <w:rPr>
          <w:sz w:val="16"/>
          <w:szCs w:val="16"/>
          <w:lang w:val="es-CR"/>
        </w:rPr>
        <w:t>olio</w:t>
      </w:r>
      <w:r w:rsidRPr="0067284D">
        <w:rPr>
          <w:sz w:val="16"/>
          <w:szCs w:val="16"/>
          <w:lang w:val="es-CR"/>
        </w:rPr>
        <w:t>s</w:t>
      </w:r>
      <w:r>
        <w:rPr>
          <w:sz w:val="16"/>
          <w:szCs w:val="16"/>
          <w:lang w:val="es-CR"/>
        </w:rPr>
        <w:t xml:space="preserve"> 899 y 900).</w:t>
      </w:r>
      <w:r w:rsidRPr="0067284D">
        <w:rPr>
          <w:sz w:val="16"/>
          <w:szCs w:val="16"/>
          <w:lang w:val="es-CR"/>
        </w:rPr>
        <w:t xml:space="preserve"> </w:t>
      </w:r>
    </w:p>
  </w:footnote>
  <w:footnote w:id="19">
    <w:p w:rsidR="00785921" w:rsidRPr="00E221AF" w:rsidRDefault="00785921" w:rsidP="00126E97">
      <w:pPr>
        <w:spacing w:after="0" w:line="20" w:lineRule="atLeast"/>
        <w:jc w:val="both"/>
        <w:rPr>
          <w:rFonts w:ascii="Verdana" w:hAnsi="Verdana"/>
          <w:sz w:val="16"/>
          <w:szCs w:val="16"/>
          <w:lang w:val="es-CR"/>
        </w:rPr>
      </w:pPr>
      <w:r w:rsidRPr="00E221AF">
        <w:rPr>
          <w:rStyle w:val="FootnoteReference"/>
          <w:rFonts w:ascii="Verdana" w:hAnsi="Verdana"/>
          <w:sz w:val="16"/>
          <w:szCs w:val="16"/>
          <w:lang w:eastAsia="x-none"/>
        </w:rPr>
        <w:footnoteRef/>
      </w:r>
      <w:r w:rsidRPr="00E221AF">
        <w:rPr>
          <w:rFonts w:ascii="Verdana" w:hAnsi="Verdana"/>
          <w:sz w:val="16"/>
          <w:szCs w:val="16"/>
          <w:lang w:val="es-CR"/>
        </w:rPr>
        <w:t xml:space="preserve"> La Comisión indicó: a) como anexo 1 al Informe de Fondo el documento que identificó como “CEH, Guatemala: Memoria del Silencio, Conclusiones y Recomendaciones, </w:t>
      </w:r>
      <w:proofErr w:type="spellStart"/>
      <w:r w:rsidRPr="00E221AF">
        <w:rPr>
          <w:rFonts w:ascii="Verdana" w:hAnsi="Verdana"/>
          <w:sz w:val="16"/>
          <w:szCs w:val="16"/>
          <w:lang w:val="es-CR"/>
        </w:rPr>
        <w:t>párrs</w:t>
      </w:r>
      <w:proofErr w:type="spellEnd"/>
      <w:r w:rsidRPr="00E221AF">
        <w:rPr>
          <w:rFonts w:ascii="Verdana" w:hAnsi="Verdana"/>
          <w:sz w:val="16"/>
          <w:szCs w:val="16"/>
          <w:lang w:val="es-CR"/>
        </w:rPr>
        <w:t xml:space="preserve">. 85-88”, y b) como anexo 2 al Informe de Fondo el documento que identificó como “CEH, Guatemala: Memoria del Silencio, Tomo VI, Casos Ilustrativos, Anexo 1, Caso ilustrativo No. 3: Masacre de </w:t>
      </w:r>
      <w:proofErr w:type="spellStart"/>
      <w:r w:rsidRPr="00E221AF">
        <w:rPr>
          <w:rFonts w:ascii="Verdana" w:hAnsi="Verdana"/>
          <w:sz w:val="16"/>
          <w:szCs w:val="16"/>
          <w:lang w:val="es-CR"/>
        </w:rPr>
        <w:t>Xamán</w:t>
      </w:r>
      <w:proofErr w:type="spellEnd"/>
      <w:r w:rsidRPr="00E221AF">
        <w:rPr>
          <w:rFonts w:ascii="Verdana" w:hAnsi="Verdana"/>
          <w:sz w:val="16"/>
          <w:szCs w:val="16"/>
          <w:lang w:val="es-CR"/>
        </w:rPr>
        <w:t>”. Ambos documentos forman parte de uno: el documento “Guatemala: Memoria del Silencio”, de la Comisión para el Esclarecimiento Histórico, que la Corte tendrá en cuenta en su integralidad, dado que los anexos 1 y 2 al Informe de Fondo forman parte de ese documento y teniendo en cuenta las consideraciones del Estado sobre el mismo (</w:t>
      </w:r>
      <w:r w:rsidRPr="00E221AF">
        <w:rPr>
          <w:rFonts w:ascii="Verdana" w:hAnsi="Verdana"/>
          <w:i/>
          <w:sz w:val="16"/>
          <w:szCs w:val="16"/>
          <w:lang w:val="es-CR"/>
        </w:rPr>
        <w:t>infra</w:t>
      </w:r>
      <w:r w:rsidRPr="00E221AF">
        <w:rPr>
          <w:rFonts w:ascii="Verdana" w:hAnsi="Verdana"/>
          <w:sz w:val="16"/>
          <w:szCs w:val="16"/>
          <w:lang w:val="es-CR"/>
        </w:rPr>
        <w:t xml:space="preserve"> párr. 26). El documento fue tomado de internet: </w:t>
      </w:r>
      <w:hyperlink r:id="rId2" w:history="1">
        <w:r w:rsidRPr="003438EE">
          <w:rPr>
            <w:rStyle w:val="Hyperlink"/>
            <w:rFonts w:ascii="Verdana" w:hAnsi="Verdana"/>
            <w:color w:val="auto"/>
            <w:sz w:val="16"/>
            <w:szCs w:val="16"/>
            <w:u w:val="none"/>
            <w:lang w:val="es-CR"/>
          </w:rPr>
          <w:t>http://www.centrodememoriahistorica.gov.co/descargas/guatemala-memoria-silencio/guatemala-memoria-del-silencio.pdf</w:t>
        </w:r>
      </w:hyperlink>
      <w:r w:rsidRPr="004B3ED7">
        <w:rPr>
          <w:rFonts w:ascii="Verdana" w:hAnsi="Verdana"/>
          <w:sz w:val="16"/>
          <w:szCs w:val="16"/>
          <w:lang w:val="es-CR"/>
        </w:rPr>
        <w:t xml:space="preserve"> </w:t>
      </w:r>
      <w:r w:rsidRPr="00E221AF">
        <w:rPr>
          <w:rFonts w:ascii="Verdana" w:hAnsi="Verdana"/>
          <w:sz w:val="16"/>
          <w:szCs w:val="16"/>
          <w:lang w:val="es-CR"/>
        </w:rPr>
        <w:t>(en adelante se hará referencia al documento como “CEH</w:t>
      </w:r>
      <w:r>
        <w:rPr>
          <w:rFonts w:ascii="Verdana" w:hAnsi="Verdana"/>
          <w:sz w:val="16"/>
          <w:szCs w:val="16"/>
          <w:lang w:val="es-CR"/>
        </w:rPr>
        <w:t>,</w:t>
      </w:r>
      <w:r w:rsidRPr="00E221AF">
        <w:rPr>
          <w:rFonts w:ascii="Verdana" w:hAnsi="Verdana"/>
          <w:sz w:val="16"/>
          <w:szCs w:val="16"/>
          <w:lang w:val="es-CR"/>
        </w:rPr>
        <w:t xml:space="preserve"> Guatemala: Memoria del Silencio”). </w:t>
      </w:r>
      <w:r>
        <w:rPr>
          <w:rFonts w:ascii="Verdana" w:hAnsi="Verdana"/>
          <w:sz w:val="16"/>
          <w:szCs w:val="16"/>
          <w:lang w:val="es-CR"/>
        </w:rPr>
        <w:t>L</w:t>
      </w:r>
      <w:r w:rsidRPr="00E221AF">
        <w:rPr>
          <w:rFonts w:ascii="Verdana" w:hAnsi="Verdana"/>
          <w:sz w:val="16"/>
          <w:szCs w:val="16"/>
          <w:lang w:val="es-CR"/>
        </w:rPr>
        <w:t xml:space="preserve">os sitios de internet señalados en la presente Sentencia fueron consultados por última vez en la fecha en que la misma fue </w:t>
      </w:r>
      <w:r>
        <w:rPr>
          <w:rFonts w:ascii="Verdana" w:hAnsi="Verdana"/>
          <w:sz w:val="16"/>
          <w:szCs w:val="16"/>
          <w:lang w:val="es-CR"/>
        </w:rPr>
        <w:t>emitida; es decir, el 22 de agosto de 2018.</w:t>
      </w:r>
      <w:r w:rsidRPr="00E221AF">
        <w:rPr>
          <w:rFonts w:ascii="Verdana" w:hAnsi="Verdana"/>
          <w:sz w:val="16"/>
          <w:szCs w:val="16"/>
          <w:lang w:val="es-CR"/>
        </w:rPr>
        <w:t xml:space="preserve"> </w:t>
      </w:r>
    </w:p>
  </w:footnote>
  <w:footnote w:id="20">
    <w:p w:rsidR="00785921" w:rsidRPr="00C04446" w:rsidRDefault="00785921" w:rsidP="00126E97">
      <w:pPr>
        <w:pStyle w:val="FootnoteText"/>
        <w:spacing w:line="20" w:lineRule="atLeast"/>
        <w:rPr>
          <w:lang w:val="es-CR"/>
        </w:rPr>
      </w:pPr>
      <w:r w:rsidRPr="005D7ADB">
        <w:rPr>
          <w:rStyle w:val="FootnoteReference"/>
          <w:sz w:val="16"/>
          <w:szCs w:val="16"/>
        </w:rPr>
        <w:footnoteRef/>
      </w:r>
      <w:r w:rsidRPr="005D7ADB">
        <w:rPr>
          <w:sz w:val="16"/>
          <w:szCs w:val="16"/>
          <w:lang w:val="es-CR"/>
        </w:rPr>
        <w:t xml:space="preserve"> Los objetos de estas declaraciones se encuentran establecidos en la Resolución de la Presidencia de 13 de diciembre</w:t>
      </w:r>
      <w:r>
        <w:rPr>
          <w:sz w:val="16"/>
          <w:szCs w:val="16"/>
          <w:lang w:val="es-CR"/>
        </w:rPr>
        <w:t xml:space="preserve"> de 2017 (</w:t>
      </w:r>
      <w:r>
        <w:rPr>
          <w:i/>
          <w:sz w:val="16"/>
          <w:szCs w:val="16"/>
          <w:lang w:val="es-CR"/>
        </w:rPr>
        <w:t>c</w:t>
      </w:r>
      <w:r w:rsidRPr="00637508">
        <w:rPr>
          <w:i/>
          <w:sz w:val="16"/>
          <w:szCs w:val="16"/>
          <w:lang w:val="es-CR"/>
        </w:rPr>
        <w:t xml:space="preserve">fr. </w:t>
      </w:r>
      <w:r>
        <w:rPr>
          <w:bCs/>
          <w:i/>
          <w:sz w:val="16"/>
          <w:szCs w:val="16"/>
          <w:lang w:val="es-CR"/>
        </w:rPr>
        <w:t xml:space="preserve">Caso </w:t>
      </w:r>
      <w:proofErr w:type="spellStart"/>
      <w:r>
        <w:rPr>
          <w:bCs/>
          <w:i/>
          <w:sz w:val="16"/>
          <w:szCs w:val="16"/>
          <w:lang w:val="es-CR"/>
        </w:rPr>
        <w:t>Coc</w:t>
      </w:r>
      <w:proofErr w:type="spellEnd"/>
      <w:r>
        <w:rPr>
          <w:bCs/>
          <w:i/>
          <w:sz w:val="16"/>
          <w:szCs w:val="16"/>
          <w:lang w:val="es-CR"/>
        </w:rPr>
        <w:t xml:space="preserve"> Max y otros Vs. Guatemala. Convocatoria a audiencia</w:t>
      </w:r>
      <w:r>
        <w:rPr>
          <w:bCs/>
          <w:sz w:val="16"/>
          <w:szCs w:val="16"/>
          <w:lang w:val="es-CR"/>
        </w:rPr>
        <w:t xml:space="preserve">, </w:t>
      </w:r>
      <w:r w:rsidRPr="005D7ADB">
        <w:rPr>
          <w:bCs/>
          <w:i/>
          <w:sz w:val="16"/>
          <w:szCs w:val="16"/>
          <w:lang w:val="es-CR"/>
        </w:rPr>
        <w:t>supra</w:t>
      </w:r>
      <w:r>
        <w:rPr>
          <w:sz w:val="16"/>
          <w:szCs w:val="16"/>
          <w:lang w:val="es-CR"/>
        </w:rPr>
        <w:t>).</w:t>
      </w:r>
    </w:p>
  </w:footnote>
  <w:footnote w:id="21">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sidRPr="00637508">
        <w:rPr>
          <w:sz w:val="16"/>
          <w:szCs w:val="16"/>
          <w:lang w:val="es-CR"/>
        </w:rPr>
        <w:t xml:space="preserve"> </w:t>
      </w:r>
      <w:r w:rsidRPr="00637508">
        <w:rPr>
          <w:i/>
          <w:sz w:val="16"/>
          <w:szCs w:val="16"/>
          <w:lang w:val="es-CR"/>
        </w:rPr>
        <w:t xml:space="preserve">Cfr. </w:t>
      </w:r>
      <w:r>
        <w:rPr>
          <w:bCs/>
          <w:i/>
          <w:sz w:val="16"/>
          <w:szCs w:val="16"/>
          <w:lang w:val="es-CR"/>
        </w:rPr>
        <w:t xml:space="preserve">Caso </w:t>
      </w:r>
      <w:proofErr w:type="spellStart"/>
      <w:r>
        <w:rPr>
          <w:bCs/>
          <w:i/>
          <w:sz w:val="16"/>
          <w:szCs w:val="16"/>
          <w:lang w:val="es-CR"/>
        </w:rPr>
        <w:t>Coc</w:t>
      </w:r>
      <w:proofErr w:type="spellEnd"/>
      <w:r>
        <w:rPr>
          <w:bCs/>
          <w:i/>
          <w:sz w:val="16"/>
          <w:szCs w:val="16"/>
          <w:lang w:val="es-CR"/>
        </w:rPr>
        <w:t xml:space="preserve"> Max y otros Vs. Guatemala. Convocatoria a audiencia</w:t>
      </w:r>
      <w:r>
        <w:rPr>
          <w:bCs/>
          <w:sz w:val="16"/>
          <w:szCs w:val="16"/>
          <w:lang w:val="es-CR"/>
        </w:rPr>
        <w:t xml:space="preserve">, </w:t>
      </w:r>
      <w:r w:rsidRPr="005D7ADB">
        <w:rPr>
          <w:bCs/>
          <w:i/>
          <w:sz w:val="16"/>
          <w:szCs w:val="16"/>
          <w:lang w:val="es-CR"/>
        </w:rPr>
        <w:t>supra</w:t>
      </w:r>
      <w:r>
        <w:rPr>
          <w:bCs/>
          <w:sz w:val="16"/>
          <w:szCs w:val="16"/>
          <w:lang w:val="es-CR"/>
        </w:rPr>
        <w:t>, Considerando 23.</w:t>
      </w:r>
      <w:r w:rsidRPr="00637508">
        <w:rPr>
          <w:sz w:val="16"/>
          <w:szCs w:val="16"/>
          <w:lang w:val="es-CR"/>
        </w:rPr>
        <w:t xml:space="preserve"> </w:t>
      </w:r>
    </w:p>
  </w:footnote>
  <w:footnote w:id="22">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sidRPr="00637508">
        <w:rPr>
          <w:sz w:val="16"/>
          <w:szCs w:val="16"/>
          <w:lang w:val="es-CR"/>
        </w:rPr>
        <w:t xml:space="preserve"> La Corte advierte que en el escrito de solicitudes y argumentos los representantes, al solicitar la diligencia, adujeron también que la misma serviría como “medida precautoria para quienes su vida se encuentra en riesgo”. Respecto a tal aducida situación de riesgo, resulta pertinente remitirse a las medidas provisionales adoptadas (</w:t>
      </w:r>
      <w:r w:rsidRPr="00637508">
        <w:rPr>
          <w:i/>
          <w:sz w:val="16"/>
          <w:szCs w:val="16"/>
          <w:lang w:val="es-CR"/>
        </w:rPr>
        <w:t>supra</w:t>
      </w:r>
      <w:r w:rsidRPr="00637508">
        <w:rPr>
          <w:sz w:val="16"/>
          <w:szCs w:val="16"/>
          <w:lang w:val="es-CR"/>
        </w:rPr>
        <w:t xml:space="preserve"> párr. </w:t>
      </w:r>
      <w:r>
        <w:rPr>
          <w:sz w:val="16"/>
          <w:szCs w:val="16"/>
          <w:lang w:val="es-CR"/>
        </w:rPr>
        <w:t>10</w:t>
      </w:r>
      <w:r w:rsidRPr="00637508">
        <w:rPr>
          <w:sz w:val="16"/>
          <w:szCs w:val="16"/>
          <w:lang w:val="es-CR"/>
        </w:rPr>
        <w:t xml:space="preserve">). </w:t>
      </w:r>
    </w:p>
  </w:footnote>
  <w:footnote w:id="23">
    <w:p w:rsidR="00785921" w:rsidRPr="00676759" w:rsidRDefault="00785921" w:rsidP="00126E97">
      <w:pPr>
        <w:pStyle w:val="FootnoteText"/>
        <w:spacing w:line="20" w:lineRule="atLeast"/>
        <w:rPr>
          <w:sz w:val="16"/>
          <w:szCs w:val="16"/>
          <w:lang w:val="es-CR"/>
        </w:rPr>
      </w:pPr>
      <w:r w:rsidRPr="00FB57C9">
        <w:rPr>
          <w:rStyle w:val="FootnoteReference"/>
          <w:sz w:val="16"/>
          <w:szCs w:val="16"/>
          <w:lang w:val="es-CR" w:eastAsia="x-none"/>
        </w:rPr>
        <w:footnoteRef/>
      </w:r>
      <w:r w:rsidRPr="00FB57C9">
        <w:rPr>
          <w:sz w:val="16"/>
          <w:szCs w:val="16"/>
          <w:lang w:val="es-CR"/>
        </w:rPr>
        <w:t xml:space="preserve"> En ese marco, la Corte </w:t>
      </w:r>
      <w:r w:rsidRPr="00676759">
        <w:rPr>
          <w:sz w:val="16"/>
          <w:szCs w:val="16"/>
          <w:lang w:val="es-CR"/>
        </w:rPr>
        <w:t xml:space="preserve">tendrá en cuenta precisiones pertinentes que surgen de la prueba, inclusive información sobre los hechos presentada por las partes en el trámite ante la Comisión, allegada a la Corte como prueba documental.  </w:t>
      </w:r>
    </w:p>
  </w:footnote>
  <w:footnote w:id="24">
    <w:p w:rsidR="00785921" w:rsidRPr="00676759" w:rsidRDefault="00785921" w:rsidP="00126E97">
      <w:pPr>
        <w:pStyle w:val="FootnoteText"/>
        <w:spacing w:line="20" w:lineRule="atLeast"/>
        <w:rPr>
          <w:b/>
          <w:sz w:val="16"/>
          <w:szCs w:val="16"/>
          <w:lang w:val="es-CR"/>
        </w:rPr>
      </w:pPr>
      <w:r w:rsidRPr="00676759">
        <w:rPr>
          <w:rStyle w:val="FootnoteReference"/>
          <w:sz w:val="16"/>
          <w:szCs w:val="16"/>
        </w:rPr>
        <w:footnoteRef/>
      </w:r>
      <w:r w:rsidRPr="00676759">
        <w:rPr>
          <w:sz w:val="16"/>
          <w:szCs w:val="16"/>
          <w:lang w:val="es-CR"/>
        </w:rPr>
        <w:t xml:space="preserve"> </w:t>
      </w:r>
      <w:r w:rsidRPr="00676759">
        <w:rPr>
          <w:i/>
          <w:iCs/>
          <w:sz w:val="16"/>
          <w:szCs w:val="16"/>
          <w:lang w:val="es-CR"/>
        </w:rPr>
        <w:t xml:space="preserve">Cfr. Caso </w:t>
      </w:r>
      <w:r w:rsidRPr="00E221AF">
        <w:rPr>
          <w:rStyle w:val="Strong"/>
          <w:b w:val="0"/>
          <w:i/>
          <w:sz w:val="16"/>
          <w:szCs w:val="16"/>
          <w:shd w:val="clear" w:color="auto" w:fill="FFFFFF"/>
          <w:lang w:val="es-CR"/>
        </w:rPr>
        <w:t xml:space="preserve">Masacre Plan de Sánchez Vs. Guatemala. Fondo. </w:t>
      </w:r>
      <w:r w:rsidRPr="00E221AF">
        <w:rPr>
          <w:rStyle w:val="Strong"/>
          <w:b w:val="0"/>
          <w:sz w:val="16"/>
          <w:szCs w:val="16"/>
          <w:shd w:val="clear" w:color="auto" w:fill="FFFFFF"/>
          <w:lang w:val="es-CR"/>
        </w:rPr>
        <w:t>Sentencia de 29 de abril de 2004. Serie C No. 105</w:t>
      </w:r>
      <w:r w:rsidRPr="00676759">
        <w:rPr>
          <w:iCs/>
          <w:sz w:val="16"/>
          <w:szCs w:val="16"/>
          <w:lang w:val="es-CR"/>
        </w:rPr>
        <w:t xml:space="preserve">, párr. 42.1; </w:t>
      </w:r>
      <w:r w:rsidRPr="00676759">
        <w:rPr>
          <w:i/>
          <w:iCs/>
          <w:sz w:val="16"/>
          <w:szCs w:val="16"/>
          <w:lang w:val="es-CR"/>
        </w:rPr>
        <w:t>Caso</w:t>
      </w:r>
      <w:r w:rsidRPr="00676759">
        <w:rPr>
          <w:iCs/>
          <w:sz w:val="16"/>
          <w:szCs w:val="16"/>
          <w:lang w:val="es-CR"/>
        </w:rPr>
        <w:t xml:space="preserve"> </w:t>
      </w:r>
      <w:r w:rsidRPr="00676759">
        <w:rPr>
          <w:i/>
          <w:sz w:val="16"/>
          <w:szCs w:val="16"/>
          <w:lang w:val="es-CR"/>
        </w:rPr>
        <w:t>García y Familiares</w:t>
      </w:r>
      <w:r w:rsidRPr="00676759">
        <w:rPr>
          <w:i/>
          <w:iCs/>
          <w:sz w:val="16"/>
          <w:szCs w:val="16"/>
          <w:lang w:val="es-CR"/>
        </w:rPr>
        <w:t xml:space="preserve"> Vs. Guatemala. Fondo, Reparaciones y Costas. </w:t>
      </w:r>
      <w:r w:rsidRPr="00676759">
        <w:rPr>
          <w:iCs/>
          <w:sz w:val="16"/>
          <w:szCs w:val="16"/>
          <w:lang w:val="es-CR"/>
        </w:rPr>
        <w:t xml:space="preserve">Sentencia de 29 noviembre de 2012. Serie C No. 258, </w:t>
      </w:r>
      <w:r w:rsidRPr="00676759">
        <w:rPr>
          <w:sz w:val="16"/>
          <w:szCs w:val="16"/>
          <w:lang w:val="es-CR"/>
        </w:rPr>
        <w:t xml:space="preserve">párr. 51, </w:t>
      </w:r>
      <w:r w:rsidRPr="00E221AF">
        <w:rPr>
          <w:rStyle w:val="Strong"/>
          <w:b w:val="0"/>
          <w:sz w:val="16"/>
          <w:szCs w:val="16"/>
          <w:shd w:val="clear" w:color="auto" w:fill="FFFFFF"/>
          <w:lang w:val="es-CR"/>
        </w:rPr>
        <w:t xml:space="preserve">y </w:t>
      </w:r>
      <w:r w:rsidRPr="00E221AF">
        <w:rPr>
          <w:rStyle w:val="Strong"/>
          <w:b w:val="0"/>
          <w:i/>
          <w:sz w:val="16"/>
          <w:szCs w:val="16"/>
          <w:lang w:val="es-CR"/>
        </w:rPr>
        <w:t xml:space="preserve">Caso Miembros de la Aldea </w:t>
      </w:r>
      <w:proofErr w:type="spellStart"/>
      <w:r w:rsidRPr="00E221AF">
        <w:rPr>
          <w:rStyle w:val="Strong"/>
          <w:b w:val="0"/>
          <w:i/>
          <w:sz w:val="16"/>
          <w:szCs w:val="16"/>
          <w:lang w:val="es-CR"/>
        </w:rPr>
        <w:t>Chichupac</w:t>
      </w:r>
      <w:proofErr w:type="spellEnd"/>
      <w:r w:rsidRPr="00E221AF">
        <w:rPr>
          <w:rStyle w:val="Strong"/>
          <w:b w:val="0"/>
          <w:i/>
          <w:sz w:val="16"/>
          <w:szCs w:val="16"/>
          <w:lang w:val="es-CR"/>
        </w:rPr>
        <w:t xml:space="preserve"> y comunidades vecinas del Municipio de Rabinal Vs. Guatemala. Excepciones Preliminares, Fondo, Reparaciones y Costas.</w:t>
      </w:r>
      <w:r w:rsidRPr="00E221AF">
        <w:rPr>
          <w:rStyle w:val="Strong"/>
          <w:b w:val="0"/>
          <w:sz w:val="16"/>
          <w:szCs w:val="16"/>
          <w:lang w:val="es-CR"/>
        </w:rPr>
        <w:t xml:space="preserve"> Sentencia de 30 de noviembre de 2016. Serie C No. 328, párr. </w:t>
      </w:r>
      <w:r w:rsidRPr="00E221AF">
        <w:rPr>
          <w:rStyle w:val="Strong"/>
          <w:b w:val="0"/>
          <w:sz w:val="16"/>
          <w:szCs w:val="16"/>
          <w:shd w:val="clear" w:color="auto" w:fill="FFFFFF"/>
          <w:lang w:val="es-CR"/>
        </w:rPr>
        <w:t>76</w:t>
      </w:r>
      <w:r>
        <w:rPr>
          <w:rStyle w:val="Strong"/>
          <w:b w:val="0"/>
          <w:sz w:val="16"/>
          <w:szCs w:val="16"/>
          <w:shd w:val="clear" w:color="auto" w:fill="FFFFFF"/>
          <w:lang w:val="es-CR"/>
        </w:rPr>
        <w:t>.</w:t>
      </w:r>
    </w:p>
  </w:footnote>
  <w:footnote w:id="25">
    <w:p w:rsidR="00785921" w:rsidRPr="00C04446" w:rsidRDefault="00785921" w:rsidP="00126E97">
      <w:pPr>
        <w:pStyle w:val="FootnoteText"/>
        <w:spacing w:line="20" w:lineRule="atLeast"/>
        <w:rPr>
          <w:b/>
          <w:lang w:val="es-CR"/>
        </w:rPr>
      </w:pPr>
      <w:r w:rsidRPr="00676759">
        <w:rPr>
          <w:rStyle w:val="FootnoteReference"/>
          <w:sz w:val="16"/>
          <w:szCs w:val="16"/>
        </w:rPr>
        <w:footnoteRef/>
      </w:r>
      <w:r w:rsidRPr="00676759">
        <w:rPr>
          <w:sz w:val="16"/>
          <w:szCs w:val="16"/>
          <w:lang w:val="es-CR"/>
        </w:rPr>
        <w:t xml:space="preserve"> </w:t>
      </w:r>
      <w:r w:rsidRPr="00E221AF">
        <w:rPr>
          <w:rStyle w:val="Strong"/>
          <w:b w:val="0"/>
          <w:i/>
          <w:sz w:val="16"/>
          <w:szCs w:val="16"/>
          <w:lang w:val="es-CR"/>
        </w:rPr>
        <w:t xml:space="preserve">Caso Miembros de la Aldea </w:t>
      </w:r>
      <w:proofErr w:type="spellStart"/>
      <w:r w:rsidRPr="00E221AF">
        <w:rPr>
          <w:rStyle w:val="Strong"/>
          <w:b w:val="0"/>
          <w:i/>
          <w:sz w:val="16"/>
          <w:szCs w:val="16"/>
          <w:lang w:val="es-CR"/>
        </w:rPr>
        <w:t>Chichupac</w:t>
      </w:r>
      <w:proofErr w:type="spellEnd"/>
      <w:r w:rsidRPr="00E221AF">
        <w:rPr>
          <w:rStyle w:val="Strong"/>
          <w:b w:val="0"/>
          <w:i/>
          <w:sz w:val="16"/>
          <w:szCs w:val="16"/>
          <w:lang w:val="es-CR"/>
        </w:rPr>
        <w:t xml:space="preserve"> y comunidades vecinas del Municipio de Rabinal Vs. Guatemala</w:t>
      </w:r>
      <w:r>
        <w:rPr>
          <w:rStyle w:val="Strong"/>
          <w:b w:val="0"/>
          <w:i/>
          <w:sz w:val="16"/>
          <w:szCs w:val="16"/>
          <w:lang w:val="es-CR"/>
        </w:rPr>
        <w:t xml:space="preserve"> supra</w:t>
      </w:r>
      <w:r w:rsidRPr="00E221AF">
        <w:rPr>
          <w:rStyle w:val="Strong"/>
          <w:b w:val="0"/>
          <w:sz w:val="16"/>
          <w:szCs w:val="16"/>
          <w:lang w:val="es-CR"/>
        </w:rPr>
        <w:t xml:space="preserve">, párr. </w:t>
      </w:r>
      <w:r w:rsidRPr="00E221AF">
        <w:rPr>
          <w:rStyle w:val="Strong"/>
          <w:b w:val="0"/>
          <w:sz w:val="16"/>
          <w:szCs w:val="16"/>
          <w:shd w:val="clear" w:color="auto" w:fill="FFFFFF"/>
          <w:lang w:val="es-CR"/>
        </w:rPr>
        <w:t xml:space="preserve">76. También, de modo similar, </w:t>
      </w:r>
      <w:r w:rsidRPr="00E221AF">
        <w:rPr>
          <w:rStyle w:val="Strong"/>
          <w:b w:val="0"/>
          <w:i/>
          <w:sz w:val="16"/>
          <w:szCs w:val="16"/>
          <w:shd w:val="clear" w:color="auto" w:fill="FFFFFF"/>
          <w:lang w:val="es-CR"/>
        </w:rPr>
        <w:t xml:space="preserve">Caso Myrna </w:t>
      </w:r>
      <w:proofErr w:type="spellStart"/>
      <w:r w:rsidRPr="00E221AF">
        <w:rPr>
          <w:rStyle w:val="Strong"/>
          <w:b w:val="0"/>
          <w:i/>
          <w:sz w:val="16"/>
          <w:szCs w:val="16"/>
          <w:shd w:val="clear" w:color="auto" w:fill="FFFFFF"/>
          <w:lang w:val="es-CR"/>
        </w:rPr>
        <w:t>Mack</w:t>
      </w:r>
      <w:proofErr w:type="spellEnd"/>
      <w:r w:rsidRPr="00E221AF">
        <w:rPr>
          <w:rStyle w:val="Strong"/>
          <w:b w:val="0"/>
          <w:i/>
          <w:sz w:val="16"/>
          <w:szCs w:val="16"/>
          <w:shd w:val="clear" w:color="auto" w:fill="FFFFFF"/>
          <w:lang w:val="es-CR"/>
        </w:rPr>
        <w:t xml:space="preserve"> Chang</w:t>
      </w:r>
      <w:r w:rsidRPr="00E221AF">
        <w:rPr>
          <w:b/>
          <w:sz w:val="16"/>
          <w:szCs w:val="16"/>
          <w:lang w:val="es-CR"/>
        </w:rPr>
        <w:t xml:space="preserve"> </w:t>
      </w:r>
      <w:r w:rsidRPr="00E221AF">
        <w:rPr>
          <w:rStyle w:val="Strong"/>
          <w:b w:val="0"/>
          <w:i/>
          <w:sz w:val="16"/>
          <w:szCs w:val="16"/>
          <w:shd w:val="clear" w:color="auto" w:fill="FFFFFF"/>
          <w:lang w:val="es-CR"/>
        </w:rPr>
        <w:t xml:space="preserve">Vs. Guatemala. Fondo, Reparaciones y Costas. </w:t>
      </w:r>
      <w:r w:rsidRPr="00E221AF">
        <w:rPr>
          <w:rStyle w:val="Strong"/>
          <w:b w:val="0"/>
          <w:sz w:val="16"/>
          <w:szCs w:val="16"/>
          <w:shd w:val="clear" w:color="auto" w:fill="FFFFFF"/>
          <w:lang w:val="es-CR"/>
        </w:rPr>
        <w:t>Sentencia de 25 de noviembre de 2003. Serie C No. 101, párr. 134.9</w:t>
      </w:r>
      <w:r w:rsidRPr="00676759">
        <w:rPr>
          <w:rStyle w:val="Strong"/>
          <w:b w:val="0"/>
          <w:sz w:val="16"/>
          <w:szCs w:val="16"/>
          <w:shd w:val="clear" w:color="auto" w:fill="FFFFFF"/>
          <w:lang w:val="es-CR"/>
        </w:rPr>
        <w:t>.</w:t>
      </w:r>
      <w:r w:rsidRPr="00AC04EE">
        <w:rPr>
          <w:rStyle w:val="Strong"/>
          <w:i/>
          <w:sz w:val="16"/>
          <w:szCs w:val="16"/>
          <w:shd w:val="clear" w:color="auto" w:fill="FFFFFF"/>
          <w:lang w:val="es-CR"/>
        </w:rPr>
        <w:t xml:space="preserve"> </w:t>
      </w:r>
    </w:p>
  </w:footnote>
  <w:footnote w:id="26">
    <w:p w:rsidR="00785921" w:rsidRDefault="00785921" w:rsidP="00126E97">
      <w:pPr>
        <w:pStyle w:val="FootnoteText"/>
        <w:spacing w:line="20" w:lineRule="atLeast"/>
        <w:rPr>
          <w:lang w:val="es-CR"/>
        </w:rPr>
      </w:pPr>
      <w:r>
        <w:rPr>
          <w:rStyle w:val="FootnoteReference"/>
          <w:sz w:val="16"/>
          <w:szCs w:val="16"/>
          <w:lang w:val="es-CR" w:eastAsia="x-none"/>
        </w:rPr>
        <w:footnoteRef/>
      </w:r>
      <w:r w:rsidRPr="00637508">
        <w:rPr>
          <w:sz w:val="16"/>
          <w:szCs w:val="16"/>
          <w:lang w:val="es-CR"/>
        </w:rPr>
        <w:t xml:space="preserve"> </w:t>
      </w:r>
      <w:r>
        <w:rPr>
          <w:sz w:val="16"/>
          <w:szCs w:val="16"/>
          <w:lang w:val="es-CR"/>
        </w:rPr>
        <w:t xml:space="preserve">CEH, Guatemala: Memoria del Silencio, </w:t>
      </w:r>
      <w:r w:rsidRPr="00676759">
        <w:rPr>
          <w:i/>
          <w:sz w:val="16"/>
          <w:szCs w:val="16"/>
          <w:lang w:val="es-CR"/>
        </w:rPr>
        <w:t>supra</w:t>
      </w:r>
      <w:r>
        <w:rPr>
          <w:sz w:val="16"/>
          <w:szCs w:val="16"/>
          <w:lang w:val="es-CR"/>
        </w:rPr>
        <w:t>, Capítulo II: Las violaciones de los derechos humanos y los hechos de violencia y sus responsables, párr. 82.</w:t>
      </w:r>
    </w:p>
  </w:footnote>
  <w:footnote w:id="27">
    <w:p w:rsidR="00785921" w:rsidRDefault="00785921" w:rsidP="00126E97">
      <w:pPr>
        <w:pStyle w:val="FootnoteText"/>
        <w:spacing w:line="20" w:lineRule="atLeast"/>
        <w:rPr>
          <w:sz w:val="16"/>
          <w:szCs w:val="16"/>
          <w:lang w:val="es-CR"/>
        </w:rPr>
      </w:pPr>
      <w:r w:rsidRPr="0066780D">
        <w:rPr>
          <w:rStyle w:val="FootnoteReference"/>
          <w:sz w:val="16"/>
          <w:szCs w:val="16"/>
          <w:lang w:val="es-CR" w:eastAsia="x-none"/>
        </w:rPr>
        <w:footnoteRef/>
      </w:r>
      <w:r>
        <w:rPr>
          <w:i/>
          <w:sz w:val="16"/>
          <w:szCs w:val="16"/>
          <w:lang w:val="es-CR"/>
        </w:rPr>
        <w:t xml:space="preserve"> Cfr. Caso </w:t>
      </w:r>
      <w:proofErr w:type="spellStart"/>
      <w:r>
        <w:rPr>
          <w:i/>
          <w:sz w:val="16"/>
          <w:szCs w:val="16"/>
          <w:lang w:val="es-CR"/>
        </w:rPr>
        <w:t>Gudiel</w:t>
      </w:r>
      <w:proofErr w:type="spellEnd"/>
      <w:r>
        <w:rPr>
          <w:i/>
          <w:sz w:val="16"/>
          <w:szCs w:val="16"/>
          <w:lang w:val="es-CR"/>
        </w:rPr>
        <w:t xml:space="preserve"> Álvarez y Otros Vs. Guatemala. Fondo, Reparaciones y Costas.</w:t>
      </w:r>
      <w:r>
        <w:rPr>
          <w:sz w:val="16"/>
          <w:szCs w:val="16"/>
          <w:lang w:val="es-CR"/>
        </w:rPr>
        <w:t xml:space="preserve"> Sentencia de 20 de noviembre de 2012. Serie C No. 253, párr. 54, y </w:t>
      </w:r>
      <w:r>
        <w:rPr>
          <w:i/>
          <w:sz w:val="16"/>
          <w:szCs w:val="16"/>
          <w:lang w:val="es-CR"/>
        </w:rPr>
        <w:t>Caso García y Familiares Vs. Guatemala</w:t>
      </w:r>
      <w:r>
        <w:rPr>
          <w:sz w:val="16"/>
          <w:szCs w:val="16"/>
          <w:lang w:val="es-CR"/>
        </w:rPr>
        <w:t xml:space="preserve">, </w:t>
      </w:r>
      <w:r w:rsidRPr="0066780D">
        <w:rPr>
          <w:i/>
          <w:sz w:val="16"/>
          <w:szCs w:val="16"/>
          <w:lang w:val="es-CR"/>
        </w:rPr>
        <w:t>supra</w:t>
      </w:r>
      <w:r>
        <w:rPr>
          <w:sz w:val="16"/>
          <w:szCs w:val="16"/>
          <w:lang w:val="es-CR"/>
        </w:rPr>
        <w:t xml:space="preserve">, párr. 51. </w:t>
      </w:r>
    </w:p>
  </w:footnote>
  <w:footnote w:id="28">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Pr>
          <w:i/>
          <w:sz w:val="16"/>
          <w:szCs w:val="16"/>
          <w:lang w:val="es-CR"/>
        </w:rPr>
        <w:t>Cfr. Caso Masacres de Río Negro Vs. Guatemala</w:t>
      </w:r>
      <w:r>
        <w:rPr>
          <w:sz w:val="16"/>
          <w:szCs w:val="16"/>
          <w:lang w:val="es-CR"/>
        </w:rPr>
        <w:t xml:space="preserve">, </w:t>
      </w:r>
      <w:r>
        <w:rPr>
          <w:i/>
          <w:sz w:val="16"/>
          <w:szCs w:val="16"/>
          <w:lang w:val="es-CR"/>
        </w:rPr>
        <w:t xml:space="preserve">supra, </w:t>
      </w:r>
      <w:r>
        <w:rPr>
          <w:sz w:val="16"/>
          <w:szCs w:val="16"/>
          <w:lang w:val="es-CR"/>
        </w:rPr>
        <w:t xml:space="preserve">párr. 58. </w:t>
      </w:r>
    </w:p>
  </w:footnote>
  <w:footnote w:id="29">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Pr>
          <w:i/>
          <w:sz w:val="16"/>
          <w:szCs w:val="16"/>
          <w:lang w:val="es-CR"/>
        </w:rPr>
        <w:t>Cfr. Caso Masacres de Río Negro Vs. Guatemala</w:t>
      </w:r>
      <w:r>
        <w:rPr>
          <w:sz w:val="16"/>
          <w:szCs w:val="16"/>
          <w:lang w:val="es-CR"/>
        </w:rPr>
        <w:t xml:space="preserve">, </w:t>
      </w:r>
      <w:r>
        <w:rPr>
          <w:i/>
          <w:sz w:val="16"/>
          <w:szCs w:val="16"/>
          <w:lang w:val="es-CR"/>
        </w:rPr>
        <w:t xml:space="preserve">supra, </w:t>
      </w:r>
      <w:r>
        <w:rPr>
          <w:sz w:val="16"/>
          <w:szCs w:val="16"/>
          <w:lang w:val="es-CR"/>
        </w:rPr>
        <w:t>párr. 58.</w:t>
      </w:r>
    </w:p>
  </w:footnote>
  <w:footnote w:id="30">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Pr>
          <w:i/>
          <w:sz w:val="16"/>
          <w:szCs w:val="16"/>
          <w:lang w:val="es-CR"/>
        </w:rPr>
        <w:t xml:space="preserve">Cfr. Caso </w:t>
      </w:r>
      <w:proofErr w:type="spellStart"/>
      <w:r>
        <w:rPr>
          <w:i/>
          <w:sz w:val="16"/>
          <w:szCs w:val="16"/>
          <w:lang w:val="es-CR"/>
        </w:rPr>
        <w:t>Bámaca</w:t>
      </w:r>
      <w:proofErr w:type="spellEnd"/>
      <w:r>
        <w:rPr>
          <w:i/>
          <w:sz w:val="16"/>
          <w:szCs w:val="16"/>
          <w:lang w:val="es-CR"/>
        </w:rPr>
        <w:t xml:space="preserve"> Velásquez Vs. Guatemala. Fondo</w:t>
      </w:r>
      <w:r>
        <w:rPr>
          <w:sz w:val="16"/>
          <w:szCs w:val="16"/>
          <w:lang w:val="es-CR"/>
        </w:rPr>
        <w:t xml:space="preserve">. Sentencia de 25 de noviembre de 2000. Serie C No. 70, párr. 132, y </w:t>
      </w:r>
      <w:r>
        <w:rPr>
          <w:i/>
          <w:sz w:val="16"/>
          <w:szCs w:val="16"/>
          <w:lang w:val="es-CR"/>
        </w:rPr>
        <w:t>Caso García y Familiares Vs. Guatemala</w:t>
      </w:r>
      <w:r>
        <w:rPr>
          <w:sz w:val="16"/>
          <w:szCs w:val="16"/>
          <w:lang w:val="es-CR"/>
        </w:rPr>
        <w:t xml:space="preserve">, </w:t>
      </w:r>
      <w:r w:rsidRPr="0066780D">
        <w:rPr>
          <w:i/>
          <w:sz w:val="16"/>
          <w:szCs w:val="16"/>
          <w:lang w:val="es-CR"/>
        </w:rPr>
        <w:t>supra</w:t>
      </w:r>
      <w:r>
        <w:rPr>
          <w:sz w:val="16"/>
          <w:szCs w:val="16"/>
          <w:lang w:val="es-CR"/>
        </w:rPr>
        <w:t>, párr. 54.</w:t>
      </w:r>
    </w:p>
  </w:footnote>
  <w:footnote w:id="31">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“Acuerdo sobre el Cronograma para la implementación del cumplimiento y verificación de los acuerdos de paz”, </w:t>
      </w:r>
      <w:r w:rsidRPr="00A12B50">
        <w:rPr>
          <w:sz w:val="16"/>
          <w:szCs w:val="16"/>
          <w:lang w:val="es-CR"/>
        </w:rPr>
        <w:t>de 29 de diciembre de 1996</w:t>
      </w:r>
      <w:r>
        <w:rPr>
          <w:sz w:val="16"/>
          <w:szCs w:val="16"/>
          <w:lang w:val="es-CR"/>
        </w:rPr>
        <w:t xml:space="preserve"> (expediente de prueba, anexo 5 a la contestación, folios. 5397 a 5429). </w:t>
      </w:r>
    </w:p>
  </w:footnote>
  <w:footnote w:id="32">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sidRPr="00E845F9">
        <w:rPr>
          <w:i/>
          <w:sz w:val="16"/>
          <w:szCs w:val="16"/>
          <w:lang w:val="es-CR"/>
        </w:rPr>
        <w:t>Cfr.</w:t>
      </w:r>
      <w:r>
        <w:rPr>
          <w:sz w:val="16"/>
          <w:szCs w:val="16"/>
          <w:lang w:val="es-CR"/>
        </w:rPr>
        <w:t xml:space="preserve"> CEH, Guatemala: Memoria del Silencio, </w:t>
      </w:r>
      <w:r w:rsidRPr="00676759">
        <w:rPr>
          <w:i/>
          <w:sz w:val="16"/>
          <w:szCs w:val="16"/>
          <w:lang w:val="es-CR"/>
        </w:rPr>
        <w:t>supra</w:t>
      </w:r>
      <w:r>
        <w:rPr>
          <w:sz w:val="16"/>
          <w:szCs w:val="16"/>
          <w:lang w:val="es-CR"/>
        </w:rPr>
        <w:t xml:space="preserve">, Conclusiones y Recomendaciones, párr. 66. </w:t>
      </w:r>
    </w:p>
  </w:footnote>
  <w:footnote w:id="33">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w:t>
      </w:r>
      <w:r>
        <w:rPr>
          <w:sz w:val="16"/>
          <w:szCs w:val="16"/>
          <w:lang w:val="es-CR"/>
        </w:rPr>
        <w:t xml:space="preserve">Los hechos indicados en este párrafo fueron señalados en los párrafos 42 a 44 del Informe de Fondo, bajo el título “Hechos probados”. La Comisión, como fuente de los mismos, citó un sitio de internet en el que habría verificado la “Carta de Entendimiento”, así como un documento que identificó como “CIDH, </w:t>
      </w:r>
      <w:r w:rsidRPr="00676759">
        <w:rPr>
          <w:i/>
          <w:sz w:val="16"/>
          <w:szCs w:val="16"/>
          <w:lang w:val="es-CR"/>
        </w:rPr>
        <w:t>Cuarto informe</w:t>
      </w:r>
      <w:r>
        <w:rPr>
          <w:sz w:val="16"/>
          <w:szCs w:val="16"/>
          <w:lang w:val="es-CR"/>
        </w:rPr>
        <w:t xml:space="preserve"> </w:t>
      </w:r>
      <w:r>
        <w:rPr>
          <w:i/>
          <w:sz w:val="16"/>
          <w:szCs w:val="16"/>
          <w:lang w:val="es-CR"/>
        </w:rPr>
        <w:t>sobre la situación de los derechos humanos en Guatemala,</w:t>
      </w:r>
      <w:r>
        <w:rPr>
          <w:sz w:val="16"/>
          <w:szCs w:val="16"/>
          <w:lang w:val="es-CR"/>
        </w:rPr>
        <w:t xml:space="preserve"> 1 de junio de 1993”.  </w:t>
      </w:r>
      <w:r w:rsidRPr="00D6594A">
        <w:rPr>
          <w:sz w:val="16"/>
          <w:szCs w:val="16"/>
          <w:lang w:val="es-CR"/>
        </w:rPr>
        <w:t xml:space="preserve"> </w:t>
      </w:r>
    </w:p>
  </w:footnote>
  <w:footnote w:id="34">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i/>
          <w:sz w:val="16"/>
          <w:szCs w:val="16"/>
          <w:lang w:val="es-CR"/>
        </w:rPr>
        <w:t xml:space="preserve"> Cfr.</w:t>
      </w:r>
      <w:r>
        <w:rPr>
          <w:sz w:val="16"/>
          <w:szCs w:val="16"/>
          <w:lang w:val="es-CR"/>
        </w:rPr>
        <w:t xml:space="preserve"> Acuerdo suscrito entre las CCPP y el Gobierno de Guatemala; Guatemala, 8 de octubre de 1992 (expediente de prueba, anexo 3 a los alegatos finales escritos de los representantes, folios 5575 a 5583). </w:t>
      </w:r>
      <w:r>
        <w:rPr>
          <w:sz w:val="16"/>
          <w:szCs w:val="16"/>
          <w:lang w:val="es-ES_tradnl"/>
        </w:rPr>
        <w:t xml:space="preserve">Tomás Grave </w:t>
      </w:r>
      <w:proofErr w:type="spellStart"/>
      <w:r>
        <w:rPr>
          <w:sz w:val="16"/>
          <w:szCs w:val="16"/>
          <w:lang w:val="es-ES_tradnl"/>
        </w:rPr>
        <w:t>Morente</w:t>
      </w:r>
      <w:proofErr w:type="spellEnd"/>
      <w:r>
        <w:rPr>
          <w:sz w:val="16"/>
          <w:szCs w:val="16"/>
          <w:lang w:val="es-CR"/>
        </w:rPr>
        <w:t xml:space="preserve"> </w:t>
      </w:r>
      <w:r>
        <w:rPr>
          <w:sz w:val="16"/>
          <w:szCs w:val="16"/>
          <w:lang w:val="es-ES_tradnl"/>
        </w:rPr>
        <w:t xml:space="preserve">declaró ante la Corte Interamericana, en la audiencia pública celebrada el 9 de febrero de 2018, </w:t>
      </w:r>
      <w:r>
        <w:rPr>
          <w:sz w:val="16"/>
          <w:szCs w:val="16"/>
          <w:lang w:val="es-CR"/>
        </w:rPr>
        <w:t xml:space="preserve">que </w:t>
      </w:r>
      <w:r w:rsidRPr="00637508">
        <w:rPr>
          <w:sz w:val="16"/>
          <w:szCs w:val="16"/>
          <w:lang w:val="es-CR"/>
        </w:rPr>
        <w:t>para regresar de México se negociaron acuerdos que garantizaran a la gente que no volverían a matar</w:t>
      </w:r>
      <w:r>
        <w:rPr>
          <w:sz w:val="16"/>
          <w:szCs w:val="16"/>
          <w:lang w:val="es-CR"/>
        </w:rPr>
        <w:t>la</w:t>
      </w:r>
      <w:r w:rsidRPr="00637508">
        <w:rPr>
          <w:sz w:val="16"/>
          <w:szCs w:val="16"/>
          <w:lang w:val="es-CR"/>
        </w:rPr>
        <w:t xml:space="preserve"> si regresaban, logrando así</w:t>
      </w:r>
      <w:r>
        <w:rPr>
          <w:sz w:val="16"/>
          <w:szCs w:val="16"/>
          <w:lang w:val="es-CR"/>
        </w:rPr>
        <w:t>,</w:t>
      </w:r>
      <w:r w:rsidRPr="00637508">
        <w:rPr>
          <w:sz w:val="16"/>
          <w:szCs w:val="16"/>
          <w:lang w:val="es-CR"/>
        </w:rPr>
        <w:t xml:space="preserve"> que el gobierno firmara que sí existía garantía para el retorno masivo.</w:t>
      </w:r>
      <w:r>
        <w:rPr>
          <w:b/>
          <w:sz w:val="16"/>
          <w:szCs w:val="16"/>
          <w:lang w:val="es-CR"/>
        </w:rPr>
        <w:t xml:space="preserve"> </w:t>
      </w:r>
      <w:r>
        <w:rPr>
          <w:sz w:val="16"/>
          <w:szCs w:val="16"/>
          <w:lang w:val="es-CR"/>
        </w:rPr>
        <w:t xml:space="preserve">En el mismo sentido, </w:t>
      </w:r>
      <w:r>
        <w:rPr>
          <w:sz w:val="16"/>
          <w:szCs w:val="16"/>
          <w:lang w:val="es-ES_tradnl"/>
        </w:rPr>
        <w:t xml:space="preserve">Natividad Sales, en su declaración ante la Corte Interamericana, en la audiencia pública celebrada el 9 de febrero de 2018, señaló que se formaron las CCPP que intentaron llegar a acuerdos con el Gobierno para garantizar los derechos de las personas que retornaran. </w:t>
      </w:r>
    </w:p>
  </w:footnote>
  <w:footnote w:id="35">
    <w:p w:rsidR="00785921" w:rsidRPr="00E221AF" w:rsidRDefault="00785921" w:rsidP="00126E97">
      <w:pPr>
        <w:spacing w:after="0" w:line="20" w:lineRule="atLeast"/>
        <w:jc w:val="both"/>
        <w:rPr>
          <w:rFonts w:ascii="Verdana" w:hAnsi="Verdana"/>
          <w:sz w:val="16"/>
          <w:szCs w:val="16"/>
          <w:lang w:val="es-CR"/>
        </w:rPr>
      </w:pPr>
      <w:r w:rsidRPr="00E221AF">
        <w:rPr>
          <w:rStyle w:val="FootnoteReference"/>
          <w:rFonts w:ascii="Verdana" w:hAnsi="Verdana"/>
          <w:sz w:val="16"/>
          <w:szCs w:val="16"/>
          <w:lang w:eastAsia="x-none"/>
        </w:rPr>
        <w:footnoteRef/>
      </w:r>
      <w:r w:rsidRPr="00E221AF">
        <w:rPr>
          <w:rFonts w:ascii="Verdana" w:hAnsi="Verdana"/>
          <w:sz w:val="16"/>
          <w:szCs w:val="16"/>
          <w:lang w:val="es-CR"/>
        </w:rPr>
        <w:t xml:space="preserve"> CEH, Guatemala: Memoria del Silencio, </w:t>
      </w:r>
      <w:r w:rsidRPr="00E221AF">
        <w:rPr>
          <w:rFonts w:ascii="Verdana" w:hAnsi="Verdana"/>
          <w:i/>
          <w:sz w:val="16"/>
          <w:szCs w:val="16"/>
          <w:lang w:val="es-CR"/>
        </w:rPr>
        <w:t>supra</w:t>
      </w:r>
      <w:r w:rsidRPr="00E221AF">
        <w:rPr>
          <w:rFonts w:ascii="Verdana" w:hAnsi="Verdana"/>
          <w:sz w:val="16"/>
          <w:szCs w:val="16"/>
          <w:lang w:val="es-CR"/>
        </w:rPr>
        <w:t xml:space="preserve">, Tomo VI, Casos Ilustrativos, Anexo 1, Caso Ilustrativo 3: Masacre de </w:t>
      </w:r>
      <w:proofErr w:type="spellStart"/>
      <w:r w:rsidRPr="00E221AF">
        <w:rPr>
          <w:rFonts w:ascii="Verdana" w:hAnsi="Verdana"/>
          <w:sz w:val="16"/>
          <w:szCs w:val="16"/>
          <w:lang w:val="es-CR"/>
        </w:rPr>
        <w:t>Xamán</w:t>
      </w:r>
      <w:proofErr w:type="spellEnd"/>
      <w:r w:rsidRPr="00E221AF">
        <w:rPr>
          <w:rFonts w:ascii="Verdana" w:hAnsi="Verdana"/>
          <w:sz w:val="16"/>
          <w:szCs w:val="16"/>
          <w:lang w:val="es-CR"/>
        </w:rPr>
        <w:t xml:space="preserve">. </w:t>
      </w:r>
    </w:p>
  </w:footnote>
  <w:footnote w:id="36">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w:t>
      </w:r>
      <w:r>
        <w:rPr>
          <w:sz w:val="16"/>
          <w:szCs w:val="16"/>
          <w:lang w:val="es-CR"/>
        </w:rPr>
        <w:t xml:space="preserve">Los hechos indicados en este párrafo fueron señalados en el párrafo 47 del Informe de Fondo, bajo el título “Hechos probados”. La Comisión, como fuente de los mismos, citó un documento que identificó como “CIDH, </w:t>
      </w:r>
      <w:r w:rsidRPr="00676759">
        <w:rPr>
          <w:i/>
          <w:sz w:val="16"/>
          <w:szCs w:val="16"/>
          <w:lang w:val="es-CR"/>
        </w:rPr>
        <w:t>Cuarto informe</w:t>
      </w:r>
      <w:r>
        <w:rPr>
          <w:sz w:val="16"/>
          <w:szCs w:val="16"/>
          <w:lang w:val="es-CR"/>
        </w:rPr>
        <w:t xml:space="preserve"> </w:t>
      </w:r>
      <w:r>
        <w:rPr>
          <w:i/>
          <w:sz w:val="16"/>
          <w:szCs w:val="16"/>
          <w:lang w:val="es-CR"/>
        </w:rPr>
        <w:t>sobre la situación de los derechos humanos en Guatemala,</w:t>
      </w:r>
      <w:r>
        <w:rPr>
          <w:sz w:val="16"/>
          <w:szCs w:val="16"/>
          <w:lang w:val="es-CR"/>
        </w:rPr>
        <w:t xml:space="preserve"> 1 de junio de 1993”. </w:t>
      </w:r>
    </w:p>
  </w:footnote>
  <w:footnote w:id="37">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sidRPr="00676759">
        <w:rPr>
          <w:i/>
          <w:sz w:val="16"/>
          <w:szCs w:val="16"/>
          <w:lang w:val="es-CR"/>
        </w:rPr>
        <w:t>Cfr.</w:t>
      </w:r>
      <w:r>
        <w:rPr>
          <w:sz w:val="16"/>
          <w:szCs w:val="16"/>
          <w:lang w:val="es-CR"/>
        </w:rPr>
        <w:t xml:space="preserve"> CEH, Guatemala: Memoria del Silencio, </w:t>
      </w:r>
      <w:r w:rsidRPr="00676759">
        <w:rPr>
          <w:i/>
          <w:sz w:val="16"/>
          <w:szCs w:val="16"/>
          <w:lang w:val="es-CR"/>
        </w:rPr>
        <w:t>supra</w:t>
      </w:r>
      <w:r>
        <w:rPr>
          <w:sz w:val="16"/>
          <w:szCs w:val="16"/>
          <w:lang w:val="es-CR"/>
        </w:rPr>
        <w:t xml:space="preserve">, </w:t>
      </w:r>
      <w:r w:rsidRPr="00676759">
        <w:rPr>
          <w:sz w:val="16"/>
          <w:szCs w:val="16"/>
          <w:lang w:val="es-CR"/>
        </w:rPr>
        <w:t>Tomo</w:t>
      </w:r>
      <w:r>
        <w:rPr>
          <w:sz w:val="16"/>
          <w:szCs w:val="16"/>
          <w:lang w:val="es-CR"/>
        </w:rPr>
        <w:t xml:space="preserve"> VI, Casos Ilustrativos, Anexo 1, Caso Ilustrativo 3: Masacre de </w:t>
      </w:r>
      <w:proofErr w:type="spellStart"/>
      <w:r>
        <w:rPr>
          <w:sz w:val="16"/>
          <w:szCs w:val="16"/>
          <w:lang w:val="es-CR"/>
        </w:rPr>
        <w:t>Xamán</w:t>
      </w:r>
      <w:proofErr w:type="spellEnd"/>
      <w:r>
        <w:rPr>
          <w:sz w:val="16"/>
          <w:szCs w:val="16"/>
          <w:lang w:val="es-CR"/>
        </w:rPr>
        <w:t xml:space="preserve">, y también </w:t>
      </w:r>
      <w:r>
        <w:rPr>
          <w:sz w:val="16"/>
          <w:szCs w:val="16"/>
          <w:lang w:val="es-ES_tradnl"/>
        </w:rPr>
        <w:t xml:space="preserve">declaraciones de Efraín Grave </w:t>
      </w:r>
      <w:proofErr w:type="spellStart"/>
      <w:r>
        <w:rPr>
          <w:sz w:val="16"/>
          <w:szCs w:val="16"/>
          <w:lang w:val="es-ES_tradnl"/>
        </w:rPr>
        <w:t>Morente</w:t>
      </w:r>
      <w:proofErr w:type="spellEnd"/>
      <w:r>
        <w:rPr>
          <w:sz w:val="16"/>
          <w:szCs w:val="16"/>
          <w:lang w:val="es-ES_tradnl"/>
        </w:rPr>
        <w:t xml:space="preserve"> por afidávit (expediente de fondo, folios 601 a 611) y de Tomás Grave </w:t>
      </w:r>
      <w:proofErr w:type="spellStart"/>
      <w:r>
        <w:rPr>
          <w:sz w:val="16"/>
          <w:szCs w:val="16"/>
          <w:lang w:val="es-ES_tradnl"/>
        </w:rPr>
        <w:t>Morente</w:t>
      </w:r>
      <w:proofErr w:type="spellEnd"/>
      <w:r>
        <w:rPr>
          <w:sz w:val="16"/>
          <w:szCs w:val="16"/>
          <w:lang w:val="es-ES_tradnl"/>
        </w:rPr>
        <w:t xml:space="preserve"> ante la Corte Interamericana, </w:t>
      </w:r>
      <w:r w:rsidRPr="00E24DF8">
        <w:rPr>
          <w:i/>
          <w:sz w:val="16"/>
          <w:szCs w:val="16"/>
          <w:lang w:val="es-ES_tradnl"/>
        </w:rPr>
        <w:t>supra</w:t>
      </w:r>
      <w:r>
        <w:rPr>
          <w:sz w:val="16"/>
          <w:szCs w:val="16"/>
          <w:lang w:val="es-ES_tradnl"/>
        </w:rPr>
        <w:t>. Ellos relataron los motivos por los cuales su familia vivió en México y aquellos por los cuales regresaron a Guatemala. Asimismo, Natividad Sales Calmo, ante la Corte Interamericana, en la audiencia pública celebrada el 9 de febrero de 2018, relató los hechos que motivaron a las personas a salir de Guatemala y refugiarse en México</w:t>
      </w:r>
    </w:p>
  </w:footnote>
  <w:footnote w:id="38">
    <w:p w:rsidR="00785921" w:rsidRPr="00637508" w:rsidRDefault="00785921" w:rsidP="00126E97">
      <w:pPr>
        <w:pStyle w:val="FootnoteText"/>
        <w:spacing w:line="20" w:lineRule="atLeast"/>
        <w:rPr>
          <w:lang w:val="es-CR"/>
        </w:rPr>
      </w:pPr>
      <w:r w:rsidRPr="00A12B50">
        <w:rPr>
          <w:rStyle w:val="FootnoteReference"/>
          <w:sz w:val="16"/>
          <w:szCs w:val="16"/>
          <w:lang w:eastAsia="x-none"/>
        </w:rPr>
        <w:footnoteRef/>
      </w:r>
      <w:r w:rsidRPr="00A12B50">
        <w:rPr>
          <w:sz w:val="16"/>
          <w:szCs w:val="16"/>
          <w:lang w:val="es-CR"/>
        </w:rPr>
        <w:t xml:space="preserve"> Cabe hacer notar que también las autoridades judiciales guatemaltecas calificaron lo acontecido como “masacre” (</w:t>
      </w:r>
      <w:r>
        <w:rPr>
          <w:i/>
          <w:sz w:val="16"/>
          <w:szCs w:val="16"/>
          <w:lang w:val="es-CR"/>
        </w:rPr>
        <w:t>c</w:t>
      </w:r>
      <w:r w:rsidRPr="00676759">
        <w:rPr>
          <w:i/>
          <w:sz w:val="16"/>
          <w:szCs w:val="16"/>
          <w:lang w:val="es-CR"/>
        </w:rPr>
        <w:t>fr.</w:t>
      </w:r>
      <w:r w:rsidRPr="00637508">
        <w:rPr>
          <w:lang w:val="es-CR"/>
        </w:rPr>
        <w:t xml:space="preserve"> </w:t>
      </w:r>
      <w:r w:rsidRPr="00637508">
        <w:rPr>
          <w:sz w:val="16"/>
          <w:szCs w:val="16"/>
          <w:lang w:val="es-CR"/>
        </w:rPr>
        <w:t xml:space="preserve">Sentencia del </w:t>
      </w:r>
      <w:r>
        <w:rPr>
          <w:sz w:val="16"/>
          <w:szCs w:val="16"/>
          <w:lang w:val="es-CR"/>
        </w:rPr>
        <w:t>Tribunal de Sentencia Penal de Narcoactividad y Delitos contra el Ambiente del departamento de Alta Verapaz de 8 de julio de 2004 (e</w:t>
      </w:r>
      <w:proofErr w:type="spellStart"/>
      <w:r>
        <w:rPr>
          <w:sz w:val="16"/>
          <w:szCs w:val="16"/>
          <w:lang w:val="es-ES_tradnl"/>
        </w:rPr>
        <w:t>xpediente</w:t>
      </w:r>
      <w:proofErr w:type="spellEnd"/>
      <w:r>
        <w:rPr>
          <w:sz w:val="16"/>
          <w:szCs w:val="16"/>
          <w:lang w:val="es-ES_tradnl"/>
        </w:rPr>
        <w:t xml:space="preserve"> de prueba, anexo 29 al Informe de Fondo, folios 934 a 1424) En adelante se referirá esta decisión judicial como “sentencia de 8 de julio de 2004”). </w:t>
      </w:r>
    </w:p>
  </w:footnote>
  <w:footnote w:id="39">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sidRPr="00E221AF">
        <w:rPr>
          <w:sz w:val="16"/>
          <w:szCs w:val="16"/>
          <w:lang w:val="es-CR"/>
        </w:rPr>
        <w:t xml:space="preserve">CEH, Guatemala: Memoria del Silencio, </w:t>
      </w:r>
      <w:r w:rsidRPr="00E221AF">
        <w:rPr>
          <w:i/>
          <w:sz w:val="16"/>
          <w:szCs w:val="16"/>
          <w:lang w:val="es-CR"/>
        </w:rPr>
        <w:t>supra</w:t>
      </w:r>
      <w:r w:rsidRPr="00E221AF">
        <w:rPr>
          <w:sz w:val="16"/>
          <w:szCs w:val="16"/>
          <w:lang w:val="es-CR"/>
        </w:rPr>
        <w:t xml:space="preserve">, Tomo VI, Casos Ilustrativos, Anexo 1, Caso Ilustrativo 3: Masacre de </w:t>
      </w:r>
      <w:proofErr w:type="spellStart"/>
      <w:r w:rsidRPr="00E221AF">
        <w:rPr>
          <w:sz w:val="16"/>
          <w:szCs w:val="16"/>
          <w:lang w:val="es-CR"/>
        </w:rPr>
        <w:t>Xamán</w:t>
      </w:r>
      <w:proofErr w:type="spellEnd"/>
      <w:r w:rsidRPr="00E221AF">
        <w:rPr>
          <w:sz w:val="16"/>
          <w:szCs w:val="16"/>
          <w:lang w:val="es-CR"/>
        </w:rPr>
        <w:t xml:space="preserve">. </w:t>
      </w:r>
      <w:r>
        <w:rPr>
          <w:sz w:val="16"/>
          <w:szCs w:val="16"/>
          <w:lang w:val="es-CR"/>
        </w:rPr>
        <w:t xml:space="preserve">La CEH señaló que la patrulla estaba integrada por 26 soldados, incluyendo un niño. Pese a ello, la declaración rendida por </w:t>
      </w:r>
      <w:r w:rsidRPr="0028119E">
        <w:rPr>
          <w:sz w:val="16"/>
          <w:szCs w:val="16"/>
          <w:lang w:val="es-CR"/>
        </w:rPr>
        <w:t>AHM</w:t>
      </w:r>
      <w:r>
        <w:rPr>
          <w:sz w:val="16"/>
          <w:szCs w:val="16"/>
          <w:lang w:val="es-CR"/>
        </w:rPr>
        <w:t>, que fue remitida a la Comisión junto con la petición inicial, y aportada ante la Corte como prueba documental, refiere 27 soldados, inclusive un niño (c</w:t>
      </w:r>
      <w:r w:rsidRPr="00676759">
        <w:rPr>
          <w:i/>
          <w:sz w:val="16"/>
          <w:szCs w:val="16"/>
          <w:lang w:val="es-CR"/>
        </w:rPr>
        <w:t>fr</w:t>
      </w:r>
      <w:r>
        <w:rPr>
          <w:sz w:val="16"/>
          <w:szCs w:val="16"/>
          <w:lang w:val="es-CR"/>
        </w:rPr>
        <w:t xml:space="preserve">. expediente de prueba, anexo 3 al Informe de Fondo, folios 10 a 15). </w:t>
      </w:r>
      <w:r w:rsidRPr="00671FE6">
        <w:rPr>
          <w:sz w:val="16"/>
          <w:szCs w:val="16"/>
          <w:lang w:val="es-CR"/>
        </w:rPr>
        <w:t xml:space="preserve">Se aclara que en la presente Sentencia se </w:t>
      </w:r>
      <w:r>
        <w:rPr>
          <w:sz w:val="16"/>
          <w:szCs w:val="16"/>
          <w:lang w:val="es-CR"/>
        </w:rPr>
        <w:t>señala</w:t>
      </w:r>
      <w:r w:rsidRPr="00671FE6">
        <w:rPr>
          <w:sz w:val="16"/>
          <w:szCs w:val="16"/>
          <w:lang w:val="es-CR"/>
        </w:rPr>
        <w:t xml:space="preserve"> </w:t>
      </w:r>
      <w:r>
        <w:rPr>
          <w:sz w:val="16"/>
          <w:szCs w:val="16"/>
          <w:lang w:val="es-CR"/>
        </w:rPr>
        <w:t xml:space="preserve">con </w:t>
      </w:r>
      <w:r w:rsidRPr="00671FE6">
        <w:rPr>
          <w:sz w:val="16"/>
          <w:szCs w:val="16"/>
          <w:lang w:val="es-CR"/>
        </w:rPr>
        <w:t xml:space="preserve">iniciales </w:t>
      </w:r>
      <w:r>
        <w:rPr>
          <w:sz w:val="16"/>
          <w:szCs w:val="16"/>
          <w:lang w:val="es-CR"/>
        </w:rPr>
        <w:t>a algunas personas cuya actuación consta en documentos de actuaciones internas y sin que surja que hayan tenido relación con el trámite del caso en el ámbito internacional o intervención alguna ante la Comisión Interamericana o la Corte Interamericana.</w:t>
      </w:r>
    </w:p>
  </w:footnote>
  <w:footnote w:id="40">
    <w:p w:rsidR="00785921" w:rsidRPr="00AF3CD6"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sidRPr="00676759">
        <w:rPr>
          <w:i/>
          <w:sz w:val="16"/>
          <w:szCs w:val="16"/>
          <w:lang w:val="es-CR"/>
        </w:rPr>
        <w:t xml:space="preserve">Cfr. </w:t>
      </w:r>
      <w:r>
        <w:rPr>
          <w:sz w:val="16"/>
          <w:szCs w:val="16"/>
          <w:lang w:val="es-CR"/>
        </w:rPr>
        <w:t xml:space="preserve">Declaración rendida por AHM, </w:t>
      </w:r>
      <w:r>
        <w:rPr>
          <w:i/>
          <w:sz w:val="16"/>
          <w:szCs w:val="16"/>
          <w:lang w:val="es-CR"/>
        </w:rPr>
        <w:t>supra</w:t>
      </w:r>
      <w:r>
        <w:rPr>
          <w:sz w:val="16"/>
          <w:szCs w:val="16"/>
          <w:lang w:val="es-CR"/>
        </w:rPr>
        <w:t>. De acuerdo con la sentencia de 8 de julio de 2004 (</w:t>
      </w:r>
      <w:r>
        <w:rPr>
          <w:i/>
          <w:sz w:val="16"/>
          <w:szCs w:val="16"/>
          <w:lang w:val="es-CR"/>
        </w:rPr>
        <w:t>infra</w:t>
      </w:r>
      <w:r>
        <w:rPr>
          <w:sz w:val="16"/>
          <w:szCs w:val="16"/>
          <w:lang w:val="es-CR"/>
        </w:rPr>
        <w:t xml:space="preserve"> párr. 64), los soldados fueron vistos por primera vez a las 10 horas, luego de lo cual se apartaron del camino principal pasando por un área boscosa cercana a las instalaciones de una escuela, siendo observados por niños y/o niñas que se encontraban en hora de recreo, quienes alertaron a las autoridades escolares (</w:t>
      </w:r>
      <w:r>
        <w:rPr>
          <w:i/>
          <w:sz w:val="16"/>
          <w:szCs w:val="16"/>
          <w:lang w:val="es-CR"/>
        </w:rPr>
        <w:t>cfr.</w:t>
      </w:r>
      <w:r>
        <w:rPr>
          <w:sz w:val="16"/>
          <w:szCs w:val="16"/>
          <w:lang w:val="es-CR"/>
        </w:rPr>
        <w:t xml:space="preserve"> sentencia de 8 de julio de 2004, </w:t>
      </w:r>
      <w:r>
        <w:rPr>
          <w:i/>
          <w:sz w:val="16"/>
          <w:szCs w:val="16"/>
          <w:lang w:val="es-CR"/>
        </w:rPr>
        <w:t>supra</w:t>
      </w:r>
      <w:r>
        <w:rPr>
          <w:sz w:val="16"/>
          <w:szCs w:val="16"/>
          <w:lang w:val="es-ES_tradnl"/>
        </w:rPr>
        <w:t xml:space="preserve"> y, </w:t>
      </w:r>
      <w:r>
        <w:rPr>
          <w:sz w:val="16"/>
          <w:szCs w:val="16"/>
          <w:lang w:val="es-EC"/>
        </w:rPr>
        <w:t xml:space="preserve">en igual sentido, la </w:t>
      </w:r>
      <w:r>
        <w:rPr>
          <w:sz w:val="16"/>
          <w:szCs w:val="16"/>
          <w:lang w:val="es-CR"/>
        </w:rPr>
        <w:t>d</w:t>
      </w:r>
      <w:r w:rsidRPr="00637508">
        <w:rPr>
          <w:sz w:val="16"/>
          <w:szCs w:val="16"/>
          <w:lang w:val="es-CR"/>
        </w:rPr>
        <w:t xml:space="preserve">eclaración rendida por </w:t>
      </w:r>
      <w:r>
        <w:rPr>
          <w:sz w:val="16"/>
          <w:szCs w:val="16"/>
          <w:lang w:val="es-CR"/>
        </w:rPr>
        <w:t>A</w:t>
      </w:r>
      <w:r w:rsidRPr="00637508">
        <w:rPr>
          <w:sz w:val="16"/>
          <w:szCs w:val="16"/>
          <w:lang w:val="es-CR"/>
        </w:rPr>
        <w:t xml:space="preserve">, </w:t>
      </w:r>
      <w:r>
        <w:rPr>
          <w:sz w:val="16"/>
          <w:szCs w:val="16"/>
          <w:lang w:val="es-CR"/>
        </w:rPr>
        <w:t>de quien en la misma se señala miembro de la Comunidad, que fue remitida a la Comisión junto con la petición inicial, y aportada ante la Corte como prueba documental (e</w:t>
      </w:r>
      <w:r w:rsidRPr="00637508">
        <w:rPr>
          <w:sz w:val="16"/>
          <w:szCs w:val="16"/>
          <w:lang w:val="es-CR"/>
        </w:rPr>
        <w:t xml:space="preserve">xpediente de prueba, </w:t>
      </w:r>
      <w:r>
        <w:rPr>
          <w:sz w:val="16"/>
          <w:szCs w:val="16"/>
          <w:lang w:val="es-CR"/>
        </w:rPr>
        <w:t>a</w:t>
      </w:r>
      <w:r w:rsidRPr="00637508">
        <w:rPr>
          <w:sz w:val="16"/>
          <w:szCs w:val="16"/>
          <w:lang w:val="es-CR"/>
        </w:rPr>
        <w:t>nexo 3 al Informe de Fondo, folio</w:t>
      </w:r>
      <w:r>
        <w:rPr>
          <w:sz w:val="16"/>
          <w:szCs w:val="16"/>
          <w:lang w:val="es-CR"/>
        </w:rPr>
        <w:t>s</w:t>
      </w:r>
      <w:r w:rsidRPr="00637508">
        <w:rPr>
          <w:sz w:val="16"/>
          <w:szCs w:val="16"/>
          <w:lang w:val="es-CR"/>
        </w:rPr>
        <w:t xml:space="preserve"> </w:t>
      </w:r>
      <w:r>
        <w:rPr>
          <w:sz w:val="16"/>
          <w:szCs w:val="16"/>
          <w:lang w:val="es-CR"/>
        </w:rPr>
        <w:t>5 a 8)</w:t>
      </w:r>
      <w:r w:rsidRPr="00637508">
        <w:rPr>
          <w:sz w:val="16"/>
          <w:szCs w:val="16"/>
          <w:lang w:val="es-CR"/>
        </w:rPr>
        <w:t>.</w:t>
      </w:r>
      <w:r>
        <w:rPr>
          <w:sz w:val="16"/>
          <w:szCs w:val="16"/>
          <w:lang w:val="es-ES_tradnl"/>
        </w:rPr>
        <w:t xml:space="preserve">Tomás Grave </w:t>
      </w:r>
      <w:proofErr w:type="spellStart"/>
      <w:r>
        <w:rPr>
          <w:sz w:val="16"/>
          <w:szCs w:val="16"/>
          <w:lang w:val="es-ES_tradnl"/>
        </w:rPr>
        <w:t>Morente</w:t>
      </w:r>
      <w:proofErr w:type="spellEnd"/>
      <w:r>
        <w:rPr>
          <w:sz w:val="16"/>
          <w:szCs w:val="16"/>
          <w:lang w:val="es-ES_tradnl"/>
        </w:rPr>
        <w:t xml:space="preserve">, en su declaración ante la Corte Interamericana , </w:t>
      </w:r>
      <w:r w:rsidRPr="00E24DF8">
        <w:rPr>
          <w:i/>
          <w:sz w:val="16"/>
          <w:szCs w:val="16"/>
          <w:lang w:val="es-ES_tradnl"/>
        </w:rPr>
        <w:t>supra,</w:t>
      </w:r>
      <w:r>
        <w:rPr>
          <w:sz w:val="16"/>
          <w:szCs w:val="16"/>
          <w:lang w:val="es-ES_tradnl"/>
        </w:rPr>
        <w:t xml:space="preserve"> , sostuvo que </w:t>
      </w:r>
      <w:r w:rsidRPr="00637508">
        <w:rPr>
          <w:sz w:val="16"/>
          <w:szCs w:val="16"/>
          <w:lang w:val="es-CR"/>
        </w:rPr>
        <w:t xml:space="preserve">cuando </w:t>
      </w:r>
      <w:r w:rsidRPr="00AF3CD6">
        <w:rPr>
          <w:sz w:val="16"/>
          <w:szCs w:val="16"/>
          <w:lang w:val="es-CR"/>
        </w:rPr>
        <w:t>los pobladores escucharon que había presencia de soldados, se fueron acercando a ver qué estaba pasando.</w:t>
      </w:r>
      <w:r w:rsidRPr="00AF3CD6">
        <w:rPr>
          <w:b/>
          <w:sz w:val="16"/>
          <w:szCs w:val="16"/>
          <w:lang w:val="es-CR"/>
        </w:rPr>
        <w:t xml:space="preserve"> </w:t>
      </w:r>
    </w:p>
  </w:footnote>
  <w:footnote w:id="41">
    <w:p w:rsidR="00785921" w:rsidRPr="00AF3CD6" w:rsidRDefault="00785921" w:rsidP="00126E97">
      <w:pPr>
        <w:pStyle w:val="FootnoteText"/>
        <w:spacing w:line="20" w:lineRule="atLeast"/>
        <w:rPr>
          <w:sz w:val="16"/>
          <w:szCs w:val="16"/>
          <w:lang w:val="es-CR"/>
        </w:rPr>
      </w:pPr>
      <w:r w:rsidRPr="00AF3CD6">
        <w:rPr>
          <w:rStyle w:val="FootnoteReference"/>
          <w:sz w:val="16"/>
          <w:szCs w:val="16"/>
          <w:lang w:eastAsia="x-none"/>
        </w:rPr>
        <w:footnoteRef/>
      </w:r>
      <w:r w:rsidRPr="00AF3CD6">
        <w:rPr>
          <w:sz w:val="16"/>
          <w:szCs w:val="16"/>
          <w:lang w:val="es-CR"/>
        </w:rPr>
        <w:t xml:space="preserve"> </w:t>
      </w:r>
      <w:r w:rsidRPr="00AF3CD6">
        <w:rPr>
          <w:i/>
          <w:sz w:val="16"/>
          <w:szCs w:val="16"/>
          <w:lang w:val="es-CR"/>
        </w:rPr>
        <w:t>Cfr.</w:t>
      </w:r>
      <w:r w:rsidRPr="00AF3CD6">
        <w:rPr>
          <w:sz w:val="16"/>
          <w:szCs w:val="16"/>
          <w:lang w:val="es-CR"/>
        </w:rPr>
        <w:t xml:space="preserve"> sentencia de 8 de julio de 2004, </w:t>
      </w:r>
      <w:r w:rsidRPr="00AF3CD6">
        <w:rPr>
          <w:i/>
          <w:sz w:val="16"/>
          <w:szCs w:val="16"/>
          <w:lang w:val="es-CR"/>
        </w:rPr>
        <w:t>supra</w:t>
      </w:r>
      <w:r w:rsidRPr="00AF3CD6">
        <w:rPr>
          <w:sz w:val="16"/>
          <w:szCs w:val="16"/>
          <w:lang w:val="es-ES_tradnl"/>
        </w:rPr>
        <w:t xml:space="preserve">. </w:t>
      </w:r>
    </w:p>
  </w:footnote>
  <w:footnote w:id="42">
    <w:p w:rsidR="00785921" w:rsidRPr="00D545C0" w:rsidRDefault="00785921" w:rsidP="00126E97">
      <w:pPr>
        <w:pStyle w:val="FootnoteText"/>
        <w:spacing w:line="20" w:lineRule="atLeast"/>
        <w:rPr>
          <w:sz w:val="16"/>
          <w:szCs w:val="16"/>
          <w:lang w:val="es-CR"/>
        </w:rPr>
      </w:pPr>
      <w:r w:rsidRPr="00AF3CD6">
        <w:rPr>
          <w:rStyle w:val="FootnoteReference"/>
          <w:sz w:val="16"/>
          <w:szCs w:val="16"/>
          <w:lang w:eastAsia="x-none"/>
        </w:rPr>
        <w:footnoteRef/>
      </w:r>
      <w:r w:rsidRPr="00AF3CD6">
        <w:rPr>
          <w:sz w:val="16"/>
          <w:szCs w:val="16"/>
          <w:lang w:val="es-CR"/>
        </w:rPr>
        <w:t xml:space="preserve"> Efraín</w:t>
      </w:r>
      <w:r>
        <w:rPr>
          <w:sz w:val="16"/>
          <w:szCs w:val="16"/>
          <w:lang w:val="es-CR"/>
        </w:rPr>
        <w:t xml:space="preserve"> Grave </w:t>
      </w:r>
      <w:proofErr w:type="spellStart"/>
      <w:r>
        <w:rPr>
          <w:sz w:val="16"/>
          <w:szCs w:val="16"/>
          <w:lang w:val="es-CR"/>
        </w:rPr>
        <w:t>Morente</w:t>
      </w:r>
      <w:proofErr w:type="spellEnd"/>
      <w:r>
        <w:rPr>
          <w:sz w:val="16"/>
          <w:szCs w:val="16"/>
          <w:lang w:val="es-CR"/>
        </w:rPr>
        <w:t xml:space="preserve"> manifestó que los militares señalaron que se perdieron y que luego cambiaron la versión e indicaron que querían participar de las actividades de conmemoración por el año de existencia de la Comunidad (</w:t>
      </w:r>
      <w:r w:rsidRPr="00676759">
        <w:rPr>
          <w:i/>
          <w:sz w:val="16"/>
          <w:szCs w:val="16"/>
          <w:lang w:val="es-CR"/>
        </w:rPr>
        <w:t>cfr.</w:t>
      </w:r>
      <w:r>
        <w:rPr>
          <w:sz w:val="16"/>
          <w:szCs w:val="16"/>
          <w:lang w:val="es-CR"/>
        </w:rPr>
        <w:t xml:space="preserve"> d</w:t>
      </w:r>
      <w:proofErr w:type="spellStart"/>
      <w:r>
        <w:rPr>
          <w:sz w:val="16"/>
          <w:szCs w:val="16"/>
          <w:lang w:val="es-ES_tradnl"/>
        </w:rPr>
        <w:t>eclaración</w:t>
      </w:r>
      <w:proofErr w:type="spellEnd"/>
      <w:r>
        <w:rPr>
          <w:sz w:val="16"/>
          <w:szCs w:val="16"/>
          <w:lang w:val="es-ES_tradnl"/>
        </w:rPr>
        <w:t xml:space="preserve"> testimonial de Efraín Grave </w:t>
      </w:r>
      <w:proofErr w:type="spellStart"/>
      <w:r>
        <w:rPr>
          <w:sz w:val="16"/>
          <w:szCs w:val="16"/>
          <w:lang w:val="es-ES_tradnl"/>
        </w:rPr>
        <w:t>Morente</w:t>
      </w:r>
      <w:proofErr w:type="spellEnd"/>
      <w:r>
        <w:rPr>
          <w:sz w:val="16"/>
          <w:szCs w:val="16"/>
          <w:lang w:val="es-ES_tradnl"/>
        </w:rPr>
        <w:t xml:space="preserve"> ante el Organismo Judicial Guatemala, C.A </w:t>
      </w:r>
      <w:r w:rsidRPr="00676759">
        <w:rPr>
          <w:sz w:val="16"/>
          <w:szCs w:val="16"/>
          <w:lang w:val="es-ES_tradnl"/>
        </w:rPr>
        <w:t>(expediente</w:t>
      </w:r>
      <w:r>
        <w:rPr>
          <w:sz w:val="16"/>
          <w:szCs w:val="16"/>
          <w:lang w:val="es-ES_tradnl"/>
        </w:rPr>
        <w:t xml:space="preserve"> </w:t>
      </w:r>
      <w:r w:rsidRPr="00676759">
        <w:rPr>
          <w:sz w:val="16"/>
          <w:szCs w:val="16"/>
          <w:lang w:val="es-ES_tradnl"/>
        </w:rPr>
        <w:t xml:space="preserve">de prueba, anexo 1 </w:t>
      </w:r>
      <w:r>
        <w:rPr>
          <w:sz w:val="16"/>
          <w:szCs w:val="16"/>
          <w:lang w:val="es-ES_tradnl"/>
        </w:rPr>
        <w:t xml:space="preserve">a los </w:t>
      </w:r>
      <w:r w:rsidRPr="00676759">
        <w:rPr>
          <w:sz w:val="16"/>
          <w:szCs w:val="16"/>
          <w:lang w:val="es-ES_tradnl"/>
        </w:rPr>
        <w:t>alegatos finales escritos</w:t>
      </w:r>
      <w:r>
        <w:rPr>
          <w:sz w:val="16"/>
          <w:szCs w:val="16"/>
          <w:lang w:val="es-ES_tradnl"/>
        </w:rPr>
        <w:t xml:space="preserve"> del Estado,</w:t>
      </w:r>
      <w:r w:rsidRPr="00676759">
        <w:rPr>
          <w:sz w:val="16"/>
          <w:szCs w:val="16"/>
          <w:lang w:val="es-ES_tradnl"/>
        </w:rPr>
        <w:t xml:space="preserve"> folio</w:t>
      </w:r>
      <w:r>
        <w:rPr>
          <w:sz w:val="16"/>
          <w:szCs w:val="16"/>
          <w:lang w:val="es-ES_tradnl"/>
        </w:rPr>
        <w:t>s</w:t>
      </w:r>
      <w:r w:rsidRPr="00676759">
        <w:rPr>
          <w:sz w:val="16"/>
          <w:szCs w:val="16"/>
          <w:lang w:val="es-ES_tradnl"/>
        </w:rPr>
        <w:t xml:space="preserve"> 551</w:t>
      </w:r>
      <w:r>
        <w:rPr>
          <w:sz w:val="16"/>
          <w:szCs w:val="16"/>
          <w:lang w:val="es-ES_tradnl"/>
        </w:rPr>
        <w:t>1 a 5516); declaración dada en videograbación incorporada como prueba documental, adjunta al escrito de solicitudes y argumentos</w:t>
      </w:r>
      <w:r>
        <w:rPr>
          <w:b/>
          <w:sz w:val="16"/>
          <w:szCs w:val="16"/>
          <w:lang w:val="es-ES_tradnl"/>
        </w:rPr>
        <w:t xml:space="preserve"> </w:t>
      </w:r>
      <w:r>
        <w:rPr>
          <w:sz w:val="16"/>
          <w:szCs w:val="16"/>
          <w:lang w:val="es-ES_tradnl"/>
        </w:rPr>
        <w:t xml:space="preserve">y declaración rendida ante la Corte por afidávit, </w:t>
      </w:r>
      <w:r w:rsidRPr="00E24DF8">
        <w:rPr>
          <w:i/>
          <w:sz w:val="16"/>
          <w:szCs w:val="16"/>
          <w:lang w:val="es-ES_tradnl"/>
        </w:rPr>
        <w:t>supra</w:t>
      </w:r>
      <w:r>
        <w:rPr>
          <w:sz w:val="16"/>
          <w:szCs w:val="16"/>
          <w:lang w:val="es-ES_tradnl"/>
        </w:rPr>
        <w:t>.</w:t>
      </w:r>
      <w:r>
        <w:rPr>
          <w:sz w:val="16"/>
          <w:szCs w:val="16"/>
          <w:lang w:val="es-CR"/>
        </w:rPr>
        <w:t xml:space="preserve"> La sentencia condenatoria de 8 de julio de 2004 señala la versión de que los integrantes del ejército solicitaron participar en las festividades previstas para conmemorar el primer aniversario de la Comunidad (</w:t>
      </w:r>
      <w:r w:rsidRPr="00676759">
        <w:rPr>
          <w:i/>
          <w:sz w:val="16"/>
          <w:szCs w:val="16"/>
          <w:lang w:val="es-CR"/>
        </w:rPr>
        <w:t>cfr.</w:t>
      </w:r>
      <w:r>
        <w:rPr>
          <w:sz w:val="16"/>
          <w:szCs w:val="16"/>
          <w:lang w:val="es-CR"/>
        </w:rPr>
        <w:t xml:space="preserve"> s</w:t>
      </w:r>
      <w:r w:rsidRPr="00637508">
        <w:rPr>
          <w:sz w:val="16"/>
          <w:szCs w:val="16"/>
          <w:lang w:val="es-CR"/>
        </w:rPr>
        <w:t>entencia de</w:t>
      </w:r>
      <w:r>
        <w:rPr>
          <w:sz w:val="16"/>
          <w:szCs w:val="16"/>
          <w:lang w:val="es-CR"/>
        </w:rPr>
        <w:t xml:space="preserve"> 8 de julio de 2004, </w:t>
      </w:r>
      <w:r w:rsidRPr="00745BF3">
        <w:rPr>
          <w:i/>
          <w:sz w:val="16"/>
          <w:szCs w:val="16"/>
          <w:lang w:val="es-CR"/>
        </w:rPr>
        <w:t>supra</w:t>
      </w:r>
      <w:r w:rsidRPr="00D545C0">
        <w:rPr>
          <w:sz w:val="16"/>
          <w:szCs w:val="16"/>
          <w:lang w:val="es-ES_tradnl"/>
        </w:rPr>
        <w:t xml:space="preserve">). También se ha indicado que </w:t>
      </w:r>
      <w:r w:rsidRPr="00D545C0">
        <w:rPr>
          <w:sz w:val="16"/>
          <w:szCs w:val="16"/>
          <w:lang w:val="es-CR"/>
        </w:rPr>
        <w:t>se exigió a los militares ingresar al centro de la Comunidad, para que explicasen su presencia en el lugar (</w:t>
      </w:r>
      <w:r w:rsidRPr="00D545C0">
        <w:rPr>
          <w:i/>
          <w:sz w:val="16"/>
          <w:szCs w:val="16"/>
          <w:lang w:val="es-CR"/>
        </w:rPr>
        <w:t>cfr</w:t>
      </w:r>
      <w:r w:rsidRPr="00D545C0">
        <w:rPr>
          <w:sz w:val="16"/>
          <w:szCs w:val="16"/>
          <w:lang w:val="es-CR"/>
        </w:rPr>
        <w:t xml:space="preserve">. CEH, Guatemala: Memoria del Silencio, </w:t>
      </w:r>
      <w:r w:rsidRPr="00D545C0">
        <w:rPr>
          <w:i/>
          <w:sz w:val="16"/>
          <w:szCs w:val="16"/>
          <w:lang w:val="es-CR"/>
        </w:rPr>
        <w:t>supra</w:t>
      </w:r>
      <w:r w:rsidRPr="00D545C0">
        <w:rPr>
          <w:sz w:val="16"/>
          <w:szCs w:val="16"/>
          <w:lang w:val="es-CR"/>
        </w:rPr>
        <w:t xml:space="preserve">, Tomo VI, Casos Ilustrativos, Anexo 1, Caso Ilustrativo 3: Masacre de </w:t>
      </w:r>
      <w:proofErr w:type="spellStart"/>
      <w:r w:rsidRPr="00D545C0">
        <w:rPr>
          <w:sz w:val="16"/>
          <w:szCs w:val="16"/>
          <w:lang w:val="es-CR"/>
        </w:rPr>
        <w:t>Xamán</w:t>
      </w:r>
      <w:proofErr w:type="spellEnd"/>
      <w:r w:rsidRPr="00D545C0">
        <w:rPr>
          <w:sz w:val="16"/>
          <w:szCs w:val="16"/>
          <w:lang w:val="es-CR"/>
        </w:rPr>
        <w:t xml:space="preserve">). </w:t>
      </w:r>
    </w:p>
  </w:footnote>
  <w:footnote w:id="43">
    <w:p w:rsidR="00785921" w:rsidRPr="00637508" w:rsidRDefault="00785921" w:rsidP="00126E97">
      <w:pPr>
        <w:pStyle w:val="FootnoteText"/>
        <w:spacing w:line="20" w:lineRule="atLeast"/>
        <w:rPr>
          <w:lang w:val="es-CR"/>
        </w:rPr>
      </w:pPr>
      <w:r w:rsidRPr="00D545C0">
        <w:rPr>
          <w:rStyle w:val="FootnoteReference"/>
          <w:sz w:val="16"/>
          <w:szCs w:val="16"/>
          <w:lang w:eastAsia="x-none"/>
        </w:rPr>
        <w:footnoteRef/>
      </w:r>
      <w:r w:rsidRPr="00D545C0">
        <w:rPr>
          <w:sz w:val="16"/>
          <w:szCs w:val="16"/>
          <w:lang w:val="es-CR"/>
        </w:rPr>
        <w:t xml:space="preserve"> </w:t>
      </w:r>
      <w:r w:rsidRPr="00D545C0">
        <w:rPr>
          <w:i/>
          <w:sz w:val="16"/>
          <w:szCs w:val="16"/>
          <w:lang w:val="es-CR"/>
        </w:rPr>
        <w:t>Cfr.</w:t>
      </w:r>
      <w:r>
        <w:rPr>
          <w:sz w:val="16"/>
          <w:szCs w:val="16"/>
          <w:lang w:val="es-CR"/>
        </w:rPr>
        <w:t xml:space="preserve"> s</w:t>
      </w:r>
      <w:r w:rsidRPr="00D545C0">
        <w:rPr>
          <w:sz w:val="16"/>
          <w:szCs w:val="16"/>
          <w:lang w:val="es-CR"/>
        </w:rPr>
        <w:t>entencia de</w:t>
      </w:r>
      <w:r>
        <w:rPr>
          <w:sz w:val="16"/>
          <w:szCs w:val="16"/>
          <w:lang w:val="es-CR"/>
        </w:rPr>
        <w:t xml:space="preserve"> 8 de julio de 2004, </w:t>
      </w:r>
      <w:r w:rsidRPr="00745BF3">
        <w:rPr>
          <w:i/>
          <w:sz w:val="16"/>
          <w:szCs w:val="16"/>
          <w:lang w:val="es-CR"/>
        </w:rPr>
        <w:t>supra</w:t>
      </w:r>
      <w:r>
        <w:rPr>
          <w:sz w:val="16"/>
          <w:szCs w:val="16"/>
          <w:lang w:val="es-ES_tradnl"/>
        </w:rPr>
        <w:t xml:space="preserve">. </w:t>
      </w:r>
    </w:p>
  </w:footnote>
  <w:footnote w:id="44">
    <w:p w:rsidR="00785921" w:rsidRPr="00E221AF" w:rsidRDefault="00785921" w:rsidP="00126E97">
      <w:pPr>
        <w:spacing w:after="0" w:line="20" w:lineRule="atLeast"/>
        <w:rPr>
          <w:rFonts w:ascii="Verdana" w:hAnsi="Verdana"/>
          <w:sz w:val="16"/>
          <w:szCs w:val="16"/>
          <w:lang w:val="es-EC"/>
        </w:rPr>
      </w:pPr>
      <w:r w:rsidRPr="00E221AF">
        <w:rPr>
          <w:rStyle w:val="FootnoteReference"/>
          <w:rFonts w:ascii="Verdana" w:hAnsi="Verdana"/>
          <w:sz w:val="16"/>
          <w:szCs w:val="16"/>
          <w:lang w:val="es-EC" w:eastAsia="x-none"/>
        </w:rPr>
        <w:footnoteRef/>
      </w:r>
      <w:r w:rsidRPr="00E221AF">
        <w:rPr>
          <w:rFonts w:ascii="Verdana" w:hAnsi="Verdana"/>
          <w:sz w:val="16"/>
          <w:szCs w:val="16"/>
          <w:lang w:val="es-CR"/>
        </w:rPr>
        <w:t xml:space="preserve"> </w:t>
      </w:r>
      <w:r w:rsidRPr="00115440">
        <w:rPr>
          <w:rFonts w:ascii="Verdana" w:hAnsi="Verdana"/>
          <w:i/>
          <w:sz w:val="16"/>
          <w:szCs w:val="16"/>
          <w:lang w:val="es-CR"/>
        </w:rPr>
        <w:t>Cfr.</w:t>
      </w:r>
      <w:r>
        <w:rPr>
          <w:rFonts w:ascii="Verdana" w:hAnsi="Verdana"/>
          <w:sz w:val="16"/>
          <w:szCs w:val="16"/>
          <w:lang w:val="es-CR"/>
        </w:rPr>
        <w:t xml:space="preserve"> </w:t>
      </w:r>
      <w:r w:rsidRPr="00E221AF">
        <w:rPr>
          <w:rFonts w:ascii="Verdana" w:hAnsi="Verdana"/>
          <w:sz w:val="16"/>
          <w:szCs w:val="16"/>
          <w:lang w:val="es-CR"/>
        </w:rPr>
        <w:t xml:space="preserve">Declaración rendida por </w:t>
      </w:r>
      <w:r>
        <w:rPr>
          <w:rFonts w:ascii="Verdana" w:hAnsi="Verdana"/>
          <w:sz w:val="16"/>
          <w:szCs w:val="16"/>
          <w:lang w:val="es-CR"/>
        </w:rPr>
        <w:t>A</w:t>
      </w:r>
      <w:r w:rsidRPr="00E221AF">
        <w:rPr>
          <w:rFonts w:ascii="Verdana" w:hAnsi="Verdana"/>
          <w:sz w:val="16"/>
          <w:szCs w:val="16"/>
          <w:lang w:val="es-CR"/>
        </w:rPr>
        <w:t xml:space="preserve">, </w:t>
      </w:r>
      <w:r w:rsidRPr="00E221AF">
        <w:rPr>
          <w:rFonts w:ascii="Verdana" w:hAnsi="Verdana"/>
          <w:i/>
          <w:sz w:val="16"/>
          <w:szCs w:val="16"/>
          <w:lang w:val="es-CR"/>
        </w:rPr>
        <w:t>supra</w:t>
      </w:r>
      <w:r w:rsidRPr="00E221AF">
        <w:rPr>
          <w:rFonts w:ascii="Verdana" w:hAnsi="Verdana"/>
          <w:sz w:val="16"/>
          <w:szCs w:val="16"/>
          <w:lang w:val="es-CR"/>
        </w:rPr>
        <w:t>.</w:t>
      </w:r>
    </w:p>
  </w:footnote>
  <w:footnote w:id="45">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sidRPr="00115440">
        <w:rPr>
          <w:i/>
          <w:sz w:val="16"/>
          <w:szCs w:val="16"/>
          <w:lang w:val="es-CR"/>
        </w:rPr>
        <w:t>Cfr.</w:t>
      </w:r>
      <w:r>
        <w:rPr>
          <w:sz w:val="16"/>
          <w:szCs w:val="16"/>
          <w:lang w:val="es-CR"/>
        </w:rPr>
        <w:t xml:space="preserve"> Declaración rendida por </w:t>
      </w:r>
      <w:r w:rsidRPr="00D108B6">
        <w:rPr>
          <w:sz w:val="16"/>
          <w:szCs w:val="16"/>
          <w:lang w:val="es-CR"/>
        </w:rPr>
        <w:t>PAR</w:t>
      </w:r>
      <w:r w:rsidRPr="00115440">
        <w:rPr>
          <w:sz w:val="16"/>
          <w:szCs w:val="16"/>
          <w:lang w:val="es-CR"/>
        </w:rPr>
        <w:t xml:space="preserve"> </w:t>
      </w:r>
      <w:r>
        <w:rPr>
          <w:sz w:val="16"/>
          <w:szCs w:val="16"/>
          <w:lang w:val="es-CR"/>
        </w:rPr>
        <w:t>que fue remitida a la Comisión junto con la petición inicial, y aportada ante la Corte como prueba documental (expediente de prueba, anexo 3 al Informe de Fondo folios 15 a 18).</w:t>
      </w:r>
    </w:p>
  </w:footnote>
  <w:footnote w:id="46">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w:t>
      </w:r>
      <w:r>
        <w:rPr>
          <w:i/>
          <w:sz w:val="16"/>
          <w:szCs w:val="16"/>
          <w:lang w:val="es-CR"/>
        </w:rPr>
        <w:t>Cfr.</w:t>
      </w:r>
      <w:r>
        <w:rPr>
          <w:sz w:val="16"/>
          <w:szCs w:val="16"/>
          <w:lang w:val="es-CR"/>
        </w:rPr>
        <w:t xml:space="preserve"> s</w:t>
      </w:r>
      <w:r w:rsidRPr="00637508">
        <w:rPr>
          <w:sz w:val="16"/>
          <w:szCs w:val="16"/>
          <w:lang w:val="es-CR"/>
        </w:rPr>
        <w:t>entencia de</w:t>
      </w:r>
      <w:r>
        <w:rPr>
          <w:sz w:val="16"/>
          <w:szCs w:val="16"/>
          <w:lang w:val="es-CR"/>
        </w:rPr>
        <w:t xml:space="preserve"> 8 de julio de 2004, </w:t>
      </w:r>
      <w:r w:rsidRPr="00745BF3">
        <w:rPr>
          <w:i/>
          <w:sz w:val="16"/>
          <w:szCs w:val="16"/>
          <w:lang w:val="es-CR"/>
        </w:rPr>
        <w:t>supra</w:t>
      </w:r>
      <w:r>
        <w:rPr>
          <w:sz w:val="16"/>
          <w:szCs w:val="16"/>
          <w:lang w:val="es-ES_tradnl"/>
        </w:rPr>
        <w:t xml:space="preserve">. </w:t>
      </w:r>
      <w:r w:rsidRPr="00637508">
        <w:rPr>
          <w:sz w:val="16"/>
          <w:szCs w:val="16"/>
          <w:lang w:val="es-CR"/>
        </w:rPr>
        <w:t xml:space="preserve">Distintas declaraciones de sobrevivientes de la masacre señalaron que se les indicó a los soldados que se llamaría a </w:t>
      </w:r>
      <w:r>
        <w:rPr>
          <w:sz w:val="16"/>
          <w:szCs w:val="16"/>
          <w:lang w:val="es-CR"/>
        </w:rPr>
        <w:t>MINUGUA a fin de determinar si podía o no ingresar. Puede confrontarse, en ese sentido, la d</w:t>
      </w:r>
      <w:proofErr w:type="spellStart"/>
      <w:r>
        <w:rPr>
          <w:sz w:val="16"/>
          <w:szCs w:val="16"/>
          <w:lang w:val="es-ES_tradnl"/>
        </w:rPr>
        <w:t>eclaración</w:t>
      </w:r>
      <w:proofErr w:type="spellEnd"/>
      <w:r>
        <w:rPr>
          <w:sz w:val="16"/>
          <w:szCs w:val="16"/>
          <w:lang w:val="es-ES_tradnl"/>
        </w:rPr>
        <w:t xml:space="preserve"> Testimonial ante el Organismo Judicial Guatemala, C.A, de Efraín Grave </w:t>
      </w:r>
      <w:proofErr w:type="spellStart"/>
      <w:r>
        <w:rPr>
          <w:sz w:val="16"/>
          <w:szCs w:val="16"/>
          <w:lang w:val="es-ES_tradnl"/>
        </w:rPr>
        <w:t>Morente</w:t>
      </w:r>
      <w:proofErr w:type="spellEnd"/>
      <w:r>
        <w:rPr>
          <w:sz w:val="16"/>
          <w:szCs w:val="16"/>
          <w:lang w:val="es-ES_tradnl"/>
        </w:rPr>
        <w:t xml:space="preserve">, </w:t>
      </w:r>
      <w:r>
        <w:rPr>
          <w:i/>
          <w:sz w:val="16"/>
          <w:szCs w:val="16"/>
          <w:lang w:val="es-ES_tradnl"/>
        </w:rPr>
        <w:t>supra</w:t>
      </w:r>
      <w:r>
        <w:rPr>
          <w:sz w:val="16"/>
          <w:szCs w:val="16"/>
          <w:lang w:val="es-ES_tradnl"/>
        </w:rPr>
        <w:t>,</w:t>
      </w:r>
      <w:r w:rsidRPr="00767F34">
        <w:rPr>
          <w:sz w:val="16"/>
          <w:szCs w:val="16"/>
          <w:lang w:val="es-ES_tradnl"/>
        </w:rPr>
        <w:t xml:space="preserve"> </w:t>
      </w:r>
      <w:r>
        <w:rPr>
          <w:sz w:val="16"/>
          <w:szCs w:val="16"/>
          <w:lang w:val="es-ES_tradnl"/>
        </w:rPr>
        <w:t xml:space="preserve">y su declaración ante la Corte, </w:t>
      </w:r>
      <w:r w:rsidRPr="00D43974">
        <w:rPr>
          <w:i/>
          <w:sz w:val="16"/>
          <w:szCs w:val="16"/>
          <w:lang w:val="es-ES_tradnl"/>
        </w:rPr>
        <w:t>supra</w:t>
      </w:r>
      <w:r>
        <w:rPr>
          <w:sz w:val="16"/>
          <w:szCs w:val="16"/>
          <w:lang w:val="es-ES_tradnl"/>
        </w:rPr>
        <w:t>.</w:t>
      </w:r>
    </w:p>
  </w:footnote>
  <w:footnote w:id="47">
    <w:p w:rsidR="00785921" w:rsidRDefault="00785921" w:rsidP="00126E97">
      <w:pPr>
        <w:pStyle w:val="FootnoteText"/>
        <w:spacing w:line="20" w:lineRule="atLeast"/>
        <w:rPr>
          <w:sz w:val="16"/>
          <w:szCs w:val="16"/>
          <w:lang w:val="es-ES_tradnl"/>
        </w:rPr>
      </w:pPr>
      <w:r>
        <w:rPr>
          <w:rStyle w:val="FootnoteReference"/>
          <w:sz w:val="16"/>
          <w:szCs w:val="16"/>
          <w:lang w:val="es-ES_tradnl" w:eastAsia="x-none"/>
        </w:rPr>
        <w:footnoteRef/>
      </w:r>
      <w:r>
        <w:rPr>
          <w:sz w:val="16"/>
          <w:szCs w:val="16"/>
          <w:lang w:val="es-CR"/>
        </w:rPr>
        <w:t xml:space="preserve"> </w:t>
      </w:r>
      <w:r>
        <w:rPr>
          <w:i/>
          <w:sz w:val="16"/>
          <w:szCs w:val="16"/>
          <w:lang w:val="es-CR"/>
        </w:rPr>
        <w:t>Cfr.</w:t>
      </w:r>
      <w:r>
        <w:rPr>
          <w:sz w:val="16"/>
          <w:szCs w:val="16"/>
          <w:lang w:val="es-CR"/>
        </w:rPr>
        <w:t xml:space="preserve"> s</w:t>
      </w:r>
      <w:r w:rsidRPr="00637508">
        <w:rPr>
          <w:sz w:val="16"/>
          <w:szCs w:val="16"/>
          <w:lang w:val="es-CR"/>
        </w:rPr>
        <w:t xml:space="preserve">entencia </w:t>
      </w:r>
      <w:r>
        <w:rPr>
          <w:sz w:val="16"/>
          <w:szCs w:val="16"/>
          <w:lang w:val="es-CR"/>
        </w:rPr>
        <w:t xml:space="preserve">de 8 de julio de 2004, </w:t>
      </w:r>
      <w:r w:rsidRPr="00745BF3">
        <w:rPr>
          <w:i/>
          <w:sz w:val="16"/>
          <w:szCs w:val="16"/>
          <w:lang w:val="es-CR"/>
        </w:rPr>
        <w:t>supra</w:t>
      </w:r>
      <w:r>
        <w:rPr>
          <w:sz w:val="16"/>
          <w:szCs w:val="16"/>
          <w:lang w:val="es-CR"/>
        </w:rPr>
        <w:t xml:space="preserve">. </w:t>
      </w:r>
    </w:p>
  </w:footnote>
  <w:footnote w:id="48">
    <w:p w:rsidR="00785921" w:rsidRDefault="00785921" w:rsidP="00126E97">
      <w:pPr>
        <w:pStyle w:val="FootnoteText"/>
        <w:spacing w:line="20" w:lineRule="atLeast"/>
        <w:rPr>
          <w:sz w:val="16"/>
          <w:szCs w:val="16"/>
          <w:lang w:val="es-ES_tradnl"/>
        </w:rPr>
      </w:pPr>
      <w:r>
        <w:rPr>
          <w:rStyle w:val="FootnoteReference"/>
          <w:sz w:val="16"/>
          <w:szCs w:val="16"/>
          <w:lang w:val="es-ES_tradnl" w:eastAsia="x-none"/>
        </w:rPr>
        <w:footnoteRef/>
      </w:r>
      <w:r w:rsidRPr="00637508">
        <w:rPr>
          <w:sz w:val="16"/>
          <w:szCs w:val="16"/>
          <w:lang w:val="es-CR"/>
        </w:rPr>
        <w:t xml:space="preserve"> </w:t>
      </w:r>
      <w:r>
        <w:rPr>
          <w:sz w:val="16"/>
          <w:szCs w:val="16"/>
          <w:lang w:val="es-ES_tradnl"/>
        </w:rPr>
        <w:t xml:space="preserve">Declaración Testimonial de Efraín Grave </w:t>
      </w:r>
      <w:proofErr w:type="spellStart"/>
      <w:r>
        <w:rPr>
          <w:sz w:val="16"/>
          <w:szCs w:val="16"/>
          <w:lang w:val="es-ES_tradnl"/>
        </w:rPr>
        <w:t>Morente</w:t>
      </w:r>
      <w:proofErr w:type="spellEnd"/>
      <w:r>
        <w:rPr>
          <w:sz w:val="16"/>
          <w:szCs w:val="16"/>
          <w:lang w:val="es-ES_tradnl"/>
        </w:rPr>
        <w:t xml:space="preserve"> ante el Organismo Judicial Guatemala, C.A, </w:t>
      </w:r>
      <w:r w:rsidRPr="00676759">
        <w:rPr>
          <w:i/>
          <w:sz w:val="16"/>
          <w:szCs w:val="16"/>
          <w:lang w:val="es-ES_tradnl"/>
        </w:rPr>
        <w:t>supra</w:t>
      </w:r>
      <w:r>
        <w:rPr>
          <w:sz w:val="16"/>
          <w:szCs w:val="16"/>
          <w:lang w:val="es-ES_tradnl"/>
        </w:rPr>
        <w:t xml:space="preserve">, en la que indica que intentó salir, pero en principio no pudo, porque toda la gente estaba corriendo rápidamente y que, cuando logró salir, recibió un disparo en el estómago. En el mismo sentido se manifestó Tomás Grave </w:t>
      </w:r>
      <w:proofErr w:type="spellStart"/>
      <w:r>
        <w:rPr>
          <w:sz w:val="16"/>
          <w:szCs w:val="16"/>
          <w:lang w:val="es-ES_tradnl"/>
        </w:rPr>
        <w:t>Morente</w:t>
      </w:r>
      <w:proofErr w:type="spellEnd"/>
      <w:r>
        <w:rPr>
          <w:sz w:val="16"/>
          <w:szCs w:val="16"/>
          <w:lang w:val="es-ES_tradnl"/>
        </w:rPr>
        <w:t xml:space="preserve">, tanto en su declaración ante el Organismo Judicial Guatemala, C.A </w:t>
      </w:r>
      <w:r w:rsidRPr="00676759">
        <w:rPr>
          <w:sz w:val="16"/>
          <w:szCs w:val="16"/>
          <w:lang w:val="es-ES_tradnl"/>
        </w:rPr>
        <w:t>(expediente</w:t>
      </w:r>
      <w:r>
        <w:rPr>
          <w:b/>
          <w:sz w:val="16"/>
          <w:szCs w:val="16"/>
          <w:lang w:val="es-ES_tradnl"/>
        </w:rPr>
        <w:t xml:space="preserve"> </w:t>
      </w:r>
      <w:r w:rsidRPr="00676759">
        <w:rPr>
          <w:sz w:val="16"/>
          <w:szCs w:val="16"/>
          <w:lang w:val="es-ES_tradnl"/>
        </w:rPr>
        <w:t>de prueba,</w:t>
      </w:r>
      <w:r>
        <w:rPr>
          <w:b/>
          <w:sz w:val="16"/>
          <w:szCs w:val="16"/>
          <w:lang w:val="es-ES_tradnl"/>
        </w:rPr>
        <w:t xml:space="preserve"> </w:t>
      </w:r>
      <w:r w:rsidRPr="00CC0B84">
        <w:rPr>
          <w:sz w:val="16"/>
          <w:szCs w:val="16"/>
          <w:lang w:val="es-ES_tradnl"/>
        </w:rPr>
        <w:t>a</w:t>
      </w:r>
      <w:r>
        <w:rPr>
          <w:sz w:val="16"/>
          <w:szCs w:val="16"/>
          <w:lang w:val="es-ES_tradnl"/>
        </w:rPr>
        <w:t>nexos a</w:t>
      </w:r>
      <w:r w:rsidRPr="00CC0B84">
        <w:rPr>
          <w:sz w:val="16"/>
          <w:szCs w:val="16"/>
          <w:lang w:val="es-ES_tradnl"/>
        </w:rPr>
        <w:t xml:space="preserve"> los alegatos finales escritos</w:t>
      </w:r>
      <w:r>
        <w:rPr>
          <w:sz w:val="16"/>
          <w:szCs w:val="16"/>
          <w:lang w:val="es-ES_tradnl"/>
        </w:rPr>
        <w:t xml:space="preserve"> del Estado</w:t>
      </w:r>
      <w:r w:rsidRPr="00676759">
        <w:rPr>
          <w:sz w:val="16"/>
          <w:szCs w:val="16"/>
          <w:lang w:val="es-ES_tradnl"/>
        </w:rPr>
        <w:t>,</w:t>
      </w:r>
      <w:r>
        <w:rPr>
          <w:b/>
          <w:sz w:val="16"/>
          <w:szCs w:val="16"/>
          <w:lang w:val="es-ES_tradnl"/>
        </w:rPr>
        <w:t xml:space="preserve"> </w:t>
      </w:r>
      <w:r w:rsidRPr="00676759">
        <w:rPr>
          <w:sz w:val="16"/>
          <w:szCs w:val="16"/>
          <w:lang w:val="es-ES_tradnl"/>
        </w:rPr>
        <w:t>folio</w:t>
      </w:r>
      <w:r>
        <w:rPr>
          <w:sz w:val="16"/>
          <w:szCs w:val="16"/>
          <w:lang w:val="es-ES_tradnl"/>
        </w:rPr>
        <w:t>s</w:t>
      </w:r>
      <w:r w:rsidRPr="00676759">
        <w:rPr>
          <w:sz w:val="16"/>
          <w:szCs w:val="16"/>
          <w:lang w:val="es-ES_tradnl"/>
        </w:rPr>
        <w:t xml:space="preserve"> 5522</w:t>
      </w:r>
      <w:r>
        <w:rPr>
          <w:sz w:val="16"/>
          <w:szCs w:val="16"/>
          <w:lang w:val="es-ES_tradnl"/>
        </w:rPr>
        <w:t xml:space="preserve"> a 5528</w:t>
      </w:r>
      <w:r w:rsidRPr="00676759">
        <w:rPr>
          <w:sz w:val="16"/>
          <w:szCs w:val="16"/>
          <w:lang w:val="es-ES_tradnl"/>
        </w:rPr>
        <w:t>)</w:t>
      </w:r>
      <w:r>
        <w:rPr>
          <w:sz w:val="16"/>
          <w:szCs w:val="16"/>
          <w:lang w:val="es-ES_tradnl"/>
        </w:rPr>
        <w:t>,</w:t>
      </w:r>
      <w:r>
        <w:rPr>
          <w:b/>
          <w:sz w:val="16"/>
          <w:szCs w:val="16"/>
          <w:lang w:val="es-ES_tradnl"/>
        </w:rPr>
        <w:t xml:space="preserve"> </w:t>
      </w:r>
      <w:r>
        <w:rPr>
          <w:sz w:val="16"/>
          <w:szCs w:val="16"/>
          <w:lang w:val="es-ES_tradnl"/>
        </w:rPr>
        <w:t xml:space="preserve">como en su declaración ante la Corte Interamericana, </w:t>
      </w:r>
      <w:r w:rsidRPr="00E24DF8">
        <w:rPr>
          <w:i/>
          <w:sz w:val="16"/>
          <w:szCs w:val="16"/>
          <w:lang w:val="es-ES_tradnl"/>
        </w:rPr>
        <w:t>supra</w:t>
      </w:r>
      <w:r>
        <w:rPr>
          <w:sz w:val="16"/>
          <w:szCs w:val="16"/>
          <w:lang w:val="es-ES_tradnl"/>
        </w:rPr>
        <w:t>.</w:t>
      </w:r>
    </w:p>
  </w:footnote>
  <w:footnote w:id="49">
    <w:p w:rsidR="00785921" w:rsidRPr="00D108B6" w:rsidRDefault="00785921" w:rsidP="00126E97">
      <w:pPr>
        <w:pStyle w:val="FootnoteText"/>
        <w:spacing w:line="20" w:lineRule="atLeast"/>
        <w:rPr>
          <w:sz w:val="16"/>
          <w:szCs w:val="16"/>
          <w:lang w:val="es-CR"/>
        </w:rPr>
      </w:pPr>
      <w:r>
        <w:rPr>
          <w:rStyle w:val="FootnoteReference"/>
          <w:sz w:val="16"/>
          <w:szCs w:val="16"/>
          <w:lang w:eastAsia="x-none"/>
        </w:rPr>
        <w:footnoteRef/>
      </w:r>
      <w:r>
        <w:rPr>
          <w:sz w:val="16"/>
          <w:szCs w:val="16"/>
          <w:lang w:val="es-CR"/>
        </w:rPr>
        <w:t xml:space="preserve"> Declaración rendida por A</w:t>
      </w:r>
      <w:r w:rsidRPr="00D108B6">
        <w:rPr>
          <w:sz w:val="16"/>
          <w:szCs w:val="16"/>
          <w:lang w:val="es-CR"/>
        </w:rPr>
        <w:t xml:space="preserve">, </w:t>
      </w:r>
      <w:r w:rsidRPr="00D108B6">
        <w:rPr>
          <w:i/>
          <w:sz w:val="16"/>
          <w:szCs w:val="16"/>
          <w:lang w:val="es-CR"/>
        </w:rPr>
        <w:t>supra</w:t>
      </w:r>
      <w:r w:rsidRPr="00D108B6">
        <w:rPr>
          <w:sz w:val="16"/>
          <w:szCs w:val="16"/>
          <w:lang w:val="es-CR"/>
        </w:rPr>
        <w:t xml:space="preserve">; </w:t>
      </w:r>
      <w:r w:rsidRPr="00D108B6">
        <w:rPr>
          <w:sz w:val="16"/>
          <w:szCs w:val="16"/>
          <w:lang w:val="es-ES_tradnl"/>
        </w:rPr>
        <w:t xml:space="preserve">Declaración de Tomás Grave </w:t>
      </w:r>
      <w:proofErr w:type="spellStart"/>
      <w:r w:rsidRPr="00D108B6">
        <w:rPr>
          <w:sz w:val="16"/>
          <w:szCs w:val="16"/>
          <w:lang w:val="es-ES_tradnl"/>
        </w:rPr>
        <w:t>Morente</w:t>
      </w:r>
      <w:proofErr w:type="spellEnd"/>
      <w:r w:rsidRPr="00D108B6">
        <w:rPr>
          <w:sz w:val="16"/>
          <w:szCs w:val="16"/>
          <w:lang w:val="es-ES_tradnl"/>
        </w:rPr>
        <w:t xml:space="preserve"> ante el Organismo Judicial Guatemala, C.A, </w:t>
      </w:r>
      <w:r w:rsidRPr="00D108B6">
        <w:rPr>
          <w:i/>
          <w:sz w:val="16"/>
          <w:szCs w:val="16"/>
          <w:lang w:val="es-ES_tradnl"/>
        </w:rPr>
        <w:t>supra</w:t>
      </w:r>
      <w:r w:rsidRPr="00D108B6">
        <w:rPr>
          <w:sz w:val="16"/>
          <w:szCs w:val="16"/>
          <w:lang w:val="es-ES_tradnl"/>
        </w:rPr>
        <w:t>.</w:t>
      </w:r>
    </w:p>
  </w:footnote>
  <w:footnote w:id="50">
    <w:p w:rsidR="00785921" w:rsidRDefault="00785921" w:rsidP="00126E97">
      <w:pPr>
        <w:pStyle w:val="FootnoteText"/>
        <w:spacing w:line="20" w:lineRule="atLeast"/>
        <w:rPr>
          <w:sz w:val="16"/>
          <w:szCs w:val="16"/>
          <w:lang w:val="es-CR"/>
        </w:rPr>
      </w:pPr>
      <w:r w:rsidRPr="00D108B6">
        <w:rPr>
          <w:rStyle w:val="FootnoteReference"/>
          <w:sz w:val="16"/>
          <w:szCs w:val="16"/>
          <w:lang w:val="es-CR" w:eastAsia="x-none"/>
        </w:rPr>
        <w:footnoteRef/>
      </w:r>
      <w:r w:rsidRPr="00D108B6">
        <w:rPr>
          <w:sz w:val="16"/>
          <w:szCs w:val="16"/>
          <w:lang w:val="es-CR"/>
        </w:rPr>
        <w:t xml:space="preserve"> </w:t>
      </w:r>
      <w:r w:rsidRPr="00D108B6">
        <w:rPr>
          <w:i/>
          <w:sz w:val="16"/>
          <w:szCs w:val="16"/>
          <w:lang w:val="es-CR"/>
        </w:rPr>
        <w:t>Cfr.</w:t>
      </w:r>
      <w:r w:rsidRPr="00D108B6">
        <w:rPr>
          <w:sz w:val="16"/>
          <w:szCs w:val="16"/>
          <w:lang w:val="es-CR"/>
        </w:rPr>
        <w:t xml:space="preserve">, en ese sentido, la declaración rendida por </w:t>
      </w:r>
      <w:r>
        <w:rPr>
          <w:sz w:val="16"/>
          <w:szCs w:val="16"/>
          <w:lang w:val="es-CR"/>
        </w:rPr>
        <w:t xml:space="preserve">A, </w:t>
      </w:r>
      <w:r w:rsidRPr="00D43974">
        <w:rPr>
          <w:i/>
          <w:sz w:val="16"/>
          <w:szCs w:val="16"/>
          <w:lang w:val="es-CR"/>
        </w:rPr>
        <w:t>supra</w:t>
      </w:r>
      <w:r>
        <w:rPr>
          <w:sz w:val="16"/>
          <w:szCs w:val="16"/>
          <w:lang w:val="es-CR"/>
        </w:rPr>
        <w:t>.</w:t>
      </w:r>
    </w:p>
  </w:footnote>
  <w:footnote w:id="51">
    <w:p w:rsidR="00785921" w:rsidRPr="00B80378" w:rsidRDefault="00785921" w:rsidP="00126E97">
      <w:pPr>
        <w:pStyle w:val="FootnoteText"/>
        <w:spacing w:line="20" w:lineRule="atLeast"/>
        <w:rPr>
          <w:sz w:val="16"/>
          <w:szCs w:val="16"/>
          <w:lang w:val="es-CR"/>
        </w:rPr>
      </w:pPr>
      <w:r w:rsidRPr="00B80378">
        <w:rPr>
          <w:rStyle w:val="FootnoteReference"/>
          <w:sz w:val="16"/>
          <w:szCs w:val="16"/>
          <w:lang w:eastAsia="x-none"/>
        </w:rPr>
        <w:footnoteRef/>
      </w:r>
      <w:r w:rsidRPr="00B80378">
        <w:rPr>
          <w:sz w:val="16"/>
          <w:szCs w:val="16"/>
          <w:lang w:val="es-CR"/>
        </w:rPr>
        <w:t xml:space="preserve"> </w:t>
      </w:r>
      <w:r w:rsidRPr="00B80378">
        <w:rPr>
          <w:i/>
          <w:sz w:val="16"/>
          <w:szCs w:val="16"/>
          <w:lang w:val="es-CR"/>
        </w:rPr>
        <w:t>Cfr.</w:t>
      </w:r>
      <w:r w:rsidRPr="00B80378">
        <w:rPr>
          <w:sz w:val="16"/>
          <w:szCs w:val="16"/>
          <w:lang w:val="es-CR"/>
        </w:rPr>
        <w:t xml:space="preserve"> </w:t>
      </w:r>
      <w:r>
        <w:rPr>
          <w:sz w:val="16"/>
          <w:szCs w:val="16"/>
          <w:lang w:val="es-CR"/>
        </w:rPr>
        <w:t>s</w:t>
      </w:r>
      <w:r w:rsidRPr="00B80378">
        <w:rPr>
          <w:sz w:val="16"/>
          <w:szCs w:val="16"/>
          <w:lang w:val="es-CR"/>
        </w:rPr>
        <w:t>entencia de 8 de julio de 2004</w:t>
      </w:r>
      <w:r>
        <w:rPr>
          <w:sz w:val="16"/>
          <w:szCs w:val="16"/>
          <w:lang w:val="es-CR"/>
        </w:rPr>
        <w:t xml:space="preserve">, </w:t>
      </w:r>
      <w:r w:rsidRPr="00745BF3">
        <w:rPr>
          <w:i/>
          <w:sz w:val="16"/>
          <w:szCs w:val="16"/>
          <w:lang w:val="es-CR"/>
        </w:rPr>
        <w:t>supra</w:t>
      </w:r>
      <w:r w:rsidRPr="00B80378">
        <w:rPr>
          <w:sz w:val="16"/>
          <w:szCs w:val="16"/>
          <w:lang w:val="es-ES_tradnl"/>
        </w:rPr>
        <w:t xml:space="preserve">. Respecto al apellido del niño, </w:t>
      </w:r>
      <w:r w:rsidRPr="00B80378">
        <w:rPr>
          <w:sz w:val="16"/>
          <w:szCs w:val="16"/>
          <w:lang w:val="es-ES"/>
        </w:rPr>
        <w:t xml:space="preserve">consta como </w:t>
      </w:r>
      <w:r>
        <w:rPr>
          <w:sz w:val="16"/>
          <w:szCs w:val="16"/>
          <w:lang w:val="es-ES"/>
        </w:rPr>
        <w:t>“</w:t>
      </w:r>
      <w:proofErr w:type="spellStart"/>
      <w:r w:rsidRPr="00B80378">
        <w:rPr>
          <w:sz w:val="16"/>
          <w:szCs w:val="16"/>
          <w:lang w:val="es-ES"/>
        </w:rPr>
        <w:t>Coc</w:t>
      </w:r>
      <w:proofErr w:type="spellEnd"/>
      <w:r>
        <w:rPr>
          <w:sz w:val="16"/>
          <w:szCs w:val="16"/>
          <w:lang w:val="es-ES"/>
        </w:rPr>
        <w:t>”</w:t>
      </w:r>
      <w:r w:rsidRPr="00B80378">
        <w:rPr>
          <w:sz w:val="16"/>
          <w:szCs w:val="16"/>
          <w:lang w:val="es-ES"/>
        </w:rPr>
        <w:t xml:space="preserve"> en el Anexo único del Informe de Fondo</w:t>
      </w:r>
      <w:r>
        <w:rPr>
          <w:sz w:val="16"/>
          <w:szCs w:val="16"/>
          <w:lang w:val="es-ES"/>
        </w:rPr>
        <w:t xml:space="preserve">; </w:t>
      </w:r>
      <w:r w:rsidRPr="00B80378">
        <w:rPr>
          <w:sz w:val="16"/>
          <w:szCs w:val="16"/>
          <w:lang w:val="es-ES"/>
        </w:rPr>
        <w:t xml:space="preserve">como </w:t>
      </w:r>
      <w:r>
        <w:rPr>
          <w:sz w:val="16"/>
          <w:szCs w:val="16"/>
          <w:lang w:val="es-ES"/>
        </w:rPr>
        <w:t>“</w:t>
      </w:r>
      <w:proofErr w:type="spellStart"/>
      <w:r w:rsidRPr="00B80378">
        <w:rPr>
          <w:sz w:val="16"/>
          <w:szCs w:val="16"/>
          <w:lang w:val="es-ES"/>
        </w:rPr>
        <w:t>Coc</w:t>
      </w:r>
      <w:proofErr w:type="spellEnd"/>
      <w:r w:rsidRPr="00B80378">
        <w:rPr>
          <w:sz w:val="16"/>
          <w:szCs w:val="16"/>
          <w:lang w:val="es-ES"/>
        </w:rPr>
        <w:t xml:space="preserve"> Pop</w:t>
      </w:r>
      <w:r>
        <w:rPr>
          <w:sz w:val="16"/>
          <w:szCs w:val="16"/>
          <w:lang w:val="es-ES"/>
        </w:rPr>
        <w:t>”</w:t>
      </w:r>
      <w:r w:rsidRPr="00B80378">
        <w:rPr>
          <w:sz w:val="16"/>
          <w:szCs w:val="16"/>
          <w:lang w:val="es-ES"/>
        </w:rPr>
        <w:t xml:space="preserve"> en el párr. 54 del Informe de Fondo; como </w:t>
      </w:r>
      <w:r>
        <w:rPr>
          <w:sz w:val="16"/>
          <w:szCs w:val="16"/>
          <w:lang w:val="es-ES"/>
        </w:rPr>
        <w:t>“</w:t>
      </w:r>
      <w:proofErr w:type="spellStart"/>
      <w:r w:rsidRPr="00B80378">
        <w:rPr>
          <w:sz w:val="16"/>
          <w:szCs w:val="16"/>
          <w:lang w:val="es-ES"/>
        </w:rPr>
        <w:t>Coc</w:t>
      </w:r>
      <w:proofErr w:type="spellEnd"/>
      <w:r w:rsidRPr="00B80378">
        <w:rPr>
          <w:sz w:val="16"/>
          <w:szCs w:val="16"/>
          <w:lang w:val="es-ES"/>
        </w:rPr>
        <w:t xml:space="preserve"> </w:t>
      </w:r>
      <w:proofErr w:type="spellStart"/>
      <w:r w:rsidRPr="00B80378">
        <w:rPr>
          <w:sz w:val="16"/>
          <w:szCs w:val="16"/>
          <w:lang w:val="es-ES"/>
        </w:rPr>
        <w:t>Tut</w:t>
      </w:r>
      <w:proofErr w:type="spellEnd"/>
      <w:r>
        <w:rPr>
          <w:sz w:val="16"/>
          <w:szCs w:val="16"/>
          <w:lang w:val="es-ES"/>
        </w:rPr>
        <w:t>”</w:t>
      </w:r>
      <w:r w:rsidRPr="00B80378">
        <w:rPr>
          <w:sz w:val="16"/>
          <w:szCs w:val="16"/>
          <w:lang w:val="es-ES"/>
        </w:rPr>
        <w:t xml:space="preserve"> en el </w:t>
      </w:r>
      <w:r>
        <w:rPr>
          <w:sz w:val="16"/>
          <w:szCs w:val="16"/>
          <w:lang w:val="es-ES"/>
        </w:rPr>
        <w:t>e</w:t>
      </w:r>
      <w:r w:rsidRPr="00B80378">
        <w:rPr>
          <w:sz w:val="16"/>
          <w:szCs w:val="16"/>
          <w:lang w:val="es-ES"/>
        </w:rPr>
        <w:t>scrito de solicitudes</w:t>
      </w:r>
      <w:r>
        <w:rPr>
          <w:sz w:val="16"/>
          <w:szCs w:val="16"/>
          <w:lang w:val="es-ES"/>
        </w:rPr>
        <w:t xml:space="preserve"> y</w:t>
      </w:r>
      <w:r w:rsidRPr="00B80378">
        <w:rPr>
          <w:sz w:val="16"/>
          <w:szCs w:val="16"/>
          <w:lang w:val="es-ES"/>
        </w:rPr>
        <w:t xml:space="preserve"> argumentos</w:t>
      </w:r>
      <w:r>
        <w:rPr>
          <w:sz w:val="16"/>
          <w:szCs w:val="16"/>
          <w:lang w:val="es-ES"/>
        </w:rPr>
        <w:t>;</w:t>
      </w:r>
      <w:r w:rsidRPr="00084859">
        <w:rPr>
          <w:sz w:val="16"/>
          <w:szCs w:val="16"/>
          <w:lang w:val="es-ES"/>
        </w:rPr>
        <w:t xml:space="preserve"> “Pop </w:t>
      </w:r>
      <w:proofErr w:type="spellStart"/>
      <w:r w:rsidRPr="00084859">
        <w:rPr>
          <w:sz w:val="16"/>
          <w:szCs w:val="16"/>
          <w:lang w:val="es-ES"/>
        </w:rPr>
        <w:t>Tut</w:t>
      </w:r>
      <w:proofErr w:type="spellEnd"/>
      <w:r w:rsidRPr="00084859">
        <w:rPr>
          <w:sz w:val="16"/>
          <w:szCs w:val="16"/>
          <w:lang w:val="es-ES"/>
        </w:rPr>
        <w:t>” en la comunicación del Estado a la Comisión de 24 de mayo de 1996 (</w:t>
      </w:r>
      <w:r w:rsidRPr="00676759">
        <w:rPr>
          <w:i/>
          <w:sz w:val="16"/>
          <w:szCs w:val="16"/>
          <w:lang w:val="es-ES"/>
        </w:rPr>
        <w:t>cfr</w:t>
      </w:r>
      <w:r>
        <w:rPr>
          <w:sz w:val="16"/>
          <w:szCs w:val="16"/>
          <w:lang w:val="es-ES"/>
        </w:rPr>
        <w:t>. e</w:t>
      </w:r>
      <w:r w:rsidRPr="00084859">
        <w:rPr>
          <w:sz w:val="16"/>
          <w:szCs w:val="16"/>
          <w:lang w:val="es-ES"/>
        </w:rPr>
        <w:t xml:space="preserve">xpediente de prueba, </w:t>
      </w:r>
      <w:r>
        <w:rPr>
          <w:sz w:val="16"/>
          <w:szCs w:val="16"/>
          <w:lang w:val="es-ES"/>
        </w:rPr>
        <w:t>a</w:t>
      </w:r>
      <w:r w:rsidRPr="00084859">
        <w:rPr>
          <w:sz w:val="16"/>
          <w:szCs w:val="16"/>
          <w:lang w:val="es-ES"/>
        </w:rPr>
        <w:t>nexo 13 al Informe de Fondo, f</w:t>
      </w:r>
      <w:r>
        <w:rPr>
          <w:sz w:val="16"/>
          <w:szCs w:val="16"/>
          <w:lang w:val="es-ES"/>
        </w:rPr>
        <w:t>olio</w:t>
      </w:r>
      <w:r w:rsidRPr="00084859">
        <w:rPr>
          <w:sz w:val="16"/>
          <w:szCs w:val="16"/>
          <w:lang w:val="es-ES"/>
        </w:rPr>
        <w:t xml:space="preserve"> 209</w:t>
      </w:r>
      <w:r>
        <w:rPr>
          <w:sz w:val="16"/>
          <w:szCs w:val="16"/>
          <w:lang w:val="es-ES"/>
        </w:rPr>
        <w:t xml:space="preserve">); </w:t>
      </w:r>
      <w:r w:rsidRPr="00B80378">
        <w:rPr>
          <w:sz w:val="16"/>
          <w:szCs w:val="16"/>
          <w:lang w:val="es-ES"/>
        </w:rPr>
        <w:t xml:space="preserve">como </w:t>
      </w:r>
      <w:r>
        <w:rPr>
          <w:sz w:val="16"/>
          <w:szCs w:val="16"/>
          <w:lang w:val="es-ES"/>
        </w:rPr>
        <w:t>“</w:t>
      </w:r>
      <w:proofErr w:type="spellStart"/>
      <w:r w:rsidRPr="00B80378">
        <w:rPr>
          <w:sz w:val="16"/>
          <w:szCs w:val="16"/>
          <w:lang w:val="es-ES"/>
        </w:rPr>
        <w:t>Tut</w:t>
      </w:r>
      <w:proofErr w:type="spellEnd"/>
      <w:r>
        <w:rPr>
          <w:sz w:val="16"/>
          <w:szCs w:val="16"/>
          <w:lang w:val="es-ES"/>
        </w:rPr>
        <w:t>”</w:t>
      </w:r>
      <w:r w:rsidRPr="00B80378">
        <w:rPr>
          <w:sz w:val="16"/>
          <w:szCs w:val="16"/>
          <w:lang w:val="es-ES"/>
        </w:rPr>
        <w:t xml:space="preserve"> en el informe de necropsia del Departamento Médico Forense, de la República de Guatemala</w:t>
      </w:r>
      <w:r>
        <w:rPr>
          <w:sz w:val="16"/>
          <w:szCs w:val="16"/>
          <w:lang w:val="es-ES"/>
        </w:rPr>
        <w:t xml:space="preserve"> de 10 de octubre de 1995</w:t>
      </w:r>
      <w:r w:rsidRPr="00B80378">
        <w:rPr>
          <w:sz w:val="16"/>
          <w:szCs w:val="16"/>
          <w:lang w:val="es-ES"/>
        </w:rPr>
        <w:t xml:space="preserve"> </w:t>
      </w:r>
      <w:r w:rsidRPr="00676759">
        <w:rPr>
          <w:bCs/>
          <w:sz w:val="16"/>
          <w:szCs w:val="16"/>
          <w:lang w:val="es-ES_tradnl"/>
        </w:rPr>
        <w:t xml:space="preserve">(expediente de prueba, </w:t>
      </w:r>
      <w:r>
        <w:rPr>
          <w:bCs/>
          <w:sz w:val="16"/>
          <w:szCs w:val="16"/>
          <w:lang w:val="es-ES_tradnl"/>
        </w:rPr>
        <w:t>trámite ante la Comisión</w:t>
      </w:r>
      <w:r w:rsidRPr="00676759">
        <w:rPr>
          <w:bCs/>
          <w:sz w:val="16"/>
          <w:szCs w:val="16"/>
          <w:lang w:val="es-ES_tradnl"/>
        </w:rPr>
        <w:t xml:space="preserve">, folios 1754 </w:t>
      </w:r>
      <w:r>
        <w:rPr>
          <w:bCs/>
          <w:sz w:val="16"/>
          <w:szCs w:val="16"/>
          <w:lang w:val="es-ES_tradnl"/>
        </w:rPr>
        <w:t>a</w:t>
      </w:r>
      <w:r w:rsidRPr="00676759">
        <w:rPr>
          <w:bCs/>
          <w:sz w:val="16"/>
          <w:szCs w:val="16"/>
          <w:lang w:val="es-ES_tradnl"/>
        </w:rPr>
        <w:t xml:space="preserve"> 2877)</w:t>
      </w:r>
      <w:r>
        <w:rPr>
          <w:bCs/>
          <w:sz w:val="16"/>
          <w:szCs w:val="16"/>
          <w:lang w:val="es-ES_tradnl"/>
        </w:rPr>
        <w:t xml:space="preserve">, y como “Pop </w:t>
      </w:r>
      <w:proofErr w:type="spellStart"/>
      <w:r>
        <w:rPr>
          <w:bCs/>
          <w:sz w:val="16"/>
          <w:szCs w:val="16"/>
          <w:lang w:val="es-ES_tradnl"/>
        </w:rPr>
        <w:t>Tut</w:t>
      </w:r>
      <w:proofErr w:type="spellEnd"/>
      <w:r>
        <w:rPr>
          <w:bCs/>
          <w:sz w:val="16"/>
          <w:szCs w:val="16"/>
          <w:lang w:val="es-ES_tradnl"/>
        </w:rPr>
        <w:t xml:space="preserve"> […] o </w:t>
      </w:r>
      <w:proofErr w:type="spellStart"/>
      <w:r>
        <w:rPr>
          <w:bCs/>
          <w:sz w:val="16"/>
          <w:szCs w:val="16"/>
          <w:lang w:val="es-ES_tradnl"/>
        </w:rPr>
        <w:t>Tut</w:t>
      </w:r>
      <w:proofErr w:type="spellEnd"/>
      <w:r>
        <w:rPr>
          <w:bCs/>
          <w:sz w:val="16"/>
          <w:szCs w:val="16"/>
          <w:lang w:val="es-ES_tradnl"/>
        </w:rPr>
        <w:t xml:space="preserve">” en la </w:t>
      </w:r>
      <w:r>
        <w:rPr>
          <w:sz w:val="16"/>
          <w:szCs w:val="16"/>
          <w:lang w:val="es-CR"/>
        </w:rPr>
        <w:t>s</w:t>
      </w:r>
      <w:r w:rsidRPr="00B80378">
        <w:rPr>
          <w:sz w:val="16"/>
          <w:szCs w:val="16"/>
          <w:lang w:val="es-CR"/>
        </w:rPr>
        <w:t>entencia de 8 de julio de 2004</w:t>
      </w:r>
      <w:r w:rsidRPr="00676759">
        <w:rPr>
          <w:bCs/>
          <w:sz w:val="16"/>
          <w:szCs w:val="16"/>
          <w:lang w:val="es-ES_tradnl"/>
        </w:rPr>
        <w:t>.</w:t>
      </w:r>
      <w:r>
        <w:rPr>
          <w:b/>
          <w:bCs/>
          <w:sz w:val="16"/>
          <w:szCs w:val="16"/>
          <w:lang w:val="es-ES_tradnl"/>
        </w:rPr>
        <w:t xml:space="preserve"> </w:t>
      </w:r>
      <w:r w:rsidRPr="00B80378">
        <w:rPr>
          <w:bCs/>
          <w:sz w:val="16"/>
          <w:szCs w:val="16"/>
          <w:lang w:val="es-ES_tradnl"/>
        </w:rPr>
        <w:t xml:space="preserve">La Corte se referirá a </w:t>
      </w:r>
      <w:r>
        <w:rPr>
          <w:bCs/>
          <w:sz w:val="16"/>
          <w:szCs w:val="16"/>
          <w:lang w:val="es-ES_tradnl"/>
        </w:rPr>
        <w:t>e</w:t>
      </w:r>
      <w:r w:rsidRPr="00B80378">
        <w:rPr>
          <w:bCs/>
          <w:sz w:val="16"/>
          <w:szCs w:val="16"/>
          <w:lang w:val="es-ES_tradnl"/>
        </w:rPr>
        <w:t xml:space="preserve">sta persona como “Santiago </w:t>
      </w:r>
      <w:proofErr w:type="spellStart"/>
      <w:r w:rsidRPr="00B80378">
        <w:rPr>
          <w:bCs/>
          <w:sz w:val="16"/>
          <w:szCs w:val="16"/>
          <w:lang w:val="es-ES_tradnl"/>
        </w:rPr>
        <w:t>Coc</w:t>
      </w:r>
      <w:proofErr w:type="spellEnd"/>
      <w:r w:rsidRPr="00B80378">
        <w:rPr>
          <w:bCs/>
          <w:sz w:val="16"/>
          <w:szCs w:val="16"/>
          <w:lang w:val="es-ES_tradnl"/>
        </w:rPr>
        <w:t xml:space="preserve">”, dejando aclarado que, como surge de lo expuesto, su apellido puede ser distinto.  </w:t>
      </w:r>
    </w:p>
  </w:footnote>
  <w:footnote w:id="52">
    <w:p w:rsidR="00785921" w:rsidRDefault="00785921" w:rsidP="00126E97">
      <w:pPr>
        <w:pStyle w:val="FootnoteText"/>
        <w:spacing w:line="20" w:lineRule="atLeast"/>
        <w:rPr>
          <w:sz w:val="16"/>
          <w:szCs w:val="16"/>
          <w:lang w:val="es-ES_tradnl"/>
        </w:rPr>
      </w:pPr>
      <w:r w:rsidRPr="00892B5E">
        <w:rPr>
          <w:rStyle w:val="FootnoteReference"/>
          <w:sz w:val="16"/>
          <w:szCs w:val="16"/>
          <w:lang w:val="es-ES_tradnl" w:eastAsia="x-none"/>
        </w:rPr>
        <w:footnoteRef/>
      </w:r>
      <w:r w:rsidRPr="00892B5E">
        <w:rPr>
          <w:rFonts w:eastAsia="Times New Roman" w:cs="Times New Roman"/>
          <w:color w:val="000000"/>
          <w:sz w:val="16"/>
          <w:szCs w:val="16"/>
          <w:lang w:val="es-CR"/>
        </w:rPr>
        <w:t xml:space="preserve"> La identificación de las personas muertas y heridas aludidas se hace siguiendo señalamientos efectuados por la Comisión y las partes, y se enuncia en los Anexos B.2, B.3 y B.4 </w:t>
      </w:r>
      <w:r>
        <w:rPr>
          <w:rFonts w:eastAsia="Times New Roman" w:cs="Times New Roman"/>
          <w:color w:val="000000"/>
          <w:sz w:val="16"/>
          <w:szCs w:val="16"/>
          <w:lang w:val="es-CR"/>
        </w:rPr>
        <w:t>de</w:t>
      </w:r>
      <w:r w:rsidRPr="00892B5E">
        <w:rPr>
          <w:rFonts w:eastAsia="Times New Roman" w:cs="Times New Roman"/>
          <w:color w:val="000000"/>
          <w:sz w:val="16"/>
          <w:szCs w:val="16"/>
          <w:lang w:val="es-CR"/>
        </w:rPr>
        <w:t xml:space="preserve"> la presente Sentencia, que integran la misma.</w:t>
      </w:r>
    </w:p>
  </w:footnote>
  <w:footnote w:id="53">
    <w:p w:rsidR="00785921" w:rsidRDefault="00785921" w:rsidP="00126E97">
      <w:pPr>
        <w:pStyle w:val="FootnoteText"/>
        <w:spacing w:line="20" w:lineRule="atLeast"/>
        <w:rPr>
          <w:sz w:val="16"/>
          <w:szCs w:val="16"/>
          <w:lang w:val="es-ES_tradnl"/>
        </w:rPr>
      </w:pPr>
      <w:r>
        <w:rPr>
          <w:rStyle w:val="FootnoteReference"/>
          <w:sz w:val="16"/>
          <w:szCs w:val="16"/>
          <w:lang w:val="es-ES_tradnl" w:eastAsia="x-none"/>
        </w:rPr>
        <w:footnoteRef/>
      </w:r>
      <w:r>
        <w:rPr>
          <w:sz w:val="16"/>
          <w:szCs w:val="16"/>
          <w:lang w:val="es-CR"/>
        </w:rPr>
        <w:t xml:space="preserve"> </w:t>
      </w:r>
      <w:r w:rsidRPr="00676759">
        <w:rPr>
          <w:i/>
          <w:sz w:val="16"/>
          <w:szCs w:val="16"/>
          <w:lang w:val="es-CR"/>
        </w:rPr>
        <w:t>Cfr.</w:t>
      </w:r>
      <w:r>
        <w:rPr>
          <w:sz w:val="16"/>
          <w:szCs w:val="16"/>
          <w:lang w:val="es-CR"/>
        </w:rPr>
        <w:t xml:space="preserve"> Comunicación de los peticionarios a la Comisión de 30 de septiembre de 1996 (expediente de prueba, trámite ante la Comisión, folios 2212 a 2214). </w:t>
      </w:r>
      <w:r>
        <w:rPr>
          <w:sz w:val="16"/>
          <w:szCs w:val="16"/>
          <w:lang w:val="es-ES_tradnl"/>
        </w:rPr>
        <w:t xml:space="preserve">Efraín Grave </w:t>
      </w:r>
      <w:proofErr w:type="spellStart"/>
      <w:r>
        <w:rPr>
          <w:sz w:val="16"/>
          <w:szCs w:val="16"/>
          <w:lang w:val="es-ES_tradnl"/>
        </w:rPr>
        <w:t>Morente</w:t>
      </w:r>
      <w:proofErr w:type="spellEnd"/>
      <w:r>
        <w:rPr>
          <w:sz w:val="16"/>
          <w:szCs w:val="16"/>
          <w:lang w:val="es-ES_tradnl"/>
        </w:rPr>
        <w:t xml:space="preserve">, en su declaración ante la Corte Interamericana, </w:t>
      </w:r>
      <w:r w:rsidRPr="00E24DF8">
        <w:rPr>
          <w:i/>
          <w:sz w:val="16"/>
          <w:szCs w:val="16"/>
          <w:lang w:val="es-ES_tradnl"/>
        </w:rPr>
        <w:t>supra</w:t>
      </w:r>
      <w:r>
        <w:rPr>
          <w:sz w:val="16"/>
          <w:szCs w:val="16"/>
          <w:lang w:val="es-ES_tradnl"/>
        </w:rPr>
        <w:t xml:space="preserve">, señaló que una vez herido por una bala fue llevado al centro de salud, el que fue puesto por Médicos del Mundo, organización que estaba ahí al momento de los hechos. Tomás Grave </w:t>
      </w:r>
      <w:proofErr w:type="spellStart"/>
      <w:r>
        <w:rPr>
          <w:sz w:val="16"/>
          <w:szCs w:val="16"/>
          <w:lang w:val="es-ES_tradnl"/>
        </w:rPr>
        <w:t>Morente</w:t>
      </w:r>
      <w:proofErr w:type="spellEnd"/>
      <w:r>
        <w:rPr>
          <w:sz w:val="16"/>
          <w:szCs w:val="16"/>
          <w:lang w:val="es-ES_tradnl"/>
        </w:rPr>
        <w:t xml:space="preserve"> en su declaración ante este Tribunal, </w:t>
      </w:r>
      <w:r>
        <w:rPr>
          <w:i/>
          <w:sz w:val="16"/>
          <w:szCs w:val="16"/>
          <w:lang w:val="es-ES_tradnl"/>
        </w:rPr>
        <w:t xml:space="preserve">supra, </w:t>
      </w:r>
      <w:r w:rsidRPr="00E24DF8">
        <w:rPr>
          <w:sz w:val="16"/>
          <w:szCs w:val="16"/>
          <w:lang w:val="es-ES_tradnl"/>
        </w:rPr>
        <w:t xml:space="preserve">expresó </w:t>
      </w:r>
      <w:r>
        <w:rPr>
          <w:sz w:val="16"/>
          <w:szCs w:val="16"/>
          <w:lang w:val="es-ES_tradnl"/>
        </w:rPr>
        <w:t xml:space="preserve">que </w:t>
      </w:r>
      <w:r w:rsidRPr="00637508">
        <w:rPr>
          <w:sz w:val="16"/>
          <w:szCs w:val="16"/>
          <w:lang w:val="es-CR"/>
        </w:rPr>
        <w:t>MINUGUA</w:t>
      </w:r>
      <w:r>
        <w:rPr>
          <w:sz w:val="16"/>
          <w:szCs w:val="16"/>
          <w:lang w:val="es-ES_tradnl"/>
        </w:rPr>
        <w:t xml:space="preserve"> trasladó a algunos heridos al Hospital de </w:t>
      </w:r>
      <w:r w:rsidRPr="00637508">
        <w:rPr>
          <w:sz w:val="16"/>
          <w:szCs w:val="16"/>
          <w:lang w:val="es-CR"/>
        </w:rPr>
        <w:t xml:space="preserve">San Juan de Dios en Guatemala, mientras que a otros heridos, como el declarante, fueron atendidos por Médicos del Mundo en la misma </w:t>
      </w:r>
      <w:r>
        <w:rPr>
          <w:sz w:val="16"/>
          <w:szCs w:val="16"/>
          <w:lang w:val="es-CR"/>
        </w:rPr>
        <w:t>C</w:t>
      </w:r>
      <w:r w:rsidRPr="00637508">
        <w:rPr>
          <w:sz w:val="16"/>
          <w:szCs w:val="16"/>
          <w:lang w:val="es-CR"/>
        </w:rPr>
        <w:t>omunidad</w:t>
      </w:r>
      <w:r>
        <w:rPr>
          <w:sz w:val="16"/>
          <w:szCs w:val="16"/>
          <w:lang w:val="es-CR"/>
        </w:rPr>
        <w:t>.</w:t>
      </w:r>
      <w:r w:rsidRPr="00637508">
        <w:rPr>
          <w:sz w:val="16"/>
          <w:szCs w:val="16"/>
          <w:lang w:val="es-CR"/>
        </w:rPr>
        <w:t xml:space="preserve"> Natividad Sales</w:t>
      </w:r>
      <w:r>
        <w:rPr>
          <w:sz w:val="16"/>
          <w:szCs w:val="16"/>
          <w:lang w:val="es-CR"/>
        </w:rPr>
        <w:t xml:space="preserve"> Calmo, por su parte,</w:t>
      </w:r>
      <w:r w:rsidRPr="00637508">
        <w:rPr>
          <w:sz w:val="16"/>
          <w:szCs w:val="16"/>
          <w:lang w:val="es-CR"/>
        </w:rPr>
        <w:t xml:space="preserve"> declaró </w:t>
      </w:r>
      <w:r>
        <w:rPr>
          <w:sz w:val="16"/>
          <w:szCs w:val="16"/>
          <w:lang w:val="es-CR"/>
        </w:rPr>
        <w:t xml:space="preserve">en la </w:t>
      </w:r>
      <w:r>
        <w:rPr>
          <w:sz w:val="16"/>
          <w:szCs w:val="16"/>
          <w:lang w:val="es-ES_tradnl"/>
        </w:rPr>
        <w:t>audiencia pública celebrada el 9 de febrero de 2018, que su hijo f</w:t>
      </w:r>
      <w:proofErr w:type="spellStart"/>
      <w:r w:rsidRPr="00637508">
        <w:rPr>
          <w:sz w:val="16"/>
          <w:szCs w:val="16"/>
          <w:lang w:val="es-CR"/>
        </w:rPr>
        <w:t>ue</w:t>
      </w:r>
      <w:proofErr w:type="spellEnd"/>
      <w:r w:rsidRPr="00637508">
        <w:rPr>
          <w:sz w:val="16"/>
          <w:szCs w:val="16"/>
          <w:lang w:val="es-CR"/>
        </w:rPr>
        <w:t xml:space="preserve"> atendido por Médicos del Mundo</w:t>
      </w:r>
      <w:r>
        <w:rPr>
          <w:sz w:val="16"/>
          <w:szCs w:val="16"/>
          <w:lang w:val="es-CR"/>
        </w:rPr>
        <w:t>,</w:t>
      </w:r>
      <w:r w:rsidRPr="00637508">
        <w:rPr>
          <w:sz w:val="16"/>
          <w:szCs w:val="16"/>
          <w:lang w:val="es-CR"/>
        </w:rPr>
        <w:t xml:space="preserve"> que estaban en la </w:t>
      </w:r>
      <w:r>
        <w:rPr>
          <w:sz w:val="16"/>
          <w:szCs w:val="16"/>
          <w:lang w:val="es-CR"/>
        </w:rPr>
        <w:t>C</w:t>
      </w:r>
      <w:r w:rsidRPr="00637508">
        <w:rPr>
          <w:sz w:val="16"/>
          <w:szCs w:val="16"/>
          <w:lang w:val="es-CR"/>
        </w:rPr>
        <w:t xml:space="preserve">omunidad. </w:t>
      </w:r>
    </w:p>
  </w:footnote>
  <w:footnote w:id="54">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Observaciones del Estado a la petición inicial, presentadas a la Comisión el 8 de diciembre de 1995 (expediente de prueba, anexo 8 al Informe de Fondo, folios. 86 a 91).</w:t>
      </w:r>
    </w:p>
  </w:footnote>
  <w:footnote w:id="55">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sidRPr="00676759">
        <w:rPr>
          <w:i/>
          <w:sz w:val="16"/>
          <w:szCs w:val="16"/>
          <w:lang w:val="es-CR"/>
        </w:rPr>
        <w:t xml:space="preserve">Cfr. </w:t>
      </w:r>
      <w:r>
        <w:rPr>
          <w:sz w:val="16"/>
          <w:szCs w:val="16"/>
          <w:lang w:val="es-CR"/>
        </w:rPr>
        <w:t xml:space="preserve">Observaciones del Estado a la petición inicial, presentadas a la Comisión el 8 de diciembre de 1995, </w:t>
      </w:r>
      <w:r w:rsidRPr="0088070D">
        <w:rPr>
          <w:i/>
          <w:sz w:val="16"/>
          <w:szCs w:val="16"/>
          <w:lang w:val="es-CR"/>
        </w:rPr>
        <w:t>supra</w:t>
      </w:r>
      <w:r>
        <w:rPr>
          <w:sz w:val="16"/>
          <w:szCs w:val="16"/>
          <w:lang w:val="es-CR"/>
        </w:rPr>
        <w:t>.</w:t>
      </w:r>
    </w:p>
  </w:footnote>
  <w:footnote w:id="56">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Al respecto, es pertinente destacar que desde sus primeras presentaciones ante la Comisión el Estado informó que </w:t>
      </w:r>
      <w:r>
        <w:rPr>
          <w:sz w:val="16"/>
          <w:szCs w:val="16"/>
          <w:lang w:val="es-CR"/>
        </w:rPr>
        <w:t>la Fiscalía General de la República nombró un Fiscal Especial para el caso (c</w:t>
      </w:r>
      <w:r w:rsidRPr="00676759">
        <w:rPr>
          <w:i/>
          <w:sz w:val="16"/>
          <w:szCs w:val="16"/>
          <w:lang w:val="es-CR"/>
        </w:rPr>
        <w:t xml:space="preserve">fr. </w:t>
      </w:r>
      <w:r>
        <w:rPr>
          <w:sz w:val="16"/>
          <w:szCs w:val="16"/>
          <w:lang w:val="es-CR"/>
        </w:rPr>
        <w:t xml:space="preserve">Observaciones del Estado a la petición inicial, presentadas a la Comisión el 8 de diciembre de 1995, </w:t>
      </w:r>
      <w:r w:rsidRPr="0088070D">
        <w:rPr>
          <w:i/>
          <w:sz w:val="16"/>
          <w:szCs w:val="16"/>
          <w:lang w:val="es-CR"/>
        </w:rPr>
        <w:t>supra</w:t>
      </w:r>
      <w:r w:rsidRPr="0088070D">
        <w:rPr>
          <w:sz w:val="16"/>
          <w:szCs w:val="16"/>
          <w:lang w:val="es-CR"/>
        </w:rPr>
        <w:t>)</w:t>
      </w:r>
      <w:r>
        <w:rPr>
          <w:sz w:val="16"/>
          <w:szCs w:val="16"/>
          <w:lang w:val="es-CR"/>
        </w:rPr>
        <w:t>.</w:t>
      </w:r>
    </w:p>
  </w:footnote>
  <w:footnote w:id="57">
    <w:p w:rsidR="00785921" w:rsidRPr="005509B3" w:rsidRDefault="00785921" w:rsidP="00126E97">
      <w:pPr>
        <w:pStyle w:val="FootnoteText"/>
        <w:spacing w:line="20" w:lineRule="atLeast"/>
        <w:rPr>
          <w:sz w:val="16"/>
          <w:szCs w:val="16"/>
          <w:lang w:val="es-CR"/>
        </w:rPr>
      </w:pPr>
      <w:r w:rsidRPr="005509B3">
        <w:rPr>
          <w:rStyle w:val="FootnoteReference"/>
          <w:sz w:val="16"/>
          <w:szCs w:val="16"/>
        </w:rPr>
        <w:footnoteRef/>
      </w:r>
      <w:r w:rsidRPr="005509B3">
        <w:rPr>
          <w:sz w:val="16"/>
          <w:szCs w:val="16"/>
          <w:lang w:val="es-CR"/>
        </w:rPr>
        <w:t xml:space="preserve"> Las acciones judiciales civiles se refieren más adelante (</w:t>
      </w:r>
      <w:r w:rsidRPr="005509B3">
        <w:rPr>
          <w:i/>
          <w:sz w:val="16"/>
          <w:szCs w:val="16"/>
          <w:lang w:val="es-CR"/>
        </w:rPr>
        <w:t>infra</w:t>
      </w:r>
      <w:r w:rsidRPr="005509B3">
        <w:rPr>
          <w:sz w:val="16"/>
          <w:szCs w:val="16"/>
          <w:lang w:val="es-CR"/>
        </w:rPr>
        <w:t xml:space="preserve"> nota a pie de página </w:t>
      </w:r>
      <w:r>
        <w:rPr>
          <w:sz w:val="16"/>
          <w:szCs w:val="16"/>
          <w:lang w:val="es-CR"/>
        </w:rPr>
        <w:t>223</w:t>
      </w:r>
      <w:r w:rsidRPr="005509B3">
        <w:rPr>
          <w:sz w:val="16"/>
          <w:szCs w:val="16"/>
          <w:lang w:val="es-CR"/>
        </w:rPr>
        <w:t>)</w:t>
      </w:r>
      <w:r>
        <w:rPr>
          <w:sz w:val="16"/>
          <w:szCs w:val="16"/>
          <w:lang w:val="es-CR"/>
        </w:rPr>
        <w:t>.</w:t>
      </w:r>
      <w:r w:rsidRPr="005509B3">
        <w:rPr>
          <w:sz w:val="16"/>
          <w:szCs w:val="16"/>
          <w:lang w:val="es-CR"/>
        </w:rPr>
        <w:t xml:space="preserve"> </w:t>
      </w:r>
    </w:p>
  </w:footnote>
  <w:footnote w:id="58">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Observaciones del Estado a la petición inicial, presentadas a la Comisión el 8 de diciembre de 1995, </w:t>
      </w:r>
      <w:r w:rsidRPr="0088070D">
        <w:rPr>
          <w:i/>
          <w:sz w:val="16"/>
          <w:szCs w:val="16"/>
          <w:lang w:val="es-CR"/>
        </w:rPr>
        <w:t>supra</w:t>
      </w:r>
      <w:r>
        <w:rPr>
          <w:sz w:val="16"/>
          <w:szCs w:val="16"/>
          <w:lang w:val="es-CR"/>
        </w:rPr>
        <w:t xml:space="preserve">. </w:t>
      </w:r>
    </w:p>
  </w:footnote>
  <w:footnote w:id="59">
    <w:p w:rsidR="00785921" w:rsidRDefault="00785921" w:rsidP="00126E97">
      <w:pPr>
        <w:pStyle w:val="FootnoteText"/>
        <w:spacing w:line="20" w:lineRule="atLeast"/>
        <w:rPr>
          <w:sz w:val="16"/>
          <w:szCs w:val="16"/>
          <w:highlight w:val="yellow"/>
          <w:lang w:val="es-CR"/>
        </w:rPr>
      </w:pPr>
      <w:r w:rsidRPr="00393463">
        <w:rPr>
          <w:rStyle w:val="FootnoteReference"/>
          <w:sz w:val="16"/>
          <w:szCs w:val="16"/>
          <w:lang w:val="es-CR" w:eastAsia="x-none"/>
        </w:rPr>
        <w:footnoteRef/>
      </w:r>
      <w:r w:rsidRPr="00393463">
        <w:rPr>
          <w:sz w:val="16"/>
          <w:szCs w:val="16"/>
          <w:lang w:val="es-CR"/>
        </w:rPr>
        <w:t xml:space="preserve"> </w:t>
      </w:r>
      <w:r>
        <w:rPr>
          <w:sz w:val="16"/>
          <w:szCs w:val="16"/>
          <w:lang w:val="es-CR"/>
        </w:rPr>
        <w:t xml:space="preserve">Observaciones del Estado a la petición inicial, presentadas a la Comisión el 8 de diciembre de 1995, </w:t>
      </w:r>
      <w:r w:rsidRPr="0088070D">
        <w:rPr>
          <w:i/>
          <w:sz w:val="16"/>
          <w:szCs w:val="16"/>
          <w:lang w:val="es-CR"/>
        </w:rPr>
        <w:t>supra</w:t>
      </w:r>
      <w:r>
        <w:rPr>
          <w:sz w:val="16"/>
          <w:szCs w:val="16"/>
          <w:lang w:val="es-CR"/>
        </w:rPr>
        <w:t>.</w:t>
      </w:r>
    </w:p>
  </w:footnote>
  <w:footnote w:id="60">
    <w:p w:rsidR="00785921" w:rsidRPr="0057574C" w:rsidRDefault="00785921" w:rsidP="00126E97">
      <w:pPr>
        <w:pStyle w:val="FootnoteText"/>
        <w:spacing w:line="20" w:lineRule="atLeast"/>
        <w:rPr>
          <w:sz w:val="16"/>
          <w:szCs w:val="16"/>
          <w:lang w:val="es-CR"/>
        </w:rPr>
      </w:pPr>
      <w:r w:rsidRPr="00162E78">
        <w:rPr>
          <w:rStyle w:val="FootnoteReference"/>
          <w:sz w:val="16"/>
          <w:szCs w:val="16"/>
        </w:rPr>
        <w:footnoteRef/>
      </w:r>
      <w:r w:rsidRPr="00162E78">
        <w:rPr>
          <w:sz w:val="16"/>
          <w:szCs w:val="16"/>
          <w:lang w:val="es-CR"/>
        </w:rPr>
        <w:t xml:space="preserve"> Las</w:t>
      </w:r>
      <w:r w:rsidRPr="00C03C13">
        <w:rPr>
          <w:sz w:val="16"/>
          <w:szCs w:val="16"/>
          <w:lang w:val="es-CR"/>
        </w:rPr>
        <w:t xml:space="preserve"> autoridades judiciales, en el proceso interno, utilizaron la expresión “querellante adhesiva” (</w:t>
      </w:r>
      <w:r w:rsidRPr="00C03C13">
        <w:rPr>
          <w:i/>
          <w:sz w:val="16"/>
          <w:szCs w:val="16"/>
          <w:lang w:val="es-CR"/>
        </w:rPr>
        <w:t>cfr.</w:t>
      </w:r>
      <w:r w:rsidRPr="00C03C13">
        <w:rPr>
          <w:sz w:val="16"/>
          <w:szCs w:val="16"/>
          <w:lang w:val="es-CR"/>
        </w:rPr>
        <w:t xml:space="preserve"> </w:t>
      </w:r>
      <w:r>
        <w:rPr>
          <w:sz w:val="16"/>
          <w:szCs w:val="16"/>
          <w:lang w:val="es-CR"/>
        </w:rPr>
        <w:t>A</w:t>
      </w:r>
      <w:r w:rsidRPr="00C03C13">
        <w:rPr>
          <w:sz w:val="16"/>
          <w:szCs w:val="16"/>
          <w:lang w:val="es-CR"/>
        </w:rPr>
        <w:t xml:space="preserve">cta de </w:t>
      </w:r>
      <w:r>
        <w:rPr>
          <w:sz w:val="16"/>
          <w:szCs w:val="16"/>
          <w:lang w:val="es-CR"/>
        </w:rPr>
        <w:t xml:space="preserve">verificación de </w:t>
      </w:r>
      <w:r w:rsidRPr="00C03C13">
        <w:rPr>
          <w:sz w:val="16"/>
          <w:szCs w:val="16"/>
          <w:lang w:val="es-CR"/>
        </w:rPr>
        <w:t>debate de 25 de noviembre de 1998</w:t>
      </w:r>
      <w:r>
        <w:rPr>
          <w:sz w:val="16"/>
          <w:szCs w:val="16"/>
          <w:lang w:val="es-CR"/>
        </w:rPr>
        <w:t xml:space="preserve"> (e</w:t>
      </w:r>
      <w:r w:rsidRPr="00C03C13">
        <w:rPr>
          <w:sz w:val="16"/>
          <w:szCs w:val="16"/>
          <w:lang w:val="es-CR"/>
        </w:rPr>
        <w:t xml:space="preserve">xpediente de prueba, </w:t>
      </w:r>
      <w:r>
        <w:rPr>
          <w:sz w:val="16"/>
          <w:szCs w:val="16"/>
          <w:lang w:val="es-CR"/>
        </w:rPr>
        <w:t xml:space="preserve">anexo 24 al Informe de Fondo, </w:t>
      </w:r>
      <w:r w:rsidRPr="00C03C13">
        <w:rPr>
          <w:sz w:val="16"/>
          <w:szCs w:val="16"/>
          <w:lang w:val="es-CR"/>
        </w:rPr>
        <w:t>f</w:t>
      </w:r>
      <w:r>
        <w:rPr>
          <w:sz w:val="16"/>
          <w:szCs w:val="16"/>
          <w:lang w:val="es-CR"/>
        </w:rPr>
        <w:t>olio</w:t>
      </w:r>
      <w:r w:rsidRPr="00C03C13">
        <w:rPr>
          <w:sz w:val="16"/>
          <w:szCs w:val="16"/>
          <w:lang w:val="es-CR"/>
        </w:rPr>
        <w:t>s 329 a 701)</w:t>
      </w:r>
      <w:r>
        <w:rPr>
          <w:sz w:val="16"/>
          <w:szCs w:val="16"/>
          <w:lang w:val="es-CR"/>
        </w:rPr>
        <w:t>)</w:t>
      </w:r>
      <w:r w:rsidRPr="00C03C13">
        <w:rPr>
          <w:sz w:val="16"/>
          <w:szCs w:val="16"/>
          <w:lang w:val="es-CR"/>
        </w:rPr>
        <w:t>. También lo hicieron las partes en diversas ocasiones (</w:t>
      </w:r>
      <w:r w:rsidRPr="00416FFE">
        <w:rPr>
          <w:sz w:val="16"/>
          <w:szCs w:val="16"/>
          <w:lang w:val="es-CR"/>
        </w:rPr>
        <w:t>cfr</w:t>
      </w:r>
      <w:r w:rsidRPr="00C03C13">
        <w:rPr>
          <w:sz w:val="16"/>
          <w:szCs w:val="16"/>
          <w:lang w:val="es-CR"/>
        </w:rPr>
        <w:t xml:space="preserve">. escrito de los peticionarios a la Comisión de 11 de mayo de 2010 </w:t>
      </w:r>
      <w:r>
        <w:rPr>
          <w:sz w:val="16"/>
          <w:szCs w:val="16"/>
          <w:lang w:val="es-CR"/>
        </w:rPr>
        <w:t>(e</w:t>
      </w:r>
      <w:r w:rsidRPr="00C03C13">
        <w:rPr>
          <w:sz w:val="16"/>
          <w:szCs w:val="16"/>
          <w:lang w:val="es-CR"/>
        </w:rPr>
        <w:t xml:space="preserve">xpediente de prueba, </w:t>
      </w:r>
      <w:r>
        <w:rPr>
          <w:sz w:val="16"/>
          <w:szCs w:val="16"/>
          <w:lang w:val="es-CR"/>
        </w:rPr>
        <w:t xml:space="preserve">anexo 6 al Informe de Fondo, </w:t>
      </w:r>
      <w:r w:rsidRPr="00C03C13">
        <w:rPr>
          <w:sz w:val="16"/>
          <w:szCs w:val="16"/>
          <w:lang w:val="es-CR"/>
        </w:rPr>
        <w:t>f</w:t>
      </w:r>
      <w:r>
        <w:rPr>
          <w:sz w:val="16"/>
          <w:szCs w:val="16"/>
          <w:lang w:val="es-CR"/>
        </w:rPr>
        <w:t>olios</w:t>
      </w:r>
      <w:r w:rsidRPr="00C03C13">
        <w:rPr>
          <w:sz w:val="16"/>
          <w:szCs w:val="16"/>
          <w:lang w:val="es-CR"/>
        </w:rPr>
        <w:t>. 63 a 84</w:t>
      </w:r>
      <w:r>
        <w:rPr>
          <w:sz w:val="16"/>
          <w:szCs w:val="16"/>
          <w:lang w:val="es-CR"/>
        </w:rPr>
        <w:t>)</w:t>
      </w:r>
      <w:r w:rsidRPr="00C03C13">
        <w:rPr>
          <w:sz w:val="16"/>
          <w:szCs w:val="16"/>
          <w:lang w:val="es-CR"/>
        </w:rPr>
        <w:t xml:space="preserve"> y </w:t>
      </w:r>
      <w:r>
        <w:rPr>
          <w:sz w:val="16"/>
          <w:szCs w:val="16"/>
          <w:lang w:val="es-CR"/>
        </w:rPr>
        <w:t>comunicación</w:t>
      </w:r>
      <w:r w:rsidRPr="00C03C13">
        <w:rPr>
          <w:sz w:val="16"/>
          <w:szCs w:val="16"/>
          <w:lang w:val="es-CR"/>
        </w:rPr>
        <w:t xml:space="preserve"> del Estado a la Comisión de 24 de mayo de 1996</w:t>
      </w:r>
      <w:r>
        <w:rPr>
          <w:sz w:val="16"/>
          <w:szCs w:val="16"/>
          <w:lang w:val="es-CR"/>
        </w:rPr>
        <w:t xml:space="preserve">, </w:t>
      </w:r>
      <w:r w:rsidRPr="00416FFE">
        <w:rPr>
          <w:sz w:val="16"/>
          <w:szCs w:val="16"/>
          <w:lang w:val="es-CR"/>
        </w:rPr>
        <w:t>supra</w:t>
      </w:r>
      <w:r>
        <w:rPr>
          <w:sz w:val="16"/>
          <w:szCs w:val="16"/>
          <w:lang w:val="es-CR"/>
        </w:rPr>
        <w:t>).</w:t>
      </w:r>
      <w:r w:rsidRPr="00C03C13">
        <w:rPr>
          <w:sz w:val="16"/>
          <w:szCs w:val="16"/>
          <w:lang w:val="es-CR"/>
        </w:rPr>
        <w:t xml:space="preserve"> La señora Rigoberta </w:t>
      </w:r>
      <w:proofErr w:type="spellStart"/>
      <w:r w:rsidRPr="00C03C13">
        <w:rPr>
          <w:sz w:val="16"/>
          <w:szCs w:val="16"/>
          <w:lang w:val="es-CR"/>
        </w:rPr>
        <w:t>Mechú</w:t>
      </w:r>
      <w:proofErr w:type="spellEnd"/>
      <w:r w:rsidRPr="00C03C13">
        <w:rPr>
          <w:sz w:val="16"/>
          <w:szCs w:val="16"/>
          <w:lang w:val="es-CR"/>
        </w:rPr>
        <w:t xml:space="preserve"> </w:t>
      </w:r>
      <w:proofErr w:type="spellStart"/>
      <w:r>
        <w:rPr>
          <w:sz w:val="16"/>
          <w:szCs w:val="16"/>
          <w:lang w:val="es-CR"/>
        </w:rPr>
        <w:t>Tum</w:t>
      </w:r>
      <w:proofErr w:type="spellEnd"/>
      <w:r>
        <w:rPr>
          <w:sz w:val="16"/>
          <w:szCs w:val="16"/>
          <w:lang w:val="es-CR"/>
        </w:rPr>
        <w:t xml:space="preserve"> </w:t>
      </w:r>
      <w:r w:rsidRPr="00C03C13">
        <w:rPr>
          <w:sz w:val="16"/>
          <w:szCs w:val="16"/>
          <w:lang w:val="es-CR"/>
        </w:rPr>
        <w:t>también utilizó la misma terminología en presentaciones ante autoridades judiciales internas (</w:t>
      </w:r>
      <w:r w:rsidRPr="00416FFE">
        <w:rPr>
          <w:sz w:val="16"/>
          <w:szCs w:val="16"/>
          <w:lang w:val="es-CR"/>
        </w:rPr>
        <w:t>cfr</w:t>
      </w:r>
      <w:r w:rsidRPr="00C03C13">
        <w:rPr>
          <w:sz w:val="16"/>
          <w:szCs w:val="16"/>
          <w:lang w:val="es-CR"/>
        </w:rPr>
        <w:t xml:space="preserve">. </w:t>
      </w:r>
      <w:r w:rsidRPr="00416FFE">
        <w:rPr>
          <w:sz w:val="16"/>
          <w:szCs w:val="16"/>
          <w:lang w:val="es-CR"/>
        </w:rPr>
        <w:t xml:space="preserve">Causa No. JM-028.95. Escrito de Rigoberta Menchú </w:t>
      </w:r>
      <w:proofErr w:type="spellStart"/>
      <w:r w:rsidRPr="00416FFE">
        <w:rPr>
          <w:sz w:val="16"/>
          <w:szCs w:val="16"/>
          <w:lang w:val="es-CR"/>
        </w:rPr>
        <w:t>Tum</w:t>
      </w:r>
      <w:proofErr w:type="spellEnd"/>
      <w:r w:rsidRPr="00416FFE">
        <w:rPr>
          <w:sz w:val="16"/>
          <w:szCs w:val="16"/>
          <w:lang w:val="es-CR"/>
        </w:rPr>
        <w:t xml:space="preserve"> de 31 de octubre de 1995 (expediente de prueba, anexo 9 al Informe Fondo, folios 93 a 136)).</w:t>
      </w:r>
      <w:r w:rsidRPr="00C03C13">
        <w:rPr>
          <w:sz w:val="16"/>
          <w:szCs w:val="16"/>
          <w:lang w:val="es-CR"/>
        </w:rPr>
        <w:t xml:space="preserve"> </w:t>
      </w:r>
      <w:r w:rsidRPr="00416FFE">
        <w:rPr>
          <w:sz w:val="16"/>
          <w:szCs w:val="16"/>
          <w:lang w:val="es-CR"/>
        </w:rPr>
        <w:t>De acuerdo al artículo 116 del Código Procesal Penal de Guatemala, “dado” por el “organismo legislativo” el 28 de septiembre de 1992,</w:t>
      </w:r>
      <w:r w:rsidRPr="00C03C13">
        <w:rPr>
          <w:sz w:val="16"/>
          <w:szCs w:val="16"/>
          <w:lang w:val="es-CR"/>
        </w:rPr>
        <w:t xml:space="preserve"> “[e]</w:t>
      </w:r>
      <w:r w:rsidRPr="00416FFE">
        <w:rPr>
          <w:sz w:val="16"/>
          <w:szCs w:val="16"/>
          <w:lang w:val="es-CR"/>
        </w:rPr>
        <w:t>n los delitos de acción pública, el agraviado con capacidad civil o su representante o guardador en caso de incapacidad podrán provocar la persecución penal o adherirse a la ya iniciada por el Ministerio Público. El mismo derecho podrá ser ejercido por cualquier ciudadano o asociación de ciudadanos, contra funcionarios o empleados públicos que hubieren violado directamente derechos humanos, en ejercicio de su función o con ocasión de ella, o cuando se trate de delitos cometidos por funcionarios públicos que abusen de su cargo. Los órganos del Estado solamente podrán querellarse por medio del Ministerio Público. Se exceptúan las entidades autónomas con personalidad jurídica”. (cfr.</w:t>
      </w:r>
      <w:hyperlink r:id="rId3" w:history="1">
        <w:r w:rsidRPr="00416FFE">
          <w:rPr>
            <w:sz w:val="16"/>
            <w:szCs w:val="16"/>
            <w:lang w:val="es-CR"/>
          </w:rPr>
          <w:t>http://www.cicad.oas.org/fortalecimiento_institucional/legislations/PDF/GT/decreto_congresional_51-92_codigo_procesal_penal.pdf</w:t>
        </w:r>
      </w:hyperlink>
      <w:r w:rsidRPr="00416FFE">
        <w:rPr>
          <w:color w:val="000000"/>
          <w:sz w:val="16"/>
          <w:szCs w:val="16"/>
          <w:lang w:val="es-CR"/>
        </w:rPr>
        <w:t>)</w:t>
      </w:r>
    </w:p>
  </w:footnote>
  <w:footnote w:id="61">
    <w:p w:rsidR="00785921" w:rsidRPr="0057574C" w:rsidRDefault="00785921" w:rsidP="00126E97">
      <w:pPr>
        <w:spacing w:after="0" w:line="20" w:lineRule="atLeast"/>
        <w:jc w:val="both"/>
        <w:rPr>
          <w:rFonts w:ascii="Verdana" w:eastAsia="Calibri" w:hAnsi="Verdana" w:cs="Times New Roman"/>
          <w:sz w:val="16"/>
          <w:szCs w:val="16"/>
        </w:rPr>
      </w:pPr>
      <w:r w:rsidRPr="0057574C">
        <w:rPr>
          <w:rStyle w:val="FootnoteReference"/>
          <w:rFonts w:ascii="Verdana" w:eastAsia="Calibri" w:hAnsi="Verdana"/>
          <w:sz w:val="16"/>
          <w:szCs w:val="16"/>
          <w:lang w:eastAsia="x-none"/>
        </w:rPr>
        <w:footnoteRef/>
      </w:r>
      <w:r w:rsidRPr="0057574C">
        <w:rPr>
          <w:rFonts w:ascii="Verdana" w:hAnsi="Verdana"/>
          <w:sz w:val="16"/>
          <w:szCs w:val="16"/>
        </w:rPr>
        <w:t xml:space="preserve">Causa No. JM-028.95. Escrito de </w:t>
      </w:r>
      <w:r w:rsidRPr="0057574C">
        <w:rPr>
          <w:rFonts w:ascii="Verdana" w:eastAsia="Calibri" w:hAnsi="Verdana" w:cs="Times New Roman"/>
          <w:sz w:val="16"/>
          <w:szCs w:val="16"/>
        </w:rPr>
        <w:t xml:space="preserve">Rigoberta Menchú </w:t>
      </w:r>
      <w:proofErr w:type="spellStart"/>
      <w:r w:rsidRPr="0057574C">
        <w:rPr>
          <w:rFonts w:ascii="Verdana" w:eastAsia="Calibri" w:hAnsi="Verdana" w:cs="Times New Roman"/>
          <w:sz w:val="16"/>
          <w:szCs w:val="16"/>
        </w:rPr>
        <w:t>Tum</w:t>
      </w:r>
      <w:proofErr w:type="spellEnd"/>
      <w:r w:rsidRPr="0057574C">
        <w:rPr>
          <w:rFonts w:ascii="Verdana" w:eastAsia="Calibri" w:hAnsi="Verdana" w:cs="Times New Roman"/>
          <w:sz w:val="16"/>
          <w:szCs w:val="16"/>
        </w:rPr>
        <w:t xml:space="preserve"> de 31 de octubre de 1995</w:t>
      </w:r>
      <w:r>
        <w:rPr>
          <w:rFonts w:ascii="Verdana" w:eastAsia="Calibri" w:hAnsi="Verdana" w:cs="Times New Roman"/>
          <w:sz w:val="16"/>
          <w:szCs w:val="16"/>
        </w:rPr>
        <w:t xml:space="preserve">, </w:t>
      </w:r>
      <w:r w:rsidRPr="007F44F4">
        <w:rPr>
          <w:rFonts w:ascii="Verdana" w:eastAsia="Calibri" w:hAnsi="Verdana" w:cs="Times New Roman"/>
          <w:i/>
          <w:sz w:val="16"/>
          <w:szCs w:val="16"/>
        </w:rPr>
        <w:t>supra</w:t>
      </w:r>
      <w:r w:rsidRPr="0057574C">
        <w:rPr>
          <w:rFonts w:ascii="Verdana" w:hAnsi="Verdana"/>
          <w:sz w:val="16"/>
          <w:szCs w:val="16"/>
        </w:rPr>
        <w:t xml:space="preserve">. </w:t>
      </w:r>
    </w:p>
  </w:footnote>
  <w:footnote w:id="62">
    <w:p w:rsidR="00785921" w:rsidRDefault="00785921" w:rsidP="00126E97">
      <w:pPr>
        <w:spacing w:after="0" w:line="20" w:lineRule="atLeast"/>
        <w:jc w:val="both"/>
        <w:rPr>
          <w:rFonts w:ascii="Times New Roman" w:eastAsia="Calibri" w:hAnsi="Times New Roman" w:cs="Times New Roman"/>
        </w:rPr>
      </w:pPr>
      <w:r w:rsidRPr="0057574C">
        <w:rPr>
          <w:rStyle w:val="FootnoteReference"/>
          <w:rFonts w:ascii="Verdana" w:eastAsia="Calibri" w:hAnsi="Verdana"/>
          <w:sz w:val="16"/>
          <w:szCs w:val="16"/>
          <w:lang w:eastAsia="x-none"/>
        </w:rPr>
        <w:footnoteRef/>
      </w:r>
      <w:r w:rsidRPr="0057574C">
        <w:rPr>
          <w:rFonts w:ascii="Verdana" w:hAnsi="Verdana"/>
          <w:sz w:val="16"/>
          <w:szCs w:val="16"/>
        </w:rPr>
        <w:t xml:space="preserve"> Esto fue señalado en el párrafo 68 del Informe de Fondo como uno de los hechos que la Comisión entendió “probados”. La Comisión, como prueba de tal hecho</w:t>
      </w:r>
      <w:r w:rsidRPr="0057574C">
        <w:rPr>
          <w:rFonts w:ascii="Verdana" w:eastAsia="Calibri" w:hAnsi="Verdana" w:cs="Times New Roman"/>
          <w:sz w:val="16"/>
          <w:szCs w:val="16"/>
        </w:rPr>
        <w:t>, remitió al documento “Auto de 2 de noviembre de 1995 del Juzgado Militar de Primera Instancia del Departamento de Jalapa en la Causa Penal No. 028-95”, cuya copia acompaño como anexo 10 al Informe de Fondo (expediente de prueba</w:t>
      </w:r>
      <w:r w:rsidRPr="0057574C">
        <w:rPr>
          <w:rFonts w:ascii="Verdana" w:hAnsi="Verdana"/>
          <w:sz w:val="16"/>
          <w:szCs w:val="16"/>
        </w:rPr>
        <w:t>, folios 138 a 144). La misma, no obstante, se encuentra parcialmente ilegible.</w:t>
      </w:r>
      <w:r>
        <w:rPr>
          <w:sz w:val="16"/>
          <w:szCs w:val="16"/>
        </w:rPr>
        <w:t xml:space="preserve"> </w:t>
      </w:r>
    </w:p>
  </w:footnote>
  <w:footnote w:id="63">
    <w:p w:rsidR="00785921" w:rsidRDefault="00785921" w:rsidP="00126E97">
      <w:pPr>
        <w:pStyle w:val="FootnoteText"/>
        <w:spacing w:line="20" w:lineRule="atLeast"/>
        <w:rPr>
          <w:sz w:val="16"/>
          <w:szCs w:val="16"/>
          <w:lang w:val="es-CR"/>
        </w:rPr>
      </w:pPr>
      <w:r>
        <w:rPr>
          <w:rStyle w:val="FootnoteReference"/>
          <w:sz w:val="16"/>
          <w:szCs w:val="16"/>
          <w:lang w:val="es-ES_tradnl" w:eastAsia="x-none"/>
        </w:rPr>
        <w:footnoteRef/>
      </w:r>
      <w:r>
        <w:rPr>
          <w:sz w:val="16"/>
          <w:szCs w:val="16"/>
          <w:lang w:val="es-ES_tradnl"/>
        </w:rPr>
        <w:t xml:space="preserve"> </w:t>
      </w:r>
      <w:r>
        <w:rPr>
          <w:i/>
          <w:sz w:val="16"/>
          <w:szCs w:val="16"/>
          <w:lang w:val="es-CR"/>
        </w:rPr>
        <w:t>C</w:t>
      </w:r>
      <w:r w:rsidRPr="00676759">
        <w:rPr>
          <w:i/>
          <w:sz w:val="16"/>
          <w:szCs w:val="16"/>
          <w:lang w:val="es-CR"/>
        </w:rPr>
        <w:t>fr</w:t>
      </w:r>
      <w:r>
        <w:rPr>
          <w:sz w:val="16"/>
          <w:szCs w:val="16"/>
          <w:lang w:val="es-CR"/>
        </w:rPr>
        <w:t xml:space="preserve">. CEH, Guatemala: Memoria del Silencio, </w:t>
      </w:r>
      <w:r w:rsidRPr="00676759">
        <w:rPr>
          <w:i/>
          <w:sz w:val="16"/>
          <w:szCs w:val="16"/>
          <w:lang w:val="es-CR"/>
        </w:rPr>
        <w:t>supra</w:t>
      </w:r>
      <w:r>
        <w:rPr>
          <w:sz w:val="16"/>
          <w:szCs w:val="16"/>
          <w:lang w:val="es-CR"/>
        </w:rPr>
        <w:t xml:space="preserve">, Tomo VI, Casos Ilustrativos, Anexo 1, Caso Ilustrativo 3: Masacre de </w:t>
      </w:r>
      <w:proofErr w:type="spellStart"/>
      <w:r>
        <w:rPr>
          <w:sz w:val="16"/>
          <w:szCs w:val="16"/>
          <w:lang w:val="es-CR"/>
        </w:rPr>
        <w:t>Xamán</w:t>
      </w:r>
      <w:proofErr w:type="spellEnd"/>
      <w:r>
        <w:rPr>
          <w:sz w:val="16"/>
          <w:szCs w:val="16"/>
          <w:lang w:val="es-CR"/>
        </w:rPr>
        <w:t xml:space="preserve">, pág. 41 y </w:t>
      </w:r>
      <w:r>
        <w:rPr>
          <w:sz w:val="16"/>
          <w:szCs w:val="16"/>
          <w:lang w:val="es-ES_tradnl"/>
        </w:rPr>
        <w:t>Comunicación de los peticionarios de 10 de septiembre de 1996 dirigida a la Comisión Interamericana (expediente de</w:t>
      </w:r>
      <w:r>
        <w:rPr>
          <w:sz w:val="16"/>
          <w:szCs w:val="16"/>
          <w:lang w:val="es-CR"/>
        </w:rPr>
        <w:t xml:space="preserve"> prueba, anexo 11 al Informe de Fondo, folios 146 a 165).</w:t>
      </w:r>
    </w:p>
  </w:footnote>
  <w:footnote w:id="64">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sidRPr="00676759">
        <w:rPr>
          <w:i/>
          <w:sz w:val="16"/>
          <w:szCs w:val="16"/>
          <w:lang w:val="es-CR"/>
        </w:rPr>
        <w:t xml:space="preserve">Cfr. </w:t>
      </w:r>
      <w:r>
        <w:rPr>
          <w:sz w:val="16"/>
          <w:szCs w:val="16"/>
          <w:lang w:val="es-CR"/>
        </w:rPr>
        <w:t xml:space="preserve">Comunicación de los peticionarios de 10 de septiembre de 1996 dirigida a la Comisión Interamericana, </w:t>
      </w:r>
      <w:r w:rsidRPr="007F44F4">
        <w:rPr>
          <w:i/>
          <w:sz w:val="16"/>
          <w:szCs w:val="16"/>
          <w:lang w:val="es-CR"/>
        </w:rPr>
        <w:t>supra</w:t>
      </w:r>
      <w:r>
        <w:rPr>
          <w:sz w:val="16"/>
          <w:szCs w:val="16"/>
          <w:lang w:val="es-CR"/>
        </w:rPr>
        <w:t xml:space="preserve">. </w:t>
      </w:r>
    </w:p>
  </w:footnote>
  <w:footnote w:id="65">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sidRPr="00676759">
        <w:rPr>
          <w:i/>
          <w:sz w:val="16"/>
          <w:szCs w:val="16"/>
          <w:lang w:val="es-CR"/>
        </w:rPr>
        <w:t>Cfr.</w:t>
      </w:r>
      <w:r>
        <w:rPr>
          <w:sz w:val="16"/>
          <w:szCs w:val="16"/>
          <w:lang w:val="es-CR"/>
        </w:rPr>
        <w:t xml:space="preserve"> Comunicación del Estado a la Comisión de 24 de mayo de 1996, </w:t>
      </w:r>
      <w:r w:rsidRPr="0088070D">
        <w:rPr>
          <w:i/>
          <w:sz w:val="16"/>
          <w:szCs w:val="16"/>
          <w:lang w:val="es-CR"/>
        </w:rPr>
        <w:t>supra</w:t>
      </w:r>
      <w:r>
        <w:rPr>
          <w:sz w:val="16"/>
          <w:szCs w:val="16"/>
          <w:lang w:val="es-CR"/>
        </w:rPr>
        <w:t>.</w:t>
      </w:r>
    </w:p>
  </w:footnote>
  <w:footnote w:id="66">
    <w:p w:rsidR="00785921" w:rsidRPr="0057574C" w:rsidRDefault="00785921" w:rsidP="00126E97">
      <w:pPr>
        <w:spacing w:after="0" w:line="20" w:lineRule="atLeast"/>
        <w:ind w:right="-138"/>
        <w:jc w:val="both"/>
        <w:rPr>
          <w:rFonts w:ascii="Verdana" w:hAnsi="Verdana"/>
          <w:sz w:val="16"/>
          <w:szCs w:val="16"/>
        </w:rPr>
      </w:pPr>
      <w:r w:rsidRPr="0057574C">
        <w:rPr>
          <w:rStyle w:val="FootnoteReference"/>
          <w:rFonts w:ascii="Verdana" w:hAnsi="Verdana"/>
          <w:sz w:val="16"/>
          <w:szCs w:val="16"/>
          <w:lang w:eastAsia="x-none"/>
        </w:rPr>
        <w:footnoteRef/>
      </w:r>
      <w:r w:rsidRPr="0057574C">
        <w:rPr>
          <w:rFonts w:ascii="Verdana" w:hAnsi="Verdana"/>
          <w:sz w:val="16"/>
          <w:szCs w:val="16"/>
        </w:rPr>
        <w:t xml:space="preserve"> </w:t>
      </w:r>
      <w:r w:rsidRPr="0057574C">
        <w:rPr>
          <w:rFonts w:ascii="Verdana" w:hAnsi="Verdana"/>
          <w:i/>
          <w:sz w:val="16"/>
          <w:szCs w:val="16"/>
        </w:rPr>
        <w:t>Cfr.</w:t>
      </w:r>
      <w:r w:rsidRPr="0057574C">
        <w:rPr>
          <w:rFonts w:ascii="Verdana" w:hAnsi="Verdana"/>
          <w:sz w:val="16"/>
          <w:szCs w:val="16"/>
        </w:rPr>
        <w:t xml:space="preserve"> Acusación del Agente Fiscal del Ministerio Público de 29 de mayo de 1996 (expediente de prueba, trámite ante la Comisión, f</w:t>
      </w:r>
      <w:r>
        <w:rPr>
          <w:rFonts w:ascii="Verdana" w:hAnsi="Verdana"/>
          <w:sz w:val="16"/>
          <w:szCs w:val="16"/>
        </w:rPr>
        <w:t>olio</w:t>
      </w:r>
      <w:r w:rsidRPr="0057574C">
        <w:rPr>
          <w:rFonts w:ascii="Verdana" w:hAnsi="Verdana"/>
          <w:sz w:val="16"/>
          <w:szCs w:val="16"/>
        </w:rPr>
        <w:t xml:space="preserve">s 4175 a 4243). De acuerdo a la CEH, fue el </w:t>
      </w:r>
      <w:r w:rsidRPr="0057574C">
        <w:rPr>
          <w:rFonts w:ascii="Verdana" w:hAnsi="Verdana"/>
          <w:sz w:val="16"/>
          <w:szCs w:val="16"/>
          <w:lang w:val="es-CR"/>
        </w:rPr>
        <w:t>29 de junio de 1996 cuando el Ministerio Público presentó acusación (</w:t>
      </w:r>
      <w:r w:rsidRPr="0057574C">
        <w:rPr>
          <w:rFonts w:ascii="Verdana" w:hAnsi="Verdana"/>
          <w:i/>
          <w:sz w:val="16"/>
          <w:szCs w:val="16"/>
          <w:lang w:val="es-CR"/>
        </w:rPr>
        <w:t>cfr.</w:t>
      </w:r>
      <w:r w:rsidRPr="0057574C">
        <w:rPr>
          <w:rFonts w:ascii="Verdana" w:hAnsi="Verdana"/>
          <w:sz w:val="16"/>
          <w:szCs w:val="16"/>
          <w:lang w:val="es-CR"/>
        </w:rPr>
        <w:t xml:space="preserve"> CEH, Guatemala: Memoria del Silencio, </w:t>
      </w:r>
      <w:r w:rsidRPr="0057574C">
        <w:rPr>
          <w:rFonts w:ascii="Verdana" w:hAnsi="Verdana"/>
          <w:i/>
          <w:sz w:val="16"/>
          <w:szCs w:val="16"/>
          <w:lang w:val="es-CR"/>
        </w:rPr>
        <w:t>supra</w:t>
      </w:r>
      <w:r w:rsidRPr="0057574C">
        <w:rPr>
          <w:rFonts w:ascii="Verdana" w:hAnsi="Verdana"/>
          <w:sz w:val="16"/>
          <w:szCs w:val="16"/>
          <w:lang w:val="es-CR"/>
        </w:rPr>
        <w:t xml:space="preserve">, Tomo VI, Casos Ilustrativos, Anexo 1, Caso Ilustrativo 3: Masacre de </w:t>
      </w:r>
      <w:proofErr w:type="spellStart"/>
      <w:r w:rsidRPr="0057574C">
        <w:rPr>
          <w:rFonts w:ascii="Verdana" w:hAnsi="Verdana"/>
          <w:sz w:val="16"/>
          <w:szCs w:val="16"/>
          <w:lang w:val="es-CR"/>
        </w:rPr>
        <w:t>Xamán</w:t>
      </w:r>
      <w:proofErr w:type="spellEnd"/>
      <w:r w:rsidRPr="0057574C">
        <w:rPr>
          <w:rFonts w:ascii="Verdana" w:hAnsi="Verdana"/>
          <w:sz w:val="16"/>
          <w:szCs w:val="16"/>
          <w:lang w:val="es-CR"/>
        </w:rPr>
        <w:t>).</w:t>
      </w:r>
    </w:p>
  </w:footnote>
  <w:footnote w:id="67">
    <w:p w:rsidR="00785921" w:rsidRPr="00C03C13" w:rsidRDefault="00785921" w:rsidP="00126E97">
      <w:pPr>
        <w:pStyle w:val="FootnoteText"/>
        <w:spacing w:line="20" w:lineRule="atLeast"/>
        <w:rPr>
          <w:lang w:val="es-CR"/>
        </w:rPr>
      </w:pPr>
      <w:r w:rsidRPr="0057574C">
        <w:rPr>
          <w:rStyle w:val="FootnoteReference"/>
          <w:sz w:val="16"/>
          <w:szCs w:val="16"/>
        </w:rPr>
        <w:footnoteRef/>
      </w:r>
      <w:r w:rsidRPr="0057574C">
        <w:rPr>
          <w:sz w:val="16"/>
          <w:szCs w:val="16"/>
          <w:lang w:val="es-CR"/>
        </w:rPr>
        <w:t xml:space="preserve"> Este hecho fue señalado en el párrafo 72 del Informe de Fondo</w:t>
      </w:r>
      <w:r w:rsidRPr="0057574C">
        <w:rPr>
          <w:sz w:val="16"/>
          <w:szCs w:val="16"/>
          <w:lang w:val="es-ES_tradnl"/>
        </w:rPr>
        <w:t xml:space="preserve"> como uno de los hechos que la Comisión entendió “probados”</w:t>
      </w:r>
      <w:r w:rsidRPr="0057574C">
        <w:rPr>
          <w:sz w:val="16"/>
          <w:szCs w:val="16"/>
          <w:lang w:val="es-CR"/>
        </w:rPr>
        <w:t>, y no fue controvertido por las partes. La Comisión, como prueba de tal hecho, remitió a documentos que indicó como “Resoluciones del juzgado</w:t>
      </w:r>
      <w:r>
        <w:rPr>
          <w:sz w:val="16"/>
          <w:szCs w:val="16"/>
          <w:lang w:val="es-CR"/>
        </w:rPr>
        <w:t xml:space="preserve"> de primera instancia penal, narcoactividad y delitos contra el ambiente del departamentos de Alta Verapaz, de fechas 30 y 31 de mayo de 1996”,</w:t>
      </w:r>
      <w:r w:rsidRPr="00C54649">
        <w:rPr>
          <w:sz w:val="16"/>
          <w:szCs w:val="16"/>
          <w:lang w:val="es-CR"/>
        </w:rPr>
        <w:t xml:space="preserve"> cuya copia acompaño como anexo 1</w:t>
      </w:r>
      <w:r>
        <w:rPr>
          <w:sz w:val="16"/>
          <w:szCs w:val="16"/>
          <w:lang w:val="es-CR"/>
        </w:rPr>
        <w:t>4</w:t>
      </w:r>
      <w:r w:rsidRPr="00C54649">
        <w:rPr>
          <w:sz w:val="16"/>
          <w:szCs w:val="16"/>
          <w:lang w:val="es-CR"/>
        </w:rPr>
        <w:t xml:space="preserve"> al Informe de Fondo (expediente de prueba, folios </w:t>
      </w:r>
      <w:r>
        <w:rPr>
          <w:sz w:val="16"/>
          <w:szCs w:val="16"/>
          <w:lang w:val="es-CR"/>
        </w:rPr>
        <w:t>212</w:t>
      </w:r>
      <w:r w:rsidRPr="00C54649">
        <w:rPr>
          <w:sz w:val="16"/>
          <w:szCs w:val="16"/>
          <w:lang w:val="es-CR"/>
        </w:rPr>
        <w:t xml:space="preserve"> a </w:t>
      </w:r>
      <w:r>
        <w:rPr>
          <w:sz w:val="16"/>
          <w:szCs w:val="16"/>
          <w:lang w:val="es-CR"/>
        </w:rPr>
        <w:t>215</w:t>
      </w:r>
      <w:r w:rsidRPr="00C54649">
        <w:rPr>
          <w:sz w:val="16"/>
          <w:szCs w:val="16"/>
          <w:lang w:val="es-CR"/>
        </w:rPr>
        <w:t>). La misma, no obst</w:t>
      </w:r>
      <w:r>
        <w:rPr>
          <w:sz w:val="16"/>
          <w:szCs w:val="16"/>
          <w:lang w:val="es-CR"/>
        </w:rPr>
        <w:t xml:space="preserve">ante, se encuentra </w:t>
      </w:r>
      <w:r w:rsidRPr="00C54649">
        <w:rPr>
          <w:sz w:val="16"/>
          <w:szCs w:val="16"/>
          <w:lang w:val="es-CR"/>
        </w:rPr>
        <w:t>ilegible.</w:t>
      </w:r>
    </w:p>
  </w:footnote>
  <w:footnote w:id="68">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w:t>
      </w:r>
      <w:r w:rsidRPr="00637508">
        <w:rPr>
          <w:i/>
          <w:sz w:val="16"/>
          <w:szCs w:val="16"/>
          <w:lang w:val="es-CR"/>
        </w:rPr>
        <w:t xml:space="preserve">Cfr. </w:t>
      </w:r>
      <w:r w:rsidRPr="00637508">
        <w:rPr>
          <w:sz w:val="16"/>
          <w:szCs w:val="16"/>
          <w:lang w:val="es-CR"/>
        </w:rPr>
        <w:t>Informe del Gobierno de Guatemala a la Comisión de 24 de mayo de 2004</w:t>
      </w:r>
      <w:r>
        <w:rPr>
          <w:sz w:val="16"/>
          <w:szCs w:val="16"/>
          <w:lang w:val="es-CR"/>
        </w:rPr>
        <w:t xml:space="preserve"> (e</w:t>
      </w:r>
      <w:r w:rsidRPr="00637508">
        <w:rPr>
          <w:sz w:val="16"/>
          <w:szCs w:val="16"/>
          <w:lang w:val="es-CR"/>
        </w:rPr>
        <w:t xml:space="preserve">xpediente de prueba, </w:t>
      </w:r>
      <w:r>
        <w:rPr>
          <w:sz w:val="16"/>
          <w:szCs w:val="16"/>
          <w:lang w:val="es-CR"/>
        </w:rPr>
        <w:t>a</w:t>
      </w:r>
      <w:r w:rsidRPr="00637508">
        <w:rPr>
          <w:sz w:val="16"/>
          <w:szCs w:val="16"/>
          <w:lang w:val="es-CR"/>
        </w:rPr>
        <w:t>nexo 28 al Informe de Fondo, f</w:t>
      </w:r>
      <w:r>
        <w:rPr>
          <w:sz w:val="16"/>
          <w:szCs w:val="16"/>
          <w:lang w:val="es-CR"/>
        </w:rPr>
        <w:t>olio</w:t>
      </w:r>
      <w:r w:rsidRPr="00637508">
        <w:rPr>
          <w:sz w:val="16"/>
          <w:szCs w:val="16"/>
          <w:lang w:val="es-CR"/>
        </w:rPr>
        <w:t>s 927 a 931</w:t>
      </w:r>
      <w:r>
        <w:rPr>
          <w:sz w:val="16"/>
          <w:szCs w:val="16"/>
          <w:lang w:val="es-CR"/>
        </w:rPr>
        <w:t>)</w:t>
      </w:r>
      <w:r w:rsidRPr="00637508">
        <w:rPr>
          <w:sz w:val="16"/>
          <w:szCs w:val="16"/>
          <w:lang w:val="es-CR"/>
        </w:rPr>
        <w:t>.</w:t>
      </w:r>
    </w:p>
  </w:footnote>
  <w:footnote w:id="69">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sidRPr="00637508">
        <w:rPr>
          <w:sz w:val="16"/>
          <w:szCs w:val="16"/>
          <w:lang w:val="es-CR"/>
        </w:rPr>
        <w:t xml:space="preserve"> Acusación </w:t>
      </w:r>
      <w:r>
        <w:rPr>
          <w:sz w:val="16"/>
          <w:szCs w:val="16"/>
          <w:lang w:val="es-ES_tradnl"/>
        </w:rPr>
        <w:t xml:space="preserve">presentada por la “querellante adhesiva” Rigoberta Menchú </w:t>
      </w:r>
      <w:proofErr w:type="spellStart"/>
      <w:r>
        <w:rPr>
          <w:sz w:val="16"/>
          <w:szCs w:val="16"/>
          <w:lang w:val="es-ES_tradnl"/>
        </w:rPr>
        <w:t>Tum</w:t>
      </w:r>
      <w:proofErr w:type="spellEnd"/>
      <w:r>
        <w:rPr>
          <w:sz w:val="16"/>
          <w:szCs w:val="16"/>
          <w:lang w:val="es-ES_tradnl"/>
        </w:rPr>
        <w:t>, de fecha 12 de noviembre de 1992 (expediente de prueba, trámite ante la Comisión, folios 4246 a 4289).</w:t>
      </w:r>
      <w:r w:rsidRPr="00676759">
        <w:rPr>
          <w:lang w:val="es-CR"/>
        </w:rPr>
        <w:t xml:space="preserve"> </w:t>
      </w:r>
      <w:r w:rsidRPr="001F1B19">
        <w:rPr>
          <w:sz w:val="16"/>
          <w:szCs w:val="16"/>
          <w:lang w:val="es-ES_tradnl"/>
        </w:rPr>
        <w:t>Por otra parte, los peticionarios informaron a la Comisión que la querellante y el Ministerio Público presentaron una queja por actuaciones del juez, quien para septiembre de 1996 había sido removido del caso por decisión de la Corte Suprema de Justicia (</w:t>
      </w:r>
      <w:r w:rsidRPr="00E64872">
        <w:rPr>
          <w:i/>
          <w:sz w:val="16"/>
          <w:szCs w:val="16"/>
          <w:lang w:val="es-ES_tradnl"/>
        </w:rPr>
        <w:t>cfr</w:t>
      </w:r>
      <w:r w:rsidRPr="001F1B19">
        <w:rPr>
          <w:sz w:val="16"/>
          <w:szCs w:val="16"/>
          <w:lang w:val="es-ES_tradnl"/>
        </w:rPr>
        <w:t>. Comunicación de los peticionarios de 10 de septiembre de 1996 dirigida a la Comisión Interamericana</w:t>
      </w:r>
      <w:r>
        <w:rPr>
          <w:sz w:val="16"/>
          <w:szCs w:val="16"/>
          <w:lang w:val="es-ES_tradnl"/>
        </w:rPr>
        <w:t xml:space="preserve">, </w:t>
      </w:r>
      <w:r w:rsidRPr="007F44F4">
        <w:rPr>
          <w:i/>
          <w:sz w:val="16"/>
          <w:szCs w:val="16"/>
          <w:lang w:val="es-ES_tradnl"/>
        </w:rPr>
        <w:t>supra</w:t>
      </w:r>
      <w:r>
        <w:rPr>
          <w:sz w:val="16"/>
          <w:szCs w:val="16"/>
          <w:lang w:val="es-ES_tradnl"/>
        </w:rPr>
        <w:t>)</w:t>
      </w:r>
      <w:r w:rsidRPr="001F1B19">
        <w:rPr>
          <w:sz w:val="16"/>
          <w:szCs w:val="16"/>
          <w:lang w:val="es-ES_tradnl"/>
        </w:rPr>
        <w:t>.</w:t>
      </w:r>
    </w:p>
  </w:footnote>
  <w:footnote w:id="70">
    <w:p w:rsidR="00785921" w:rsidRPr="0057574C" w:rsidRDefault="00785921" w:rsidP="00126E97">
      <w:pPr>
        <w:spacing w:after="0" w:line="20" w:lineRule="atLeast"/>
        <w:jc w:val="both"/>
        <w:rPr>
          <w:rFonts w:ascii="Verdana" w:hAnsi="Verdana"/>
          <w:sz w:val="16"/>
          <w:szCs w:val="16"/>
          <w:lang w:val="es-CR"/>
        </w:rPr>
      </w:pPr>
      <w:r w:rsidRPr="0057574C">
        <w:rPr>
          <w:rStyle w:val="FootnoteReference"/>
          <w:rFonts w:ascii="Verdana" w:hAnsi="Verdana"/>
          <w:sz w:val="16"/>
          <w:szCs w:val="16"/>
          <w:lang w:eastAsia="x-none"/>
        </w:rPr>
        <w:footnoteRef/>
      </w:r>
      <w:r w:rsidRPr="0057574C">
        <w:rPr>
          <w:rFonts w:ascii="Verdana" w:hAnsi="Verdana"/>
          <w:sz w:val="16"/>
          <w:szCs w:val="16"/>
          <w:lang w:val="es-CR"/>
        </w:rPr>
        <w:t xml:space="preserve"> De acuerdo a información presentada por los peticionarios a la Comisión, en agosto de 1996 la defensa presentó un recurso de inconstitucionalidad, como incidente dentro de la causa, reclamando, entre otras cosas, la inaplicabilidad de la figura de “ejecución extrajudicial”. El “Juez” se inhibió de conocer el recurso, y lo en</w:t>
      </w:r>
      <w:r>
        <w:rPr>
          <w:rFonts w:ascii="Verdana" w:hAnsi="Verdana"/>
          <w:sz w:val="16"/>
          <w:szCs w:val="16"/>
          <w:lang w:val="es-CR"/>
        </w:rPr>
        <w:t>vió a “un tribunal de alzada”. É</w:t>
      </w:r>
      <w:r w:rsidRPr="0057574C">
        <w:rPr>
          <w:rFonts w:ascii="Verdana" w:hAnsi="Verdana"/>
          <w:sz w:val="16"/>
          <w:szCs w:val="16"/>
          <w:lang w:val="es-CR"/>
        </w:rPr>
        <w:t>ste, a su vez, lo devolvió al Juez, con la indicación de que se avoque al asunto. El “Juez” remitió la cuestión a la Corte Suprema de Justicia, planteando dudas sobre si tenía o no competencia para conocer. La Corte Suprema de Justicia devolvió el asunto al “Juez”, avalando lo antes decidido por el tribunal de alzada. El “Juez” desestimó lo alegado por la defensa, pero suspendió el proceso hasta que se resolvieran apelaciones que había planteado la misma defensa. Por otra parte, para marzo de 1997, la defensa había planteado varios amparos. (</w:t>
      </w:r>
      <w:r w:rsidRPr="0057574C">
        <w:rPr>
          <w:rFonts w:ascii="Verdana" w:hAnsi="Verdana"/>
          <w:i/>
          <w:sz w:val="16"/>
          <w:szCs w:val="16"/>
          <w:lang w:val="es-CR"/>
        </w:rPr>
        <w:t>Cfr.</w:t>
      </w:r>
      <w:r w:rsidRPr="0057574C">
        <w:rPr>
          <w:rFonts w:ascii="Verdana" w:hAnsi="Verdana"/>
          <w:sz w:val="16"/>
          <w:szCs w:val="16"/>
          <w:lang w:val="es-CR"/>
        </w:rPr>
        <w:t xml:space="preserve"> Comunicación de los peticionarios a la Comisión de 7 de marzo de 1997 (expediente de prueba, trámite ante la Comisión, folios 2103 a 2109). En su comunicación los peticionarios se refirieron al “Juez”, sin otras especificaciones.) </w:t>
      </w:r>
    </w:p>
  </w:footnote>
  <w:footnote w:id="71">
    <w:p w:rsidR="00785921" w:rsidRDefault="00785921" w:rsidP="00126E97">
      <w:pPr>
        <w:pStyle w:val="FootnoteText"/>
        <w:spacing w:line="20" w:lineRule="atLeast"/>
        <w:rPr>
          <w:sz w:val="16"/>
          <w:szCs w:val="16"/>
          <w:lang w:val="es-CR"/>
        </w:rPr>
      </w:pPr>
      <w:r w:rsidRPr="0057574C">
        <w:rPr>
          <w:rStyle w:val="FootnoteReference"/>
          <w:sz w:val="16"/>
          <w:szCs w:val="16"/>
          <w:lang w:val="es-CR" w:eastAsia="x-none"/>
        </w:rPr>
        <w:footnoteRef/>
      </w:r>
      <w:r w:rsidRPr="0057574C">
        <w:rPr>
          <w:sz w:val="16"/>
          <w:szCs w:val="16"/>
          <w:lang w:val="es-CR"/>
        </w:rPr>
        <w:t xml:space="preserve"> </w:t>
      </w:r>
      <w:r w:rsidRPr="0057574C">
        <w:rPr>
          <w:i/>
          <w:sz w:val="16"/>
          <w:szCs w:val="16"/>
          <w:lang w:val="es-CR"/>
        </w:rPr>
        <w:t>Cfr.</w:t>
      </w:r>
      <w:r w:rsidRPr="0057574C">
        <w:rPr>
          <w:sz w:val="16"/>
          <w:szCs w:val="16"/>
          <w:lang w:val="es-CR"/>
        </w:rPr>
        <w:t xml:space="preserve"> Documentos anexos a la comunicación de los peticionarios de 26 de febrero de 1998 dirigida a la Comisión (expediente de prueba, trámite</w:t>
      </w:r>
      <w:r>
        <w:rPr>
          <w:sz w:val="16"/>
          <w:szCs w:val="16"/>
          <w:lang w:val="es-CR"/>
        </w:rPr>
        <w:t xml:space="preserve"> ante la Comisión, folios 2062 a 2071).</w:t>
      </w:r>
    </w:p>
  </w:footnote>
  <w:footnote w:id="72">
    <w:p w:rsidR="00785921" w:rsidRPr="00E64872" w:rsidRDefault="00785921" w:rsidP="00126E97">
      <w:pPr>
        <w:pStyle w:val="FootnoteText"/>
        <w:spacing w:line="20" w:lineRule="atLeast"/>
        <w:rPr>
          <w:sz w:val="16"/>
          <w:szCs w:val="16"/>
          <w:lang w:val="es-ES_tradnl"/>
        </w:rPr>
      </w:pPr>
      <w:r>
        <w:rPr>
          <w:rStyle w:val="FootnoteReference"/>
          <w:sz w:val="16"/>
          <w:szCs w:val="16"/>
          <w:lang w:val="es-ES_tradnl" w:eastAsia="x-none"/>
        </w:rPr>
        <w:footnoteRef/>
      </w:r>
      <w:r>
        <w:rPr>
          <w:sz w:val="16"/>
          <w:szCs w:val="16"/>
          <w:lang w:val="es-CR"/>
        </w:rPr>
        <w:t xml:space="preserve"> </w:t>
      </w:r>
      <w:r w:rsidRPr="00273559">
        <w:rPr>
          <w:i/>
          <w:sz w:val="16"/>
          <w:szCs w:val="16"/>
          <w:lang w:val="es-CR"/>
        </w:rPr>
        <w:t>Cfr.</w:t>
      </w:r>
      <w:r>
        <w:rPr>
          <w:sz w:val="16"/>
          <w:szCs w:val="16"/>
          <w:lang w:val="es-CR"/>
        </w:rPr>
        <w:t xml:space="preserve"> Documentos anexos a la comunicación de los peticionarios de 26 de febrero de 1998 dirigida a la </w:t>
      </w:r>
      <w:r w:rsidRPr="00E64872">
        <w:rPr>
          <w:sz w:val="16"/>
          <w:szCs w:val="16"/>
          <w:lang w:val="es-CR"/>
        </w:rPr>
        <w:t>Comisión</w:t>
      </w:r>
      <w:r>
        <w:rPr>
          <w:sz w:val="16"/>
          <w:szCs w:val="16"/>
          <w:lang w:val="es-CR"/>
        </w:rPr>
        <w:t xml:space="preserve">, </w:t>
      </w:r>
      <w:r w:rsidRPr="00990E65">
        <w:rPr>
          <w:i/>
          <w:sz w:val="16"/>
          <w:szCs w:val="16"/>
          <w:lang w:val="es-CR"/>
        </w:rPr>
        <w:t>supra</w:t>
      </w:r>
      <w:r w:rsidRPr="00E64872">
        <w:rPr>
          <w:sz w:val="16"/>
          <w:szCs w:val="16"/>
          <w:lang w:val="es-CR"/>
        </w:rPr>
        <w:t>.</w:t>
      </w:r>
    </w:p>
  </w:footnote>
  <w:footnote w:id="73">
    <w:p w:rsidR="00785921" w:rsidRPr="00E64872" w:rsidRDefault="00785921" w:rsidP="00126E97">
      <w:pPr>
        <w:pStyle w:val="FootnoteText"/>
        <w:spacing w:line="20" w:lineRule="atLeast"/>
        <w:rPr>
          <w:lang w:val="es-CR"/>
        </w:rPr>
      </w:pPr>
      <w:r w:rsidRPr="00E64872">
        <w:rPr>
          <w:rStyle w:val="FootnoteReference"/>
          <w:sz w:val="16"/>
          <w:szCs w:val="16"/>
        </w:rPr>
        <w:footnoteRef/>
      </w:r>
      <w:r w:rsidRPr="00E64872">
        <w:rPr>
          <w:sz w:val="16"/>
          <w:szCs w:val="16"/>
          <w:lang w:val="es-CR"/>
        </w:rPr>
        <w:t xml:space="preserve"> En el</w:t>
      </w:r>
      <w:r w:rsidRPr="00676759">
        <w:rPr>
          <w:sz w:val="16"/>
          <w:szCs w:val="16"/>
          <w:lang w:val="es-CR"/>
        </w:rPr>
        <w:t xml:space="preserve"> párrafo 75 del Informe de Fondo, dentro de los hechos que la Comisión consi</w:t>
      </w:r>
      <w:r>
        <w:rPr>
          <w:sz w:val="16"/>
          <w:szCs w:val="16"/>
          <w:lang w:val="es-CR"/>
        </w:rPr>
        <w:t>d</w:t>
      </w:r>
      <w:r w:rsidRPr="00676759">
        <w:rPr>
          <w:sz w:val="16"/>
          <w:szCs w:val="16"/>
          <w:lang w:val="es-CR"/>
        </w:rPr>
        <w:t>eró “probados”, se indica que los peticionarios informaron el hecho referido</w:t>
      </w:r>
      <w:r>
        <w:rPr>
          <w:sz w:val="16"/>
          <w:szCs w:val="16"/>
          <w:lang w:val="es-CR"/>
        </w:rPr>
        <w:t>.</w:t>
      </w:r>
    </w:p>
  </w:footnote>
  <w:footnote w:id="74">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sidRPr="00676759">
        <w:rPr>
          <w:i/>
          <w:sz w:val="16"/>
          <w:szCs w:val="16"/>
          <w:lang w:val="es-CR"/>
        </w:rPr>
        <w:t>Cfr.</w:t>
      </w:r>
      <w:r>
        <w:rPr>
          <w:sz w:val="16"/>
          <w:szCs w:val="16"/>
          <w:lang w:val="es-CR"/>
        </w:rPr>
        <w:t xml:space="preserve"> Documento anexo a la comunicación de los peticionarios de 23 de marzo de 1998, dirigida a la Comisión Interamericana (expediente de prueba, trámite ante la Comisión, folios 2020 a 2023).  </w:t>
      </w:r>
    </w:p>
  </w:footnote>
  <w:footnote w:id="75">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sidRPr="00676759">
        <w:rPr>
          <w:i/>
          <w:sz w:val="16"/>
          <w:szCs w:val="16"/>
          <w:lang w:val="es-CR"/>
        </w:rPr>
        <w:t>Cfr.</w:t>
      </w:r>
      <w:r>
        <w:rPr>
          <w:sz w:val="16"/>
          <w:szCs w:val="16"/>
          <w:lang w:val="es-CR"/>
        </w:rPr>
        <w:t xml:space="preserve"> Comunicación de los peticionarios de 23 de marzo de 1998, dirigida a la Comisión Interamericana (expediente de prueba, trámite ante la Comisión, folios 2007 a 2011).  </w:t>
      </w:r>
    </w:p>
  </w:footnote>
  <w:footnote w:id="76">
    <w:p w:rsidR="00785921" w:rsidRPr="0057574C" w:rsidRDefault="00785921" w:rsidP="00126E97">
      <w:pPr>
        <w:pStyle w:val="FootnoteText"/>
        <w:spacing w:line="20" w:lineRule="atLeast"/>
        <w:rPr>
          <w:lang w:val="es-CR"/>
        </w:rPr>
      </w:pPr>
      <w:r>
        <w:rPr>
          <w:rStyle w:val="FootnoteReference"/>
          <w:sz w:val="16"/>
          <w:szCs w:val="16"/>
          <w:lang w:eastAsia="x-none"/>
        </w:rPr>
        <w:footnoteRef/>
      </w:r>
      <w:r w:rsidRPr="00637508">
        <w:rPr>
          <w:sz w:val="16"/>
          <w:szCs w:val="16"/>
          <w:lang w:val="es-CR"/>
        </w:rPr>
        <w:t xml:space="preserve"> </w:t>
      </w:r>
      <w:r>
        <w:rPr>
          <w:sz w:val="16"/>
          <w:szCs w:val="16"/>
          <w:lang w:val="es-CR"/>
        </w:rPr>
        <w:t xml:space="preserve">Por medio de un escrito de </w:t>
      </w:r>
      <w:r w:rsidRPr="00637508">
        <w:rPr>
          <w:sz w:val="16"/>
          <w:szCs w:val="16"/>
          <w:lang w:val="es-CR"/>
        </w:rPr>
        <w:t>13 de febrero de 1998 el Fiscal Especial del Ministerio Público ofrec</w:t>
      </w:r>
      <w:r>
        <w:rPr>
          <w:sz w:val="16"/>
          <w:szCs w:val="16"/>
          <w:lang w:val="es-CR"/>
        </w:rPr>
        <w:t>ió</w:t>
      </w:r>
      <w:r w:rsidRPr="00637508">
        <w:rPr>
          <w:sz w:val="16"/>
          <w:szCs w:val="16"/>
          <w:lang w:val="es-CR"/>
        </w:rPr>
        <w:t xml:space="preserve"> prueba en el proceso; también lo hicieron los abogados defensores (</w:t>
      </w:r>
      <w:r>
        <w:rPr>
          <w:i/>
          <w:sz w:val="16"/>
          <w:szCs w:val="16"/>
          <w:lang w:val="es-ES_tradnl"/>
        </w:rPr>
        <w:t>cfr.</w:t>
      </w:r>
      <w:r>
        <w:rPr>
          <w:sz w:val="16"/>
          <w:szCs w:val="16"/>
          <w:lang w:val="es-ES_tradnl"/>
        </w:rPr>
        <w:t xml:space="preserve"> Escrito del Fiscal Especial del Ministerio Público de 13 de febrero de 1998 </w:t>
      </w:r>
      <w:r>
        <w:rPr>
          <w:sz w:val="16"/>
          <w:szCs w:val="16"/>
          <w:lang w:val="es-CR"/>
        </w:rPr>
        <w:t>(expediente de prueba, trámite ante la Comisión, folios 4324 a 4370)</w:t>
      </w:r>
      <w:r>
        <w:rPr>
          <w:sz w:val="16"/>
          <w:szCs w:val="16"/>
          <w:lang w:val="es-ES_tradnl"/>
        </w:rPr>
        <w:t xml:space="preserve"> y escritos de abogados defensores de 13 de febrero de 1998 (e</w:t>
      </w:r>
      <w:proofErr w:type="spellStart"/>
      <w:r>
        <w:rPr>
          <w:sz w:val="16"/>
          <w:szCs w:val="16"/>
          <w:lang w:val="es-CR"/>
        </w:rPr>
        <w:t>xpediente</w:t>
      </w:r>
      <w:proofErr w:type="spellEnd"/>
      <w:r>
        <w:rPr>
          <w:sz w:val="16"/>
          <w:szCs w:val="16"/>
          <w:lang w:val="es-CR"/>
        </w:rPr>
        <w:t xml:space="preserve"> de prueba, trámite ante la Comisión, folios 4372 a 4438; 4440 a 4446, y 4448 a </w:t>
      </w:r>
      <w:r>
        <w:rPr>
          <w:sz w:val="16"/>
          <w:szCs w:val="16"/>
          <w:lang w:val="es-ES_tradnl"/>
        </w:rPr>
        <w:t>4472)). Además, en la Resolución el Tribunal de Sentencia hace referencia a los medios de prueba presentados por la “querellante adhesiva” (</w:t>
      </w:r>
      <w:r w:rsidRPr="00676759">
        <w:rPr>
          <w:i/>
          <w:sz w:val="16"/>
          <w:szCs w:val="16"/>
          <w:lang w:val="es-ES_tradnl"/>
        </w:rPr>
        <w:t>cfr.</w:t>
      </w:r>
      <w:r>
        <w:rPr>
          <w:sz w:val="16"/>
          <w:szCs w:val="16"/>
          <w:lang w:val="es-ES_tradnl"/>
        </w:rPr>
        <w:t xml:space="preserve"> Resolución del Tribunal de Sentencia de </w:t>
      </w:r>
      <w:r w:rsidRPr="0057574C">
        <w:rPr>
          <w:sz w:val="16"/>
          <w:szCs w:val="16"/>
          <w:lang w:val="es-ES_tradnl"/>
        </w:rPr>
        <w:t>6 de abril de 1998 (expediente de prueba, trámite ante la Comisión, folios 4485 a 4566</w:t>
      </w:r>
      <w:r w:rsidRPr="0057574C">
        <w:rPr>
          <w:sz w:val="16"/>
          <w:szCs w:val="16"/>
          <w:lang w:val="es-CR"/>
        </w:rPr>
        <w:t>))</w:t>
      </w:r>
      <w:r w:rsidRPr="0057574C">
        <w:rPr>
          <w:sz w:val="16"/>
          <w:szCs w:val="16"/>
          <w:lang w:val="es-ES_tradnl"/>
        </w:rPr>
        <w:t>.</w:t>
      </w:r>
    </w:p>
  </w:footnote>
  <w:footnote w:id="77">
    <w:p w:rsidR="00785921" w:rsidRPr="0057574C" w:rsidRDefault="00785921" w:rsidP="00126E97">
      <w:pPr>
        <w:pStyle w:val="FootnoteText"/>
        <w:spacing w:line="20" w:lineRule="atLeast"/>
        <w:rPr>
          <w:lang w:val="es-CR"/>
        </w:rPr>
      </w:pPr>
      <w:r w:rsidRPr="0057574C">
        <w:rPr>
          <w:rStyle w:val="FootnoteReference"/>
          <w:sz w:val="16"/>
          <w:szCs w:val="16"/>
          <w:lang w:val="es-ES_tradnl" w:eastAsia="x-none"/>
        </w:rPr>
        <w:footnoteRef/>
      </w:r>
      <w:r w:rsidRPr="0057574C">
        <w:rPr>
          <w:sz w:val="16"/>
          <w:szCs w:val="16"/>
          <w:lang w:val="es-ES_tradnl"/>
        </w:rPr>
        <w:t xml:space="preserve"> </w:t>
      </w:r>
      <w:r w:rsidRPr="0057574C">
        <w:rPr>
          <w:i/>
          <w:sz w:val="16"/>
          <w:szCs w:val="16"/>
          <w:lang w:val="es-ES_tradnl"/>
        </w:rPr>
        <w:t>Cfr.</w:t>
      </w:r>
      <w:r w:rsidRPr="0057574C">
        <w:rPr>
          <w:sz w:val="16"/>
          <w:szCs w:val="16"/>
          <w:lang w:val="es-ES_tradnl"/>
        </w:rPr>
        <w:t xml:space="preserve"> Resolución del Tribunal de Sentencia de 6 de abril de 1998</w:t>
      </w:r>
      <w:r>
        <w:rPr>
          <w:sz w:val="16"/>
          <w:szCs w:val="16"/>
          <w:lang w:val="es-ES_tradnl"/>
        </w:rPr>
        <w:t xml:space="preserve">, </w:t>
      </w:r>
      <w:r w:rsidRPr="00990E65">
        <w:rPr>
          <w:i/>
          <w:sz w:val="16"/>
          <w:szCs w:val="16"/>
          <w:lang w:val="es-ES_tradnl"/>
        </w:rPr>
        <w:t>supra</w:t>
      </w:r>
      <w:r w:rsidRPr="0057574C">
        <w:rPr>
          <w:sz w:val="16"/>
          <w:szCs w:val="16"/>
          <w:lang w:val="es-ES_tradnl"/>
        </w:rPr>
        <w:t>.</w:t>
      </w:r>
    </w:p>
  </w:footnote>
  <w:footnote w:id="78">
    <w:p w:rsidR="00785921" w:rsidRPr="0057574C" w:rsidRDefault="00785921" w:rsidP="00126E97">
      <w:pPr>
        <w:spacing w:after="0" w:line="20" w:lineRule="atLeast"/>
        <w:jc w:val="both"/>
        <w:rPr>
          <w:rFonts w:ascii="Verdana" w:eastAsia="Calibri" w:hAnsi="Verdana" w:cs="Times New Roman"/>
          <w:sz w:val="16"/>
          <w:szCs w:val="16"/>
          <w:lang w:val="es-CR"/>
        </w:rPr>
      </w:pPr>
      <w:r w:rsidRPr="0057574C">
        <w:rPr>
          <w:rStyle w:val="FootnoteReference"/>
          <w:rFonts w:ascii="Verdana" w:eastAsia="Calibri" w:hAnsi="Verdana"/>
          <w:sz w:val="16"/>
          <w:szCs w:val="16"/>
          <w:lang w:eastAsia="x-none"/>
        </w:rPr>
        <w:footnoteRef/>
      </w:r>
      <w:r w:rsidRPr="0057574C">
        <w:rPr>
          <w:rFonts w:ascii="Verdana" w:hAnsi="Verdana"/>
        </w:rPr>
        <w:t xml:space="preserve"> </w:t>
      </w:r>
      <w:r w:rsidRPr="0057574C">
        <w:rPr>
          <w:rFonts w:ascii="Verdana" w:hAnsi="Verdana"/>
          <w:i/>
          <w:sz w:val="16"/>
          <w:szCs w:val="16"/>
        </w:rPr>
        <w:t xml:space="preserve">Cfr. </w:t>
      </w:r>
      <w:r w:rsidRPr="0057574C">
        <w:rPr>
          <w:rFonts w:ascii="Verdana" w:eastAsia="Calibri" w:hAnsi="Verdana" w:cs="Times New Roman"/>
          <w:sz w:val="16"/>
          <w:szCs w:val="16"/>
        </w:rPr>
        <w:t>Auto de 16 de abril de 1998 del Tribunal de Sentencia (expediente de prueba, a</w:t>
      </w:r>
      <w:r w:rsidRPr="0057574C">
        <w:rPr>
          <w:rFonts w:ascii="Verdana" w:hAnsi="Verdana"/>
          <w:sz w:val="16"/>
          <w:szCs w:val="16"/>
        </w:rPr>
        <w:t>nexo 18 al Informe Fondo, folios 249 a 273).</w:t>
      </w:r>
    </w:p>
  </w:footnote>
  <w:footnote w:id="79">
    <w:p w:rsidR="00785921" w:rsidRPr="0057574C" w:rsidRDefault="00785921" w:rsidP="00126E97">
      <w:pPr>
        <w:spacing w:after="0" w:line="20" w:lineRule="atLeast"/>
        <w:jc w:val="both"/>
        <w:rPr>
          <w:rFonts w:ascii="Verdana" w:eastAsia="Calibri" w:hAnsi="Verdana" w:cs="Times New Roman"/>
          <w:lang w:val="es-CR"/>
        </w:rPr>
      </w:pPr>
      <w:r w:rsidRPr="0057574C">
        <w:rPr>
          <w:rStyle w:val="FootnoteReference"/>
          <w:rFonts w:ascii="Verdana" w:eastAsia="Calibri" w:hAnsi="Verdana"/>
          <w:sz w:val="16"/>
          <w:szCs w:val="16"/>
          <w:lang w:val="es-CR" w:eastAsia="x-none"/>
        </w:rPr>
        <w:footnoteRef/>
      </w:r>
      <w:r w:rsidRPr="0057574C">
        <w:rPr>
          <w:rFonts w:ascii="Verdana" w:hAnsi="Verdana"/>
          <w:sz w:val="16"/>
          <w:szCs w:val="16"/>
          <w:lang w:val="es-CR"/>
        </w:rPr>
        <w:t xml:space="preserve"> </w:t>
      </w:r>
      <w:r w:rsidRPr="0057574C">
        <w:rPr>
          <w:rFonts w:ascii="Verdana" w:hAnsi="Verdana"/>
          <w:i/>
          <w:sz w:val="16"/>
          <w:szCs w:val="16"/>
        </w:rPr>
        <w:t>Cfr.</w:t>
      </w:r>
      <w:r w:rsidRPr="0057574C">
        <w:rPr>
          <w:rFonts w:ascii="Verdana" w:hAnsi="Verdana"/>
          <w:sz w:val="16"/>
          <w:szCs w:val="16"/>
        </w:rPr>
        <w:t xml:space="preserve"> </w:t>
      </w:r>
      <w:r w:rsidRPr="0057574C">
        <w:rPr>
          <w:rFonts w:ascii="Verdana" w:eastAsia="Calibri" w:hAnsi="Verdana" w:cs="Times New Roman"/>
          <w:sz w:val="16"/>
          <w:szCs w:val="16"/>
        </w:rPr>
        <w:t>Recurso de amparo presentado contra la Resolución de 16 de abril de 1998 del Tribunal de Sentencia, recibido por la “Sala Duodécima de la Corte de Apelaciones” el 20 de abril de 1998 (e</w:t>
      </w:r>
      <w:r w:rsidRPr="0057574C">
        <w:rPr>
          <w:rFonts w:ascii="Verdana" w:hAnsi="Verdana"/>
          <w:sz w:val="16"/>
          <w:szCs w:val="16"/>
        </w:rPr>
        <w:t xml:space="preserve">xpediente de prueba, anexo 19 al Informe de Fondo, folios 275 a 310). En el escrito consta que la abogada señaló actuar “en representación” de Rigoberta Menchú </w:t>
      </w:r>
      <w:proofErr w:type="spellStart"/>
      <w:r w:rsidRPr="0057574C">
        <w:rPr>
          <w:rFonts w:ascii="Verdana" w:hAnsi="Verdana"/>
          <w:sz w:val="16"/>
          <w:szCs w:val="16"/>
        </w:rPr>
        <w:t>Tum</w:t>
      </w:r>
      <w:proofErr w:type="spellEnd"/>
      <w:r w:rsidRPr="0057574C">
        <w:rPr>
          <w:rFonts w:ascii="Verdana" w:hAnsi="Verdana"/>
          <w:sz w:val="16"/>
          <w:szCs w:val="16"/>
        </w:rPr>
        <w:t xml:space="preserve"> “y en [su] propio auxilio” (de la abogada), “en [su] carácter de mandataria judicial”. El escrito explica, entre los motivos para la “interposición” del amparo, el entendimiento de que el rechazo de determinadas medidas probatorias resultó en una vulneración del “derecho de defensa en juicio”.  </w:t>
      </w:r>
    </w:p>
  </w:footnote>
  <w:footnote w:id="80">
    <w:p w:rsidR="00785921" w:rsidRPr="0057574C" w:rsidRDefault="00785921" w:rsidP="00126E97">
      <w:pPr>
        <w:spacing w:after="0" w:line="20" w:lineRule="atLeast"/>
        <w:jc w:val="both"/>
        <w:rPr>
          <w:rFonts w:ascii="Verdana" w:eastAsia="Calibri" w:hAnsi="Verdana" w:cs="Times New Roman"/>
          <w:sz w:val="16"/>
          <w:szCs w:val="16"/>
          <w:lang w:val="es-CR"/>
        </w:rPr>
      </w:pPr>
      <w:r w:rsidRPr="0057574C">
        <w:rPr>
          <w:rStyle w:val="FootnoteReference"/>
          <w:rFonts w:ascii="Verdana" w:eastAsia="Calibri" w:hAnsi="Verdana"/>
          <w:sz w:val="16"/>
          <w:szCs w:val="16"/>
          <w:lang w:val="es-CR" w:eastAsia="x-none"/>
        </w:rPr>
        <w:footnoteRef/>
      </w:r>
      <w:r w:rsidRPr="0057574C">
        <w:rPr>
          <w:rFonts w:ascii="Verdana" w:hAnsi="Verdana"/>
          <w:sz w:val="16"/>
          <w:szCs w:val="16"/>
          <w:lang w:val="es-CR"/>
        </w:rPr>
        <w:t xml:space="preserve"> </w:t>
      </w:r>
      <w:r w:rsidRPr="0057574C">
        <w:rPr>
          <w:rFonts w:ascii="Verdana" w:hAnsi="Verdana"/>
          <w:i/>
          <w:sz w:val="16"/>
          <w:szCs w:val="16"/>
          <w:lang w:val="es-CR"/>
        </w:rPr>
        <w:t>Cfr.</w:t>
      </w:r>
      <w:r w:rsidRPr="0057574C">
        <w:rPr>
          <w:rFonts w:ascii="Verdana" w:hAnsi="Verdana"/>
          <w:sz w:val="16"/>
          <w:szCs w:val="16"/>
          <w:lang w:val="es-CR"/>
        </w:rPr>
        <w:t xml:space="preserve"> </w:t>
      </w:r>
      <w:r w:rsidRPr="0057574C">
        <w:rPr>
          <w:rFonts w:ascii="Verdana" w:eastAsia="Calibri" w:hAnsi="Verdana" w:cs="Times New Roman"/>
          <w:sz w:val="16"/>
          <w:szCs w:val="16"/>
          <w:lang w:val="es-CR"/>
        </w:rPr>
        <w:t>Sala Duodécima de la Corte de Apelaciones constituida en Tribunal de Amparo. Amparo 77-98. Resolución de 20 de abril de 1998</w:t>
      </w:r>
      <w:r w:rsidRPr="0057574C">
        <w:rPr>
          <w:rFonts w:ascii="Verdana" w:hAnsi="Verdana"/>
          <w:sz w:val="16"/>
          <w:szCs w:val="16"/>
          <w:lang w:val="es-CR"/>
        </w:rPr>
        <w:t xml:space="preserve"> (expediente de prueba, anexo 20 al Informe de Fondo, folios 312 y 313).</w:t>
      </w:r>
    </w:p>
  </w:footnote>
  <w:footnote w:id="81">
    <w:p w:rsidR="00785921" w:rsidRDefault="00785921" w:rsidP="00126E97">
      <w:pPr>
        <w:spacing w:after="0" w:line="20" w:lineRule="atLeast"/>
        <w:jc w:val="both"/>
        <w:rPr>
          <w:rFonts w:ascii="Times New Roman" w:eastAsia="Calibri" w:hAnsi="Times New Roman" w:cs="Times New Roman"/>
          <w:lang w:val="es-CR"/>
        </w:rPr>
      </w:pPr>
      <w:r w:rsidRPr="0057574C">
        <w:rPr>
          <w:rStyle w:val="FootnoteReference"/>
          <w:rFonts w:ascii="Verdana" w:eastAsia="Calibri" w:hAnsi="Verdana"/>
          <w:sz w:val="16"/>
          <w:szCs w:val="16"/>
          <w:lang w:val="es-CR" w:eastAsia="x-none"/>
        </w:rPr>
        <w:footnoteRef/>
      </w:r>
      <w:r w:rsidRPr="0057574C">
        <w:rPr>
          <w:rFonts w:ascii="Verdana" w:hAnsi="Verdana"/>
          <w:sz w:val="16"/>
          <w:szCs w:val="16"/>
          <w:lang w:val="es-CR"/>
        </w:rPr>
        <w:t xml:space="preserve"> </w:t>
      </w:r>
      <w:r w:rsidRPr="0057574C">
        <w:rPr>
          <w:rFonts w:ascii="Verdana" w:hAnsi="Verdana"/>
          <w:i/>
          <w:sz w:val="16"/>
          <w:szCs w:val="16"/>
          <w:lang w:val="es-CR"/>
        </w:rPr>
        <w:t>Cfr.</w:t>
      </w:r>
      <w:r w:rsidRPr="0057574C">
        <w:rPr>
          <w:rFonts w:ascii="Verdana" w:hAnsi="Verdana"/>
          <w:sz w:val="16"/>
          <w:szCs w:val="16"/>
          <w:lang w:val="es-CR"/>
        </w:rPr>
        <w:t xml:space="preserve"> Corte de Constitucionalidad. Expediente 225-98. </w:t>
      </w:r>
      <w:r w:rsidRPr="0057574C">
        <w:rPr>
          <w:rFonts w:ascii="Verdana" w:eastAsia="Calibri" w:hAnsi="Verdana" w:cs="Times New Roman"/>
          <w:sz w:val="16"/>
          <w:szCs w:val="16"/>
          <w:lang w:val="es-CR"/>
        </w:rPr>
        <w:t>Resolución de 22 de abril de 1998</w:t>
      </w:r>
      <w:r w:rsidRPr="0057574C">
        <w:rPr>
          <w:rFonts w:ascii="Verdana" w:hAnsi="Verdana"/>
          <w:sz w:val="16"/>
          <w:szCs w:val="16"/>
          <w:lang w:val="es-CR"/>
        </w:rPr>
        <w:t xml:space="preserve"> (expediente de prueba, anexo 21 al Informe de Fondo, folios 315 y 316).</w:t>
      </w:r>
    </w:p>
  </w:footnote>
  <w:footnote w:id="82">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sidRPr="00676759">
        <w:rPr>
          <w:i/>
          <w:sz w:val="16"/>
          <w:szCs w:val="16"/>
          <w:lang w:val="es-CR"/>
        </w:rPr>
        <w:t>Cfr.</w:t>
      </w:r>
      <w:r>
        <w:rPr>
          <w:sz w:val="16"/>
          <w:szCs w:val="16"/>
          <w:lang w:val="es-CR"/>
        </w:rPr>
        <w:t xml:space="preserve"> Comunicación del Estado de 30 de abril de 1998, dirigida a la Comisión Interamericana (expediente de prueba, trámite ante la Comisión, folios 1968 a 1970). </w:t>
      </w:r>
    </w:p>
  </w:footnote>
  <w:footnote w:id="83">
    <w:p w:rsidR="00785921" w:rsidRPr="0057574C" w:rsidRDefault="00785921" w:rsidP="00126E97">
      <w:pPr>
        <w:spacing w:after="0" w:line="20" w:lineRule="atLeast"/>
        <w:jc w:val="both"/>
        <w:rPr>
          <w:rFonts w:ascii="Verdana" w:hAnsi="Verdana"/>
          <w:sz w:val="16"/>
          <w:szCs w:val="16"/>
          <w:lang w:val="es-CR"/>
        </w:rPr>
      </w:pPr>
      <w:r w:rsidRPr="0057574C">
        <w:rPr>
          <w:rStyle w:val="FootnoteReference"/>
          <w:rFonts w:ascii="Verdana" w:hAnsi="Verdana"/>
          <w:sz w:val="16"/>
          <w:szCs w:val="16"/>
          <w:lang w:val="es-CR" w:eastAsia="x-none"/>
        </w:rPr>
        <w:footnoteRef/>
      </w:r>
      <w:r w:rsidRPr="0057574C">
        <w:rPr>
          <w:rFonts w:ascii="Verdana" w:hAnsi="Verdana"/>
          <w:sz w:val="16"/>
          <w:szCs w:val="16"/>
          <w:lang w:val="es-CR"/>
        </w:rPr>
        <w:t xml:space="preserve"> Además de lo señalado antes, información presentada por los peticionarios a la Comisión interamericana indica las siguientes actuaciones</w:t>
      </w:r>
      <w:r>
        <w:rPr>
          <w:rFonts w:ascii="Verdana" w:hAnsi="Verdana"/>
          <w:sz w:val="16"/>
          <w:szCs w:val="16"/>
          <w:lang w:val="es-CR"/>
        </w:rPr>
        <w:t>.</w:t>
      </w:r>
      <w:r w:rsidRPr="0057574C">
        <w:rPr>
          <w:rFonts w:ascii="Verdana" w:hAnsi="Verdana"/>
          <w:sz w:val="16"/>
          <w:szCs w:val="16"/>
          <w:lang w:val="es-CR"/>
        </w:rPr>
        <w:t xml:space="preserve"> </w:t>
      </w:r>
      <w:r w:rsidRPr="0057574C">
        <w:rPr>
          <w:rFonts w:ascii="Verdana" w:hAnsi="Verdana"/>
          <w:sz w:val="16"/>
          <w:szCs w:val="16"/>
          <w:lang w:val="es-EC"/>
        </w:rPr>
        <w:t xml:space="preserve">El 6 de marzo de 1998, como consecuencia de los convenido en una audiencia pública celebrada en la Comisión Interamericana el 26 de febrero del mismo año, representantes de COPREDEH, la Fiscal del caso y los peticionarios, tuvieron una reunión en la que surgió la “necesidad de activar ante la Corte Suprema de Justicia […] el pedido de soluciones concretas”. Luego de diversas gestiones, se les concedió audiencia con el Presidente de la Cámara Penal de la Suprema Corte de Justicia para el 17 de marzo de 1998. Ese día, no obstante, no fueron recibidos, y se les informó que ese mismo día, por la mañana, el funcionario indicado había recibido a abogados defensores de militares. Por otra parte, El 11 de marzo de 1998 la “querellante adhesiva” presentó un escrito al Tribunal de Sentencia, con peticiones para el desarrollo del debate. El mismo día, el Presidente del Tribunal de Sentencia citó a las partes a una reunión, en la que expuso problemas logísticos para la realización del debate. Adujo que había hecho presentaciones a la Suprema Corte requiriendo soluciones de infraestructura, y preguntó a las partes </w:t>
      </w:r>
      <w:proofErr w:type="spellStart"/>
      <w:r w:rsidRPr="0057574C">
        <w:rPr>
          <w:rFonts w:ascii="Verdana" w:hAnsi="Verdana"/>
          <w:sz w:val="16"/>
          <w:szCs w:val="16"/>
          <w:lang w:val="es-EC"/>
        </w:rPr>
        <w:t>si</w:t>
      </w:r>
      <w:proofErr w:type="spellEnd"/>
      <w:r w:rsidRPr="0057574C">
        <w:rPr>
          <w:rFonts w:ascii="Verdana" w:hAnsi="Verdana"/>
          <w:sz w:val="16"/>
          <w:szCs w:val="16"/>
          <w:lang w:val="es-EC"/>
        </w:rPr>
        <w:t xml:space="preserve"> podrían afrontar ciertos gastos de traslado y hospedaje de testigo, a lo que la “querellante adhesiva” respondió que tal obligación competía al Estado</w:t>
      </w:r>
      <w:r>
        <w:rPr>
          <w:rFonts w:ascii="Verdana" w:hAnsi="Verdana"/>
          <w:sz w:val="16"/>
          <w:szCs w:val="16"/>
          <w:lang w:val="es-EC"/>
        </w:rPr>
        <w:t>.</w:t>
      </w:r>
      <w:r w:rsidRPr="0057574C">
        <w:rPr>
          <w:rFonts w:ascii="Verdana" w:hAnsi="Verdana"/>
          <w:sz w:val="16"/>
          <w:szCs w:val="16"/>
          <w:lang w:val="es-EC"/>
        </w:rPr>
        <w:t xml:space="preserve"> </w:t>
      </w:r>
      <w:r>
        <w:rPr>
          <w:rFonts w:ascii="Verdana" w:hAnsi="Verdana"/>
          <w:sz w:val="16"/>
          <w:szCs w:val="16"/>
          <w:lang w:val="es-EC"/>
        </w:rPr>
        <w:t>(</w:t>
      </w:r>
      <w:r w:rsidRPr="0057574C">
        <w:rPr>
          <w:rFonts w:ascii="Verdana" w:hAnsi="Verdana"/>
          <w:i/>
          <w:sz w:val="16"/>
          <w:szCs w:val="16"/>
          <w:lang w:val="es-EC"/>
        </w:rPr>
        <w:t>Cfr.</w:t>
      </w:r>
      <w:r w:rsidRPr="0057574C">
        <w:rPr>
          <w:rFonts w:ascii="Verdana" w:hAnsi="Verdana"/>
          <w:sz w:val="16"/>
          <w:szCs w:val="16"/>
          <w:lang w:val="es-EC"/>
        </w:rPr>
        <w:t xml:space="preserve"> </w:t>
      </w:r>
      <w:r w:rsidRPr="0057574C">
        <w:rPr>
          <w:rFonts w:ascii="Verdana" w:hAnsi="Verdana"/>
          <w:sz w:val="16"/>
          <w:szCs w:val="16"/>
          <w:lang w:val="es-CR"/>
        </w:rPr>
        <w:t>Comunicación de los peticionarios de 23 de marzo de 1998, dirigida a la Comisión Interamericana, y documentación anexa</w:t>
      </w:r>
      <w:r>
        <w:rPr>
          <w:rFonts w:ascii="Verdana" w:hAnsi="Verdana"/>
          <w:sz w:val="16"/>
          <w:szCs w:val="16"/>
          <w:lang w:val="es-CR"/>
        </w:rPr>
        <w:t xml:space="preserve">, </w:t>
      </w:r>
      <w:r w:rsidRPr="00990E65">
        <w:rPr>
          <w:rFonts w:ascii="Verdana" w:hAnsi="Verdana"/>
          <w:i/>
          <w:sz w:val="16"/>
          <w:szCs w:val="16"/>
          <w:lang w:val="es-CR"/>
        </w:rPr>
        <w:t>supra</w:t>
      </w:r>
      <w:r w:rsidRPr="0057574C">
        <w:rPr>
          <w:rFonts w:ascii="Verdana" w:hAnsi="Verdana"/>
          <w:sz w:val="16"/>
          <w:szCs w:val="16"/>
          <w:lang w:val="es-CR"/>
        </w:rPr>
        <w:t>.</w:t>
      </w:r>
      <w:r>
        <w:rPr>
          <w:rFonts w:ascii="Verdana" w:hAnsi="Verdana"/>
          <w:sz w:val="16"/>
          <w:szCs w:val="16"/>
          <w:lang w:val="es-CR"/>
        </w:rPr>
        <w:t>)</w:t>
      </w:r>
      <w:r w:rsidRPr="0057574C">
        <w:rPr>
          <w:rFonts w:ascii="Verdana" w:hAnsi="Verdana"/>
          <w:sz w:val="16"/>
          <w:szCs w:val="16"/>
          <w:lang w:val="es-CR"/>
        </w:rPr>
        <w:t xml:space="preserve"> </w:t>
      </w:r>
    </w:p>
  </w:footnote>
  <w:footnote w:id="84">
    <w:p w:rsidR="00785921" w:rsidRPr="0057574C" w:rsidRDefault="00785921" w:rsidP="00126E97">
      <w:pPr>
        <w:spacing w:after="0" w:line="20" w:lineRule="atLeast"/>
        <w:jc w:val="both"/>
        <w:rPr>
          <w:rFonts w:ascii="Verdana" w:hAnsi="Verdana"/>
          <w:sz w:val="16"/>
          <w:szCs w:val="16"/>
          <w:lang w:val="es-CR"/>
        </w:rPr>
      </w:pPr>
      <w:r w:rsidRPr="0057574C">
        <w:rPr>
          <w:rStyle w:val="FootnoteReference"/>
          <w:rFonts w:ascii="Verdana" w:hAnsi="Verdana"/>
          <w:sz w:val="16"/>
          <w:szCs w:val="16"/>
          <w:lang w:val="es-CR" w:eastAsia="x-none"/>
        </w:rPr>
        <w:footnoteRef/>
      </w:r>
      <w:r w:rsidRPr="0057574C">
        <w:rPr>
          <w:rFonts w:ascii="Verdana" w:hAnsi="Verdana"/>
          <w:sz w:val="16"/>
          <w:szCs w:val="16"/>
          <w:lang w:val="es-CR"/>
        </w:rPr>
        <w:t xml:space="preserve"> </w:t>
      </w:r>
      <w:r w:rsidRPr="0057574C">
        <w:rPr>
          <w:rFonts w:ascii="Verdana" w:hAnsi="Verdana"/>
          <w:i/>
          <w:sz w:val="16"/>
          <w:szCs w:val="16"/>
          <w:lang w:val="es-EC"/>
        </w:rPr>
        <w:t xml:space="preserve">Cfr. </w:t>
      </w:r>
      <w:r w:rsidRPr="0057574C">
        <w:rPr>
          <w:rFonts w:ascii="Verdana" w:hAnsi="Verdana"/>
          <w:bCs/>
          <w:color w:val="000000"/>
          <w:sz w:val="16"/>
          <w:szCs w:val="16"/>
          <w:lang w:val="es-CR"/>
        </w:rPr>
        <w:t>Comunicación de los peticionarios de 10 de agosto de 1998, dirigida a la Comisión Interam</w:t>
      </w:r>
      <w:r>
        <w:rPr>
          <w:rFonts w:ascii="Verdana" w:hAnsi="Verdana"/>
          <w:bCs/>
          <w:color w:val="000000"/>
          <w:sz w:val="16"/>
          <w:szCs w:val="16"/>
          <w:lang w:val="es-CR"/>
        </w:rPr>
        <w:t>ericana (expediente de prueba, a</w:t>
      </w:r>
      <w:r w:rsidRPr="0057574C">
        <w:rPr>
          <w:rFonts w:ascii="Verdana" w:hAnsi="Verdana"/>
          <w:bCs/>
          <w:color w:val="000000"/>
          <w:sz w:val="16"/>
          <w:szCs w:val="16"/>
          <w:lang w:val="es-CR"/>
        </w:rPr>
        <w:t xml:space="preserve">nexo 22 al </w:t>
      </w:r>
      <w:r>
        <w:rPr>
          <w:rFonts w:ascii="Verdana" w:hAnsi="Verdana"/>
          <w:bCs/>
          <w:color w:val="000000"/>
          <w:sz w:val="16"/>
          <w:szCs w:val="16"/>
          <w:lang w:val="es-CR"/>
        </w:rPr>
        <w:t>I</w:t>
      </w:r>
      <w:r w:rsidRPr="0057574C">
        <w:rPr>
          <w:rFonts w:ascii="Verdana" w:hAnsi="Verdana"/>
          <w:bCs/>
          <w:color w:val="000000"/>
          <w:sz w:val="16"/>
          <w:szCs w:val="16"/>
          <w:lang w:val="es-CR"/>
        </w:rPr>
        <w:t>nforme de Fondo, folios 318 a 323).</w:t>
      </w:r>
    </w:p>
  </w:footnote>
  <w:footnote w:id="85">
    <w:p w:rsidR="00785921" w:rsidRPr="00637508" w:rsidRDefault="00785921" w:rsidP="00126E97">
      <w:pPr>
        <w:pStyle w:val="FootnoteText"/>
        <w:spacing w:line="20" w:lineRule="atLeast"/>
        <w:rPr>
          <w:lang w:val="es-CR"/>
        </w:rPr>
      </w:pPr>
      <w:r w:rsidRPr="0057574C">
        <w:rPr>
          <w:rStyle w:val="FootnoteReference"/>
          <w:sz w:val="16"/>
          <w:szCs w:val="16"/>
          <w:lang w:eastAsia="x-none"/>
        </w:rPr>
        <w:footnoteRef/>
      </w:r>
      <w:r w:rsidRPr="0057574C">
        <w:rPr>
          <w:sz w:val="16"/>
          <w:szCs w:val="16"/>
          <w:lang w:val="es-CR"/>
        </w:rPr>
        <w:t xml:space="preserve"> Los peticionaros señalaron a la Comisión</w:t>
      </w:r>
      <w:r>
        <w:rPr>
          <w:sz w:val="16"/>
          <w:szCs w:val="16"/>
          <w:lang w:val="es-CR"/>
        </w:rPr>
        <w:t xml:space="preserve"> Interamericana </w:t>
      </w:r>
      <w:r w:rsidRPr="00637508">
        <w:rPr>
          <w:sz w:val="16"/>
          <w:szCs w:val="16"/>
          <w:lang w:val="es-CR"/>
        </w:rPr>
        <w:t>que e</w:t>
      </w:r>
      <w:r>
        <w:rPr>
          <w:sz w:val="16"/>
          <w:szCs w:val="16"/>
          <w:lang w:val="es-CR"/>
        </w:rPr>
        <w:t xml:space="preserve">l 23 de julio de 1998 se notificó que “se </w:t>
      </w:r>
      <w:proofErr w:type="gramStart"/>
      <w:r>
        <w:rPr>
          <w:sz w:val="16"/>
          <w:szCs w:val="16"/>
          <w:lang w:val="es-CR"/>
        </w:rPr>
        <w:t>integra[</w:t>
      </w:r>
      <w:proofErr w:type="gramEnd"/>
      <w:r>
        <w:rPr>
          <w:sz w:val="16"/>
          <w:szCs w:val="16"/>
          <w:lang w:val="es-CR"/>
        </w:rPr>
        <w:t xml:space="preserve">ría] el tribunal con los jueces vocales del tribunal de </w:t>
      </w:r>
      <w:proofErr w:type="spellStart"/>
      <w:r>
        <w:rPr>
          <w:sz w:val="16"/>
          <w:szCs w:val="16"/>
          <w:lang w:val="es-CR"/>
        </w:rPr>
        <w:t>Salama</w:t>
      </w:r>
      <w:proofErr w:type="spellEnd"/>
      <w:r>
        <w:rPr>
          <w:sz w:val="16"/>
          <w:szCs w:val="16"/>
          <w:lang w:val="es-CR"/>
        </w:rPr>
        <w:t>”.</w:t>
      </w:r>
      <w:r>
        <w:rPr>
          <w:lang w:val="es-CR"/>
        </w:rPr>
        <w:t xml:space="preserve"> </w:t>
      </w:r>
      <w:r>
        <w:rPr>
          <w:sz w:val="16"/>
          <w:szCs w:val="16"/>
          <w:lang w:val="es-EC"/>
        </w:rPr>
        <w:t xml:space="preserve">No obstante, también indicaron que para el 8 de agosto de 1998 todavía “no se [había] iniciado el </w:t>
      </w:r>
      <w:proofErr w:type="spellStart"/>
      <w:r>
        <w:rPr>
          <w:sz w:val="16"/>
          <w:szCs w:val="16"/>
          <w:lang w:val="es-EC"/>
        </w:rPr>
        <w:t>tr</w:t>
      </w:r>
      <w:proofErr w:type="spellEnd"/>
      <w:r>
        <w:rPr>
          <w:sz w:val="16"/>
          <w:szCs w:val="16"/>
          <w:lang w:val="es-EC"/>
        </w:rPr>
        <w:t>[á]mite respectivo” a la recusación presentada el 8 de junio de ese año.</w:t>
      </w:r>
      <w:r>
        <w:rPr>
          <w:b/>
          <w:sz w:val="16"/>
          <w:szCs w:val="16"/>
          <w:lang w:val="es-EC"/>
        </w:rPr>
        <w:t xml:space="preserve"> </w:t>
      </w:r>
      <w:r w:rsidRPr="00990E65">
        <w:rPr>
          <w:sz w:val="16"/>
          <w:szCs w:val="16"/>
          <w:lang w:val="es-EC"/>
        </w:rPr>
        <w:t>(</w:t>
      </w:r>
      <w:r>
        <w:rPr>
          <w:i/>
          <w:sz w:val="16"/>
          <w:szCs w:val="16"/>
          <w:lang w:val="es-EC"/>
        </w:rPr>
        <w:t xml:space="preserve">Cfr. </w:t>
      </w:r>
      <w:r w:rsidRPr="00637508">
        <w:rPr>
          <w:bCs/>
          <w:color w:val="000000"/>
          <w:sz w:val="16"/>
          <w:szCs w:val="16"/>
          <w:lang w:val="es-CR"/>
        </w:rPr>
        <w:t>Comunicación de los peticionarios de 10 de agosto de 1998</w:t>
      </w:r>
      <w:r>
        <w:rPr>
          <w:bCs/>
          <w:color w:val="000000"/>
          <w:sz w:val="16"/>
          <w:szCs w:val="16"/>
          <w:lang w:val="es-CR"/>
        </w:rPr>
        <w:t xml:space="preserve">, dirigida a la Comisión Interamericana, </w:t>
      </w:r>
      <w:r w:rsidRPr="00990E65">
        <w:rPr>
          <w:bCs/>
          <w:i/>
          <w:color w:val="000000"/>
          <w:sz w:val="16"/>
          <w:szCs w:val="16"/>
          <w:lang w:val="es-CR"/>
        </w:rPr>
        <w:t>supra</w:t>
      </w:r>
      <w:r w:rsidRPr="00637508">
        <w:rPr>
          <w:bCs/>
          <w:color w:val="000000"/>
          <w:sz w:val="16"/>
          <w:szCs w:val="16"/>
          <w:lang w:val="es-CR"/>
        </w:rPr>
        <w:t>.</w:t>
      </w:r>
      <w:r>
        <w:rPr>
          <w:bCs/>
          <w:color w:val="000000"/>
          <w:sz w:val="16"/>
          <w:szCs w:val="16"/>
          <w:lang w:val="es-CR"/>
        </w:rPr>
        <w:t>)</w:t>
      </w:r>
    </w:p>
  </w:footnote>
  <w:footnote w:id="86">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Comunicación de los peticionarios de 7 de septiembre de 1998, dirigida a la Comisión Interamericana (expediente de prueba, trámite ante la Comisión, folios 1960 y 1961).</w:t>
      </w:r>
    </w:p>
  </w:footnote>
  <w:footnote w:id="87">
    <w:p w:rsidR="00785921" w:rsidRPr="00FB5ADE" w:rsidRDefault="00785921" w:rsidP="00126E97">
      <w:pPr>
        <w:pStyle w:val="FootnoteText"/>
        <w:spacing w:line="20" w:lineRule="atLeast"/>
        <w:rPr>
          <w:i/>
          <w:sz w:val="16"/>
          <w:szCs w:val="16"/>
          <w:lang w:val="es-CR"/>
        </w:rPr>
      </w:pPr>
      <w:r w:rsidRPr="00FB5ADE">
        <w:rPr>
          <w:rStyle w:val="FootnoteReference"/>
          <w:sz w:val="16"/>
          <w:szCs w:val="16"/>
          <w:lang w:val="es-CR" w:eastAsia="x-none"/>
        </w:rPr>
        <w:footnoteRef/>
      </w:r>
      <w:r w:rsidRPr="00FB5ADE">
        <w:rPr>
          <w:sz w:val="16"/>
          <w:szCs w:val="16"/>
          <w:lang w:val="es-CR"/>
        </w:rPr>
        <w:t xml:space="preserve"> </w:t>
      </w:r>
      <w:r>
        <w:rPr>
          <w:sz w:val="16"/>
          <w:szCs w:val="16"/>
          <w:lang w:val="es-CR"/>
        </w:rPr>
        <w:t xml:space="preserve">El 14 de octubre de 1998 los peticionarios remitieron a la Comisión una copia de la carta de renuncia suscrita por el Fiscal. En ella, él adujo, entre otras consideraciones, problemas con el pago de viáticos, falta de respuesta a pedidos de audiencia por parte del Fiscal General y recorte de personal. </w:t>
      </w:r>
      <w:r w:rsidRPr="00FB5ADE">
        <w:rPr>
          <w:i/>
          <w:sz w:val="16"/>
          <w:szCs w:val="16"/>
          <w:lang w:val="es-CR"/>
        </w:rPr>
        <w:t xml:space="preserve">Cfr. </w:t>
      </w:r>
      <w:r>
        <w:rPr>
          <w:sz w:val="16"/>
          <w:szCs w:val="16"/>
          <w:lang w:val="es-CR"/>
        </w:rPr>
        <w:t>Comunicación de los peticionarios a la Comisión de 14 de octubre de 1998 y anexo (expediente de prueba, trámite ante la Comisión, folios. 1943 a 1948). También el Estado informó a la Comisión el hecho (</w:t>
      </w:r>
      <w:r w:rsidRPr="00FB5ADE">
        <w:rPr>
          <w:i/>
          <w:sz w:val="16"/>
          <w:szCs w:val="16"/>
          <w:lang w:val="es-CR"/>
        </w:rPr>
        <w:t>cfr.</w:t>
      </w:r>
      <w:r>
        <w:rPr>
          <w:sz w:val="16"/>
          <w:szCs w:val="16"/>
          <w:lang w:val="es-CR"/>
        </w:rPr>
        <w:t xml:space="preserve"> Comunicación del Estado de 1 de diciembre de 1998 (expediente de prueba, anexo 23 al Informe de Fondo, folios. 325 y 326). </w:t>
      </w:r>
      <w:r w:rsidRPr="00FB5ADE">
        <w:rPr>
          <w:sz w:val="16"/>
          <w:szCs w:val="16"/>
          <w:lang w:val="es-CR"/>
        </w:rPr>
        <w:t>No obstante, el Estado dijo que constató que el Fiscal sí recibía “apoyo institucional”.</w:t>
      </w:r>
    </w:p>
  </w:footnote>
  <w:footnote w:id="88">
    <w:p w:rsidR="00785921" w:rsidRPr="00FB5ADE" w:rsidRDefault="00785921" w:rsidP="00126E97">
      <w:pPr>
        <w:pStyle w:val="FootnoteText"/>
        <w:spacing w:line="20" w:lineRule="atLeast"/>
        <w:rPr>
          <w:sz w:val="16"/>
          <w:szCs w:val="16"/>
          <w:lang w:val="es-CR"/>
        </w:rPr>
      </w:pPr>
      <w:r w:rsidRPr="00FB5ADE">
        <w:rPr>
          <w:rStyle w:val="FootnoteReference"/>
          <w:sz w:val="16"/>
          <w:szCs w:val="16"/>
        </w:rPr>
        <w:footnoteRef/>
      </w:r>
      <w:r w:rsidRPr="00FB5ADE">
        <w:rPr>
          <w:sz w:val="16"/>
          <w:szCs w:val="16"/>
          <w:lang w:val="es-CR"/>
        </w:rPr>
        <w:t xml:space="preserve"> </w:t>
      </w:r>
      <w:r w:rsidRPr="00FB5ADE">
        <w:rPr>
          <w:i/>
          <w:sz w:val="16"/>
          <w:szCs w:val="16"/>
          <w:lang w:val="es-CR"/>
        </w:rPr>
        <w:t>Cfr</w:t>
      </w:r>
      <w:r w:rsidRPr="00FB5ADE">
        <w:rPr>
          <w:sz w:val="16"/>
          <w:szCs w:val="16"/>
          <w:lang w:val="es-CR"/>
        </w:rPr>
        <w:t xml:space="preserve">. CEH, Guatemala: Memoria del Silencio, </w:t>
      </w:r>
      <w:r w:rsidRPr="00FB5ADE">
        <w:rPr>
          <w:i/>
          <w:sz w:val="16"/>
          <w:szCs w:val="16"/>
          <w:lang w:val="es-CR"/>
        </w:rPr>
        <w:t>supra</w:t>
      </w:r>
      <w:r w:rsidRPr="00FB5ADE">
        <w:rPr>
          <w:sz w:val="16"/>
          <w:szCs w:val="16"/>
          <w:lang w:val="es-CR"/>
        </w:rPr>
        <w:t xml:space="preserve">, Tomo VI, Casos Ilustrativos, Anexo 1, Caso Ilustrativo 3: Masacre de </w:t>
      </w:r>
      <w:proofErr w:type="spellStart"/>
      <w:r w:rsidRPr="00FB5ADE">
        <w:rPr>
          <w:sz w:val="16"/>
          <w:szCs w:val="16"/>
          <w:lang w:val="es-CR"/>
        </w:rPr>
        <w:t>Xamán</w:t>
      </w:r>
      <w:proofErr w:type="spellEnd"/>
      <w:r w:rsidRPr="00FB5ADE">
        <w:rPr>
          <w:sz w:val="16"/>
          <w:szCs w:val="16"/>
          <w:lang w:val="es-CR"/>
        </w:rPr>
        <w:t>, pág. 42.</w:t>
      </w:r>
    </w:p>
  </w:footnote>
  <w:footnote w:id="89">
    <w:p w:rsidR="00785921" w:rsidRPr="00FB5ADE" w:rsidRDefault="00785921" w:rsidP="00126E97">
      <w:pPr>
        <w:pStyle w:val="FootnoteText"/>
        <w:spacing w:line="20" w:lineRule="atLeast"/>
        <w:rPr>
          <w:sz w:val="16"/>
          <w:szCs w:val="16"/>
          <w:lang w:val="es-CR"/>
        </w:rPr>
      </w:pPr>
      <w:r w:rsidRPr="00FB5ADE">
        <w:rPr>
          <w:rStyle w:val="FootnoteReference"/>
          <w:sz w:val="16"/>
          <w:szCs w:val="16"/>
          <w:lang w:val="es-CR" w:eastAsia="x-none"/>
        </w:rPr>
        <w:footnoteRef/>
      </w:r>
      <w:r w:rsidRPr="00FB5ADE">
        <w:rPr>
          <w:sz w:val="16"/>
          <w:szCs w:val="16"/>
          <w:lang w:val="es-CR"/>
        </w:rPr>
        <w:t xml:space="preserve"> </w:t>
      </w:r>
      <w:r w:rsidRPr="00FB5ADE">
        <w:rPr>
          <w:i/>
          <w:sz w:val="16"/>
          <w:szCs w:val="16"/>
          <w:lang w:val="es-CR"/>
        </w:rPr>
        <w:t xml:space="preserve">Cfr. </w:t>
      </w:r>
      <w:r w:rsidRPr="00FB5ADE">
        <w:rPr>
          <w:sz w:val="16"/>
          <w:szCs w:val="16"/>
          <w:lang w:val="es-CR"/>
        </w:rPr>
        <w:t>Comunicación del Estado de 1 de diciembre de 1998, dirigida a la Comisión Interamericana</w:t>
      </w:r>
      <w:r>
        <w:rPr>
          <w:sz w:val="16"/>
          <w:szCs w:val="16"/>
          <w:lang w:val="es-CR"/>
        </w:rPr>
        <w:t xml:space="preserve">, </w:t>
      </w:r>
      <w:r w:rsidRPr="00990E65">
        <w:rPr>
          <w:i/>
          <w:sz w:val="16"/>
          <w:szCs w:val="16"/>
          <w:lang w:val="es-CR"/>
        </w:rPr>
        <w:t>supra</w:t>
      </w:r>
      <w:r>
        <w:rPr>
          <w:sz w:val="16"/>
          <w:szCs w:val="16"/>
          <w:lang w:val="es-CR"/>
        </w:rPr>
        <w:t>.</w:t>
      </w:r>
    </w:p>
  </w:footnote>
  <w:footnote w:id="90">
    <w:p w:rsidR="00785921" w:rsidRPr="00FB5ADE" w:rsidRDefault="00785921" w:rsidP="00126E97">
      <w:pPr>
        <w:pStyle w:val="FootnoteText"/>
        <w:spacing w:line="20" w:lineRule="atLeast"/>
        <w:rPr>
          <w:sz w:val="16"/>
          <w:szCs w:val="16"/>
          <w:lang w:val="es-CR"/>
        </w:rPr>
      </w:pPr>
      <w:r w:rsidRPr="00FB5ADE">
        <w:rPr>
          <w:rStyle w:val="FootnoteReference"/>
          <w:sz w:val="16"/>
          <w:szCs w:val="16"/>
        </w:rPr>
        <w:footnoteRef/>
      </w:r>
      <w:r w:rsidRPr="00FB5ADE">
        <w:rPr>
          <w:sz w:val="16"/>
          <w:szCs w:val="16"/>
          <w:lang w:val="es-CR"/>
        </w:rPr>
        <w:t xml:space="preserve"> </w:t>
      </w:r>
      <w:r w:rsidRPr="00FB5ADE">
        <w:rPr>
          <w:i/>
          <w:sz w:val="16"/>
          <w:szCs w:val="16"/>
          <w:lang w:val="es-CR"/>
        </w:rPr>
        <w:t xml:space="preserve">Cfr. </w:t>
      </w:r>
      <w:r w:rsidRPr="00FB5ADE">
        <w:rPr>
          <w:sz w:val="16"/>
          <w:szCs w:val="16"/>
          <w:lang w:val="es-CR"/>
        </w:rPr>
        <w:t>Comunicación del Estado de 1 de diciembre de 1998, dirigida a la Comisión Interamericana</w:t>
      </w:r>
      <w:r>
        <w:rPr>
          <w:sz w:val="16"/>
          <w:szCs w:val="16"/>
          <w:lang w:val="es-CR"/>
        </w:rPr>
        <w:t xml:space="preserve">, </w:t>
      </w:r>
      <w:r w:rsidRPr="00990E65">
        <w:rPr>
          <w:i/>
          <w:sz w:val="16"/>
          <w:szCs w:val="16"/>
          <w:lang w:val="es-CR"/>
        </w:rPr>
        <w:t>supra</w:t>
      </w:r>
      <w:r>
        <w:rPr>
          <w:sz w:val="16"/>
          <w:szCs w:val="16"/>
          <w:lang w:val="es-CR"/>
        </w:rPr>
        <w:t>.</w:t>
      </w:r>
    </w:p>
  </w:footnote>
  <w:footnote w:id="91">
    <w:p w:rsidR="00785921" w:rsidRPr="0057574C" w:rsidRDefault="00785921" w:rsidP="00126E97">
      <w:pPr>
        <w:spacing w:after="0" w:line="20" w:lineRule="atLeast"/>
        <w:ind w:right="-138"/>
        <w:jc w:val="both"/>
        <w:rPr>
          <w:rFonts w:ascii="Verdana" w:hAnsi="Verdana"/>
          <w:sz w:val="16"/>
          <w:szCs w:val="16"/>
          <w:lang w:val="es-CR"/>
        </w:rPr>
      </w:pPr>
      <w:r w:rsidRPr="00FB5ADE">
        <w:rPr>
          <w:rStyle w:val="FootnoteReference"/>
          <w:rFonts w:ascii="Verdana" w:hAnsi="Verdana"/>
          <w:sz w:val="16"/>
          <w:szCs w:val="16"/>
          <w:lang w:eastAsia="x-none"/>
        </w:rPr>
        <w:footnoteRef/>
      </w:r>
      <w:r w:rsidRPr="00FB5ADE">
        <w:rPr>
          <w:rFonts w:ascii="Verdana" w:hAnsi="Verdana"/>
          <w:sz w:val="16"/>
          <w:szCs w:val="16"/>
          <w:lang w:val="es-CR"/>
        </w:rPr>
        <w:t xml:space="preserve"> </w:t>
      </w:r>
      <w:r w:rsidRPr="00FB5ADE">
        <w:rPr>
          <w:rFonts w:ascii="Verdana" w:hAnsi="Verdana"/>
          <w:i/>
          <w:sz w:val="16"/>
          <w:szCs w:val="16"/>
          <w:lang w:val="es-CR"/>
        </w:rPr>
        <w:t>Cfr</w:t>
      </w:r>
      <w:r w:rsidRPr="0057574C">
        <w:rPr>
          <w:rFonts w:ascii="Verdana" w:hAnsi="Verdana"/>
          <w:i/>
          <w:sz w:val="16"/>
          <w:szCs w:val="16"/>
          <w:lang w:val="es-CR"/>
        </w:rPr>
        <w:t>.</w:t>
      </w:r>
      <w:r w:rsidRPr="0057574C">
        <w:rPr>
          <w:rFonts w:ascii="Verdana" w:hAnsi="Verdana"/>
          <w:sz w:val="16"/>
          <w:szCs w:val="16"/>
          <w:lang w:val="es-CR"/>
        </w:rPr>
        <w:t xml:space="preserve"> Acta de verificación de debate de 25 de noviembre de 1998</w:t>
      </w:r>
      <w:r>
        <w:rPr>
          <w:rFonts w:ascii="Verdana" w:hAnsi="Verdana"/>
          <w:sz w:val="16"/>
          <w:szCs w:val="16"/>
          <w:lang w:val="es-CR"/>
        </w:rPr>
        <w:t xml:space="preserve">, </w:t>
      </w:r>
      <w:r>
        <w:rPr>
          <w:rFonts w:ascii="Verdana" w:hAnsi="Verdana"/>
          <w:i/>
          <w:sz w:val="16"/>
          <w:szCs w:val="16"/>
          <w:lang w:val="es-CR"/>
        </w:rPr>
        <w:t>supra</w:t>
      </w:r>
      <w:r w:rsidRPr="0057574C">
        <w:rPr>
          <w:rFonts w:ascii="Verdana" w:hAnsi="Verdana"/>
          <w:sz w:val="16"/>
          <w:szCs w:val="16"/>
          <w:lang w:val="es-CR"/>
        </w:rPr>
        <w:t>.</w:t>
      </w:r>
    </w:p>
  </w:footnote>
  <w:footnote w:id="92">
    <w:p w:rsidR="00785921" w:rsidRPr="0057574C" w:rsidRDefault="00785921" w:rsidP="00126E97">
      <w:pPr>
        <w:pStyle w:val="FootnoteText"/>
        <w:spacing w:line="20" w:lineRule="atLeast"/>
        <w:rPr>
          <w:strike/>
          <w:sz w:val="16"/>
          <w:szCs w:val="16"/>
          <w:lang w:val="es-CR"/>
        </w:rPr>
      </w:pPr>
      <w:r w:rsidRPr="0057574C">
        <w:rPr>
          <w:rStyle w:val="FootnoteReference"/>
          <w:sz w:val="16"/>
          <w:szCs w:val="16"/>
          <w:lang w:val="es-CR" w:eastAsia="x-none"/>
        </w:rPr>
        <w:footnoteRef/>
      </w:r>
      <w:r w:rsidRPr="0057574C">
        <w:rPr>
          <w:sz w:val="16"/>
          <w:szCs w:val="16"/>
          <w:lang w:val="es-CR"/>
        </w:rPr>
        <w:t xml:space="preserve"> </w:t>
      </w:r>
      <w:r w:rsidRPr="00CC7B08">
        <w:rPr>
          <w:i/>
          <w:sz w:val="16"/>
          <w:szCs w:val="16"/>
          <w:lang w:val="es-CR"/>
        </w:rPr>
        <w:t xml:space="preserve">Cfr. </w:t>
      </w:r>
      <w:r w:rsidRPr="0057574C">
        <w:rPr>
          <w:sz w:val="16"/>
          <w:szCs w:val="16"/>
          <w:lang w:val="es-CR"/>
        </w:rPr>
        <w:t xml:space="preserve">Comunicación de los peticionarios de 4 de marzo de 1999, dirigida a la Comisión Interamericana </w:t>
      </w:r>
      <w:r>
        <w:rPr>
          <w:sz w:val="16"/>
          <w:szCs w:val="16"/>
          <w:lang w:val="es-CR"/>
        </w:rPr>
        <w:t xml:space="preserve">(expediente de prueba, anexo 25 al Informe de Fondo, folios 703 a 767) </w:t>
      </w:r>
      <w:r w:rsidRPr="0057574C">
        <w:rPr>
          <w:sz w:val="16"/>
          <w:szCs w:val="16"/>
          <w:lang w:val="es-CR"/>
        </w:rPr>
        <w:t>y Acta de verificación</w:t>
      </w:r>
      <w:r>
        <w:rPr>
          <w:sz w:val="16"/>
          <w:szCs w:val="16"/>
          <w:lang w:val="es-CR"/>
        </w:rPr>
        <w:t xml:space="preserve"> de debate de 25 de noviembre de 1998, </w:t>
      </w:r>
      <w:r w:rsidRPr="007F44F4">
        <w:rPr>
          <w:i/>
          <w:sz w:val="16"/>
          <w:szCs w:val="16"/>
          <w:lang w:val="es-CR"/>
        </w:rPr>
        <w:t>supra</w:t>
      </w:r>
      <w:r>
        <w:rPr>
          <w:sz w:val="16"/>
          <w:szCs w:val="16"/>
          <w:lang w:val="es-CR"/>
        </w:rPr>
        <w:t xml:space="preserve">. </w:t>
      </w:r>
      <w:r w:rsidRPr="00C03C13">
        <w:rPr>
          <w:sz w:val="16"/>
          <w:szCs w:val="16"/>
          <w:lang w:val="es-CR"/>
        </w:rPr>
        <w:t xml:space="preserve">Los peticionarios señalaron que el Tribunal no permitió a la señora Menchú presentar observaciones y que ella sostuvo que “en nombre de la justicia en Guatemala, y para no dar lugar a la impunidad en este país nos retiramos de este tribunal, y nos </w:t>
      </w:r>
      <w:r w:rsidRPr="0057574C">
        <w:rPr>
          <w:sz w:val="16"/>
          <w:szCs w:val="16"/>
          <w:lang w:val="es-CR"/>
        </w:rPr>
        <w:t>retiramos para decirles señores miembros de este tribunal, que no vamos a deponer nuestra actitud de búsqueda de justicia. […N</w:t>
      </w:r>
      <w:proofErr w:type="gramStart"/>
      <w:r w:rsidRPr="0057574C">
        <w:rPr>
          <w:sz w:val="16"/>
          <w:szCs w:val="16"/>
          <w:lang w:val="es-CR"/>
        </w:rPr>
        <w:t>]o</w:t>
      </w:r>
      <w:proofErr w:type="gramEnd"/>
      <w:r w:rsidRPr="0057574C">
        <w:rPr>
          <w:sz w:val="16"/>
          <w:szCs w:val="16"/>
          <w:lang w:val="es-CR"/>
        </w:rPr>
        <w:t xml:space="preserve"> somos nosotros quienes vamos a convalidar un tribunal parcializado”. </w:t>
      </w:r>
      <w:r w:rsidRPr="0057574C">
        <w:rPr>
          <w:strike/>
          <w:sz w:val="16"/>
          <w:szCs w:val="16"/>
          <w:lang w:val="es-CR"/>
        </w:rPr>
        <w:t xml:space="preserve">  </w:t>
      </w:r>
    </w:p>
  </w:footnote>
  <w:footnote w:id="93">
    <w:p w:rsidR="00785921" w:rsidRPr="0057574C" w:rsidRDefault="00785921" w:rsidP="00126E97">
      <w:pPr>
        <w:spacing w:after="0" w:line="20" w:lineRule="atLeast"/>
        <w:ind w:right="-138"/>
        <w:rPr>
          <w:sz w:val="16"/>
          <w:szCs w:val="16"/>
          <w:lang w:val="es-CR"/>
        </w:rPr>
      </w:pPr>
      <w:r w:rsidRPr="0057574C">
        <w:rPr>
          <w:rStyle w:val="FootnoteReference"/>
          <w:rFonts w:ascii="Verdana" w:hAnsi="Verdana"/>
          <w:sz w:val="16"/>
          <w:szCs w:val="16"/>
          <w:lang w:eastAsia="x-none"/>
        </w:rPr>
        <w:footnoteRef/>
      </w:r>
      <w:r w:rsidRPr="0057574C">
        <w:rPr>
          <w:rFonts w:ascii="Verdana" w:hAnsi="Verdana"/>
          <w:sz w:val="16"/>
          <w:szCs w:val="16"/>
          <w:lang w:val="es-CR"/>
        </w:rPr>
        <w:t xml:space="preserve"> </w:t>
      </w:r>
      <w:r w:rsidRPr="00CC7B08">
        <w:rPr>
          <w:rFonts w:ascii="Verdana" w:hAnsi="Verdana"/>
          <w:i/>
          <w:sz w:val="16"/>
          <w:szCs w:val="16"/>
          <w:lang w:val="es-CR"/>
        </w:rPr>
        <w:t>Cfr.</w:t>
      </w:r>
      <w:r>
        <w:rPr>
          <w:rFonts w:ascii="Verdana" w:hAnsi="Verdana"/>
          <w:sz w:val="16"/>
          <w:szCs w:val="16"/>
          <w:lang w:val="es-CR"/>
        </w:rPr>
        <w:t xml:space="preserve"> </w:t>
      </w:r>
      <w:r w:rsidRPr="0057574C">
        <w:rPr>
          <w:rFonts w:ascii="Verdana" w:hAnsi="Verdana"/>
          <w:sz w:val="16"/>
          <w:szCs w:val="16"/>
          <w:lang w:val="es-CR"/>
        </w:rPr>
        <w:t>Acta de verificación de deb</w:t>
      </w:r>
      <w:r>
        <w:rPr>
          <w:rFonts w:ascii="Verdana" w:hAnsi="Verdana"/>
          <w:sz w:val="16"/>
          <w:szCs w:val="16"/>
          <w:lang w:val="es-CR"/>
        </w:rPr>
        <w:t xml:space="preserve">ate de 25 de noviembre de 1998, </w:t>
      </w:r>
      <w:r w:rsidRPr="007F44F4">
        <w:rPr>
          <w:rFonts w:ascii="Verdana" w:hAnsi="Verdana"/>
          <w:i/>
          <w:sz w:val="16"/>
          <w:szCs w:val="16"/>
          <w:lang w:val="es-CR"/>
        </w:rPr>
        <w:t>supra</w:t>
      </w:r>
      <w:r w:rsidRPr="0057574C">
        <w:rPr>
          <w:rFonts w:ascii="Verdana" w:hAnsi="Verdana"/>
          <w:sz w:val="16"/>
          <w:szCs w:val="16"/>
          <w:lang w:val="es-CR"/>
        </w:rPr>
        <w:t>.</w:t>
      </w:r>
    </w:p>
  </w:footnote>
  <w:footnote w:id="94">
    <w:p w:rsidR="00785921" w:rsidRPr="00637508" w:rsidRDefault="00785921" w:rsidP="00126E97">
      <w:pPr>
        <w:pStyle w:val="FootnoteText"/>
        <w:spacing w:line="20" w:lineRule="atLeast"/>
        <w:rPr>
          <w:lang w:val="es-CR"/>
        </w:rPr>
      </w:pPr>
      <w:r w:rsidRPr="0057574C">
        <w:rPr>
          <w:rStyle w:val="FootnoteReference"/>
          <w:sz w:val="16"/>
          <w:szCs w:val="16"/>
          <w:lang w:eastAsia="x-none"/>
        </w:rPr>
        <w:footnoteRef/>
      </w:r>
      <w:r w:rsidRPr="0057574C">
        <w:rPr>
          <w:sz w:val="16"/>
          <w:szCs w:val="16"/>
          <w:lang w:val="es-CR"/>
        </w:rPr>
        <w:t xml:space="preserve"> </w:t>
      </w:r>
      <w:r w:rsidRPr="0057574C">
        <w:rPr>
          <w:i/>
          <w:sz w:val="16"/>
          <w:szCs w:val="16"/>
          <w:lang w:val="es-CR"/>
        </w:rPr>
        <w:t xml:space="preserve">Cfr. </w:t>
      </w:r>
      <w:r w:rsidRPr="0057574C">
        <w:rPr>
          <w:sz w:val="16"/>
          <w:szCs w:val="16"/>
          <w:lang w:val="es-CR"/>
        </w:rPr>
        <w:t>Acta de verificación de debate de 25 de noviembre de 1998</w:t>
      </w:r>
      <w:r>
        <w:rPr>
          <w:sz w:val="16"/>
          <w:szCs w:val="16"/>
          <w:lang w:val="es-CR"/>
        </w:rPr>
        <w:t xml:space="preserve">, </w:t>
      </w:r>
      <w:r w:rsidRPr="007F44F4">
        <w:rPr>
          <w:i/>
          <w:sz w:val="16"/>
          <w:szCs w:val="16"/>
          <w:lang w:val="es-CR"/>
        </w:rPr>
        <w:t>supra</w:t>
      </w:r>
      <w:r>
        <w:rPr>
          <w:sz w:val="16"/>
          <w:szCs w:val="16"/>
          <w:lang w:val="es-CR"/>
        </w:rPr>
        <w:t xml:space="preserve"> y s</w:t>
      </w:r>
      <w:r w:rsidRPr="00637508">
        <w:rPr>
          <w:sz w:val="16"/>
          <w:szCs w:val="16"/>
          <w:lang w:val="es-CR"/>
        </w:rPr>
        <w:t xml:space="preserve">entencia del </w:t>
      </w:r>
      <w:r>
        <w:rPr>
          <w:sz w:val="16"/>
          <w:szCs w:val="16"/>
          <w:lang w:val="es-CR"/>
        </w:rPr>
        <w:t>Tribunal de Sentencia de 12 de agosto de 1999 (expediente de prueba, anexo 26 al Informe de Fondo, folios 769 a 913).</w:t>
      </w:r>
      <w:r w:rsidRPr="00676759">
        <w:rPr>
          <w:sz w:val="16"/>
          <w:szCs w:val="16"/>
          <w:lang w:val="es-CR"/>
        </w:rPr>
        <w:t xml:space="preserve"> </w:t>
      </w:r>
    </w:p>
  </w:footnote>
  <w:footnote w:id="95">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Pr>
          <w:i/>
          <w:sz w:val="16"/>
          <w:szCs w:val="16"/>
          <w:lang w:val="es-CR"/>
        </w:rPr>
        <w:t xml:space="preserve">Cfr. </w:t>
      </w:r>
      <w:r>
        <w:rPr>
          <w:sz w:val="16"/>
          <w:szCs w:val="16"/>
          <w:lang w:val="es-CR"/>
        </w:rPr>
        <w:t>s</w:t>
      </w:r>
      <w:r w:rsidRPr="00637508">
        <w:rPr>
          <w:sz w:val="16"/>
          <w:szCs w:val="16"/>
          <w:lang w:val="es-CR"/>
        </w:rPr>
        <w:t xml:space="preserve">entencia del </w:t>
      </w:r>
      <w:r>
        <w:rPr>
          <w:sz w:val="16"/>
          <w:szCs w:val="16"/>
          <w:lang w:val="es-CR"/>
        </w:rPr>
        <w:t xml:space="preserve">Tribunal de Sentencia de 12 de agosto de 1999, </w:t>
      </w:r>
      <w:r w:rsidRPr="007335F2">
        <w:rPr>
          <w:i/>
          <w:sz w:val="16"/>
          <w:szCs w:val="16"/>
          <w:lang w:val="es-CR"/>
        </w:rPr>
        <w:t>supra</w:t>
      </w:r>
      <w:r>
        <w:rPr>
          <w:sz w:val="16"/>
          <w:szCs w:val="16"/>
          <w:lang w:val="es-CR"/>
        </w:rPr>
        <w:t>.</w:t>
      </w:r>
      <w:r>
        <w:rPr>
          <w:bCs/>
          <w:color w:val="000000"/>
          <w:sz w:val="16"/>
          <w:szCs w:val="16"/>
          <w:lang w:val="es-CR"/>
        </w:rPr>
        <w:t xml:space="preserve"> </w:t>
      </w:r>
    </w:p>
  </w:footnote>
  <w:footnote w:id="96">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w:t>
      </w:r>
      <w:r w:rsidRPr="00637508">
        <w:rPr>
          <w:i/>
          <w:sz w:val="16"/>
          <w:szCs w:val="16"/>
          <w:lang w:val="es-CR"/>
        </w:rPr>
        <w:t xml:space="preserve">Cfr. </w:t>
      </w:r>
      <w:r w:rsidRPr="00637508">
        <w:rPr>
          <w:sz w:val="16"/>
          <w:szCs w:val="16"/>
          <w:lang w:val="es-CR"/>
        </w:rPr>
        <w:t xml:space="preserve">Informe del </w:t>
      </w:r>
      <w:r>
        <w:rPr>
          <w:sz w:val="16"/>
          <w:szCs w:val="16"/>
          <w:lang w:val="es-CR"/>
        </w:rPr>
        <w:t xml:space="preserve">Estado de </w:t>
      </w:r>
      <w:r w:rsidRPr="00637508">
        <w:rPr>
          <w:sz w:val="16"/>
          <w:szCs w:val="16"/>
          <w:lang w:val="es-CR"/>
        </w:rPr>
        <w:t>24 de mayo de 2004</w:t>
      </w:r>
      <w:r>
        <w:rPr>
          <w:sz w:val="16"/>
          <w:szCs w:val="16"/>
          <w:lang w:val="es-CR"/>
        </w:rPr>
        <w:t xml:space="preserve">, dirigido a la Comisión Interamericana, </w:t>
      </w:r>
      <w:r w:rsidRPr="007F44F4">
        <w:rPr>
          <w:i/>
          <w:sz w:val="16"/>
          <w:szCs w:val="16"/>
          <w:lang w:val="es-CR"/>
        </w:rPr>
        <w:t>supra</w:t>
      </w:r>
      <w:r>
        <w:rPr>
          <w:sz w:val="16"/>
          <w:szCs w:val="16"/>
          <w:lang w:val="es-CR"/>
        </w:rPr>
        <w:t>.</w:t>
      </w:r>
    </w:p>
  </w:footnote>
  <w:footnote w:id="97">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w:t>
      </w:r>
      <w:r w:rsidRPr="00637508">
        <w:rPr>
          <w:i/>
          <w:sz w:val="16"/>
          <w:szCs w:val="16"/>
          <w:lang w:val="es-CR"/>
        </w:rPr>
        <w:t xml:space="preserve">Cfr. </w:t>
      </w:r>
      <w:r w:rsidRPr="00637508">
        <w:rPr>
          <w:sz w:val="16"/>
          <w:szCs w:val="16"/>
          <w:lang w:val="es-CR"/>
        </w:rPr>
        <w:t xml:space="preserve">Informe del </w:t>
      </w:r>
      <w:r>
        <w:rPr>
          <w:sz w:val="16"/>
          <w:szCs w:val="16"/>
          <w:lang w:val="es-CR"/>
        </w:rPr>
        <w:t xml:space="preserve">Estado de </w:t>
      </w:r>
      <w:r w:rsidRPr="00637508">
        <w:rPr>
          <w:sz w:val="16"/>
          <w:szCs w:val="16"/>
          <w:lang w:val="es-CR"/>
        </w:rPr>
        <w:t>24 de mayo de 2004</w:t>
      </w:r>
      <w:r>
        <w:rPr>
          <w:sz w:val="16"/>
          <w:szCs w:val="16"/>
          <w:lang w:val="es-CR"/>
        </w:rPr>
        <w:t xml:space="preserve">, dirigido a la Comisión Interamericana, </w:t>
      </w:r>
      <w:r w:rsidRPr="007F44F4">
        <w:rPr>
          <w:i/>
          <w:sz w:val="16"/>
          <w:szCs w:val="16"/>
          <w:lang w:val="es-CR"/>
        </w:rPr>
        <w:t>supra</w:t>
      </w:r>
      <w:r>
        <w:rPr>
          <w:sz w:val="16"/>
          <w:szCs w:val="16"/>
          <w:lang w:val="es-CR"/>
        </w:rPr>
        <w:t>.</w:t>
      </w:r>
    </w:p>
  </w:footnote>
  <w:footnote w:id="98">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sidRPr="00637508">
        <w:rPr>
          <w:i/>
          <w:sz w:val="16"/>
          <w:szCs w:val="16"/>
          <w:lang w:val="es-CR"/>
        </w:rPr>
        <w:t xml:space="preserve">Cfr. </w:t>
      </w:r>
      <w:r w:rsidRPr="00637508">
        <w:rPr>
          <w:sz w:val="16"/>
          <w:szCs w:val="16"/>
          <w:lang w:val="es-CR"/>
        </w:rPr>
        <w:t xml:space="preserve">Informe del </w:t>
      </w:r>
      <w:r>
        <w:rPr>
          <w:sz w:val="16"/>
          <w:szCs w:val="16"/>
          <w:lang w:val="es-CR"/>
        </w:rPr>
        <w:t xml:space="preserve">Estado de </w:t>
      </w:r>
      <w:r w:rsidRPr="00637508">
        <w:rPr>
          <w:sz w:val="16"/>
          <w:szCs w:val="16"/>
          <w:lang w:val="es-CR"/>
        </w:rPr>
        <w:t>24 de mayo de 2004</w:t>
      </w:r>
      <w:r>
        <w:rPr>
          <w:sz w:val="16"/>
          <w:szCs w:val="16"/>
          <w:lang w:val="es-CR"/>
        </w:rPr>
        <w:t xml:space="preserve">, dirigido a la Comisión Interamericana, </w:t>
      </w:r>
      <w:r w:rsidRPr="007F44F4">
        <w:rPr>
          <w:i/>
          <w:sz w:val="16"/>
          <w:szCs w:val="16"/>
          <w:lang w:val="es-CR"/>
        </w:rPr>
        <w:t>supra</w:t>
      </w:r>
      <w:r>
        <w:rPr>
          <w:sz w:val="16"/>
          <w:szCs w:val="16"/>
          <w:lang w:val="es-CR"/>
        </w:rPr>
        <w:t>.</w:t>
      </w:r>
    </w:p>
  </w:footnote>
  <w:footnote w:id="99">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sidRPr="00637508">
        <w:rPr>
          <w:sz w:val="16"/>
          <w:szCs w:val="16"/>
          <w:lang w:val="es-CR"/>
        </w:rPr>
        <w:t xml:space="preserve">Informe del </w:t>
      </w:r>
      <w:r>
        <w:rPr>
          <w:sz w:val="16"/>
          <w:szCs w:val="16"/>
          <w:lang w:val="es-CR"/>
        </w:rPr>
        <w:t xml:space="preserve">Estado de </w:t>
      </w:r>
      <w:r w:rsidRPr="00637508">
        <w:rPr>
          <w:sz w:val="16"/>
          <w:szCs w:val="16"/>
          <w:lang w:val="es-CR"/>
        </w:rPr>
        <w:t>24 de mayo de 2004</w:t>
      </w:r>
      <w:r>
        <w:rPr>
          <w:sz w:val="16"/>
          <w:szCs w:val="16"/>
          <w:lang w:val="es-CR"/>
        </w:rPr>
        <w:t xml:space="preserve">, dirigido a la Comisión Interamericana, </w:t>
      </w:r>
      <w:r w:rsidRPr="007F44F4">
        <w:rPr>
          <w:i/>
          <w:sz w:val="16"/>
          <w:szCs w:val="16"/>
          <w:lang w:val="es-CR"/>
        </w:rPr>
        <w:t>supra</w:t>
      </w:r>
      <w:r>
        <w:rPr>
          <w:sz w:val="16"/>
          <w:szCs w:val="16"/>
          <w:lang w:val="es-CR"/>
        </w:rPr>
        <w:t>.</w:t>
      </w:r>
      <w:r w:rsidRPr="00676759">
        <w:rPr>
          <w:sz w:val="16"/>
          <w:szCs w:val="16"/>
          <w:lang w:val="es-CR"/>
        </w:rPr>
        <w:t xml:space="preserve"> </w:t>
      </w:r>
      <w:r w:rsidRPr="00676759">
        <w:rPr>
          <w:i/>
          <w:sz w:val="16"/>
          <w:szCs w:val="16"/>
          <w:lang w:val="es-CR"/>
        </w:rPr>
        <w:t>Cfr</w:t>
      </w:r>
      <w:r>
        <w:rPr>
          <w:sz w:val="16"/>
          <w:szCs w:val="16"/>
          <w:lang w:val="es-CR"/>
        </w:rPr>
        <w:t>. también</w:t>
      </w:r>
      <w:r w:rsidRPr="00676759">
        <w:rPr>
          <w:sz w:val="16"/>
          <w:szCs w:val="16"/>
          <w:lang w:val="es-CR"/>
        </w:rPr>
        <w:t xml:space="preserve"> </w:t>
      </w:r>
      <w:r>
        <w:rPr>
          <w:sz w:val="16"/>
          <w:szCs w:val="16"/>
          <w:lang w:val="es-CR"/>
        </w:rPr>
        <w:t>la comunicación de los peticionarios de 26 de julio de 2002, dirigida a la Comisión Interamericana (expediente de Prueba, anexo 27 al Informe de Fondo, folios 915 a 925).</w:t>
      </w:r>
    </w:p>
  </w:footnote>
  <w:footnote w:id="100">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sidRPr="00676759">
        <w:rPr>
          <w:i/>
          <w:sz w:val="16"/>
          <w:szCs w:val="16"/>
          <w:lang w:val="es-CR"/>
        </w:rPr>
        <w:t>Cfr.</w:t>
      </w:r>
      <w:r>
        <w:rPr>
          <w:sz w:val="16"/>
          <w:szCs w:val="16"/>
          <w:lang w:val="es-CR"/>
        </w:rPr>
        <w:t xml:space="preserve"> Comunicación de los peticionarios de 26 de julio de 2002, dirigida a la Comisión Interamericana, </w:t>
      </w:r>
      <w:r w:rsidRPr="007335F2">
        <w:rPr>
          <w:i/>
          <w:sz w:val="16"/>
          <w:szCs w:val="16"/>
          <w:lang w:val="es-CR"/>
        </w:rPr>
        <w:t>supra</w:t>
      </w:r>
      <w:r>
        <w:rPr>
          <w:sz w:val="16"/>
          <w:szCs w:val="16"/>
          <w:lang w:val="es-CR"/>
        </w:rPr>
        <w:t>.</w:t>
      </w:r>
    </w:p>
  </w:footnote>
  <w:footnote w:id="101">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w:t>
      </w:r>
      <w:r w:rsidRPr="00637508">
        <w:rPr>
          <w:i/>
          <w:sz w:val="16"/>
          <w:szCs w:val="16"/>
          <w:lang w:val="es-CR"/>
        </w:rPr>
        <w:t xml:space="preserve">Cfr. </w:t>
      </w:r>
      <w:r w:rsidRPr="00637508">
        <w:rPr>
          <w:sz w:val="16"/>
          <w:szCs w:val="16"/>
          <w:lang w:val="es-CR"/>
        </w:rPr>
        <w:t xml:space="preserve">Informe del </w:t>
      </w:r>
      <w:r>
        <w:rPr>
          <w:sz w:val="16"/>
          <w:szCs w:val="16"/>
          <w:lang w:val="es-CR"/>
        </w:rPr>
        <w:t>Estado de</w:t>
      </w:r>
      <w:r w:rsidRPr="00637508">
        <w:rPr>
          <w:sz w:val="16"/>
          <w:szCs w:val="16"/>
          <w:lang w:val="es-CR"/>
        </w:rPr>
        <w:t xml:space="preserve"> 24 de mayo de 2004</w:t>
      </w:r>
      <w:r>
        <w:rPr>
          <w:sz w:val="16"/>
          <w:szCs w:val="16"/>
          <w:lang w:val="es-CR"/>
        </w:rPr>
        <w:t xml:space="preserve">, dirigido a la Comisión Interamericana, </w:t>
      </w:r>
      <w:r w:rsidRPr="007F44F4">
        <w:rPr>
          <w:i/>
          <w:sz w:val="16"/>
          <w:szCs w:val="16"/>
          <w:lang w:val="es-CR"/>
        </w:rPr>
        <w:t>supra</w:t>
      </w:r>
      <w:r>
        <w:rPr>
          <w:sz w:val="16"/>
          <w:szCs w:val="16"/>
          <w:lang w:val="es-CR"/>
        </w:rPr>
        <w:t>.</w:t>
      </w:r>
    </w:p>
  </w:footnote>
  <w:footnote w:id="102">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sidRPr="00637508">
        <w:rPr>
          <w:sz w:val="16"/>
          <w:szCs w:val="16"/>
          <w:lang w:val="es-CR"/>
        </w:rPr>
        <w:t xml:space="preserve"> </w:t>
      </w:r>
      <w:r w:rsidRPr="00676759">
        <w:rPr>
          <w:i/>
          <w:sz w:val="16"/>
          <w:szCs w:val="16"/>
          <w:lang w:val="es-CR"/>
        </w:rPr>
        <w:t>Cfr.</w:t>
      </w:r>
      <w:r>
        <w:rPr>
          <w:sz w:val="16"/>
          <w:szCs w:val="16"/>
          <w:lang w:val="es-CR"/>
        </w:rPr>
        <w:t xml:space="preserve"> sentencia de 8 de julio de 2004, </w:t>
      </w:r>
      <w:r w:rsidRPr="00464CB5">
        <w:rPr>
          <w:i/>
          <w:sz w:val="16"/>
          <w:szCs w:val="16"/>
          <w:lang w:val="es-CR"/>
        </w:rPr>
        <w:t>supra</w:t>
      </w:r>
      <w:r>
        <w:rPr>
          <w:sz w:val="16"/>
          <w:szCs w:val="16"/>
          <w:lang w:val="es-CR"/>
        </w:rPr>
        <w:t xml:space="preserve">. </w:t>
      </w:r>
    </w:p>
  </w:footnote>
  <w:footnote w:id="103">
    <w:p w:rsidR="00785921" w:rsidRDefault="00785921" w:rsidP="00126E97">
      <w:pPr>
        <w:pStyle w:val="FootnoteText"/>
        <w:spacing w:line="20" w:lineRule="atLeast"/>
        <w:rPr>
          <w:sz w:val="16"/>
          <w:szCs w:val="16"/>
          <w:lang w:val="es-ES_tradnl"/>
        </w:rPr>
      </w:pPr>
      <w:r>
        <w:rPr>
          <w:rStyle w:val="FootnoteReference"/>
          <w:sz w:val="16"/>
          <w:szCs w:val="16"/>
          <w:lang w:val="es-ES_tradnl" w:eastAsia="x-none"/>
        </w:rPr>
        <w:footnoteRef/>
      </w:r>
      <w:r w:rsidRPr="00637508">
        <w:rPr>
          <w:sz w:val="16"/>
          <w:szCs w:val="16"/>
          <w:lang w:val="es-CR"/>
        </w:rPr>
        <w:t xml:space="preserve"> </w:t>
      </w:r>
      <w:r w:rsidRPr="00637508">
        <w:rPr>
          <w:i/>
          <w:sz w:val="16"/>
          <w:szCs w:val="16"/>
          <w:lang w:val="es-CR"/>
        </w:rPr>
        <w:t>Cfr.</w:t>
      </w:r>
      <w:r w:rsidRPr="00637508">
        <w:rPr>
          <w:sz w:val="16"/>
          <w:szCs w:val="16"/>
          <w:lang w:val="es-CR"/>
        </w:rPr>
        <w:t xml:space="preserve"> Recurso</w:t>
      </w:r>
      <w:r>
        <w:rPr>
          <w:sz w:val="16"/>
          <w:szCs w:val="16"/>
          <w:lang w:val="es-CR"/>
        </w:rPr>
        <w:t>s de apelación especial de la s</w:t>
      </w:r>
      <w:r w:rsidRPr="00637508">
        <w:rPr>
          <w:sz w:val="16"/>
          <w:szCs w:val="16"/>
          <w:lang w:val="es-CR"/>
        </w:rPr>
        <w:t>entencia de 8 de julio de 2004, presentado</w:t>
      </w:r>
      <w:r>
        <w:rPr>
          <w:sz w:val="16"/>
          <w:szCs w:val="16"/>
          <w:lang w:val="es-CR"/>
        </w:rPr>
        <w:t>s</w:t>
      </w:r>
      <w:r w:rsidRPr="00637508">
        <w:rPr>
          <w:sz w:val="16"/>
          <w:szCs w:val="16"/>
          <w:lang w:val="es-CR"/>
        </w:rPr>
        <w:t xml:space="preserve"> por </w:t>
      </w:r>
      <w:r>
        <w:rPr>
          <w:sz w:val="16"/>
          <w:szCs w:val="16"/>
          <w:lang w:val="es-CR"/>
        </w:rPr>
        <w:t xml:space="preserve">tres abogados </w:t>
      </w:r>
      <w:r w:rsidRPr="00637508">
        <w:rPr>
          <w:sz w:val="16"/>
          <w:szCs w:val="16"/>
          <w:lang w:val="es-CR"/>
        </w:rPr>
        <w:t>defensor</w:t>
      </w:r>
      <w:r>
        <w:rPr>
          <w:sz w:val="16"/>
          <w:szCs w:val="16"/>
          <w:lang w:val="es-CR"/>
        </w:rPr>
        <w:t>es, uno del 28 y dos del 30 de julio de 2004, y escritos de “correcciones” al primero y a uno de los segundos, de 17 de octubre de 2004 y de 15 de agosto de 2004, respectivamente (</w:t>
      </w:r>
      <w:r>
        <w:rPr>
          <w:sz w:val="16"/>
          <w:szCs w:val="16"/>
          <w:lang w:val="es-ES_tradnl"/>
        </w:rPr>
        <w:t>expediente de prueba, trámite ante la Comisión, folios 3803 a 3997).</w:t>
      </w:r>
    </w:p>
  </w:footnote>
  <w:footnote w:id="104">
    <w:p w:rsidR="00785921" w:rsidRDefault="00785921" w:rsidP="00126E97">
      <w:pPr>
        <w:pStyle w:val="FootnoteText"/>
        <w:spacing w:line="20" w:lineRule="atLeast"/>
        <w:rPr>
          <w:sz w:val="16"/>
          <w:szCs w:val="16"/>
          <w:lang w:val="es-CR"/>
        </w:rPr>
      </w:pPr>
      <w:r>
        <w:rPr>
          <w:rStyle w:val="FootnoteReference"/>
          <w:sz w:val="16"/>
          <w:szCs w:val="16"/>
          <w:lang w:val="es-ES_tradnl" w:eastAsia="x-none"/>
        </w:rPr>
        <w:footnoteRef/>
      </w:r>
      <w:r>
        <w:rPr>
          <w:sz w:val="16"/>
          <w:szCs w:val="16"/>
          <w:lang w:val="es-ES_tradnl"/>
        </w:rPr>
        <w:t xml:space="preserve"> </w:t>
      </w:r>
      <w:r w:rsidRPr="00637508">
        <w:rPr>
          <w:i/>
          <w:sz w:val="16"/>
          <w:szCs w:val="16"/>
          <w:lang w:val="es-CR"/>
        </w:rPr>
        <w:t>Cfr.</w:t>
      </w:r>
      <w:r w:rsidRPr="00637508">
        <w:rPr>
          <w:sz w:val="16"/>
          <w:szCs w:val="16"/>
          <w:lang w:val="es-CR"/>
        </w:rPr>
        <w:t xml:space="preserve"> </w:t>
      </w:r>
      <w:r>
        <w:rPr>
          <w:sz w:val="16"/>
          <w:szCs w:val="16"/>
          <w:lang w:val="es-ES_tradnl"/>
        </w:rPr>
        <w:t xml:space="preserve">Sala Regional Mixta de la Corte de Apelaciones de </w:t>
      </w:r>
      <w:proofErr w:type="spellStart"/>
      <w:r>
        <w:rPr>
          <w:sz w:val="16"/>
          <w:szCs w:val="16"/>
          <w:lang w:val="es-ES_tradnl"/>
        </w:rPr>
        <w:t>Coban</w:t>
      </w:r>
      <w:proofErr w:type="spellEnd"/>
      <w:r>
        <w:rPr>
          <w:sz w:val="16"/>
          <w:szCs w:val="16"/>
          <w:lang w:val="es-ES_tradnl"/>
        </w:rPr>
        <w:t>. Sentencia de 22 de diciembre de 2004 (expediente de prueba, anexo 31 al Informe de Fondo, folios 1432 a 1445).</w:t>
      </w:r>
      <w:r>
        <w:rPr>
          <w:sz w:val="16"/>
          <w:szCs w:val="16"/>
          <w:lang w:val="es-CR"/>
        </w:rPr>
        <w:t xml:space="preserve"> </w:t>
      </w:r>
    </w:p>
  </w:footnote>
  <w:footnote w:id="105">
    <w:p w:rsidR="00785921" w:rsidRDefault="00785921" w:rsidP="00126E97">
      <w:pPr>
        <w:pStyle w:val="FootnoteText"/>
        <w:spacing w:line="20" w:lineRule="atLeast"/>
        <w:rPr>
          <w:lang w:val="es-CR"/>
        </w:rPr>
      </w:pPr>
      <w:r>
        <w:rPr>
          <w:rStyle w:val="FootnoteReference"/>
          <w:sz w:val="16"/>
          <w:szCs w:val="16"/>
          <w:lang w:val="es-CR" w:eastAsia="x-none"/>
        </w:rPr>
        <w:footnoteRef/>
      </w:r>
      <w:r w:rsidRPr="00637508">
        <w:rPr>
          <w:sz w:val="16"/>
          <w:szCs w:val="16"/>
          <w:lang w:val="es-CR"/>
        </w:rPr>
        <w:t xml:space="preserve"> </w:t>
      </w:r>
      <w:r w:rsidRPr="00637508">
        <w:rPr>
          <w:i/>
          <w:sz w:val="16"/>
          <w:szCs w:val="16"/>
          <w:lang w:val="es-CR"/>
        </w:rPr>
        <w:t>Cfr.</w:t>
      </w:r>
      <w:r w:rsidRPr="00637508">
        <w:rPr>
          <w:sz w:val="16"/>
          <w:szCs w:val="16"/>
          <w:lang w:val="es-CR"/>
        </w:rPr>
        <w:t xml:space="preserve"> Recurso</w:t>
      </w:r>
      <w:r>
        <w:rPr>
          <w:sz w:val="16"/>
          <w:szCs w:val="16"/>
          <w:lang w:val="es-CR"/>
        </w:rPr>
        <w:t>s</w:t>
      </w:r>
      <w:r w:rsidRPr="00637508">
        <w:rPr>
          <w:sz w:val="16"/>
          <w:szCs w:val="16"/>
          <w:lang w:val="es-CR"/>
        </w:rPr>
        <w:t xml:space="preserve"> de casación interpuesto</w:t>
      </w:r>
      <w:r>
        <w:rPr>
          <w:sz w:val="16"/>
          <w:szCs w:val="16"/>
          <w:lang w:val="es-CR"/>
        </w:rPr>
        <w:t>s</w:t>
      </w:r>
      <w:r w:rsidRPr="00637508">
        <w:rPr>
          <w:sz w:val="16"/>
          <w:szCs w:val="16"/>
          <w:lang w:val="es-CR"/>
        </w:rPr>
        <w:t xml:space="preserve"> por </w:t>
      </w:r>
      <w:r>
        <w:rPr>
          <w:sz w:val="16"/>
          <w:szCs w:val="16"/>
          <w:lang w:val="es-CR"/>
        </w:rPr>
        <w:t xml:space="preserve">tres abogados </w:t>
      </w:r>
      <w:r w:rsidRPr="00637508">
        <w:rPr>
          <w:sz w:val="16"/>
          <w:szCs w:val="16"/>
          <w:lang w:val="es-CR"/>
        </w:rPr>
        <w:t>defensor</w:t>
      </w:r>
      <w:r>
        <w:rPr>
          <w:sz w:val="16"/>
          <w:szCs w:val="16"/>
          <w:lang w:val="es-CR"/>
        </w:rPr>
        <w:t xml:space="preserve">es, dos el 11 y uno el 12 de enero de 2005, y escritos de “corrección” de uno de los primeros (sin fecha) y del escrito de 12 de enero de 2015 (de 17 de febrero de 2005) </w:t>
      </w:r>
      <w:r>
        <w:rPr>
          <w:sz w:val="16"/>
          <w:szCs w:val="16"/>
          <w:lang w:val="es-ES_tradnl"/>
        </w:rPr>
        <w:t>(expediente de prueba, trámite ante la Comisión, folios 4013 a 4158).</w:t>
      </w:r>
    </w:p>
  </w:footnote>
  <w:footnote w:id="106">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sidRPr="00637508">
        <w:rPr>
          <w:sz w:val="16"/>
          <w:szCs w:val="16"/>
          <w:lang w:val="es-CR"/>
        </w:rPr>
        <w:t xml:space="preserve"> </w:t>
      </w:r>
      <w:r w:rsidRPr="00637508">
        <w:rPr>
          <w:i/>
          <w:sz w:val="16"/>
          <w:szCs w:val="16"/>
          <w:lang w:val="es-CR"/>
        </w:rPr>
        <w:t>Cfr.</w:t>
      </w:r>
      <w:r w:rsidRPr="00637508">
        <w:rPr>
          <w:sz w:val="16"/>
          <w:szCs w:val="16"/>
          <w:lang w:val="es-CR"/>
        </w:rPr>
        <w:t xml:space="preserve"> Informe del </w:t>
      </w:r>
      <w:r>
        <w:rPr>
          <w:sz w:val="16"/>
          <w:szCs w:val="16"/>
          <w:lang w:val="es-CR"/>
        </w:rPr>
        <w:t xml:space="preserve">Estado de 7 de junio de 2005, dirigido a la </w:t>
      </w:r>
      <w:r w:rsidRPr="00637508">
        <w:rPr>
          <w:sz w:val="16"/>
          <w:szCs w:val="16"/>
          <w:lang w:val="es-CR"/>
        </w:rPr>
        <w:t xml:space="preserve">Comisión </w:t>
      </w:r>
      <w:r>
        <w:rPr>
          <w:sz w:val="16"/>
          <w:szCs w:val="16"/>
          <w:lang w:val="es-CR"/>
        </w:rPr>
        <w:t>Interamericana (e</w:t>
      </w:r>
      <w:r w:rsidRPr="00637508">
        <w:rPr>
          <w:sz w:val="16"/>
          <w:szCs w:val="16"/>
          <w:lang w:val="es-CR"/>
        </w:rPr>
        <w:t xml:space="preserve">xpediente de prueba, </w:t>
      </w:r>
      <w:r>
        <w:rPr>
          <w:sz w:val="16"/>
          <w:szCs w:val="16"/>
          <w:lang w:val="es-CR"/>
        </w:rPr>
        <w:t>a</w:t>
      </w:r>
      <w:r w:rsidRPr="00637508">
        <w:rPr>
          <w:sz w:val="16"/>
          <w:szCs w:val="16"/>
          <w:lang w:val="es-CR"/>
        </w:rPr>
        <w:t>nexo 30 al Informe de Fondo, f</w:t>
      </w:r>
      <w:r>
        <w:rPr>
          <w:sz w:val="16"/>
          <w:szCs w:val="16"/>
          <w:lang w:val="es-CR"/>
        </w:rPr>
        <w:t>olio</w:t>
      </w:r>
      <w:r w:rsidRPr="00637508">
        <w:rPr>
          <w:sz w:val="16"/>
          <w:szCs w:val="16"/>
          <w:lang w:val="es-CR"/>
        </w:rPr>
        <w:t>s 1427 a 1430</w:t>
      </w:r>
      <w:r>
        <w:rPr>
          <w:sz w:val="16"/>
          <w:szCs w:val="16"/>
          <w:lang w:val="es-CR"/>
        </w:rPr>
        <w:t>)</w:t>
      </w:r>
      <w:r w:rsidRPr="00637508">
        <w:rPr>
          <w:b/>
          <w:sz w:val="16"/>
          <w:szCs w:val="16"/>
          <w:lang w:val="es-CR"/>
        </w:rPr>
        <w:t xml:space="preserve"> </w:t>
      </w:r>
      <w:r w:rsidRPr="00637508">
        <w:rPr>
          <w:sz w:val="16"/>
          <w:szCs w:val="16"/>
          <w:lang w:val="es-CR"/>
        </w:rPr>
        <w:t xml:space="preserve">De acuerdo a lo informado por el Estado a la Comisión, todos los recursos fueron admitidos para su trámite menos uno, por lo que se planteó un recurso de </w:t>
      </w:r>
      <w:r>
        <w:rPr>
          <w:sz w:val="16"/>
          <w:szCs w:val="16"/>
          <w:lang w:val="es-CR"/>
        </w:rPr>
        <w:t>“</w:t>
      </w:r>
      <w:r w:rsidRPr="00637508">
        <w:rPr>
          <w:sz w:val="16"/>
          <w:szCs w:val="16"/>
          <w:lang w:val="es-CR"/>
        </w:rPr>
        <w:t>reposición</w:t>
      </w:r>
      <w:r>
        <w:rPr>
          <w:sz w:val="16"/>
          <w:szCs w:val="16"/>
          <w:lang w:val="es-CR"/>
        </w:rPr>
        <w:t>”</w:t>
      </w:r>
      <w:r w:rsidRPr="00637508">
        <w:rPr>
          <w:sz w:val="16"/>
          <w:szCs w:val="16"/>
          <w:lang w:val="es-CR"/>
        </w:rPr>
        <w:t xml:space="preserve">. Esto hizo que se suspendiera la “vista” que se había fijado para el 28 de abril de 2005. El 9 de mayo de ese año la Corte Suprema </w:t>
      </w:r>
      <w:r>
        <w:rPr>
          <w:sz w:val="16"/>
          <w:szCs w:val="16"/>
          <w:lang w:val="es-CR"/>
        </w:rPr>
        <w:t xml:space="preserve">de Justicia </w:t>
      </w:r>
      <w:r w:rsidRPr="00637508">
        <w:rPr>
          <w:sz w:val="16"/>
          <w:szCs w:val="16"/>
          <w:lang w:val="es-CR"/>
        </w:rPr>
        <w:t>rechazó el recurso de reposición planteado</w:t>
      </w:r>
      <w:r>
        <w:rPr>
          <w:sz w:val="16"/>
          <w:szCs w:val="16"/>
          <w:lang w:val="es-CR"/>
        </w:rPr>
        <w:t xml:space="preserve"> y e</w:t>
      </w:r>
      <w:r w:rsidRPr="00637508">
        <w:rPr>
          <w:sz w:val="16"/>
          <w:szCs w:val="16"/>
          <w:lang w:val="es-CR"/>
        </w:rPr>
        <w:t>l 16 de</w:t>
      </w:r>
      <w:r>
        <w:rPr>
          <w:sz w:val="16"/>
          <w:szCs w:val="16"/>
          <w:lang w:val="es-CR"/>
        </w:rPr>
        <w:t>l mismo mes</w:t>
      </w:r>
      <w:r w:rsidRPr="00637508">
        <w:rPr>
          <w:sz w:val="16"/>
          <w:szCs w:val="16"/>
          <w:lang w:val="es-CR"/>
        </w:rPr>
        <w:t xml:space="preserve"> fijó fecha de audiencia para el 5 de julio </w:t>
      </w:r>
      <w:r>
        <w:rPr>
          <w:sz w:val="16"/>
          <w:szCs w:val="16"/>
          <w:lang w:val="es-CR"/>
        </w:rPr>
        <w:t>siguiente</w:t>
      </w:r>
      <w:r w:rsidRPr="00637508">
        <w:rPr>
          <w:sz w:val="16"/>
          <w:szCs w:val="16"/>
          <w:lang w:val="es-CR"/>
        </w:rPr>
        <w:t>.</w:t>
      </w:r>
    </w:p>
  </w:footnote>
  <w:footnote w:id="107">
    <w:p w:rsidR="00785921" w:rsidRDefault="00785921" w:rsidP="00126E97">
      <w:pPr>
        <w:pStyle w:val="FootnoteText"/>
        <w:spacing w:line="20" w:lineRule="atLeast"/>
        <w:rPr>
          <w:lang w:val="es-CR"/>
        </w:rPr>
      </w:pPr>
      <w:r>
        <w:rPr>
          <w:rStyle w:val="FootnoteReference"/>
          <w:sz w:val="16"/>
          <w:szCs w:val="16"/>
          <w:lang w:val="es-CR" w:eastAsia="x-none"/>
        </w:rPr>
        <w:footnoteRef/>
      </w:r>
      <w:r w:rsidRPr="00637508">
        <w:rPr>
          <w:sz w:val="16"/>
          <w:szCs w:val="16"/>
          <w:lang w:val="es-CR"/>
        </w:rPr>
        <w:t xml:space="preserve"> </w:t>
      </w:r>
      <w:r w:rsidRPr="00637508">
        <w:rPr>
          <w:i/>
          <w:sz w:val="16"/>
          <w:szCs w:val="16"/>
          <w:lang w:val="es-CR"/>
        </w:rPr>
        <w:t>Cfr.</w:t>
      </w:r>
      <w:r w:rsidRPr="00637508">
        <w:rPr>
          <w:sz w:val="16"/>
          <w:szCs w:val="16"/>
          <w:lang w:val="es-CR"/>
        </w:rPr>
        <w:t xml:space="preserve"> </w:t>
      </w:r>
      <w:r>
        <w:rPr>
          <w:sz w:val="16"/>
          <w:szCs w:val="16"/>
          <w:lang w:val="es-CR"/>
        </w:rPr>
        <w:t xml:space="preserve">Corte Suprema de Justicia, Cámara Penal. </w:t>
      </w:r>
      <w:r w:rsidRPr="00637508">
        <w:rPr>
          <w:sz w:val="16"/>
          <w:szCs w:val="16"/>
          <w:lang w:val="es-CR"/>
        </w:rPr>
        <w:t xml:space="preserve">Sentencia de </w:t>
      </w:r>
      <w:r>
        <w:rPr>
          <w:sz w:val="16"/>
          <w:szCs w:val="16"/>
          <w:lang w:val="es-CR"/>
        </w:rPr>
        <w:t>23 de septiembre de 2005</w:t>
      </w:r>
      <w:r w:rsidRPr="00637508">
        <w:rPr>
          <w:sz w:val="16"/>
          <w:szCs w:val="16"/>
          <w:lang w:val="es-CR"/>
        </w:rPr>
        <w:t xml:space="preserve"> </w:t>
      </w:r>
      <w:r>
        <w:rPr>
          <w:sz w:val="16"/>
          <w:szCs w:val="16"/>
          <w:lang w:val="es-CR"/>
        </w:rPr>
        <w:t>(e</w:t>
      </w:r>
      <w:r w:rsidRPr="00637508">
        <w:rPr>
          <w:sz w:val="16"/>
          <w:szCs w:val="16"/>
          <w:lang w:val="es-CR"/>
        </w:rPr>
        <w:t xml:space="preserve">xpediente de prueba, </w:t>
      </w:r>
      <w:r>
        <w:rPr>
          <w:sz w:val="16"/>
          <w:szCs w:val="16"/>
          <w:lang w:val="es-CR"/>
        </w:rPr>
        <w:t>a</w:t>
      </w:r>
      <w:r w:rsidRPr="00637508">
        <w:rPr>
          <w:sz w:val="16"/>
          <w:szCs w:val="16"/>
          <w:lang w:val="es-CR"/>
        </w:rPr>
        <w:t>nexo 3</w:t>
      </w:r>
      <w:r>
        <w:rPr>
          <w:sz w:val="16"/>
          <w:szCs w:val="16"/>
          <w:lang w:val="es-CR"/>
        </w:rPr>
        <w:t>4</w:t>
      </w:r>
      <w:r w:rsidRPr="00637508">
        <w:rPr>
          <w:sz w:val="16"/>
          <w:szCs w:val="16"/>
          <w:lang w:val="es-CR"/>
        </w:rPr>
        <w:t xml:space="preserve"> al Informe de Fondo, f</w:t>
      </w:r>
      <w:r>
        <w:rPr>
          <w:sz w:val="16"/>
          <w:szCs w:val="16"/>
          <w:lang w:val="es-CR"/>
        </w:rPr>
        <w:t>olios</w:t>
      </w:r>
      <w:r w:rsidRPr="00637508">
        <w:rPr>
          <w:sz w:val="16"/>
          <w:szCs w:val="16"/>
          <w:lang w:val="es-CR"/>
        </w:rPr>
        <w:t xml:space="preserve"> 14</w:t>
      </w:r>
      <w:r>
        <w:rPr>
          <w:sz w:val="16"/>
          <w:szCs w:val="16"/>
          <w:lang w:val="es-CR"/>
        </w:rPr>
        <w:t>47</w:t>
      </w:r>
      <w:r w:rsidRPr="00637508">
        <w:rPr>
          <w:sz w:val="16"/>
          <w:szCs w:val="16"/>
          <w:lang w:val="es-CR"/>
        </w:rPr>
        <w:t xml:space="preserve"> a 14</w:t>
      </w:r>
      <w:r>
        <w:rPr>
          <w:sz w:val="16"/>
          <w:szCs w:val="16"/>
          <w:lang w:val="es-CR"/>
        </w:rPr>
        <w:t>80)</w:t>
      </w:r>
      <w:r w:rsidRPr="00637508">
        <w:rPr>
          <w:sz w:val="16"/>
          <w:szCs w:val="16"/>
          <w:lang w:val="es-CR"/>
        </w:rPr>
        <w:t>.</w:t>
      </w:r>
    </w:p>
  </w:footnote>
  <w:footnote w:id="108">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La Comisión Interamericana indicó, en el párrafo 98 del Informe de Fondo, que el 7 de junio de 2005 el Estado había presentado a la Comisión información en el mismo sentido, señalando que 11 personas todavía estaban pendientes de ser aprehendidas y sometidas a juicio oral público, por lo que continuaba abierta la investigación.</w:t>
      </w:r>
    </w:p>
  </w:footnote>
  <w:footnote w:id="109">
    <w:p w:rsidR="00785921" w:rsidRPr="00637508" w:rsidRDefault="00785921" w:rsidP="00126E97">
      <w:pPr>
        <w:pStyle w:val="FootnoteText"/>
        <w:spacing w:line="20" w:lineRule="atLeast"/>
        <w:rPr>
          <w:lang w:val="es-CR"/>
        </w:rPr>
      </w:pPr>
      <w:r>
        <w:rPr>
          <w:rStyle w:val="FootnoteReference"/>
          <w:lang w:eastAsia="x-none"/>
        </w:rPr>
        <w:footnoteRef/>
      </w:r>
      <w:r w:rsidRPr="00637508">
        <w:rPr>
          <w:lang w:val="es-CR"/>
        </w:rPr>
        <w:t xml:space="preserve"> </w:t>
      </w:r>
      <w:r w:rsidRPr="00637508">
        <w:rPr>
          <w:i/>
          <w:sz w:val="16"/>
          <w:szCs w:val="16"/>
          <w:lang w:val="es-CR"/>
        </w:rPr>
        <w:t>Caso Masacre de Santo Domingo Vs. Colombia. Excepciones Preliminares, Fondo y Reparaciones.</w:t>
      </w:r>
      <w:r w:rsidRPr="00637508">
        <w:rPr>
          <w:sz w:val="16"/>
          <w:szCs w:val="16"/>
          <w:lang w:val="es-CR"/>
        </w:rPr>
        <w:t xml:space="preserve"> Sentencia de 30 de noviembre de </w:t>
      </w:r>
      <w:r>
        <w:rPr>
          <w:sz w:val="16"/>
          <w:szCs w:val="16"/>
          <w:lang w:val="es-CR"/>
        </w:rPr>
        <w:t xml:space="preserve">2012. Serie C No. 259, párr. 142, y </w:t>
      </w:r>
      <w:r w:rsidRPr="00637508">
        <w:rPr>
          <w:i/>
          <w:sz w:val="16"/>
          <w:szCs w:val="16"/>
          <w:lang w:val="es-CR"/>
        </w:rPr>
        <w:t xml:space="preserve">Caso </w:t>
      </w:r>
      <w:proofErr w:type="spellStart"/>
      <w:r w:rsidRPr="00637508">
        <w:rPr>
          <w:i/>
          <w:sz w:val="16"/>
          <w:szCs w:val="16"/>
          <w:lang w:val="es-CR"/>
        </w:rPr>
        <w:t>Amrhein</w:t>
      </w:r>
      <w:proofErr w:type="spellEnd"/>
      <w:r w:rsidRPr="00637508">
        <w:rPr>
          <w:i/>
          <w:sz w:val="16"/>
          <w:szCs w:val="16"/>
          <w:lang w:val="es-CR"/>
        </w:rPr>
        <w:t xml:space="preserve"> y otros vs. Costa Rica. Excepciones Preliminares, Fondo, Reparaciones y Costas</w:t>
      </w:r>
      <w:r w:rsidRPr="00637508">
        <w:rPr>
          <w:sz w:val="16"/>
          <w:szCs w:val="16"/>
          <w:lang w:val="es-CR"/>
        </w:rPr>
        <w:t>. Sentencia de 25 de abril de 2018. Serie C No. 35</w:t>
      </w:r>
      <w:r>
        <w:rPr>
          <w:sz w:val="16"/>
          <w:szCs w:val="16"/>
          <w:lang w:val="es-CR"/>
        </w:rPr>
        <w:t>4</w:t>
      </w:r>
      <w:r w:rsidRPr="00637508">
        <w:rPr>
          <w:sz w:val="16"/>
          <w:szCs w:val="16"/>
          <w:lang w:val="es-CR"/>
        </w:rPr>
        <w:t>, párr. 100</w:t>
      </w:r>
      <w:r>
        <w:rPr>
          <w:sz w:val="16"/>
          <w:szCs w:val="16"/>
          <w:lang w:val="es-CR"/>
        </w:rPr>
        <w:t>.</w:t>
      </w:r>
    </w:p>
  </w:footnote>
  <w:footnote w:id="110">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w:t>
      </w:r>
      <w:r w:rsidRPr="00637508">
        <w:rPr>
          <w:i/>
          <w:sz w:val="16"/>
          <w:szCs w:val="16"/>
          <w:lang w:val="es-CR"/>
        </w:rPr>
        <w:t>Caso</w:t>
      </w:r>
      <w:r>
        <w:rPr>
          <w:i/>
          <w:sz w:val="16"/>
          <w:szCs w:val="16"/>
          <w:lang w:val="es-CR"/>
        </w:rPr>
        <w:t xml:space="preserve"> </w:t>
      </w:r>
      <w:proofErr w:type="spellStart"/>
      <w:r>
        <w:rPr>
          <w:i/>
          <w:sz w:val="16"/>
          <w:szCs w:val="16"/>
          <w:lang w:val="es-CR"/>
        </w:rPr>
        <w:t>Amrhein</w:t>
      </w:r>
      <w:proofErr w:type="spellEnd"/>
      <w:r>
        <w:rPr>
          <w:i/>
          <w:sz w:val="16"/>
          <w:szCs w:val="16"/>
          <w:lang w:val="es-CR"/>
        </w:rPr>
        <w:t xml:space="preserve"> y otros vs. Costa Rica, supra</w:t>
      </w:r>
      <w:r w:rsidRPr="00637508">
        <w:rPr>
          <w:sz w:val="16"/>
          <w:szCs w:val="16"/>
          <w:lang w:val="es-CR"/>
        </w:rPr>
        <w:t xml:space="preserve">, párr. 99. En el mismo sentido, </w:t>
      </w:r>
      <w:r w:rsidRPr="00637508">
        <w:rPr>
          <w:i/>
          <w:sz w:val="16"/>
          <w:szCs w:val="16"/>
          <w:lang w:val="es-CR"/>
        </w:rPr>
        <w:t>Caso Masacre de Santo Domingo Vs. Colombia. Excepciones Preliminares, Fondo y Reparaciones</w:t>
      </w:r>
      <w:r>
        <w:rPr>
          <w:i/>
          <w:sz w:val="16"/>
          <w:szCs w:val="16"/>
          <w:lang w:val="es-CR"/>
        </w:rPr>
        <w:t>, supra</w:t>
      </w:r>
      <w:r w:rsidRPr="00637508">
        <w:rPr>
          <w:sz w:val="16"/>
          <w:szCs w:val="16"/>
          <w:lang w:val="es-CR"/>
        </w:rPr>
        <w:t xml:space="preserve">, párr. 171; </w:t>
      </w:r>
      <w:r>
        <w:rPr>
          <w:i/>
          <w:sz w:val="16"/>
          <w:szCs w:val="16"/>
          <w:lang w:val="es-CR"/>
        </w:rPr>
        <w:t>Caso Tarazona Arrieta y otros Vs. Perú. Excepción Preliminar, Fondo, Reparaciones y Costas.</w:t>
      </w:r>
      <w:r>
        <w:rPr>
          <w:sz w:val="16"/>
          <w:szCs w:val="16"/>
          <w:lang w:val="es-CR"/>
        </w:rPr>
        <w:t xml:space="preserve"> Sentencia de 15 de octubre de 2014. Serie C No. 286, párr. 140 </w:t>
      </w:r>
      <w:r w:rsidRPr="00637508">
        <w:rPr>
          <w:sz w:val="16"/>
          <w:szCs w:val="16"/>
          <w:lang w:val="es-CR"/>
        </w:rPr>
        <w:t xml:space="preserve">y </w:t>
      </w:r>
      <w:r w:rsidRPr="00637508">
        <w:rPr>
          <w:i/>
          <w:sz w:val="16"/>
          <w:szCs w:val="16"/>
          <w:lang w:val="es-CR"/>
        </w:rPr>
        <w:t>Caso Andrade Salmón Vs. Bolivia. Fondo, Reparaciones y Costas.</w:t>
      </w:r>
      <w:r w:rsidRPr="00637508">
        <w:rPr>
          <w:sz w:val="16"/>
          <w:szCs w:val="16"/>
          <w:lang w:val="es-CR"/>
        </w:rPr>
        <w:t xml:space="preserve"> Sentencia de 1 de diciembre de 2016, Serie C No. 330, párr. </w:t>
      </w:r>
      <w:r w:rsidRPr="00927D95">
        <w:rPr>
          <w:sz w:val="16"/>
          <w:szCs w:val="16"/>
          <w:lang w:val="es-CR"/>
        </w:rPr>
        <w:t xml:space="preserve">96. </w:t>
      </w:r>
    </w:p>
  </w:footnote>
  <w:footnote w:id="111">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El Estado manifestó que “[r]</w:t>
      </w:r>
      <w:proofErr w:type="spellStart"/>
      <w:r w:rsidRPr="00637508">
        <w:rPr>
          <w:sz w:val="16"/>
          <w:szCs w:val="16"/>
          <w:lang w:val="es-CR"/>
        </w:rPr>
        <w:t>esponsabilidad</w:t>
      </w:r>
      <w:proofErr w:type="spellEnd"/>
      <w:r w:rsidRPr="00637508">
        <w:rPr>
          <w:sz w:val="16"/>
          <w:szCs w:val="16"/>
          <w:lang w:val="es-CR"/>
        </w:rPr>
        <w:t xml:space="preserve"> institucional es la articulación y concreción de todas las acciones, mecanismos, normativa y/o políticas encaminadas a evitar ocasionar daño a todo ser humano sin distinción alguna, por medio de las instituciones responsables de velar por el bien común y el desarrollo integral de las personas”, y que la “[r]</w:t>
      </w:r>
      <w:proofErr w:type="spellStart"/>
      <w:r w:rsidRPr="00637508">
        <w:rPr>
          <w:sz w:val="16"/>
          <w:szCs w:val="16"/>
          <w:lang w:val="es-CR"/>
        </w:rPr>
        <w:t>esponsabilidad</w:t>
      </w:r>
      <w:proofErr w:type="spellEnd"/>
      <w:r w:rsidRPr="00637508">
        <w:rPr>
          <w:sz w:val="16"/>
          <w:szCs w:val="16"/>
          <w:lang w:val="es-CR"/>
        </w:rPr>
        <w:t xml:space="preserve"> internacional consiste en el incumplimiento por parte del Estado de una obligación establecida en una norma de carácter internacional por acción y omisión que da como resultado lesionar los derechos de las personas a quienes debe tutelar, responsabilidad que se encuentra consagrada en los artículos 1 y 2 de la Convención Americana sobre Derechos Humanos y otros instrumentos de carácter internacional a los cuales Guatemala se ha adherido”.</w:t>
      </w:r>
    </w:p>
  </w:footnote>
  <w:footnote w:id="112">
    <w:p w:rsidR="00785921" w:rsidRPr="00AA52A6" w:rsidRDefault="00785921" w:rsidP="00126E97">
      <w:pPr>
        <w:pStyle w:val="FootnoteText"/>
        <w:spacing w:line="20" w:lineRule="atLeast"/>
        <w:rPr>
          <w:sz w:val="16"/>
          <w:szCs w:val="16"/>
          <w:lang w:val="es-CR"/>
        </w:rPr>
      </w:pPr>
      <w:r w:rsidRPr="00AA52A6">
        <w:rPr>
          <w:rStyle w:val="FootnoteReference"/>
          <w:sz w:val="16"/>
          <w:szCs w:val="16"/>
        </w:rPr>
        <w:footnoteRef/>
      </w:r>
      <w:r w:rsidRPr="00AA52A6">
        <w:rPr>
          <w:sz w:val="16"/>
          <w:szCs w:val="16"/>
          <w:lang w:val="es-CR"/>
        </w:rPr>
        <w:t xml:space="preserve"> </w:t>
      </w:r>
      <w:proofErr w:type="spellStart"/>
      <w:r w:rsidRPr="00AA52A6">
        <w:rPr>
          <w:i/>
          <w:sz w:val="16"/>
          <w:szCs w:val="16"/>
          <w:lang w:val="es-CR"/>
        </w:rPr>
        <w:t>Cfr</w:t>
      </w:r>
      <w:proofErr w:type="spellEnd"/>
      <w:r w:rsidRPr="00AA52A6">
        <w:rPr>
          <w:i/>
          <w:sz w:val="16"/>
          <w:szCs w:val="16"/>
          <w:lang w:val="es-CR"/>
        </w:rPr>
        <w:t>,</w:t>
      </w:r>
      <w:r w:rsidRPr="00AA52A6">
        <w:rPr>
          <w:sz w:val="16"/>
          <w:szCs w:val="16"/>
          <w:lang w:val="es-CR"/>
        </w:rPr>
        <w:t xml:space="preserve"> por ejemplo, </w:t>
      </w:r>
      <w:r w:rsidRPr="00AA52A6">
        <w:rPr>
          <w:i/>
          <w:sz w:val="16"/>
          <w:szCs w:val="16"/>
          <w:lang w:val="es-CR"/>
        </w:rPr>
        <w:t xml:space="preserve">Caso de la "Masacre de </w:t>
      </w:r>
      <w:proofErr w:type="spellStart"/>
      <w:r w:rsidRPr="00AA52A6">
        <w:rPr>
          <w:i/>
          <w:sz w:val="16"/>
          <w:szCs w:val="16"/>
          <w:lang w:val="es-CR"/>
        </w:rPr>
        <w:t>Mapiripán</w:t>
      </w:r>
      <w:proofErr w:type="spellEnd"/>
      <w:r w:rsidRPr="00AA52A6">
        <w:rPr>
          <w:i/>
          <w:sz w:val="16"/>
          <w:szCs w:val="16"/>
          <w:lang w:val="es-CR"/>
        </w:rPr>
        <w:t>" Vs. Colombia.</w:t>
      </w:r>
      <w:r w:rsidRPr="00AA52A6">
        <w:rPr>
          <w:sz w:val="16"/>
          <w:szCs w:val="16"/>
          <w:lang w:val="es-CR"/>
        </w:rPr>
        <w:t xml:space="preserve"> Sentencia de 15 de septiembre de 2005. Serie C No. 134, y </w:t>
      </w:r>
      <w:r w:rsidRPr="00AA52A6">
        <w:rPr>
          <w:i/>
          <w:sz w:val="16"/>
          <w:szCs w:val="16"/>
          <w:lang w:val="es-CR"/>
        </w:rPr>
        <w:t xml:space="preserve">Caso Miembros de la Aldea </w:t>
      </w:r>
      <w:proofErr w:type="spellStart"/>
      <w:r w:rsidRPr="00AA52A6">
        <w:rPr>
          <w:i/>
          <w:sz w:val="16"/>
          <w:szCs w:val="16"/>
          <w:lang w:val="es-CR"/>
        </w:rPr>
        <w:t>Chichupac</w:t>
      </w:r>
      <w:proofErr w:type="spellEnd"/>
      <w:r w:rsidRPr="00AA52A6">
        <w:rPr>
          <w:i/>
          <w:sz w:val="16"/>
          <w:szCs w:val="16"/>
          <w:lang w:val="es-CR"/>
        </w:rPr>
        <w:t xml:space="preserve"> y comunidades vecinas del Municipio de Rabinal Vs. Guatemala</w:t>
      </w:r>
      <w:r>
        <w:rPr>
          <w:i/>
          <w:sz w:val="16"/>
          <w:szCs w:val="16"/>
          <w:lang w:val="es-CR"/>
        </w:rPr>
        <w:t>, supra</w:t>
      </w:r>
      <w:r w:rsidRPr="00AA52A6">
        <w:rPr>
          <w:sz w:val="16"/>
          <w:szCs w:val="16"/>
          <w:lang w:val="es-CR"/>
        </w:rPr>
        <w:t xml:space="preserve">. </w:t>
      </w:r>
    </w:p>
  </w:footnote>
  <w:footnote w:id="113">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El artículo 8 de la Convención establece</w:t>
      </w:r>
      <w:r>
        <w:rPr>
          <w:sz w:val="16"/>
          <w:szCs w:val="16"/>
          <w:lang w:val="es-CR"/>
        </w:rPr>
        <w:t xml:space="preserve"> en lo pertinente</w:t>
      </w:r>
      <w:r w:rsidRPr="00637508">
        <w:rPr>
          <w:sz w:val="16"/>
          <w:szCs w:val="16"/>
          <w:lang w:val="es-CR"/>
        </w:rPr>
        <w:t xml:space="preserve">: “Garantías Judiciales.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p>
  </w:footnote>
  <w:footnote w:id="114">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w:t>
      </w:r>
      <w:r w:rsidRPr="00637508">
        <w:rPr>
          <w:rFonts w:cs="Arial"/>
          <w:sz w:val="16"/>
          <w:szCs w:val="16"/>
          <w:lang w:val="es-CR"/>
        </w:rPr>
        <w:t>El artículo 25 de la Convención establece: “Protección Judicial</w:t>
      </w:r>
      <w:r>
        <w:rPr>
          <w:rFonts w:cs="Arial"/>
          <w:sz w:val="16"/>
          <w:szCs w:val="16"/>
          <w:lang w:val="es-CR"/>
        </w:rPr>
        <w:t>.</w:t>
      </w:r>
      <w:r w:rsidRPr="00637508">
        <w:rPr>
          <w:rFonts w:cs="Arial"/>
          <w:sz w:val="16"/>
          <w:szCs w:val="16"/>
          <w:lang w:val="es-CR"/>
        </w:rPr>
        <w:t xml:space="preserve">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2. Los Estados Partes se comprometen: a) a garantizar que la autoridad competente prevista por el sistema legal del Estado decidirá sobre los derechos de toda persona que interponga tal recurso; b) a desarrollar las posibilidades de recurso judicial, y c) a garantizar el cumplimiento, por las autoridades competentes, de toda decisión en que se haya estimado procedente el recurso”.</w:t>
      </w:r>
    </w:p>
  </w:footnote>
  <w:footnote w:id="115">
    <w:p w:rsidR="00785921" w:rsidRDefault="00785921" w:rsidP="00126E97">
      <w:pPr>
        <w:pStyle w:val="FootnoteText"/>
        <w:spacing w:line="20" w:lineRule="atLeast"/>
        <w:rPr>
          <w:sz w:val="16"/>
          <w:szCs w:val="16"/>
          <w:lang w:val="es-ES_tradnl"/>
        </w:rPr>
      </w:pPr>
      <w:r>
        <w:rPr>
          <w:rStyle w:val="FootnoteReference"/>
          <w:sz w:val="16"/>
          <w:szCs w:val="16"/>
          <w:lang w:val="es-ES_tradnl" w:eastAsia="x-none"/>
        </w:rPr>
        <w:footnoteRef/>
      </w:r>
      <w:r>
        <w:rPr>
          <w:sz w:val="16"/>
          <w:szCs w:val="16"/>
          <w:lang w:val="es-CR"/>
        </w:rPr>
        <w:t xml:space="preserve"> </w:t>
      </w:r>
      <w:r>
        <w:rPr>
          <w:rFonts w:eastAsia="Times New Roman" w:cs="Times New Roman"/>
          <w:bCs/>
          <w:color w:val="000000"/>
          <w:sz w:val="16"/>
          <w:szCs w:val="16"/>
          <w:lang w:val="es-CR"/>
        </w:rPr>
        <w:t xml:space="preserve">La Comisión destacó que a lo </w:t>
      </w:r>
      <w:r>
        <w:rPr>
          <w:sz w:val="16"/>
          <w:szCs w:val="16"/>
          <w:lang w:val="es-CR"/>
        </w:rPr>
        <w:t xml:space="preserve">largo del proceso hubo períodos de inactividad: a) la demora de casi dos años de ocurridos los hechos hasta que se decretó la apertura a juicio; b) la pérdida del expediente durante un par de meses a fines de 1997, y c) la demora de más de tres años para iniciar un nuevo debate oral conforme a los ordenado por la cámara penal de la corte suprema de justicia en abril de 2000. </w:t>
      </w:r>
      <w:r>
        <w:rPr>
          <w:rFonts w:eastAsia="Times New Roman" w:cs="Times New Roman"/>
          <w:bCs/>
          <w:color w:val="000000"/>
          <w:sz w:val="16"/>
          <w:szCs w:val="16"/>
          <w:lang w:val="es-CR"/>
        </w:rPr>
        <w:t xml:space="preserve">Además, entendió que la demora no podía justificarse por la complejidad del asunto ya que los miembros de la patrulla se encontraban identificados y hubo testigos de los hechos. </w:t>
      </w:r>
    </w:p>
  </w:footnote>
  <w:footnote w:id="116">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En el escrito de alegatos finales explicaron que por una resolución de la Corte Suprema de Justicia de 8 de julio de 2015, se rebajó 10 años a la condena de 40 años de prisión que, de ese modo, quedó reducida a 30 años de pena privativa de libertad. Señalaron que “ocho” personas estaban ya libres</w:t>
      </w:r>
      <w:r>
        <w:rPr>
          <w:sz w:val="16"/>
          <w:szCs w:val="16"/>
          <w:lang w:val="es-CR"/>
        </w:rPr>
        <w:t xml:space="preserve"> </w:t>
      </w:r>
      <w:r w:rsidRPr="00637508">
        <w:rPr>
          <w:sz w:val="16"/>
          <w:szCs w:val="16"/>
          <w:lang w:val="es-CR"/>
        </w:rPr>
        <w:t>pero en el mismo documento, al detallar qué condenados estaban ya en libertad, mencionaron a tres personas en esa situación y señalaron que 12 personas “podrán solicitar su libertad”, cuatro a partir del 20 de septiembre de 2019 y el resto durante 20</w:t>
      </w:r>
      <w:r w:rsidRPr="00CA1EB2">
        <w:rPr>
          <w:sz w:val="16"/>
          <w:szCs w:val="16"/>
          <w:lang w:val="es-CR"/>
        </w:rPr>
        <w:t>1</w:t>
      </w:r>
      <w:r w:rsidRPr="00676759">
        <w:rPr>
          <w:sz w:val="16"/>
          <w:szCs w:val="16"/>
          <w:lang w:val="es-CR"/>
        </w:rPr>
        <w:t>8</w:t>
      </w:r>
      <w:r w:rsidRPr="00637508">
        <w:rPr>
          <w:sz w:val="16"/>
          <w:szCs w:val="16"/>
          <w:lang w:val="es-CR"/>
        </w:rPr>
        <w:t>. Indicaron la “buena conducta” como la causal de las liberaciones ya efectivizadas o de aquellas posibles de ser concretadas. Respecto de una persona condenada mencionaron tanto que podría ser liberada el 5 de abril de 2018 como que salió en libertad el 27 de octubre de 2015. Además, aun cuando los representantes efectuaron estas manifestaciones el 9 de marzo de 2018, al indicar la fecha en la que dos de las 12 personas aludidas podrían solicitar su liberación, señalaron una fecha anterior: 5 de enero de 2018.</w:t>
      </w:r>
    </w:p>
  </w:footnote>
  <w:footnote w:id="117">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sidRPr="00637508">
        <w:rPr>
          <w:sz w:val="16"/>
          <w:szCs w:val="16"/>
          <w:lang w:val="es-CR"/>
        </w:rPr>
        <w:t xml:space="preserve"> </w:t>
      </w:r>
      <w:r>
        <w:rPr>
          <w:sz w:val="16"/>
          <w:szCs w:val="16"/>
          <w:lang w:val="es-CR"/>
        </w:rPr>
        <w:t xml:space="preserve">En la audiencia pública se solicitó a los representantes precisar las omisiones y falencias a que aludieron. En respuesta, en sus alegatos finales escritos, además de reiterar consideraciones ya reseñadas, señalaron los siguientes “hechos que denotan la ausencia de interés por parte de las autoridades”: a) “[e]l Ministro de la Defensa […] </w:t>
      </w:r>
      <w:proofErr w:type="spellStart"/>
      <w:r>
        <w:rPr>
          <w:sz w:val="16"/>
          <w:szCs w:val="16"/>
          <w:lang w:val="es-CR"/>
        </w:rPr>
        <w:t>responsabiliz</w:t>
      </w:r>
      <w:proofErr w:type="spellEnd"/>
      <w:r>
        <w:rPr>
          <w:sz w:val="16"/>
          <w:szCs w:val="16"/>
          <w:lang w:val="es-CR"/>
        </w:rPr>
        <w:t>[</w:t>
      </w:r>
      <w:proofErr w:type="spellStart"/>
      <w:r>
        <w:rPr>
          <w:sz w:val="16"/>
          <w:szCs w:val="16"/>
          <w:lang w:val="es-CR"/>
        </w:rPr>
        <w:t>ó</w:t>
      </w:r>
      <w:proofErr w:type="spellEnd"/>
      <w:r>
        <w:rPr>
          <w:sz w:val="16"/>
          <w:szCs w:val="16"/>
          <w:lang w:val="es-CR"/>
        </w:rPr>
        <w:t>] de la masacre a la misma [C]</w:t>
      </w:r>
      <w:proofErr w:type="spellStart"/>
      <w:r>
        <w:rPr>
          <w:sz w:val="16"/>
          <w:szCs w:val="16"/>
          <w:lang w:val="es-CR"/>
        </w:rPr>
        <w:t>omunidad</w:t>
      </w:r>
      <w:proofErr w:type="spellEnd"/>
      <w:r>
        <w:rPr>
          <w:sz w:val="16"/>
          <w:szCs w:val="16"/>
          <w:lang w:val="es-CR"/>
        </w:rPr>
        <w:t>, señalando que los militares fueron engañados para ingresar a la [misma, y b)</w:t>
      </w:r>
      <w:r w:rsidDel="00B07F11">
        <w:rPr>
          <w:sz w:val="16"/>
          <w:szCs w:val="16"/>
          <w:lang w:val="es-CR"/>
        </w:rPr>
        <w:t xml:space="preserve"> </w:t>
      </w:r>
      <w:r>
        <w:rPr>
          <w:sz w:val="16"/>
          <w:szCs w:val="16"/>
          <w:lang w:val="es-CR"/>
        </w:rPr>
        <w:t xml:space="preserve">s]e </w:t>
      </w:r>
      <w:proofErr w:type="spellStart"/>
      <w:r>
        <w:rPr>
          <w:sz w:val="16"/>
          <w:szCs w:val="16"/>
          <w:lang w:val="es-CR"/>
        </w:rPr>
        <w:t>gener</w:t>
      </w:r>
      <w:proofErr w:type="spellEnd"/>
      <w:r>
        <w:rPr>
          <w:sz w:val="16"/>
          <w:szCs w:val="16"/>
          <w:lang w:val="es-CR"/>
        </w:rPr>
        <w:t>[</w:t>
      </w:r>
      <w:proofErr w:type="spellStart"/>
      <w:r>
        <w:rPr>
          <w:sz w:val="16"/>
          <w:szCs w:val="16"/>
          <w:lang w:val="es-CR"/>
        </w:rPr>
        <w:t>ó</w:t>
      </w:r>
      <w:proofErr w:type="spellEnd"/>
      <w:r>
        <w:rPr>
          <w:sz w:val="16"/>
          <w:szCs w:val="16"/>
          <w:lang w:val="es-CR"/>
        </w:rPr>
        <w:t xml:space="preserve">] el rumor de golpe de Estado como consecuencia del descontento generado en el Ejército luego de la destitución del comandante de la base militar [..] 21 y de haberse aceptado la renuncia del Ministro de la Defensa”. </w:t>
      </w:r>
    </w:p>
  </w:footnote>
  <w:footnote w:id="118">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Destacó que “para la época en que se desarrollaron los hechos del presente caso </w:t>
      </w:r>
      <w:r w:rsidRPr="00637508">
        <w:rPr>
          <w:rFonts w:eastAsia="Times New Roman" w:cs="Times New Roman"/>
          <w:sz w:val="16"/>
          <w:szCs w:val="16"/>
          <w:lang w:val="es-CR"/>
        </w:rPr>
        <w:t xml:space="preserve">no se </w:t>
      </w:r>
      <w:r w:rsidRPr="00637508">
        <w:rPr>
          <w:rFonts w:eastAsia="Times New Roman" w:cs="Times New Roman"/>
          <w:w w:val="113"/>
          <w:sz w:val="16"/>
          <w:szCs w:val="16"/>
          <w:lang w:val="es-CR"/>
        </w:rPr>
        <w:t xml:space="preserve">contaba </w:t>
      </w:r>
      <w:r w:rsidRPr="00637508">
        <w:rPr>
          <w:rFonts w:eastAsia="Times New Roman" w:cs="Times New Roman"/>
          <w:sz w:val="16"/>
          <w:szCs w:val="16"/>
          <w:lang w:val="es-CR"/>
        </w:rPr>
        <w:t xml:space="preserve">aun </w:t>
      </w:r>
      <w:r w:rsidRPr="00637508">
        <w:rPr>
          <w:rFonts w:eastAsia="Times New Roman" w:cs="Times New Roman"/>
          <w:w w:val="105"/>
          <w:sz w:val="16"/>
          <w:szCs w:val="16"/>
          <w:lang w:val="es-CR"/>
        </w:rPr>
        <w:t xml:space="preserve">con </w:t>
      </w:r>
      <w:r w:rsidRPr="00637508">
        <w:rPr>
          <w:rFonts w:eastAsia="Times New Roman" w:cs="Times New Roman"/>
          <w:sz w:val="16"/>
          <w:szCs w:val="16"/>
          <w:lang w:val="es-CR"/>
        </w:rPr>
        <w:t xml:space="preserve">los </w:t>
      </w:r>
      <w:r w:rsidRPr="00637508">
        <w:rPr>
          <w:rFonts w:eastAsia="Times New Roman" w:cs="Times New Roman"/>
          <w:w w:val="112"/>
          <w:sz w:val="16"/>
          <w:szCs w:val="16"/>
          <w:lang w:val="es-CR"/>
        </w:rPr>
        <w:t xml:space="preserve">principios rectores </w:t>
      </w:r>
      <w:r w:rsidRPr="00637508">
        <w:rPr>
          <w:rFonts w:eastAsia="Times New Roman" w:cs="Times New Roman"/>
          <w:sz w:val="16"/>
          <w:szCs w:val="16"/>
          <w:lang w:val="es-CR"/>
        </w:rPr>
        <w:t>del Manual sobre la Prevención e Investigación Eficaces de Ejecuciones Extrajudiciales, Arbitrarias y Sumarias de las Naciones  Unidas</w:t>
      </w:r>
      <w:r w:rsidRPr="00637508">
        <w:rPr>
          <w:rFonts w:eastAsia="Times New Roman" w:cs="Times New Roman"/>
          <w:w w:val="114"/>
          <w:sz w:val="16"/>
          <w:szCs w:val="16"/>
          <w:lang w:val="es-CR"/>
        </w:rPr>
        <w:t xml:space="preserve">; </w:t>
      </w:r>
      <w:r w:rsidRPr="00637508">
        <w:rPr>
          <w:rFonts w:eastAsia="Times New Roman" w:cs="Times New Roman"/>
          <w:sz w:val="16"/>
          <w:szCs w:val="16"/>
          <w:lang w:val="es-CR"/>
        </w:rPr>
        <w:t xml:space="preserve">sin </w:t>
      </w:r>
      <w:r w:rsidRPr="00637508">
        <w:rPr>
          <w:rFonts w:eastAsia="Times New Roman" w:cs="Times New Roman"/>
          <w:w w:val="110"/>
          <w:sz w:val="16"/>
          <w:szCs w:val="16"/>
          <w:lang w:val="es-CR"/>
        </w:rPr>
        <w:t xml:space="preserve">embargo, […] </w:t>
      </w:r>
      <w:r w:rsidRPr="00637508">
        <w:rPr>
          <w:rFonts w:eastAsia="Times New Roman" w:cs="Times New Roman"/>
          <w:sz w:val="16"/>
          <w:szCs w:val="16"/>
          <w:lang w:val="es-CR"/>
        </w:rPr>
        <w:t xml:space="preserve">el Estado […] </w:t>
      </w:r>
      <w:r w:rsidRPr="00637508">
        <w:rPr>
          <w:rFonts w:eastAsia="Times New Roman" w:cs="Times New Roman"/>
          <w:w w:val="114"/>
          <w:sz w:val="16"/>
          <w:szCs w:val="16"/>
          <w:lang w:val="es-CR"/>
        </w:rPr>
        <w:t xml:space="preserve">desarrolló </w:t>
      </w:r>
      <w:r w:rsidRPr="00637508">
        <w:rPr>
          <w:rFonts w:eastAsia="Times New Roman" w:cs="Times New Roman"/>
          <w:sz w:val="16"/>
          <w:szCs w:val="16"/>
          <w:lang w:val="es-CR"/>
        </w:rPr>
        <w:t xml:space="preserve">un sin </w:t>
      </w:r>
      <w:r w:rsidRPr="00637508">
        <w:rPr>
          <w:rFonts w:eastAsia="Times New Roman" w:cs="Times New Roman"/>
          <w:w w:val="113"/>
          <w:sz w:val="16"/>
          <w:szCs w:val="16"/>
          <w:lang w:val="es-CR"/>
        </w:rPr>
        <w:t xml:space="preserve">número </w:t>
      </w:r>
      <w:r w:rsidRPr="00637508">
        <w:rPr>
          <w:rFonts w:eastAsia="Times New Roman" w:cs="Times New Roman"/>
          <w:sz w:val="16"/>
          <w:szCs w:val="16"/>
          <w:lang w:val="es-CR"/>
        </w:rPr>
        <w:t xml:space="preserve">de </w:t>
      </w:r>
      <w:r w:rsidRPr="00637508">
        <w:rPr>
          <w:rFonts w:eastAsia="Times New Roman" w:cs="Times New Roman"/>
          <w:w w:val="111"/>
          <w:sz w:val="16"/>
          <w:szCs w:val="16"/>
          <w:lang w:val="es-CR"/>
        </w:rPr>
        <w:t xml:space="preserve">acciones </w:t>
      </w:r>
      <w:r w:rsidRPr="00637508">
        <w:rPr>
          <w:rFonts w:eastAsia="Times New Roman" w:cs="Times New Roman"/>
          <w:sz w:val="16"/>
          <w:szCs w:val="16"/>
          <w:lang w:val="es-CR"/>
        </w:rPr>
        <w:t xml:space="preserve">y </w:t>
      </w:r>
      <w:r w:rsidRPr="00637508">
        <w:rPr>
          <w:rFonts w:eastAsia="Times New Roman" w:cs="Times New Roman"/>
          <w:w w:val="112"/>
          <w:sz w:val="16"/>
          <w:szCs w:val="16"/>
          <w:lang w:val="es-CR"/>
        </w:rPr>
        <w:t xml:space="preserve">se </w:t>
      </w:r>
      <w:r w:rsidRPr="00637508">
        <w:rPr>
          <w:rFonts w:eastAsia="Times New Roman" w:cs="Times New Roman"/>
          <w:w w:val="111"/>
          <w:sz w:val="16"/>
          <w:szCs w:val="16"/>
          <w:lang w:val="es-CR"/>
        </w:rPr>
        <w:t xml:space="preserve">siguieron </w:t>
      </w:r>
      <w:r w:rsidRPr="00637508">
        <w:rPr>
          <w:rFonts w:eastAsia="Times New Roman" w:cs="Times New Roman"/>
          <w:sz w:val="16"/>
          <w:szCs w:val="16"/>
          <w:lang w:val="es-CR"/>
        </w:rPr>
        <w:t xml:space="preserve">líneas lógicas de </w:t>
      </w:r>
      <w:r w:rsidRPr="00637508">
        <w:rPr>
          <w:rFonts w:eastAsia="Times New Roman" w:cs="Times New Roman"/>
          <w:w w:val="109"/>
          <w:sz w:val="16"/>
          <w:szCs w:val="16"/>
          <w:lang w:val="es-CR"/>
        </w:rPr>
        <w:t xml:space="preserve">investigación </w:t>
      </w:r>
      <w:r w:rsidRPr="00637508">
        <w:rPr>
          <w:rFonts w:eastAsia="Times New Roman" w:cs="Times New Roman"/>
          <w:sz w:val="16"/>
          <w:szCs w:val="16"/>
          <w:lang w:val="es-CR"/>
        </w:rPr>
        <w:t xml:space="preserve">para </w:t>
      </w:r>
      <w:r w:rsidRPr="00637508">
        <w:rPr>
          <w:rFonts w:eastAsia="Times New Roman" w:cs="Times New Roman"/>
          <w:w w:val="110"/>
          <w:sz w:val="16"/>
          <w:szCs w:val="16"/>
          <w:lang w:val="es-CR"/>
        </w:rPr>
        <w:t xml:space="preserve">cumplir </w:t>
      </w:r>
      <w:r w:rsidRPr="00637508">
        <w:rPr>
          <w:rFonts w:eastAsia="Times New Roman" w:cs="Times New Roman"/>
          <w:sz w:val="16"/>
          <w:szCs w:val="16"/>
          <w:lang w:val="es-CR"/>
        </w:rPr>
        <w:t xml:space="preserve">con la </w:t>
      </w:r>
      <w:r w:rsidRPr="00637508">
        <w:rPr>
          <w:rFonts w:eastAsia="Times New Roman" w:cs="Times New Roman"/>
          <w:w w:val="107"/>
          <w:sz w:val="16"/>
          <w:szCs w:val="16"/>
          <w:lang w:val="es-CR"/>
        </w:rPr>
        <w:t xml:space="preserve">finalidad del </w:t>
      </w:r>
      <w:r w:rsidRPr="00637508">
        <w:rPr>
          <w:rFonts w:eastAsia="Times New Roman" w:cs="Times New Roman"/>
          <w:w w:val="112"/>
          <w:sz w:val="16"/>
          <w:szCs w:val="16"/>
          <w:lang w:val="es-CR"/>
        </w:rPr>
        <w:t xml:space="preserve">proceso </w:t>
      </w:r>
      <w:r w:rsidRPr="00637508">
        <w:rPr>
          <w:rFonts w:eastAsia="Times New Roman" w:cs="Times New Roman"/>
          <w:sz w:val="16"/>
          <w:szCs w:val="16"/>
          <w:lang w:val="es-CR"/>
        </w:rPr>
        <w:t>penal”.</w:t>
      </w:r>
    </w:p>
  </w:footnote>
  <w:footnote w:id="119">
    <w:p w:rsidR="00785921" w:rsidRPr="00AB6711" w:rsidRDefault="00785921" w:rsidP="00126E97">
      <w:pPr>
        <w:tabs>
          <w:tab w:val="left" w:pos="567"/>
        </w:tabs>
        <w:spacing w:after="0" w:line="20" w:lineRule="atLeast"/>
        <w:jc w:val="both"/>
        <w:rPr>
          <w:rFonts w:ascii="Verdana" w:hAnsi="Verdana"/>
          <w:i/>
          <w:sz w:val="16"/>
          <w:szCs w:val="16"/>
          <w:lang w:val="es-CR"/>
        </w:rPr>
      </w:pPr>
      <w:r w:rsidRPr="0057574C">
        <w:rPr>
          <w:rStyle w:val="FootnoteReference"/>
          <w:rFonts w:ascii="Verdana" w:eastAsia="MS Mincho" w:hAnsi="Verdana"/>
          <w:sz w:val="16"/>
          <w:szCs w:val="16"/>
          <w:lang w:eastAsia="x-none"/>
        </w:rPr>
        <w:footnoteRef/>
      </w:r>
      <w:r w:rsidRPr="0057574C">
        <w:rPr>
          <w:rFonts w:ascii="Verdana" w:hAnsi="Verdana"/>
          <w:sz w:val="16"/>
          <w:szCs w:val="16"/>
          <w:lang w:val="es-CR"/>
        </w:rPr>
        <w:t xml:space="preserve"> </w:t>
      </w:r>
      <w:r w:rsidRPr="0057574C">
        <w:rPr>
          <w:rFonts w:ascii="Verdana" w:hAnsi="Verdana"/>
          <w:i/>
          <w:sz w:val="16"/>
          <w:szCs w:val="16"/>
          <w:lang w:val="es-CR"/>
        </w:rPr>
        <w:t xml:space="preserve">Cfr. Caso Velásquez Rodríguez Vs. Honduras. Excepciones Preliminares. </w:t>
      </w:r>
      <w:r w:rsidRPr="0057574C">
        <w:rPr>
          <w:rFonts w:ascii="Verdana" w:eastAsia="Times New Roman" w:hAnsi="Verdana" w:cs="Times New Roman"/>
          <w:sz w:val="16"/>
          <w:szCs w:val="16"/>
          <w:lang w:val="es-CR"/>
        </w:rPr>
        <w:t>Sentencia de 26 de junio de 1987. Serie C No. 1</w:t>
      </w:r>
      <w:r w:rsidRPr="0057574C">
        <w:rPr>
          <w:rFonts w:ascii="Verdana" w:hAnsi="Verdana"/>
          <w:i/>
          <w:sz w:val="16"/>
          <w:szCs w:val="16"/>
          <w:lang w:val="es-CR"/>
        </w:rPr>
        <w:t xml:space="preserve">, </w:t>
      </w:r>
      <w:r w:rsidRPr="0057574C">
        <w:rPr>
          <w:rFonts w:ascii="Verdana" w:hAnsi="Verdana"/>
          <w:sz w:val="16"/>
          <w:szCs w:val="16"/>
          <w:lang w:val="es-CR"/>
        </w:rPr>
        <w:t>párr. 91,</w:t>
      </w:r>
      <w:r w:rsidRPr="0057574C">
        <w:rPr>
          <w:rFonts w:ascii="Verdana" w:hAnsi="Verdana"/>
          <w:i/>
          <w:sz w:val="16"/>
          <w:szCs w:val="16"/>
          <w:lang w:val="es-CR"/>
        </w:rPr>
        <w:t xml:space="preserve"> </w:t>
      </w:r>
      <w:r w:rsidRPr="0057574C">
        <w:rPr>
          <w:rFonts w:ascii="Verdana" w:hAnsi="Verdana"/>
          <w:sz w:val="16"/>
          <w:szCs w:val="16"/>
          <w:lang w:val="es-CR"/>
        </w:rPr>
        <w:t>y</w:t>
      </w:r>
      <w:r w:rsidRPr="0057574C">
        <w:rPr>
          <w:rFonts w:ascii="Verdana" w:hAnsi="Verdana"/>
          <w:i/>
          <w:sz w:val="16"/>
          <w:szCs w:val="16"/>
          <w:lang w:val="es-CR"/>
        </w:rPr>
        <w:t xml:space="preserve"> Caso V.R.P., V.P.C. y otros Vs. Nicaragua. Excepciones Preliminares, Fondo, Reparaciones y Costas. </w:t>
      </w:r>
      <w:r w:rsidRPr="0057574C">
        <w:rPr>
          <w:rFonts w:ascii="Verdana" w:hAnsi="Verdana"/>
          <w:sz w:val="16"/>
          <w:szCs w:val="16"/>
          <w:lang w:val="es-CR"/>
        </w:rPr>
        <w:t>Sentencia de 8 de marzo de 2018. Serie C No. 350, párr. 150</w:t>
      </w:r>
      <w:r w:rsidRPr="0057574C">
        <w:rPr>
          <w:rFonts w:ascii="Verdana" w:hAnsi="Verdana"/>
          <w:i/>
          <w:sz w:val="16"/>
          <w:szCs w:val="16"/>
          <w:lang w:val="es-CR"/>
        </w:rPr>
        <w:t>.</w:t>
      </w:r>
      <w:r>
        <w:rPr>
          <w:rFonts w:ascii="Verdana" w:hAnsi="Verdana"/>
          <w:i/>
          <w:sz w:val="16"/>
          <w:szCs w:val="16"/>
          <w:lang w:val="es-CR"/>
        </w:rPr>
        <w:t xml:space="preserve"> </w:t>
      </w:r>
      <w:r w:rsidRPr="00AB6711">
        <w:rPr>
          <w:rFonts w:ascii="Verdana" w:hAnsi="Verdana"/>
          <w:sz w:val="16"/>
          <w:szCs w:val="16"/>
          <w:lang w:val="es-CR"/>
        </w:rPr>
        <w:t>En cuanto al artículo 1 de la Convención, en lo pertinente, establece:</w:t>
      </w:r>
      <w:r w:rsidRPr="00AB6711">
        <w:rPr>
          <w:rFonts w:ascii="Verdana" w:hAnsi="Verdana"/>
          <w:i/>
          <w:sz w:val="16"/>
          <w:szCs w:val="16"/>
          <w:lang w:val="es-CR"/>
        </w:rPr>
        <w:t xml:space="preserve"> </w:t>
      </w:r>
      <w:r>
        <w:rPr>
          <w:rFonts w:ascii="Verdana" w:hAnsi="Verdana" w:cs="Tahoma"/>
          <w:color w:val="000000"/>
          <w:sz w:val="16"/>
          <w:szCs w:val="16"/>
        </w:rPr>
        <w:t>“Obligación de Respetar los Derechos</w:t>
      </w:r>
      <w:r w:rsidRPr="00AB6711">
        <w:rPr>
          <w:rFonts w:ascii="Verdana" w:hAnsi="Verdana" w:cs="Tahoma"/>
          <w:color w:val="000000"/>
          <w:sz w:val="16"/>
          <w:szCs w:val="16"/>
        </w:rPr>
        <w:t>.</w:t>
      </w:r>
      <w:r>
        <w:rPr>
          <w:rFonts w:ascii="Verdana" w:hAnsi="Verdana" w:cs="Tahoma"/>
          <w:color w:val="000000"/>
          <w:sz w:val="16"/>
          <w:szCs w:val="16"/>
        </w:rPr>
        <w:t xml:space="preserve">1. </w:t>
      </w:r>
      <w:r w:rsidRPr="00AB6711">
        <w:rPr>
          <w:rFonts w:ascii="Verdana" w:hAnsi="Verdana" w:cs="Tahoma"/>
          <w:color w:val="000000"/>
          <w:sz w:val="16"/>
          <w:szCs w:val="16"/>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r>
        <w:rPr>
          <w:rFonts w:ascii="Verdana" w:hAnsi="Verdana" w:cs="Tahoma"/>
          <w:color w:val="000000"/>
          <w:sz w:val="16"/>
          <w:szCs w:val="16"/>
        </w:rPr>
        <w:t>”</w:t>
      </w:r>
      <w:r w:rsidRPr="00AB6711">
        <w:rPr>
          <w:rFonts w:ascii="Verdana" w:hAnsi="Verdana" w:cs="Tahoma"/>
          <w:color w:val="000000"/>
          <w:sz w:val="16"/>
          <w:szCs w:val="16"/>
        </w:rPr>
        <w:t>.</w:t>
      </w:r>
      <w:r w:rsidRPr="00AB6711">
        <w:rPr>
          <w:rFonts w:ascii="Verdana" w:hAnsi="Verdana"/>
          <w:sz w:val="16"/>
          <w:szCs w:val="16"/>
        </w:rPr>
        <w:t xml:space="preserve"> </w:t>
      </w:r>
      <w:r w:rsidRPr="00AB6711">
        <w:rPr>
          <w:rFonts w:ascii="Verdana" w:hAnsi="Verdana" w:cs="Tahoma"/>
          <w:color w:val="000000"/>
          <w:sz w:val="16"/>
          <w:szCs w:val="16"/>
        </w:rPr>
        <w:t xml:space="preserve"> </w:t>
      </w:r>
    </w:p>
  </w:footnote>
  <w:footnote w:id="120">
    <w:p w:rsidR="00785921" w:rsidRDefault="00785921" w:rsidP="00126E97">
      <w:pPr>
        <w:pStyle w:val="FootnoteText"/>
        <w:spacing w:line="20" w:lineRule="atLeast"/>
        <w:rPr>
          <w:i/>
          <w:sz w:val="16"/>
          <w:szCs w:val="16"/>
          <w:lang w:val="es-ES_tradnl"/>
        </w:rPr>
      </w:pPr>
      <w:r w:rsidRPr="00B649D8">
        <w:rPr>
          <w:rStyle w:val="FootnoteReference"/>
          <w:sz w:val="16"/>
          <w:szCs w:val="16"/>
          <w:lang w:val="es-ES_tradnl" w:eastAsia="x-none"/>
        </w:rPr>
        <w:footnoteRef/>
      </w:r>
      <w:r w:rsidRPr="00B649D8">
        <w:rPr>
          <w:sz w:val="16"/>
          <w:szCs w:val="16"/>
          <w:lang w:val="es-ES_tradnl"/>
        </w:rPr>
        <w:t xml:space="preserve"> </w:t>
      </w:r>
      <w:r>
        <w:rPr>
          <w:i/>
          <w:sz w:val="16"/>
          <w:szCs w:val="16"/>
          <w:lang w:val="es-ES_tradnl"/>
        </w:rPr>
        <w:t>Cfr. Caso Velásquez Rodríguez Vs. Honduras.</w:t>
      </w:r>
      <w:r>
        <w:rPr>
          <w:sz w:val="16"/>
          <w:szCs w:val="16"/>
          <w:lang w:val="es-ES_tradnl"/>
        </w:rPr>
        <w:t xml:space="preserve"> </w:t>
      </w:r>
      <w:r>
        <w:rPr>
          <w:i/>
          <w:sz w:val="16"/>
          <w:szCs w:val="16"/>
          <w:lang w:val="es-ES_tradnl"/>
        </w:rPr>
        <w:t>Fondo, supra</w:t>
      </w:r>
      <w:r>
        <w:rPr>
          <w:sz w:val="16"/>
          <w:szCs w:val="16"/>
          <w:lang w:val="es-ES_tradnl"/>
        </w:rPr>
        <w:t>, párr. 166;</w:t>
      </w:r>
      <w:r>
        <w:rPr>
          <w:i/>
          <w:sz w:val="16"/>
          <w:szCs w:val="16"/>
          <w:lang w:val="es-ES_tradnl"/>
        </w:rPr>
        <w:t xml:space="preserve"> Caso Vásquez Durand y otros Vs. Ecuador. </w:t>
      </w:r>
      <w:r w:rsidRPr="00251A8B">
        <w:rPr>
          <w:i/>
          <w:sz w:val="16"/>
          <w:szCs w:val="16"/>
          <w:lang w:val="es-ES_tradnl"/>
        </w:rPr>
        <w:t>Excepciones Preliminares, Fondo, Reparaciones y Costas</w:t>
      </w:r>
      <w:r>
        <w:rPr>
          <w:sz w:val="16"/>
          <w:szCs w:val="16"/>
          <w:lang w:val="es-ES_tradnl"/>
        </w:rPr>
        <w:t xml:space="preserve">. Sentencia de 15 de febrero de 2017. Serie C No. 332, párr. 141. </w:t>
      </w:r>
    </w:p>
  </w:footnote>
  <w:footnote w:id="121">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w:t>
      </w:r>
      <w:r w:rsidRPr="00637508">
        <w:rPr>
          <w:i/>
          <w:sz w:val="16"/>
          <w:szCs w:val="16"/>
          <w:lang w:val="es-CR"/>
        </w:rPr>
        <w:t xml:space="preserve">Cfr. Caso Perozo y otros Vs. Venezuela. Excepciones Preliminares, Fondo, Reparaciones y Costas. </w:t>
      </w:r>
      <w:r w:rsidRPr="00637508">
        <w:rPr>
          <w:sz w:val="16"/>
          <w:szCs w:val="16"/>
          <w:lang w:val="es-CR"/>
        </w:rPr>
        <w:t xml:space="preserve">Sentencia de 28 de enero de 2009. Serie C No. 195, párr. 358, y </w:t>
      </w:r>
      <w:r w:rsidRPr="00637508">
        <w:rPr>
          <w:i/>
          <w:sz w:val="16"/>
          <w:szCs w:val="16"/>
          <w:lang w:val="es-CR"/>
        </w:rPr>
        <w:t xml:space="preserve">Caso Miembros de la Aldea </w:t>
      </w:r>
      <w:proofErr w:type="spellStart"/>
      <w:r w:rsidRPr="00637508">
        <w:rPr>
          <w:i/>
          <w:sz w:val="16"/>
          <w:szCs w:val="16"/>
          <w:lang w:val="es-CR"/>
        </w:rPr>
        <w:t>Chichupac</w:t>
      </w:r>
      <w:proofErr w:type="spellEnd"/>
      <w:r w:rsidRPr="00637508">
        <w:rPr>
          <w:i/>
          <w:sz w:val="16"/>
          <w:szCs w:val="16"/>
          <w:lang w:val="es-CR"/>
        </w:rPr>
        <w:t xml:space="preserve"> y comunidades vecinas del Municipio de Rabinal Vs. Guatemala</w:t>
      </w:r>
      <w:r>
        <w:rPr>
          <w:i/>
          <w:sz w:val="16"/>
          <w:szCs w:val="16"/>
          <w:lang w:val="es-CR"/>
        </w:rPr>
        <w:t>, supra</w:t>
      </w:r>
      <w:r w:rsidRPr="00637508">
        <w:rPr>
          <w:sz w:val="16"/>
          <w:szCs w:val="16"/>
          <w:lang w:val="es-CR"/>
        </w:rPr>
        <w:t xml:space="preserve">, párr. 210. </w:t>
      </w:r>
    </w:p>
  </w:footnote>
  <w:footnote w:id="122">
    <w:p w:rsidR="00785921" w:rsidRDefault="00785921" w:rsidP="00126E97">
      <w:pPr>
        <w:pStyle w:val="FootnoteText"/>
        <w:spacing w:line="20" w:lineRule="atLeast"/>
        <w:rPr>
          <w:b/>
          <w:sz w:val="16"/>
          <w:szCs w:val="16"/>
          <w:lang w:val="es-CR"/>
        </w:rPr>
      </w:pPr>
      <w:r w:rsidRPr="00641A62">
        <w:rPr>
          <w:rStyle w:val="FootnoteReference"/>
          <w:sz w:val="16"/>
          <w:szCs w:val="16"/>
          <w:lang w:val="es-CR" w:eastAsia="x-none"/>
        </w:rPr>
        <w:footnoteRef/>
      </w:r>
      <w:r w:rsidRPr="00641A62">
        <w:rPr>
          <w:sz w:val="16"/>
          <w:szCs w:val="16"/>
          <w:lang w:val="es-CR"/>
        </w:rPr>
        <w:t xml:space="preserve"> </w:t>
      </w:r>
      <w:r w:rsidRPr="006A40AD">
        <w:rPr>
          <w:i/>
          <w:sz w:val="16"/>
          <w:szCs w:val="16"/>
          <w:lang w:val="es-ES_tradnl"/>
        </w:rPr>
        <w:t>Cfr</w:t>
      </w:r>
      <w:r>
        <w:rPr>
          <w:i/>
          <w:sz w:val="16"/>
          <w:szCs w:val="16"/>
          <w:lang w:val="es-ES_tradnl"/>
        </w:rPr>
        <w:t>. Caso Velásquez Rodríguez Vs. Honduras.</w:t>
      </w:r>
      <w:r>
        <w:rPr>
          <w:sz w:val="16"/>
          <w:szCs w:val="16"/>
          <w:lang w:val="es-ES_tradnl"/>
        </w:rPr>
        <w:t xml:space="preserve"> </w:t>
      </w:r>
      <w:r>
        <w:rPr>
          <w:i/>
          <w:sz w:val="16"/>
          <w:szCs w:val="16"/>
          <w:lang w:val="es-ES_tradnl"/>
        </w:rPr>
        <w:t>Fondo, supra,</w:t>
      </w:r>
      <w:r>
        <w:rPr>
          <w:sz w:val="16"/>
          <w:szCs w:val="16"/>
          <w:lang w:val="es-ES_tradnl"/>
        </w:rPr>
        <w:t xml:space="preserve"> párr. 177, y </w:t>
      </w:r>
      <w:r>
        <w:rPr>
          <w:bCs/>
          <w:i/>
          <w:sz w:val="16"/>
          <w:szCs w:val="16"/>
          <w:lang w:val="es-CR"/>
        </w:rPr>
        <w:t>Caso Acosta y otros Vs. Nicaragua. Excepciones Preliminares, Fondo, Reparaciones y Costas.</w:t>
      </w:r>
      <w:r>
        <w:rPr>
          <w:b/>
          <w:bCs/>
          <w:sz w:val="16"/>
          <w:szCs w:val="16"/>
          <w:lang w:val="es-CR"/>
        </w:rPr>
        <w:t xml:space="preserve"> </w:t>
      </w:r>
      <w:r>
        <w:rPr>
          <w:bCs/>
          <w:sz w:val="16"/>
          <w:szCs w:val="16"/>
          <w:lang w:val="es-CR"/>
        </w:rPr>
        <w:t xml:space="preserve">Sentencia de 25 de marzo de 2017. Serie C No. 334, párr. 132. </w:t>
      </w:r>
    </w:p>
  </w:footnote>
  <w:footnote w:id="123">
    <w:p w:rsidR="00785921" w:rsidRPr="00467331" w:rsidRDefault="00785921" w:rsidP="00126E97">
      <w:pPr>
        <w:pStyle w:val="FootnoteText"/>
        <w:spacing w:line="20" w:lineRule="atLeast"/>
        <w:rPr>
          <w:sz w:val="16"/>
          <w:szCs w:val="16"/>
          <w:lang w:val="es-CR"/>
        </w:rPr>
      </w:pPr>
      <w:r w:rsidRPr="00467331">
        <w:rPr>
          <w:rStyle w:val="FootnoteReference"/>
          <w:sz w:val="16"/>
          <w:szCs w:val="16"/>
          <w:lang w:val="es-CR" w:eastAsia="x-none"/>
        </w:rPr>
        <w:footnoteRef/>
      </w:r>
      <w:r w:rsidRPr="00467331">
        <w:rPr>
          <w:sz w:val="16"/>
          <w:szCs w:val="16"/>
          <w:lang w:val="es-CR"/>
        </w:rPr>
        <w:t xml:space="preserve"> </w:t>
      </w:r>
      <w:r w:rsidRPr="00467331">
        <w:rPr>
          <w:i/>
          <w:iCs/>
          <w:sz w:val="16"/>
          <w:szCs w:val="16"/>
          <w:lang w:val="es-CR"/>
        </w:rPr>
        <w:t>C</w:t>
      </w:r>
      <w:r>
        <w:rPr>
          <w:i/>
          <w:iCs/>
          <w:sz w:val="16"/>
          <w:szCs w:val="16"/>
          <w:lang w:val="es-CR"/>
        </w:rPr>
        <w:t>fr. C</w:t>
      </w:r>
      <w:r w:rsidRPr="00467331">
        <w:rPr>
          <w:i/>
          <w:iCs/>
          <w:sz w:val="16"/>
          <w:szCs w:val="16"/>
          <w:lang w:val="es-CR"/>
        </w:rPr>
        <w:t xml:space="preserve">aso de la Masacre de Pueblo Bello Vs. Colombia. </w:t>
      </w:r>
      <w:r w:rsidRPr="00467331">
        <w:rPr>
          <w:sz w:val="16"/>
          <w:szCs w:val="16"/>
          <w:lang w:val="es-CR"/>
        </w:rPr>
        <w:t>Sentencia de 31 de enero de 2006. Serie C No. 140</w:t>
      </w:r>
      <w:r w:rsidRPr="00467331">
        <w:rPr>
          <w:i/>
          <w:iCs/>
          <w:sz w:val="16"/>
          <w:szCs w:val="16"/>
          <w:lang w:val="es-CR"/>
        </w:rPr>
        <w:t xml:space="preserve">, </w:t>
      </w:r>
      <w:r w:rsidRPr="00467331">
        <w:rPr>
          <w:sz w:val="16"/>
          <w:szCs w:val="16"/>
          <w:lang w:val="es-CR"/>
        </w:rPr>
        <w:t>p</w:t>
      </w:r>
      <w:r>
        <w:rPr>
          <w:sz w:val="16"/>
          <w:szCs w:val="16"/>
          <w:lang w:val="es-CR"/>
        </w:rPr>
        <w:t xml:space="preserve">árr. 143; </w:t>
      </w:r>
      <w:r w:rsidRPr="00467331">
        <w:rPr>
          <w:i/>
          <w:sz w:val="16"/>
          <w:szCs w:val="16"/>
          <w:lang w:val="es-CR" w:eastAsia="x-none"/>
        </w:rPr>
        <w:t xml:space="preserve">Caso Miembros de la Aldea </w:t>
      </w:r>
      <w:proofErr w:type="spellStart"/>
      <w:r w:rsidRPr="00467331">
        <w:rPr>
          <w:i/>
          <w:sz w:val="16"/>
          <w:szCs w:val="16"/>
          <w:lang w:val="es-CR" w:eastAsia="x-none"/>
        </w:rPr>
        <w:t>Chichupac</w:t>
      </w:r>
      <w:proofErr w:type="spellEnd"/>
      <w:r w:rsidRPr="00467331">
        <w:rPr>
          <w:i/>
          <w:sz w:val="16"/>
          <w:szCs w:val="16"/>
          <w:lang w:val="es-CR" w:eastAsia="x-none"/>
        </w:rPr>
        <w:t xml:space="preserve"> y </w:t>
      </w:r>
      <w:r>
        <w:rPr>
          <w:i/>
          <w:sz w:val="16"/>
          <w:szCs w:val="16"/>
          <w:lang w:val="es-CR" w:eastAsia="x-none"/>
        </w:rPr>
        <w:t>c</w:t>
      </w:r>
      <w:r w:rsidRPr="00467331">
        <w:rPr>
          <w:i/>
          <w:sz w:val="16"/>
          <w:szCs w:val="16"/>
          <w:lang w:val="es-CR" w:eastAsia="x-none"/>
        </w:rPr>
        <w:t xml:space="preserve">omunidades </w:t>
      </w:r>
      <w:r>
        <w:rPr>
          <w:i/>
          <w:sz w:val="16"/>
          <w:szCs w:val="16"/>
          <w:lang w:val="es-CR" w:eastAsia="x-none"/>
        </w:rPr>
        <w:t>v</w:t>
      </w:r>
      <w:r w:rsidRPr="00467331">
        <w:rPr>
          <w:i/>
          <w:sz w:val="16"/>
          <w:szCs w:val="16"/>
          <w:lang w:val="es-CR" w:eastAsia="x-none"/>
        </w:rPr>
        <w:t>ecinas del Municipio de Rabinal Vs Guatemala</w:t>
      </w:r>
      <w:r>
        <w:rPr>
          <w:i/>
          <w:sz w:val="16"/>
          <w:szCs w:val="16"/>
          <w:lang w:val="es-CR" w:eastAsia="x-none"/>
        </w:rPr>
        <w:t>, supra,</w:t>
      </w:r>
      <w:r>
        <w:rPr>
          <w:bCs/>
          <w:sz w:val="16"/>
          <w:szCs w:val="16"/>
          <w:lang w:val="es-CR"/>
        </w:rPr>
        <w:t xml:space="preserve"> párr. 210, </w:t>
      </w:r>
      <w:r w:rsidRPr="00467331">
        <w:rPr>
          <w:sz w:val="16"/>
          <w:szCs w:val="16"/>
          <w:lang w:val="es-CR"/>
        </w:rPr>
        <w:t xml:space="preserve">y </w:t>
      </w:r>
      <w:r w:rsidRPr="00467331">
        <w:rPr>
          <w:bCs/>
          <w:i/>
          <w:sz w:val="16"/>
          <w:szCs w:val="16"/>
          <w:lang w:val="es-CR"/>
        </w:rPr>
        <w:t>Caso Favela Nova Bras</w:t>
      </w:r>
      <w:r>
        <w:rPr>
          <w:bCs/>
          <w:i/>
          <w:sz w:val="16"/>
          <w:szCs w:val="16"/>
          <w:lang w:val="es-CR"/>
        </w:rPr>
        <w:t>i</w:t>
      </w:r>
      <w:r w:rsidRPr="00467331">
        <w:rPr>
          <w:bCs/>
          <w:i/>
          <w:sz w:val="16"/>
          <w:szCs w:val="16"/>
          <w:lang w:val="es-CR"/>
        </w:rPr>
        <w:t>lia Vs. Brasil. Excepciones Preliminares, Fondo, Reparaciones y Costas.</w:t>
      </w:r>
      <w:r w:rsidRPr="00467331">
        <w:rPr>
          <w:bCs/>
          <w:sz w:val="16"/>
          <w:szCs w:val="16"/>
          <w:lang w:val="es-CR"/>
        </w:rPr>
        <w:t xml:space="preserve"> Sentencia de 16 de febrero de 2017. Serie C No. 333, </w:t>
      </w:r>
      <w:proofErr w:type="spellStart"/>
      <w:r w:rsidRPr="00467331">
        <w:rPr>
          <w:bCs/>
          <w:sz w:val="16"/>
          <w:szCs w:val="16"/>
          <w:lang w:val="es-CR"/>
        </w:rPr>
        <w:t>párrs</w:t>
      </w:r>
      <w:proofErr w:type="spellEnd"/>
      <w:r w:rsidRPr="00467331">
        <w:rPr>
          <w:bCs/>
          <w:sz w:val="16"/>
          <w:szCs w:val="16"/>
          <w:lang w:val="es-CR"/>
        </w:rPr>
        <w:t>. 176 y 177.</w:t>
      </w:r>
    </w:p>
  </w:footnote>
  <w:footnote w:id="124">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w:t>
      </w:r>
      <w:r w:rsidRPr="00637508">
        <w:rPr>
          <w:i/>
          <w:sz w:val="16"/>
          <w:szCs w:val="16"/>
          <w:lang w:val="es-CR"/>
        </w:rPr>
        <w:t>Cfr</w:t>
      </w:r>
      <w:r w:rsidRPr="00637508">
        <w:rPr>
          <w:sz w:val="16"/>
          <w:szCs w:val="16"/>
          <w:lang w:val="es-CR"/>
        </w:rPr>
        <w:t xml:space="preserve">. Sala Regional Mixta de la Corte de Apelaciones de </w:t>
      </w:r>
      <w:proofErr w:type="spellStart"/>
      <w:r w:rsidRPr="00637508">
        <w:rPr>
          <w:sz w:val="16"/>
          <w:szCs w:val="16"/>
          <w:lang w:val="es-CR"/>
        </w:rPr>
        <w:t>Coban</w:t>
      </w:r>
      <w:proofErr w:type="spellEnd"/>
      <w:r w:rsidRPr="00637508">
        <w:rPr>
          <w:sz w:val="16"/>
          <w:szCs w:val="16"/>
          <w:lang w:val="es-CR"/>
        </w:rPr>
        <w:t>, Sentencia de 22 de diciembre de 2004</w:t>
      </w:r>
      <w:r>
        <w:rPr>
          <w:sz w:val="16"/>
          <w:szCs w:val="16"/>
          <w:lang w:val="es-CR"/>
        </w:rPr>
        <w:t xml:space="preserve">, </w:t>
      </w:r>
      <w:r w:rsidRPr="007335F2">
        <w:rPr>
          <w:i/>
          <w:sz w:val="16"/>
          <w:szCs w:val="16"/>
          <w:lang w:val="es-CR"/>
        </w:rPr>
        <w:t>supra</w:t>
      </w:r>
      <w:r w:rsidRPr="00637508">
        <w:rPr>
          <w:sz w:val="16"/>
          <w:szCs w:val="16"/>
          <w:lang w:val="es-CR"/>
        </w:rPr>
        <w:t>.</w:t>
      </w:r>
    </w:p>
  </w:footnote>
  <w:footnote w:id="125">
    <w:p w:rsidR="00785921" w:rsidRPr="00467331" w:rsidRDefault="00785921" w:rsidP="00126E97">
      <w:pPr>
        <w:tabs>
          <w:tab w:val="left" w:pos="567"/>
        </w:tabs>
        <w:spacing w:after="0" w:line="20" w:lineRule="atLeast"/>
        <w:jc w:val="both"/>
        <w:rPr>
          <w:rFonts w:ascii="Verdana" w:hAnsi="Verdana"/>
          <w:sz w:val="16"/>
          <w:szCs w:val="16"/>
          <w:lang w:val="es-CR"/>
        </w:rPr>
      </w:pPr>
      <w:r w:rsidRPr="00467331">
        <w:rPr>
          <w:rStyle w:val="FootnoteReference"/>
          <w:rFonts w:ascii="Verdana" w:eastAsia="MS Mincho" w:hAnsi="Verdana"/>
          <w:sz w:val="16"/>
          <w:szCs w:val="16"/>
          <w:lang w:eastAsia="x-none"/>
        </w:rPr>
        <w:footnoteRef/>
      </w:r>
      <w:r w:rsidRPr="00467331">
        <w:rPr>
          <w:rFonts w:ascii="Verdana" w:hAnsi="Verdana"/>
          <w:sz w:val="16"/>
          <w:szCs w:val="16"/>
          <w:lang w:val="es-CR"/>
        </w:rPr>
        <w:t xml:space="preserve"> </w:t>
      </w:r>
      <w:r w:rsidRPr="00467331">
        <w:rPr>
          <w:rFonts w:ascii="Verdana" w:hAnsi="Verdana"/>
          <w:i/>
          <w:sz w:val="16"/>
          <w:szCs w:val="16"/>
          <w:lang w:val="es-CR"/>
        </w:rPr>
        <w:t>Cfr.</w:t>
      </w:r>
      <w:r w:rsidRPr="00467331">
        <w:rPr>
          <w:rFonts w:ascii="Verdana" w:hAnsi="Verdana"/>
          <w:sz w:val="16"/>
          <w:szCs w:val="16"/>
          <w:lang w:val="es-CR"/>
        </w:rPr>
        <w:t xml:space="preserve"> </w:t>
      </w:r>
      <w:r w:rsidRPr="00467331">
        <w:rPr>
          <w:rFonts w:ascii="Verdana" w:hAnsi="Verdana"/>
          <w:i/>
          <w:iCs/>
          <w:sz w:val="16"/>
          <w:szCs w:val="16"/>
          <w:lang w:val="es-CR"/>
        </w:rPr>
        <w:t xml:space="preserve">Caso </w:t>
      </w:r>
      <w:proofErr w:type="spellStart"/>
      <w:r w:rsidRPr="00467331">
        <w:rPr>
          <w:rFonts w:ascii="Verdana" w:hAnsi="Verdana"/>
          <w:i/>
          <w:iCs/>
          <w:sz w:val="16"/>
          <w:szCs w:val="16"/>
          <w:lang w:val="es-CR"/>
        </w:rPr>
        <w:t>Bulacio</w:t>
      </w:r>
      <w:proofErr w:type="spellEnd"/>
      <w:r w:rsidRPr="00467331">
        <w:rPr>
          <w:rFonts w:ascii="Verdana" w:hAnsi="Verdana"/>
          <w:i/>
          <w:iCs/>
          <w:sz w:val="16"/>
          <w:szCs w:val="16"/>
          <w:lang w:val="es-CR"/>
        </w:rPr>
        <w:t xml:space="preserve"> Vs. Argentina. Fondo, Reparaciones y Costas. </w:t>
      </w:r>
      <w:r w:rsidRPr="00467331">
        <w:rPr>
          <w:rFonts w:ascii="Verdana" w:hAnsi="Verdana"/>
          <w:iCs/>
          <w:sz w:val="16"/>
          <w:szCs w:val="16"/>
          <w:lang w:val="es-CR"/>
        </w:rPr>
        <w:t>Sentencia de 18 de Septiembre de 2003. Serie C No. 100,</w:t>
      </w:r>
      <w:r w:rsidRPr="00467331">
        <w:rPr>
          <w:rFonts w:ascii="Verdana" w:hAnsi="Verdana"/>
          <w:i/>
          <w:iCs/>
          <w:sz w:val="16"/>
          <w:szCs w:val="16"/>
          <w:lang w:val="es-CR"/>
        </w:rPr>
        <w:t xml:space="preserve"> </w:t>
      </w:r>
      <w:r w:rsidRPr="00467331">
        <w:rPr>
          <w:rFonts w:ascii="Verdana" w:hAnsi="Verdana"/>
          <w:sz w:val="16"/>
          <w:szCs w:val="16"/>
          <w:lang w:val="es-CR"/>
        </w:rPr>
        <w:t>párr. 114, y</w:t>
      </w:r>
      <w:r w:rsidRPr="00467331">
        <w:rPr>
          <w:rFonts w:ascii="Verdana" w:hAnsi="Verdana"/>
          <w:i/>
          <w:sz w:val="16"/>
          <w:szCs w:val="16"/>
          <w:lang w:val="es-CR"/>
        </w:rPr>
        <w:t xml:space="preserve"> Caso V.R.P</w:t>
      </w:r>
      <w:r>
        <w:rPr>
          <w:rFonts w:ascii="Verdana" w:hAnsi="Verdana"/>
          <w:i/>
          <w:sz w:val="16"/>
          <w:szCs w:val="16"/>
          <w:lang w:val="es-CR"/>
        </w:rPr>
        <w:t>., V.P.C. y otros Vs. Nicaragua,</w:t>
      </w:r>
      <w:r w:rsidRPr="00467331">
        <w:rPr>
          <w:rFonts w:ascii="Verdana" w:hAnsi="Verdana"/>
          <w:i/>
          <w:sz w:val="16"/>
          <w:szCs w:val="16"/>
          <w:lang w:val="es-CR"/>
        </w:rPr>
        <w:t xml:space="preserve"> </w:t>
      </w:r>
      <w:r>
        <w:rPr>
          <w:rFonts w:ascii="Verdana" w:hAnsi="Verdana"/>
          <w:i/>
          <w:sz w:val="16"/>
          <w:szCs w:val="16"/>
          <w:lang w:val="es-CR"/>
        </w:rPr>
        <w:t>supra</w:t>
      </w:r>
      <w:r w:rsidRPr="00467331">
        <w:rPr>
          <w:rFonts w:ascii="Verdana" w:hAnsi="Verdana"/>
          <w:sz w:val="16"/>
          <w:szCs w:val="16"/>
          <w:lang w:val="es-CR"/>
        </w:rPr>
        <w:t>, párr. 150</w:t>
      </w:r>
      <w:r w:rsidRPr="00467331">
        <w:rPr>
          <w:rFonts w:ascii="Verdana" w:hAnsi="Verdana"/>
          <w:i/>
          <w:sz w:val="16"/>
          <w:szCs w:val="16"/>
          <w:lang w:val="es-CR"/>
        </w:rPr>
        <w:t>.</w:t>
      </w:r>
    </w:p>
  </w:footnote>
  <w:footnote w:id="126">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Pr>
          <w:i/>
          <w:sz w:val="16"/>
          <w:szCs w:val="16"/>
          <w:lang w:val="es-CR"/>
        </w:rPr>
        <w:t>Cfr. Caso de los “Niños de la Calle” (Villagrán Morales y otros) vs. Guatemala. Fondo</w:t>
      </w:r>
      <w:r>
        <w:rPr>
          <w:sz w:val="16"/>
          <w:szCs w:val="16"/>
          <w:lang w:val="es-CR"/>
        </w:rPr>
        <w:t xml:space="preserve">. Sentencia de 19 de noviembre de 1999. Serie C No. 63, párr. 222, y </w:t>
      </w:r>
      <w:r>
        <w:rPr>
          <w:i/>
          <w:sz w:val="16"/>
          <w:szCs w:val="16"/>
          <w:lang w:val="es-CR"/>
        </w:rPr>
        <w:t xml:space="preserve">Caso Carvajal </w:t>
      </w:r>
      <w:proofErr w:type="spellStart"/>
      <w:r>
        <w:rPr>
          <w:i/>
          <w:sz w:val="16"/>
          <w:szCs w:val="16"/>
          <w:lang w:val="es-CR"/>
        </w:rPr>
        <w:t>Carvajal</w:t>
      </w:r>
      <w:proofErr w:type="spellEnd"/>
      <w:r>
        <w:rPr>
          <w:i/>
          <w:sz w:val="16"/>
          <w:szCs w:val="16"/>
          <w:lang w:val="es-CR"/>
        </w:rPr>
        <w:t xml:space="preserve"> y otros Vs. Colombia. Fondo, Reparaciones y Costas.</w:t>
      </w:r>
      <w:r>
        <w:rPr>
          <w:sz w:val="16"/>
          <w:szCs w:val="16"/>
          <w:lang w:val="es-CR"/>
        </w:rPr>
        <w:t xml:space="preserve"> Sentencia de 13 de marzo de 2018. Serie C No. 352., párr. 117.</w:t>
      </w:r>
    </w:p>
  </w:footnote>
  <w:footnote w:id="127">
    <w:p w:rsidR="00785921" w:rsidRDefault="00785921" w:rsidP="00126E97">
      <w:pPr>
        <w:pStyle w:val="FootnoteText"/>
        <w:spacing w:line="20" w:lineRule="atLeast"/>
        <w:rPr>
          <w:spacing w:val="-3"/>
          <w:sz w:val="16"/>
          <w:szCs w:val="16"/>
          <w:lang w:val="es-CR"/>
        </w:rPr>
      </w:pPr>
      <w:r>
        <w:rPr>
          <w:rStyle w:val="FootnoteReference"/>
          <w:spacing w:val="-3"/>
          <w:sz w:val="16"/>
          <w:szCs w:val="16"/>
          <w:lang w:val="es-CR" w:eastAsia="x-none"/>
        </w:rPr>
        <w:footnoteRef/>
      </w:r>
      <w:r>
        <w:rPr>
          <w:i/>
          <w:spacing w:val="-3"/>
          <w:sz w:val="16"/>
          <w:szCs w:val="16"/>
          <w:lang w:val="es-CR"/>
        </w:rPr>
        <w:t xml:space="preserve"> Cfr</w:t>
      </w:r>
      <w:r>
        <w:rPr>
          <w:spacing w:val="-3"/>
          <w:sz w:val="16"/>
          <w:szCs w:val="16"/>
          <w:lang w:val="es-CR"/>
        </w:rPr>
        <w:t xml:space="preserve">. </w:t>
      </w:r>
      <w:r>
        <w:rPr>
          <w:rFonts w:cs="Arial"/>
          <w:i/>
          <w:spacing w:val="-3"/>
          <w:sz w:val="16"/>
          <w:szCs w:val="16"/>
          <w:lang w:val="es-CR"/>
        </w:rPr>
        <w:t xml:space="preserve">Caso </w:t>
      </w:r>
      <w:proofErr w:type="spellStart"/>
      <w:r>
        <w:rPr>
          <w:rFonts w:cs="Arial"/>
          <w:i/>
          <w:spacing w:val="-3"/>
          <w:sz w:val="16"/>
          <w:szCs w:val="16"/>
          <w:lang w:val="es-CR"/>
        </w:rPr>
        <w:t>Ibsen</w:t>
      </w:r>
      <w:proofErr w:type="spellEnd"/>
      <w:r>
        <w:rPr>
          <w:rFonts w:cs="Arial"/>
          <w:i/>
          <w:spacing w:val="-3"/>
          <w:sz w:val="16"/>
          <w:szCs w:val="16"/>
          <w:lang w:val="es-CR"/>
        </w:rPr>
        <w:t xml:space="preserve"> </w:t>
      </w:r>
      <w:r>
        <w:rPr>
          <w:bCs/>
          <w:i/>
          <w:spacing w:val="-3"/>
          <w:sz w:val="16"/>
          <w:szCs w:val="16"/>
          <w:lang w:val="es-GT"/>
        </w:rPr>
        <w:t>Cárdenas</w:t>
      </w:r>
      <w:r>
        <w:rPr>
          <w:rFonts w:cs="Arial"/>
          <w:i/>
          <w:spacing w:val="-3"/>
          <w:sz w:val="16"/>
          <w:szCs w:val="16"/>
          <w:lang w:val="es-CR"/>
        </w:rPr>
        <w:t xml:space="preserve"> e </w:t>
      </w:r>
      <w:proofErr w:type="spellStart"/>
      <w:r>
        <w:rPr>
          <w:rFonts w:cs="Arial"/>
          <w:i/>
          <w:spacing w:val="-3"/>
          <w:sz w:val="16"/>
          <w:szCs w:val="16"/>
          <w:lang w:val="es-CR"/>
        </w:rPr>
        <w:t>Ibsen</w:t>
      </w:r>
      <w:proofErr w:type="spellEnd"/>
      <w:r>
        <w:rPr>
          <w:rFonts w:cs="Arial"/>
          <w:i/>
          <w:spacing w:val="-3"/>
          <w:sz w:val="16"/>
          <w:szCs w:val="16"/>
          <w:lang w:val="es-CR"/>
        </w:rPr>
        <w:t xml:space="preserve"> Peña Vs. Bolivia. Fondo, Reparaciones y Costas.</w:t>
      </w:r>
      <w:r>
        <w:rPr>
          <w:rFonts w:cs="Arial"/>
          <w:spacing w:val="-3"/>
          <w:sz w:val="16"/>
          <w:szCs w:val="16"/>
          <w:lang w:val="es-CR"/>
        </w:rPr>
        <w:t xml:space="preserve"> Sentencia de 1 de septiembre de 2010. Serie C No. 217</w:t>
      </w:r>
      <w:r>
        <w:rPr>
          <w:spacing w:val="-3"/>
          <w:sz w:val="16"/>
          <w:szCs w:val="16"/>
          <w:lang w:val="es-CR"/>
        </w:rPr>
        <w:t xml:space="preserve">, párr. 172, y </w:t>
      </w:r>
      <w:r>
        <w:rPr>
          <w:i/>
          <w:sz w:val="16"/>
          <w:szCs w:val="16"/>
          <w:lang w:val="es-CR"/>
        </w:rPr>
        <w:t xml:space="preserve">Caso Carvajal </w:t>
      </w:r>
      <w:proofErr w:type="spellStart"/>
      <w:r>
        <w:rPr>
          <w:i/>
          <w:sz w:val="16"/>
          <w:szCs w:val="16"/>
          <w:lang w:val="es-CR"/>
        </w:rPr>
        <w:t>Carvajal</w:t>
      </w:r>
      <w:proofErr w:type="spellEnd"/>
      <w:r>
        <w:rPr>
          <w:i/>
          <w:sz w:val="16"/>
          <w:szCs w:val="16"/>
          <w:lang w:val="es-CR"/>
        </w:rPr>
        <w:t xml:space="preserve"> y otros Vs. Colombia, supra</w:t>
      </w:r>
      <w:r>
        <w:rPr>
          <w:sz w:val="16"/>
          <w:szCs w:val="16"/>
          <w:lang w:val="es-CR"/>
        </w:rPr>
        <w:t>, párr. 117.</w:t>
      </w:r>
    </w:p>
  </w:footnote>
  <w:footnote w:id="128">
    <w:p w:rsidR="00785921" w:rsidRDefault="00785921" w:rsidP="00126E97">
      <w:pPr>
        <w:pStyle w:val="FootnoteText"/>
        <w:spacing w:line="20" w:lineRule="atLeast"/>
        <w:rPr>
          <w:b/>
          <w:spacing w:val="-1"/>
          <w:sz w:val="16"/>
          <w:szCs w:val="16"/>
          <w:lang w:val="es-CR"/>
        </w:rPr>
      </w:pPr>
      <w:r w:rsidRPr="000C769B">
        <w:rPr>
          <w:rStyle w:val="FootnoteReference"/>
          <w:spacing w:val="-1"/>
          <w:sz w:val="16"/>
          <w:szCs w:val="16"/>
          <w:lang w:val="es-CR" w:eastAsia="x-none"/>
        </w:rPr>
        <w:footnoteRef/>
      </w:r>
      <w:r w:rsidRPr="000C769B">
        <w:rPr>
          <w:i/>
          <w:spacing w:val="-4"/>
          <w:sz w:val="16"/>
          <w:szCs w:val="16"/>
          <w:lang w:val="es-GT"/>
        </w:rPr>
        <w:t xml:space="preserve"> </w:t>
      </w:r>
      <w:r>
        <w:rPr>
          <w:i/>
          <w:spacing w:val="-4"/>
          <w:sz w:val="16"/>
          <w:szCs w:val="16"/>
          <w:lang w:val="es-GT"/>
        </w:rPr>
        <w:t xml:space="preserve">Cfr. </w:t>
      </w:r>
      <w:r>
        <w:rPr>
          <w:bCs/>
          <w:i/>
          <w:spacing w:val="-4"/>
          <w:sz w:val="16"/>
          <w:szCs w:val="16"/>
          <w:lang w:val="es-GT"/>
        </w:rPr>
        <w:t xml:space="preserve">Caso </w:t>
      </w:r>
      <w:r>
        <w:rPr>
          <w:i/>
          <w:spacing w:val="-4"/>
          <w:sz w:val="16"/>
          <w:szCs w:val="16"/>
          <w:lang w:val="es-CR"/>
        </w:rPr>
        <w:t>de</w:t>
      </w:r>
      <w:r>
        <w:rPr>
          <w:bCs/>
          <w:i/>
          <w:spacing w:val="-4"/>
          <w:sz w:val="16"/>
          <w:szCs w:val="16"/>
          <w:lang w:val="es-GT"/>
        </w:rPr>
        <w:t xml:space="preserve"> las Hermanas Serrano Cruz Vs. El Salvador. Fondo, Reparaciones y Costas. </w:t>
      </w:r>
      <w:r>
        <w:rPr>
          <w:bCs/>
          <w:spacing w:val="-4"/>
          <w:sz w:val="16"/>
          <w:szCs w:val="16"/>
          <w:lang w:val="es-GT"/>
        </w:rPr>
        <w:t>Sentencia de 1 de marzo de 2005. Serie C No. 120</w:t>
      </w:r>
      <w:r>
        <w:rPr>
          <w:bCs/>
          <w:i/>
          <w:spacing w:val="-4"/>
          <w:sz w:val="16"/>
          <w:szCs w:val="16"/>
          <w:lang w:val="es-GT"/>
        </w:rPr>
        <w:t xml:space="preserve">, </w:t>
      </w:r>
      <w:r>
        <w:rPr>
          <w:spacing w:val="-4"/>
          <w:sz w:val="16"/>
          <w:szCs w:val="16"/>
          <w:lang w:val="es-GT"/>
        </w:rPr>
        <w:t xml:space="preserve">párr. 83, </w:t>
      </w:r>
      <w:r>
        <w:rPr>
          <w:bCs/>
          <w:color w:val="000000"/>
          <w:spacing w:val="-1"/>
          <w:sz w:val="16"/>
          <w:szCs w:val="16"/>
          <w:lang w:val="es-CR"/>
        </w:rPr>
        <w:t xml:space="preserve">y </w:t>
      </w:r>
      <w:r w:rsidRPr="00637508">
        <w:rPr>
          <w:i/>
          <w:sz w:val="16"/>
          <w:szCs w:val="16"/>
          <w:lang w:val="es-CR"/>
        </w:rPr>
        <w:t xml:space="preserve">Caso </w:t>
      </w:r>
      <w:proofErr w:type="spellStart"/>
      <w:r w:rsidRPr="00637508">
        <w:rPr>
          <w:i/>
          <w:sz w:val="16"/>
          <w:szCs w:val="16"/>
          <w:lang w:val="es-CR"/>
        </w:rPr>
        <w:t>Amrhein</w:t>
      </w:r>
      <w:proofErr w:type="spellEnd"/>
      <w:r w:rsidRPr="00637508">
        <w:rPr>
          <w:i/>
          <w:sz w:val="16"/>
          <w:szCs w:val="16"/>
          <w:lang w:val="es-CR"/>
        </w:rPr>
        <w:t xml:space="preserve"> y otros vs. Costa Rica</w:t>
      </w:r>
      <w:r>
        <w:rPr>
          <w:i/>
          <w:sz w:val="16"/>
          <w:szCs w:val="16"/>
          <w:lang w:val="es-CR"/>
        </w:rPr>
        <w:t>, supra</w:t>
      </w:r>
      <w:r>
        <w:rPr>
          <w:sz w:val="16"/>
          <w:szCs w:val="16"/>
          <w:lang w:val="es-CR"/>
        </w:rPr>
        <w:t>, párr. 461</w:t>
      </w:r>
      <w:r w:rsidRPr="00637508">
        <w:rPr>
          <w:sz w:val="16"/>
          <w:szCs w:val="16"/>
          <w:lang w:val="es-CR"/>
        </w:rPr>
        <w:t xml:space="preserve">. </w:t>
      </w:r>
    </w:p>
  </w:footnote>
  <w:footnote w:id="129">
    <w:p w:rsidR="00785921" w:rsidRDefault="00785921" w:rsidP="00126E97">
      <w:pPr>
        <w:pStyle w:val="FootnoteText"/>
        <w:spacing w:line="20" w:lineRule="atLeast"/>
        <w:rPr>
          <w:spacing w:val="-3"/>
          <w:sz w:val="16"/>
          <w:szCs w:val="16"/>
          <w:lang w:val="es-CR"/>
        </w:rPr>
      </w:pPr>
      <w:r>
        <w:rPr>
          <w:rStyle w:val="FootnoteReference"/>
          <w:spacing w:val="-3"/>
          <w:sz w:val="16"/>
          <w:szCs w:val="16"/>
          <w:lang w:val="es-CR" w:eastAsia="x-none"/>
        </w:rPr>
        <w:footnoteRef/>
      </w:r>
      <w:r>
        <w:rPr>
          <w:spacing w:val="-3"/>
          <w:sz w:val="16"/>
          <w:szCs w:val="16"/>
          <w:lang w:val="es-ES_tradnl"/>
        </w:rPr>
        <w:t xml:space="preserve"> </w:t>
      </w:r>
      <w:r>
        <w:rPr>
          <w:i/>
          <w:spacing w:val="-3"/>
          <w:sz w:val="16"/>
          <w:szCs w:val="16"/>
          <w:lang w:val="es-ES_tradnl"/>
        </w:rPr>
        <w:t>Cfr.</w:t>
      </w:r>
      <w:r w:rsidRPr="00595E7F">
        <w:rPr>
          <w:bCs/>
          <w:i/>
          <w:spacing w:val="-4"/>
          <w:szCs w:val="16"/>
          <w:lang w:val="es-ES" w:eastAsia="en-US"/>
        </w:rPr>
        <w:t xml:space="preserve"> </w:t>
      </w:r>
      <w:r w:rsidRPr="00595E7F">
        <w:rPr>
          <w:bCs/>
          <w:i/>
          <w:spacing w:val="-3"/>
          <w:sz w:val="16"/>
          <w:szCs w:val="16"/>
          <w:lang w:val="es-ES"/>
        </w:rPr>
        <w:t xml:space="preserve">Caso Nogueira de Carvalho y Otro Vs. Brasil. Excepciones Preliminares y Fondo. Sentencia de 28 de noviembre de 2006. Serie C No. 161, </w:t>
      </w:r>
      <w:r w:rsidRPr="00595E7F">
        <w:rPr>
          <w:i/>
          <w:spacing w:val="-3"/>
          <w:sz w:val="16"/>
          <w:szCs w:val="16"/>
          <w:lang w:val="es-ES"/>
        </w:rPr>
        <w:t xml:space="preserve">párr. </w:t>
      </w:r>
      <w:r w:rsidRPr="00595E7F">
        <w:rPr>
          <w:i/>
          <w:spacing w:val="-3"/>
          <w:sz w:val="16"/>
          <w:szCs w:val="16"/>
          <w:lang w:val="es-CR"/>
        </w:rPr>
        <w:t>80, y</w:t>
      </w:r>
      <w:r>
        <w:rPr>
          <w:i/>
          <w:spacing w:val="-3"/>
          <w:sz w:val="16"/>
          <w:szCs w:val="16"/>
          <w:lang w:val="es-ES_tradnl"/>
        </w:rPr>
        <w:t xml:space="preserve"> </w:t>
      </w:r>
      <w:r w:rsidRPr="00637508">
        <w:rPr>
          <w:i/>
          <w:sz w:val="16"/>
          <w:szCs w:val="16"/>
          <w:lang w:val="es-CR"/>
        </w:rPr>
        <w:t>Caso</w:t>
      </w:r>
      <w:r w:rsidRPr="00637508">
        <w:rPr>
          <w:sz w:val="16"/>
          <w:szCs w:val="16"/>
          <w:lang w:val="es-CR"/>
        </w:rPr>
        <w:t xml:space="preserve"> </w:t>
      </w:r>
      <w:r>
        <w:rPr>
          <w:i/>
          <w:sz w:val="16"/>
          <w:szCs w:val="16"/>
          <w:lang w:val="es-CR"/>
        </w:rPr>
        <w:t xml:space="preserve">Carvajal </w:t>
      </w:r>
      <w:proofErr w:type="spellStart"/>
      <w:r>
        <w:rPr>
          <w:i/>
          <w:sz w:val="16"/>
          <w:szCs w:val="16"/>
          <w:lang w:val="es-CR"/>
        </w:rPr>
        <w:t>Carvajal</w:t>
      </w:r>
      <w:proofErr w:type="spellEnd"/>
      <w:r>
        <w:rPr>
          <w:i/>
          <w:sz w:val="16"/>
          <w:szCs w:val="16"/>
          <w:lang w:val="es-CR"/>
        </w:rPr>
        <w:t xml:space="preserve"> y otros Vs. Colombia, supra</w:t>
      </w:r>
      <w:r>
        <w:rPr>
          <w:sz w:val="16"/>
          <w:szCs w:val="16"/>
          <w:lang w:val="es-CR"/>
        </w:rPr>
        <w:t>, párr. 118.</w:t>
      </w:r>
    </w:p>
  </w:footnote>
  <w:footnote w:id="130">
    <w:p w:rsidR="00785921" w:rsidRDefault="00785921" w:rsidP="00126E97">
      <w:pPr>
        <w:pStyle w:val="FootnoteText"/>
        <w:spacing w:line="20" w:lineRule="atLeast"/>
        <w:rPr>
          <w:sz w:val="16"/>
          <w:szCs w:val="16"/>
          <w:lang w:val="es-ES_tradnl"/>
        </w:rPr>
      </w:pPr>
      <w:r>
        <w:rPr>
          <w:rStyle w:val="FootnoteReference"/>
          <w:sz w:val="16"/>
          <w:szCs w:val="16"/>
          <w:lang w:val="es-ES_tradnl" w:eastAsia="x-none"/>
        </w:rPr>
        <w:footnoteRef/>
      </w:r>
      <w:r>
        <w:rPr>
          <w:sz w:val="16"/>
          <w:szCs w:val="16"/>
          <w:lang w:val="es-CR"/>
        </w:rPr>
        <w:t xml:space="preserve"> </w:t>
      </w:r>
      <w:r>
        <w:rPr>
          <w:i/>
          <w:sz w:val="16"/>
          <w:szCs w:val="16"/>
          <w:lang w:val="es-CR"/>
        </w:rPr>
        <w:t>Cfr. Caso</w:t>
      </w:r>
      <w:r>
        <w:rPr>
          <w:sz w:val="16"/>
          <w:szCs w:val="16"/>
          <w:lang w:val="es-CR"/>
        </w:rPr>
        <w:t xml:space="preserve"> </w:t>
      </w:r>
      <w:r>
        <w:rPr>
          <w:i/>
          <w:sz w:val="16"/>
          <w:szCs w:val="16"/>
          <w:lang w:val="es-CR"/>
        </w:rPr>
        <w:t xml:space="preserve">Castillo </w:t>
      </w:r>
      <w:r>
        <w:rPr>
          <w:sz w:val="16"/>
          <w:szCs w:val="16"/>
          <w:lang w:val="es-CR"/>
        </w:rPr>
        <w:t>González</w:t>
      </w:r>
      <w:r>
        <w:rPr>
          <w:i/>
          <w:sz w:val="16"/>
          <w:szCs w:val="16"/>
          <w:lang w:val="es-CR"/>
        </w:rPr>
        <w:t xml:space="preserve"> y otros Vs. Venezuela. Fondo</w:t>
      </w:r>
      <w:r>
        <w:rPr>
          <w:sz w:val="16"/>
          <w:szCs w:val="16"/>
          <w:lang w:val="es-CR"/>
        </w:rPr>
        <w:t xml:space="preserve">. Sentencia de 27 de noviembre de 2012. Serie C No. 256, párr. 153, y </w:t>
      </w:r>
      <w:r w:rsidRPr="00637508">
        <w:rPr>
          <w:i/>
          <w:sz w:val="16"/>
          <w:szCs w:val="16"/>
          <w:lang w:val="es-CR"/>
        </w:rPr>
        <w:t>Caso</w:t>
      </w:r>
      <w:r w:rsidRPr="00637508">
        <w:rPr>
          <w:sz w:val="16"/>
          <w:szCs w:val="16"/>
          <w:lang w:val="es-CR"/>
        </w:rPr>
        <w:t xml:space="preserve"> </w:t>
      </w:r>
      <w:r>
        <w:rPr>
          <w:i/>
          <w:sz w:val="16"/>
          <w:szCs w:val="16"/>
          <w:lang w:val="es-CR"/>
        </w:rPr>
        <w:t xml:space="preserve">Carvajal </w:t>
      </w:r>
      <w:proofErr w:type="spellStart"/>
      <w:r>
        <w:rPr>
          <w:i/>
          <w:sz w:val="16"/>
          <w:szCs w:val="16"/>
          <w:lang w:val="es-CR"/>
        </w:rPr>
        <w:t>Carvajal</w:t>
      </w:r>
      <w:proofErr w:type="spellEnd"/>
      <w:r>
        <w:rPr>
          <w:i/>
          <w:sz w:val="16"/>
          <w:szCs w:val="16"/>
          <w:lang w:val="es-CR"/>
        </w:rPr>
        <w:t xml:space="preserve"> y otros Vs. Colombia, supra</w:t>
      </w:r>
      <w:r>
        <w:rPr>
          <w:sz w:val="16"/>
          <w:szCs w:val="16"/>
          <w:lang w:val="es-CR"/>
        </w:rPr>
        <w:t>, párr. 118.</w:t>
      </w:r>
    </w:p>
  </w:footnote>
  <w:footnote w:id="131">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Pr>
          <w:i/>
          <w:sz w:val="16"/>
          <w:szCs w:val="16"/>
          <w:lang w:val="es-CR"/>
        </w:rPr>
        <w:t>Cfr.</w:t>
      </w:r>
      <w:r>
        <w:rPr>
          <w:sz w:val="16"/>
          <w:szCs w:val="16"/>
          <w:lang w:val="es-CR"/>
        </w:rPr>
        <w:t xml:space="preserve"> </w:t>
      </w:r>
      <w:r w:rsidRPr="00613DE2">
        <w:rPr>
          <w:i/>
          <w:sz w:val="16"/>
          <w:szCs w:val="16"/>
          <w:lang w:val="es-CR"/>
        </w:rPr>
        <w:t>Caso Luna López Vs. Honduras. Fondo, Reparaciones y Costas.</w:t>
      </w:r>
      <w:r w:rsidRPr="00DD1B52">
        <w:rPr>
          <w:sz w:val="16"/>
          <w:szCs w:val="16"/>
          <w:lang w:val="es-CR"/>
        </w:rPr>
        <w:t xml:space="preserve"> Sentencia de 10 de o</w:t>
      </w:r>
      <w:r>
        <w:rPr>
          <w:sz w:val="16"/>
          <w:szCs w:val="16"/>
          <w:lang w:val="es-CR"/>
        </w:rPr>
        <w:t xml:space="preserve">ctubre de 2013. Serie C No. 269, párr. 167, y </w:t>
      </w:r>
      <w:r>
        <w:rPr>
          <w:i/>
          <w:sz w:val="16"/>
          <w:szCs w:val="16"/>
          <w:lang w:val="es-CR"/>
        </w:rPr>
        <w:t>Caso Pacheco León y otros Vs. Honduras. Fondo, Reparaciones y Costas.</w:t>
      </w:r>
      <w:r>
        <w:rPr>
          <w:sz w:val="16"/>
          <w:szCs w:val="16"/>
          <w:lang w:val="es-CR"/>
        </w:rPr>
        <w:t xml:space="preserve"> Sentencia de 15 de noviembre 2017. Serie C No. 342, párr. 75. </w:t>
      </w:r>
    </w:p>
  </w:footnote>
  <w:footnote w:id="132">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w:t>
      </w:r>
      <w:r>
        <w:rPr>
          <w:i/>
          <w:sz w:val="16"/>
          <w:szCs w:val="16"/>
          <w:lang w:val="es-CR"/>
        </w:rPr>
        <w:t>Cfr.</w:t>
      </w:r>
      <w:r>
        <w:rPr>
          <w:sz w:val="16"/>
          <w:szCs w:val="16"/>
          <w:lang w:val="es-CR"/>
        </w:rPr>
        <w:t xml:space="preserve"> </w:t>
      </w:r>
      <w:r w:rsidRPr="006A40AD">
        <w:rPr>
          <w:i/>
          <w:sz w:val="16"/>
          <w:szCs w:val="16"/>
          <w:lang w:val="es-CR"/>
        </w:rPr>
        <w:t>Caso Castillo González y otros Vs. Venezuela</w:t>
      </w:r>
      <w:r>
        <w:rPr>
          <w:i/>
          <w:sz w:val="16"/>
          <w:szCs w:val="16"/>
          <w:lang w:val="es-CR"/>
        </w:rPr>
        <w:t>, supra</w:t>
      </w:r>
      <w:r>
        <w:rPr>
          <w:sz w:val="16"/>
          <w:szCs w:val="16"/>
          <w:lang w:val="es-CR"/>
        </w:rPr>
        <w:t xml:space="preserve">, párr. 153, y </w:t>
      </w:r>
      <w:r>
        <w:rPr>
          <w:i/>
          <w:sz w:val="16"/>
          <w:szCs w:val="16"/>
          <w:lang w:val="es-CR"/>
        </w:rPr>
        <w:t>Caso Pacheco León y otros Vs. Honduras, supra</w:t>
      </w:r>
      <w:r>
        <w:rPr>
          <w:sz w:val="16"/>
          <w:szCs w:val="16"/>
          <w:lang w:val="es-CR"/>
        </w:rPr>
        <w:t xml:space="preserve">, párr. 76.  </w:t>
      </w:r>
    </w:p>
  </w:footnote>
  <w:footnote w:id="133">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Pr>
          <w:i/>
          <w:sz w:val="16"/>
          <w:szCs w:val="16"/>
          <w:lang w:val="es-CR"/>
        </w:rPr>
        <w:t xml:space="preserve">Cfr. </w:t>
      </w:r>
      <w:r>
        <w:rPr>
          <w:bCs/>
          <w:i/>
          <w:spacing w:val="-4"/>
          <w:sz w:val="16"/>
          <w:szCs w:val="16"/>
          <w:lang w:val="es-CR"/>
        </w:rPr>
        <w:t>Caso Luna López Vs. Honduras, supra</w:t>
      </w:r>
      <w:r>
        <w:rPr>
          <w:bCs/>
          <w:spacing w:val="-4"/>
          <w:sz w:val="16"/>
          <w:szCs w:val="16"/>
          <w:lang w:val="es-CR"/>
        </w:rPr>
        <w:t>,</w:t>
      </w:r>
      <w:r>
        <w:rPr>
          <w:bCs/>
          <w:i/>
          <w:spacing w:val="-4"/>
          <w:sz w:val="16"/>
          <w:szCs w:val="16"/>
          <w:lang w:val="es-CR"/>
        </w:rPr>
        <w:t xml:space="preserve"> </w:t>
      </w:r>
      <w:r>
        <w:rPr>
          <w:sz w:val="16"/>
          <w:szCs w:val="16"/>
          <w:lang w:val="es-CR"/>
        </w:rPr>
        <w:t xml:space="preserve">párr. 167, </w:t>
      </w:r>
      <w:r>
        <w:rPr>
          <w:rFonts w:eastAsia="Cambria"/>
          <w:sz w:val="16"/>
          <w:szCs w:val="16"/>
          <w:lang w:val="es-CR"/>
        </w:rPr>
        <w:t>y</w:t>
      </w:r>
      <w:r>
        <w:rPr>
          <w:sz w:val="16"/>
          <w:szCs w:val="16"/>
          <w:lang w:val="es-CR"/>
        </w:rPr>
        <w:t xml:space="preserve"> </w:t>
      </w:r>
      <w:r>
        <w:rPr>
          <w:i/>
          <w:sz w:val="16"/>
          <w:szCs w:val="16"/>
          <w:lang w:val="es-CR"/>
        </w:rPr>
        <w:t xml:space="preserve">Caso Carvajal </w:t>
      </w:r>
      <w:proofErr w:type="spellStart"/>
      <w:r>
        <w:rPr>
          <w:i/>
          <w:sz w:val="16"/>
          <w:szCs w:val="16"/>
          <w:lang w:val="es-CR"/>
        </w:rPr>
        <w:t>Carvajal</w:t>
      </w:r>
      <w:proofErr w:type="spellEnd"/>
      <w:r>
        <w:rPr>
          <w:i/>
          <w:sz w:val="16"/>
          <w:szCs w:val="16"/>
          <w:lang w:val="es-CR"/>
        </w:rPr>
        <w:t xml:space="preserve"> y otros Vs. Colombia, supra</w:t>
      </w:r>
      <w:r>
        <w:rPr>
          <w:sz w:val="16"/>
          <w:szCs w:val="16"/>
          <w:lang w:val="es-CR"/>
        </w:rPr>
        <w:t xml:space="preserve">, párr. 117. </w:t>
      </w:r>
    </w:p>
  </w:footnote>
  <w:footnote w:id="134">
    <w:p w:rsidR="00785921" w:rsidRPr="00467331" w:rsidRDefault="00785921" w:rsidP="00126E97">
      <w:pPr>
        <w:spacing w:after="0" w:line="20" w:lineRule="atLeast"/>
        <w:ind w:right="-138"/>
        <w:jc w:val="both"/>
        <w:rPr>
          <w:rFonts w:ascii="Verdana" w:hAnsi="Verdana"/>
          <w:lang w:val="es-CR"/>
        </w:rPr>
      </w:pPr>
      <w:r w:rsidRPr="00467331">
        <w:rPr>
          <w:rStyle w:val="FootnoteReference"/>
          <w:rFonts w:ascii="Verdana" w:hAnsi="Verdana"/>
          <w:sz w:val="16"/>
          <w:szCs w:val="16"/>
          <w:lang w:eastAsia="x-none"/>
        </w:rPr>
        <w:footnoteRef/>
      </w:r>
      <w:r w:rsidRPr="00467331">
        <w:rPr>
          <w:rFonts w:ascii="Verdana" w:hAnsi="Verdana"/>
          <w:sz w:val="16"/>
          <w:szCs w:val="16"/>
          <w:lang w:val="es-CR"/>
        </w:rPr>
        <w:t xml:space="preserve"> Por ello, la Corte no tendrá en cuenta argumentos sobre el manejo de la prueba, tales como los señalados por la Comisión respecto al extravío de ropa de las víctimas, el registro de casquillos de bala recogidos o la preservación de la escena del crimen. Tampoco considerará aseveraciones de la Comisión sobre que fue “contraria al marco legal” la aceptación de diversos recursos y pruebas de los procesados, y que no fue motivado el rechazo de pruebas y declaraciones promovido por la querella (</w:t>
      </w:r>
      <w:r w:rsidRPr="00467331">
        <w:rPr>
          <w:rFonts w:ascii="Verdana" w:hAnsi="Verdana"/>
          <w:i/>
          <w:sz w:val="16"/>
          <w:szCs w:val="16"/>
          <w:lang w:val="es-CR"/>
        </w:rPr>
        <w:t>supra</w:t>
      </w:r>
      <w:r w:rsidRPr="00467331">
        <w:rPr>
          <w:rFonts w:ascii="Verdana" w:hAnsi="Verdana"/>
          <w:sz w:val="16"/>
          <w:szCs w:val="16"/>
          <w:lang w:val="es-CR"/>
        </w:rPr>
        <w:t xml:space="preserve"> párr. 76). De igual modo, no resulta necesario analizar alegatos sobre la falta de adopción diligencias, que además fueron planteados en forma genérica, ni sobre la ausencia de medidas respecto de amenazas u hostigamientos, que fueron esbozados en relación con la efectividad de la investigación. En el mismo sentido, no se examinarán alusiones de los representantes sobre la supuesta “falta de interés” de las autoridades en la investigación, los que, además, resultan vagos o imprecisos, en tanto no expresan relación con acciones u omisiones concretas relativas a la investigación. En cuanto a los señalamientos de la Comisión sobre “largos periodos de inactividad”, la Corte remite al examen respecto de la razonabilidad del tiempo transcurrido durante las actuaciones. </w:t>
      </w:r>
    </w:p>
  </w:footnote>
  <w:footnote w:id="135">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sidRPr="00637508">
        <w:rPr>
          <w:sz w:val="16"/>
          <w:szCs w:val="16"/>
          <w:lang w:val="es-CR"/>
        </w:rPr>
        <w:t xml:space="preserve"> </w:t>
      </w:r>
      <w:r w:rsidRPr="00637508">
        <w:rPr>
          <w:i/>
          <w:iCs/>
          <w:sz w:val="16"/>
          <w:szCs w:val="16"/>
          <w:lang w:val="es-CR"/>
        </w:rPr>
        <w:t xml:space="preserve">Cfr. Caso La Cantuta Vs. Perú. Fondo, Reparaciones y Costas. </w:t>
      </w:r>
      <w:r w:rsidRPr="00637508">
        <w:rPr>
          <w:sz w:val="16"/>
          <w:szCs w:val="16"/>
          <w:lang w:val="es-CR"/>
        </w:rPr>
        <w:t xml:space="preserve">Sentencia de 29 de noviembre de 2006. Serie C No. 162, párr. 142, y </w:t>
      </w:r>
      <w:r w:rsidRPr="006A40AD">
        <w:rPr>
          <w:i/>
          <w:sz w:val="16"/>
          <w:szCs w:val="16"/>
          <w:lang w:val="es-CR"/>
        </w:rPr>
        <w:t xml:space="preserve">Caso </w:t>
      </w:r>
      <w:proofErr w:type="spellStart"/>
      <w:r w:rsidRPr="006A40AD">
        <w:rPr>
          <w:i/>
          <w:sz w:val="16"/>
          <w:szCs w:val="16"/>
          <w:lang w:val="es-CR"/>
        </w:rPr>
        <w:t>Herzog</w:t>
      </w:r>
      <w:proofErr w:type="spellEnd"/>
      <w:r w:rsidRPr="006A40AD">
        <w:rPr>
          <w:i/>
          <w:sz w:val="16"/>
          <w:szCs w:val="16"/>
          <w:lang w:val="es-CR"/>
        </w:rPr>
        <w:t xml:space="preserve"> y otros Vs. Brasil. Excepciones Preliminares, Fondo, Reparaciones y Costas. </w:t>
      </w:r>
      <w:r w:rsidRPr="00747B5E">
        <w:rPr>
          <w:sz w:val="16"/>
          <w:szCs w:val="16"/>
          <w:lang w:val="es-CR"/>
        </w:rPr>
        <w:t>Sentencia de 15 de</w:t>
      </w:r>
      <w:r>
        <w:rPr>
          <w:sz w:val="16"/>
          <w:szCs w:val="16"/>
          <w:lang w:val="es-CR"/>
        </w:rPr>
        <w:t xml:space="preserve"> marzo de 2018. Serie C No. 353, párr. 248. </w:t>
      </w:r>
    </w:p>
  </w:footnote>
  <w:footnote w:id="136">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La Corte recuerda que la justicia militar</w:t>
      </w:r>
      <w:r w:rsidRPr="00637508">
        <w:rPr>
          <w:rFonts w:cs="Arial"/>
          <w:sz w:val="16"/>
          <w:szCs w:val="16"/>
          <w:lang w:val="es-CR"/>
        </w:rPr>
        <w:t xml:space="preserve"> intervino en el caso cerca desde el inicio de las actuaciones hasta que el 31 de enero de 1996 se ordenó el traslado de las mismas a la justicia ordinaria.</w:t>
      </w:r>
    </w:p>
  </w:footnote>
  <w:footnote w:id="137">
    <w:p w:rsidR="00785921" w:rsidRPr="006A0901" w:rsidRDefault="00785921" w:rsidP="00126E97">
      <w:pPr>
        <w:pStyle w:val="FootnoteText"/>
        <w:spacing w:line="20" w:lineRule="atLeast"/>
        <w:rPr>
          <w:sz w:val="16"/>
          <w:szCs w:val="16"/>
          <w:lang w:val="es-CR"/>
        </w:rPr>
      </w:pPr>
      <w:r w:rsidRPr="006A0901">
        <w:rPr>
          <w:rStyle w:val="FootnoteReference"/>
          <w:sz w:val="16"/>
          <w:szCs w:val="16"/>
        </w:rPr>
        <w:footnoteRef/>
      </w:r>
      <w:r w:rsidRPr="006A0901">
        <w:rPr>
          <w:sz w:val="16"/>
          <w:szCs w:val="16"/>
          <w:lang w:val="es-CR"/>
        </w:rPr>
        <w:t xml:space="preserve"> Respecto a lo determinado, interesa destacar que las circunstancias del caso son distintas a otras conocidas por la Corte, en las que</w:t>
      </w:r>
      <w:r>
        <w:rPr>
          <w:sz w:val="16"/>
          <w:szCs w:val="16"/>
          <w:lang w:val="es-CR"/>
        </w:rPr>
        <w:t xml:space="preserve"> </w:t>
      </w:r>
      <w:r w:rsidRPr="00617817">
        <w:rPr>
          <w:sz w:val="16"/>
          <w:szCs w:val="16"/>
          <w:lang w:val="es-CR"/>
        </w:rPr>
        <w:t>planteamientos</w:t>
      </w:r>
      <w:r>
        <w:rPr>
          <w:sz w:val="16"/>
          <w:szCs w:val="16"/>
          <w:lang w:val="es-CR"/>
        </w:rPr>
        <w:t xml:space="preserve"> </w:t>
      </w:r>
      <w:r w:rsidRPr="006A0901">
        <w:rPr>
          <w:sz w:val="16"/>
          <w:szCs w:val="16"/>
          <w:lang w:val="es-CR"/>
        </w:rPr>
        <w:t xml:space="preserve">de competencia se resolvieron a favor del fuero militar, ámbito en el cual las actuaciones permanecieron varios años. Así, en el caso </w:t>
      </w:r>
      <w:proofErr w:type="spellStart"/>
      <w:r w:rsidRPr="006A0901">
        <w:rPr>
          <w:i/>
          <w:sz w:val="16"/>
          <w:szCs w:val="16"/>
          <w:lang w:val="es-CR"/>
        </w:rPr>
        <w:t>Quispialaya</w:t>
      </w:r>
      <w:proofErr w:type="spellEnd"/>
      <w:r w:rsidRPr="006A0901">
        <w:rPr>
          <w:i/>
          <w:sz w:val="16"/>
          <w:szCs w:val="16"/>
          <w:lang w:val="es-CR"/>
        </w:rPr>
        <w:t xml:space="preserve"> </w:t>
      </w:r>
      <w:proofErr w:type="spellStart"/>
      <w:r w:rsidRPr="006A0901">
        <w:rPr>
          <w:i/>
          <w:sz w:val="16"/>
          <w:szCs w:val="16"/>
          <w:lang w:val="es-CR"/>
        </w:rPr>
        <w:t>Vilcapoma</w:t>
      </w:r>
      <w:proofErr w:type="spellEnd"/>
      <w:r w:rsidRPr="006A0901">
        <w:rPr>
          <w:i/>
          <w:sz w:val="16"/>
          <w:szCs w:val="16"/>
          <w:lang w:val="es-CR"/>
        </w:rPr>
        <w:t xml:space="preserve"> Vs. Perú</w:t>
      </w:r>
      <w:r w:rsidRPr="006A0901">
        <w:rPr>
          <w:sz w:val="16"/>
          <w:szCs w:val="16"/>
          <w:lang w:val="es-CR"/>
        </w:rPr>
        <w:t xml:space="preserve"> la Corte determinó que “la decisión de la Sala Penal Permanente de la Corte Suprema de inhibir a la jurisdicción ordinaria de investigar y juzgar los hechos delictivos del […] caso, aunada al largo período entre los años 2002 y 2007 durante el cual el caso se mantuvo en la jurisdicción militar, vulneró el principio del juez natural” (</w:t>
      </w:r>
      <w:r w:rsidRPr="006A0901">
        <w:rPr>
          <w:i/>
          <w:sz w:val="16"/>
          <w:szCs w:val="16"/>
          <w:lang w:val="es-CR"/>
        </w:rPr>
        <w:t xml:space="preserve">Caso </w:t>
      </w:r>
      <w:proofErr w:type="spellStart"/>
      <w:r w:rsidRPr="006A0901">
        <w:rPr>
          <w:i/>
          <w:sz w:val="16"/>
          <w:szCs w:val="16"/>
          <w:lang w:val="es-CR"/>
        </w:rPr>
        <w:t>Quispialaya</w:t>
      </w:r>
      <w:proofErr w:type="spellEnd"/>
      <w:r w:rsidRPr="006A0901">
        <w:rPr>
          <w:i/>
          <w:sz w:val="16"/>
          <w:szCs w:val="16"/>
          <w:lang w:val="es-CR"/>
        </w:rPr>
        <w:t xml:space="preserve"> </w:t>
      </w:r>
      <w:proofErr w:type="spellStart"/>
      <w:r w:rsidRPr="006A0901">
        <w:rPr>
          <w:i/>
          <w:sz w:val="16"/>
          <w:szCs w:val="16"/>
          <w:lang w:val="es-CR"/>
        </w:rPr>
        <w:t>Vilcapoma</w:t>
      </w:r>
      <w:proofErr w:type="spellEnd"/>
      <w:r w:rsidRPr="006A0901">
        <w:rPr>
          <w:i/>
          <w:sz w:val="16"/>
          <w:szCs w:val="16"/>
          <w:lang w:val="es-CR"/>
        </w:rPr>
        <w:t xml:space="preserve"> Vs. Perú. Excepciones Preliminares, Fondo, Reparaciones y Costas</w:t>
      </w:r>
      <w:r w:rsidRPr="006A0901">
        <w:rPr>
          <w:sz w:val="16"/>
          <w:szCs w:val="16"/>
          <w:lang w:val="es-CR"/>
        </w:rPr>
        <w:t xml:space="preserve">. Sentencia de 23 de noviembre de 2015. Serie C No. 308, párr. 152). Circunstancias como las referidas denotan un impacto en el derecho a las garantías judiciales, que no resulta verificado en el presente caso, dadas las particularidades del mismo. </w:t>
      </w:r>
    </w:p>
  </w:footnote>
  <w:footnote w:id="138">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w:t>
      </w:r>
      <w:r w:rsidRPr="00637508">
        <w:rPr>
          <w:i/>
          <w:iCs/>
          <w:sz w:val="16"/>
          <w:szCs w:val="16"/>
          <w:lang w:val="es-CR"/>
        </w:rPr>
        <w:t>Cfr. Caso de la Masacre de la Rochela Vs. Colombia. Fondo, Reparaciones y Costas</w:t>
      </w:r>
      <w:r w:rsidRPr="00637508">
        <w:rPr>
          <w:sz w:val="16"/>
          <w:szCs w:val="16"/>
          <w:lang w:val="es-CR"/>
        </w:rPr>
        <w:t xml:space="preserve">. Sentencia de 11 de mayo de 2007. Serie C No. 163, párr. 158, y </w:t>
      </w:r>
      <w:r w:rsidRPr="00637508">
        <w:rPr>
          <w:i/>
          <w:sz w:val="16"/>
          <w:szCs w:val="16"/>
          <w:lang w:val="es-CR"/>
        </w:rPr>
        <w:t>Caso Pacheco León y otros Vs. Honduras</w:t>
      </w:r>
      <w:r>
        <w:rPr>
          <w:i/>
          <w:sz w:val="16"/>
          <w:szCs w:val="16"/>
          <w:lang w:val="es-CR"/>
        </w:rPr>
        <w:t>, supra</w:t>
      </w:r>
      <w:r w:rsidRPr="00637508">
        <w:rPr>
          <w:sz w:val="16"/>
          <w:szCs w:val="16"/>
          <w:lang w:val="es-CR"/>
        </w:rPr>
        <w:t>, pár</w:t>
      </w:r>
      <w:r>
        <w:rPr>
          <w:sz w:val="16"/>
          <w:szCs w:val="16"/>
          <w:lang w:val="es-CR"/>
        </w:rPr>
        <w:t>r</w:t>
      </w:r>
      <w:r w:rsidRPr="00637508">
        <w:rPr>
          <w:sz w:val="16"/>
          <w:szCs w:val="16"/>
          <w:lang w:val="es-CR"/>
        </w:rPr>
        <w:t xml:space="preserve">. 89. </w:t>
      </w:r>
    </w:p>
  </w:footnote>
  <w:footnote w:id="139">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w:t>
      </w:r>
      <w:r w:rsidRPr="00637508">
        <w:rPr>
          <w:i/>
          <w:sz w:val="16"/>
          <w:szCs w:val="16"/>
          <w:lang w:val="es-CR"/>
        </w:rPr>
        <w:t xml:space="preserve">Cfr. </w:t>
      </w:r>
      <w:r w:rsidRPr="00310C03">
        <w:rPr>
          <w:i/>
          <w:sz w:val="16"/>
          <w:szCs w:val="16"/>
          <w:lang w:val="es-CR"/>
        </w:rPr>
        <w:t xml:space="preserve">Caso </w:t>
      </w:r>
      <w:proofErr w:type="spellStart"/>
      <w:r w:rsidRPr="00310C03">
        <w:rPr>
          <w:i/>
          <w:sz w:val="16"/>
          <w:szCs w:val="16"/>
          <w:lang w:val="es-CR"/>
        </w:rPr>
        <w:t>Kawas</w:t>
      </w:r>
      <w:proofErr w:type="spellEnd"/>
      <w:r w:rsidRPr="00310C03">
        <w:rPr>
          <w:i/>
          <w:sz w:val="16"/>
          <w:szCs w:val="16"/>
          <w:lang w:val="es-CR"/>
        </w:rPr>
        <w:t xml:space="preserve"> Fernández Vs. Honduras. Fondo, Reparaciones y Costas. Sentencia de 3 de abril de 2009. Serie C No. 196, párr. 96</w:t>
      </w:r>
      <w:r>
        <w:rPr>
          <w:i/>
          <w:sz w:val="16"/>
          <w:szCs w:val="16"/>
          <w:lang w:val="es-CR"/>
        </w:rPr>
        <w:t xml:space="preserve">, y </w:t>
      </w:r>
      <w:r w:rsidRPr="00637508">
        <w:rPr>
          <w:i/>
          <w:sz w:val="16"/>
          <w:szCs w:val="16"/>
          <w:lang w:val="es-CR"/>
        </w:rPr>
        <w:t>Caso Pacheco León y otros Vs. Hondura</w:t>
      </w:r>
      <w:r>
        <w:rPr>
          <w:i/>
          <w:sz w:val="16"/>
          <w:szCs w:val="16"/>
          <w:lang w:val="es-CR"/>
        </w:rPr>
        <w:t>, supra</w:t>
      </w:r>
      <w:r w:rsidRPr="00637508">
        <w:rPr>
          <w:sz w:val="16"/>
          <w:szCs w:val="16"/>
          <w:lang w:val="es-CR"/>
        </w:rPr>
        <w:t>, pár</w:t>
      </w:r>
      <w:r>
        <w:rPr>
          <w:sz w:val="16"/>
          <w:szCs w:val="16"/>
          <w:lang w:val="es-CR"/>
        </w:rPr>
        <w:t>r</w:t>
      </w:r>
      <w:r w:rsidRPr="00637508">
        <w:rPr>
          <w:sz w:val="16"/>
          <w:szCs w:val="16"/>
          <w:lang w:val="es-CR"/>
        </w:rPr>
        <w:t>. 89.</w:t>
      </w:r>
    </w:p>
  </w:footnote>
  <w:footnote w:id="140">
    <w:p w:rsidR="00785921" w:rsidRPr="00637508" w:rsidRDefault="00785921" w:rsidP="00126E97">
      <w:pPr>
        <w:pStyle w:val="FootnoteText"/>
        <w:spacing w:line="20" w:lineRule="atLeast"/>
        <w:rPr>
          <w:lang w:val="es-CR"/>
        </w:rPr>
      </w:pPr>
      <w:r>
        <w:rPr>
          <w:rStyle w:val="FootnoteReference"/>
          <w:sz w:val="16"/>
          <w:szCs w:val="16"/>
          <w:lang w:eastAsia="x-none"/>
        </w:rPr>
        <w:footnoteRef/>
      </w:r>
      <w:r w:rsidRPr="00637508">
        <w:rPr>
          <w:sz w:val="16"/>
          <w:szCs w:val="16"/>
          <w:lang w:val="es-CR"/>
        </w:rPr>
        <w:t xml:space="preserve"> </w:t>
      </w:r>
      <w:r>
        <w:rPr>
          <w:sz w:val="16"/>
          <w:szCs w:val="16"/>
          <w:lang w:val="es-CR"/>
        </w:rPr>
        <w:t>De los hechos del caso surge que el 8 de julio de 2004 se condenó a 14 militares a 40 años de prisión por las muertes y lesiones infringidas, y que el 23 de septiembre de 2005 la sentencia condenatoria quedó firme (</w:t>
      </w:r>
      <w:r>
        <w:rPr>
          <w:i/>
          <w:sz w:val="16"/>
          <w:szCs w:val="16"/>
          <w:lang w:val="es-CR"/>
        </w:rPr>
        <w:t>supra</w:t>
      </w:r>
      <w:r>
        <w:rPr>
          <w:sz w:val="16"/>
          <w:szCs w:val="16"/>
          <w:lang w:val="es-CR"/>
        </w:rPr>
        <w:t xml:space="preserve"> párr. 64).</w:t>
      </w:r>
    </w:p>
  </w:footnote>
  <w:footnote w:id="141">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w:t>
      </w:r>
      <w:r w:rsidRPr="00637508">
        <w:rPr>
          <w:i/>
          <w:sz w:val="16"/>
          <w:szCs w:val="16"/>
          <w:lang w:val="es-CR"/>
        </w:rPr>
        <w:t>Cfr.</w:t>
      </w:r>
      <w:r w:rsidRPr="006A40AD">
        <w:rPr>
          <w:sz w:val="16"/>
          <w:szCs w:val="16"/>
          <w:lang w:val="es-CR"/>
        </w:rPr>
        <w:t xml:space="preserve"> en ese sentido, </w:t>
      </w:r>
      <w:r w:rsidRPr="00637508">
        <w:rPr>
          <w:i/>
          <w:sz w:val="16"/>
          <w:szCs w:val="16"/>
          <w:lang w:val="es-CR"/>
        </w:rPr>
        <w:t xml:space="preserve">Caso Vargas </w:t>
      </w:r>
      <w:proofErr w:type="spellStart"/>
      <w:r w:rsidRPr="00637508">
        <w:rPr>
          <w:i/>
          <w:sz w:val="16"/>
          <w:szCs w:val="16"/>
          <w:lang w:val="es-CR"/>
        </w:rPr>
        <w:t>Areco</w:t>
      </w:r>
      <w:proofErr w:type="spellEnd"/>
      <w:r w:rsidRPr="00637508">
        <w:rPr>
          <w:i/>
          <w:sz w:val="16"/>
          <w:szCs w:val="16"/>
          <w:lang w:val="es-CR"/>
        </w:rPr>
        <w:t xml:space="preserve"> Vs. Paraguay. </w:t>
      </w:r>
      <w:r w:rsidRPr="000E39FE">
        <w:rPr>
          <w:sz w:val="16"/>
          <w:szCs w:val="16"/>
          <w:lang w:val="es-CR"/>
        </w:rPr>
        <w:t>Sentencia de 26 de septiembre de 2006</w:t>
      </w:r>
      <w:r w:rsidRPr="00637508">
        <w:rPr>
          <w:i/>
          <w:sz w:val="16"/>
          <w:szCs w:val="16"/>
          <w:lang w:val="es-CR"/>
        </w:rPr>
        <w:t>.</w:t>
      </w:r>
      <w:r w:rsidRPr="00637508">
        <w:rPr>
          <w:sz w:val="16"/>
          <w:szCs w:val="16"/>
          <w:lang w:val="es-CR"/>
        </w:rPr>
        <w:t xml:space="preserve"> Serie C No. 155, párr. 108, y </w:t>
      </w:r>
      <w:r w:rsidRPr="00637508">
        <w:rPr>
          <w:bCs/>
          <w:i/>
          <w:sz w:val="16"/>
          <w:szCs w:val="16"/>
          <w:lang w:val="es-CR"/>
        </w:rPr>
        <w:t xml:space="preserve">Caso Trabajadores de la Hacienda Brasil Verde Vs. Brasil. Excepciones Preliminares, Fondo, Reparaciones y Costas. </w:t>
      </w:r>
      <w:r w:rsidRPr="00637508">
        <w:rPr>
          <w:bCs/>
          <w:sz w:val="16"/>
          <w:szCs w:val="16"/>
          <w:lang w:val="es-CR"/>
        </w:rPr>
        <w:t>Sentencia de 20 de octubre de 2016. Serie C No. 318, párr. 462.</w:t>
      </w:r>
    </w:p>
  </w:footnote>
  <w:footnote w:id="142">
    <w:p w:rsidR="00785921" w:rsidRPr="006A40AD" w:rsidRDefault="00785921" w:rsidP="00126E97">
      <w:pPr>
        <w:pStyle w:val="FootnoteText"/>
        <w:spacing w:line="20" w:lineRule="atLeast"/>
        <w:rPr>
          <w:sz w:val="16"/>
          <w:szCs w:val="16"/>
          <w:lang w:val="es-CR"/>
        </w:rPr>
      </w:pPr>
      <w:r w:rsidRPr="00863619">
        <w:rPr>
          <w:rStyle w:val="FootnoteReference"/>
          <w:sz w:val="16"/>
          <w:szCs w:val="16"/>
          <w:lang w:eastAsia="x-none"/>
        </w:rPr>
        <w:footnoteRef/>
      </w:r>
      <w:r w:rsidRPr="00637508">
        <w:rPr>
          <w:i/>
          <w:sz w:val="16"/>
          <w:szCs w:val="16"/>
          <w:lang w:val="es-CR"/>
        </w:rPr>
        <w:t xml:space="preserve"> Cfr. </w:t>
      </w:r>
      <w:r w:rsidRPr="00637508">
        <w:rPr>
          <w:bCs/>
          <w:i/>
          <w:sz w:val="16"/>
          <w:szCs w:val="16"/>
          <w:lang w:val="es-CR"/>
        </w:rPr>
        <w:t xml:space="preserve">Caso Ortiz Hernández y otros Vs. Venezuela. Fondo, Reparaciones y Costas. </w:t>
      </w:r>
      <w:r w:rsidRPr="006A40AD">
        <w:rPr>
          <w:bCs/>
          <w:sz w:val="16"/>
          <w:szCs w:val="16"/>
          <w:lang w:val="es-CR"/>
        </w:rPr>
        <w:t xml:space="preserve">Sentencia de 22 de agosto de 2017. Serie C No. 338, </w:t>
      </w:r>
      <w:proofErr w:type="spellStart"/>
      <w:r w:rsidRPr="006A40AD">
        <w:rPr>
          <w:bCs/>
          <w:sz w:val="16"/>
          <w:szCs w:val="16"/>
          <w:lang w:val="es-CR"/>
        </w:rPr>
        <w:t>párrs</w:t>
      </w:r>
      <w:proofErr w:type="spellEnd"/>
      <w:r w:rsidRPr="006A40AD">
        <w:rPr>
          <w:bCs/>
          <w:sz w:val="16"/>
          <w:szCs w:val="16"/>
          <w:lang w:val="es-CR"/>
        </w:rPr>
        <w:t>. 172 a 174.</w:t>
      </w:r>
      <w:r w:rsidRPr="006A40AD">
        <w:rPr>
          <w:b/>
          <w:bCs/>
          <w:sz w:val="16"/>
          <w:szCs w:val="16"/>
          <w:lang w:val="es-CR"/>
        </w:rPr>
        <w:t xml:space="preserve"> </w:t>
      </w:r>
    </w:p>
  </w:footnote>
  <w:footnote w:id="143">
    <w:p w:rsidR="00785921" w:rsidRDefault="00785921" w:rsidP="00126E97">
      <w:pPr>
        <w:pStyle w:val="Default"/>
        <w:spacing w:line="20" w:lineRule="atLeast"/>
        <w:jc w:val="both"/>
        <w:rPr>
          <w:sz w:val="16"/>
          <w:szCs w:val="16"/>
        </w:rPr>
      </w:pPr>
      <w:r>
        <w:rPr>
          <w:rStyle w:val="FootnoteReference"/>
          <w:sz w:val="16"/>
          <w:szCs w:val="16"/>
          <w:lang w:eastAsia="x-none"/>
        </w:rPr>
        <w:footnoteRef/>
      </w:r>
      <w:r>
        <w:rPr>
          <w:sz w:val="16"/>
          <w:szCs w:val="16"/>
        </w:rPr>
        <w:t xml:space="preserve"> Resulta pertinente a este caso la consideración expresada por la Corte en otra oportunidad: “la falta de captura de los responsables, además de perpetuar la incertidumbre de riesgo de las víctimas, evidencia en </w:t>
      </w:r>
    </w:p>
    <w:p w:rsidR="00785921" w:rsidRDefault="00785921" w:rsidP="00126E97">
      <w:pPr>
        <w:pStyle w:val="Default"/>
        <w:spacing w:line="20" w:lineRule="atLeast"/>
        <w:jc w:val="both"/>
        <w:rPr>
          <w:sz w:val="16"/>
          <w:szCs w:val="16"/>
        </w:rPr>
      </w:pPr>
      <w:r>
        <w:rPr>
          <w:sz w:val="16"/>
          <w:szCs w:val="16"/>
        </w:rPr>
        <w:t>este caso que el Estado no ha adoptado las medidas adecuadas para hacer valer sus propias decisiones” (</w:t>
      </w:r>
      <w:r>
        <w:rPr>
          <w:i/>
          <w:iCs/>
          <w:sz w:val="16"/>
          <w:szCs w:val="16"/>
        </w:rPr>
        <w:t xml:space="preserve">Caso Myrna </w:t>
      </w:r>
      <w:proofErr w:type="spellStart"/>
      <w:r>
        <w:rPr>
          <w:i/>
          <w:iCs/>
          <w:sz w:val="16"/>
          <w:szCs w:val="16"/>
        </w:rPr>
        <w:t>Mack</w:t>
      </w:r>
      <w:proofErr w:type="spellEnd"/>
      <w:r>
        <w:rPr>
          <w:i/>
          <w:iCs/>
          <w:sz w:val="16"/>
          <w:szCs w:val="16"/>
        </w:rPr>
        <w:t xml:space="preserve"> Chang Vs. Guatemala. Supervisión de Cumplimiento de Sentencia. </w:t>
      </w:r>
      <w:r>
        <w:rPr>
          <w:sz w:val="16"/>
          <w:szCs w:val="16"/>
        </w:rPr>
        <w:t>Resolución de la Corte Interamericana de Derechos Humanos de 16 de noviembre de 2009, Considerando 11).</w:t>
      </w:r>
    </w:p>
  </w:footnote>
  <w:footnote w:id="144">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w:t>
      </w:r>
      <w:r w:rsidRPr="00C10BBD">
        <w:rPr>
          <w:sz w:val="16"/>
          <w:szCs w:val="16"/>
          <w:lang w:val="es-CR"/>
        </w:rPr>
        <w:t xml:space="preserve">De la información con que cuenta la Corte, ninguna de las personas aludidas murió antes del 12 de abril de 2000. La determinación de víctimas en el presente caso que son familiares de las personas muertas y heridas, que se listan, en lo pertinente, en los </w:t>
      </w:r>
      <w:r>
        <w:rPr>
          <w:sz w:val="16"/>
          <w:szCs w:val="16"/>
          <w:lang w:val="es-CR"/>
        </w:rPr>
        <w:t>A</w:t>
      </w:r>
      <w:r w:rsidRPr="00C10BBD">
        <w:rPr>
          <w:sz w:val="16"/>
          <w:szCs w:val="16"/>
          <w:lang w:val="es-CR"/>
        </w:rPr>
        <w:t>nexos B.1 y B.5 de la presente Sentencia, que integran la misma, se hace a partir de señalamientos de la Comisión y las partes.</w:t>
      </w:r>
      <w:r>
        <w:rPr>
          <w:sz w:val="16"/>
          <w:szCs w:val="16"/>
          <w:lang w:val="es-CR"/>
        </w:rPr>
        <w:t xml:space="preserve"> </w:t>
      </w:r>
    </w:p>
  </w:footnote>
  <w:footnote w:id="145">
    <w:p w:rsidR="00785921" w:rsidRPr="00E9378A" w:rsidRDefault="00785921" w:rsidP="00126E97">
      <w:pPr>
        <w:pStyle w:val="FootnoteText"/>
        <w:spacing w:line="20" w:lineRule="atLeast"/>
        <w:rPr>
          <w:b/>
          <w:lang w:val="es-CR"/>
        </w:rPr>
      </w:pPr>
      <w:r>
        <w:rPr>
          <w:rStyle w:val="FootnoteReference"/>
        </w:rPr>
        <w:footnoteRef/>
      </w:r>
      <w:r w:rsidRPr="00280DA2">
        <w:rPr>
          <w:lang w:val="es-CR"/>
        </w:rPr>
        <w:t xml:space="preserve"> </w:t>
      </w:r>
      <w:r w:rsidRPr="00280DA2">
        <w:rPr>
          <w:sz w:val="16"/>
          <w:szCs w:val="16"/>
          <w:lang w:val="es-CR"/>
        </w:rPr>
        <w:t xml:space="preserve">En otras ocasiones, de acuerdo a las circunstancias del caso, la Corte ha determinado violados derechos a las garantías judiciales en perjuicio de familiares de personas que habían visto lesionado su derecho a la integridad personal. Así ocurrió, por ejemplo, respecto al caso </w:t>
      </w:r>
      <w:proofErr w:type="spellStart"/>
      <w:r w:rsidRPr="00467331">
        <w:rPr>
          <w:rStyle w:val="Strong"/>
          <w:b w:val="0"/>
          <w:bCs/>
          <w:i/>
          <w:color w:val="000000"/>
          <w:sz w:val="16"/>
          <w:szCs w:val="16"/>
          <w:shd w:val="clear" w:color="auto" w:fill="FFFFFF"/>
          <w:lang w:val="es-ES"/>
        </w:rPr>
        <w:t>Quispialaya</w:t>
      </w:r>
      <w:proofErr w:type="spellEnd"/>
      <w:r w:rsidRPr="00467331">
        <w:rPr>
          <w:rStyle w:val="Strong"/>
          <w:b w:val="0"/>
          <w:bCs/>
          <w:i/>
          <w:color w:val="000000"/>
          <w:sz w:val="16"/>
          <w:szCs w:val="16"/>
          <w:shd w:val="clear" w:color="auto" w:fill="FFFFFF"/>
          <w:lang w:val="es-ES"/>
        </w:rPr>
        <w:t xml:space="preserve"> </w:t>
      </w:r>
      <w:proofErr w:type="spellStart"/>
      <w:r w:rsidRPr="00467331">
        <w:rPr>
          <w:rStyle w:val="Strong"/>
          <w:b w:val="0"/>
          <w:bCs/>
          <w:i/>
          <w:color w:val="000000"/>
          <w:sz w:val="16"/>
          <w:szCs w:val="16"/>
          <w:shd w:val="clear" w:color="auto" w:fill="FFFFFF"/>
          <w:lang w:val="es-ES"/>
        </w:rPr>
        <w:t>Vilcapoma</w:t>
      </w:r>
      <w:proofErr w:type="spellEnd"/>
      <w:r w:rsidRPr="00467331">
        <w:rPr>
          <w:rStyle w:val="Strong"/>
          <w:b w:val="0"/>
          <w:bCs/>
          <w:i/>
          <w:color w:val="000000"/>
          <w:sz w:val="16"/>
          <w:szCs w:val="16"/>
          <w:shd w:val="clear" w:color="auto" w:fill="FFFFFF"/>
          <w:lang w:val="es-ES"/>
        </w:rPr>
        <w:t xml:space="preserve"> vs. Perú</w:t>
      </w:r>
      <w:r w:rsidRPr="00467331">
        <w:rPr>
          <w:rStyle w:val="Strong"/>
          <w:b w:val="0"/>
          <w:bCs/>
          <w:color w:val="000000"/>
          <w:sz w:val="16"/>
          <w:szCs w:val="16"/>
          <w:shd w:val="clear" w:color="auto" w:fill="FFFFFF"/>
          <w:lang w:val="es-ES"/>
        </w:rPr>
        <w:t>. En el mismo se concluyó que se violó</w:t>
      </w:r>
      <w:r w:rsidRPr="00280DA2">
        <w:rPr>
          <w:rStyle w:val="Strong"/>
          <w:bCs/>
          <w:color w:val="000000"/>
          <w:sz w:val="16"/>
          <w:szCs w:val="16"/>
          <w:shd w:val="clear" w:color="auto" w:fill="FFFFFF"/>
          <w:lang w:val="es-ES"/>
        </w:rPr>
        <w:t xml:space="preserve"> </w:t>
      </w:r>
      <w:r w:rsidRPr="00280DA2">
        <w:rPr>
          <w:sz w:val="16"/>
          <w:szCs w:val="16"/>
          <w:lang w:val="es-ES"/>
        </w:rPr>
        <w:t xml:space="preserve">el artículo 8.1 de la Convención, en relación con el artículo 1.1 del mismo instrumento, en perjuicio de </w:t>
      </w:r>
      <w:proofErr w:type="spellStart"/>
      <w:r w:rsidRPr="00280DA2">
        <w:rPr>
          <w:sz w:val="16"/>
          <w:szCs w:val="16"/>
          <w:lang w:val="es-ES"/>
        </w:rPr>
        <w:t>Valdemir</w:t>
      </w:r>
      <w:proofErr w:type="spellEnd"/>
      <w:r w:rsidRPr="00280DA2">
        <w:rPr>
          <w:sz w:val="16"/>
          <w:szCs w:val="16"/>
          <w:lang w:val="es-ES"/>
        </w:rPr>
        <w:t xml:space="preserve"> </w:t>
      </w:r>
      <w:proofErr w:type="spellStart"/>
      <w:r w:rsidRPr="00280DA2">
        <w:rPr>
          <w:sz w:val="16"/>
          <w:szCs w:val="16"/>
          <w:lang w:val="es-ES"/>
        </w:rPr>
        <w:t>Quispialaya</w:t>
      </w:r>
      <w:proofErr w:type="spellEnd"/>
      <w:r w:rsidRPr="00280DA2">
        <w:rPr>
          <w:sz w:val="16"/>
          <w:szCs w:val="16"/>
          <w:lang w:val="es-ES"/>
        </w:rPr>
        <w:t xml:space="preserve"> </w:t>
      </w:r>
      <w:proofErr w:type="spellStart"/>
      <w:r w:rsidRPr="00280DA2">
        <w:rPr>
          <w:sz w:val="16"/>
          <w:szCs w:val="16"/>
          <w:lang w:val="es-ES"/>
        </w:rPr>
        <w:t>Vilcapoma</w:t>
      </w:r>
      <w:proofErr w:type="spellEnd"/>
      <w:r w:rsidRPr="00280DA2">
        <w:rPr>
          <w:sz w:val="16"/>
          <w:szCs w:val="16"/>
          <w:lang w:val="es-ES"/>
        </w:rPr>
        <w:t xml:space="preserve">, quien se encontraba vivo y había sufrido lesiones a su integridad personal, como también de Victoria </w:t>
      </w:r>
      <w:proofErr w:type="spellStart"/>
      <w:r w:rsidRPr="00280DA2">
        <w:rPr>
          <w:sz w:val="16"/>
          <w:szCs w:val="16"/>
          <w:lang w:val="es-ES"/>
        </w:rPr>
        <w:t>Vilcapoma</w:t>
      </w:r>
      <w:proofErr w:type="spellEnd"/>
      <w:r w:rsidRPr="00280DA2">
        <w:rPr>
          <w:sz w:val="16"/>
          <w:szCs w:val="16"/>
          <w:lang w:val="es-ES"/>
        </w:rPr>
        <w:t xml:space="preserve"> Taquia, quien había denunciado los hechos (</w:t>
      </w:r>
      <w:r w:rsidRPr="00280DA2">
        <w:rPr>
          <w:i/>
          <w:sz w:val="16"/>
          <w:szCs w:val="16"/>
          <w:lang w:val="es-ES"/>
        </w:rPr>
        <w:t>cfr.</w:t>
      </w:r>
      <w:r w:rsidRPr="00280DA2">
        <w:rPr>
          <w:sz w:val="16"/>
          <w:szCs w:val="16"/>
          <w:lang w:val="es-ES"/>
        </w:rPr>
        <w:t xml:space="preserve"> </w:t>
      </w:r>
      <w:r w:rsidRPr="00467331">
        <w:rPr>
          <w:rStyle w:val="Strong"/>
          <w:b w:val="0"/>
          <w:bCs/>
          <w:i/>
          <w:color w:val="000000"/>
          <w:sz w:val="16"/>
          <w:szCs w:val="16"/>
          <w:shd w:val="clear" w:color="auto" w:fill="FFFFFF"/>
          <w:lang w:val="es-ES"/>
        </w:rPr>
        <w:t xml:space="preserve">Caso </w:t>
      </w:r>
      <w:proofErr w:type="spellStart"/>
      <w:r w:rsidRPr="00467331">
        <w:rPr>
          <w:rStyle w:val="Strong"/>
          <w:b w:val="0"/>
          <w:bCs/>
          <w:i/>
          <w:color w:val="000000"/>
          <w:sz w:val="16"/>
          <w:szCs w:val="16"/>
          <w:shd w:val="clear" w:color="auto" w:fill="FFFFFF"/>
          <w:lang w:val="es-ES"/>
        </w:rPr>
        <w:t>Quispialaya</w:t>
      </w:r>
      <w:proofErr w:type="spellEnd"/>
      <w:r w:rsidRPr="00467331">
        <w:rPr>
          <w:rStyle w:val="Strong"/>
          <w:b w:val="0"/>
          <w:bCs/>
          <w:i/>
          <w:color w:val="000000"/>
          <w:sz w:val="16"/>
          <w:szCs w:val="16"/>
          <w:shd w:val="clear" w:color="auto" w:fill="FFFFFF"/>
          <w:lang w:val="es-ES"/>
        </w:rPr>
        <w:t xml:space="preserve"> </w:t>
      </w:r>
      <w:proofErr w:type="spellStart"/>
      <w:r w:rsidRPr="00467331">
        <w:rPr>
          <w:rStyle w:val="Strong"/>
          <w:b w:val="0"/>
          <w:bCs/>
          <w:i/>
          <w:color w:val="000000"/>
          <w:sz w:val="16"/>
          <w:szCs w:val="16"/>
          <w:shd w:val="clear" w:color="auto" w:fill="FFFFFF"/>
          <w:lang w:val="es-ES"/>
        </w:rPr>
        <w:t>Vilcapoma</w:t>
      </w:r>
      <w:proofErr w:type="spellEnd"/>
      <w:r w:rsidRPr="00467331">
        <w:rPr>
          <w:rStyle w:val="Strong"/>
          <w:b w:val="0"/>
          <w:bCs/>
          <w:i/>
          <w:color w:val="000000"/>
          <w:sz w:val="16"/>
          <w:szCs w:val="16"/>
          <w:shd w:val="clear" w:color="auto" w:fill="FFFFFF"/>
          <w:lang w:val="es-ES"/>
        </w:rPr>
        <w:t xml:space="preserve"> Vs. Perú</w:t>
      </w:r>
      <w:r>
        <w:rPr>
          <w:rStyle w:val="Strong"/>
          <w:b w:val="0"/>
          <w:bCs/>
          <w:i/>
          <w:color w:val="000000"/>
          <w:sz w:val="16"/>
          <w:szCs w:val="16"/>
          <w:shd w:val="clear" w:color="auto" w:fill="FFFFFF"/>
          <w:lang w:val="es-ES"/>
        </w:rPr>
        <w:t>, supra</w:t>
      </w:r>
      <w:r w:rsidRPr="00467331">
        <w:rPr>
          <w:rStyle w:val="Strong"/>
          <w:b w:val="0"/>
          <w:bCs/>
          <w:color w:val="000000"/>
          <w:sz w:val="16"/>
          <w:szCs w:val="16"/>
          <w:shd w:val="clear" w:color="auto" w:fill="FFFFFF"/>
          <w:lang w:val="es-CR"/>
        </w:rPr>
        <w:t xml:space="preserve">, párr. 188; ver, en el mismo sentido </w:t>
      </w:r>
      <w:r w:rsidRPr="00467331">
        <w:rPr>
          <w:rStyle w:val="Strong"/>
          <w:b w:val="0"/>
          <w:bCs/>
          <w:i/>
          <w:color w:val="000000"/>
          <w:sz w:val="16"/>
          <w:szCs w:val="16"/>
          <w:shd w:val="clear" w:color="auto" w:fill="FFFFFF"/>
          <w:lang w:val="es-CR"/>
        </w:rPr>
        <w:t>caso V.R.P., V.P.C. y otros Vs. Nicaragua</w:t>
      </w:r>
      <w:r>
        <w:rPr>
          <w:rStyle w:val="Strong"/>
          <w:b w:val="0"/>
          <w:bCs/>
          <w:i/>
          <w:color w:val="000000"/>
          <w:sz w:val="16"/>
          <w:szCs w:val="16"/>
          <w:shd w:val="clear" w:color="auto" w:fill="FFFFFF"/>
          <w:lang w:val="es-CR"/>
        </w:rPr>
        <w:t>, supra</w:t>
      </w:r>
      <w:r w:rsidRPr="00467331">
        <w:rPr>
          <w:rStyle w:val="Strong"/>
          <w:b w:val="0"/>
          <w:bCs/>
          <w:color w:val="000000"/>
          <w:sz w:val="16"/>
          <w:szCs w:val="16"/>
          <w:shd w:val="clear" w:color="auto" w:fill="FFFFFF"/>
          <w:lang w:val="es-CR"/>
        </w:rPr>
        <w:t>, párr. 271). En el presente caso, no consta que los familiares de las personas heridas denunciaran los hechos. Sin perjuicio de ello, en el ámbito interno Rigoberta Menchú se presentó como “querellante adhesiva” (</w:t>
      </w:r>
      <w:r w:rsidRPr="00467331">
        <w:rPr>
          <w:rStyle w:val="Strong"/>
          <w:b w:val="0"/>
          <w:bCs/>
          <w:i/>
          <w:color w:val="000000"/>
          <w:sz w:val="16"/>
          <w:szCs w:val="16"/>
          <w:shd w:val="clear" w:color="auto" w:fill="FFFFFF"/>
          <w:lang w:val="es-CR"/>
        </w:rPr>
        <w:t>supra</w:t>
      </w:r>
      <w:r w:rsidRPr="00467331">
        <w:rPr>
          <w:rStyle w:val="Strong"/>
          <w:b w:val="0"/>
          <w:bCs/>
          <w:color w:val="000000"/>
          <w:sz w:val="16"/>
          <w:szCs w:val="16"/>
          <w:shd w:val="clear" w:color="auto" w:fill="FFFFFF"/>
          <w:lang w:val="es-CR"/>
        </w:rPr>
        <w:t xml:space="preserve"> párr. 40) y, a su vez, también fungió como peticionaria ante la Comisión Interamericana, indicando que lo hacía en </w:t>
      </w:r>
      <w:r>
        <w:rPr>
          <w:rStyle w:val="Strong"/>
          <w:b w:val="0"/>
          <w:bCs/>
          <w:color w:val="000000"/>
          <w:sz w:val="16"/>
          <w:szCs w:val="16"/>
          <w:shd w:val="clear" w:color="auto" w:fill="FFFFFF"/>
          <w:lang w:val="es-CR"/>
        </w:rPr>
        <w:t xml:space="preserve">conjunto con distintas presuntas víctimas, y en </w:t>
      </w:r>
      <w:r w:rsidRPr="00467331">
        <w:rPr>
          <w:rStyle w:val="Strong"/>
          <w:b w:val="0"/>
          <w:bCs/>
          <w:color w:val="000000"/>
          <w:sz w:val="16"/>
          <w:szCs w:val="16"/>
          <w:shd w:val="clear" w:color="auto" w:fill="FFFFFF"/>
          <w:lang w:val="es-CR"/>
        </w:rPr>
        <w:t>relación con lesiones a derechos sufridas por distintas personas, inclusive familiares de personas heridas (</w:t>
      </w:r>
      <w:r w:rsidRPr="0046676D">
        <w:rPr>
          <w:rStyle w:val="Strong"/>
          <w:b w:val="0"/>
          <w:bCs/>
          <w:i/>
          <w:color w:val="000000"/>
          <w:sz w:val="16"/>
          <w:szCs w:val="16"/>
          <w:shd w:val="clear" w:color="auto" w:fill="FFFFFF"/>
          <w:lang w:val="es-CR"/>
        </w:rPr>
        <w:t>cfr</w:t>
      </w:r>
      <w:r w:rsidRPr="0046676D">
        <w:rPr>
          <w:rStyle w:val="Strong"/>
          <w:b w:val="0"/>
          <w:bCs/>
          <w:color w:val="000000"/>
          <w:sz w:val="16"/>
          <w:szCs w:val="16"/>
          <w:shd w:val="clear" w:color="auto" w:fill="FFFFFF"/>
          <w:lang w:val="es-CR"/>
        </w:rPr>
        <w:t>.</w:t>
      </w:r>
      <w:r w:rsidRPr="00467331">
        <w:rPr>
          <w:rStyle w:val="Strong"/>
          <w:b w:val="0"/>
          <w:bCs/>
          <w:color w:val="000000"/>
          <w:sz w:val="16"/>
          <w:szCs w:val="16"/>
          <w:shd w:val="clear" w:color="auto" w:fill="FFFFFF"/>
          <w:lang w:val="es-CR"/>
        </w:rPr>
        <w:t xml:space="preserve"> </w:t>
      </w:r>
      <w:r>
        <w:rPr>
          <w:rStyle w:val="Strong"/>
          <w:b w:val="0"/>
          <w:bCs/>
          <w:color w:val="000000"/>
          <w:sz w:val="16"/>
          <w:szCs w:val="16"/>
          <w:shd w:val="clear" w:color="auto" w:fill="FFFFFF"/>
          <w:lang w:val="es-CR"/>
        </w:rPr>
        <w:t>Comunicación de los peticionarios recibida por la Comisión el 16 de noviembre de 1995 (expediente de prueba, a</w:t>
      </w:r>
      <w:r w:rsidRPr="00467331">
        <w:rPr>
          <w:rStyle w:val="Strong"/>
          <w:b w:val="0"/>
          <w:bCs/>
          <w:color w:val="000000"/>
          <w:sz w:val="16"/>
          <w:szCs w:val="16"/>
          <w:shd w:val="clear" w:color="auto" w:fill="FFFFFF"/>
          <w:lang w:val="es-CR"/>
        </w:rPr>
        <w:t>nexo 4 al Informe de Fondo</w:t>
      </w:r>
      <w:r>
        <w:rPr>
          <w:rStyle w:val="Strong"/>
          <w:b w:val="0"/>
          <w:bCs/>
          <w:color w:val="000000"/>
          <w:sz w:val="16"/>
          <w:szCs w:val="16"/>
          <w:shd w:val="clear" w:color="auto" w:fill="FFFFFF"/>
          <w:lang w:val="es-CR"/>
        </w:rPr>
        <w:t>, folios 28 a 48</w:t>
      </w:r>
      <w:r w:rsidRPr="00467331">
        <w:rPr>
          <w:rStyle w:val="Strong"/>
          <w:b w:val="0"/>
          <w:bCs/>
          <w:color w:val="000000"/>
          <w:sz w:val="16"/>
          <w:szCs w:val="16"/>
          <w:shd w:val="clear" w:color="auto" w:fill="FFFFFF"/>
          <w:lang w:val="es-CR"/>
        </w:rPr>
        <w:t>). En el ámbito interno, además, el proceso judicial fue iniciado de oficio y se relaciona con un hecho que afectó a un amplio grupo de personas. En este marco, dadas las especificidades propias del caso, no resulta necesario a efectos del examen que aquí se realiza, considerar si cada una de las personas familiares de personas heridas presentó una denuncia o de otro modo tuvo alguna vinculación a los procesos internos. La Corte entiende, entonces, que hay razones suficientes en el caso concreto para asumir un interés</w:t>
      </w:r>
      <w:r>
        <w:rPr>
          <w:rStyle w:val="Strong"/>
          <w:b w:val="0"/>
          <w:bCs/>
          <w:color w:val="000000"/>
          <w:sz w:val="16"/>
          <w:szCs w:val="16"/>
          <w:shd w:val="clear" w:color="auto" w:fill="FFFFFF"/>
          <w:lang w:val="es-CR"/>
        </w:rPr>
        <w:t xml:space="preserve"> relevante</w:t>
      </w:r>
      <w:r w:rsidRPr="00467331">
        <w:rPr>
          <w:rStyle w:val="Strong"/>
          <w:b w:val="0"/>
          <w:bCs/>
          <w:color w:val="000000"/>
          <w:sz w:val="16"/>
          <w:szCs w:val="16"/>
          <w:shd w:val="clear" w:color="auto" w:fill="FFFFFF"/>
          <w:lang w:val="es-CR"/>
        </w:rPr>
        <w:t xml:space="preserve"> de los familiares de las personas heridas en el avance de la investigación de los hechos, así como la afectación a sus derechos por el incumplimiento de deberes estatales.</w:t>
      </w:r>
    </w:p>
  </w:footnote>
  <w:footnote w:id="146">
    <w:p w:rsidR="00785921" w:rsidRDefault="00785921" w:rsidP="00126E97">
      <w:pPr>
        <w:pStyle w:val="FootnoteText"/>
        <w:spacing w:line="20" w:lineRule="atLeast"/>
        <w:rPr>
          <w:sz w:val="16"/>
          <w:szCs w:val="16"/>
          <w:lang w:val="es-CR"/>
        </w:rPr>
      </w:pPr>
      <w:r>
        <w:rPr>
          <w:rStyle w:val="FootnoteReference"/>
          <w:rFonts w:eastAsia="MS ????"/>
          <w:spacing w:val="-2"/>
          <w:sz w:val="16"/>
          <w:szCs w:val="16"/>
          <w:lang w:val="es-CR" w:eastAsia="x-none"/>
        </w:rPr>
        <w:footnoteRef/>
      </w:r>
      <w:r w:rsidRPr="00637508">
        <w:rPr>
          <w:spacing w:val="-2"/>
          <w:sz w:val="16"/>
          <w:szCs w:val="16"/>
          <w:lang w:val="es-CR"/>
        </w:rPr>
        <w:t xml:space="preserve"> </w:t>
      </w:r>
      <w:r>
        <w:rPr>
          <w:i/>
          <w:iCs/>
          <w:spacing w:val="-2"/>
          <w:sz w:val="16"/>
          <w:szCs w:val="16"/>
          <w:lang w:val="es-CR"/>
        </w:rPr>
        <w:t xml:space="preserve">Cfr. Caso </w:t>
      </w:r>
      <w:r>
        <w:rPr>
          <w:i/>
          <w:sz w:val="16"/>
          <w:szCs w:val="16"/>
          <w:lang w:val="es-CR"/>
        </w:rPr>
        <w:t>Suárez</w:t>
      </w:r>
      <w:r>
        <w:rPr>
          <w:i/>
          <w:iCs/>
          <w:spacing w:val="-2"/>
          <w:sz w:val="16"/>
          <w:szCs w:val="16"/>
          <w:lang w:val="es-CR"/>
        </w:rPr>
        <w:t xml:space="preserve"> Rosero Vs. Ecuador. Fondo</w:t>
      </w:r>
      <w:r>
        <w:rPr>
          <w:spacing w:val="-2"/>
          <w:sz w:val="16"/>
          <w:szCs w:val="16"/>
          <w:lang w:val="es-CR"/>
        </w:rPr>
        <w:t>. Sentencia de 12 de noviembre de 1997. Serie C No. 35, párr. 71</w:t>
      </w:r>
      <w:r w:rsidRPr="00637508">
        <w:rPr>
          <w:sz w:val="16"/>
          <w:szCs w:val="16"/>
          <w:lang w:val="es-CR"/>
        </w:rPr>
        <w:t xml:space="preserve">, y </w:t>
      </w:r>
      <w:r>
        <w:rPr>
          <w:bCs/>
          <w:i/>
          <w:sz w:val="16"/>
          <w:szCs w:val="16"/>
          <w:lang w:val="es-CR"/>
        </w:rPr>
        <w:t xml:space="preserve">Caso Carvajal </w:t>
      </w:r>
      <w:proofErr w:type="spellStart"/>
      <w:r>
        <w:rPr>
          <w:bCs/>
          <w:i/>
          <w:sz w:val="16"/>
          <w:szCs w:val="16"/>
          <w:lang w:val="es-CR"/>
        </w:rPr>
        <w:t>Carvajal</w:t>
      </w:r>
      <w:proofErr w:type="spellEnd"/>
      <w:r>
        <w:rPr>
          <w:bCs/>
          <w:i/>
          <w:sz w:val="16"/>
          <w:szCs w:val="16"/>
          <w:lang w:val="es-CR"/>
        </w:rPr>
        <w:t xml:space="preserve"> y otros Vs. Colombia, supra</w:t>
      </w:r>
      <w:r w:rsidRPr="00637508">
        <w:rPr>
          <w:sz w:val="16"/>
          <w:szCs w:val="16"/>
          <w:lang w:val="es-CR"/>
        </w:rPr>
        <w:t xml:space="preserve">, </w:t>
      </w:r>
      <w:proofErr w:type="spellStart"/>
      <w:r w:rsidRPr="00637508">
        <w:rPr>
          <w:sz w:val="16"/>
          <w:szCs w:val="16"/>
          <w:lang w:val="es-CR"/>
        </w:rPr>
        <w:t>párr</w:t>
      </w:r>
      <w:r>
        <w:rPr>
          <w:sz w:val="16"/>
          <w:szCs w:val="16"/>
          <w:lang w:val="es-CR"/>
        </w:rPr>
        <w:t>s</w:t>
      </w:r>
      <w:proofErr w:type="spellEnd"/>
      <w:r w:rsidRPr="00637508">
        <w:rPr>
          <w:sz w:val="16"/>
          <w:szCs w:val="16"/>
          <w:lang w:val="es-CR"/>
        </w:rPr>
        <w:t>. 105</w:t>
      </w:r>
      <w:r>
        <w:rPr>
          <w:bCs/>
          <w:i/>
          <w:sz w:val="16"/>
          <w:szCs w:val="16"/>
          <w:lang w:val="es-CR"/>
        </w:rPr>
        <w:t xml:space="preserve"> </w:t>
      </w:r>
      <w:r>
        <w:rPr>
          <w:sz w:val="16"/>
          <w:szCs w:val="16"/>
          <w:lang w:val="es-CR"/>
        </w:rPr>
        <w:t xml:space="preserve">y </w:t>
      </w:r>
      <w:r w:rsidRPr="00637508">
        <w:rPr>
          <w:sz w:val="16"/>
          <w:szCs w:val="16"/>
          <w:lang w:val="es-CR"/>
        </w:rPr>
        <w:t>106.</w:t>
      </w:r>
    </w:p>
  </w:footnote>
  <w:footnote w:id="147">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sidRPr="00637508">
        <w:rPr>
          <w:sz w:val="16"/>
          <w:szCs w:val="16"/>
          <w:lang w:val="es-CR"/>
        </w:rPr>
        <w:t xml:space="preserve"> </w:t>
      </w:r>
      <w:r>
        <w:rPr>
          <w:i/>
          <w:sz w:val="16"/>
          <w:szCs w:val="16"/>
          <w:lang w:val="es-CR"/>
        </w:rPr>
        <w:t>Cfr.</w:t>
      </w:r>
      <w:r>
        <w:rPr>
          <w:sz w:val="16"/>
          <w:szCs w:val="16"/>
          <w:lang w:val="es-CR"/>
        </w:rPr>
        <w:t xml:space="preserve"> </w:t>
      </w:r>
      <w:r>
        <w:rPr>
          <w:i/>
          <w:sz w:val="16"/>
          <w:szCs w:val="16"/>
          <w:lang w:val="es-CR"/>
        </w:rPr>
        <w:t>Caso de las comunidades afrodescendientes desplazadas de la Cuenca del Río Cacarica (Operación Génesis) Vs. Colombia</w:t>
      </w:r>
      <w:r>
        <w:rPr>
          <w:sz w:val="16"/>
          <w:szCs w:val="16"/>
          <w:lang w:val="es-CR"/>
        </w:rPr>
        <w:t xml:space="preserve">. </w:t>
      </w:r>
      <w:r>
        <w:rPr>
          <w:i/>
          <w:sz w:val="16"/>
          <w:szCs w:val="16"/>
          <w:lang w:val="es-CR"/>
        </w:rPr>
        <w:t>Excepciones Preliminares, Fondo, Reparaciones y Costas</w:t>
      </w:r>
      <w:r>
        <w:rPr>
          <w:sz w:val="16"/>
          <w:szCs w:val="16"/>
          <w:lang w:val="es-CR"/>
        </w:rPr>
        <w:t xml:space="preserve">. Sentencia de 20 de noviembre de 2013. Serie C No. 270, párr. 403, y </w:t>
      </w:r>
      <w:r>
        <w:rPr>
          <w:bCs/>
          <w:i/>
          <w:sz w:val="16"/>
          <w:szCs w:val="16"/>
          <w:lang w:val="es-CR"/>
        </w:rPr>
        <w:t xml:space="preserve">Caso Carvajal </w:t>
      </w:r>
      <w:proofErr w:type="spellStart"/>
      <w:r>
        <w:rPr>
          <w:bCs/>
          <w:i/>
          <w:sz w:val="16"/>
          <w:szCs w:val="16"/>
          <w:lang w:val="es-CR"/>
        </w:rPr>
        <w:t>Carvajal</w:t>
      </w:r>
      <w:proofErr w:type="spellEnd"/>
      <w:r>
        <w:rPr>
          <w:bCs/>
          <w:i/>
          <w:sz w:val="16"/>
          <w:szCs w:val="16"/>
          <w:lang w:val="es-CR"/>
        </w:rPr>
        <w:t xml:space="preserve"> y otros Vs. Colombia, supra</w:t>
      </w:r>
      <w:r w:rsidRPr="00637508">
        <w:rPr>
          <w:sz w:val="16"/>
          <w:szCs w:val="16"/>
          <w:lang w:val="es-CR"/>
        </w:rPr>
        <w:t>, párr. 106</w:t>
      </w:r>
      <w:r>
        <w:rPr>
          <w:sz w:val="16"/>
          <w:szCs w:val="16"/>
          <w:lang w:val="es-MX"/>
        </w:rPr>
        <w:t>.</w:t>
      </w:r>
    </w:p>
  </w:footnote>
  <w:footnote w:id="148">
    <w:p w:rsidR="00785921" w:rsidRPr="007B4C9E" w:rsidRDefault="00785921" w:rsidP="00126E97">
      <w:pPr>
        <w:pStyle w:val="ListParagraph"/>
        <w:spacing w:after="0" w:line="20" w:lineRule="atLeast"/>
        <w:ind w:left="0"/>
        <w:jc w:val="both"/>
        <w:rPr>
          <w:sz w:val="16"/>
          <w:szCs w:val="16"/>
          <w:lang w:val="es-CR"/>
        </w:rPr>
      </w:pPr>
      <w:r w:rsidRPr="00A26DD8">
        <w:rPr>
          <w:rStyle w:val="FootnoteReference"/>
          <w:rFonts w:ascii="Verdana" w:hAnsi="Verdana"/>
          <w:sz w:val="16"/>
          <w:szCs w:val="16"/>
        </w:rPr>
        <w:footnoteRef/>
      </w:r>
      <w:r w:rsidRPr="00A26DD8">
        <w:rPr>
          <w:rFonts w:ascii="Verdana" w:hAnsi="Verdana"/>
          <w:sz w:val="16"/>
          <w:szCs w:val="16"/>
          <w:lang w:val="es-CR"/>
        </w:rPr>
        <w:t xml:space="preserve"> </w:t>
      </w:r>
      <w:r w:rsidRPr="00A26DD8">
        <w:rPr>
          <w:rFonts w:ascii="Verdana" w:hAnsi="Verdana" w:cs="Times New Roman"/>
          <w:sz w:val="16"/>
          <w:szCs w:val="16"/>
          <w:lang w:val="es-CR"/>
        </w:rPr>
        <w:t xml:space="preserve">La </w:t>
      </w:r>
      <w:r w:rsidRPr="00A26DD8">
        <w:rPr>
          <w:rFonts w:ascii="Verdana" w:hAnsi="Verdana" w:cs="Arial"/>
          <w:sz w:val="16"/>
          <w:szCs w:val="16"/>
          <w:lang w:val="es-CR"/>
        </w:rPr>
        <w:t>jurisprudencia de este Tribunal ha considerado cuatro elementos para determinar, a saber: a) la complejidad del asunto; b) la actividad procesal del interesado; c) la conducta de las autoridades judiciales, y d) la afectación generada en la situación jurídica de la persona involucrada en el proceso</w:t>
      </w:r>
      <w:r>
        <w:rPr>
          <w:rFonts w:ascii="Verdana" w:hAnsi="Verdana" w:cs="Arial"/>
          <w:sz w:val="16"/>
          <w:szCs w:val="16"/>
          <w:lang w:val="es-CR"/>
        </w:rPr>
        <w:t xml:space="preserve"> (</w:t>
      </w:r>
      <w:r>
        <w:rPr>
          <w:rFonts w:ascii="Verdana" w:hAnsi="Verdana"/>
          <w:i/>
          <w:sz w:val="16"/>
          <w:szCs w:val="16"/>
          <w:lang w:val="es-CR"/>
        </w:rPr>
        <w:t>c</w:t>
      </w:r>
      <w:r w:rsidRPr="00A26DD8">
        <w:rPr>
          <w:rFonts w:ascii="Verdana" w:hAnsi="Verdana"/>
          <w:i/>
          <w:sz w:val="16"/>
          <w:szCs w:val="16"/>
          <w:lang w:val="es-CR"/>
        </w:rPr>
        <w:t xml:space="preserve">fr. Caso </w:t>
      </w:r>
      <w:proofErr w:type="spellStart"/>
      <w:r w:rsidRPr="00A26DD8">
        <w:rPr>
          <w:rFonts w:ascii="Verdana" w:hAnsi="Verdana"/>
          <w:i/>
          <w:sz w:val="16"/>
          <w:szCs w:val="16"/>
          <w:lang w:val="es-CR"/>
        </w:rPr>
        <w:t>Anzualdo</w:t>
      </w:r>
      <w:proofErr w:type="spellEnd"/>
      <w:r w:rsidRPr="00A26DD8">
        <w:rPr>
          <w:rFonts w:ascii="Verdana" w:hAnsi="Verdana"/>
          <w:i/>
          <w:sz w:val="16"/>
          <w:szCs w:val="16"/>
          <w:lang w:val="es-CR"/>
        </w:rPr>
        <w:t xml:space="preserve"> Castro Vs. Perú. Excepción Preliminar, Fondo, Reparaciones y Costas</w:t>
      </w:r>
      <w:r w:rsidRPr="00A26DD8">
        <w:rPr>
          <w:rFonts w:ascii="Verdana" w:hAnsi="Verdana"/>
          <w:sz w:val="16"/>
          <w:szCs w:val="16"/>
          <w:lang w:val="es-CR"/>
        </w:rPr>
        <w:t>. Sentencia de 22 de septiembre de 2009. Serie C No. 202</w:t>
      </w:r>
      <w:r w:rsidRPr="00A26DD8">
        <w:rPr>
          <w:rFonts w:ascii="Verdana" w:hAnsi="Verdana"/>
          <w:sz w:val="16"/>
          <w:szCs w:val="16"/>
        </w:rPr>
        <w:t xml:space="preserve">, párr. 156, y </w:t>
      </w:r>
      <w:r w:rsidRPr="00A26DD8">
        <w:rPr>
          <w:rFonts w:ascii="Verdana" w:hAnsi="Verdana"/>
          <w:bCs/>
          <w:i/>
          <w:sz w:val="16"/>
          <w:szCs w:val="16"/>
          <w:lang w:val="es-CR"/>
        </w:rPr>
        <w:t xml:space="preserve">Caso Carvajal </w:t>
      </w:r>
      <w:proofErr w:type="spellStart"/>
      <w:r w:rsidRPr="00A26DD8">
        <w:rPr>
          <w:rFonts w:ascii="Verdana" w:hAnsi="Verdana"/>
          <w:bCs/>
          <w:i/>
          <w:sz w:val="16"/>
          <w:szCs w:val="16"/>
          <w:lang w:val="es-CR"/>
        </w:rPr>
        <w:t>Carvajal</w:t>
      </w:r>
      <w:proofErr w:type="spellEnd"/>
      <w:r w:rsidRPr="00A26DD8">
        <w:rPr>
          <w:rFonts w:ascii="Verdana" w:hAnsi="Verdana"/>
          <w:bCs/>
          <w:i/>
          <w:sz w:val="16"/>
          <w:szCs w:val="16"/>
          <w:lang w:val="es-CR"/>
        </w:rPr>
        <w:t xml:space="preserve"> y otros Vs. Colombia</w:t>
      </w:r>
      <w:r>
        <w:rPr>
          <w:rFonts w:ascii="Verdana" w:hAnsi="Verdana"/>
          <w:bCs/>
          <w:i/>
          <w:sz w:val="16"/>
          <w:szCs w:val="16"/>
          <w:lang w:val="es-CR"/>
        </w:rPr>
        <w:t>, supra</w:t>
      </w:r>
      <w:r w:rsidRPr="007B4C9E">
        <w:rPr>
          <w:rFonts w:ascii="Verdana" w:hAnsi="Verdana"/>
          <w:sz w:val="16"/>
          <w:szCs w:val="16"/>
          <w:lang w:val="es-CR"/>
        </w:rPr>
        <w:t>, párr. 105</w:t>
      </w:r>
      <w:r>
        <w:rPr>
          <w:rFonts w:ascii="Verdana" w:hAnsi="Verdana"/>
          <w:sz w:val="16"/>
          <w:szCs w:val="16"/>
          <w:lang w:val="es-CR"/>
        </w:rPr>
        <w:t>)</w:t>
      </w:r>
      <w:r w:rsidRPr="007B4C9E">
        <w:rPr>
          <w:rFonts w:ascii="Verdana" w:hAnsi="Verdana"/>
          <w:sz w:val="16"/>
          <w:szCs w:val="16"/>
          <w:lang w:val="es-CR"/>
        </w:rPr>
        <w:t>.</w:t>
      </w:r>
    </w:p>
  </w:footnote>
  <w:footnote w:id="149">
    <w:p w:rsidR="00785921" w:rsidRPr="007B4C9E" w:rsidRDefault="00785921" w:rsidP="00126E97">
      <w:pPr>
        <w:pStyle w:val="FootnoteText"/>
        <w:spacing w:line="20" w:lineRule="atLeast"/>
        <w:rPr>
          <w:lang w:val="es-CR"/>
        </w:rPr>
      </w:pPr>
      <w:r w:rsidRPr="007B4C9E">
        <w:rPr>
          <w:rStyle w:val="FootnoteReference"/>
          <w:sz w:val="16"/>
          <w:szCs w:val="16"/>
        </w:rPr>
        <w:footnoteRef/>
      </w:r>
      <w:r w:rsidRPr="007B4C9E">
        <w:rPr>
          <w:sz w:val="16"/>
          <w:szCs w:val="16"/>
          <w:lang w:val="es-CR"/>
        </w:rPr>
        <w:t xml:space="preserve"> En ese sentido, se aclara que tampoco respecto de la etapa examinada resulta relevante </w:t>
      </w:r>
      <w:r>
        <w:rPr>
          <w:sz w:val="16"/>
          <w:szCs w:val="16"/>
          <w:lang w:val="es-CR"/>
        </w:rPr>
        <w:t>analizar</w:t>
      </w:r>
      <w:r w:rsidRPr="007B4C9E">
        <w:rPr>
          <w:sz w:val="16"/>
          <w:szCs w:val="16"/>
          <w:lang w:val="es-CR"/>
        </w:rPr>
        <w:t xml:space="preserve"> los cuatro elementos </w:t>
      </w:r>
      <w:r>
        <w:rPr>
          <w:sz w:val="16"/>
          <w:szCs w:val="16"/>
          <w:lang w:val="es-CR"/>
        </w:rPr>
        <w:t xml:space="preserve">relevantes </w:t>
      </w:r>
      <w:r w:rsidRPr="007B4C9E">
        <w:rPr>
          <w:sz w:val="16"/>
          <w:szCs w:val="16"/>
          <w:lang w:val="es-CR"/>
        </w:rPr>
        <w:t>para evaluar la razonab</w:t>
      </w:r>
      <w:r>
        <w:rPr>
          <w:sz w:val="16"/>
          <w:szCs w:val="16"/>
          <w:lang w:val="es-CR"/>
        </w:rPr>
        <w:t>ilidad del plazo antes indicado</w:t>
      </w:r>
      <w:r w:rsidRPr="007B4C9E">
        <w:rPr>
          <w:sz w:val="16"/>
          <w:szCs w:val="16"/>
          <w:lang w:val="es-CR"/>
        </w:rPr>
        <w:t xml:space="preserve"> (</w:t>
      </w:r>
      <w:r w:rsidRPr="007B4C9E">
        <w:rPr>
          <w:i/>
          <w:sz w:val="16"/>
          <w:szCs w:val="16"/>
          <w:lang w:val="es-CR"/>
        </w:rPr>
        <w:t>supra</w:t>
      </w:r>
      <w:r w:rsidRPr="007B4C9E">
        <w:rPr>
          <w:sz w:val="16"/>
          <w:szCs w:val="16"/>
          <w:lang w:val="es-CR"/>
        </w:rPr>
        <w:t xml:space="preserve"> nota</w:t>
      </w:r>
      <w:r>
        <w:rPr>
          <w:sz w:val="16"/>
          <w:szCs w:val="16"/>
          <w:lang w:val="es-CR"/>
        </w:rPr>
        <w:t xml:space="preserve"> a pie de página</w:t>
      </w:r>
      <w:r w:rsidRPr="007B4C9E">
        <w:rPr>
          <w:sz w:val="16"/>
          <w:szCs w:val="16"/>
          <w:lang w:val="es-CR"/>
        </w:rPr>
        <w:t xml:space="preserve"> </w:t>
      </w:r>
      <w:r>
        <w:rPr>
          <w:sz w:val="16"/>
          <w:szCs w:val="16"/>
          <w:lang w:val="es-CR"/>
        </w:rPr>
        <w:t>147</w:t>
      </w:r>
      <w:r w:rsidRPr="007B4C9E">
        <w:rPr>
          <w:sz w:val="16"/>
          <w:szCs w:val="16"/>
          <w:lang w:val="es-CR"/>
        </w:rPr>
        <w:t>).</w:t>
      </w:r>
      <w:r>
        <w:rPr>
          <w:lang w:val="es-CR"/>
        </w:rPr>
        <w:t xml:space="preserve"> </w:t>
      </w:r>
    </w:p>
  </w:footnote>
  <w:footnote w:id="150">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El artículo 4.1 de la Convención dice: “Toda persona tiene derecho a que se respete su vida.  Este derecho estará protegido por la ley y, en general, a partir del momento de la concepción. Nadie puede ser privado de la vida arbitrariamente”. </w:t>
      </w:r>
    </w:p>
  </w:footnote>
  <w:footnote w:id="151">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La Convención, en su artículo 5.1, expresa: “</w:t>
      </w:r>
      <w:r w:rsidRPr="00637508">
        <w:rPr>
          <w:rFonts w:cs="Tahoma"/>
          <w:color w:val="000000"/>
          <w:sz w:val="16"/>
          <w:szCs w:val="16"/>
          <w:lang w:val="es-CR"/>
        </w:rPr>
        <w:t>Toda persona tiene derecho a que se respete su integridad física, psíquica y moral”.</w:t>
      </w:r>
    </w:p>
  </w:footnote>
  <w:footnote w:id="152">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Señala el artículo 19 de la Convención que “[t]</w:t>
      </w:r>
      <w:proofErr w:type="spellStart"/>
      <w:r w:rsidRPr="00637508">
        <w:rPr>
          <w:sz w:val="16"/>
          <w:szCs w:val="16"/>
          <w:lang w:val="es-CR"/>
        </w:rPr>
        <w:t>odo</w:t>
      </w:r>
      <w:proofErr w:type="spellEnd"/>
      <w:r w:rsidRPr="00637508">
        <w:rPr>
          <w:sz w:val="16"/>
          <w:szCs w:val="16"/>
          <w:lang w:val="es-CR"/>
        </w:rPr>
        <w:t xml:space="preserve"> niño tiene derecho a las medidas de protección que su condición de menor requieren por parte de su familia, de la sociedad y del Estado”.</w:t>
      </w:r>
    </w:p>
  </w:footnote>
  <w:footnote w:id="153">
    <w:p w:rsidR="00785921" w:rsidRPr="005B4879" w:rsidRDefault="00785921" w:rsidP="00126E97">
      <w:pPr>
        <w:pStyle w:val="FootnoteText"/>
        <w:spacing w:line="20" w:lineRule="atLeast"/>
        <w:rPr>
          <w:sz w:val="16"/>
          <w:szCs w:val="16"/>
          <w:lang w:val="es-CR"/>
        </w:rPr>
      </w:pPr>
      <w:r w:rsidRPr="005B4879">
        <w:rPr>
          <w:rStyle w:val="FootnoteReference"/>
          <w:sz w:val="16"/>
          <w:szCs w:val="16"/>
          <w:lang w:val="es-CR" w:eastAsia="x-none"/>
        </w:rPr>
        <w:footnoteRef/>
      </w:r>
      <w:r w:rsidRPr="005B4879">
        <w:rPr>
          <w:sz w:val="16"/>
          <w:szCs w:val="16"/>
          <w:lang w:val="es-CR"/>
        </w:rPr>
        <w:t xml:space="preserve"> </w:t>
      </w:r>
      <w:r w:rsidRPr="005B4879">
        <w:rPr>
          <w:i/>
          <w:sz w:val="16"/>
          <w:szCs w:val="16"/>
          <w:lang w:val="es-CR"/>
        </w:rPr>
        <w:t>Cfr.</w:t>
      </w:r>
      <w:r w:rsidRPr="005B4879">
        <w:rPr>
          <w:sz w:val="16"/>
          <w:szCs w:val="16"/>
          <w:lang w:val="es-CR"/>
        </w:rPr>
        <w:t xml:space="preserve"> Anexo B.2 </w:t>
      </w:r>
      <w:r>
        <w:rPr>
          <w:sz w:val="16"/>
          <w:szCs w:val="16"/>
          <w:lang w:val="es-CR"/>
        </w:rPr>
        <w:t xml:space="preserve">de </w:t>
      </w:r>
      <w:r w:rsidRPr="005B4879">
        <w:rPr>
          <w:sz w:val="16"/>
          <w:szCs w:val="16"/>
          <w:lang w:val="es-CR"/>
        </w:rPr>
        <w:t>la presente Sentencia. Los nombres allí indicados coinciden con los referidos por la Comisión.</w:t>
      </w:r>
    </w:p>
  </w:footnote>
  <w:footnote w:id="154">
    <w:p w:rsidR="00785921" w:rsidRPr="005B4879" w:rsidRDefault="00785921" w:rsidP="00126E97">
      <w:pPr>
        <w:pStyle w:val="FootnoteText"/>
        <w:spacing w:line="20" w:lineRule="atLeast"/>
        <w:rPr>
          <w:sz w:val="16"/>
          <w:szCs w:val="16"/>
          <w:lang w:val="es-CR"/>
        </w:rPr>
      </w:pPr>
      <w:r w:rsidRPr="005B4879">
        <w:rPr>
          <w:rStyle w:val="FootnoteReference"/>
          <w:sz w:val="16"/>
          <w:szCs w:val="16"/>
          <w:lang w:val="es-CR" w:eastAsia="x-none"/>
        </w:rPr>
        <w:footnoteRef/>
      </w:r>
      <w:r w:rsidRPr="005B4879">
        <w:rPr>
          <w:sz w:val="16"/>
          <w:szCs w:val="16"/>
          <w:lang w:val="es-CR"/>
        </w:rPr>
        <w:t xml:space="preserve"> </w:t>
      </w:r>
      <w:r w:rsidRPr="005B4879">
        <w:rPr>
          <w:i/>
          <w:sz w:val="16"/>
          <w:szCs w:val="16"/>
          <w:lang w:val="es-CR"/>
        </w:rPr>
        <w:t>Cfr.</w:t>
      </w:r>
      <w:r w:rsidRPr="005B4879">
        <w:rPr>
          <w:sz w:val="16"/>
          <w:szCs w:val="16"/>
          <w:lang w:val="es-CR"/>
        </w:rPr>
        <w:t xml:space="preserve"> Anexo B.3 </w:t>
      </w:r>
      <w:r>
        <w:rPr>
          <w:sz w:val="16"/>
          <w:szCs w:val="16"/>
          <w:lang w:val="es-CR"/>
        </w:rPr>
        <w:t>de</w:t>
      </w:r>
      <w:r w:rsidRPr="005B4879">
        <w:rPr>
          <w:sz w:val="16"/>
          <w:szCs w:val="16"/>
          <w:lang w:val="es-CR"/>
        </w:rPr>
        <w:t xml:space="preserve"> la presente Sentencia. Los primeros 26 nombres allí indicados coinciden con los referidos por la Comisión. </w:t>
      </w:r>
    </w:p>
  </w:footnote>
  <w:footnote w:id="155">
    <w:p w:rsidR="00785921" w:rsidRPr="005B4879" w:rsidRDefault="00785921" w:rsidP="00126E97">
      <w:pPr>
        <w:pStyle w:val="FootnoteText"/>
        <w:tabs>
          <w:tab w:val="left" w:pos="8505"/>
        </w:tabs>
        <w:spacing w:line="20" w:lineRule="atLeast"/>
        <w:rPr>
          <w:sz w:val="16"/>
          <w:szCs w:val="16"/>
          <w:lang w:val="es-CR"/>
        </w:rPr>
      </w:pPr>
      <w:r w:rsidRPr="005B4879">
        <w:rPr>
          <w:rStyle w:val="FootnoteReference"/>
          <w:sz w:val="16"/>
          <w:szCs w:val="16"/>
          <w:lang w:val="es-CR" w:eastAsia="x-none"/>
        </w:rPr>
        <w:footnoteRef/>
      </w:r>
      <w:r>
        <w:rPr>
          <w:sz w:val="16"/>
          <w:szCs w:val="16"/>
          <w:lang w:val="es-CR"/>
        </w:rPr>
        <w:t xml:space="preserve"> 1.-Santiago </w:t>
      </w:r>
      <w:proofErr w:type="spellStart"/>
      <w:r>
        <w:rPr>
          <w:sz w:val="16"/>
          <w:szCs w:val="16"/>
          <w:lang w:val="es-CR"/>
        </w:rPr>
        <w:t>Maquín</w:t>
      </w:r>
      <w:proofErr w:type="spellEnd"/>
      <w:r>
        <w:rPr>
          <w:sz w:val="16"/>
          <w:szCs w:val="16"/>
          <w:lang w:val="es-CR"/>
        </w:rPr>
        <w:t xml:space="preserve"> </w:t>
      </w:r>
      <w:proofErr w:type="spellStart"/>
      <w:r>
        <w:rPr>
          <w:sz w:val="16"/>
          <w:szCs w:val="16"/>
          <w:lang w:val="es-CR"/>
        </w:rPr>
        <w:t>Quip</w:t>
      </w:r>
      <w:proofErr w:type="spellEnd"/>
      <w:r w:rsidRPr="005B4879">
        <w:rPr>
          <w:sz w:val="16"/>
          <w:szCs w:val="16"/>
          <w:lang w:val="es-CR"/>
        </w:rPr>
        <w:t xml:space="preserve">; 2.-Gerardo Maldonado Sales y 3.-Rosendo Morales Ortiz </w:t>
      </w:r>
    </w:p>
  </w:footnote>
  <w:footnote w:id="156">
    <w:p w:rsidR="00785921" w:rsidRDefault="00785921" w:rsidP="00126E97">
      <w:pPr>
        <w:pStyle w:val="FootnoteText"/>
        <w:spacing w:line="20" w:lineRule="atLeast"/>
        <w:rPr>
          <w:sz w:val="16"/>
          <w:szCs w:val="16"/>
          <w:lang w:val="es-CR"/>
        </w:rPr>
      </w:pPr>
      <w:r w:rsidRPr="005B4879">
        <w:rPr>
          <w:rStyle w:val="FootnoteReference"/>
          <w:sz w:val="16"/>
          <w:szCs w:val="16"/>
          <w:lang w:val="es-CR" w:eastAsia="x-none"/>
        </w:rPr>
        <w:footnoteRef/>
      </w:r>
      <w:r w:rsidRPr="005B4879">
        <w:rPr>
          <w:sz w:val="16"/>
          <w:szCs w:val="16"/>
          <w:lang w:val="es-CR"/>
        </w:rPr>
        <w:t xml:space="preserve"> 1.-Carlos Fernando </w:t>
      </w:r>
      <w:proofErr w:type="spellStart"/>
      <w:r w:rsidRPr="005B4879">
        <w:rPr>
          <w:sz w:val="16"/>
          <w:szCs w:val="16"/>
          <w:lang w:val="es-CR"/>
        </w:rPr>
        <w:t>Chop</w:t>
      </w:r>
      <w:proofErr w:type="spellEnd"/>
      <w:r>
        <w:rPr>
          <w:sz w:val="16"/>
          <w:szCs w:val="16"/>
          <w:lang w:val="es-CR"/>
        </w:rPr>
        <w:t xml:space="preserve"> Chic</w:t>
      </w:r>
      <w:r w:rsidRPr="005B4879">
        <w:rPr>
          <w:sz w:val="16"/>
          <w:szCs w:val="16"/>
          <w:lang w:val="es-CR"/>
        </w:rPr>
        <w:t xml:space="preserve">;  2.-Santiago </w:t>
      </w:r>
      <w:proofErr w:type="spellStart"/>
      <w:r w:rsidRPr="005B4879">
        <w:rPr>
          <w:sz w:val="16"/>
          <w:szCs w:val="16"/>
          <w:lang w:val="es-CR"/>
        </w:rPr>
        <w:t>Coc</w:t>
      </w:r>
      <w:proofErr w:type="spellEnd"/>
      <w:r w:rsidRPr="005B4879">
        <w:rPr>
          <w:sz w:val="16"/>
          <w:szCs w:val="16"/>
          <w:lang w:val="es-CR"/>
        </w:rPr>
        <w:t xml:space="preserve">, y 3.-Maurilia </w:t>
      </w:r>
      <w:proofErr w:type="spellStart"/>
      <w:r w:rsidRPr="005B4879">
        <w:rPr>
          <w:sz w:val="16"/>
          <w:szCs w:val="16"/>
          <w:lang w:val="es-CR"/>
        </w:rPr>
        <w:t>Coc</w:t>
      </w:r>
      <w:proofErr w:type="spellEnd"/>
      <w:r w:rsidRPr="005B4879">
        <w:rPr>
          <w:sz w:val="16"/>
          <w:szCs w:val="16"/>
          <w:lang w:val="es-CR"/>
        </w:rPr>
        <w:t xml:space="preserve"> Max.</w:t>
      </w:r>
    </w:p>
  </w:footnote>
  <w:footnote w:id="157">
    <w:p w:rsidR="00785921" w:rsidRPr="00467331" w:rsidRDefault="00785921" w:rsidP="00126E97">
      <w:pPr>
        <w:spacing w:after="0" w:line="20" w:lineRule="atLeast"/>
        <w:jc w:val="both"/>
        <w:rPr>
          <w:rFonts w:ascii="Verdana" w:hAnsi="Verdana"/>
          <w:sz w:val="16"/>
          <w:szCs w:val="16"/>
          <w:lang w:val="es-VE"/>
        </w:rPr>
      </w:pPr>
      <w:r w:rsidRPr="00467331">
        <w:rPr>
          <w:rStyle w:val="FootnoteReference"/>
          <w:rFonts w:ascii="Verdana" w:hAnsi="Verdana"/>
          <w:sz w:val="16"/>
          <w:szCs w:val="16"/>
          <w:lang w:val="es-VE" w:eastAsia="x-none"/>
        </w:rPr>
        <w:footnoteRef/>
      </w:r>
      <w:r w:rsidRPr="00467331">
        <w:rPr>
          <w:rFonts w:ascii="Verdana" w:hAnsi="Verdana"/>
          <w:sz w:val="16"/>
          <w:szCs w:val="16"/>
        </w:rPr>
        <w:t xml:space="preserve"> La Comisión señaló en la audiencia pública de 9 de febrero de 2018 que “</w:t>
      </w:r>
      <w:r w:rsidRPr="00467331">
        <w:rPr>
          <w:rFonts w:ascii="Verdana" w:hAnsi="Verdana"/>
          <w:sz w:val="16"/>
          <w:szCs w:val="16"/>
          <w:lang w:val="es-VE"/>
        </w:rPr>
        <w:t xml:space="preserve">tuvo en cuenta el contexto histórico de discriminación por razones étnicas que han sufrido los pueblos indígenas en Guatemala, y en particular el contexto del conflicto armado durante el cual dicha discriminación étnica estuvo en la base de la política estatal de señalamiento y exterminio del pueblo maya. La Comisión </w:t>
      </w:r>
      <w:proofErr w:type="spellStart"/>
      <w:r w:rsidRPr="00467331">
        <w:rPr>
          <w:rFonts w:ascii="Verdana" w:hAnsi="Verdana"/>
          <w:sz w:val="16"/>
          <w:szCs w:val="16"/>
          <w:lang w:val="es-VE"/>
        </w:rPr>
        <w:t>consider</w:t>
      </w:r>
      <w:proofErr w:type="spellEnd"/>
      <w:r w:rsidRPr="00467331">
        <w:rPr>
          <w:rFonts w:ascii="Verdana" w:hAnsi="Verdana"/>
          <w:sz w:val="16"/>
          <w:szCs w:val="16"/>
          <w:lang w:val="es-VE"/>
        </w:rPr>
        <w:t>[</w:t>
      </w:r>
      <w:proofErr w:type="spellStart"/>
      <w:r w:rsidRPr="00467331">
        <w:rPr>
          <w:rFonts w:ascii="Verdana" w:hAnsi="Verdana"/>
          <w:sz w:val="16"/>
          <w:szCs w:val="16"/>
          <w:lang w:val="es-VE"/>
        </w:rPr>
        <w:t>ó</w:t>
      </w:r>
      <w:proofErr w:type="spellEnd"/>
      <w:r w:rsidRPr="00467331">
        <w:rPr>
          <w:rFonts w:ascii="Verdana" w:hAnsi="Verdana"/>
          <w:sz w:val="16"/>
          <w:szCs w:val="16"/>
          <w:lang w:val="es-VE"/>
        </w:rPr>
        <w:t xml:space="preserve">] que el comportamiento de las tropas en la </w:t>
      </w:r>
      <w:r>
        <w:rPr>
          <w:rFonts w:ascii="Verdana" w:hAnsi="Verdana"/>
          <w:sz w:val="16"/>
          <w:szCs w:val="16"/>
          <w:lang w:val="es-VE"/>
        </w:rPr>
        <w:t>[C]</w:t>
      </w:r>
      <w:proofErr w:type="spellStart"/>
      <w:r w:rsidRPr="00467331">
        <w:rPr>
          <w:rFonts w:ascii="Verdana" w:hAnsi="Verdana"/>
          <w:sz w:val="16"/>
          <w:szCs w:val="16"/>
          <w:lang w:val="es-VE"/>
        </w:rPr>
        <w:t>omunidad</w:t>
      </w:r>
      <w:proofErr w:type="spellEnd"/>
      <w:r w:rsidRPr="00467331">
        <w:rPr>
          <w:rFonts w:ascii="Verdana" w:hAnsi="Verdana"/>
          <w:sz w:val="16"/>
          <w:szCs w:val="16"/>
          <w:lang w:val="es-VE"/>
        </w:rPr>
        <w:t xml:space="preserve"> el día de los hechos, fue una expresión de la discriminación étnica ejercida contra el pueblo maya durante el conflicto armado en Guatemala”. </w:t>
      </w:r>
    </w:p>
  </w:footnote>
  <w:footnote w:id="158">
    <w:p w:rsidR="00785921" w:rsidRPr="00637508" w:rsidRDefault="00785921" w:rsidP="00126E97">
      <w:pPr>
        <w:pStyle w:val="FootnoteText"/>
        <w:spacing w:line="20" w:lineRule="atLeast"/>
        <w:rPr>
          <w:lang w:val="es-CR"/>
        </w:rPr>
      </w:pPr>
      <w:r w:rsidRPr="00467331">
        <w:rPr>
          <w:rStyle w:val="FootnoteReference"/>
          <w:sz w:val="16"/>
          <w:szCs w:val="16"/>
          <w:lang w:eastAsia="x-none"/>
        </w:rPr>
        <w:footnoteRef/>
      </w:r>
      <w:r w:rsidRPr="00467331">
        <w:rPr>
          <w:sz w:val="16"/>
          <w:szCs w:val="16"/>
          <w:lang w:val="es-CR"/>
        </w:rPr>
        <w:t xml:space="preserve"> </w:t>
      </w:r>
      <w:r w:rsidRPr="005726F1">
        <w:rPr>
          <w:sz w:val="16"/>
          <w:szCs w:val="16"/>
          <w:lang w:val="es-CR"/>
        </w:rPr>
        <w:t xml:space="preserve">Además de las personas indicadas por la comisión, los representantes señalaron a Eulalia Antonio, madre de </w:t>
      </w:r>
      <w:r>
        <w:rPr>
          <w:sz w:val="16"/>
          <w:szCs w:val="16"/>
          <w:lang w:val="es-CR"/>
        </w:rPr>
        <w:t xml:space="preserve">Manuela Mateo Antonio </w:t>
      </w:r>
      <w:r w:rsidRPr="005726F1">
        <w:rPr>
          <w:sz w:val="16"/>
          <w:szCs w:val="16"/>
          <w:lang w:val="es-CR"/>
        </w:rPr>
        <w:t>como víctima, quien es considerada presunta víctima en el caso (</w:t>
      </w:r>
      <w:r w:rsidRPr="005726F1">
        <w:rPr>
          <w:i/>
          <w:sz w:val="16"/>
          <w:szCs w:val="16"/>
          <w:lang w:val="es-CR"/>
        </w:rPr>
        <w:t>supra</w:t>
      </w:r>
      <w:r w:rsidRPr="005726F1">
        <w:rPr>
          <w:sz w:val="16"/>
          <w:szCs w:val="16"/>
          <w:lang w:val="es-CR"/>
        </w:rPr>
        <w:t xml:space="preserve"> párr. 17). Por otra parte, a diferencia de la Comisión, los representantes no presentaron argumentos respecto de Daniela Catarina Chic López, madre de Carlos Fernando </w:t>
      </w:r>
      <w:proofErr w:type="spellStart"/>
      <w:r w:rsidRPr="005726F1">
        <w:rPr>
          <w:sz w:val="16"/>
          <w:szCs w:val="16"/>
          <w:lang w:val="es-CR"/>
        </w:rPr>
        <w:t>Chop</w:t>
      </w:r>
      <w:proofErr w:type="spellEnd"/>
      <w:r>
        <w:rPr>
          <w:sz w:val="16"/>
          <w:szCs w:val="16"/>
          <w:lang w:val="es-CR"/>
        </w:rPr>
        <w:t xml:space="preserve"> Chic</w:t>
      </w:r>
      <w:r w:rsidRPr="005726F1">
        <w:rPr>
          <w:sz w:val="16"/>
          <w:szCs w:val="16"/>
          <w:lang w:val="es-CR"/>
        </w:rPr>
        <w:t>, aunque aportaron documentación que acredita el vínculo (</w:t>
      </w:r>
      <w:r w:rsidRPr="005726F1">
        <w:rPr>
          <w:i/>
          <w:sz w:val="16"/>
          <w:szCs w:val="16"/>
          <w:lang w:val="es-CR"/>
        </w:rPr>
        <w:t xml:space="preserve">cfr. </w:t>
      </w:r>
      <w:r w:rsidRPr="005726F1">
        <w:rPr>
          <w:sz w:val="16"/>
          <w:szCs w:val="16"/>
          <w:lang w:val="es-CR"/>
        </w:rPr>
        <w:t xml:space="preserve">certificado de defunción de Carlos Fernando </w:t>
      </w:r>
      <w:proofErr w:type="spellStart"/>
      <w:r w:rsidRPr="005726F1">
        <w:rPr>
          <w:sz w:val="16"/>
          <w:szCs w:val="16"/>
          <w:lang w:val="es-CR"/>
        </w:rPr>
        <w:t>Chop</w:t>
      </w:r>
      <w:proofErr w:type="spellEnd"/>
      <w:r w:rsidRPr="005726F1">
        <w:rPr>
          <w:sz w:val="16"/>
          <w:szCs w:val="16"/>
          <w:lang w:val="es-CR"/>
        </w:rPr>
        <w:t xml:space="preserve"> Chic (expediente de prueba, anexo 1 al escrito de solicitudes y argumentos, folios 5021 y 5022)).</w:t>
      </w:r>
      <w:r>
        <w:rPr>
          <w:sz w:val="16"/>
          <w:szCs w:val="16"/>
          <w:lang w:val="es-CR"/>
        </w:rPr>
        <w:t xml:space="preserve"> Por último, aunque el GAM se refirió a Santiago </w:t>
      </w:r>
      <w:proofErr w:type="spellStart"/>
      <w:r>
        <w:rPr>
          <w:sz w:val="16"/>
          <w:szCs w:val="16"/>
          <w:lang w:val="es-CR"/>
        </w:rPr>
        <w:t>Coc</w:t>
      </w:r>
      <w:proofErr w:type="spellEnd"/>
      <w:r>
        <w:rPr>
          <w:sz w:val="16"/>
          <w:szCs w:val="16"/>
          <w:lang w:val="es-CR"/>
        </w:rPr>
        <w:t xml:space="preserve"> en el escrito de solicitudes y argumentos, indicó carecer de contacto con su familia y no poder  efectuar solicitudes en su favor </w:t>
      </w:r>
      <w:r w:rsidRPr="001A37C7">
        <w:rPr>
          <w:sz w:val="16"/>
          <w:szCs w:val="16"/>
          <w:lang w:val="es-CR"/>
        </w:rPr>
        <w:t>(</w:t>
      </w:r>
      <w:r w:rsidRPr="001A37C7">
        <w:rPr>
          <w:i/>
          <w:sz w:val="16"/>
          <w:szCs w:val="16"/>
          <w:lang w:val="es-CR"/>
        </w:rPr>
        <w:t>infra</w:t>
      </w:r>
      <w:r w:rsidRPr="001A37C7">
        <w:rPr>
          <w:sz w:val="16"/>
          <w:szCs w:val="16"/>
          <w:lang w:val="es-CR"/>
        </w:rPr>
        <w:t xml:space="preserve">, nota a pie de página </w:t>
      </w:r>
      <w:r>
        <w:rPr>
          <w:sz w:val="16"/>
          <w:szCs w:val="16"/>
          <w:lang w:val="es-CR"/>
        </w:rPr>
        <w:t>227</w:t>
      </w:r>
      <w:r w:rsidRPr="001A37C7">
        <w:rPr>
          <w:sz w:val="16"/>
          <w:szCs w:val="16"/>
          <w:lang w:val="es-CR"/>
        </w:rPr>
        <w:t>)</w:t>
      </w:r>
      <w:r>
        <w:rPr>
          <w:i/>
          <w:sz w:val="16"/>
          <w:szCs w:val="16"/>
          <w:lang w:val="es-CR"/>
        </w:rPr>
        <w:t xml:space="preserve">. </w:t>
      </w:r>
      <w:r>
        <w:rPr>
          <w:sz w:val="16"/>
          <w:szCs w:val="16"/>
          <w:lang w:val="es-CR"/>
        </w:rPr>
        <w:t>El Estado no se pronunció al respecto. Teniendo eso en cuenta, así como la aceptación del Estado de los hechos en que se sustentan los alegatos sobre violaciones a derechos humanos en el caso (</w:t>
      </w:r>
      <w:r>
        <w:rPr>
          <w:i/>
          <w:sz w:val="16"/>
          <w:szCs w:val="16"/>
          <w:lang w:val="es-CR"/>
        </w:rPr>
        <w:t>supra</w:t>
      </w:r>
      <w:r>
        <w:rPr>
          <w:sz w:val="16"/>
          <w:szCs w:val="16"/>
          <w:lang w:val="es-CR"/>
        </w:rPr>
        <w:t xml:space="preserve"> párr. 26), del cual se ha indicado ya su carácter colectivo (</w:t>
      </w:r>
      <w:r>
        <w:rPr>
          <w:i/>
          <w:sz w:val="16"/>
          <w:szCs w:val="16"/>
          <w:lang w:val="es-CR"/>
        </w:rPr>
        <w:t>supra</w:t>
      </w:r>
      <w:r>
        <w:rPr>
          <w:sz w:val="16"/>
          <w:szCs w:val="16"/>
          <w:lang w:val="es-CR"/>
        </w:rPr>
        <w:t xml:space="preserve"> párr. 17), la Corte entiende procedente en este caso efectuar el examen atinente a estas personas, en cuanto a las distintas violaciones a derechos alegadas y eventuales medidas de reparación, a partir de lo señalado por la Comisión.</w:t>
      </w:r>
    </w:p>
  </w:footnote>
  <w:footnote w:id="159">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Pr>
          <w:rFonts w:cs="Times New Roman"/>
          <w:sz w:val="16"/>
          <w:szCs w:val="16"/>
          <w:lang w:val="es-CR"/>
        </w:rPr>
        <w:t>Destacaron que la falta de observancia de los acuerdos de retorno suscritos por Guatemala (</w:t>
      </w:r>
      <w:r>
        <w:rPr>
          <w:rFonts w:cs="Times New Roman"/>
          <w:i/>
          <w:sz w:val="16"/>
          <w:szCs w:val="16"/>
          <w:lang w:val="es-CR"/>
        </w:rPr>
        <w:t>supra</w:t>
      </w:r>
      <w:r>
        <w:rPr>
          <w:rFonts w:cs="Times New Roman"/>
          <w:sz w:val="16"/>
          <w:szCs w:val="16"/>
          <w:lang w:val="es-CR"/>
        </w:rPr>
        <w:t xml:space="preserve"> párr. 33), en cuanto a la no intervención de grupos militares, causó una situación de vulneración de derechos de la población indígena y por lo tanto produjo las violaciones alegadas. </w:t>
      </w:r>
      <w:r>
        <w:rPr>
          <w:sz w:val="16"/>
          <w:szCs w:val="16"/>
          <w:lang w:val="es-ES_tradnl"/>
        </w:rPr>
        <w:t>Además,</w:t>
      </w:r>
      <w:r>
        <w:rPr>
          <w:b/>
          <w:sz w:val="16"/>
          <w:szCs w:val="16"/>
          <w:lang w:val="es-ES_tradnl"/>
        </w:rPr>
        <w:t xml:space="preserve"> </w:t>
      </w:r>
      <w:r>
        <w:rPr>
          <w:sz w:val="16"/>
          <w:szCs w:val="16"/>
          <w:lang w:val="es-ES_tradnl"/>
        </w:rPr>
        <w:t>resaltaron el temor de los sobrevivientes y los familiares de quienes murieron de que, a partir de su liberación, militares involucrados puedan intentar vengarse.</w:t>
      </w:r>
    </w:p>
  </w:footnote>
  <w:footnote w:id="160">
    <w:p w:rsidR="00785921" w:rsidRPr="00425F9B"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El Estado s</w:t>
      </w:r>
      <w:r>
        <w:rPr>
          <w:rFonts w:cs="Times New Roman"/>
          <w:sz w:val="16"/>
          <w:szCs w:val="16"/>
          <w:lang w:val="es-CR"/>
        </w:rPr>
        <w:t xml:space="preserve">e refirió a lo expresado por la Corte en el </w:t>
      </w:r>
      <w:r>
        <w:rPr>
          <w:rFonts w:cs="Times New Roman"/>
          <w:i/>
          <w:sz w:val="16"/>
          <w:szCs w:val="16"/>
          <w:lang w:val="es-CR"/>
        </w:rPr>
        <w:t>caso Perozo y otros vs. Venezuela</w:t>
      </w:r>
      <w:r>
        <w:rPr>
          <w:rFonts w:cs="Times New Roman"/>
          <w:sz w:val="16"/>
          <w:szCs w:val="16"/>
          <w:lang w:val="es-CR"/>
        </w:rPr>
        <w:t>, en relación con el deber de garantía: “la investigación de la violación de determinado derecho sustantivo puede ser un medio para amparar, proteger o garantizar ese derecho” (</w:t>
      </w:r>
      <w:r>
        <w:rPr>
          <w:rFonts w:cs="Calibri"/>
          <w:i/>
          <w:sz w:val="16"/>
          <w:szCs w:val="16"/>
          <w:lang w:val="es-CR"/>
        </w:rPr>
        <w:t>Caso Perozo y otros Vs. Venezuela, supra,</w:t>
      </w:r>
      <w:r w:rsidRPr="00425F9B">
        <w:rPr>
          <w:rFonts w:cs="Calibri"/>
          <w:sz w:val="16"/>
          <w:szCs w:val="16"/>
          <w:lang w:val="es-CR"/>
        </w:rPr>
        <w:t xml:space="preserve"> </w:t>
      </w:r>
      <w:r>
        <w:rPr>
          <w:rFonts w:cs="Calibri"/>
          <w:sz w:val="16"/>
          <w:szCs w:val="16"/>
          <w:lang w:val="es-CR"/>
        </w:rPr>
        <w:t>p</w:t>
      </w:r>
      <w:r w:rsidRPr="00425F9B">
        <w:rPr>
          <w:rFonts w:cs="Calibri"/>
          <w:sz w:val="16"/>
          <w:szCs w:val="16"/>
          <w:lang w:val="es-CR"/>
        </w:rPr>
        <w:t xml:space="preserve">árr. 298). </w:t>
      </w:r>
    </w:p>
  </w:footnote>
  <w:footnote w:id="161">
    <w:p w:rsidR="00785921" w:rsidRPr="00467331" w:rsidRDefault="00785921" w:rsidP="00126E97">
      <w:pPr>
        <w:spacing w:after="0" w:line="20" w:lineRule="atLeast"/>
        <w:jc w:val="both"/>
        <w:rPr>
          <w:rFonts w:ascii="Verdana" w:hAnsi="Verdana"/>
          <w:sz w:val="16"/>
          <w:szCs w:val="16"/>
        </w:rPr>
      </w:pPr>
      <w:r w:rsidRPr="00467331">
        <w:rPr>
          <w:rStyle w:val="FootnoteReference"/>
          <w:rFonts w:ascii="Verdana" w:hAnsi="Verdana"/>
          <w:sz w:val="16"/>
          <w:szCs w:val="16"/>
          <w:lang w:eastAsia="x-none"/>
        </w:rPr>
        <w:footnoteRef/>
      </w:r>
      <w:r w:rsidRPr="00467331">
        <w:rPr>
          <w:rFonts w:ascii="Verdana" w:hAnsi="Verdana"/>
          <w:sz w:val="16"/>
          <w:szCs w:val="16"/>
          <w:lang w:val="es-CR"/>
        </w:rPr>
        <w:t xml:space="preserve"> </w:t>
      </w:r>
      <w:r w:rsidRPr="00467331">
        <w:rPr>
          <w:rFonts w:ascii="Verdana" w:hAnsi="Verdana"/>
          <w:i/>
          <w:iCs/>
          <w:sz w:val="16"/>
          <w:szCs w:val="16"/>
          <w:lang w:val="es-CR"/>
        </w:rPr>
        <w:t>Cfr</w:t>
      </w:r>
      <w:r w:rsidRPr="00467331">
        <w:rPr>
          <w:rFonts w:ascii="Verdana" w:hAnsi="Verdana"/>
          <w:i/>
          <w:sz w:val="16"/>
          <w:szCs w:val="16"/>
          <w:lang w:val="es-CR"/>
        </w:rPr>
        <w:t xml:space="preserve">. </w:t>
      </w:r>
      <w:r w:rsidRPr="00467331">
        <w:rPr>
          <w:rFonts w:ascii="Verdana" w:hAnsi="Verdana"/>
          <w:bCs/>
          <w:i/>
          <w:color w:val="000000"/>
          <w:sz w:val="16"/>
          <w:szCs w:val="16"/>
          <w:shd w:val="clear" w:color="auto" w:fill="FFFFFF"/>
        </w:rPr>
        <w:t xml:space="preserve">Caso </w:t>
      </w:r>
      <w:proofErr w:type="spellStart"/>
      <w:r w:rsidRPr="00467331">
        <w:rPr>
          <w:rFonts w:ascii="Verdana" w:hAnsi="Verdana"/>
          <w:bCs/>
          <w:i/>
          <w:color w:val="000000"/>
          <w:sz w:val="16"/>
          <w:szCs w:val="16"/>
          <w:shd w:val="clear" w:color="auto" w:fill="FFFFFF"/>
        </w:rPr>
        <w:t>Apitz</w:t>
      </w:r>
      <w:proofErr w:type="spellEnd"/>
      <w:r w:rsidRPr="00467331">
        <w:rPr>
          <w:rFonts w:ascii="Verdana" w:hAnsi="Verdana"/>
          <w:bCs/>
          <w:i/>
          <w:color w:val="000000"/>
          <w:sz w:val="16"/>
          <w:szCs w:val="16"/>
          <w:shd w:val="clear" w:color="auto" w:fill="FFFFFF"/>
        </w:rPr>
        <w:t xml:space="preserve"> Barbera y otros (“Corte Primera de lo Contencioso Administrativo”) Vs. Venezuela.</w:t>
      </w:r>
      <w:r w:rsidRPr="00467331">
        <w:rPr>
          <w:rFonts w:ascii="Verdana" w:hAnsi="Verdana"/>
          <w:bCs/>
          <w:color w:val="000000"/>
          <w:sz w:val="16"/>
          <w:szCs w:val="16"/>
          <w:shd w:val="clear" w:color="auto" w:fill="FFFFFF"/>
        </w:rPr>
        <w:t xml:space="preserve"> </w:t>
      </w:r>
      <w:r w:rsidRPr="00467331">
        <w:rPr>
          <w:rFonts w:ascii="Verdana" w:hAnsi="Verdana"/>
          <w:bCs/>
          <w:i/>
          <w:color w:val="000000"/>
          <w:sz w:val="16"/>
          <w:szCs w:val="16"/>
          <w:shd w:val="clear" w:color="auto" w:fill="FFFFFF"/>
        </w:rPr>
        <w:t>Excepción Preliminar, Fondo, Reparaciones y Costas</w:t>
      </w:r>
      <w:r w:rsidRPr="00467331">
        <w:rPr>
          <w:rFonts w:ascii="Verdana" w:hAnsi="Verdana"/>
          <w:bCs/>
          <w:color w:val="000000"/>
          <w:sz w:val="16"/>
          <w:szCs w:val="16"/>
          <w:shd w:val="clear" w:color="auto" w:fill="FFFFFF"/>
        </w:rPr>
        <w:t>. Sentencia de 5 de agosto de 2008. Serie C No. 182</w:t>
      </w:r>
      <w:r w:rsidRPr="00467331">
        <w:rPr>
          <w:rFonts w:ascii="Verdana" w:hAnsi="Verdana"/>
          <w:b/>
          <w:bCs/>
          <w:color w:val="000000"/>
          <w:sz w:val="16"/>
          <w:szCs w:val="16"/>
          <w:shd w:val="clear" w:color="auto" w:fill="FFFFFF"/>
        </w:rPr>
        <w:t>.</w:t>
      </w:r>
      <w:r w:rsidRPr="00467331">
        <w:rPr>
          <w:rFonts w:ascii="Verdana" w:hAnsi="Verdana"/>
          <w:iCs/>
          <w:sz w:val="16"/>
          <w:szCs w:val="16"/>
          <w:lang w:val="es-CR"/>
        </w:rPr>
        <w:t xml:space="preserve"> párr. 209, </w:t>
      </w:r>
      <w:r w:rsidRPr="00467331">
        <w:rPr>
          <w:rFonts w:ascii="Verdana" w:hAnsi="Verdana"/>
          <w:sz w:val="16"/>
          <w:szCs w:val="16"/>
          <w:lang w:val="es-CR"/>
        </w:rPr>
        <w:t xml:space="preserve">y </w:t>
      </w:r>
      <w:r w:rsidRPr="00467331">
        <w:rPr>
          <w:rFonts w:ascii="Verdana" w:hAnsi="Verdana"/>
          <w:bCs/>
          <w:i/>
          <w:sz w:val="16"/>
          <w:szCs w:val="16"/>
          <w:lang w:val="es-CR"/>
        </w:rPr>
        <w:t>Caso Ramírez Escobar y otros Vs. Guatemala. Fondo, Reparaciones y Costas.</w:t>
      </w:r>
      <w:r w:rsidRPr="00467331">
        <w:rPr>
          <w:rFonts w:ascii="Verdana" w:hAnsi="Verdana"/>
          <w:bCs/>
          <w:sz w:val="16"/>
          <w:szCs w:val="16"/>
          <w:lang w:val="es-CR"/>
        </w:rPr>
        <w:t xml:space="preserve"> Sentencia de 9 de marzo de 2018. Serie C No. 351,</w:t>
      </w:r>
      <w:r w:rsidRPr="00467331">
        <w:rPr>
          <w:rFonts w:ascii="Verdana" w:hAnsi="Verdana"/>
          <w:sz w:val="16"/>
          <w:szCs w:val="16"/>
          <w:lang w:val="es-CR"/>
        </w:rPr>
        <w:t xml:space="preserve"> </w:t>
      </w:r>
      <w:r w:rsidRPr="00467331">
        <w:rPr>
          <w:rFonts w:ascii="Verdana" w:hAnsi="Verdana"/>
          <w:bCs/>
          <w:color w:val="000000"/>
          <w:sz w:val="16"/>
          <w:szCs w:val="16"/>
          <w:shd w:val="clear" w:color="auto" w:fill="FFFFFF"/>
        </w:rPr>
        <w:t>párr. 272</w:t>
      </w:r>
      <w:r w:rsidRPr="00467331">
        <w:rPr>
          <w:rFonts w:ascii="Verdana" w:hAnsi="Verdana"/>
          <w:sz w:val="16"/>
          <w:szCs w:val="16"/>
          <w:lang w:val="es-CR"/>
        </w:rPr>
        <w:t xml:space="preserve">. </w:t>
      </w:r>
    </w:p>
  </w:footnote>
  <w:footnote w:id="162">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La Corte recuerda que ha dicho que “del principio </w:t>
      </w:r>
      <w:proofErr w:type="spellStart"/>
      <w:r w:rsidRPr="00637508">
        <w:rPr>
          <w:i/>
          <w:sz w:val="16"/>
          <w:szCs w:val="16"/>
          <w:lang w:val="es-CR"/>
        </w:rPr>
        <w:t>iura</w:t>
      </w:r>
      <w:proofErr w:type="spellEnd"/>
      <w:r w:rsidRPr="00637508">
        <w:rPr>
          <w:i/>
          <w:sz w:val="16"/>
          <w:szCs w:val="16"/>
          <w:lang w:val="es-CR"/>
        </w:rPr>
        <w:t xml:space="preserve"> </w:t>
      </w:r>
      <w:proofErr w:type="spellStart"/>
      <w:r w:rsidRPr="00637508">
        <w:rPr>
          <w:i/>
          <w:sz w:val="16"/>
          <w:szCs w:val="16"/>
          <w:lang w:val="es-CR"/>
        </w:rPr>
        <w:t>novit</w:t>
      </w:r>
      <w:proofErr w:type="spellEnd"/>
      <w:r w:rsidRPr="00637508">
        <w:rPr>
          <w:i/>
          <w:sz w:val="16"/>
          <w:szCs w:val="16"/>
          <w:lang w:val="es-CR"/>
        </w:rPr>
        <w:t xml:space="preserve"> curia</w:t>
      </w:r>
      <w:r w:rsidRPr="00637508">
        <w:rPr>
          <w:sz w:val="16"/>
          <w:szCs w:val="16"/>
          <w:lang w:val="es-CR"/>
        </w:rPr>
        <w:t xml:space="preserve"> se ha valido reiteradamente la jurisprudencia internacional en el sentido de que el juzgador posee la facultad, e inclusive el deber, de aplicar las disposiciones jurídicas pertinentes en una causa, aun cuando las partes no las invoquen expresamente” (</w:t>
      </w:r>
      <w:r w:rsidRPr="00637508">
        <w:rPr>
          <w:i/>
          <w:sz w:val="16"/>
          <w:szCs w:val="16"/>
          <w:lang w:val="es-CR"/>
        </w:rPr>
        <w:t>cfr.</w:t>
      </w:r>
      <w:r w:rsidRPr="00637508">
        <w:rPr>
          <w:sz w:val="16"/>
          <w:szCs w:val="16"/>
          <w:lang w:val="es-CR"/>
        </w:rPr>
        <w:t xml:space="preserve"> </w:t>
      </w:r>
      <w:r w:rsidRPr="00637508">
        <w:rPr>
          <w:i/>
          <w:sz w:val="16"/>
          <w:szCs w:val="16"/>
          <w:lang w:val="es-CR"/>
        </w:rPr>
        <w:t>Caso Velásquez Rodríguez Vs. Honduras</w:t>
      </w:r>
      <w:r>
        <w:rPr>
          <w:sz w:val="16"/>
          <w:szCs w:val="16"/>
          <w:lang w:val="es-CR"/>
        </w:rPr>
        <w:t xml:space="preserve">. </w:t>
      </w:r>
      <w:r>
        <w:rPr>
          <w:i/>
          <w:sz w:val="16"/>
          <w:szCs w:val="16"/>
          <w:lang w:val="es-CR"/>
        </w:rPr>
        <w:t>Fondo, supra</w:t>
      </w:r>
      <w:r>
        <w:rPr>
          <w:sz w:val="16"/>
          <w:szCs w:val="16"/>
          <w:lang w:val="es-CR"/>
        </w:rPr>
        <w:t xml:space="preserve">, </w:t>
      </w:r>
      <w:r w:rsidRPr="00637508">
        <w:rPr>
          <w:sz w:val="16"/>
          <w:szCs w:val="16"/>
          <w:lang w:val="es-CR"/>
        </w:rPr>
        <w:t xml:space="preserve">párr. 163, y </w:t>
      </w:r>
      <w:r w:rsidRPr="00637508">
        <w:rPr>
          <w:i/>
          <w:sz w:val="16"/>
          <w:szCs w:val="16"/>
          <w:lang w:val="es-CR"/>
        </w:rPr>
        <w:t>Caso Gutiérrez Hernández y otros Vs. Guatemala. Excepciones Preliminares, Fondo, Reparaciones y Costas.</w:t>
      </w:r>
      <w:r w:rsidRPr="00637508">
        <w:rPr>
          <w:sz w:val="16"/>
          <w:szCs w:val="16"/>
          <w:lang w:val="es-CR"/>
        </w:rPr>
        <w:t xml:space="preserve"> Sentencia de 24 de agosto de 2017. Serie C No. 339, nota a pie de página 188</w:t>
      </w:r>
      <w:r>
        <w:rPr>
          <w:sz w:val="16"/>
          <w:szCs w:val="16"/>
          <w:lang w:val="es-CR"/>
        </w:rPr>
        <w:t>)</w:t>
      </w:r>
      <w:r w:rsidRPr="00637508">
        <w:rPr>
          <w:sz w:val="16"/>
          <w:szCs w:val="16"/>
          <w:lang w:val="es-CR"/>
        </w:rPr>
        <w:t xml:space="preserve">. </w:t>
      </w:r>
    </w:p>
  </w:footnote>
  <w:footnote w:id="163">
    <w:p w:rsidR="00785921" w:rsidRPr="00467331" w:rsidRDefault="00785921" w:rsidP="00126E97">
      <w:pPr>
        <w:spacing w:after="0" w:line="20" w:lineRule="atLeast"/>
        <w:jc w:val="both"/>
        <w:rPr>
          <w:rFonts w:ascii="Verdana" w:hAnsi="Verdana"/>
          <w:sz w:val="16"/>
          <w:szCs w:val="16"/>
        </w:rPr>
      </w:pPr>
      <w:r w:rsidRPr="00467331">
        <w:rPr>
          <w:rStyle w:val="FootnoteReference"/>
          <w:rFonts w:ascii="Verdana" w:hAnsi="Verdana"/>
          <w:sz w:val="16"/>
          <w:szCs w:val="16"/>
          <w:lang w:eastAsia="x-none"/>
        </w:rPr>
        <w:footnoteRef/>
      </w:r>
      <w:r w:rsidRPr="00467331">
        <w:rPr>
          <w:rFonts w:ascii="Verdana" w:hAnsi="Verdana"/>
          <w:sz w:val="16"/>
          <w:szCs w:val="16"/>
          <w:lang w:val="es-CR"/>
        </w:rPr>
        <w:t xml:space="preserve"> </w:t>
      </w:r>
      <w:r w:rsidRPr="00467331">
        <w:rPr>
          <w:rFonts w:ascii="Verdana" w:hAnsi="Verdana"/>
          <w:i/>
          <w:iCs/>
          <w:sz w:val="16"/>
          <w:szCs w:val="16"/>
          <w:lang w:val="es-CR"/>
        </w:rPr>
        <w:t>Cfr</w:t>
      </w:r>
      <w:r w:rsidRPr="00467331">
        <w:rPr>
          <w:rFonts w:ascii="Verdana" w:hAnsi="Verdana"/>
          <w:i/>
          <w:sz w:val="16"/>
          <w:szCs w:val="16"/>
          <w:lang w:val="es-CR"/>
        </w:rPr>
        <w:t xml:space="preserve">. </w:t>
      </w:r>
      <w:r w:rsidRPr="00467331">
        <w:rPr>
          <w:rFonts w:ascii="Verdana" w:hAnsi="Verdana"/>
          <w:bCs/>
          <w:i/>
          <w:color w:val="000000"/>
          <w:sz w:val="16"/>
          <w:szCs w:val="16"/>
          <w:shd w:val="clear" w:color="auto" w:fill="FFFFFF"/>
        </w:rPr>
        <w:t xml:space="preserve">Caso </w:t>
      </w:r>
      <w:proofErr w:type="spellStart"/>
      <w:r w:rsidRPr="00467331">
        <w:rPr>
          <w:rFonts w:ascii="Verdana" w:hAnsi="Verdana"/>
          <w:bCs/>
          <w:i/>
          <w:color w:val="000000"/>
          <w:sz w:val="16"/>
          <w:szCs w:val="16"/>
          <w:shd w:val="clear" w:color="auto" w:fill="FFFFFF"/>
        </w:rPr>
        <w:t>Apitz</w:t>
      </w:r>
      <w:proofErr w:type="spellEnd"/>
      <w:r w:rsidRPr="00467331">
        <w:rPr>
          <w:rFonts w:ascii="Verdana" w:hAnsi="Verdana"/>
          <w:bCs/>
          <w:i/>
          <w:color w:val="000000"/>
          <w:sz w:val="16"/>
          <w:szCs w:val="16"/>
          <w:shd w:val="clear" w:color="auto" w:fill="FFFFFF"/>
        </w:rPr>
        <w:t xml:space="preserve"> Barbera y otros (“Corte Primera de lo Contencioso Administrativo”) Vs. Venezuela</w:t>
      </w:r>
      <w:r>
        <w:rPr>
          <w:rFonts w:ascii="Verdana" w:hAnsi="Verdana"/>
          <w:bCs/>
          <w:i/>
          <w:color w:val="000000"/>
          <w:sz w:val="16"/>
          <w:szCs w:val="16"/>
          <w:shd w:val="clear" w:color="auto" w:fill="FFFFFF"/>
        </w:rPr>
        <w:t>, supra,</w:t>
      </w:r>
      <w:r w:rsidRPr="00467331">
        <w:rPr>
          <w:rFonts w:ascii="Verdana" w:hAnsi="Verdana"/>
          <w:iCs/>
          <w:sz w:val="16"/>
          <w:szCs w:val="16"/>
          <w:lang w:val="es-CR"/>
        </w:rPr>
        <w:t xml:space="preserve"> párr. 209, </w:t>
      </w:r>
      <w:r w:rsidRPr="00467331">
        <w:rPr>
          <w:rFonts w:ascii="Verdana" w:hAnsi="Verdana"/>
          <w:sz w:val="16"/>
          <w:szCs w:val="16"/>
          <w:lang w:val="es-CR"/>
        </w:rPr>
        <w:t xml:space="preserve">y </w:t>
      </w:r>
      <w:r w:rsidRPr="00467331">
        <w:rPr>
          <w:rFonts w:ascii="Verdana" w:hAnsi="Verdana"/>
          <w:bCs/>
          <w:i/>
          <w:sz w:val="16"/>
          <w:szCs w:val="16"/>
          <w:lang w:val="es-CR"/>
        </w:rPr>
        <w:t>Caso Ramírez Escobar y otros Vs. Guatemala</w:t>
      </w:r>
      <w:r>
        <w:rPr>
          <w:rFonts w:ascii="Verdana" w:hAnsi="Verdana"/>
          <w:bCs/>
          <w:i/>
          <w:sz w:val="16"/>
          <w:szCs w:val="16"/>
          <w:lang w:val="es-CR"/>
        </w:rPr>
        <w:t>, supra</w:t>
      </w:r>
      <w:r w:rsidRPr="00467331">
        <w:rPr>
          <w:rFonts w:ascii="Verdana" w:hAnsi="Verdana"/>
          <w:bCs/>
          <w:sz w:val="16"/>
          <w:szCs w:val="16"/>
          <w:lang w:val="es-CR"/>
        </w:rPr>
        <w:t>,</w:t>
      </w:r>
      <w:r w:rsidRPr="00467331">
        <w:rPr>
          <w:rFonts w:ascii="Verdana" w:hAnsi="Verdana"/>
          <w:sz w:val="16"/>
          <w:szCs w:val="16"/>
          <w:lang w:val="es-CR"/>
        </w:rPr>
        <w:t xml:space="preserve"> </w:t>
      </w:r>
      <w:r w:rsidRPr="00467331">
        <w:rPr>
          <w:rFonts w:ascii="Verdana" w:hAnsi="Verdana"/>
          <w:bCs/>
          <w:color w:val="000000"/>
          <w:sz w:val="16"/>
          <w:szCs w:val="16"/>
          <w:shd w:val="clear" w:color="auto" w:fill="FFFFFF"/>
        </w:rPr>
        <w:t>párr. 272</w:t>
      </w:r>
      <w:r w:rsidRPr="00467331">
        <w:rPr>
          <w:rFonts w:ascii="Verdana" w:hAnsi="Verdana"/>
          <w:sz w:val="16"/>
          <w:szCs w:val="16"/>
          <w:lang w:val="es-CR"/>
        </w:rPr>
        <w:t>.</w:t>
      </w:r>
    </w:p>
  </w:footnote>
  <w:footnote w:id="164">
    <w:p w:rsidR="00785921" w:rsidRPr="00962746" w:rsidRDefault="00785921" w:rsidP="00126E97">
      <w:pPr>
        <w:pStyle w:val="FootnoteText"/>
        <w:spacing w:line="20" w:lineRule="atLeast"/>
        <w:rPr>
          <w:sz w:val="16"/>
          <w:szCs w:val="16"/>
          <w:lang w:val="es-CR"/>
        </w:rPr>
      </w:pPr>
      <w:r w:rsidRPr="00425F9B">
        <w:rPr>
          <w:rStyle w:val="FootnoteReference"/>
          <w:sz w:val="16"/>
          <w:szCs w:val="16"/>
        </w:rPr>
        <w:footnoteRef/>
      </w:r>
      <w:r w:rsidRPr="00425F9B">
        <w:rPr>
          <w:sz w:val="16"/>
          <w:szCs w:val="16"/>
          <w:lang w:val="es-CR"/>
        </w:rPr>
        <w:t xml:space="preserve"> La Corte advierte que los hechos del caso se insertan temporalmente en el conflicto armado interno guatemalteco </w:t>
      </w:r>
      <w:r w:rsidRPr="00913F5C">
        <w:rPr>
          <w:sz w:val="16"/>
          <w:szCs w:val="16"/>
          <w:lang w:val="es-CR"/>
        </w:rPr>
        <w:t>(</w:t>
      </w:r>
      <w:r w:rsidRPr="00913F5C">
        <w:rPr>
          <w:i/>
          <w:sz w:val="16"/>
          <w:szCs w:val="16"/>
          <w:lang w:val="es-CR"/>
        </w:rPr>
        <w:t>supra</w:t>
      </w:r>
      <w:r w:rsidRPr="00913F5C">
        <w:rPr>
          <w:sz w:val="16"/>
          <w:szCs w:val="16"/>
          <w:lang w:val="es-CR"/>
        </w:rPr>
        <w:t xml:space="preserve"> párr. 27)</w:t>
      </w:r>
      <w:r w:rsidRPr="00425F9B">
        <w:rPr>
          <w:sz w:val="16"/>
          <w:szCs w:val="16"/>
          <w:lang w:val="es-CR"/>
        </w:rPr>
        <w:t>, que se desarrolló entre 1962 y 1996. Por ello, considera relevante aclarar que ni las partes ni la Comisión adujeron que normas de Derecho Internacional Humanitario fueran pertinentes en el caso. En este marco de ausencia de argumentación, la Corte no encuentra motivos para tener en cuenta las normas referidas.</w:t>
      </w:r>
      <w:r w:rsidRPr="00962746">
        <w:rPr>
          <w:sz w:val="16"/>
          <w:szCs w:val="16"/>
          <w:lang w:val="es-CR"/>
        </w:rPr>
        <w:t xml:space="preserve">  </w:t>
      </w:r>
    </w:p>
  </w:footnote>
  <w:footnote w:id="165">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Pr>
          <w:rFonts w:cs="Verdana"/>
          <w:i/>
          <w:iCs/>
          <w:sz w:val="16"/>
          <w:szCs w:val="16"/>
          <w:lang w:val="es-CR"/>
        </w:rPr>
        <w:t>Cfr. Caso de los “Niños de la Calle” (Villagrán Morales y otros) Vs. Guatemala. Fondo, supra</w:t>
      </w:r>
      <w:r>
        <w:rPr>
          <w:rFonts w:cs="Verdana"/>
          <w:iCs/>
          <w:sz w:val="16"/>
          <w:szCs w:val="16"/>
          <w:lang w:val="es-CR"/>
        </w:rPr>
        <w:t>,</w:t>
      </w:r>
      <w:r>
        <w:rPr>
          <w:rFonts w:cs="Verdana"/>
          <w:i/>
          <w:iCs/>
          <w:sz w:val="16"/>
          <w:szCs w:val="16"/>
          <w:lang w:val="es-CR"/>
        </w:rPr>
        <w:t xml:space="preserve"> </w:t>
      </w:r>
      <w:r>
        <w:rPr>
          <w:rFonts w:cs="Verdana"/>
          <w:sz w:val="16"/>
          <w:szCs w:val="16"/>
          <w:lang w:val="es-CR"/>
        </w:rPr>
        <w:t xml:space="preserve">párr. 144 y </w:t>
      </w:r>
      <w:r>
        <w:rPr>
          <w:rFonts w:cs="Verdana"/>
          <w:i/>
          <w:sz w:val="16"/>
          <w:szCs w:val="16"/>
          <w:lang w:val="es-CR"/>
        </w:rPr>
        <w:t xml:space="preserve">Caso Carvajal </w:t>
      </w:r>
      <w:proofErr w:type="spellStart"/>
      <w:r>
        <w:rPr>
          <w:rFonts w:cs="Verdana"/>
          <w:i/>
          <w:sz w:val="16"/>
          <w:szCs w:val="16"/>
          <w:lang w:val="es-CR"/>
        </w:rPr>
        <w:t>Carvajal</w:t>
      </w:r>
      <w:proofErr w:type="spellEnd"/>
      <w:r>
        <w:rPr>
          <w:rFonts w:cs="Verdana"/>
          <w:i/>
          <w:sz w:val="16"/>
          <w:szCs w:val="16"/>
          <w:lang w:val="es-CR"/>
        </w:rPr>
        <w:t xml:space="preserve"> y otros Vs. Colombia, supra,</w:t>
      </w:r>
      <w:r>
        <w:rPr>
          <w:rFonts w:cs="Verdana"/>
          <w:sz w:val="16"/>
          <w:szCs w:val="16"/>
          <w:lang w:val="es-CR"/>
        </w:rPr>
        <w:t xml:space="preserve"> párr. 162.</w:t>
      </w:r>
    </w:p>
  </w:footnote>
  <w:footnote w:id="166">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sidRPr="003A0210">
        <w:rPr>
          <w:i/>
          <w:sz w:val="16"/>
          <w:szCs w:val="16"/>
          <w:lang w:val="es-CR"/>
        </w:rPr>
        <w:t>Cfr</w:t>
      </w:r>
      <w:r>
        <w:rPr>
          <w:sz w:val="16"/>
          <w:szCs w:val="16"/>
          <w:lang w:val="es-CR"/>
        </w:rPr>
        <w:t xml:space="preserve">. </w:t>
      </w:r>
      <w:r>
        <w:rPr>
          <w:i/>
          <w:sz w:val="16"/>
          <w:szCs w:val="16"/>
          <w:lang w:val="es-CR"/>
        </w:rPr>
        <w:t>Caso de los “Niños de la Calle” (Villagrán Morales y otros) Vs. Guatemala. Fondo, supra</w:t>
      </w:r>
      <w:r>
        <w:rPr>
          <w:sz w:val="16"/>
          <w:szCs w:val="16"/>
          <w:lang w:val="es-CR"/>
        </w:rPr>
        <w:t xml:space="preserve">, párr. 139, y </w:t>
      </w:r>
      <w:r>
        <w:rPr>
          <w:i/>
          <w:sz w:val="16"/>
          <w:szCs w:val="16"/>
          <w:lang w:val="es-CR"/>
        </w:rPr>
        <w:t xml:space="preserve">Caso Carvajal </w:t>
      </w:r>
      <w:proofErr w:type="spellStart"/>
      <w:r>
        <w:rPr>
          <w:i/>
          <w:sz w:val="16"/>
          <w:szCs w:val="16"/>
          <w:lang w:val="es-CR"/>
        </w:rPr>
        <w:t>Carvajal</w:t>
      </w:r>
      <w:proofErr w:type="spellEnd"/>
      <w:r>
        <w:rPr>
          <w:i/>
          <w:sz w:val="16"/>
          <w:szCs w:val="16"/>
          <w:lang w:val="es-CR"/>
        </w:rPr>
        <w:t xml:space="preserve"> y otros Vs. Colombia, supra</w:t>
      </w:r>
      <w:r>
        <w:rPr>
          <w:sz w:val="16"/>
          <w:szCs w:val="16"/>
          <w:lang w:val="es-CR"/>
        </w:rPr>
        <w:t>, párr. 162.</w:t>
      </w:r>
    </w:p>
  </w:footnote>
  <w:footnote w:id="167">
    <w:p w:rsidR="00785921" w:rsidRPr="003A0210" w:rsidRDefault="00785921" w:rsidP="00126E97">
      <w:pPr>
        <w:pStyle w:val="FootnoteText"/>
        <w:spacing w:line="20" w:lineRule="atLeast"/>
        <w:rPr>
          <w:sz w:val="16"/>
          <w:szCs w:val="16"/>
          <w:shd w:val="clear" w:color="auto" w:fill="FFFFFF"/>
          <w:lang w:val="es-CR"/>
        </w:rPr>
      </w:pPr>
      <w:r>
        <w:rPr>
          <w:rStyle w:val="FootnoteReference"/>
          <w:sz w:val="16"/>
          <w:szCs w:val="16"/>
          <w:lang w:val="es-CR" w:eastAsia="x-none"/>
        </w:rPr>
        <w:footnoteRef/>
      </w:r>
      <w:r w:rsidRPr="00C04446">
        <w:rPr>
          <w:i/>
          <w:sz w:val="16"/>
          <w:szCs w:val="16"/>
          <w:lang w:val="es-CR"/>
        </w:rPr>
        <w:t xml:space="preserve">Cfr. </w:t>
      </w:r>
      <w:r w:rsidRPr="00467331">
        <w:rPr>
          <w:rStyle w:val="Strong"/>
          <w:b w:val="0"/>
          <w:i/>
          <w:sz w:val="16"/>
          <w:szCs w:val="16"/>
          <w:shd w:val="clear" w:color="auto" w:fill="FFFFFF"/>
          <w:lang w:val="es-CR"/>
        </w:rPr>
        <w:t xml:space="preserve">Caso Myrna </w:t>
      </w:r>
      <w:proofErr w:type="spellStart"/>
      <w:r w:rsidRPr="00467331">
        <w:rPr>
          <w:rStyle w:val="Strong"/>
          <w:b w:val="0"/>
          <w:i/>
          <w:sz w:val="16"/>
          <w:szCs w:val="16"/>
          <w:shd w:val="clear" w:color="auto" w:fill="FFFFFF"/>
          <w:lang w:val="es-CR"/>
        </w:rPr>
        <w:t>Mack</w:t>
      </w:r>
      <w:proofErr w:type="spellEnd"/>
      <w:r w:rsidRPr="00467331">
        <w:rPr>
          <w:rStyle w:val="Strong"/>
          <w:b w:val="0"/>
          <w:i/>
          <w:sz w:val="16"/>
          <w:szCs w:val="16"/>
          <w:shd w:val="clear" w:color="auto" w:fill="FFFFFF"/>
          <w:lang w:val="es-CR"/>
        </w:rPr>
        <w:t xml:space="preserve"> Chang</w:t>
      </w:r>
      <w:r w:rsidRPr="00467331">
        <w:rPr>
          <w:b/>
          <w:sz w:val="16"/>
          <w:szCs w:val="16"/>
          <w:lang w:val="es-CR"/>
        </w:rPr>
        <w:t xml:space="preserve"> </w:t>
      </w:r>
      <w:r w:rsidRPr="00467331">
        <w:rPr>
          <w:rStyle w:val="Strong"/>
          <w:b w:val="0"/>
          <w:i/>
          <w:sz w:val="16"/>
          <w:szCs w:val="16"/>
          <w:shd w:val="clear" w:color="auto" w:fill="FFFFFF"/>
          <w:lang w:val="es-CR"/>
        </w:rPr>
        <w:t>Vs. Guatemala. Fondo, Reparaciones y Costas</w:t>
      </w:r>
      <w:r>
        <w:rPr>
          <w:rStyle w:val="Strong"/>
          <w:b w:val="0"/>
          <w:i/>
          <w:sz w:val="16"/>
          <w:szCs w:val="16"/>
          <w:shd w:val="clear" w:color="auto" w:fill="FFFFFF"/>
          <w:lang w:val="es-CR"/>
        </w:rPr>
        <w:t>, supra</w:t>
      </w:r>
      <w:r w:rsidRPr="00467331">
        <w:rPr>
          <w:rStyle w:val="Strong"/>
          <w:b w:val="0"/>
          <w:sz w:val="16"/>
          <w:szCs w:val="16"/>
          <w:shd w:val="clear" w:color="auto" w:fill="FFFFFF"/>
          <w:lang w:val="es-CR"/>
        </w:rPr>
        <w:t>, párr. 153</w:t>
      </w:r>
      <w:r w:rsidRPr="00467331">
        <w:rPr>
          <w:sz w:val="16"/>
          <w:szCs w:val="16"/>
          <w:lang w:val="es-CR"/>
        </w:rPr>
        <w:t>,</w:t>
      </w:r>
      <w:r>
        <w:rPr>
          <w:sz w:val="16"/>
          <w:szCs w:val="16"/>
          <w:lang w:val="es-CR"/>
        </w:rPr>
        <w:t xml:space="preserve"> </w:t>
      </w:r>
      <w:r>
        <w:rPr>
          <w:i/>
          <w:sz w:val="16"/>
          <w:szCs w:val="16"/>
          <w:lang w:val="es-CR"/>
        </w:rPr>
        <w:t xml:space="preserve">Caso Carvajal </w:t>
      </w:r>
      <w:proofErr w:type="spellStart"/>
      <w:r>
        <w:rPr>
          <w:i/>
          <w:sz w:val="16"/>
          <w:szCs w:val="16"/>
          <w:lang w:val="es-CR"/>
        </w:rPr>
        <w:t>Carvajal</w:t>
      </w:r>
      <w:proofErr w:type="spellEnd"/>
      <w:r>
        <w:rPr>
          <w:i/>
          <w:sz w:val="16"/>
          <w:szCs w:val="16"/>
          <w:lang w:val="es-CR"/>
        </w:rPr>
        <w:t xml:space="preserve"> y otros Vs. Colombia, supra</w:t>
      </w:r>
      <w:r>
        <w:rPr>
          <w:sz w:val="16"/>
          <w:szCs w:val="16"/>
          <w:lang w:val="es-CR"/>
        </w:rPr>
        <w:t>, párr. 162.</w:t>
      </w:r>
    </w:p>
  </w:footnote>
  <w:footnote w:id="168">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sidRPr="00467331">
        <w:rPr>
          <w:sz w:val="16"/>
          <w:szCs w:val="16"/>
          <w:lang w:val="es-CR"/>
        </w:rPr>
        <w:t xml:space="preserve"> </w:t>
      </w:r>
      <w:r w:rsidRPr="00467331">
        <w:rPr>
          <w:rStyle w:val="Strong"/>
          <w:b w:val="0"/>
          <w:i/>
          <w:sz w:val="16"/>
          <w:szCs w:val="16"/>
          <w:shd w:val="clear" w:color="auto" w:fill="FFFFFF"/>
          <w:lang w:val="es-CR"/>
        </w:rPr>
        <w:t xml:space="preserve">Caso Myrna </w:t>
      </w:r>
      <w:proofErr w:type="spellStart"/>
      <w:r w:rsidRPr="00467331">
        <w:rPr>
          <w:rStyle w:val="Strong"/>
          <w:b w:val="0"/>
          <w:i/>
          <w:sz w:val="16"/>
          <w:szCs w:val="16"/>
          <w:shd w:val="clear" w:color="auto" w:fill="FFFFFF"/>
          <w:lang w:val="es-CR"/>
        </w:rPr>
        <w:t>Mack</w:t>
      </w:r>
      <w:proofErr w:type="spellEnd"/>
      <w:r w:rsidRPr="00467331">
        <w:rPr>
          <w:rStyle w:val="Strong"/>
          <w:b w:val="0"/>
          <w:i/>
          <w:sz w:val="16"/>
          <w:szCs w:val="16"/>
          <w:shd w:val="clear" w:color="auto" w:fill="FFFFFF"/>
          <w:lang w:val="es-CR"/>
        </w:rPr>
        <w:t xml:space="preserve"> Chang</w:t>
      </w:r>
      <w:r w:rsidRPr="00467331">
        <w:rPr>
          <w:b/>
          <w:sz w:val="16"/>
          <w:szCs w:val="16"/>
          <w:lang w:val="es-CR"/>
        </w:rPr>
        <w:t xml:space="preserve"> </w:t>
      </w:r>
      <w:r w:rsidRPr="00467331">
        <w:rPr>
          <w:rStyle w:val="Strong"/>
          <w:b w:val="0"/>
          <w:i/>
          <w:sz w:val="16"/>
          <w:szCs w:val="16"/>
          <w:shd w:val="clear" w:color="auto" w:fill="FFFFFF"/>
          <w:lang w:val="es-CR"/>
        </w:rPr>
        <w:t>Vs. Guatemala. Fondo, Reparaciones y Costas</w:t>
      </w:r>
      <w:r>
        <w:rPr>
          <w:rStyle w:val="Strong"/>
          <w:b w:val="0"/>
          <w:i/>
          <w:sz w:val="16"/>
          <w:szCs w:val="16"/>
          <w:shd w:val="clear" w:color="auto" w:fill="FFFFFF"/>
          <w:lang w:val="es-CR"/>
        </w:rPr>
        <w:t>, supra</w:t>
      </w:r>
      <w:r w:rsidRPr="00467331">
        <w:rPr>
          <w:rStyle w:val="Strong"/>
          <w:b w:val="0"/>
          <w:sz w:val="16"/>
          <w:szCs w:val="16"/>
          <w:shd w:val="clear" w:color="auto" w:fill="FFFFFF"/>
          <w:lang w:val="es-CR"/>
        </w:rPr>
        <w:t>, párr. 153,</w:t>
      </w:r>
      <w:r w:rsidRPr="00467331">
        <w:rPr>
          <w:rStyle w:val="Strong"/>
          <w:sz w:val="16"/>
          <w:szCs w:val="16"/>
          <w:shd w:val="clear" w:color="auto" w:fill="FFFFFF"/>
          <w:lang w:val="es-CR"/>
        </w:rPr>
        <w:t xml:space="preserve"> </w:t>
      </w:r>
      <w:r>
        <w:rPr>
          <w:sz w:val="16"/>
          <w:szCs w:val="16"/>
          <w:lang w:val="es-CR"/>
        </w:rPr>
        <w:t xml:space="preserve">y </w:t>
      </w:r>
      <w:r>
        <w:rPr>
          <w:i/>
          <w:sz w:val="16"/>
          <w:szCs w:val="16"/>
          <w:lang w:val="es-CR"/>
        </w:rPr>
        <w:t>Caso Ortiz Hernández y otros Vs. Venezuela, supra</w:t>
      </w:r>
      <w:r>
        <w:rPr>
          <w:sz w:val="16"/>
          <w:szCs w:val="16"/>
          <w:lang w:val="es-CR"/>
        </w:rPr>
        <w:t>, párr. 101.</w:t>
      </w:r>
    </w:p>
  </w:footnote>
  <w:footnote w:id="169">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i/>
          <w:sz w:val="16"/>
          <w:szCs w:val="16"/>
          <w:lang w:val="es-CR"/>
        </w:rPr>
        <w:t xml:space="preserve"> Caso Montero Aranguren y otros (Retén de Catia) Vs. Venezuela.</w:t>
      </w:r>
      <w:r>
        <w:rPr>
          <w:sz w:val="16"/>
          <w:szCs w:val="16"/>
          <w:lang w:val="es-CR"/>
        </w:rPr>
        <w:t xml:space="preserve"> </w:t>
      </w:r>
      <w:r>
        <w:rPr>
          <w:i/>
          <w:sz w:val="16"/>
          <w:szCs w:val="16"/>
          <w:lang w:val="es-CR"/>
        </w:rPr>
        <w:t>Excepción Preliminar, Fondo, Reparaciones y Costas.</w:t>
      </w:r>
      <w:r>
        <w:rPr>
          <w:sz w:val="16"/>
          <w:szCs w:val="16"/>
          <w:lang w:val="es-CR"/>
        </w:rPr>
        <w:t xml:space="preserve"> Sentencia de 5 de julio de 2006. Serie C No. 150, párr. 68, y </w:t>
      </w:r>
      <w:r>
        <w:rPr>
          <w:i/>
          <w:sz w:val="16"/>
          <w:szCs w:val="16"/>
          <w:lang w:val="es-CR"/>
        </w:rPr>
        <w:t>Caso Ortiz Hernández y otros Vs. Venezuela, supra</w:t>
      </w:r>
      <w:r>
        <w:rPr>
          <w:sz w:val="16"/>
          <w:szCs w:val="16"/>
          <w:lang w:val="es-CR"/>
        </w:rPr>
        <w:t>, párr. 103.</w:t>
      </w:r>
    </w:p>
  </w:footnote>
  <w:footnote w:id="170">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Pr>
          <w:i/>
          <w:sz w:val="16"/>
          <w:szCs w:val="16"/>
          <w:lang w:val="es-CR"/>
        </w:rPr>
        <w:t>Caso Loayza Tamayo Vs. Perú. Fondo</w:t>
      </w:r>
      <w:r>
        <w:rPr>
          <w:sz w:val="16"/>
          <w:szCs w:val="16"/>
          <w:lang w:val="es-CR"/>
        </w:rPr>
        <w:t xml:space="preserve">. Sentencia de 17 de septiembre de 1997. Serie C No. 33, párr. 57, y </w:t>
      </w:r>
      <w:r>
        <w:rPr>
          <w:i/>
          <w:sz w:val="16"/>
          <w:szCs w:val="16"/>
          <w:lang w:val="es-CR"/>
        </w:rPr>
        <w:t>Caso Ortiz Hernández y otros Vs. Venezuela, supra</w:t>
      </w:r>
      <w:r>
        <w:rPr>
          <w:sz w:val="16"/>
          <w:szCs w:val="16"/>
          <w:lang w:val="es-CR"/>
        </w:rPr>
        <w:t>,</w:t>
      </w:r>
      <w:r>
        <w:rPr>
          <w:i/>
          <w:sz w:val="16"/>
          <w:szCs w:val="16"/>
          <w:lang w:val="es-CR"/>
        </w:rPr>
        <w:t xml:space="preserve"> </w:t>
      </w:r>
      <w:r>
        <w:rPr>
          <w:sz w:val="16"/>
          <w:szCs w:val="16"/>
          <w:lang w:val="es-CR"/>
        </w:rPr>
        <w:t>párr. 102.</w:t>
      </w:r>
    </w:p>
  </w:footnote>
  <w:footnote w:id="171">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Pr>
          <w:rFonts w:cs="Times New Roman"/>
          <w:sz w:val="16"/>
          <w:szCs w:val="16"/>
          <w:lang w:val="es-CR"/>
        </w:rPr>
        <w:t>Si bien ha habido señalamientos diversos sobre las circunstancias en que en se originaron los disparos de armas de fuego por parte de los militares, ninguna de ellas podría justificar su actuación. En cualquier caso, la sentencia interna condenatoria expresa, como hecho acreditado, que cuando los militares intentaron retirarse de la Comunidad, se toparon con miembros de la misma, y luego de “</w:t>
      </w:r>
      <w:proofErr w:type="gramStart"/>
      <w:r>
        <w:rPr>
          <w:rFonts w:cs="Times New Roman"/>
          <w:sz w:val="16"/>
          <w:szCs w:val="16"/>
          <w:lang w:val="es-CR"/>
        </w:rPr>
        <w:t>disparar[</w:t>
      </w:r>
      <w:proofErr w:type="gramEnd"/>
      <w:r>
        <w:rPr>
          <w:rFonts w:cs="Times New Roman"/>
          <w:sz w:val="16"/>
          <w:szCs w:val="16"/>
          <w:lang w:val="es-CR"/>
        </w:rPr>
        <w:t>…] a quemarropa” y matar a Juana Jacinto Felipe, continuaron disparando “indiscriminadamente” (s</w:t>
      </w:r>
      <w:r>
        <w:rPr>
          <w:sz w:val="16"/>
          <w:szCs w:val="16"/>
          <w:lang w:val="es-CR"/>
        </w:rPr>
        <w:t xml:space="preserve">entencia de 8 de julio de 2004, </w:t>
      </w:r>
      <w:r w:rsidRPr="00745BF3">
        <w:rPr>
          <w:i/>
          <w:sz w:val="16"/>
          <w:szCs w:val="16"/>
          <w:lang w:val="es-CR"/>
        </w:rPr>
        <w:t>supra</w:t>
      </w:r>
      <w:r w:rsidRPr="00745BF3">
        <w:rPr>
          <w:sz w:val="16"/>
          <w:szCs w:val="16"/>
          <w:lang w:val="es-CR"/>
        </w:rPr>
        <w:t>.</w:t>
      </w:r>
      <w:r>
        <w:rPr>
          <w:b/>
          <w:sz w:val="16"/>
          <w:szCs w:val="16"/>
          <w:lang w:val="es-CR"/>
        </w:rPr>
        <w:t xml:space="preserve"> </w:t>
      </w:r>
      <w:r>
        <w:rPr>
          <w:sz w:val="16"/>
          <w:szCs w:val="16"/>
          <w:lang w:val="es-CR"/>
        </w:rPr>
        <w:t>Cabe aclarar que, dado lo concluido, no resulta necesario examinar el argumento de los representantes sobre la falta de observancia de acuerdos sobre el retorno a Guatemala de personas que se encontraban en México (</w:t>
      </w:r>
      <w:r>
        <w:rPr>
          <w:i/>
          <w:sz w:val="16"/>
          <w:szCs w:val="16"/>
          <w:lang w:val="es-CR"/>
        </w:rPr>
        <w:t>supr</w:t>
      </w:r>
      <w:r w:rsidRPr="00913F5C">
        <w:rPr>
          <w:i/>
          <w:sz w:val="16"/>
          <w:szCs w:val="16"/>
          <w:lang w:val="es-CR"/>
        </w:rPr>
        <w:t>a</w:t>
      </w:r>
      <w:r w:rsidRPr="00913F5C">
        <w:rPr>
          <w:sz w:val="16"/>
          <w:szCs w:val="16"/>
          <w:lang w:val="es-CR"/>
        </w:rPr>
        <w:t xml:space="preserve"> nota a pie de página. 158)</w:t>
      </w:r>
      <w:r>
        <w:rPr>
          <w:sz w:val="16"/>
          <w:szCs w:val="16"/>
          <w:lang w:val="es-CR"/>
        </w:rPr>
        <w:t xml:space="preserve">. </w:t>
      </w:r>
    </w:p>
  </w:footnote>
  <w:footnote w:id="172">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sidRPr="00637508">
        <w:rPr>
          <w:sz w:val="16"/>
          <w:szCs w:val="16"/>
          <w:lang w:val="es-CR"/>
        </w:rPr>
        <w:t xml:space="preserve"> </w:t>
      </w:r>
      <w:r>
        <w:rPr>
          <w:color w:val="1A1A1A"/>
          <w:sz w:val="16"/>
          <w:szCs w:val="16"/>
          <w:lang w:val="es-ES_tradnl"/>
        </w:rPr>
        <w:t>D</w:t>
      </w:r>
      <w:r>
        <w:rPr>
          <w:rFonts w:eastAsia="Times New Roman"/>
          <w:bCs/>
          <w:color w:val="000000"/>
          <w:sz w:val="16"/>
          <w:szCs w:val="16"/>
          <w:lang w:val="es-ES_tradnl"/>
        </w:rPr>
        <w:t xml:space="preserve">e los certificados de defunciones acompañados durante el proceso, emitidos por el Registro nacional de las Personas de la República de Guatemala se advierte que las causales de muerte no evidencian, por sí mismas, relación con los hechos ocurridos el 5 de octubre de 1995 (y tampoco hay explicación suficiente al respecto por la Comisión o los representantes): 1.- Santiago </w:t>
      </w:r>
      <w:proofErr w:type="spellStart"/>
      <w:r>
        <w:rPr>
          <w:rFonts w:eastAsia="Times New Roman"/>
          <w:bCs/>
          <w:color w:val="000000"/>
          <w:sz w:val="16"/>
          <w:szCs w:val="16"/>
          <w:lang w:val="es-ES_tradnl"/>
        </w:rPr>
        <w:t>Maquin</w:t>
      </w:r>
      <w:proofErr w:type="spellEnd"/>
      <w:r>
        <w:rPr>
          <w:rFonts w:eastAsia="Times New Roman"/>
          <w:bCs/>
          <w:color w:val="000000"/>
          <w:sz w:val="16"/>
          <w:szCs w:val="16"/>
          <w:lang w:val="es-ES_tradnl"/>
        </w:rPr>
        <w:t xml:space="preserve"> falleció a los 73 años de edad, el 18 de noviembre de 2005, a causa de “meningitis”, “insuficiencia respiratoria” y “edema cerebral”</w:t>
      </w:r>
      <w:r>
        <w:rPr>
          <w:sz w:val="16"/>
          <w:szCs w:val="16"/>
          <w:lang w:val="es-ES_tradnl"/>
        </w:rPr>
        <w:t>;</w:t>
      </w:r>
      <w:r>
        <w:rPr>
          <w:rFonts w:eastAsia="Times New Roman"/>
          <w:bCs/>
          <w:color w:val="000000"/>
          <w:sz w:val="16"/>
          <w:szCs w:val="16"/>
          <w:lang w:val="es-ES_tradnl"/>
        </w:rPr>
        <w:t xml:space="preserve"> 2.-Gerardo Maldonado Sales falleció el 12 de enero de 2004, a causa de “sepsis”, “absceso periodontal” y una “hipoplasia medular”, y 3.- Rosendo Morales Ortiz falleció a los 71 años, el 8 de agosto de </w:t>
      </w:r>
      <w:r w:rsidRPr="0020708F">
        <w:rPr>
          <w:rFonts w:eastAsia="Times New Roman"/>
          <w:bCs/>
          <w:color w:val="000000"/>
          <w:sz w:val="16"/>
          <w:szCs w:val="16"/>
          <w:lang w:val="es-ES_tradnl"/>
        </w:rPr>
        <w:t>2011, a causa de “[p]</w:t>
      </w:r>
      <w:proofErr w:type="spellStart"/>
      <w:r w:rsidRPr="0020708F">
        <w:rPr>
          <w:rFonts w:eastAsia="Times New Roman"/>
          <w:bCs/>
          <w:color w:val="000000"/>
          <w:sz w:val="16"/>
          <w:szCs w:val="16"/>
          <w:lang w:val="es-ES_tradnl"/>
        </w:rPr>
        <w:t>aro</w:t>
      </w:r>
      <w:proofErr w:type="spellEnd"/>
      <w:r w:rsidRPr="0020708F">
        <w:rPr>
          <w:rFonts w:eastAsia="Times New Roman"/>
          <w:bCs/>
          <w:color w:val="000000"/>
          <w:sz w:val="16"/>
          <w:szCs w:val="16"/>
          <w:lang w:val="es-ES_tradnl"/>
        </w:rPr>
        <w:t xml:space="preserve"> cardiorrespiratorio”, “[i]</w:t>
      </w:r>
      <w:proofErr w:type="spellStart"/>
      <w:r w:rsidRPr="0020708F">
        <w:rPr>
          <w:rFonts w:eastAsia="Times New Roman"/>
          <w:bCs/>
          <w:color w:val="000000"/>
          <w:sz w:val="16"/>
          <w:szCs w:val="16"/>
          <w:lang w:val="es-ES_tradnl"/>
        </w:rPr>
        <w:t>nsuficienci</w:t>
      </w:r>
      <w:proofErr w:type="spellEnd"/>
      <w:r w:rsidRPr="0020708F">
        <w:rPr>
          <w:rFonts w:eastAsia="Times New Roman"/>
          <w:bCs/>
          <w:color w:val="000000"/>
          <w:sz w:val="16"/>
          <w:szCs w:val="16"/>
          <w:lang w:val="es-ES_tradnl"/>
        </w:rPr>
        <w:t>[a r]respiratoria” y “[a]</w:t>
      </w:r>
      <w:proofErr w:type="spellStart"/>
      <w:r w:rsidRPr="0020708F">
        <w:rPr>
          <w:rFonts w:eastAsia="Times New Roman"/>
          <w:bCs/>
          <w:color w:val="000000"/>
          <w:sz w:val="16"/>
          <w:szCs w:val="16"/>
          <w:lang w:val="es-ES_tradnl"/>
        </w:rPr>
        <w:t>rterioesclerosis</w:t>
      </w:r>
      <w:proofErr w:type="spellEnd"/>
      <w:r w:rsidRPr="0020708F">
        <w:rPr>
          <w:rFonts w:eastAsia="Times New Roman"/>
          <w:bCs/>
          <w:color w:val="000000"/>
          <w:sz w:val="16"/>
          <w:szCs w:val="16"/>
          <w:lang w:val="es-ES_tradnl"/>
        </w:rPr>
        <w:t xml:space="preserve"> –[e]</w:t>
      </w:r>
      <w:proofErr w:type="spellStart"/>
      <w:r w:rsidRPr="0020708F">
        <w:rPr>
          <w:rFonts w:eastAsia="Times New Roman"/>
          <w:bCs/>
          <w:color w:val="000000"/>
          <w:sz w:val="16"/>
          <w:szCs w:val="16"/>
          <w:lang w:val="es-ES_tradnl"/>
        </w:rPr>
        <w:t>ufema</w:t>
      </w:r>
      <w:proofErr w:type="spellEnd"/>
      <w:r w:rsidRPr="0020708F">
        <w:rPr>
          <w:rFonts w:eastAsia="Times New Roman"/>
          <w:bCs/>
          <w:color w:val="000000"/>
          <w:sz w:val="16"/>
          <w:szCs w:val="16"/>
          <w:lang w:val="es-ES_tradnl"/>
        </w:rPr>
        <w:t>” (</w:t>
      </w:r>
      <w:r w:rsidRPr="0020708F">
        <w:rPr>
          <w:rFonts w:eastAsia="Times New Roman"/>
          <w:bCs/>
          <w:i/>
          <w:color w:val="000000"/>
          <w:sz w:val="16"/>
          <w:szCs w:val="16"/>
          <w:lang w:val="es-ES_tradnl"/>
        </w:rPr>
        <w:t xml:space="preserve">cfr. </w:t>
      </w:r>
      <w:r w:rsidRPr="0020708F">
        <w:rPr>
          <w:rFonts w:eastAsia="Times New Roman"/>
          <w:bCs/>
          <w:color w:val="000000"/>
          <w:sz w:val="16"/>
          <w:szCs w:val="16"/>
          <w:lang w:val="es-ES_tradnl"/>
        </w:rPr>
        <w:t xml:space="preserve">Certificados de defunciones emitidos por el Registro nacional de las Personas de la República de Guatemala </w:t>
      </w:r>
      <w:r w:rsidRPr="0020708F">
        <w:rPr>
          <w:sz w:val="16"/>
          <w:szCs w:val="16"/>
          <w:lang w:val="es-ES_tradnl"/>
        </w:rPr>
        <w:t>(expediente de prueba,</w:t>
      </w:r>
      <w:r w:rsidRPr="0020708F">
        <w:rPr>
          <w:b/>
          <w:sz w:val="16"/>
          <w:szCs w:val="16"/>
          <w:lang w:val="es-ES_tradnl"/>
        </w:rPr>
        <w:t xml:space="preserve"> </w:t>
      </w:r>
      <w:r w:rsidRPr="0020708F">
        <w:rPr>
          <w:sz w:val="16"/>
          <w:szCs w:val="16"/>
          <w:lang w:val="es-ES_tradnl"/>
        </w:rPr>
        <w:t>anexo 1</w:t>
      </w:r>
      <w:r w:rsidRPr="0020708F">
        <w:rPr>
          <w:b/>
          <w:sz w:val="16"/>
          <w:szCs w:val="16"/>
          <w:lang w:val="es-ES_tradnl"/>
        </w:rPr>
        <w:t xml:space="preserve"> </w:t>
      </w:r>
      <w:r w:rsidRPr="0020708F">
        <w:rPr>
          <w:sz w:val="16"/>
          <w:szCs w:val="16"/>
          <w:lang w:val="es-ES_tradnl"/>
        </w:rPr>
        <w:t>al escrito de solicitudes y argumentos, folios 5176, 5181 y 5182, y 5234)</w:t>
      </w:r>
      <w:r w:rsidRPr="0020708F">
        <w:rPr>
          <w:b/>
          <w:sz w:val="16"/>
          <w:szCs w:val="16"/>
          <w:lang w:val="es-ES_tradnl"/>
        </w:rPr>
        <w:t>.</w:t>
      </w:r>
      <w:r w:rsidRPr="0020708F">
        <w:rPr>
          <w:rFonts w:eastAsia="Times New Roman"/>
          <w:bCs/>
          <w:color w:val="000000"/>
          <w:sz w:val="16"/>
          <w:szCs w:val="16"/>
          <w:lang w:val="es-ES_tradnl"/>
        </w:rPr>
        <w:t xml:space="preserve"> </w:t>
      </w:r>
    </w:p>
  </w:footnote>
  <w:footnote w:id="173">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sidRPr="009F258B">
        <w:rPr>
          <w:i/>
          <w:sz w:val="16"/>
          <w:szCs w:val="16"/>
          <w:lang w:val="es-CR"/>
        </w:rPr>
        <w:t>Cfr.</w:t>
      </w:r>
      <w:r>
        <w:rPr>
          <w:sz w:val="16"/>
          <w:szCs w:val="16"/>
          <w:lang w:val="es-CR"/>
        </w:rPr>
        <w:t xml:space="preserve"> </w:t>
      </w:r>
      <w:r>
        <w:rPr>
          <w:i/>
          <w:sz w:val="16"/>
          <w:szCs w:val="16"/>
          <w:lang w:val="es-CR"/>
        </w:rPr>
        <w:t>Caso de la Masacre de Pueblo Bello Vs. Colombia, supra</w:t>
      </w:r>
      <w:r>
        <w:rPr>
          <w:sz w:val="16"/>
          <w:szCs w:val="16"/>
          <w:lang w:val="es-CR"/>
        </w:rPr>
        <w:t xml:space="preserve">, párr. 111, y </w:t>
      </w:r>
      <w:r>
        <w:rPr>
          <w:i/>
          <w:sz w:val="16"/>
          <w:szCs w:val="16"/>
          <w:lang w:val="es-CR"/>
        </w:rPr>
        <w:t>Caso Defensor de Derechos Humanos y otros Vs. Guatemala. Excepciones Preliminares, Fondo, Reparaciones y Costas</w:t>
      </w:r>
      <w:r>
        <w:rPr>
          <w:sz w:val="16"/>
          <w:szCs w:val="16"/>
          <w:lang w:val="es-CR"/>
        </w:rPr>
        <w:t xml:space="preserve">. </w:t>
      </w:r>
      <w:r>
        <w:rPr>
          <w:bCs/>
          <w:sz w:val="16"/>
          <w:szCs w:val="16"/>
          <w:lang w:val="es-CR"/>
        </w:rPr>
        <w:t>Sentencia de 28 de agosto de 2014. Serie C No. 283, párr. 141.</w:t>
      </w:r>
    </w:p>
  </w:footnote>
  <w:footnote w:id="174">
    <w:p w:rsidR="00785921" w:rsidRPr="00467331" w:rsidRDefault="00785921" w:rsidP="00126E97">
      <w:pPr>
        <w:pStyle w:val="FootnoteText"/>
        <w:tabs>
          <w:tab w:val="left" w:pos="708"/>
          <w:tab w:val="left" w:pos="1416"/>
          <w:tab w:val="left" w:pos="2124"/>
          <w:tab w:val="left" w:pos="2832"/>
          <w:tab w:val="left" w:pos="7142"/>
        </w:tabs>
        <w:spacing w:line="20" w:lineRule="atLeast"/>
        <w:rPr>
          <w:sz w:val="16"/>
          <w:szCs w:val="16"/>
          <w:lang w:val="es-CR"/>
        </w:rPr>
      </w:pPr>
      <w:r w:rsidRPr="00467331">
        <w:rPr>
          <w:rStyle w:val="FootnoteReference"/>
          <w:sz w:val="16"/>
          <w:szCs w:val="16"/>
        </w:rPr>
        <w:footnoteRef/>
      </w:r>
      <w:r w:rsidRPr="00467331">
        <w:rPr>
          <w:sz w:val="16"/>
          <w:szCs w:val="16"/>
          <w:lang w:val="es-CR"/>
        </w:rPr>
        <w:t xml:space="preserve"> </w:t>
      </w:r>
      <w:r w:rsidRPr="00467331">
        <w:rPr>
          <w:rFonts w:cs="Times New Roman"/>
          <w:sz w:val="16"/>
          <w:szCs w:val="16"/>
          <w:lang w:val="es-CR"/>
        </w:rPr>
        <w:t xml:space="preserve">CEH, </w:t>
      </w:r>
      <w:r w:rsidRPr="00467331">
        <w:rPr>
          <w:sz w:val="16"/>
          <w:szCs w:val="16"/>
          <w:lang w:val="es-CR"/>
        </w:rPr>
        <w:t xml:space="preserve">Guatemala: Memoria del Silencio, </w:t>
      </w:r>
      <w:r w:rsidRPr="00467331">
        <w:rPr>
          <w:i/>
          <w:sz w:val="16"/>
          <w:szCs w:val="16"/>
          <w:lang w:val="es-CR"/>
        </w:rPr>
        <w:t>supra</w:t>
      </w:r>
      <w:r w:rsidRPr="00467331">
        <w:rPr>
          <w:sz w:val="16"/>
          <w:szCs w:val="16"/>
          <w:lang w:val="es-CR"/>
        </w:rPr>
        <w:t>, Tomo III. Las violaciones de los derechos humanos y los hechos de violencia</w:t>
      </w:r>
      <w:r w:rsidRPr="00467331">
        <w:rPr>
          <w:rFonts w:cs="Times New Roman"/>
          <w:sz w:val="16"/>
          <w:szCs w:val="16"/>
          <w:lang w:val="es-CR"/>
        </w:rPr>
        <w:t>, pág. 79.</w:t>
      </w:r>
    </w:p>
  </w:footnote>
  <w:footnote w:id="175">
    <w:p w:rsidR="00785921" w:rsidRPr="00467331" w:rsidRDefault="00785921" w:rsidP="00126E97">
      <w:pPr>
        <w:pStyle w:val="FootnoteText"/>
        <w:spacing w:line="20" w:lineRule="atLeast"/>
        <w:rPr>
          <w:sz w:val="16"/>
          <w:szCs w:val="16"/>
          <w:lang w:val="es-CR"/>
        </w:rPr>
      </w:pPr>
      <w:r w:rsidRPr="00467331">
        <w:rPr>
          <w:rStyle w:val="FootnoteReference"/>
          <w:sz w:val="16"/>
          <w:szCs w:val="16"/>
        </w:rPr>
        <w:footnoteRef/>
      </w:r>
      <w:r w:rsidRPr="00467331">
        <w:rPr>
          <w:sz w:val="16"/>
          <w:szCs w:val="16"/>
          <w:lang w:val="es-CR"/>
        </w:rPr>
        <w:t xml:space="preserve"> </w:t>
      </w:r>
      <w:r w:rsidRPr="009F258B">
        <w:rPr>
          <w:i/>
          <w:sz w:val="16"/>
          <w:szCs w:val="16"/>
          <w:lang w:val="es-CR"/>
        </w:rPr>
        <w:t>Cfr.</w:t>
      </w:r>
      <w:r>
        <w:rPr>
          <w:sz w:val="16"/>
          <w:szCs w:val="16"/>
          <w:lang w:val="es-CR"/>
        </w:rPr>
        <w:t xml:space="preserve"> </w:t>
      </w:r>
      <w:r w:rsidRPr="00467331">
        <w:rPr>
          <w:bCs/>
          <w:i/>
          <w:sz w:val="16"/>
          <w:szCs w:val="16"/>
          <w:lang w:val="es-CR"/>
        </w:rPr>
        <w:t xml:space="preserve">Caso Vargas </w:t>
      </w:r>
      <w:proofErr w:type="spellStart"/>
      <w:r w:rsidRPr="00467331">
        <w:rPr>
          <w:bCs/>
          <w:i/>
          <w:sz w:val="16"/>
          <w:szCs w:val="16"/>
          <w:lang w:val="es-CR"/>
        </w:rPr>
        <w:t>Areco</w:t>
      </w:r>
      <w:proofErr w:type="spellEnd"/>
      <w:r w:rsidRPr="00467331">
        <w:rPr>
          <w:bCs/>
          <w:i/>
          <w:sz w:val="16"/>
          <w:szCs w:val="16"/>
          <w:lang w:val="es-CR"/>
        </w:rPr>
        <w:t xml:space="preserve"> Vs. Paraguay</w:t>
      </w:r>
      <w:r>
        <w:rPr>
          <w:bCs/>
          <w:i/>
          <w:sz w:val="16"/>
          <w:szCs w:val="16"/>
          <w:lang w:val="es-CR"/>
        </w:rPr>
        <w:t>, supra</w:t>
      </w:r>
      <w:r w:rsidRPr="00467331">
        <w:rPr>
          <w:bCs/>
          <w:sz w:val="16"/>
          <w:szCs w:val="16"/>
          <w:lang w:val="es-CR"/>
        </w:rPr>
        <w:t>, párr. 144. Ver también los párrafos 111 a 134 de esa Sentencia.</w:t>
      </w:r>
    </w:p>
  </w:footnote>
  <w:footnote w:id="176">
    <w:p w:rsidR="00785921" w:rsidRPr="00467331" w:rsidRDefault="00785921" w:rsidP="00126E97">
      <w:pPr>
        <w:pStyle w:val="FootnoteText"/>
        <w:spacing w:line="20" w:lineRule="atLeast"/>
        <w:rPr>
          <w:sz w:val="16"/>
          <w:szCs w:val="16"/>
          <w:lang w:val="es-CR"/>
        </w:rPr>
      </w:pPr>
      <w:r w:rsidRPr="00467331">
        <w:rPr>
          <w:rStyle w:val="FootnoteReference"/>
          <w:sz w:val="16"/>
          <w:szCs w:val="16"/>
        </w:rPr>
        <w:footnoteRef/>
      </w:r>
      <w:r w:rsidRPr="00467331">
        <w:rPr>
          <w:sz w:val="16"/>
          <w:szCs w:val="16"/>
          <w:lang w:val="es-CR"/>
        </w:rPr>
        <w:t xml:space="preserve"> </w:t>
      </w:r>
      <w:r w:rsidRPr="00467331">
        <w:rPr>
          <w:i/>
          <w:sz w:val="16"/>
          <w:szCs w:val="16"/>
          <w:lang w:val="es-CR"/>
        </w:rPr>
        <w:t>Condición Jurídica y Derechos Humanos del Niño</w:t>
      </w:r>
      <w:r w:rsidRPr="00467331">
        <w:rPr>
          <w:sz w:val="16"/>
          <w:szCs w:val="16"/>
          <w:lang w:val="es-CR"/>
        </w:rPr>
        <w:t>. Opinión Consultiva OC-17/02 del 28 de</w:t>
      </w:r>
      <w:r>
        <w:rPr>
          <w:sz w:val="16"/>
          <w:szCs w:val="16"/>
          <w:lang w:val="es-CR"/>
        </w:rPr>
        <w:t xml:space="preserve"> agosto de 2002. Serie A No. 17, y </w:t>
      </w:r>
      <w:r w:rsidRPr="00637508">
        <w:rPr>
          <w:bCs/>
          <w:i/>
          <w:sz w:val="16"/>
          <w:szCs w:val="16"/>
          <w:lang w:val="es-CR"/>
        </w:rPr>
        <w:t>Caso Trabajadores de la H</w:t>
      </w:r>
      <w:r>
        <w:rPr>
          <w:bCs/>
          <w:i/>
          <w:sz w:val="16"/>
          <w:szCs w:val="16"/>
          <w:lang w:val="es-CR"/>
        </w:rPr>
        <w:t xml:space="preserve">acienda Brasil Verde Vs. Brasil, supra, </w:t>
      </w:r>
      <w:r>
        <w:rPr>
          <w:bCs/>
          <w:sz w:val="16"/>
          <w:szCs w:val="16"/>
          <w:lang w:val="es-CR"/>
        </w:rPr>
        <w:t>párr. 407</w:t>
      </w:r>
      <w:r w:rsidRPr="00637508">
        <w:rPr>
          <w:bCs/>
          <w:i/>
          <w:sz w:val="16"/>
          <w:szCs w:val="16"/>
          <w:lang w:val="es-CR"/>
        </w:rPr>
        <w:t>.</w:t>
      </w:r>
    </w:p>
  </w:footnote>
  <w:footnote w:id="177">
    <w:p w:rsidR="00785921" w:rsidRPr="00467331" w:rsidRDefault="00785921" w:rsidP="00126E97">
      <w:pPr>
        <w:pStyle w:val="FootnoteText"/>
        <w:spacing w:line="20" w:lineRule="atLeast"/>
        <w:rPr>
          <w:bCs/>
          <w:i/>
          <w:color w:val="000000"/>
          <w:sz w:val="16"/>
          <w:szCs w:val="16"/>
          <w:shd w:val="clear" w:color="auto" w:fill="FFFFFF"/>
          <w:lang w:val="es-ES_tradnl"/>
        </w:rPr>
      </w:pPr>
      <w:r w:rsidRPr="00467331">
        <w:rPr>
          <w:rStyle w:val="FootnoteReference"/>
          <w:sz w:val="16"/>
          <w:szCs w:val="16"/>
        </w:rPr>
        <w:footnoteRef/>
      </w:r>
      <w:r w:rsidRPr="00467331">
        <w:rPr>
          <w:sz w:val="16"/>
          <w:szCs w:val="16"/>
          <w:lang w:val="es-CR"/>
        </w:rPr>
        <w:t xml:space="preserve"> </w:t>
      </w:r>
      <w:r w:rsidRPr="00467331">
        <w:rPr>
          <w:bCs/>
          <w:i/>
          <w:sz w:val="16"/>
          <w:szCs w:val="16"/>
          <w:lang w:val="es-ES"/>
        </w:rPr>
        <w:t xml:space="preserve">Caso de la "Masacre de </w:t>
      </w:r>
      <w:proofErr w:type="spellStart"/>
      <w:r w:rsidRPr="00467331">
        <w:rPr>
          <w:bCs/>
          <w:i/>
          <w:sz w:val="16"/>
          <w:szCs w:val="16"/>
          <w:lang w:val="es-ES"/>
        </w:rPr>
        <w:t>Mapiripán</w:t>
      </w:r>
      <w:proofErr w:type="spellEnd"/>
      <w:r w:rsidRPr="00467331">
        <w:rPr>
          <w:bCs/>
          <w:i/>
          <w:sz w:val="16"/>
          <w:szCs w:val="16"/>
          <w:lang w:val="es-ES"/>
        </w:rPr>
        <w:t>" Vs. Colombia</w:t>
      </w:r>
      <w:r>
        <w:rPr>
          <w:bCs/>
          <w:sz w:val="16"/>
          <w:szCs w:val="16"/>
          <w:lang w:val="es-ES"/>
        </w:rPr>
        <w:t xml:space="preserve">, </w:t>
      </w:r>
      <w:r w:rsidRPr="007335F2">
        <w:rPr>
          <w:bCs/>
          <w:i/>
          <w:sz w:val="16"/>
          <w:szCs w:val="16"/>
          <w:lang w:val="es-ES"/>
        </w:rPr>
        <w:t>supra</w:t>
      </w:r>
      <w:r>
        <w:rPr>
          <w:bCs/>
          <w:i/>
          <w:sz w:val="16"/>
          <w:szCs w:val="16"/>
          <w:lang w:val="es-ES"/>
        </w:rPr>
        <w:t>,</w:t>
      </w:r>
      <w:r w:rsidRPr="00467331">
        <w:rPr>
          <w:bCs/>
          <w:sz w:val="16"/>
          <w:szCs w:val="16"/>
          <w:lang w:val="es-ES"/>
        </w:rPr>
        <w:t xml:space="preserve"> </w:t>
      </w:r>
      <w:r w:rsidRPr="00467331">
        <w:rPr>
          <w:sz w:val="16"/>
          <w:szCs w:val="16"/>
          <w:lang w:val="es-ES_tradnl"/>
        </w:rPr>
        <w:t>párr. 156</w:t>
      </w:r>
      <w:r w:rsidRPr="00467331">
        <w:rPr>
          <w:sz w:val="16"/>
          <w:szCs w:val="16"/>
          <w:lang w:val="es-CR"/>
        </w:rPr>
        <w:t xml:space="preserve">, y </w:t>
      </w:r>
      <w:r w:rsidRPr="00467331">
        <w:rPr>
          <w:i/>
          <w:sz w:val="16"/>
          <w:szCs w:val="16"/>
          <w:lang w:val="es-CR"/>
        </w:rPr>
        <w:t>Caso de las Comunidades Afrodescendientes Desplazadas de la Cuenca del Rio Cacarica (Operación Génesis) Vs. Colombia</w:t>
      </w:r>
      <w:r>
        <w:rPr>
          <w:i/>
          <w:sz w:val="16"/>
          <w:szCs w:val="16"/>
          <w:lang w:val="es-CR"/>
        </w:rPr>
        <w:t>, supra</w:t>
      </w:r>
      <w:r w:rsidRPr="00467331">
        <w:rPr>
          <w:sz w:val="16"/>
          <w:szCs w:val="16"/>
          <w:lang w:val="es-CR"/>
        </w:rPr>
        <w:t>, párr. 327.</w:t>
      </w:r>
    </w:p>
  </w:footnote>
  <w:footnote w:id="178">
    <w:p w:rsidR="00785921" w:rsidRPr="00467331" w:rsidRDefault="00785921" w:rsidP="00126E97">
      <w:pPr>
        <w:pStyle w:val="FootnoteText"/>
        <w:spacing w:line="20" w:lineRule="atLeast"/>
        <w:rPr>
          <w:sz w:val="16"/>
          <w:szCs w:val="16"/>
          <w:lang w:val="es-CR"/>
        </w:rPr>
      </w:pPr>
      <w:r w:rsidRPr="00467331">
        <w:rPr>
          <w:rStyle w:val="FootnoteReference"/>
          <w:sz w:val="16"/>
          <w:szCs w:val="16"/>
        </w:rPr>
        <w:footnoteRef/>
      </w:r>
      <w:r w:rsidRPr="00467331">
        <w:rPr>
          <w:sz w:val="16"/>
          <w:szCs w:val="16"/>
          <w:lang w:val="es-CR"/>
        </w:rPr>
        <w:t xml:space="preserve"> Ello, sin perjuicio de lo señalado sobre la falta de alegatos respecto al derecho internacional humanitario (</w:t>
      </w:r>
      <w:r w:rsidRPr="00467331">
        <w:rPr>
          <w:i/>
          <w:sz w:val="16"/>
          <w:szCs w:val="16"/>
          <w:lang w:val="es-CR"/>
        </w:rPr>
        <w:t>supra</w:t>
      </w:r>
      <w:r w:rsidRPr="00467331">
        <w:rPr>
          <w:sz w:val="16"/>
          <w:szCs w:val="16"/>
          <w:lang w:val="es-CR"/>
        </w:rPr>
        <w:t xml:space="preserve"> nota a pie de página 1</w:t>
      </w:r>
      <w:r>
        <w:rPr>
          <w:sz w:val="16"/>
          <w:szCs w:val="16"/>
          <w:lang w:val="es-CR"/>
        </w:rPr>
        <w:t>63</w:t>
      </w:r>
      <w:r w:rsidRPr="00467331">
        <w:rPr>
          <w:sz w:val="16"/>
          <w:szCs w:val="16"/>
          <w:lang w:val="es-CR"/>
        </w:rPr>
        <w:t>).</w:t>
      </w:r>
    </w:p>
  </w:footnote>
  <w:footnote w:id="179">
    <w:p w:rsidR="00785921" w:rsidRPr="008955DB" w:rsidRDefault="00785921" w:rsidP="00126E97">
      <w:pPr>
        <w:pStyle w:val="FootnoteText"/>
        <w:spacing w:line="20" w:lineRule="atLeast"/>
        <w:rPr>
          <w:rFonts w:cs="Times New Roman"/>
          <w:sz w:val="16"/>
          <w:szCs w:val="16"/>
          <w:lang w:val="es-ES_tradnl"/>
        </w:rPr>
      </w:pPr>
      <w:r w:rsidRPr="00467331">
        <w:rPr>
          <w:rStyle w:val="FootnoteReference"/>
          <w:sz w:val="16"/>
          <w:szCs w:val="16"/>
          <w:lang w:eastAsia="x-none"/>
        </w:rPr>
        <w:footnoteRef/>
      </w:r>
      <w:r w:rsidRPr="00467331">
        <w:rPr>
          <w:sz w:val="16"/>
          <w:szCs w:val="16"/>
          <w:lang w:val="es-ES_tradnl"/>
        </w:rPr>
        <w:t xml:space="preserve"> En audiencia pública de 9 de febrero de 2018, el Estado indicó: “</w:t>
      </w:r>
      <w:r w:rsidRPr="00467331">
        <w:rPr>
          <w:rFonts w:eastAsia="Times New Roman" w:cs="Times New Roman"/>
          <w:sz w:val="16"/>
          <w:szCs w:val="16"/>
          <w:lang w:val="es-ES_tradnl"/>
        </w:rPr>
        <w:t xml:space="preserve">la mayoría de los </w:t>
      </w:r>
      <w:r w:rsidRPr="00467331">
        <w:rPr>
          <w:rFonts w:eastAsia="Times New Roman" w:cs="Times New Roman"/>
          <w:w w:val="110"/>
          <w:sz w:val="16"/>
          <w:szCs w:val="16"/>
          <w:lang w:val="es-ES_tradnl"/>
        </w:rPr>
        <w:t xml:space="preserve">soldados condenados eran </w:t>
      </w:r>
      <w:proofErr w:type="spellStart"/>
      <w:r w:rsidRPr="00467331">
        <w:rPr>
          <w:rFonts w:eastAsia="Times New Roman" w:cs="Times New Roman"/>
          <w:sz w:val="16"/>
          <w:szCs w:val="16"/>
          <w:lang w:val="es-ES_tradnl"/>
        </w:rPr>
        <w:t>q'eqchís</w:t>
      </w:r>
      <w:proofErr w:type="spellEnd"/>
      <w:r w:rsidRPr="00467331">
        <w:rPr>
          <w:rFonts w:eastAsia="Times New Roman" w:cs="Times New Roman"/>
          <w:sz w:val="16"/>
          <w:szCs w:val="16"/>
          <w:lang w:val="es-ES_tradnl"/>
        </w:rPr>
        <w:t xml:space="preserve">, es decir, </w:t>
      </w:r>
      <w:r w:rsidRPr="00467331">
        <w:rPr>
          <w:rFonts w:eastAsia="Times New Roman" w:cs="Times New Roman"/>
          <w:w w:val="109"/>
          <w:sz w:val="16"/>
          <w:szCs w:val="16"/>
          <w:lang w:val="es-ES_tradnl"/>
        </w:rPr>
        <w:t xml:space="preserve">pertenecientes </w:t>
      </w:r>
      <w:r w:rsidRPr="00467331">
        <w:rPr>
          <w:rFonts w:eastAsia="Times New Roman" w:cs="Times New Roman"/>
          <w:sz w:val="16"/>
          <w:szCs w:val="16"/>
          <w:lang w:val="es-ES_tradnl"/>
        </w:rPr>
        <w:t xml:space="preserve">a la misma etnia indígena </w:t>
      </w:r>
      <w:r w:rsidRPr="00467331">
        <w:rPr>
          <w:rFonts w:eastAsia="Times New Roman" w:cs="Times New Roman"/>
          <w:w w:val="102"/>
          <w:sz w:val="16"/>
          <w:szCs w:val="16"/>
          <w:lang w:val="es-ES_tradnl"/>
        </w:rPr>
        <w:t xml:space="preserve">maya </w:t>
      </w:r>
      <w:r w:rsidRPr="00467331">
        <w:rPr>
          <w:rFonts w:eastAsia="Times New Roman" w:cs="Times New Roman"/>
          <w:w w:val="107"/>
          <w:sz w:val="16"/>
          <w:szCs w:val="16"/>
          <w:lang w:val="es-ES_tradnl"/>
        </w:rPr>
        <w:t xml:space="preserve">prevaleciente </w:t>
      </w:r>
      <w:r w:rsidRPr="00467331">
        <w:rPr>
          <w:rFonts w:eastAsia="Times New Roman" w:cs="Times New Roman"/>
          <w:sz w:val="16"/>
          <w:szCs w:val="16"/>
          <w:lang w:val="es-ES_tradnl"/>
        </w:rPr>
        <w:t>en la Comunidad […]”</w:t>
      </w:r>
      <w:r w:rsidRPr="00467331">
        <w:rPr>
          <w:sz w:val="16"/>
          <w:szCs w:val="16"/>
          <w:lang w:val="es-ES_tradnl"/>
        </w:rPr>
        <w:t>.</w:t>
      </w:r>
      <w:r w:rsidRPr="00467331">
        <w:rPr>
          <w:b/>
          <w:sz w:val="16"/>
          <w:szCs w:val="16"/>
          <w:lang w:val="es-ES_tradnl"/>
        </w:rPr>
        <w:t xml:space="preserve"> </w:t>
      </w:r>
      <w:r w:rsidRPr="00467331">
        <w:rPr>
          <w:sz w:val="16"/>
          <w:szCs w:val="16"/>
          <w:lang w:val="es-ES_tradnl"/>
        </w:rPr>
        <w:t>En el mismo sentido se pronuncia en sus alegatos finales por escrito.</w:t>
      </w:r>
      <w:r w:rsidRPr="008955DB">
        <w:rPr>
          <w:rFonts w:cs="Times New Roman"/>
          <w:sz w:val="16"/>
          <w:szCs w:val="16"/>
          <w:lang w:val="es-ES_tradnl"/>
        </w:rPr>
        <w:t xml:space="preserve"> </w:t>
      </w:r>
    </w:p>
  </w:footnote>
  <w:footnote w:id="180">
    <w:p w:rsidR="00785921" w:rsidRPr="00467331" w:rsidRDefault="00785921" w:rsidP="00126E97">
      <w:pPr>
        <w:pStyle w:val="FootnoteText"/>
        <w:spacing w:line="20" w:lineRule="atLeast"/>
        <w:rPr>
          <w:b/>
          <w:sz w:val="16"/>
          <w:szCs w:val="16"/>
          <w:lang w:val="es-CR"/>
        </w:rPr>
      </w:pPr>
      <w:r w:rsidRPr="00467331">
        <w:rPr>
          <w:rStyle w:val="FootnoteReference"/>
          <w:sz w:val="16"/>
          <w:szCs w:val="16"/>
        </w:rPr>
        <w:footnoteRef/>
      </w:r>
      <w:r w:rsidRPr="00467331">
        <w:rPr>
          <w:sz w:val="16"/>
          <w:szCs w:val="16"/>
          <w:lang w:val="es-CR"/>
        </w:rPr>
        <w:t xml:space="preserve"> </w:t>
      </w:r>
      <w:r w:rsidRPr="00467331">
        <w:rPr>
          <w:rStyle w:val="Strong"/>
          <w:b w:val="0"/>
          <w:i/>
          <w:sz w:val="16"/>
          <w:szCs w:val="16"/>
          <w:lang w:val="es-CR"/>
        </w:rPr>
        <w:t xml:space="preserve">Caso Miembros de la Aldea </w:t>
      </w:r>
      <w:proofErr w:type="spellStart"/>
      <w:r w:rsidRPr="00467331">
        <w:rPr>
          <w:rStyle w:val="Strong"/>
          <w:b w:val="0"/>
          <w:i/>
          <w:sz w:val="16"/>
          <w:szCs w:val="16"/>
          <w:lang w:val="es-CR"/>
        </w:rPr>
        <w:t>Chichupac</w:t>
      </w:r>
      <w:proofErr w:type="spellEnd"/>
      <w:r w:rsidRPr="00467331">
        <w:rPr>
          <w:rStyle w:val="Strong"/>
          <w:b w:val="0"/>
          <w:i/>
          <w:sz w:val="16"/>
          <w:szCs w:val="16"/>
          <w:lang w:val="es-CR"/>
        </w:rPr>
        <w:t xml:space="preserve"> y comunidades vecinas del Municipio de Rabinal Vs. Guatemala</w:t>
      </w:r>
      <w:r>
        <w:rPr>
          <w:rStyle w:val="Strong"/>
          <w:b w:val="0"/>
          <w:i/>
          <w:sz w:val="16"/>
          <w:szCs w:val="16"/>
          <w:lang w:val="es-CR"/>
        </w:rPr>
        <w:t>, supra</w:t>
      </w:r>
      <w:r w:rsidRPr="00467331">
        <w:rPr>
          <w:rStyle w:val="Strong"/>
          <w:b w:val="0"/>
          <w:sz w:val="16"/>
          <w:szCs w:val="16"/>
          <w:lang w:val="es-CR"/>
        </w:rPr>
        <w:t>, párr. 251.</w:t>
      </w:r>
    </w:p>
  </w:footnote>
  <w:footnote w:id="181">
    <w:p w:rsidR="00785921" w:rsidRPr="002C31F6" w:rsidRDefault="00785921" w:rsidP="00126E97">
      <w:pPr>
        <w:pStyle w:val="FootnoteText"/>
        <w:spacing w:line="20" w:lineRule="atLeast"/>
        <w:rPr>
          <w:sz w:val="16"/>
          <w:szCs w:val="16"/>
          <w:lang w:val="es-CR"/>
        </w:rPr>
      </w:pPr>
      <w:r w:rsidRPr="002C31F6">
        <w:rPr>
          <w:rStyle w:val="FootnoteReference"/>
          <w:sz w:val="16"/>
          <w:szCs w:val="16"/>
        </w:rPr>
        <w:footnoteRef/>
      </w:r>
      <w:r w:rsidRPr="002C31F6">
        <w:rPr>
          <w:sz w:val="16"/>
          <w:szCs w:val="16"/>
          <w:lang w:val="es-CR"/>
        </w:rPr>
        <w:t xml:space="preserve"> CEH, </w:t>
      </w:r>
      <w:r>
        <w:rPr>
          <w:sz w:val="16"/>
          <w:szCs w:val="16"/>
          <w:lang w:val="es-CR"/>
        </w:rPr>
        <w:t xml:space="preserve">Guatemala: Memoria del Silencio, </w:t>
      </w:r>
      <w:r w:rsidRPr="00676759">
        <w:rPr>
          <w:i/>
          <w:sz w:val="16"/>
          <w:szCs w:val="16"/>
          <w:lang w:val="es-CR"/>
        </w:rPr>
        <w:t>supra</w:t>
      </w:r>
      <w:r>
        <w:rPr>
          <w:sz w:val="16"/>
          <w:szCs w:val="16"/>
          <w:lang w:val="es-CR"/>
        </w:rPr>
        <w:t xml:space="preserve">, </w:t>
      </w:r>
      <w:r w:rsidRPr="002C31F6">
        <w:rPr>
          <w:sz w:val="16"/>
          <w:szCs w:val="16"/>
          <w:lang w:val="es-CR"/>
        </w:rPr>
        <w:t xml:space="preserve">Caso Ilustrativo No. 3, Masacre de </w:t>
      </w:r>
      <w:proofErr w:type="spellStart"/>
      <w:r w:rsidRPr="002C31F6">
        <w:rPr>
          <w:sz w:val="16"/>
          <w:szCs w:val="16"/>
          <w:lang w:val="es-CR"/>
        </w:rPr>
        <w:t>Xamán</w:t>
      </w:r>
      <w:proofErr w:type="spellEnd"/>
      <w:r w:rsidRPr="002C31F6">
        <w:rPr>
          <w:sz w:val="16"/>
          <w:szCs w:val="16"/>
          <w:lang w:val="es-CR"/>
        </w:rPr>
        <w:t>, pág. 43. Al respecto, es pertinente destacar que, como se ha indicado, el Estado, en el litigio del presente caso, se ha manifestado a favor de considerar las determinaciones de la CEH (</w:t>
      </w:r>
      <w:r w:rsidRPr="002C31F6">
        <w:rPr>
          <w:i/>
          <w:sz w:val="16"/>
          <w:szCs w:val="16"/>
          <w:lang w:val="es-CR"/>
        </w:rPr>
        <w:t>supra</w:t>
      </w:r>
      <w:r w:rsidRPr="002C31F6">
        <w:rPr>
          <w:sz w:val="16"/>
          <w:szCs w:val="16"/>
          <w:lang w:val="es-CR"/>
        </w:rPr>
        <w:t xml:space="preserve"> </w:t>
      </w:r>
      <w:r>
        <w:rPr>
          <w:sz w:val="16"/>
          <w:szCs w:val="16"/>
          <w:lang w:val="es-CR"/>
        </w:rPr>
        <w:t>párr.26</w:t>
      </w:r>
      <w:r w:rsidRPr="002C31F6">
        <w:rPr>
          <w:sz w:val="16"/>
          <w:szCs w:val="16"/>
          <w:lang w:val="es-CR"/>
        </w:rPr>
        <w:t xml:space="preserve">). </w:t>
      </w:r>
    </w:p>
  </w:footnote>
  <w:footnote w:id="182">
    <w:p w:rsidR="00785921" w:rsidRPr="002C31F6" w:rsidRDefault="00785921" w:rsidP="00126E97">
      <w:pPr>
        <w:pStyle w:val="FootnoteText"/>
        <w:spacing w:line="20" w:lineRule="atLeast"/>
        <w:rPr>
          <w:sz w:val="16"/>
          <w:szCs w:val="16"/>
          <w:lang w:val="es-CR"/>
        </w:rPr>
      </w:pPr>
      <w:r w:rsidRPr="002C31F6">
        <w:rPr>
          <w:rStyle w:val="FootnoteReference"/>
          <w:sz w:val="16"/>
          <w:szCs w:val="16"/>
        </w:rPr>
        <w:footnoteRef/>
      </w:r>
      <w:r>
        <w:rPr>
          <w:sz w:val="16"/>
          <w:szCs w:val="16"/>
          <w:lang w:val="es-CR"/>
        </w:rPr>
        <w:t xml:space="preserve"> Declaración de la perita Claudia Virginia Samayoa Pineda mediante afidávit (e</w:t>
      </w:r>
      <w:r w:rsidRPr="002C31F6">
        <w:rPr>
          <w:sz w:val="16"/>
          <w:szCs w:val="16"/>
          <w:lang w:val="es-CR"/>
        </w:rPr>
        <w:t>xpediente de fondo, f</w:t>
      </w:r>
      <w:r>
        <w:rPr>
          <w:sz w:val="16"/>
          <w:szCs w:val="16"/>
          <w:lang w:val="es-CR"/>
        </w:rPr>
        <w:t>olio</w:t>
      </w:r>
      <w:r w:rsidRPr="002C31F6">
        <w:rPr>
          <w:sz w:val="16"/>
          <w:szCs w:val="16"/>
          <w:lang w:val="es-CR"/>
        </w:rPr>
        <w:t>s 661 a 679</w:t>
      </w:r>
      <w:r>
        <w:rPr>
          <w:sz w:val="16"/>
          <w:szCs w:val="16"/>
          <w:lang w:val="es-CR"/>
        </w:rPr>
        <w:t>).</w:t>
      </w:r>
      <w:r w:rsidRPr="002C31F6">
        <w:rPr>
          <w:sz w:val="16"/>
          <w:szCs w:val="16"/>
          <w:lang w:val="es-CR"/>
        </w:rPr>
        <w:t xml:space="preserve"> </w:t>
      </w:r>
    </w:p>
  </w:footnote>
  <w:footnote w:id="183">
    <w:p w:rsidR="00785921" w:rsidRPr="00FE7D3F" w:rsidRDefault="00785921" w:rsidP="00126E97">
      <w:pPr>
        <w:spacing w:after="0" w:line="20" w:lineRule="atLeast"/>
        <w:jc w:val="both"/>
        <w:rPr>
          <w:rFonts w:ascii="Verdana" w:hAnsi="Verdana"/>
          <w:sz w:val="16"/>
          <w:szCs w:val="16"/>
          <w:highlight w:val="lightGray"/>
          <w:lang w:val="es-CR"/>
        </w:rPr>
      </w:pPr>
      <w:r w:rsidRPr="00F64E8C">
        <w:rPr>
          <w:rStyle w:val="FootnoteReference"/>
          <w:rFonts w:ascii="Verdana" w:eastAsia="Batang" w:hAnsi="Verdana"/>
          <w:sz w:val="16"/>
          <w:szCs w:val="16"/>
          <w:lang w:eastAsia="es-CR"/>
        </w:rPr>
        <w:footnoteRef/>
      </w:r>
      <w:r w:rsidRPr="00F64E8C">
        <w:rPr>
          <w:rFonts w:ascii="Verdana" w:hAnsi="Verdana"/>
          <w:sz w:val="16"/>
          <w:szCs w:val="16"/>
          <w:lang w:val="es-CR"/>
        </w:rPr>
        <w:t xml:space="preserve"> </w:t>
      </w:r>
      <w:r w:rsidRPr="00F64E8C">
        <w:rPr>
          <w:rFonts w:ascii="Verdana" w:hAnsi="Verdana"/>
          <w:sz w:val="16"/>
          <w:szCs w:val="16"/>
        </w:rPr>
        <w:t xml:space="preserve">La Comisión se refirió, además de las personas distintas a Eulalia Antonio nombradas en el Anexo B.5 </w:t>
      </w:r>
      <w:r>
        <w:rPr>
          <w:rFonts w:ascii="Verdana" w:hAnsi="Verdana"/>
          <w:sz w:val="16"/>
          <w:szCs w:val="16"/>
        </w:rPr>
        <w:t>de</w:t>
      </w:r>
      <w:r w:rsidRPr="00F64E8C">
        <w:rPr>
          <w:rFonts w:ascii="Verdana" w:hAnsi="Verdana"/>
          <w:sz w:val="16"/>
          <w:szCs w:val="16"/>
        </w:rPr>
        <w:t xml:space="preserve"> la presente Sentencia, a las siguientes: A) </w:t>
      </w:r>
      <w:r>
        <w:rPr>
          <w:rFonts w:ascii="Verdana" w:hAnsi="Verdana"/>
          <w:sz w:val="16"/>
          <w:szCs w:val="16"/>
          <w:u w:val="single"/>
        </w:rPr>
        <w:t xml:space="preserve">Familiares de Santiago </w:t>
      </w:r>
      <w:proofErr w:type="spellStart"/>
      <w:r>
        <w:rPr>
          <w:rFonts w:ascii="Verdana" w:hAnsi="Verdana"/>
          <w:sz w:val="16"/>
          <w:szCs w:val="16"/>
          <w:u w:val="single"/>
        </w:rPr>
        <w:t>Maquí</w:t>
      </w:r>
      <w:r w:rsidRPr="00F64E8C">
        <w:rPr>
          <w:rFonts w:ascii="Verdana" w:hAnsi="Verdana"/>
          <w:sz w:val="16"/>
          <w:szCs w:val="16"/>
          <w:u w:val="single"/>
        </w:rPr>
        <w:t>n</w:t>
      </w:r>
      <w:proofErr w:type="spellEnd"/>
      <w:r>
        <w:rPr>
          <w:rFonts w:ascii="Verdana" w:hAnsi="Verdana"/>
          <w:sz w:val="16"/>
          <w:szCs w:val="16"/>
          <w:u w:val="single"/>
        </w:rPr>
        <w:t xml:space="preserve"> </w:t>
      </w:r>
      <w:proofErr w:type="spellStart"/>
      <w:r>
        <w:rPr>
          <w:rFonts w:ascii="Verdana" w:hAnsi="Verdana"/>
          <w:sz w:val="16"/>
          <w:szCs w:val="16"/>
          <w:u w:val="single"/>
        </w:rPr>
        <w:t>Quip</w:t>
      </w:r>
      <w:proofErr w:type="spellEnd"/>
      <w:r w:rsidRPr="00F64E8C">
        <w:rPr>
          <w:rFonts w:ascii="Verdana" w:hAnsi="Verdana"/>
          <w:sz w:val="16"/>
          <w:szCs w:val="16"/>
        </w:rPr>
        <w:t xml:space="preserve"> (herido y luego fallecido): 1.-Manuela Pop</w:t>
      </w:r>
      <w:r>
        <w:rPr>
          <w:rFonts w:ascii="Verdana" w:hAnsi="Verdana"/>
          <w:sz w:val="16"/>
          <w:szCs w:val="16"/>
        </w:rPr>
        <w:t xml:space="preserve"> </w:t>
      </w:r>
      <w:proofErr w:type="spellStart"/>
      <w:r>
        <w:rPr>
          <w:rFonts w:ascii="Verdana" w:hAnsi="Verdana"/>
          <w:sz w:val="16"/>
          <w:szCs w:val="16"/>
        </w:rPr>
        <w:t>Choc</w:t>
      </w:r>
      <w:proofErr w:type="spellEnd"/>
      <w:r w:rsidRPr="00F64E8C">
        <w:rPr>
          <w:rFonts w:ascii="Verdana" w:hAnsi="Verdana"/>
          <w:sz w:val="16"/>
          <w:szCs w:val="16"/>
        </w:rPr>
        <w:t xml:space="preserve"> (esposa o conviviente (los representantes informaron que murió el 15 de junio de 2016 ); 2.-Francisco </w:t>
      </w:r>
      <w:proofErr w:type="spellStart"/>
      <w:r w:rsidRPr="00F64E8C">
        <w:rPr>
          <w:rFonts w:ascii="Verdana" w:hAnsi="Verdana"/>
          <w:sz w:val="16"/>
          <w:szCs w:val="16"/>
        </w:rPr>
        <w:t>Quip</w:t>
      </w:r>
      <w:proofErr w:type="spellEnd"/>
      <w:r w:rsidRPr="00F64E8C">
        <w:rPr>
          <w:rFonts w:ascii="Verdana" w:hAnsi="Verdana"/>
          <w:sz w:val="16"/>
          <w:szCs w:val="16"/>
        </w:rPr>
        <w:t xml:space="preserve"> </w:t>
      </w:r>
      <w:proofErr w:type="spellStart"/>
      <w:r w:rsidRPr="00F64E8C">
        <w:rPr>
          <w:rFonts w:ascii="Verdana" w:hAnsi="Verdana"/>
          <w:sz w:val="16"/>
          <w:szCs w:val="16"/>
        </w:rPr>
        <w:t>Choc</w:t>
      </w:r>
      <w:proofErr w:type="spellEnd"/>
      <w:r w:rsidRPr="00F64E8C">
        <w:rPr>
          <w:rFonts w:ascii="Verdana" w:hAnsi="Verdana"/>
          <w:sz w:val="16"/>
          <w:szCs w:val="16"/>
        </w:rPr>
        <w:t xml:space="preserve"> (hijo); 3.-Petrona </w:t>
      </w:r>
      <w:proofErr w:type="spellStart"/>
      <w:r w:rsidRPr="00F64E8C">
        <w:rPr>
          <w:rFonts w:ascii="Verdana" w:hAnsi="Verdana"/>
          <w:sz w:val="16"/>
          <w:szCs w:val="16"/>
        </w:rPr>
        <w:t>Quip</w:t>
      </w:r>
      <w:proofErr w:type="spellEnd"/>
      <w:r w:rsidRPr="00F64E8C">
        <w:rPr>
          <w:rFonts w:ascii="Verdana" w:hAnsi="Verdana"/>
          <w:sz w:val="16"/>
          <w:szCs w:val="16"/>
        </w:rPr>
        <w:t xml:space="preserve"> Pop (hija); 4.-Mar</w:t>
      </w:r>
      <w:r>
        <w:rPr>
          <w:rFonts w:ascii="Verdana" w:hAnsi="Verdana"/>
          <w:sz w:val="16"/>
          <w:szCs w:val="16"/>
        </w:rPr>
        <w:t xml:space="preserve">garita </w:t>
      </w:r>
      <w:proofErr w:type="spellStart"/>
      <w:r>
        <w:rPr>
          <w:rFonts w:ascii="Verdana" w:hAnsi="Verdana"/>
          <w:sz w:val="16"/>
          <w:szCs w:val="16"/>
        </w:rPr>
        <w:t>Quip</w:t>
      </w:r>
      <w:proofErr w:type="spellEnd"/>
      <w:r>
        <w:rPr>
          <w:rFonts w:ascii="Verdana" w:hAnsi="Verdana"/>
          <w:sz w:val="16"/>
          <w:szCs w:val="16"/>
        </w:rPr>
        <w:t xml:space="preserve"> Pop (hija); 5.-Martín </w:t>
      </w:r>
      <w:proofErr w:type="spellStart"/>
      <w:r>
        <w:rPr>
          <w:rFonts w:ascii="Verdana" w:hAnsi="Verdana"/>
          <w:sz w:val="16"/>
          <w:szCs w:val="16"/>
        </w:rPr>
        <w:t>Maquí</w:t>
      </w:r>
      <w:r w:rsidRPr="00F64E8C">
        <w:rPr>
          <w:rFonts w:ascii="Verdana" w:hAnsi="Verdana"/>
          <w:sz w:val="16"/>
          <w:szCs w:val="16"/>
        </w:rPr>
        <w:t>n</w:t>
      </w:r>
      <w:proofErr w:type="spellEnd"/>
      <w:r w:rsidRPr="00F64E8C">
        <w:rPr>
          <w:rFonts w:ascii="Verdana" w:hAnsi="Verdana"/>
          <w:sz w:val="16"/>
          <w:szCs w:val="16"/>
        </w:rPr>
        <w:t xml:space="preserve"> </w:t>
      </w:r>
      <w:proofErr w:type="spellStart"/>
      <w:r w:rsidRPr="00F64E8C">
        <w:rPr>
          <w:rFonts w:ascii="Verdana" w:hAnsi="Verdana"/>
          <w:sz w:val="16"/>
          <w:szCs w:val="16"/>
        </w:rPr>
        <w:t>Quip</w:t>
      </w:r>
      <w:proofErr w:type="spellEnd"/>
      <w:r w:rsidRPr="00F64E8C">
        <w:rPr>
          <w:rFonts w:ascii="Verdana" w:hAnsi="Verdana"/>
          <w:sz w:val="16"/>
          <w:szCs w:val="16"/>
        </w:rPr>
        <w:t xml:space="preserve"> Pop (hijo); 6.-Dominga </w:t>
      </w:r>
      <w:proofErr w:type="spellStart"/>
      <w:r w:rsidRPr="00F64E8C">
        <w:rPr>
          <w:rFonts w:ascii="Verdana" w:hAnsi="Verdana"/>
          <w:sz w:val="16"/>
          <w:szCs w:val="16"/>
        </w:rPr>
        <w:t>Maquin</w:t>
      </w:r>
      <w:proofErr w:type="spellEnd"/>
      <w:r w:rsidRPr="00F64E8C">
        <w:rPr>
          <w:rFonts w:ascii="Verdana" w:hAnsi="Verdana"/>
          <w:sz w:val="16"/>
          <w:szCs w:val="16"/>
        </w:rPr>
        <w:t xml:space="preserve"> Pop (hija), y 7.-Santiago </w:t>
      </w:r>
      <w:proofErr w:type="spellStart"/>
      <w:r w:rsidRPr="00F64E8C">
        <w:rPr>
          <w:rFonts w:ascii="Verdana" w:hAnsi="Verdana"/>
          <w:sz w:val="16"/>
          <w:szCs w:val="16"/>
        </w:rPr>
        <w:t>Quip</w:t>
      </w:r>
      <w:proofErr w:type="spellEnd"/>
      <w:r w:rsidRPr="00F64E8C">
        <w:rPr>
          <w:rFonts w:ascii="Verdana" w:hAnsi="Verdana"/>
          <w:sz w:val="16"/>
          <w:szCs w:val="16"/>
        </w:rPr>
        <w:t xml:space="preserve"> Pop (hijo). B) </w:t>
      </w:r>
      <w:r>
        <w:rPr>
          <w:rFonts w:ascii="Verdana" w:hAnsi="Verdana"/>
          <w:sz w:val="16"/>
          <w:szCs w:val="16"/>
          <w:u w:val="single"/>
        </w:rPr>
        <w:t xml:space="preserve">Familiar de Rosendo Morales </w:t>
      </w:r>
      <w:proofErr w:type="spellStart"/>
      <w:r>
        <w:rPr>
          <w:rFonts w:ascii="Verdana" w:hAnsi="Verdana"/>
          <w:sz w:val="16"/>
          <w:szCs w:val="16"/>
          <w:u w:val="single"/>
        </w:rPr>
        <w:t>Ortí</w:t>
      </w:r>
      <w:r w:rsidRPr="00F64E8C">
        <w:rPr>
          <w:rFonts w:ascii="Verdana" w:hAnsi="Verdana"/>
          <w:sz w:val="16"/>
          <w:szCs w:val="16"/>
          <w:u w:val="single"/>
        </w:rPr>
        <w:t>z</w:t>
      </w:r>
      <w:proofErr w:type="spellEnd"/>
      <w:r w:rsidRPr="00F64E8C">
        <w:rPr>
          <w:rFonts w:ascii="Verdana" w:hAnsi="Verdana"/>
          <w:sz w:val="16"/>
          <w:szCs w:val="16"/>
        </w:rPr>
        <w:t xml:space="preserve"> (herido y luego </w:t>
      </w:r>
      <w:r>
        <w:rPr>
          <w:rFonts w:ascii="Verdana" w:hAnsi="Verdana"/>
          <w:sz w:val="16"/>
          <w:szCs w:val="16"/>
        </w:rPr>
        <w:t xml:space="preserve">fallecido): 8.-José Morales </w:t>
      </w:r>
      <w:proofErr w:type="spellStart"/>
      <w:r>
        <w:rPr>
          <w:rFonts w:ascii="Verdana" w:hAnsi="Verdana"/>
          <w:sz w:val="16"/>
          <w:szCs w:val="16"/>
        </w:rPr>
        <w:t>Ortí</w:t>
      </w:r>
      <w:r w:rsidRPr="00F64E8C">
        <w:rPr>
          <w:rFonts w:ascii="Verdana" w:hAnsi="Verdana"/>
          <w:sz w:val="16"/>
          <w:szCs w:val="16"/>
        </w:rPr>
        <w:t>z</w:t>
      </w:r>
      <w:proofErr w:type="spellEnd"/>
      <w:r w:rsidRPr="00F64E8C">
        <w:rPr>
          <w:rFonts w:ascii="Verdana" w:hAnsi="Verdana"/>
          <w:sz w:val="16"/>
          <w:szCs w:val="16"/>
        </w:rPr>
        <w:t xml:space="preserve"> (hermano). C) </w:t>
      </w:r>
      <w:r w:rsidRPr="00F64E8C">
        <w:rPr>
          <w:rFonts w:ascii="Verdana" w:hAnsi="Verdana"/>
          <w:sz w:val="16"/>
          <w:szCs w:val="16"/>
          <w:u w:val="single"/>
        </w:rPr>
        <w:t>Familiares de Francisco</w:t>
      </w:r>
      <w:r w:rsidRPr="00F64E8C">
        <w:rPr>
          <w:rFonts w:ascii="Verdana" w:hAnsi="Verdana"/>
          <w:sz w:val="16"/>
          <w:szCs w:val="16"/>
        </w:rPr>
        <w:t xml:space="preserve"> </w:t>
      </w:r>
      <w:r w:rsidRPr="00F64E8C">
        <w:rPr>
          <w:rFonts w:ascii="Verdana" w:hAnsi="Verdana"/>
          <w:sz w:val="16"/>
          <w:szCs w:val="16"/>
          <w:u w:val="single"/>
        </w:rPr>
        <w:t>Hernández</w:t>
      </w:r>
      <w:r w:rsidRPr="00F64E8C">
        <w:rPr>
          <w:rFonts w:ascii="Verdana" w:hAnsi="Verdana"/>
          <w:sz w:val="16"/>
          <w:szCs w:val="16"/>
        </w:rPr>
        <w:t xml:space="preserve"> (herido): 9.-Cruz Maldonado Silvestre (esposa o conviviente); 10.-Martalia Hernández Maldonado (hija); 11.-Andrés Hernández Maldonado (hijo); 12.-Florencia Hernández Maldonado (hija), y 13.- Rolando Hernández Maldonado (hijo, también herido)</w:t>
      </w:r>
    </w:p>
  </w:footnote>
  <w:footnote w:id="184">
    <w:p w:rsidR="00785921" w:rsidRPr="00065154" w:rsidRDefault="00785921" w:rsidP="00126E97">
      <w:pPr>
        <w:spacing w:after="0" w:line="20" w:lineRule="atLeast"/>
        <w:jc w:val="both"/>
        <w:rPr>
          <w:rFonts w:ascii="Verdana" w:hAnsi="Verdana"/>
          <w:b/>
          <w:sz w:val="16"/>
          <w:szCs w:val="16"/>
        </w:rPr>
      </w:pPr>
      <w:r w:rsidRPr="0029452A">
        <w:rPr>
          <w:rStyle w:val="FootnoteReference"/>
          <w:rFonts w:ascii="Verdana" w:hAnsi="Verdana"/>
          <w:sz w:val="16"/>
          <w:szCs w:val="16"/>
          <w:lang w:eastAsia="x-none"/>
        </w:rPr>
        <w:footnoteRef/>
      </w:r>
      <w:r w:rsidRPr="0029452A">
        <w:rPr>
          <w:rFonts w:ascii="Verdana" w:hAnsi="Verdana"/>
          <w:b/>
          <w:sz w:val="16"/>
          <w:szCs w:val="16"/>
          <w:lang w:val="es-CL"/>
        </w:rPr>
        <w:t xml:space="preserve"> </w:t>
      </w:r>
      <w:r>
        <w:rPr>
          <w:rFonts w:ascii="Verdana" w:hAnsi="Verdana" w:cs="Verdana"/>
          <w:i/>
          <w:iCs/>
          <w:sz w:val="16"/>
          <w:szCs w:val="16"/>
          <w:lang w:val="es-CR"/>
        </w:rPr>
        <w:t xml:space="preserve">Cfr. Caso </w:t>
      </w:r>
      <w:proofErr w:type="spellStart"/>
      <w:r>
        <w:rPr>
          <w:rFonts w:ascii="Verdana" w:hAnsi="Verdana" w:cs="Verdana"/>
          <w:i/>
          <w:iCs/>
          <w:sz w:val="16"/>
          <w:szCs w:val="16"/>
          <w:lang w:val="es-CR"/>
        </w:rPr>
        <w:t>Ximenes</w:t>
      </w:r>
      <w:proofErr w:type="spellEnd"/>
      <w:r>
        <w:rPr>
          <w:rFonts w:ascii="Verdana" w:hAnsi="Verdana" w:cs="Verdana"/>
          <w:i/>
          <w:iCs/>
          <w:sz w:val="16"/>
          <w:szCs w:val="16"/>
          <w:lang w:val="es-CR"/>
        </w:rPr>
        <w:t xml:space="preserve"> </w:t>
      </w:r>
      <w:proofErr w:type="spellStart"/>
      <w:r>
        <w:rPr>
          <w:rFonts w:ascii="Verdana" w:hAnsi="Verdana" w:cs="Verdana"/>
          <w:i/>
          <w:iCs/>
          <w:sz w:val="16"/>
          <w:szCs w:val="16"/>
          <w:lang w:val="es-CR"/>
        </w:rPr>
        <w:t>Lopes</w:t>
      </w:r>
      <w:proofErr w:type="spellEnd"/>
      <w:r>
        <w:rPr>
          <w:rFonts w:ascii="Verdana" w:hAnsi="Verdana" w:cs="Verdana"/>
          <w:i/>
          <w:iCs/>
          <w:sz w:val="16"/>
          <w:szCs w:val="16"/>
          <w:lang w:val="es-CR"/>
        </w:rPr>
        <w:t xml:space="preserve"> Vs. Brasil. </w:t>
      </w:r>
      <w:r>
        <w:rPr>
          <w:rFonts w:ascii="Verdana" w:hAnsi="Verdana" w:cs="Verdana"/>
          <w:sz w:val="16"/>
          <w:szCs w:val="16"/>
          <w:lang w:val="es-CR"/>
        </w:rPr>
        <w:t>Sentencia de 4 de julio de 2006. Serie C No. 149</w:t>
      </w:r>
      <w:r w:rsidRPr="0029452A">
        <w:rPr>
          <w:rFonts w:ascii="Verdana" w:hAnsi="Verdana"/>
          <w:sz w:val="16"/>
          <w:szCs w:val="16"/>
        </w:rPr>
        <w:t>,</w:t>
      </w:r>
      <w:r>
        <w:rPr>
          <w:rFonts w:ascii="Verdana" w:hAnsi="Verdana"/>
          <w:sz w:val="16"/>
          <w:szCs w:val="16"/>
        </w:rPr>
        <w:t xml:space="preserve"> párr. 156</w:t>
      </w:r>
      <w:r w:rsidRPr="0029452A">
        <w:rPr>
          <w:rFonts w:ascii="Verdana" w:hAnsi="Verdana"/>
          <w:sz w:val="16"/>
          <w:szCs w:val="16"/>
        </w:rPr>
        <w:t xml:space="preserve"> </w:t>
      </w:r>
      <w:r w:rsidRPr="0029452A">
        <w:rPr>
          <w:rFonts w:ascii="Verdana" w:hAnsi="Verdana" w:cs="Arial"/>
          <w:sz w:val="16"/>
          <w:szCs w:val="16"/>
        </w:rPr>
        <w:t xml:space="preserve">y </w:t>
      </w:r>
      <w:r w:rsidRPr="0029452A">
        <w:rPr>
          <w:rFonts w:ascii="Verdana" w:hAnsi="Verdana"/>
          <w:bCs/>
          <w:color w:val="000000"/>
          <w:sz w:val="16"/>
          <w:szCs w:val="16"/>
          <w:shd w:val="clear" w:color="auto" w:fill="FFFFFF"/>
        </w:rPr>
        <w:t>C</w:t>
      </w:r>
      <w:r w:rsidRPr="0029452A">
        <w:rPr>
          <w:rFonts w:ascii="Verdana" w:hAnsi="Verdana"/>
          <w:bCs/>
          <w:i/>
          <w:color w:val="000000"/>
          <w:sz w:val="16"/>
          <w:szCs w:val="16"/>
          <w:shd w:val="clear" w:color="auto" w:fill="FFFFFF"/>
        </w:rPr>
        <w:t>aso V.R.P., V.P.C. y otros Vs. Nicaragua</w:t>
      </w:r>
      <w:r>
        <w:rPr>
          <w:rFonts w:ascii="Verdana" w:hAnsi="Verdana"/>
          <w:bCs/>
          <w:i/>
          <w:color w:val="000000"/>
          <w:sz w:val="16"/>
          <w:szCs w:val="16"/>
          <w:shd w:val="clear" w:color="auto" w:fill="FFFFFF"/>
        </w:rPr>
        <w:t>, supra</w:t>
      </w:r>
      <w:r w:rsidRPr="00065154">
        <w:rPr>
          <w:rFonts w:ascii="Verdana" w:hAnsi="Verdana"/>
          <w:bCs/>
          <w:color w:val="000000"/>
          <w:sz w:val="16"/>
          <w:szCs w:val="16"/>
          <w:shd w:val="clear" w:color="auto" w:fill="FFFFFF"/>
        </w:rPr>
        <w:t>, párr. 327</w:t>
      </w:r>
      <w:r w:rsidRPr="00065154">
        <w:rPr>
          <w:rFonts w:ascii="Verdana" w:hAnsi="Verdana" w:cs="Arial"/>
          <w:sz w:val="16"/>
          <w:szCs w:val="16"/>
        </w:rPr>
        <w:t>.</w:t>
      </w:r>
    </w:p>
  </w:footnote>
  <w:footnote w:id="185">
    <w:p w:rsidR="00785921" w:rsidRPr="00065154" w:rsidRDefault="00785921" w:rsidP="00126E97">
      <w:pPr>
        <w:pStyle w:val="FootnoteText"/>
        <w:spacing w:line="20" w:lineRule="atLeast"/>
        <w:rPr>
          <w:lang w:val="es-CR"/>
        </w:rPr>
      </w:pPr>
      <w:r w:rsidRPr="00065154">
        <w:rPr>
          <w:rStyle w:val="FootnoteReference"/>
          <w:sz w:val="16"/>
          <w:szCs w:val="16"/>
        </w:rPr>
        <w:footnoteRef/>
      </w:r>
      <w:r w:rsidRPr="00065154">
        <w:rPr>
          <w:sz w:val="16"/>
          <w:szCs w:val="16"/>
          <w:lang w:val="es-CR"/>
        </w:rPr>
        <w:t xml:space="preserve"> Lo anterior, según las circunstancias del caso, dado el sufrimiento padecido como producto de las violaciones perpetradas contra sus seres queridos, y a causa de las posteriores actuaciones u omisiones de las autoridades estatales frente a los hechos (</w:t>
      </w:r>
      <w:r w:rsidRPr="00065154">
        <w:rPr>
          <w:i/>
          <w:sz w:val="16"/>
          <w:szCs w:val="16"/>
          <w:lang w:val="es-CR"/>
        </w:rPr>
        <w:t>Cfr.</w:t>
      </w:r>
      <w:r w:rsidRPr="00065154">
        <w:rPr>
          <w:sz w:val="16"/>
          <w:szCs w:val="16"/>
          <w:lang w:val="es-CR"/>
        </w:rPr>
        <w:t xml:space="preserve"> </w:t>
      </w:r>
      <w:r w:rsidRPr="004A2D8B">
        <w:rPr>
          <w:i/>
          <w:sz w:val="16"/>
          <w:szCs w:val="16"/>
          <w:lang w:val="es-CR"/>
        </w:rPr>
        <w:t>Caso Blake Vs. Guatemala. Fondo</w:t>
      </w:r>
      <w:r w:rsidRPr="00065154">
        <w:rPr>
          <w:sz w:val="16"/>
          <w:szCs w:val="16"/>
          <w:lang w:val="es-CR"/>
        </w:rPr>
        <w:t xml:space="preserve">. Sentencia de 24 de enero de 1998. Serie C No. 36, párr. 114, y </w:t>
      </w:r>
      <w:r w:rsidRPr="00065154">
        <w:rPr>
          <w:bCs/>
          <w:i/>
          <w:sz w:val="16"/>
          <w:szCs w:val="16"/>
          <w:shd w:val="clear" w:color="auto" w:fill="FFFFFF"/>
          <w:lang w:val="es-ES_tradnl"/>
        </w:rPr>
        <w:t xml:space="preserve">Caso </w:t>
      </w:r>
      <w:proofErr w:type="spellStart"/>
      <w:r w:rsidRPr="00065154">
        <w:rPr>
          <w:bCs/>
          <w:i/>
          <w:sz w:val="16"/>
          <w:szCs w:val="16"/>
          <w:shd w:val="clear" w:color="auto" w:fill="FFFFFF"/>
          <w:lang w:val="es-ES_tradnl"/>
        </w:rPr>
        <w:t>Herzog</w:t>
      </w:r>
      <w:proofErr w:type="spellEnd"/>
      <w:r w:rsidRPr="00065154">
        <w:rPr>
          <w:bCs/>
          <w:i/>
          <w:sz w:val="16"/>
          <w:szCs w:val="16"/>
          <w:shd w:val="clear" w:color="auto" w:fill="FFFFFF"/>
          <w:lang w:val="es-ES_tradnl"/>
        </w:rPr>
        <w:t xml:space="preserve"> y otros Vs. Brasi</w:t>
      </w:r>
      <w:r>
        <w:rPr>
          <w:bCs/>
          <w:i/>
          <w:sz w:val="16"/>
          <w:szCs w:val="16"/>
          <w:shd w:val="clear" w:color="auto" w:fill="FFFFFF"/>
          <w:lang w:val="es-ES_tradnl"/>
        </w:rPr>
        <w:t>l, supra</w:t>
      </w:r>
      <w:r w:rsidRPr="00065154">
        <w:rPr>
          <w:bCs/>
          <w:color w:val="000000"/>
          <w:sz w:val="16"/>
          <w:szCs w:val="16"/>
          <w:shd w:val="clear" w:color="auto" w:fill="FFFFFF"/>
          <w:lang w:val="es-ES_tradnl"/>
        </w:rPr>
        <w:t>,</w:t>
      </w:r>
      <w:r w:rsidRPr="00065154">
        <w:rPr>
          <w:sz w:val="16"/>
          <w:szCs w:val="16"/>
          <w:lang w:val="es-ES_tradnl"/>
        </w:rPr>
        <w:t xml:space="preserve"> párr. 351</w:t>
      </w:r>
      <w:r w:rsidRPr="007521EB">
        <w:rPr>
          <w:sz w:val="16"/>
          <w:szCs w:val="16"/>
          <w:lang w:val="es-CR"/>
        </w:rPr>
        <w:t>)</w:t>
      </w:r>
      <w:r w:rsidRPr="00065154">
        <w:rPr>
          <w:sz w:val="16"/>
          <w:szCs w:val="16"/>
          <w:lang w:val="es-ES_tradnl"/>
        </w:rPr>
        <w:t>.</w:t>
      </w:r>
    </w:p>
  </w:footnote>
  <w:footnote w:id="186">
    <w:p w:rsidR="00785921" w:rsidRPr="00972480" w:rsidRDefault="00785921" w:rsidP="00126E97">
      <w:pPr>
        <w:autoSpaceDE w:val="0"/>
        <w:autoSpaceDN w:val="0"/>
        <w:adjustRightInd w:val="0"/>
        <w:spacing w:after="0" w:line="20" w:lineRule="atLeast"/>
        <w:jc w:val="both"/>
        <w:rPr>
          <w:rFonts w:ascii="Verdana" w:hAnsi="Verdana"/>
          <w:sz w:val="16"/>
          <w:szCs w:val="16"/>
        </w:rPr>
      </w:pPr>
      <w:r w:rsidRPr="00F57CFD">
        <w:rPr>
          <w:rStyle w:val="FootnoteReference"/>
          <w:sz w:val="16"/>
          <w:szCs w:val="16"/>
          <w:lang w:eastAsia="x-none"/>
        </w:rPr>
        <w:footnoteRef/>
      </w:r>
      <w:r w:rsidRPr="00F57CFD">
        <w:rPr>
          <w:sz w:val="16"/>
          <w:szCs w:val="16"/>
        </w:rPr>
        <w:t xml:space="preserve"> </w:t>
      </w:r>
      <w:r w:rsidRPr="00972480">
        <w:rPr>
          <w:rFonts w:ascii="Verdana" w:hAnsi="Verdana"/>
          <w:i/>
          <w:sz w:val="16"/>
          <w:szCs w:val="16"/>
          <w:lang w:val="es-CL"/>
        </w:rPr>
        <w:t>Cfr</w:t>
      </w:r>
      <w:r w:rsidRPr="00972480">
        <w:rPr>
          <w:rFonts w:ascii="Verdana" w:hAnsi="Verdana"/>
          <w:sz w:val="16"/>
          <w:szCs w:val="16"/>
          <w:lang w:val="es-CL"/>
        </w:rPr>
        <w:t>.</w:t>
      </w:r>
      <w:r w:rsidRPr="00972480">
        <w:rPr>
          <w:rFonts w:ascii="Verdana" w:hAnsi="Verdana" w:cs="Verdana-Italic"/>
          <w:i/>
          <w:iCs/>
          <w:sz w:val="16"/>
          <w:szCs w:val="16"/>
          <w:lang w:val="es-CR"/>
        </w:rPr>
        <w:t xml:space="preserve"> Caso Valle Jaramillo y otros Vs. Colombia. Fondo, Reparaciones y Costas. </w:t>
      </w:r>
      <w:r w:rsidRPr="00972480">
        <w:rPr>
          <w:rFonts w:ascii="Verdana" w:hAnsi="Verdana" w:cs="Verdana"/>
          <w:sz w:val="16"/>
          <w:szCs w:val="16"/>
          <w:lang w:val="es-CR"/>
        </w:rPr>
        <w:t>Sentencia de 27 de noviembre de 2008. Serie C No. 192, párr. 119;</w:t>
      </w:r>
      <w:r w:rsidRPr="00972480">
        <w:rPr>
          <w:rFonts w:ascii="Verdana" w:hAnsi="Verdana" w:cs="Verdana-Italic"/>
          <w:i/>
          <w:iCs/>
          <w:sz w:val="16"/>
          <w:szCs w:val="16"/>
          <w:lang w:val="es-CR"/>
        </w:rPr>
        <w:t xml:space="preserve"> Caso Ruano Torres y otros Vs. El Salvador. </w:t>
      </w:r>
      <w:r w:rsidRPr="00226EED">
        <w:rPr>
          <w:rFonts w:ascii="Verdana" w:hAnsi="Verdana" w:cs="Verdana"/>
          <w:i/>
          <w:sz w:val="16"/>
          <w:szCs w:val="16"/>
          <w:lang w:val="es-CR"/>
        </w:rPr>
        <w:t>Fondo, Reparaciones y Costas.</w:t>
      </w:r>
      <w:r w:rsidRPr="00972480">
        <w:rPr>
          <w:rFonts w:ascii="Verdana" w:hAnsi="Verdana" w:cs="Verdana"/>
          <w:sz w:val="16"/>
          <w:szCs w:val="16"/>
          <w:lang w:val="es-CR"/>
        </w:rPr>
        <w:t xml:space="preserve"> Sentencia de 5 de octubre de 2015.Serie C No. 303, párr. 177, y </w:t>
      </w:r>
      <w:r w:rsidRPr="00972480">
        <w:rPr>
          <w:rFonts w:ascii="Verdana" w:hAnsi="Verdana"/>
          <w:bCs/>
          <w:i/>
          <w:sz w:val="16"/>
          <w:szCs w:val="16"/>
          <w:shd w:val="clear" w:color="auto" w:fill="FFFFFF"/>
        </w:rPr>
        <w:t xml:space="preserve">Caso </w:t>
      </w:r>
      <w:proofErr w:type="spellStart"/>
      <w:r w:rsidRPr="00972480">
        <w:rPr>
          <w:rFonts w:ascii="Verdana" w:hAnsi="Verdana"/>
          <w:bCs/>
          <w:i/>
          <w:sz w:val="16"/>
          <w:szCs w:val="16"/>
          <w:shd w:val="clear" w:color="auto" w:fill="FFFFFF"/>
        </w:rPr>
        <w:t>Herzog</w:t>
      </w:r>
      <w:proofErr w:type="spellEnd"/>
      <w:r w:rsidRPr="00972480">
        <w:rPr>
          <w:rFonts w:ascii="Verdana" w:hAnsi="Verdana"/>
          <w:bCs/>
          <w:i/>
          <w:sz w:val="16"/>
          <w:szCs w:val="16"/>
          <w:shd w:val="clear" w:color="auto" w:fill="FFFFFF"/>
        </w:rPr>
        <w:t xml:space="preserve"> y otros Vs. Brasil</w:t>
      </w:r>
      <w:r>
        <w:rPr>
          <w:rFonts w:ascii="Verdana" w:hAnsi="Verdana"/>
          <w:bCs/>
          <w:i/>
          <w:sz w:val="16"/>
          <w:szCs w:val="16"/>
          <w:shd w:val="clear" w:color="auto" w:fill="FFFFFF"/>
        </w:rPr>
        <w:t>, supra</w:t>
      </w:r>
      <w:r w:rsidRPr="00972480">
        <w:rPr>
          <w:rFonts w:ascii="Verdana" w:hAnsi="Verdana"/>
          <w:bCs/>
          <w:color w:val="000000"/>
          <w:sz w:val="16"/>
          <w:szCs w:val="16"/>
          <w:shd w:val="clear" w:color="auto" w:fill="FFFFFF"/>
        </w:rPr>
        <w:t>,</w:t>
      </w:r>
      <w:r w:rsidRPr="00972480">
        <w:rPr>
          <w:rFonts w:ascii="Verdana" w:hAnsi="Verdana"/>
          <w:sz w:val="16"/>
          <w:szCs w:val="16"/>
        </w:rPr>
        <w:t xml:space="preserve"> párr. 351.</w:t>
      </w:r>
    </w:p>
  </w:footnote>
  <w:footnote w:id="187">
    <w:p w:rsidR="00785921" w:rsidRPr="00972480" w:rsidRDefault="00785921" w:rsidP="00126E97">
      <w:pPr>
        <w:pStyle w:val="FootnoteText"/>
        <w:spacing w:line="20" w:lineRule="atLeast"/>
        <w:rPr>
          <w:sz w:val="16"/>
          <w:szCs w:val="16"/>
          <w:lang w:val="es-ES_tradnl"/>
        </w:rPr>
      </w:pPr>
      <w:r w:rsidRPr="00972480">
        <w:rPr>
          <w:rStyle w:val="FootnoteReference"/>
          <w:sz w:val="16"/>
          <w:szCs w:val="16"/>
          <w:lang w:val="es-ES_tradnl" w:eastAsia="x-none"/>
        </w:rPr>
        <w:footnoteRef/>
      </w:r>
      <w:r w:rsidRPr="00972480">
        <w:rPr>
          <w:sz w:val="16"/>
          <w:szCs w:val="16"/>
          <w:lang w:val="es-ES_tradnl"/>
        </w:rPr>
        <w:t xml:space="preserve"> Tal presunción tiene como consecuencia una inversión de la carga argumentativa, en la que ya no corresponde probar la violación del derecho de tales “familiares directos”, sino que corresponde al Estado desvirtuarla (</w:t>
      </w:r>
      <w:r w:rsidRPr="00972480">
        <w:rPr>
          <w:bCs/>
          <w:i/>
          <w:color w:val="000000"/>
          <w:sz w:val="16"/>
          <w:szCs w:val="16"/>
          <w:shd w:val="clear" w:color="auto" w:fill="FFFFFF"/>
          <w:lang w:val="es-ES_tradnl"/>
        </w:rPr>
        <w:t xml:space="preserve">cfr. </w:t>
      </w:r>
      <w:r w:rsidRPr="00972480">
        <w:rPr>
          <w:i/>
          <w:sz w:val="16"/>
          <w:szCs w:val="16"/>
          <w:lang w:val="es-ES_tradnl"/>
        </w:rPr>
        <w:t>Caso Valle Jaramillo y otros Vs. Colombia</w:t>
      </w:r>
      <w:r>
        <w:rPr>
          <w:i/>
          <w:sz w:val="16"/>
          <w:szCs w:val="16"/>
          <w:lang w:val="es-ES_tradnl"/>
        </w:rPr>
        <w:t>, supra</w:t>
      </w:r>
      <w:r w:rsidRPr="00972480">
        <w:rPr>
          <w:sz w:val="16"/>
          <w:szCs w:val="16"/>
          <w:lang w:val="es-ES_tradnl"/>
        </w:rPr>
        <w:t>, párr. 119, y</w:t>
      </w:r>
      <w:r w:rsidRPr="00972480">
        <w:rPr>
          <w:bCs/>
          <w:i/>
          <w:color w:val="000000"/>
          <w:sz w:val="16"/>
          <w:szCs w:val="16"/>
          <w:shd w:val="clear" w:color="auto" w:fill="FFFFFF"/>
          <w:lang w:val="es-ES_tradnl"/>
        </w:rPr>
        <w:t xml:space="preserve"> </w:t>
      </w:r>
      <w:r w:rsidRPr="00972480">
        <w:rPr>
          <w:bCs/>
          <w:i/>
          <w:sz w:val="16"/>
          <w:szCs w:val="16"/>
          <w:shd w:val="clear" w:color="auto" w:fill="FFFFFF"/>
          <w:lang w:val="es-ES_tradnl"/>
        </w:rPr>
        <w:t xml:space="preserve">Caso </w:t>
      </w:r>
      <w:proofErr w:type="spellStart"/>
      <w:r w:rsidRPr="00972480">
        <w:rPr>
          <w:bCs/>
          <w:i/>
          <w:sz w:val="16"/>
          <w:szCs w:val="16"/>
          <w:shd w:val="clear" w:color="auto" w:fill="FFFFFF"/>
          <w:lang w:val="es-ES_tradnl"/>
        </w:rPr>
        <w:t>Herzog</w:t>
      </w:r>
      <w:proofErr w:type="spellEnd"/>
      <w:r w:rsidRPr="00972480">
        <w:rPr>
          <w:bCs/>
          <w:i/>
          <w:sz w:val="16"/>
          <w:szCs w:val="16"/>
          <w:shd w:val="clear" w:color="auto" w:fill="FFFFFF"/>
          <w:lang w:val="es-ES_tradnl"/>
        </w:rPr>
        <w:t xml:space="preserve"> y otros Vs. Brasil</w:t>
      </w:r>
      <w:r>
        <w:rPr>
          <w:bCs/>
          <w:i/>
          <w:sz w:val="16"/>
          <w:szCs w:val="16"/>
          <w:shd w:val="clear" w:color="auto" w:fill="FFFFFF"/>
          <w:lang w:val="es-ES_tradnl"/>
        </w:rPr>
        <w:t>, supra</w:t>
      </w:r>
      <w:r w:rsidRPr="00972480">
        <w:rPr>
          <w:bCs/>
          <w:color w:val="000000"/>
          <w:sz w:val="16"/>
          <w:szCs w:val="16"/>
          <w:shd w:val="clear" w:color="auto" w:fill="FFFFFF"/>
          <w:lang w:val="es-ES_tradnl"/>
        </w:rPr>
        <w:t>,</w:t>
      </w:r>
      <w:r w:rsidRPr="00972480">
        <w:rPr>
          <w:sz w:val="16"/>
          <w:szCs w:val="16"/>
          <w:lang w:val="es-ES_tradnl"/>
        </w:rPr>
        <w:t xml:space="preserve"> párr. 351). </w:t>
      </w:r>
    </w:p>
  </w:footnote>
  <w:footnote w:id="188">
    <w:p w:rsidR="00785921" w:rsidRPr="00972480" w:rsidRDefault="00785921" w:rsidP="00126E97">
      <w:pPr>
        <w:autoSpaceDE w:val="0"/>
        <w:autoSpaceDN w:val="0"/>
        <w:adjustRightInd w:val="0"/>
        <w:spacing w:after="0" w:line="20" w:lineRule="atLeast"/>
        <w:jc w:val="both"/>
        <w:rPr>
          <w:rFonts w:ascii="Verdana" w:hAnsi="Verdana" w:cs="Verdana"/>
          <w:sz w:val="16"/>
          <w:szCs w:val="16"/>
          <w:lang w:val="es-CR"/>
        </w:rPr>
      </w:pPr>
      <w:r w:rsidRPr="00972480">
        <w:rPr>
          <w:rStyle w:val="FootnoteReference"/>
          <w:rFonts w:ascii="Verdana" w:hAnsi="Verdana"/>
          <w:sz w:val="16"/>
          <w:szCs w:val="16"/>
          <w:lang w:eastAsia="x-none"/>
        </w:rPr>
        <w:footnoteRef/>
      </w:r>
      <w:r w:rsidRPr="00972480">
        <w:rPr>
          <w:rFonts w:ascii="Verdana" w:hAnsi="Verdana"/>
          <w:sz w:val="16"/>
          <w:szCs w:val="16"/>
        </w:rPr>
        <w:t xml:space="preserve"> </w:t>
      </w:r>
      <w:r w:rsidRPr="00972480">
        <w:rPr>
          <w:rFonts w:ascii="Verdana" w:hAnsi="Verdana"/>
          <w:i/>
          <w:sz w:val="16"/>
          <w:szCs w:val="16"/>
        </w:rPr>
        <w:t>Cfr.</w:t>
      </w:r>
      <w:r w:rsidRPr="00972480">
        <w:rPr>
          <w:rFonts w:ascii="Verdana" w:hAnsi="Verdana"/>
          <w:sz w:val="16"/>
          <w:szCs w:val="16"/>
        </w:rPr>
        <w:t xml:space="preserve"> </w:t>
      </w:r>
      <w:r w:rsidRPr="00972480">
        <w:rPr>
          <w:rFonts w:ascii="Verdana" w:hAnsi="Verdana" w:cs="Verdana-Italic"/>
          <w:i/>
          <w:iCs/>
          <w:sz w:val="16"/>
          <w:szCs w:val="16"/>
          <w:lang w:val="es-CR"/>
        </w:rPr>
        <w:t xml:space="preserve">Caso de la “Masacre de </w:t>
      </w:r>
      <w:proofErr w:type="spellStart"/>
      <w:r w:rsidRPr="00972480">
        <w:rPr>
          <w:rFonts w:ascii="Verdana" w:hAnsi="Verdana" w:cs="Verdana-Italic"/>
          <w:i/>
          <w:iCs/>
          <w:sz w:val="16"/>
          <w:szCs w:val="16"/>
          <w:lang w:val="es-CR"/>
        </w:rPr>
        <w:t>Mapiripán</w:t>
      </w:r>
      <w:proofErr w:type="spellEnd"/>
      <w:r w:rsidRPr="00972480">
        <w:rPr>
          <w:rFonts w:ascii="Verdana" w:hAnsi="Verdana" w:cs="Verdana-Italic"/>
          <w:i/>
          <w:iCs/>
          <w:sz w:val="16"/>
          <w:szCs w:val="16"/>
          <w:lang w:val="es-CR"/>
        </w:rPr>
        <w:t>” Vs. Colombia</w:t>
      </w:r>
      <w:r>
        <w:rPr>
          <w:rFonts w:ascii="Verdana" w:hAnsi="Verdana" w:cs="Verdana"/>
          <w:sz w:val="16"/>
          <w:szCs w:val="16"/>
          <w:lang w:val="es-CR"/>
        </w:rPr>
        <w:t xml:space="preserve">, </w:t>
      </w:r>
      <w:r w:rsidRPr="007335F2">
        <w:rPr>
          <w:rFonts w:ascii="Verdana" w:hAnsi="Verdana" w:cs="Verdana"/>
          <w:i/>
          <w:sz w:val="16"/>
          <w:szCs w:val="16"/>
          <w:lang w:val="es-CR"/>
        </w:rPr>
        <w:t>supra</w:t>
      </w:r>
      <w:r w:rsidRPr="00972480">
        <w:rPr>
          <w:rFonts w:ascii="Verdana" w:hAnsi="Verdana" w:cs="Verdana"/>
          <w:sz w:val="16"/>
          <w:szCs w:val="16"/>
          <w:lang w:val="es-CR"/>
        </w:rPr>
        <w:t xml:space="preserve">, párr. 146; </w:t>
      </w:r>
      <w:r w:rsidRPr="00972480">
        <w:rPr>
          <w:rFonts w:ascii="Verdana" w:hAnsi="Verdana" w:cs="Verdana-Italic"/>
          <w:i/>
          <w:iCs/>
          <w:sz w:val="16"/>
          <w:szCs w:val="16"/>
          <w:lang w:val="es-CR"/>
        </w:rPr>
        <w:t>Caso La Cantuta Vs. Perú</w:t>
      </w:r>
      <w:r>
        <w:rPr>
          <w:rFonts w:ascii="Verdana" w:hAnsi="Verdana" w:cs="Verdana-Italic"/>
          <w:i/>
          <w:iCs/>
          <w:sz w:val="16"/>
          <w:szCs w:val="16"/>
          <w:lang w:val="es-CR"/>
        </w:rPr>
        <w:t>, supra</w:t>
      </w:r>
      <w:r w:rsidRPr="00972480">
        <w:rPr>
          <w:rFonts w:ascii="Verdana" w:hAnsi="Verdana" w:cs="Verdana"/>
          <w:sz w:val="16"/>
          <w:szCs w:val="16"/>
          <w:lang w:val="es-CR"/>
        </w:rPr>
        <w:t xml:space="preserve">, párr. 218, y </w:t>
      </w:r>
      <w:r w:rsidRPr="00972480">
        <w:rPr>
          <w:rFonts w:ascii="Verdana" w:hAnsi="Verdana"/>
          <w:bCs/>
          <w:i/>
          <w:sz w:val="16"/>
          <w:szCs w:val="16"/>
          <w:shd w:val="clear" w:color="auto" w:fill="FFFFFF"/>
        </w:rPr>
        <w:t xml:space="preserve">Caso </w:t>
      </w:r>
      <w:proofErr w:type="spellStart"/>
      <w:r w:rsidRPr="00972480">
        <w:rPr>
          <w:rFonts w:ascii="Verdana" w:hAnsi="Verdana"/>
          <w:bCs/>
          <w:i/>
          <w:sz w:val="16"/>
          <w:szCs w:val="16"/>
          <w:shd w:val="clear" w:color="auto" w:fill="FFFFFF"/>
        </w:rPr>
        <w:t>Herzog</w:t>
      </w:r>
      <w:proofErr w:type="spellEnd"/>
      <w:r w:rsidRPr="00972480">
        <w:rPr>
          <w:rFonts w:ascii="Verdana" w:hAnsi="Verdana"/>
          <w:bCs/>
          <w:i/>
          <w:sz w:val="16"/>
          <w:szCs w:val="16"/>
          <w:shd w:val="clear" w:color="auto" w:fill="FFFFFF"/>
        </w:rPr>
        <w:t xml:space="preserve"> y otros Vs. Brasil</w:t>
      </w:r>
      <w:r>
        <w:rPr>
          <w:rFonts w:ascii="Verdana" w:hAnsi="Verdana"/>
          <w:bCs/>
          <w:i/>
          <w:sz w:val="16"/>
          <w:szCs w:val="16"/>
          <w:shd w:val="clear" w:color="auto" w:fill="FFFFFF"/>
        </w:rPr>
        <w:t>, supra</w:t>
      </w:r>
      <w:r w:rsidRPr="00972480">
        <w:rPr>
          <w:rFonts w:ascii="Verdana" w:hAnsi="Verdana"/>
          <w:bCs/>
          <w:color w:val="000000"/>
          <w:sz w:val="16"/>
          <w:szCs w:val="16"/>
          <w:shd w:val="clear" w:color="auto" w:fill="FFFFFF"/>
        </w:rPr>
        <w:t>,</w:t>
      </w:r>
      <w:r w:rsidRPr="00972480">
        <w:rPr>
          <w:rFonts w:ascii="Verdana" w:hAnsi="Verdana"/>
          <w:sz w:val="16"/>
          <w:szCs w:val="16"/>
        </w:rPr>
        <w:t xml:space="preserve"> párr. 351.</w:t>
      </w:r>
    </w:p>
  </w:footnote>
  <w:footnote w:id="189">
    <w:p w:rsidR="00785921" w:rsidRPr="00972480" w:rsidRDefault="00785921" w:rsidP="00126E97">
      <w:pPr>
        <w:pStyle w:val="FootnoteText"/>
        <w:spacing w:line="20" w:lineRule="atLeast"/>
        <w:rPr>
          <w:sz w:val="16"/>
          <w:szCs w:val="16"/>
          <w:lang w:val="es-ES_tradnl"/>
        </w:rPr>
      </w:pPr>
      <w:r w:rsidRPr="00972480">
        <w:rPr>
          <w:rStyle w:val="FootnoteReference"/>
          <w:sz w:val="16"/>
          <w:szCs w:val="16"/>
          <w:lang w:val="es-ES_tradnl" w:eastAsia="x-none"/>
        </w:rPr>
        <w:footnoteRef/>
      </w:r>
      <w:r w:rsidRPr="00972480">
        <w:rPr>
          <w:sz w:val="16"/>
          <w:szCs w:val="16"/>
          <w:lang w:val="es-ES_tradnl"/>
        </w:rPr>
        <w:t xml:space="preserve"> </w:t>
      </w:r>
      <w:r w:rsidRPr="00972480">
        <w:rPr>
          <w:i/>
          <w:sz w:val="16"/>
          <w:szCs w:val="16"/>
          <w:lang w:val="es-CL"/>
        </w:rPr>
        <w:t>Cfr.</w:t>
      </w:r>
      <w:r w:rsidRPr="00972480">
        <w:rPr>
          <w:sz w:val="16"/>
          <w:szCs w:val="16"/>
          <w:lang w:val="es-CL"/>
        </w:rPr>
        <w:t xml:space="preserve"> </w:t>
      </w:r>
      <w:r w:rsidRPr="00972480">
        <w:rPr>
          <w:i/>
          <w:sz w:val="16"/>
          <w:szCs w:val="16"/>
          <w:lang w:val="es-ES_tradnl"/>
        </w:rPr>
        <w:t>Caso Valle Jaramillo y otros Vs. Colombia</w:t>
      </w:r>
      <w:r w:rsidRPr="00972480">
        <w:rPr>
          <w:sz w:val="16"/>
          <w:szCs w:val="16"/>
          <w:lang w:val="es-ES_tradnl"/>
        </w:rPr>
        <w:t xml:space="preserve">, </w:t>
      </w:r>
      <w:r w:rsidRPr="00972480">
        <w:rPr>
          <w:i/>
          <w:sz w:val="16"/>
          <w:szCs w:val="16"/>
          <w:lang w:val="es-ES_tradnl"/>
        </w:rPr>
        <w:t xml:space="preserve">supra, </w:t>
      </w:r>
      <w:r w:rsidRPr="00972480">
        <w:rPr>
          <w:sz w:val="16"/>
          <w:szCs w:val="16"/>
          <w:lang w:val="es-ES_tradnl"/>
        </w:rPr>
        <w:t xml:space="preserve">párr. 119, y </w:t>
      </w:r>
      <w:r w:rsidRPr="00972480">
        <w:rPr>
          <w:bCs/>
          <w:i/>
          <w:color w:val="000000"/>
          <w:sz w:val="16"/>
          <w:szCs w:val="16"/>
          <w:shd w:val="clear" w:color="auto" w:fill="FFFFFF"/>
          <w:lang w:val="es-ES_tradnl"/>
        </w:rPr>
        <w:t>Caso V.R.P., V.P.C. y otros Vs. Nicaragua</w:t>
      </w:r>
      <w:r>
        <w:rPr>
          <w:bCs/>
          <w:i/>
          <w:color w:val="000000"/>
          <w:sz w:val="16"/>
          <w:szCs w:val="16"/>
          <w:shd w:val="clear" w:color="auto" w:fill="FFFFFF"/>
          <w:lang w:val="es-ES_tradnl"/>
        </w:rPr>
        <w:t>, supra</w:t>
      </w:r>
      <w:r w:rsidRPr="00972480">
        <w:rPr>
          <w:bCs/>
          <w:color w:val="000000"/>
          <w:sz w:val="16"/>
          <w:szCs w:val="16"/>
          <w:shd w:val="clear" w:color="auto" w:fill="FFFFFF"/>
          <w:lang w:val="es-ES_tradnl"/>
        </w:rPr>
        <w:t xml:space="preserve">, </w:t>
      </w:r>
      <w:r w:rsidRPr="00972480">
        <w:rPr>
          <w:sz w:val="16"/>
          <w:szCs w:val="16"/>
          <w:lang w:val="es-ES_tradnl"/>
        </w:rPr>
        <w:t>párr. 328.</w:t>
      </w:r>
    </w:p>
  </w:footnote>
  <w:footnote w:id="190">
    <w:p w:rsidR="00785921" w:rsidRDefault="00785921" w:rsidP="00126E97">
      <w:pPr>
        <w:pStyle w:val="FootnoteText"/>
        <w:spacing w:line="20" w:lineRule="atLeast"/>
        <w:rPr>
          <w:sz w:val="16"/>
          <w:szCs w:val="16"/>
          <w:lang w:val="es-ES_tradnl"/>
        </w:rPr>
      </w:pPr>
      <w:r w:rsidRPr="00065154">
        <w:rPr>
          <w:rStyle w:val="FootnoteReference"/>
          <w:sz w:val="16"/>
          <w:szCs w:val="16"/>
          <w:lang w:val="es-ES_tradnl" w:eastAsia="x-none"/>
        </w:rPr>
        <w:footnoteRef/>
      </w:r>
      <w:r w:rsidRPr="00065154">
        <w:rPr>
          <w:sz w:val="16"/>
          <w:szCs w:val="16"/>
          <w:lang w:val="es-ES_tradnl"/>
        </w:rPr>
        <w:t xml:space="preserve"> Los hechos vividos por los familiares de las víctimas fallecidas fueron relatados por algunos de ellos. Cfr.  al respecto: 1.-  declaraciones en videograbación de 23 de marzo de 2017, incorporadas como prueba documental, presentada junto con el escrito de solicitudes y argumentos, de </w:t>
      </w:r>
      <w:proofErr w:type="spellStart"/>
      <w:r w:rsidRPr="00065154">
        <w:rPr>
          <w:sz w:val="16"/>
          <w:szCs w:val="16"/>
          <w:lang w:val="es-ES_tradnl"/>
        </w:rPr>
        <w:t>Atilana</w:t>
      </w:r>
      <w:proofErr w:type="spellEnd"/>
      <w:r w:rsidRPr="00065154">
        <w:rPr>
          <w:sz w:val="16"/>
          <w:szCs w:val="16"/>
          <w:lang w:val="es-ES_tradnl"/>
        </w:rPr>
        <w:t xml:space="preserve"> Hernández Maldonado, Efraín Grave </w:t>
      </w:r>
      <w:proofErr w:type="spellStart"/>
      <w:r w:rsidRPr="00065154">
        <w:rPr>
          <w:sz w:val="16"/>
          <w:szCs w:val="16"/>
          <w:lang w:val="es-ES_tradnl"/>
        </w:rPr>
        <w:t>Morente</w:t>
      </w:r>
      <w:proofErr w:type="spellEnd"/>
      <w:r w:rsidRPr="00065154">
        <w:rPr>
          <w:sz w:val="16"/>
          <w:szCs w:val="16"/>
          <w:lang w:val="es-ES_tradnl"/>
        </w:rPr>
        <w:t>, Florinda Sales</w:t>
      </w:r>
      <w:r>
        <w:rPr>
          <w:sz w:val="16"/>
          <w:szCs w:val="16"/>
          <w:lang w:val="es-ES_tradnl"/>
        </w:rPr>
        <w:t xml:space="preserve"> Jacinto</w:t>
      </w:r>
      <w:r w:rsidRPr="00065154">
        <w:rPr>
          <w:sz w:val="16"/>
          <w:szCs w:val="16"/>
          <w:lang w:val="es-ES_tradnl"/>
        </w:rPr>
        <w:t xml:space="preserve">, José </w:t>
      </w:r>
      <w:proofErr w:type="spellStart"/>
      <w:r w:rsidRPr="00065154">
        <w:rPr>
          <w:sz w:val="16"/>
          <w:szCs w:val="16"/>
          <w:lang w:val="es-ES_tradnl"/>
        </w:rPr>
        <w:t>Coc</w:t>
      </w:r>
      <w:proofErr w:type="spellEnd"/>
      <w:r w:rsidRPr="00065154">
        <w:rPr>
          <w:sz w:val="16"/>
          <w:szCs w:val="16"/>
          <w:lang w:val="es-ES_tradnl"/>
        </w:rPr>
        <w:t xml:space="preserve"> </w:t>
      </w:r>
      <w:proofErr w:type="spellStart"/>
      <w:r w:rsidRPr="00065154">
        <w:rPr>
          <w:sz w:val="16"/>
          <w:szCs w:val="16"/>
          <w:lang w:val="es-ES_tradnl"/>
        </w:rPr>
        <w:t>Cajbón</w:t>
      </w:r>
      <w:proofErr w:type="spellEnd"/>
      <w:r w:rsidRPr="00065154">
        <w:rPr>
          <w:sz w:val="16"/>
          <w:szCs w:val="16"/>
          <w:lang w:val="es-ES_tradnl"/>
        </w:rPr>
        <w:t xml:space="preserve">, María Medina, María Miguel, Mario Alberto </w:t>
      </w:r>
      <w:r>
        <w:rPr>
          <w:sz w:val="16"/>
          <w:szCs w:val="16"/>
          <w:lang w:val="es-ES_tradnl"/>
        </w:rPr>
        <w:t xml:space="preserve">Ramírez </w:t>
      </w:r>
      <w:r w:rsidRPr="00065154">
        <w:rPr>
          <w:sz w:val="16"/>
          <w:szCs w:val="16"/>
          <w:lang w:val="es-ES_tradnl"/>
        </w:rPr>
        <w:t>Hernández, Manuela Toma Gómez</w:t>
      </w:r>
      <w:r>
        <w:rPr>
          <w:sz w:val="16"/>
          <w:szCs w:val="16"/>
          <w:lang w:val="es-ES_tradnl"/>
        </w:rPr>
        <w:t xml:space="preserve">, Natividad Sales Calmo, Pedro </w:t>
      </w:r>
      <w:proofErr w:type="spellStart"/>
      <w:r>
        <w:rPr>
          <w:sz w:val="16"/>
          <w:szCs w:val="16"/>
          <w:lang w:val="es-ES_tradnl"/>
        </w:rPr>
        <w:t>Coc</w:t>
      </w:r>
      <w:proofErr w:type="spellEnd"/>
      <w:r>
        <w:rPr>
          <w:sz w:val="16"/>
          <w:szCs w:val="16"/>
          <w:lang w:val="es-ES_tradnl"/>
        </w:rPr>
        <w:t xml:space="preserve"> </w:t>
      </w:r>
      <w:proofErr w:type="spellStart"/>
      <w:r>
        <w:rPr>
          <w:sz w:val="16"/>
          <w:szCs w:val="16"/>
          <w:lang w:val="es-ES_tradnl"/>
        </w:rPr>
        <w:t>Ché</w:t>
      </w:r>
      <w:r w:rsidRPr="00065154">
        <w:rPr>
          <w:sz w:val="16"/>
          <w:szCs w:val="16"/>
          <w:lang w:val="es-ES_tradnl"/>
        </w:rPr>
        <w:t>n</w:t>
      </w:r>
      <w:proofErr w:type="spellEnd"/>
      <w:r w:rsidRPr="00065154">
        <w:rPr>
          <w:sz w:val="16"/>
          <w:szCs w:val="16"/>
          <w:lang w:val="es-ES_tradnl"/>
        </w:rPr>
        <w:t>, Petrona M</w:t>
      </w:r>
      <w:r>
        <w:rPr>
          <w:sz w:val="16"/>
          <w:szCs w:val="16"/>
          <w:lang w:val="es-ES_tradnl"/>
        </w:rPr>
        <w:t>iguel Méndez, Ramón Mateo y Tomá</w:t>
      </w:r>
      <w:r w:rsidRPr="00065154">
        <w:rPr>
          <w:sz w:val="16"/>
          <w:szCs w:val="16"/>
          <w:lang w:val="es-ES_tradnl"/>
        </w:rPr>
        <w:t xml:space="preserve">s Grave </w:t>
      </w:r>
      <w:proofErr w:type="spellStart"/>
      <w:r w:rsidRPr="00065154">
        <w:rPr>
          <w:sz w:val="16"/>
          <w:szCs w:val="16"/>
          <w:lang w:val="es-ES_tradnl"/>
        </w:rPr>
        <w:t>Morente</w:t>
      </w:r>
      <w:proofErr w:type="spellEnd"/>
      <w:r w:rsidRPr="00065154">
        <w:rPr>
          <w:sz w:val="16"/>
          <w:szCs w:val="16"/>
          <w:lang w:val="es-ES_tradnl"/>
        </w:rPr>
        <w:t>; 2.-</w:t>
      </w:r>
      <w:r w:rsidRPr="00065154">
        <w:rPr>
          <w:b/>
          <w:sz w:val="16"/>
          <w:szCs w:val="16"/>
          <w:lang w:val="es-ES_tradnl"/>
        </w:rPr>
        <w:t xml:space="preserve"> </w:t>
      </w:r>
      <w:r w:rsidRPr="00065154">
        <w:rPr>
          <w:sz w:val="16"/>
          <w:szCs w:val="16"/>
          <w:lang w:val="es-ES_tradnl"/>
        </w:rPr>
        <w:t xml:space="preserve">Declaraciones de Tomás Grave </w:t>
      </w:r>
      <w:proofErr w:type="spellStart"/>
      <w:r w:rsidRPr="00065154">
        <w:rPr>
          <w:sz w:val="16"/>
          <w:szCs w:val="16"/>
          <w:lang w:val="es-ES_tradnl"/>
        </w:rPr>
        <w:t>Morente</w:t>
      </w:r>
      <w:proofErr w:type="spellEnd"/>
      <w:r w:rsidRPr="00065154">
        <w:rPr>
          <w:sz w:val="16"/>
          <w:szCs w:val="16"/>
          <w:lang w:val="es-ES_tradnl"/>
        </w:rPr>
        <w:t xml:space="preserve"> y de Natividad Sales </w:t>
      </w:r>
      <w:r>
        <w:rPr>
          <w:sz w:val="16"/>
          <w:szCs w:val="16"/>
          <w:lang w:val="es-ES_tradnl"/>
        </w:rPr>
        <w:t xml:space="preserve">Calmo, </w:t>
      </w:r>
      <w:r w:rsidRPr="00065154">
        <w:rPr>
          <w:sz w:val="16"/>
          <w:szCs w:val="16"/>
          <w:lang w:val="es-ES_tradnl"/>
        </w:rPr>
        <w:t>ante la Corte Interamericana</w:t>
      </w:r>
      <w:r>
        <w:rPr>
          <w:sz w:val="16"/>
          <w:szCs w:val="16"/>
          <w:lang w:val="es-ES_tradnl"/>
        </w:rPr>
        <w:t xml:space="preserve">, </w:t>
      </w:r>
      <w:r w:rsidRPr="007F3A90">
        <w:rPr>
          <w:i/>
          <w:sz w:val="16"/>
          <w:szCs w:val="16"/>
          <w:lang w:val="es-ES_tradnl"/>
        </w:rPr>
        <w:t>supra</w:t>
      </w:r>
      <w:r w:rsidRPr="004112F9">
        <w:rPr>
          <w:sz w:val="16"/>
          <w:szCs w:val="16"/>
          <w:lang w:val="es-ES_tradnl"/>
        </w:rPr>
        <w:t xml:space="preserve">; 3.- Declaración de AMQ (expediente de prueba, anexo 3 al Informe de Fondo , folios 5 a 8); 4.- Declaración testimonial de Efraín Grave </w:t>
      </w:r>
      <w:proofErr w:type="spellStart"/>
      <w:r w:rsidRPr="004112F9">
        <w:rPr>
          <w:sz w:val="16"/>
          <w:szCs w:val="16"/>
          <w:lang w:val="es-ES_tradnl"/>
        </w:rPr>
        <w:t>Morente</w:t>
      </w:r>
      <w:proofErr w:type="spellEnd"/>
      <w:r w:rsidRPr="004112F9">
        <w:rPr>
          <w:sz w:val="16"/>
          <w:szCs w:val="16"/>
          <w:lang w:val="es-ES_tradnl"/>
        </w:rPr>
        <w:t xml:space="preserve"> ante el Organismo Judicial Guatemala, C.A, </w:t>
      </w:r>
      <w:r>
        <w:rPr>
          <w:i/>
          <w:sz w:val="16"/>
          <w:szCs w:val="16"/>
          <w:lang w:val="es-ES_tradnl"/>
        </w:rPr>
        <w:t>supra</w:t>
      </w:r>
      <w:r w:rsidRPr="004112F9">
        <w:rPr>
          <w:sz w:val="16"/>
          <w:szCs w:val="16"/>
          <w:lang w:val="es-ES_tradnl"/>
        </w:rPr>
        <w:t xml:space="preserve">, y 5.- Declaración de Efraín Grave </w:t>
      </w:r>
      <w:proofErr w:type="spellStart"/>
      <w:r w:rsidRPr="004112F9">
        <w:rPr>
          <w:sz w:val="16"/>
          <w:szCs w:val="16"/>
          <w:lang w:val="es-ES_tradnl"/>
        </w:rPr>
        <w:t>Morente</w:t>
      </w:r>
      <w:proofErr w:type="spellEnd"/>
      <w:r w:rsidRPr="004112F9">
        <w:rPr>
          <w:sz w:val="16"/>
          <w:szCs w:val="16"/>
          <w:lang w:val="es-ES_tradnl"/>
        </w:rPr>
        <w:t xml:space="preserve"> ante la Corte, </w:t>
      </w:r>
      <w:r>
        <w:rPr>
          <w:i/>
          <w:sz w:val="16"/>
          <w:szCs w:val="16"/>
          <w:lang w:val="es-ES_tradnl"/>
        </w:rPr>
        <w:t>supra</w:t>
      </w:r>
      <w:r w:rsidRPr="004112F9">
        <w:rPr>
          <w:sz w:val="16"/>
          <w:szCs w:val="16"/>
          <w:lang w:val="es-ES_tradnl"/>
        </w:rPr>
        <w:t>.</w:t>
      </w:r>
      <w:r>
        <w:rPr>
          <w:sz w:val="16"/>
          <w:szCs w:val="16"/>
          <w:lang w:val="es-ES_tradnl"/>
        </w:rPr>
        <w:t xml:space="preserve"> </w:t>
      </w:r>
    </w:p>
  </w:footnote>
  <w:footnote w:id="191">
    <w:p w:rsidR="00785921" w:rsidRDefault="00785921" w:rsidP="00126E97">
      <w:pPr>
        <w:pStyle w:val="FootnoteText"/>
        <w:spacing w:line="20" w:lineRule="atLeast"/>
        <w:rPr>
          <w:sz w:val="16"/>
          <w:szCs w:val="16"/>
          <w:lang w:val="es-ES_tradnl"/>
        </w:rPr>
      </w:pPr>
      <w:r>
        <w:rPr>
          <w:rStyle w:val="FootnoteReference"/>
          <w:sz w:val="16"/>
          <w:szCs w:val="16"/>
          <w:lang w:val="es-ES_tradnl" w:eastAsia="x-none"/>
        </w:rPr>
        <w:footnoteRef/>
      </w:r>
      <w:r>
        <w:rPr>
          <w:sz w:val="16"/>
          <w:szCs w:val="16"/>
          <w:lang w:val="es-ES_tradnl"/>
        </w:rPr>
        <w:t xml:space="preserve"> </w:t>
      </w:r>
      <w:r w:rsidRPr="0029452A">
        <w:rPr>
          <w:i/>
          <w:sz w:val="16"/>
          <w:szCs w:val="16"/>
          <w:lang w:val="es-ES_tradnl"/>
        </w:rPr>
        <w:t>Cfr</w:t>
      </w:r>
      <w:r>
        <w:rPr>
          <w:sz w:val="16"/>
          <w:szCs w:val="16"/>
          <w:lang w:val="es-ES_tradnl"/>
        </w:rPr>
        <w:t xml:space="preserve">. Declaración rendida por Tomás Grave </w:t>
      </w:r>
      <w:proofErr w:type="spellStart"/>
      <w:r>
        <w:rPr>
          <w:sz w:val="16"/>
          <w:szCs w:val="16"/>
          <w:lang w:val="es-ES_tradnl"/>
        </w:rPr>
        <w:t>Morente</w:t>
      </w:r>
      <w:proofErr w:type="spellEnd"/>
      <w:r>
        <w:rPr>
          <w:sz w:val="16"/>
          <w:szCs w:val="16"/>
          <w:lang w:val="es-ES_tradnl"/>
        </w:rPr>
        <w:t xml:space="preserve"> ante la Corte Interamericana, </w:t>
      </w:r>
      <w:r>
        <w:rPr>
          <w:i/>
          <w:sz w:val="16"/>
          <w:szCs w:val="16"/>
          <w:lang w:val="es-ES_tradnl"/>
        </w:rPr>
        <w:t>supra</w:t>
      </w:r>
      <w:r>
        <w:rPr>
          <w:sz w:val="16"/>
          <w:szCs w:val="16"/>
          <w:lang w:val="es-ES_tradnl"/>
        </w:rPr>
        <w:t xml:space="preserve">, en la cual relató los últimos momentos que paso con su madre, Hilaria </w:t>
      </w:r>
      <w:proofErr w:type="spellStart"/>
      <w:r>
        <w:rPr>
          <w:sz w:val="16"/>
          <w:szCs w:val="16"/>
          <w:lang w:val="es-ES_tradnl"/>
        </w:rPr>
        <w:t>Morente</w:t>
      </w:r>
      <w:proofErr w:type="spellEnd"/>
      <w:r>
        <w:rPr>
          <w:sz w:val="16"/>
          <w:szCs w:val="16"/>
          <w:lang w:val="es-ES_tradnl"/>
        </w:rPr>
        <w:t xml:space="preserve"> de la Cruz. El señor Tomás Grave </w:t>
      </w:r>
      <w:proofErr w:type="spellStart"/>
      <w:r>
        <w:rPr>
          <w:sz w:val="16"/>
          <w:szCs w:val="16"/>
          <w:lang w:val="es-ES_tradnl"/>
        </w:rPr>
        <w:t>Morente</w:t>
      </w:r>
      <w:proofErr w:type="spellEnd"/>
      <w:r>
        <w:rPr>
          <w:sz w:val="16"/>
          <w:szCs w:val="16"/>
          <w:lang w:val="es-ES_tradnl"/>
        </w:rPr>
        <w:t xml:space="preserve"> dijo: “Yo fui con ella, y todavía pude ver que a ella le dieron dos balazos aquí en el pecho, estaba sangrando, y todavía me dijo: ‘mijo, mijo, cuídate, yo ya no voy a aguanta’” y empezó a despedirse, ya con señas de morir. Yo lo que hice me quité la playera y la puse en la cara porque se veía mal”.</w:t>
      </w:r>
    </w:p>
  </w:footnote>
  <w:footnote w:id="192">
    <w:p w:rsidR="00785921" w:rsidRDefault="00785921" w:rsidP="00126E97">
      <w:pPr>
        <w:pStyle w:val="FootnoteText"/>
        <w:spacing w:line="20" w:lineRule="atLeast"/>
        <w:rPr>
          <w:sz w:val="16"/>
          <w:szCs w:val="16"/>
          <w:lang w:val="es-ES_tradnl"/>
        </w:rPr>
      </w:pPr>
      <w:r>
        <w:rPr>
          <w:rStyle w:val="FootnoteReference"/>
          <w:sz w:val="16"/>
          <w:szCs w:val="16"/>
          <w:lang w:val="es-ES_tradnl" w:eastAsia="x-none"/>
        </w:rPr>
        <w:footnoteRef/>
      </w:r>
      <w:r>
        <w:rPr>
          <w:sz w:val="16"/>
          <w:szCs w:val="16"/>
          <w:lang w:val="es-ES_tradnl"/>
        </w:rPr>
        <w:t xml:space="preserve"> Aunado a ello, y en el mismo sentido, cabe referir la declaración de Efraín Grave </w:t>
      </w:r>
      <w:proofErr w:type="spellStart"/>
      <w:r>
        <w:rPr>
          <w:sz w:val="16"/>
          <w:szCs w:val="16"/>
          <w:lang w:val="es-ES_tradnl"/>
        </w:rPr>
        <w:t>Morente</w:t>
      </w:r>
      <w:proofErr w:type="spellEnd"/>
      <w:r>
        <w:rPr>
          <w:sz w:val="16"/>
          <w:szCs w:val="16"/>
          <w:lang w:val="es-ES_tradnl"/>
        </w:rPr>
        <w:t xml:space="preserve"> ante la Corte Interamericana, </w:t>
      </w:r>
      <w:r>
        <w:rPr>
          <w:i/>
          <w:sz w:val="16"/>
          <w:szCs w:val="16"/>
          <w:lang w:val="es-ES_tradnl"/>
        </w:rPr>
        <w:t>supra</w:t>
      </w:r>
      <w:r>
        <w:rPr>
          <w:sz w:val="16"/>
          <w:szCs w:val="16"/>
          <w:lang w:val="es-ES_tradnl"/>
        </w:rPr>
        <w:t xml:space="preserve">. Con relación a la falta de asistencia psicológica señaló: “No recibí ninguna ayuda psicológica de parte del Estado totalmente abandonado, tuvimos apoyo pero por parte de una ONGS, que es Médicos del Mundo de España, pero eso no tiene nada que ver con el Estado de Guatemala, el Estado de Guatemala ni siquiera una pastilla nos </w:t>
      </w:r>
      <w:proofErr w:type="spellStart"/>
      <w:proofErr w:type="gramStart"/>
      <w:r>
        <w:rPr>
          <w:sz w:val="16"/>
          <w:szCs w:val="16"/>
          <w:lang w:val="es-ES_tradnl"/>
        </w:rPr>
        <w:t>regat</w:t>
      </w:r>
      <w:proofErr w:type="spellEnd"/>
      <w:r>
        <w:rPr>
          <w:sz w:val="16"/>
          <w:szCs w:val="16"/>
          <w:lang w:val="es-ES_tradnl"/>
        </w:rPr>
        <w:t>[</w:t>
      </w:r>
      <w:proofErr w:type="spellStart"/>
      <w:proofErr w:type="gramEnd"/>
      <w:r>
        <w:rPr>
          <w:sz w:val="16"/>
          <w:szCs w:val="16"/>
          <w:lang w:val="es-ES_tradnl"/>
        </w:rPr>
        <w:t>ló</w:t>
      </w:r>
      <w:proofErr w:type="spellEnd"/>
      <w:r>
        <w:rPr>
          <w:sz w:val="16"/>
          <w:szCs w:val="16"/>
          <w:lang w:val="es-ES_tradnl"/>
        </w:rPr>
        <w:t>]o para quitarnos el susto”.</w:t>
      </w:r>
    </w:p>
  </w:footnote>
  <w:footnote w:id="193">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Tampoco con respecto a Gerardo Maldonado Sales la Corte determinó la vulneración de su derecho a la vida, que había sido alegada, pero respecto a él no se han indicado familiares. </w:t>
      </w:r>
    </w:p>
  </w:footnote>
  <w:footnote w:id="194">
    <w:p w:rsidR="00785921" w:rsidRDefault="00785921" w:rsidP="00126E97">
      <w:pPr>
        <w:pStyle w:val="FootnoteText"/>
        <w:spacing w:line="20" w:lineRule="atLeast"/>
        <w:rPr>
          <w:sz w:val="16"/>
          <w:szCs w:val="16"/>
          <w:lang w:val="es-ES_tradnl"/>
        </w:rPr>
      </w:pPr>
      <w:r>
        <w:rPr>
          <w:rStyle w:val="FootnoteReference"/>
          <w:sz w:val="16"/>
          <w:szCs w:val="16"/>
          <w:lang w:val="es-ES_tradnl" w:eastAsia="x-none"/>
        </w:rPr>
        <w:footnoteRef/>
      </w:r>
      <w:r>
        <w:rPr>
          <w:sz w:val="16"/>
          <w:szCs w:val="16"/>
          <w:lang w:val="es-ES_tradnl"/>
        </w:rPr>
        <w:t xml:space="preserve"> </w:t>
      </w:r>
      <w:r w:rsidRPr="00B32759">
        <w:rPr>
          <w:i/>
          <w:sz w:val="16"/>
          <w:szCs w:val="16"/>
          <w:lang w:val="es-ES_tradnl"/>
        </w:rPr>
        <w:t>Cfr.</w:t>
      </w:r>
      <w:r>
        <w:rPr>
          <w:sz w:val="16"/>
          <w:szCs w:val="16"/>
          <w:lang w:val="es-ES_tradnl"/>
        </w:rPr>
        <w:t xml:space="preserve"> Declaraciones por videograbaciones de 23 de marzo de 2017, incorporadas como prueba documental, presentadas junto con el escrito de solicitudes y argumentos, de </w:t>
      </w:r>
      <w:proofErr w:type="spellStart"/>
      <w:r>
        <w:rPr>
          <w:sz w:val="16"/>
          <w:szCs w:val="16"/>
          <w:lang w:val="es-ES_tradnl"/>
        </w:rPr>
        <w:t>Atilana</w:t>
      </w:r>
      <w:proofErr w:type="spellEnd"/>
      <w:r>
        <w:rPr>
          <w:sz w:val="16"/>
          <w:szCs w:val="16"/>
          <w:lang w:val="es-ES_tradnl"/>
        </w:rPr>
        <w:t xml:space="preserve"> Hernández Maldonado y Rolando Hernández Maldonado</w:t>
      </w:r>
      <w:r w:rsidRPr="0029452A">
        <w:rPr>
          <w:sz w:val="16"/>
          <w:szCs w:val="16"/>
          <w:lang w:val="es-ES_tradnl"/>
        </w:rPr>
        <w:t>.</w:t>
      </w:r>
    </w:p>
  </w:footnote>
  <w:footnote w:id="195">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sidRPr="00637508">
        <w:rPr>
          <w:sz w:val="16"/>
          <w:szCs w:val="16"/>
          <w:lang w:val="es-CR"/>
        </w:rPr>
        <w:t xml:space="preserve"> </w:t>
      </w:r>
      <w:r>
        <w:rPr>
          <w:sz w:val="16"/>
          <w:szCs w:val="16"/>
          <w:lang w:val="es-CR"/>
        </w:rPr>
        <w:t>El artículo 21 de la Convención dice: “1. Toda persona tiene derecho al uso y goce de sus bienes.  La ley puede subordinar tal uso y goce al interés social.  2. Ninguna persona puede ser privada de sus bienes, excepto mediante el pago de indemnización justa, por razones de utilidad pública o de interés social y en los casos y según las formas establecidas por la ley. 3. Tanto la usura como cualquier otra forma de explotación del hombre por el hombre, deben ser prohibidas por la ley”.</w:t>
      </w:r>
    </w:p>
  </w:footnote>
  <w:footnote w:id="196">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Pr>
          <w:i/>
          <w:sz w:val="16"/>
          <w:szCs w:val="16"/>
          <w:lang w:val="es-CR"/>
        </w:rPr>
        <w:t>Caso Cinco Pensionistas Vs. Perú</w:t>
      </w:r>
      <w:r>
        <w:rPr>
          <w:sz w:val="16"/>
          <w:szCs w:val="16"/>
          <w:lang w:val="es-CR"/>
        </w:rPr>
        <w:t xml:space="preserve">. </w:t>
      </w:r>
      <w:r>
        <w:rPr>
          <w:i/>
          <w:sz w:val="16"/>
          <w:szCs w:val="16"/>
          <w:lang w:val="es-CR"/>
        </w:rPr>
        <w:t>Fondo, Reparaciones y Costas</w:t>
      </w:r>
      <w:r>
        <w:rPr>
          <w:sz w:val="16"/>
          <w:szCs w:val="16"/>
          <w:lang w:val="es-CR"/>
        </w:rPr>
        <w:t xml:space="preserve">. Sentencia de 28 de febrero de 2003. Serie C No. 98, párr. 155, y </w:t>
      </w:r>
      <w:r w:rsidRPr="0029452A">
        <w:rPr>
          <w:i/>
          <w:sz w:val="16"/>
          <w:szCs w:val="16"/>
          <w:lang w:val="es-CR"/>
        </w:rPr>
        <w:t>Caso I.V. Vs. Bolivia</w:t>
      </w:r>
      <w:r>
        <w:rPr>
          <w:sz w:val="16"/>
          <w:szCs w:val="16"/>
          <w:lang w:val="es-CR"/>
        </w:rPr>
        <w:t xml:space="preserve">. </w:t>
      </w:r>
      <w:r w:rsidRPr="00226EED">
        <w:rPr>
          <w:i/>
          <w:sz w:val="16"/>
          <w:szCs w:val="16"/>
          <w:lang w:val="es-CR"/>
        </w:rPr>
        <w:t>Excepciones Preliminares, Fondo, Reparaciones y Costas</w:t>
      </w:r>
      <w:r>
        <w:rPr>
          <w:sz w:val="16"/>
          <w:szCs w:val="16"/>
          <w:lang w:val="es-CR"/>
        </w:rPr>
        <w:t>. Sentencia de 30 de noviembre de 2016. Serie C No. 329, párr. 48</w:t>
      </w:r>
    </w:p>
  </w:footnote>
  <w:footnote w:id="197">
    <w:p w:rsidR="00785921" w:rsidRDefault="00785921" w:rsidP="00126E97">
      <w:pPr>
        <w:pStyle w:val="FootnoteText"/>
        <w:spacing w:line="20" w:lineRule="atLeast"/>
        <w:rPr>
          <w:sz w:val="16"/>
          <w:szCs w:val="16"/>
          <w:lang w:val="es-CR"/>
        </w:rPr>
      </w:pPr>
      <w:r w:rsidRPr="00226EED">
        <w:rPr>
          <w:rStyle w:val="FootnoteReference"/>
          <w:sz w:val="16"/>
          <w:szCs w:val="16"/>
          <w:lang w:val="es-CR" w:eastAsia="x-none"/>
        </w:rPr>
        <w:footnoteRef/>
      </w:r>
      <w:r>
        <w:rPr>
          <w:i/>
          <w:sz w:val="16"/>
          <w:szCs w:val="16"/>
          <w:lang w:val="es-CR"/>
        </w:rPr>
        <w:t xml:space="preserve"> Caso </w:t>
      </w:r>
      <w:proofErr w:type="spellStart"/>
      <w:r>
        <w:rPr>
          <w:i/>
          <w:sz w:val="16"/>
          <w:szCs w:val="16"/>
          <w:lang w:val="es-CR"/>
        </w:rPr>
        <w:t>Ivcher</w:t>
      </w:r>
      <w:proofErr w:type="spellEnd"/>
      <w:r>
        <w:rPr>
          <w:i/>
          <w:sz w:val="16"/>
          <w:szCs w:val="16"/>
          <w:lang w:val="es-CR"/>
        </w:rPr>
        <w:t xml:space="preserve"> </w:t>
      </w:r>
      <w:proofErr w:type="spellStart"/>
      <w:r>
        <w:rPr>
          <w:i/>
          <w:sz w:val="16"/>
          <w:szCs w:val="16"/>
          <w:lang w:val="es-CR"/>
        </w:rPr>
        <w:t>Bronstein</w:t>
      </w:r>
      <w:proofErr w:type="spellEnd"/>
      <w:r>
        <w:rPr>
          <w:i/>
          <w:sz w:val="16"/>
          <w:szCs w:val="16"/>
          <w:lang w:val="es-CR"/>
        </w:rPr>
        <w:t xml:space="preserve"> Vs. Perú</w:t>
      </w:r>
      <w:r>
        <w:rPr>
          <w:sz w:val="16"/>
          <w:szCs w:val="16"/>
          <w:lang w:val="es-CR"/>
        </w:rPr>
        <w:t xml:space="preserve">. </w:t>
      </w:r>
      <w:r>
        <w:rPr>
          <w:i/>
          <w:sz w:val="16"/>
          <w:szCs w:val="16"/>
          <w:lang w:val="es-CR"/>
        </w:rPr>
        <w:t>Reparaciones y Costas</w:t>
      </w:r>
      <w:r>
        <w:rPr>
          <w:sz w:val="16"/>
          <w:szCs w:val="16"/>
          <w:lang w:val="es-CR"/>
        </w:rPr>
        <w:t xml:space="preserve">. Sentencia de 6 de febrero de 2001. Serie C No. 74, </w:t>
      </w:r>
      <w:proofErr w:type="spellStart"/>
      <w:r>
        <w:rPr>
          <w:sz w:val="16"/>
          <w:szCs w:val="16"/>
          <w:lang w:val="es-CR"/>
        </w:rPr>
        <w:t>párrs</w:t>
      </w:r>
      <w:proofErr w:type="spellEnd"/>
      <w:r>
        <w:rPr>
          <w:sz w:val="16"/>
          <w:szCs w:val="16"/>
          <w:lang w:val="es-CR"/>
        </w:rPr>
        <w:t xml:space="preserve">. 120 a 122, </w:t>
      </w:r>
      <w:r>
        <w:rPr>
          <w:i/>
          <w:sz w:val="16"/>
          <w:szCs w:val="16"/>
          <w:lang w:val="es-CR"/>
        </w:rPr>
        <w:t>y Caso Vereda La Esperanza Vs. Colombia</w:t>
      </w:r>
      <w:r>
        <w:rPr>
          <w:sz w:val="16"/>
          <w:szCs w:val="16"/>
          <w:lang w:val="es-CR"/>
        </w:rPr>
        <w:t xml:space="preserve">. </w:t>
      </w:r>
      <w:r>
        <w:rPr>
          <w:i/>
          <w:sz w:val="16"/>
          <w:szCs w:val="16"/>
          <w:lang w:val="es-CR"/>
        </w:rPr>
        <w:t>Excepciones Preliminares, Fondo, Reparaciones y Costas</w:t>
      </w:r>
      <w:r>
        <w:rPr>
          <w:sz w:val="16"/>
          <w:szCs w:val="16"/>
          <w:lang w:val="es-CR"/>
        </w:rPr>
        <w:t xml:space="preserve">. Sentencia de 31 de agosto de 2017. Serie C No. 341, párr. 240.  </w:t>
      </w:r>
    </w:p>
  </w:footnote>
  <w:footnote w:id="198">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Pr>
          <w:i/>
          <w:sz w:val="16"/>
          <w:szCs w:val="16"/>
          <w:lang w:val="es-CR"/>
        </w:rPr>
        <w:t xml:space="preserve">Caso de las Masacres de </w:t>
      </w:r>
      <w:proofErr w:type="spellStart"/>
      <w:r>
        <w:rPr>
          <w:i/>
          <w:sz w:val="16"/>
          <w:szCs w:val="16"/>
          <w:lang w:val="es-CR"/>
        </w:rPr>
        <w:t>Ituango</w:t>
      </w:r>
      <w:proofErr w:type="spellEnd"/>
      <w:r>
        <w:rPr>
          <w:sz w:val="16"/>
          <w:szCs w:val="16"/>
          <w:lang w:val="es-CR"/>
        </w:rPr>
        <w:t xml:space="preserve"> </w:t>
      </w:r>
      <w:r>
        <w:rPr>
          <w:i/>
          <w:sz w:val="16"/>
          <w:szCs w:val="16"/>
          <w:lang w:val="es-CR"/>
        </w:rPr>
        <w:t xml:space="preserve">Vs. Colombia. </w:t>
      </w:r>
      <w:r w:rsidRPr="00226EED">
        <w:rPr>
          <w:sz w:val="16"/>
          <w:szCs w:val="16"/>
          <w:lang w:val="es-CR"/>
        </w:rPr>
        <w:t>Sentencia de 1 de julio de 2006. Serie C No. 148</w:t>
      </w:r>
      <w:r>
        <w:rPr>
          <w:sz w:val="16"/>
          <w:szCs w:val="16"/>
          <w:lang w:val="es-CR"/>
        </w:rPr>
        <w:t xml:space="preserve">, párr. 182 y </w:t>
      </w:r>
      <w:r>
        <w:rPr>
          <w:i/>
          <w:sz w:val="16"/>
          <w:szCs w:val="16"/>
          <w:lang w:val="es-CR"/>
        </w:rPr>
        <w:t>Caso Vereda La Esperanza Vs. Colombia, supra</w:t>
      </w:r>
      <w:r>
        <w:rPr>
          <w:sz w:val="16"/>
          <w:szCs w:val="16"/>
          <w:lang w:val="es-CR"/>
        </w:rPr>
        <w:t>, párr. 241.</w:t>
      </w:r>
    </w:p>
  </w:footnote>
  <w:footnote w:id="199">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En la sentencia condenatoria de 8 de julio de 2004 (</w:t>
      </w:r>
      <w:r w:rsidRPr="00637508">
        <w:rPr>
          <w:i/>
          <w:sz w:val="16"/>
          <w:szCs w:val="16"/>
          <w:lang w:val="es-CR"/>
        </w:rPr>
        <w:t>supra</w:t>
      </w:r>
      <w:r w:rsidRPr="00637508">
        <w:rPr>
          <w:sz w:val="16"/>
          <w:szCs w:val="16"/>
          <w:lang w:val="es-CR"/>
        </w:rPr>
        <w:t xml:space="preserve">, párr. </w:t>
      </w:r>
      <w:r>
        <w:rPr>
          <w:sz w:val="16"/>
          <w:szCs w:val="16"/>
          <w:lang w:val="es-CR"/>
        </w:rPr>
        <w:t>64</w:t>
      </w:r>
      <w:r w:rsidRPr="00637508">
        <w:rPr>
          <w:sz w:val="16"/>
          <w:szCs w:val="16"/>
          <w:lang w:val="es-CR"/>
        </w:rPr>
        <w:t>) se da como un hecho acreditado que el 5 de octubre de 1995</w:t>
      </w:r>
      <w:r>
        <w:rPr>
          <w:sz w:val="16"/>
          <w:szCs w:val="16"/>
          <w:lang w:val="es-CR"/>
        </w:rPr>
        <w:t>,</w:t>
      </w:r>
      <w:r w:rsidRPr="00637508">
        <w:rPr>
          <w:sz w:val="16"/>
          <w:szCs w:val="16"/>
          <w:lang w:val="es-CR"/>
        </w:rPr>
        <w:t xml:space="preserve"> lo</w:t>
      </w:r>
      <w:r>
        <w:rPr>
          <w:sz w:val="16"/>
          <w:szCs w:val="16"/>
          <w:lang w:val="es-CR"/>
        </w:rPr>
        <w:t>s</w:t>
      </w:r>
      <w:r w:rsidRPr="00637508">
        <w:rPr>
          <w:sz w:val="16"/>
          <w:szCs w:val="16"/>
          <w:lang w:val="es-CR"/>
        </w:rPr>
        <w:t xml:space="preserve"> militares ingresaron a “la propiedad de la Cooperativa Unión Maya, denominada Finca </w:t>
      </w:r>
      <w:proofErr w:type="spellStart"/>
      <w:r w:rsidRPr="00637508">
        <w:rPr>
          <w:sz w:val="16"/>
          <w:szCs w:val="16"/>
          <w:lang w:val="es-CR"/>
        </w:rPr>
        <w:t>Xamán</w:t>
      </w:r>
      <w:proofErr w:type="spellEnd"/>
      <w:r w:rsidRPr="00637508">
        <w:rPr>
          <w:sz w:val="16"/>
          <w:szCs w:val="16"/>
          <w:lang w:val="es-CR"/>
        </w:rPr>
        <w:t>” (</w:t>
      </w:r>
      <w:r>
        <w:rPr>
          <w:sz w:val="16"/>
          <w:szCs w:val="16"/>
          <w:lang w:val="es-CR"/>
        </w:rPr>
        <w:t>s</w:t>
      </w:r>
      <w:r w:rsidRPr="00637508">
        <w:rPr>
          <w:sz w:val="16"/>
          <w:szCs w:val="16"/>
          <w:lang w:val="es-CR"/>
        </w:rPr>
        <w:t>entencia de 8 de julio de 2004</w:t>
      </w:r>
      <w:r>
        <w:rPr>
          <w:sz w:val="16"/>
          <w:szCs w:val="16"/>
          <w:lang w:val="es-CR"/>
        </w:rPr>
        <w:t xml:space="preserve">, </w:t>
      </w:r>
      <w:r w:rsidRPr="00745BF3">
        <w:rPr>
          <w:i/>
          <w:sz w:val="16"/>
          <w:szCs w:val="16"/>
          <w:lang w:val="es-CR"/>
        </w:rPr>
        <w:t>supra</w:t>
      </w:r>
      <w:r>
        <w:rPr>
          <w:sz w:val="16"/>
          <w:szCs w:val="16"/>
          <w:lang w:val="es-CR"/>
        </w:rPr>
        <w:t>)</w:t>
      </w:r>
      <w:r w:rsidRPr="00745BF3">
        <w:rPr>
          <w:sz w:val="16"/>
          <w:szCs w:val="16"/>
          <w:lang w:val="es-CR"/>
        </w:rPr>
        <w:t>.</w:t>
      </w:r>
      <w:r w:rsidRPr="00637508">
        <w:rPr>
          <w:b/>
          <w:sz w:val="16"/>
          <w:szCs w:val="16"/>
          <w:lang w:val="es-CR"/>
        </w:rPr>
        <w:t xml:space="preserve"> </w:t>
      </w:r>
      <w:r w:rsidRPr="00637508">
        <w:rPr>
          <w:sz w:val="16"/>
          <w:szCs w:val="16"/>
          <w:lang w:val="es-CR"/>
        </w:rPr>
        <w:t>Los representantes, preguntados por la Corte sobre la propiedad de la tierra, se manifestaron en igual sentido, aclarando que pertenecía a la Cooperativa Integral Agrícola Unión Maya, conformada por “algunos de los afectados por la masacre”, a quienes no identificaron, así como por otras personas “que retornaron</w:t>
      </w:r>
      <w:r>
        <w:rPr>
          <w:sz w:val="16"/>
          <w:szCs w:val="16"/>
          <w:lang w:val="es-CR"/>
        </w:rPr>
        <w:t>”.</w:t>
      </w:r>
    </w:p>
  </w:footnote>
  <w:footnote w:id="200">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El artículo 24 de la Convención reza: “</w:t>
      </w:r>
      <w:r w:rsidRPr="00637508">
        <w:rPr>
          <w:rFonts w:cs="Tahoma"/>
          <w:color w:val="000000"/>
          <w:sz w:val="16"/>
          <w:szCs w:val="16"/>
          <w:lang w:val="es-CR"/>
        </w:rPr>
        <w:t xml:space="preserve">Todas las personas son iguales ante la ley.  En consecuencia, tienen derecho, sin discriminación, a igual protección de la ley”. </w:t>
      </w:r>
      <w:r w:rsidRPr="00637508">
        <w:rPr>
          <w:sz w:val="16"/>
          <w:szCs w:val="16"/>
          <w:lang w:val="es-CR"/>
        </w:rPr>
        <w:t xml:space="preserve"> </w:t>
      </w:r>
    </w:p>
  </w:footnote>
  <w:footnote w:id="201">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sidRPr="0029452A">
        <w:rPr>
          <w:i/>
          <w:sz w:val="16"/>
          <w:szCs w:val="16"/>
          <w:lang w:val="es-CR"/>
        </w:rPr>
        <w:t>Cfr</w:t>
      </w:r>
      <w:r>
        <w:rPr>
          <w:sz w:val="16"/>
          <w:szCs w:val="16"/>
          <w:lang w:val="es-CR"/>
        </w:rPr>
        <w:t>.</w:t>
      </w:r>
      <w:r w:rsidRPr="0029452A">
        <w:rPr>
          <w:i/>
          <w:sz w:val="16"/>
          <w:szCs w:val="16"/>
          <w:lang w:val="es-CR"/>
        </w:rPr>
        <w:t xml:space="preserve"> Caso </w:t>
      </w:r>
      <w:proofErr w:type="spellStart"/>
      <w:r w:rsidRPr="0029452A">
        <w:rPr>
          <w:i/>
          <w:sz w:val="16"/>
          <w:szCs w:val="16"/>
          <w:lang w:val="es-CR"/>
        </w:rPr>
        <w:t>Tiu</w:t>
      </w:r>
      <w:proofErr w:type="spellEnd"/>
      <w:r w:rsidRPr="0029452A">
        <w:rPr>
          <w:i/>
          <w:sz w:val="16"/>
          <w:szCs w:val="16"/>
          <w:lang w:val="es-CR"/>
        </w:rPr>
        <w:t xml:space="preserve"> </w:t>
      </w:r>
      <w:proofErr w:type="spellStart"/>
      <w:r w:rsidRPr="0029452A">
        <w:rPr>
          <w:i/>
          <w:sz w:val="16"/>
          <w:szCs w:val="16"/>
          <w:lang w:val="es-CR"/>
        </w:rPr>
        <w:t>Tojín</w:t>
      </w:r>
      <w:proofErr w:type="spellEnd"/>
      <w:r w:rsidRPr="0029452A">
        <w:rPr>
          <w:i/>
          <w:sz w:val="16"/>
          <w:szCs w:val="16"/>
          <w:lang w:val="es-CR"/>
        </w:rPr>
        <w:t xml:space="preserve"> Vs. Guatemala</w:t>
      </w:r>
      <w:r>
        <w:rPr>
          <w:sz w:val="16"/>
          <w:szCs w:val="16"/>
          <w:lang w:val="es-CR"/>
        </w:rPr>
        <w:t xml:space="preserve">. </w:t>
      </w:r>
      <w:r w:rsidRPr="002706B2">
        <w:rPr>
          <w:i/>
          <w:sz w:val="16"/>
          <w:szCs w:val="16"/>
          <w:lang w:val="es-CR"/>
        </w:rPr>
        <w:t>Fondo, Reparaciones y Costas.</w:t>
      </w:r>
      <w:r>
        <w:rPr>
          <w:sz w:val="16"/>
          <w:szCs w:val="16"/>
          <w:lang w:val="es-CR"/>
        </w:rPr>
        <w:t xml:space="preserve"> Sentencia de 26 de noviembre de 2008. Serie C No. 190, párr. 100 y</w:t>
      </w:r>
      <w:r w:rsidRPr="00D267F7">
        <w:rPr>
          <w:i/>
          <w:sz w:val="16"/>
          <w:szCs w:val="16"/>
          <w:lang w:val="es-CR"/>
        </w:rPr>
        <w:t xml:space="preserve"> </w:t>
      </w:r>
      <w:r w:rsidRPr="00223B9D">
        <w:rPr>
          <w:i/>
          <w:sz w:val="16"/>
          <w:szCs w:val="16"/>
          <w:lang w:val="es-CR"/>
        </w:rPr>
        <w:t xml:space="preserve">Caso Miembros de la Aldea </w:t>
      </w:r>
      <w:proofErr w:type="spellStart"/>
      <w:r w:rsidRPr="00223B9D">
        <w:rPr>
          <w:i/>
          <w:sz w:val="16"/>
          <w:szCs w:val="16"/>
          <w:lang w:val="es-CR"/>
        </w:rPr>
        <w:t>Chichupac</w:t>
      </w:r>
      <w:proofErr w:type="spellEnd"/>
      <w:r w:rsidRPr="00223B9D">
        <w:rPr>
          <w:i/>
          <w:sz w:val="16"/>
          <w:szCs w:val="16"/>
          <w:lang w:val="es-CR"/>
        </w:rPr>
        <w:t xml:space="preserve"> y comunidades vecinas del Municipio de Rabinal Vs. Guatemala</w:t>
      </w:r>
      <w:r>
        <w:rPr>
          <w:i/>
          <w:sz w:val="16"/>
          <w:szCs w:val="16"/>
          <w:lang w:val="es-CR"/>
        </w:rPr>
        <w:t>, supra</w:t>
      </w:r>
      <w:r>
        <w:rPr>
          <w:sz w:val="16"/>
          <w:szCs w:val="16"/>
          <w:lang w:val="es-CR"/>
        </w:rPr>
        <w:t>, párr. 258.</w:t>
      </w:r>
    </w:p>
  </w:footnote>
  <w:footnote w:id="202">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Al respecto, la Corte nota que la declaración pericial de Alejandro Rodríguez </w:t>
      </w:r>
      <w:proofErr w:type="spellStart"/>
      <w:r w:rsidRPr="00637508">
        <w:rPr>
          <w:sz w:val="16"/>
          <w:szCs w:val="16"/>
          <w:lang w:val="es-CR"/>
        </w:rPr>
        <w:t>Barillas</w:t>
      </w:r>
      <w:proofErr w:type="spellEnd"/>
      <w:r w:rsidRPr="00637508">
        <w:rPr>
          <w:sz w:val="16"/>
          <w:szCs w:val="16"/>
          <w:lang w:val="es-CR"/>
        </w:rPr>
        <w:t>, incorporada como prueba documental</w:t>
      </w:r>
      <w:r>
        <w:rPr>
          <w:sz w:val="16"/>
          <w:szCs w:val="16"/>
          <w:lang w:val="es-CR"/>
        </w:rPr>
        <w:t xml:space="preserve"> (e</w:t>
      </w:r>
      <w:r w:rsidRPr="00637508">
        <w:rPr>
          <w:sz w:val="16"/>
          <w:szCs w:val="16"/>
          <w:lang w:val="es-CR"/>
        </w:rPr>
        <w:t>xpediente de fondo, f</w:t>
      </w:r>
      <w:r>
        <w:rPr>
          <w:sz w:val="16"/>
          <w:szCs w:val="16"/>
          <w:lang w:val="es-CR"/>
        </w:rPr>
        <w:t>olio</w:t>
      </w:r>
      <w:r w:rsidRPr="00637508">
        <w:rPr>
          <w:sz w:val="16"/>
          <w:szCs w:val="16"/>
          <w:lang w:val="es-CR"/>
        </w:rPr>
        <w:t>s 419 a 506</w:t>
      </w:r>
      <w:r>
        <w:rPr>
          <w:sz w:val="16"/>
          <w:szCs w:val="16"/>
          <w:lang w:val="es-CR"/>
        </w:rPr>
        <w:t>)</w:t>
      </w:r>
      <w:r w:rsidRPr="00637508">
        <w:rPr>
          <w:sz w:val="16"/>
          <w:szCs w:val="16"/>
          <w:lang w:val="es-CR"/>
        </w:rPr>
        <w:t xml:space="preserve">, señala que “[e]l Estado de Guatemala ha mantenido las condiciones de facto, para que los pueblos indígenas y específicamente, el pueblo maya </w:t>
      </w:r>
      <w:proofErr w:type="spellStart"/>
      <w:r w:rsidRPr="00637508">
        <w:rPr>
          <w:sz w:val="16"/>
          <w:szCs w:val="16"/>
          <w:lang w:val="es-CR"/>
        </w:rPr>
        <w:t>achí</w:t>
      </w:r>
      <w:proofErr w:type="spellEnd"/>
      <w:r w:rsidRPr="00637508">
        <w:rPr>
          <w:sz w:val="16"/>
          <w:szCs w:val="16"/>
          <w:lang w:val="es-CR"/>
        </w:rPr>
        <w:t xml:space="preserve"> no pueda acceder a la justicia”</w:t>
      </w:r>
      <w:r>
        <w:rPr>
          <w:sz w:val="16"/>
          <w:szCs w:val="16"/>
          <w:lang w:val="es-CR"/>
        </w:rPr>
        <w:t>.</w:t>
      </w:r>
    </w:p>
  </w:footnote>
  <w:footnote w:id="203">
    <w:p w:rsidR="00785921" w:rsidRDefault="00785921" w:rsidP="00126E97">
      <w:pPr>
        <w:pStyle w:val="FootnoteText"/>
        <w:spacing w:line="20" w:lineRule="atLeast"/>
        <w:rPr>
          <w:sz w:val="16"/>
          <w:szCs w:val="16"/>
          <w:lang w:val="es-CR"/>
        </w:rPr>
      </w:pPr>
      <w:r>
        <w:rPr>
          <w:rStyle w:val="FootnoteReference"/>
          <w:sz w:val="16"/>
          <w:szCs w:val="16"/>
          <w:lang w:val="es-CR" w:eastAsia="x-none"/>
        </w:rPr>
        <w:footnoteRef/>
      </w:r>
      <w:r>
        <w:rPr>
          <w:sz w:val="16"/>
          <w:szCs w:val="16"/>
          <w:lang w:val="es-CR"/>
        </w:rPr>
        <w:t xml:space="preserve"> </w:t>
      </w:r>
      <w:r>
        <w:rPr>
          <w:i/>
          <w:sz w:val="16"/>
          <w:szCs w:val="16"/>
          <w:lang w:val="es-CR"/>
        </w:rPr>
        <w:t>Cfr.</w:t>
      </w:r>
      <w:r>
        <w:rPr>
          <w:sz w:val="16"/>
          <w:szCs w:val="16"/>
          <w:lang w:val="es-CR"/>
        </w:rPr>
        <w:t xml:space="preserve"> </w:t>
      </w:r>
      <w:r w:rsidRPr="0029452A">
        <w:rPr>
          <w:i/>
          <w:sz w:val="16"/>
          <w:szCs w:val="16"/>
          <w:lang w:val="es-CR"/>
        </w:rPr>
        <w:t xml:space="preserve">Caso Miembros de la Aldea </w:t>
      </w:r>
      <w:proofErr w:type="spellStart"/>
      <w:r w:rsidRPr="0029452A">
        <w:rPr>
          <w:i/>
          <w:sz w:val="16"/>
          <w:szCs w:val="16"/>
          <w:lang w:val="es-CR"/>
        </w:rPr>
        <w:t>Chichupac</w:t>
      </w:r>
      <w:proofErr w:type="spellEnd"/>
      <w:r w:rsidRPr="0029452A">
        <w:rPr>
          <w:i/>
          <w:sz w:val="16"/>
          <w:szCs w:val="16"/>
          <w:lang w:val="es-CR"/>
        </w:rPr>
        <w:t xml:space="preserve"> y comunidades vecinas del Municipio de Rabinal Vs. Guatemala</w:t>
      </w:r>
      <w:r>
        <w:rPr>
          <w:i/>
          <w:sz w:val="16"/>
          <w:szCs w:val="16"/>
          <w:lang w:val="es-CR"/>
        </w:rPr>
        <w:t>, supra</w:t>
      </w:r>
      <w:r>
        <w:rPr>
          <w:sz w:val="16"/>
          <w:szCs w:val="16"/>
          <w:lang w:val="es-CR"/>
        </w:rPr>
        <w:t xml:space="preserve">, párr. 258. En el caso, se aducía la pertenencia al pueblo maya como tal carácter. </w:t>
      </w:r>
    </w:p>
  </w:footnote>
  <w:footnote w:id="204">
    <w:p w:rsidR="00785921" w:rsidRDefault="00785921" w:rsidP="00126E97">
      <w:pPr>
        <w:pStyle w:val="FootnoteText"/>
        <w:tabs>
          <w:tab w:val="left" w:pos="567"/>
        </w:tabs>
        <w:spacing w:line="20" w:lineRule="atLeast"/>
        <w:rPr>
          <w:sz w:val="16"/>
          <w:szCs w:val="16"/>
          <w:lang w:val="es-CR"/>
        </w:rPr>
      </w:pPr>
      <w:r>
        <w:rPr>
          <w:rStyle w:val="FootnoteReference"/>
          <w:rFonts w:eastAsia="Calibri"/>
          <w:sz w:val="16"/>
          <w:szCs w:val="16"/>
          <w:lang w:val="es-CR" w:eastAsia="x-none"/>
        </w:rPr>
        <w:footnoteRef/>
      </w:r>
      <w:r>
        <w:rPr>
          <w:sz w:val="16"/>
          <w:szCs w:val="16"/>
          <w:lang w:val="es-CR"/>
        </w:rPr>
        <w:t xml:space="preserve"> El artículo 63.1 de la Convención dispone que “[c]</w:t>
      </w:r>
      <w:proofErr w:type="spellStart"/>
      <w:r>
        <w:rPr>
          <w:sz w:val="16"/>
          <w:szCs w:val="16"/>
          <w:lang w:val="es-CR"/>
        </w:rPr>
        <w:t>uando</w:t>
      </w:r>
      <w:proofErr w:type="spellEnd"/>
      <w:r>
        <w:rPr>
          <w:sz w:val="16"/>
          <w:szCs w:val="16"/>
          <w:lang w:val="es-CR"/>
        </w:rPr>
        <w:t xml:space="preserve">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205">
    <w:p w:rsidR="00785921" w:rsidRPr="00156BD3" w:rsidRDefault="00785921" w:rsidP="00126E97">
      <w:pPr>
        <w:pStyle w:val="FootnoteText"/>
        <w:spacing w:line="20" w:lineRule="atLeast"/>
        <w:rPr>
          <w:lang w:val="es-CR"/>
        </w:rPr>
      </w:pPr>
      <w:r w:rsidRPr="002706B2">
        <w:rPr>
          <w:rStyle w:val="FootnoteReference"/>
          <w:rFonts w:eastAsia="Calibri"/>
          <w:sz w:val="16"/>
          <w:szCs w:val="16"/>
          <w:lang w:val="es-CR" w:eastAsia="x-none"/>
        </w:rPr>
        <w:footnoteRef/>
      </w:r>
      <w:r w:rsidRPr="002706B2">
        <w:rPr>
          <w:sz w:val="16"/>
          <w:szCs w:val="16"/>
          <w:lang w:val="es-CR"/>
        </w:rPr>
        <w:t xml:space="preserve"> </w:t>
      </w:r>
      <w:r>
        <w:rPr>
          <w:rFonts w:eastAsia="Calibri"/>
          <w:i/>
          <w:sz w:val="16"/>
          <w:szCs w:val="16"/>
          <w:lang w:val="es-CR"/>
        </w:rPr>
        <w:t xml:space="preserve">Cfr. Caso Velásquez Rodríguez Vs. Honduras. Reparaciones y Costas. </w:t>
      </w:r>
      <w:r>
        <w:rPr>
          <w:rFonts w:eastAsia="Calibri"/>
          <w:sz w:val="16"/>
          <w:szCs w:val="16"/>
          <w:lang w:val="es-CR"/>
        </w:rPr>
        <w:t>Sentencia de 21 de julio de 1989. Serie C No. 7, párr. 25, y</w:t>
      </w:r>
      <w:r>
        <w:rPr>
          <w:rFonts w:eastAsia="Calibri"/>
          <w:i/>
          <w:sz w:val="16"/>
          <w:szCs w:val="16"/>
          <w:lang w:val="es-CR"/>
        </w:rPr>
        <w:t xml:space="preserve"> </w:t>
      </w:r>
      <w:r w:rsidRPr="00637508">
        <w:rPr>
          <w:i/>
          <w:sz w:val="16"/>
          <w:szCs w:val="16"/>
          <w:lang w:val="es-CR"/>
        </w:rPr>
        <w:t xml:space="preserve">Caso </w:t>
      </w:r>
      <w:proofErr w:type="spellStart"/>
      <w:r w:rsidRPr="00637508">
        <w:rPr>
          <w:i/>
          <w:sz w:val="16"/>
          <w:szCs w:val="16"/>
          <w:lang w:val="es-CR"/>
        </w:rPr>
        <w:t>Amrhein</w:t>
      </w:r>
      <w:proofErr w:type="spellEnd"/>
      <w:r w:rsidRPr="00637508">
        <w:rPr>
          <w:i/>
          <w:sz w:val="16"/>
          <w:szCs w:val="16"/>
          <w:lang w:val="es-CR"/>
        </w:rPr>
        <w:t xml:space="preserve"> y otros vs. Costa Rica</w:t>
      </w:r>
      <w:r>
        <w:rPr>
          <w:i/>
          <w:sz w:val="16"/>
          <w:szCs w:val="16"/>
          <w:lang w:val="es-CR"/>
        </w:rPr>
        <w:t>, supra</w:t>
      </w:r>
      <w:r>
        <w:rPr>
          <w:sz w:val="16"/>
          <w:szCs w:val="16"/>
          <w:lang w:val="es-CR"/>
        </w:rPr>
        <w:t>, párr. 466</w:t>
      </w:r>
      <w:r w:rsidRPr="00637508">
        <w:rPr>
          <w:sz w:val="16"/>
          <w:szCs w:val="16"/>
          <w:lang w:val="es-CR"/>
        </w:rPr>
        <w:t xml:space="preserve">. </w:t>
      </w:r>
    </w:p>
  </w:footnote>
  <w:footnote w:id="206">
    <w:p w:rsidR="00785921" w:rsidRPr="00D05F7B" w:rsidRDefault="00785921" w:rsidP="00126E97">
      <w:pPr>
        <w:tabs>
          <w:tab w:val="left" w:pos="567"/>
        </w:tabs>
        <w:spacing w:after="0" w:line="20" w:lineRule="atLeast"/>
        <w:jc w:val="both"/>
        <w:rPr>
          <w:rFonts w:ascii="Verdana" w:eastAsia="Calibri" w:hAnsi="Verdana"/>
          <w:i/>
          <w:sz w:val="16"/>
          <w:szCs w:val="16"/>
          <w:lang w:val="es-CR"/>
        </w:rPr>
      </w:pPr>
      <w:r w:rsidRPr="002706B2">
        <w:rPr>
          <w:rStyle w:val="FootnoteReference"/>
          <w:rFonts w:ascii="Verdana" w:eastAsia="MS Mincho" w:hAnsi="Verdana"/>
          <w:sz w:val="16"/>
          <w:szCs w:val="16"/>
          <w:lang w:val="es-CR" w:eastAsia="x-none"/>
        </w:rPr>
        <w:footnoteRef/>
      </w:r>
      <w:r w:rsidRPr="00D05F7B">
        <w:rPr>
          <w:rFonts w:ascii="Verdana" w:hAnsi="Verdana"/>
          <w:sz w:val="16"/>
          <w:szCs w:val="16"/>
          <w:lang w:val="es-CR"/>
        </w:rPr>
        <w:t xml:space="preserve"> </w:t>
      </w:r>
      <w:r w:rsidRPr="00D05F7B">
        <w:rPr>
          <w:rFonts w:ascii="Verdana" w:eastAsia="Calibri" w:hAnsi="Verdana"/>
          <w:i/>
          <w:sz w:val="16"/>
          <w:szCs w:val="16"/>
          <w:lang w:val="es-CR"/>
        </w:rPr>
        <w:t>Cfr. Caso Velásquez Rodríguez Vs. Honduras. Reparaciones y Costas</w:t>
      </w:r>
      <w:r>
        <w:rPr>
          <w:rFonts w:ascii="Verdana" w:eastAsia="Calibri" w:hAnsi="Verdana"/>
          <w:i/>
          <w:sz w:val="16"/>
          <w:szCs w:val="16"/>
          <w:lang w:val="es-CR"/>
        </w:rPr>
        <w:t>, supra</w:t>
      </w:r>
      <w:r w:rsidRPr="00D05F7B">
        <w:rPr>
          <w:rFonts w:ascii="Verdana" w:eastAsia="Calibri" w:hAnsi="Verdana"/>
          <w:sz w:val="16"/>
          <w:szCs w:val="16"/>
          <w:lang w:val="es-CR"/>
        </w:rPr>
        <w:t xml:space="preserve">, </w:t>
      </w:r>
      <w:proofErr w:type="spellStart"/>
      <w:r w:rsidRPr="00D05F7B">
        <w:rPr>
          <w:rFonts w:ascii="Verdana" w:eastAsia="Calibri" w:hAnsi="Verdana"/>
          <w:sz w:val="16"/>
          <w:szCs w:val="16"/>
          <w:lang w:val="es-CR"/>
        </w:rPr>
        <w:t>párrs</w:t>
      </w:r>
      <w:proofErr w:type="spellEnd"/>
      <w:r w:rsidRPr="00D05F7B">
        <w:rPr>
          <w:rFonts w:ascii="Verdana" w:eastAsia="Calibri" w:hAnsi="Verdana"/>
          <w:sz w:val="16"/>
          <w:szCs w:val="16"/>
          <w:lang w:val="es-CR"/>
        </w:rPr>
        <w:t xml:space="preserve">. 25 y 26, y </w:t>
      </w:r>
      <w:r w:rsidRPr="00D05F7B">
        <w:rPr>
          <w:rFonts w:ascii="Verdana" w:hAnsi="Verdana"/>
          <w:i/>
          <w:sz w:val="16"/>
          <w:szCs w:val="16"/>
          <w:lang w:val="es-CR"/>
        </w:rPr>
        <w:t xml:space="preserve">Caso </w:t>
      </w:r>
      <w:proofErr w:type="spellStart"/>
      <w:r w:rsidRPr="00D05F7B">
        <w:rPr>
          <w:rFonts w:ascii="Verdana" w:hAnsi="Verdana"/>
          <w:i/>
          <w:sz w:val="16"/>
          <w:szCs w:val="16"/>
          <w:lang w:val="es-CR"/>
        </w:rPr>
        <w:t>Amrhein</w:t>
      </w:r>
      <w:proofErr w:type="spellEnd"/>
      <w:r w:rsidRPr="00D05F7B">
        <w:rPr>
          <w:rFonts w:ascii="Verdana" w:hAnsi="Verdana"/>
          <w:i/>
          <w:sz w:val="16"/>
          <w:szCs w:val="16"/>
          <w:lang w:val="es-CR"/>
        </w:rPr>
        <w:t xml:space="preserve"> y otros vs. Costa Rica</w:t>
      </w:r>
      <w:r>
        <w:rPr>
          <w:rFonts w:ascii="Verdana" w:hAnsi="Verdana"/>
          <w:i/>
          <w:sz w:val="16"/>
          <w:szCs w:val="16"/>
          <w:lang w:val="es-CR"/>
        </w:rPr>
        <w:t>, supra</w:t>
      </w:r>
      <w:r w:rsidRPr="00D05F7B">
        <w:rPr>
          <w:rFonts w:ascii="Verdana" w:hAnsi="Verdana"/>
          <w:sz w:val="16"/>
          <w:szCs w:val="16"/>
          <w:lang w:val="es-CR"/>
        </w:rPr>
        <w:t xml:space="preserve">, párr. 467. </w:t>
      </w:r>
      <w:r w:rsidRPr="00D05F7B">
        <w:rPr>
          <w:rFonts w:ascii="Verdana" w:hAnsi="Verdana"/>
          <w:sz w:val="16"/>
          <w:szCs w:val="16"/>
        </w:rPr>
        <w:t>La Corte, de acuerdo a cada caso, ha entendido que las medidas de restitución, rehabilitación, satisfacción y garantías de no repetición tienen especial relevancia por los daños ocasionado (</w:t>
      </w:r>
      <w:r>
        <w:rPr>
          <w:rFonts w:ascii="Verdana" w:hAnsi="Verdana"/>
          <w:i/>
          <w:sz w:val="16"/>
          <w:szCs w:val="16"/>
          <w:lang w:val="es-CR"/>
        </w:rPr>
        <w:t>c</w:t>
      </w:r>
      <w:r w:rsidRPr="00D05F7B">
        <w:rPr>
          <w:rFonts w:ascii="Verdana" w:hAnsi="Verdana"/>
          <w:i/>
          <w:sz w:val="16"/>
          <w:szCs w:val="16"/>
          <w:lang w:val="es-CR"/>
        </w:rPr>
        <w:t>fr.</w:t>
      </w:r>
      <w:r w:rsidRPr="00D05F7B">
        <w:rPr>
          <w:rFonts w:ascii="Verdana" w:hAnsi="Verdana"/>
          <w:bCs/>
          <w:i/>
          <w:sz w:val="16"/>
          <w:szCs w:val="16"/>
          <w:lang w:val="es-CR"/>
        </w:rPr>
        <w:t xml:space="preserve"> Caso Cantoral Benavide</w:t>
      </w:r>
      <w:r>
        <w:rPr>
          <w:rFonts w:ascii="Verdana" w:hAnsi="Verdana"/>
          <w:bCs/>
          <w:i/>
          <w:sz w:val="16"/>
          <w:szCs w:val="16"/>
          <w:lang w:val="es-CR"/>
        </w:rPr>
        <w:t>z</w:t>
      </w:r>
      <w:r w:rsidRPr="00D05F7B">
        <w:rPr>
          <w:rFonts w:ascii="Verdana" w:hAnsi="Verdana"/>
          <w:bCs/>
          <w:i/>
          <w:sz w:val="16"/>
          <w:szCs w:val="16"/>
          <w:lang w:val="es-CR"/>
        </w:rPr>
        <w:t xml:space="preserve"> Vs. Perú. </w:t>
      </w:r>
      <w:r w:rsidRPr="00D05F7B">
        <w:rPr>
          <w:rFonts w:ascii="Verdana" w:hAnsi="Verdana"/>
          <w:i/>
          <w:sz w:val="16"/>
          <w:szCs w:val="16"/>
          <w:lang w:val="es-CR"/>
        </w:rPr>
        <w:t>Reparaciones y Costas</w:t>
      </w:r>
      <w:r w:rsidRPr="00D05F7B">
        <w:rPr>
          <w:rFonts w:ascii="Verdana" w:hAnsi="Verdana"/>
          <w:sz w:val="16"/>
          <w:szCs w:val="16"/>
          <w:lang w:val="es-CR"/>
        </w:rPr>
        <w:t xml:space="preserve">. Sentencia de 3 de diciembre de 2001. Serie C No. 88, </w:t>
      </w:r>
      <w:proofErr w:type="spellStart"/>
      <w:r w:rsidRPr="00D05F7B">
        <w:rPr>
          <w:rFonts w:ascii="Verdana" w:hAnsi="Verdana"/>
          <w:sz w:val="16"/>
          <w:szCs w:val="16"/>
          <w:lang w:val="es-CR"/>
        </w:rPr>
        <w:t>párrs</w:t>
      </w:r>
      <w:proofErr w:type="spellEnd"/>
      <w:r w:rsidRPr="00D05F7B">
        <w:rPr>
          <w:rFonts w:ascii="Verdana" w:hAnsi="Verdana"/>
          <w:sz w:val="16"/>
          <w:szCs w:val="16"/>
          <w:lang w:val="es-CR"/>
        </w:rPr>
        <w:t>. 79 a 81, y</w:t>
      </w:r>
      <w:r w:rsidRPr="00D05F7B">
        <w:rPr>
          <w:rFonts w:ascii="Verdana" w:eastAsia="Calibri" w:hAnsi="Verdana"/>
          <w:i/>
          <w:sz w:val="16"/>
          <w:szCs w:val="16"/>
          <w:lang w:val="es-CR"/>
        </w:rPr>
        <w:t xml:space="preserve"> </w:t>
      </w:r>
      <w:r w:rsidRPr="00D05F7B">
        <w:rPr>
          <w:rFonts w:ascii="Verdana" w:hAnsi="Verdana"/>
          <w:i/>
          <w:sz w:val="16"/>
          <w:szCs w:val="16"/>
          <w:lang w:val="es-CR"/>
        </w:rPr>
        <w:t xml:space="preserve">Caso </w:t>
      </w:r>
      <w:proofErr w:type="spellStart"/>
      <w:r w:rsidRPr="00D05F7B">
        <w:rPr>
          <w:rFonts w:ascii="Verdana" w:hAnsi="Verdana"/>
          <w:i/>
          <w:sz w:val="16"/>
          <w:szCs w:val="16"/>
          <w:lang w:val="es-CR"/>
        </w:rPr>
        <w:t>Amrhein</w:t>
      </w:r>
      <w:proofErr w:type="spellEnd"/>
      <w:r w:rsidRPr="00D05F7B">
        <w:rPr>
          <w:rFonts w:ascii="Verdana" w:hAnsi="Verdana"/>
          <w:i/>
          <w:sz w:val="16"/>
          <w:szCs w:val="16"/>
          <w:lang w:val="es-CR"/>
        </w:rPr>
        <w:t xml:space="preserve"> y otros vs. Costa Rica</w:t>
      </w:r>
      <w:r>
        <w:rPr>
          <w:rFonts w:ascii="Verdana" w:hAnsi="Verdana"/>
          <w:i/>
          <w:sz w:val="16"/>
          <w:szCs w:val="16"/>
          <w:lang w:val="es-CR"/>
        </w:rPr>
        <w:t>, supra</w:t>
      </w:r>
      <w:r w:rsidRPr="00D05F7B">
        <w:rPr>
          <w:rFonts w:ascii="Verdana" w:hAnsi="Verdana"/>
          <w:sz w:val="16"/>
          <w:szCs w:val="16"/>
          <w:lang w:val="es-CR"/>
        </w:rPr>
        <w:t>, párr. 467</w:t>
      </w:r>
      <w:r w:rsidRPr="00D05F7B">
        <w:rPr>
          <w:rFonts w:ascii="Verdana" w:eastAsia="Calibri" w:hAnsi="Verdana"/>
          <w:sz w:val="16"/>
          <w:szCs w:val="16"/>
          <w:lang w:val="es-CR"/>
        </w:rPr>
        <w:t>).</w:t>
      </w:r>
    </w:p>
  </w:footnote>
  <w:footnote w:id="207">
    <w:p w:rsidR="00785921" w:rsidRDefault="00785921" w:rsidP="00126E97">
      <w:pPr>
        <w:tabs>
          <w:tab w:val="left" w:pos="567"/>
        </w:tabs>
        <w:spacing w:after="0" w:line="20" w:lineRule="atLeast"/>
        <w:jc w:val="both"/>
        <w:rPr>
          <w:sz w:val="16"/>
          <w:szCs w:val="16"/>
          <w:lang w:val="es-CR"/>
        </w:rPr>
      </w:pPr>
      <w:r w:rsidRPr="00D05F7B">
        <w:rPr>
          <w:rStyle w:val="FootnoteReference"/>
          <w:rFonts w:ascii="Verdana" w:eastAsia="Calibri" w:hAnsi="Verdana"/>
          <w:sz w:val="16"/>
          <w:szCs w:val="16"/>
          <w:lang w:val="es-CR" w:eastAsia="x-none"/>
        </w:rPr>
        <w:footnoteRef/>
      </w:r>
      <w:r w:rsidRPr="00D05F7B">
        <w:rPr>
          <w:rFonts w:ascii="Verdana" w:hAnsi="Verdana"/>
          <w:sz w:val="16"/>
          <w:szCs w:val="16"/>
          <w:lang w:val="es-CR"/>
        </w:rPr>
        <w:t xml:space="preserve"> </w:t>
      </w:r>
      <w:r w:rsidRPr="00D05F7B">
        <w:rPr>
          <w:rFonts w:ascii="Verdana" w:hAnsi="Verdana"/>
          <w:i/>
          <w:sz w:val="16"/>
          <w:szCs w:val="16"/>
          <w:lang w:val="es-CR"/>
        </w:rPr>
        <w:t xml:space="preserve">Cfr. Caso </w:t>
      </w:r>
      <w:proofErr w:type="spellStart"/>
      <w:r w:rsidRPr="00D05F7B">
        <w:rPr>
          <w:rFonts w:ascii="Verdana" w:hAnsi="Verdana"/>
          <w:i/>
          <w:sz w:val="16"/>
          <w:szCs w:val="16"/>
          <w:lang w:val="es-CR"/>
        </w:rPr>
        <w:t>Ticona</w:t>
      </w:r>
      <w:proofErr w:type="spellEnd"/>
      <w:r w:rsidRPr="00D05F7B">
        <w:rPr>
          <w:rFonts w:ascii="Verdana" w:hAnsi="Verdana"/>
          <w:i/>
          <w:sz w:val="16"/>
          <w:szCs w:val="16"/>
          <w:lang w:val="es-CR"/>
        </w:rPr>
        <w:t xml:space="preserve"> Estrada y otros Vs. Bolivia. Fondo, Reparaciones y Costas. </w:t>
      </w:r>
      <w:r w:rsidRPr="00D05F7B">
        <w:rPr>
          <w:rFonts w:ascii="Verdana" w:hAnsi="Verdana"/>
          <w:sz w:val="16"/>
          <w:szCs w:val="16"/>
          <w:lang w:val="es-CR"/>
        </w:rPr>
        <w:t xml:space="preserve">Sentencia de 27 de noviembre de 2008. Serie C No. 191, párr. 110, y </w:t>
      </w:r>
      <w:r w:rsidRPr="00D05F7B">
        <w:rPr>
          <w:rFonts w:ascii="Verdana" w:hAnsi="Verdana"/>
          <w:i/>
          <w:sz w:val="16"/>
          <w:szCs w:val="16"/>
          <w:lang w:val="es-CR"/>
        </w:rPr>
        <w:t xml:space="preserve">Caso </w:t>
      </w:r>
      <w:proofErr w:type="spellStart"/>
      <w:r w:rsidRPr="00D05F7B">
        <w:rPr>
          <w:rFonts w:ascii="Verdana" w:hAnsi="Verdana"/>
          <w:i/>
          <w:sz w:val="16"/>
          <w:szCs w:val="16"/>
          <w:lang w:val="es-CR"/>
        </w:rPr>
        <w:t>Amrhein</w:t>
      </w:r>
      <w:proofErr w:type="spellEnd"/>
      <w:r w:rsidRPr="00D05F7B">
        <w:rPr>
          <w:rFonts w:ascii="Verdana" w:hAnsi="Verdana"/>
          <w:i/>
          <w:sz w:val="16"/>
          <w:szCs w:val="16"/>
          <w:lang w:val="es-CR"/>
        </w:rPr>
        <w:t xml:space="preserve"> y otros vs. Costa Rica</w:t>
      </w:r>
      <w:r>
        <w:rPr>
          <w:rFonts w:ascii="Verdana" w:hAnsi="Verdana"/>
          <w:i/>
          <w:sz w:val="16"/>
          <w:szCs w:val="16"/>
          <w:lang w:val="es-CR"/>
        </w:rPr>
        <w:t>, supra</w:t>
      </w:r>
      <w:r w:rsidRPr="00D05F7B">
        <w:rPr>
          <w:rFonts w:ascii="Verdana" w:hAnsi="Verdana"/>
          <w:sz w:val="16"/>
          <w:szCs w:val="16"/>
          <w:lang w:val="es-CR"/>
        </w:rPr>
        <w:t>, párr. 468.</w:t>
      </w:r>
    </w:p>
  </w:footnote>
  <w:footnote w:id="208">
    <w:p w:rsidR="00785921" w:rsidRDefault="00785921" w:rsidP="00126E97">
      <w:pPr>
        <w:pStyle w:val="FootnoteText"/>
        <w:tabs>
          <w:tab w:val="left" w:pos="567"/>
          <w:tab w:val="left" w:pos="709"/>
        </w:tabs>
        <w:spacing w:line="20" w:lineRule="atLeast"/>
        <w:rPr>
          <w:rFonts w:eastAsia="Calibri"/>
          <w:i/>
          <w:sz w:val="16"/>
          <w:szCs w:val="16"/>
          <w:lang w:val="es-CR"/>
        </w:rPr>
      </w:pPr>
      <w:r w:rsidRPr="002706B2">
        <w:rPr>
          <w:rStyle w:val="FootnoteReference"/>
          <w:rFonts w:eastAsia="Calibri"/>
          <w:sz w:val="16"/>
          <w:szCs w:val="16"/>
          <w:lang w:val="es-CR" w:eastAsia="x-none"/>
        </w:rPr>
        <w:footnoteRef/>
      </w:r>
      <w:r>
        <w:rPr>
          <w:i/>
          <w:sz w:val="16"/>
          <w:szCs w:val="16"/>
          <w:lang w:val="es-CR"/>
        </w:rPr>
        <w:t xml:space="preserve"> Cfr.</w:t>
      </w:r>
      <w:r>
        <w:rPr>
          <w:bCs/>
          <w:i/>
          <w:sz w:val="16"/>
          <w:szCs w:val="16"/>
          <w:lang w:val="es-CR"/>
        </w:rPr>
        <w:t xml:space="preserve"> Caso Velásquez Rodríguez Vs. Honduras. </w:t>
      </w:r>
      <w:r>
        <w:rPr>
          <w:i/>
          <w:sz w:val="16"/>
          <w:szCs w:val="16"/>
          <w:lang w:val="es-CR"/>
        </w:rPr>
        <w:t>Reparaciones y Costas, supra</w:t>
      </w:r>
      <w:r>
        <w:rPr>
          <w:sz w:val="16"/>
          <w:szCs w:val="16"/>
          <w:lang w:val="es-CR"/>
        </w:rPr>
        <w:t xml:space="preserve">, </w:t>
      </w:r>
      <w:proofErr w:type="spellStart"/>
      <w:r>
        <w:rPr>
          <w:sz w:val="16"/>
          <w:szCs w:val="16"/>
          <w:lang w:val="es-CR"/>
        </w:rPr>
        <w:t>párrs</w:t>
      </w:r>
      <w:proofErr w:type="spellEnd"/>
      <w:r>
        <w:rPr>
          <w:sz w:val="16"/>
          <w:szCs w:val="16"/>
          <w:lang w:val="es-CR"/>
        </w:rPr>
        <w:t xml:space="preserve">. 25 a 27, y </w:t>
      </w:r>
      <w:r w:rsidRPr="00637508">
        <w:rPr>
          <w:i/>
          <w:sz w:val="16"/>
          <w:szCs w:val="16"/>
          <w:lang w:val="es-CR"/>
        </w:rPr>
        <w:t xml:space="preserve">Caso </w:t>
      </w:r>
      <w:proofErr w:type="spellStart"/>
      <w:r w:rsidRPr="00637508">
        <w:rPr>
          <w:i/>
          <w:sz w:val="16"/>
          <w:szCs w:val="16"/>
          <w:lang w:val="es-CR"/>
        </w:rPr>
        <w:t>Amrhein</w:t>
      </w:r>
      <w:proofErr w:type="spellEnd"/>
      <w:r w:rsidRPr="00637508">
        <w:rPr>
          <w:i/>
          <w:sz w:val="16"/>
          <w:szCs w:val="16"/>
          <w:lang w:val="es-CR"/>
        </w:rPr>
        <w:t xml:space="preserve"> y otros vs. Costa Rica</w:t>
      </w:r>
      <w:r>
        <w:rPr>
          <w:i/>
          <w:sz w:val="16"/>
          <w:szCs w:val="16"/>
          <w:lang w:val="es-CR"/>
        </w:rPr>
        <w:t>, supra</w:t>
      </w:r>
      <w:r>
        <w:rPr>
          <w:sz w:val="16"/>
          <w:szCs w:val="16"/>
          <w:lang w:val="es-CR"/>
        </w:rPr>
        <w:t>, párr. 469</w:t>
      </w:r>
      <w:r>
        <w:rPr>
          <w:rFonts w:eastAsia="Calibri"/>
          <w:sz w:val="16"/>
          <w:szCs w:val="16"/>
          <w:lang w:val="es-CR"/>
        </w:rPr>
        <w:t>.</w:t>
      </w:r>
    </w:p>
  </w:footnote>
  <w:footnote w:id="209">
    <w:p w:rsidR="00785921" w:rsidRDefault="00785921" w:rsidP="00126E97">
      <w:pPr>
        <w:pStyle w:val="FootnoteText"/>
        <w:tabs>
          <w:tab w:val="left" w:pos="426"/>
        </w:tabs>
        <w:spacing w:line="20" w:lineRule="atLeast"/>
        <w:rPr>
          <w:sz w:val="16"/>
          <w:szCs w:val="16"/>
          <w:lang w:val="pt-BR"/>
        </w:rPr>
      </w:pPr>
      <w:r>
        <w:rPr>
          <w:rStyle w:val="FootnoteReference"/>
          <w:rFonts w:eastAsia="Calibri"/>
          <w:sz w:val="16"/>
          <w:szCs w:val="16"/>
          <w:lang w:val="pt-BR" w:eastAsia="x-none"/>
        </w:rPr>
        <w:footnoteRef/>
      </w:r>
      <w:r w:rsidRPr="00637508">
        <w:rPr>
          <w:sz w:val="16"/>
          <w:szCs w:val="16"/>
          <w:lang w:val="es-CR"/>
        </w:rPr>
        <w:t xml:space="preserve"> </w:t>
      </w:r>
      <w:r>
        <w:rPr>
          <w:i/>
          <w:iCs/>
          <w:sz w:val="16"/>
          <w:szCs w:val="16"/>
          <w:lang w:val="es-CR"/>
        </w:rPr>
        <w:t>Cfr. Caso Neira Alegría y otros Vs. Perú. Reparaciones y Costas</w:t>
      </w:r>
      <w:r>
        <w:rPr>
          <w:sz w:val="16"/>
          <w:szCs w:val="16"/>
          <w:lang w:val="es-CR"/>
        </w:rPr>
        <w:t xml:space="preserve">. Sentencia de 19 de septiembre de 1996. Serie C No. 29, párr. 56, y </w:t>
      </w:r>
      <w:r w:rsidRPr="00637508">
        <w:rPr>
          <w:i/>
          <w:sz w:val="16"/>
          <w:szCs w:val="16"/>
          <w:lang w:val="es-CR"/>
        </w:rPr>
        <w:t xml:space="preserve">Caso </w:t>
      </w:r>
      <w:proofErr w:type="spellStart"/>
      <w:r w:rsidRPr="00637508">
        <w:rPr>
          <w:i/>
          <w:sz w:val="16"/>
          <w:szCs w:val="16"/>
          <w:lang w:val="es-CR"/>
        </w:rPr>
        <w:t>Amrhein</w:t>
      </w:r>
      <w:proofErr w:type="spellEnd"/>
      <w:r w:rsidRPr="00637508">
        <w:rPr>
          <w:i/>
          <w:sz w:val="16"/>
          <w:szCs w:val="16"/>
          <w:lang w:val="es-CR"/>
        </w:rPr>
        <w:t xml:space="preserve"> y otros vs. Costa Rica</w:t>
      </w:r>
      <w:r>
        <w:rPr>
          <w:i/>
          <w:sz w:val="16"/>
          <w:szCs w:val="16"/>
          <w:lang w:val="es-CR"/>
        </w:rPr>
        <w:t>, supra</w:t>
      </w:r>
      <w:r>
        <w:rPr>
          <w:sz w:val="16"/>
          <w:szCs w:val="16"/>
          <w:lang w:val="es-CR"/>
        </w:rPr>
        <w:t>, párr. 4</w:t>
      </w:r>
      <w:r w:rsidRPr="00637508">
        <w:rPr>
          <w:rFonts w:eastAsia="Calibri"/>
          <w:sz w:val="16"/>
          <w:szCs w:val="16"/>
          <w:lang w:val="es-CR"/>
        </w:rPr>
        <w:t>74</w:t>
      </w:r>
      <w:r>
        <w:rPr>
          <w:rFonts w:eastAsia="Calibri"/>
          <w:sz w:val="16"/>
          <w:szCs w:val="16"/>
          <w:lang w:val="es-CR"/>
        </w:rPr>
        <w:t>.</w:t>
      </w:r>
    </w:p>
  </w:footnote>
  <w:footnote w:id="210">
    <w:p w:rsidR="00785921" w:rsidRPr="00D60FF1" w:rsidRDefault="00785921" w:rsidP="00126E97">
      <w:pPr>
        <w:spacing w:after="0" w:line="20" w:lineRule="atLeast"/>
        <w:jc w:val="both"/>
        <w:rPr>
          <w:rFonts w:ascii="Verdana" w:hAnsi="Verdana"/>
          <w:sz w:val="16"/>
          <w:szCs w:val="16"/>
          <w:lang w:val="es-ES"/>
        </w:rPr>
      </w:pPr>
      <w:r w:rsidRPr="00D05F7B">
        <w:rPr>
          <w:rStyle w:val="FootnoteReference"/>
          <w:rFonts w:ascii="Verdana" w:hAnsi="Verdana"/>
          <w:sz w:val="16"/>
          <w:szCs w:val="16"/>
          <w:lang w:val="es-ES"/>
        </w:rPr>
        <w:footnoteRef/>
      </w:r>
      <w:r w:rsidRPr="00D05F7B">
        <w:rPr>
          <w:rFonts w:ascii="Verdana" w:hAnsi="Verdana"/>
          <w:sz w:val="16"/>
          <w:szCs w:val="16"/>
          <w:lang w:val="es-ES"/>
        </w:rPr>
        <w:t xml:space="preserve"> </w:t>
      </w:r>
      <w:r w:rsidRPr="00D05F7B">
        <w:rPr>
          <w:rFonts w:ascii="Verdana" w:hAnsi="Verdana"/>
          <w:bCs/>
          <w:i/>
          <w:color w:val="000000"/>
          <w:sz w:val="16"/>
          <w:szCs w:val="16"/>
          <w:lang w:val="es-ES"/>
        </w:rPr>
        <w:t xml:space="preserve">Caso Miembros de la Aldea </w:t>
      </w:r>
      <w:proofErr w:type="spellStart"/>
      <w:r w:rsidRPr="00D05F7B">
        <w:rPr>
          <w:rFonts w:ascii="Verdana" w:hAnsi="Verdana"/>
          <w:bCs/>
          <w:i/>
          <w:color w:val="000000"/>
          <w:sz w:val="16"/>
          <w:szCs w:val="16"/>
          <w:lang w:val="es-ES"/>
        </w:rPr>
        <w:t>Chichupac</w:t>
      </w:r>
      <w:proofErr w:type="spellEnd"/>
      <w:r w:rsidRPr="00D05F7B">
        <w:rPr>
          <w:rFonts w:ascii="Verdana" w:hAnsi="Verdana"/>
          <w:bCs/>
          <w:i/>
          <w:color w:val="000000"/>
          <w:sz w:val="16"/>
          <w:szCs w:val="16"/>
          <w:lang w:val="es-ES"/>
        </w:rPr>
        <w:t xml:space="preserve"> y comunidades vecinas del Municipio de Rabinal Vs. Guatemala</w:t>
      </w:r>
      <w:r>
        <w:rPr>
          <w:rFonts w:ascii="Verdana" w:hAnsi="Verdana"/>
          <w:bCs/>
          <w:i/>
          <w:color w:val="000000"/>
          <w:sz w:val="16"/>
          <w:szCs w:val="16"/>
          <w:lang w:val="es-ES"/>
        </w:rPr>
        <w:t>, supra</w:t>
      </w:r>
      <w:r w:rsidRPr="00D60FF1">
        <w:rPr>
          <w:rFonts w:ascii="Verdana" w:hAnsi="Verdana"/>
          <w:bCs/>
          <w:color w:val="000000"/>
          <w:sz w:val="16"/>
          <w:szCs w:val="16"/>
          <w:lang w:val="es-ES"/>
        </w:rPr>
        <w:t xml:space="preserve">, párr. 279. </w:t>
      </w:r>
    </w:p>
  </w:footnote>
  <w:footnote w:id="211">
    <w:p w:rsidR="00785921" w:rsidRPr="0020708F" w:rsidRDefault="00785921" w:rsidP="00126E97">
      <w:pPr>
        <w:pStyle w:val="FootnoteText"/>
        <w:spacing w:line="20" w:lineRule="atLeast"/>
        <w:rPr>
          <w:lang w:val="es-CR"/>
        </w:rPr>
      </w:pPr>
      <w:r w:rsidRPr="00D60FF1">
        <w:rPr>
          <w:rStyle w:val="FootnoteReference"/>
          <w:sz w:val="16"/>
          <w:szCs w:val="16"/>
        </w:rPr>
        <w:footnoteRef/>
      </w:r>
      <w:r w:rsidRPr="00D60FF1">
        <w:rPr>
          <w:sz w:val="16"/>
          <w:szCs w:val="16"/>
          <w:lang w:val="es-CR"/>
        </w:rPr>
        <w:t xml:space="preserve"> La solicitud estatal de que se consideren prestaciones ya dadas en virtud del PNR, por una parte, resulta extemporánea</w:t>
      </w:r>
      <w:r w:rsidRPr="0020708F">
        <w:rPr>
          <w:sz w:val="16"/>
          <w:szCs w:val="16"/>
          <w:lang w:val="es-CR"/>
        </w:rPr>
        <w:t>, por haber sido efectuada recién en los alegatos finales escritos. Por otra parte, de modo adicional, debe señalarse que el documento aportado como prueba de las prestaciones recibidas por integrantes de la Comunidad no brinda información suficiente para considerarlas como a reparaciones de los hechos del caso.</w:t>
      </w:r>
    </w:p>
  </w:footnote>
  <w:footnote w:id="212">
    <w:p w:rsidR="00785921" w:rsidRPr="00B30724" w:rsidRDefault="00785921" w:rsidP="00126E97">
      <w:pPr>
        <w:pStyle w:val="FootnoteText"/>
        <w:spacing w:line="20" w:lineRule="atLeast"/>
        <w:rPr>
          <w:sz w:val="16"/>
          <w:szCs w:val="16"/>
          <w:lang w:val="es-CR"/>
        </w:rPr>
      </w:pPr>
      <w:r w:rsidRPr="00D05F7B">
        <w:rPr>
          <w:rStyle w:val="FootnoteReference"/>
          <w:sz w:val="16"/>
          <w:szCs w:val="16"/>
        </w:rPr>
        <w:footnoteRef/>
      </w:r>
      <w:r w:rsidRPr="00D05F7B">
        <w:rPr>
          <w:sz w:val="16"/>
          <w:szCs w:val="16"/>
          <w:lang w:val="es-CR"/>
        </w:rPr>
        <w:t xml:space="preserve"> </w:t>
      </w:r>
      <w:r w:rsidRPr="00D05F7B">
        <w:rPr>
          <w:bCs/>
          <w:i/>
          <w:color w:val="000000"/>
          <w:sz w:val="16"/>
          <w:szCs w:val="16"/>
          <w:lang w:val="es-ES"/>
        </w:rPr>
        <w:t xml:space="preserve">Caso Miembros de la Aldea </w:t>
      </w:r>
      <w:proofErr w:type="spellStart"/>
      <w:r w:rsidRPr="00D05F7B">
        <w:rPr>
          <w:bCs/>
          <w:i/>
          <w:color w:val="000000"/>
          <w:sz w:val="16"/>
          <w:szCs w:val="16"/>
          <w:lang w:val="es-ES"/>
        </w:rPr>
        <w:t>Chichupac</w:t>
      </w:r>
      <w:proofErr w:type="spellEnd"/>
      <w:r w:rsidRPr="00D05F7B">
        <w:rPr>
          <w:bCs/>
          <w:i/>
          <w:color w:val="000000"/>
          <w:sz w:val="16"/>
          <w:szCs w:val="16"/>
          <w:lang w:val="es-ES"/>
        </w:rPr>
        <w:t xml:space="preserve"> y comunidades vecinas del Municipio de Rabinal Vs. Guatemala</w:t>
      </w:r>
      <w:r>
        <w:rPr>
          <w:bCs/>
          <w:i/>
          <w:color w:val="000000"/>
          <w:sz w:val="16"/>
          <w:szCs w:val="16"/>
          <w:lang w:val="es-ES"/>
        </w:rPr>
        <w:t>, supra</w:t>
      </w:r>
      <w:r w:rsidRPr="00D05F7B">
        <w:rPr>
          <w:bCs/>
          <w:color w:val="000000"/>
          <w:sz w:val="16"/>
          <w:szCs w:val="16"/>
          <w:lang w:val="es-ES"/>
        </w:rPr>
        <w:t>, párr. 281.</w:t>
      </w:r>
    </w:p>
  </w:footnote>
  <w:footnote w:id="213">
    <w:p w:rsidR="00785921" w:rsidRPr="00D05F7B" w:rsidRDefault="00785921" w:rsidP="00126E97">
      <w:pPr>
        <w:spacing w:after="0" w:line="20" w:lineRule="atLeast"/>
        <w:jc w:val="both"/>
        <w:rPr>
          <w:rFonts w:ascii="Verdana" w:hAnsi="Verdana"/>
          <w:sz w:val="16"/>
          <w:szCs w:val="16"/>
        </w:rPr>
      </w:pPr>
      <w:r w:rsidRPr="00D05F7B">
        <w:rPr>
          <w:rStyle w:val="FootnoteReference"/>
          <w:rFonts w:ascii="Verdana" w:eastAsia="MS ????" w:hAnsi="Verdana"/>
          <w:sz w:val="16"/>
          <w:szCs w:val="16"/>
          <w:lang w:eastAsia="x-none"/>
        </w:rPr>
        <w:footnoteRef/>
      </w:r>
      <w:r w:rsidRPr="00D05F7B">
        <w:rPr>
          <w:rFonts w:ascii="Verdana" w:hAnsi="Verdana"/>
          <w:sz w:val="16"/>
          <w:szCs w:val="16"/>
          <w:lang w:val="es-CR"/>
        </w:rPr>
        <w:t xml:space="preserve"> </w:t>
      </w:r>
      <w:r w:rsidRPr="00D05F7B">
        <w:rPr>
          <w:rFonts w:ascii="Verdana" w:hAnsi="Verdana"/>
          <w:i/>
          <w:sz w:val="16"/>
          <w:szCs w:val="16"/>
        </w:rPr>
        <w:t xml:space="preserve">Cfr. </w:t>
      </w:r>
      <w:r w:rsidRPr="00D05F7B">
        <w:rPr>
          <w:rFonts w:ascii="Verdana" w:hAnsi="Verdana"/>
          <w:bCs/>
          <w:i/>
          <w:sz w:val="16"/>
          <w:szCs w:val="16"/>
        </w:rPr>
        <w:t>Caso Masa</w:t>
      </w:r>
      <w:r>
        <w:rPr>
          <w:rFonts w:ascii="Verdana" w:hAnsi="Verdana"/>
          <w:bCs/>
          <w:i/>
          <w:sz w:val="16"/>
          <w:szCs w:val="16"/>
        </w:rPr>
        <w:t xml:space="preserve">cres de Río Negro Vs. Guatemala, supra, </w:t>
      </w:r>
      <w:r w:rsidRPr="00D05F7B">
        <w:rPr>
          <w:rFonts w:ascii="Verdana" w:hAnsi="Verdana"/>
          <w:sz w:val="16"/>
          <w:szCs w:val="16"/>
        </w:rPr>
        <w:t xml:space="preserve">párr. 223; y en similar sentido, </w:t>
      </w:r>
      <w:r w:rsidRPr="00D05F7B">
        <w:rPr>
          <w:rFonts w:ascii="Verdana" w:hAnsi="Verdana"/>
          <w:i/>
          <w:sz w:val="16"/>
          <w:szCs w:val="16"/>
        </w:rPr>
        <w:t xml:space="preserve">Caso </w:t>
      </w:r>
      <w:proofErr w:type="spellStart"/>
      <w:r w:rsidRPr="00D05F7B">
        <w:rPr>
          <w:rFonts w:ascii="Verdana" w:hAnsi="Verdana"/>
          <w:i/>
          <w:sz w:val="16"/>
          <w:szCs w:val="16"/>
        </w:rPr>
        <w:t>Herzog</w:t>
      </w:r>
      <w:proofErr w:type="spellEnd"/>
      <w:r w:rsidRPr="00D05F7B">
        <w:rPr>
          <w:rFonts w:ascii="Verdana" w:hAnsi="Verdana"/>
          <w:i/>
          <w:sz w:val="16"/>
          <w:szCs w:val="16"/>
        </w:rPr>
        <w:t xml:space="preserve"> y otros Vs. Brasil</w:t>
      </w:r>
      <w:r>
        <w:rPr>
          <w:rFonts w:ascii="Verdana" w:hAnsi="Verdana"/>
          <w:i/>
          <w:sz w:val="16"/>
          <w:szCs w:val="16"/>
        </w:rPr>
        <w:t>, supra</w:t>
      </w:r>
      <w:r w:rsidRPr="00D05F7B">
        <w:rPr>
          <w:rFonts w:ascii="Verdana" w:hAnsi="Verdana"/>
          <w:sz w:val="16"/>
          <w:szCs w:val="16"/>
        </w:rPr>
        <w:t>, párr. 243.</w:t>
      </w:r>
    </w:p>
  </w:footnote>
  <w:footnote w:id="214">
    <w:p w:rsidR="00785921" w:rsidRPr="00E35130" w:rsidRDefault="00785921" w:rsidP="00126E97">
      <w:pPr>
        <w:tabs>
          <w:tab w:val="left" w:pos="567"/>
        </w:tabs>
        <w:spacing w:after="0" w:line="20" w:lineRule="atLeast"/>
        <w:jc w:val="both"/>
        <w:rPr>
          <w:rFonts w:ascii="Verdana" w:hAnsi="Verdana" w:cs="Verdana"/>
          <w:sz w:val="16"/>
          <w:szCs w:val="16"/>
          <w:lang w:val="es-PR"/>
        </w:rPr>
      </w:pPr>
      <w:r w:rsidRPr="00D05F7B">
        <w:rPr>
          <w:rStyle w:val="FootnoteReference"/>
          <w:rFonts w:ascii="Verdana" w:eastAsia="Calibri" w:hAnsi="Verdana"/>
          <w:sz w:val="16"/>
          <w:szCs w:val="16"/>
          <w:lang w:val="es-PR" w:eastAsia="x-none"/>
        </w:rPr>
        <w:footnoteRef/>
      </w:r>
      <w:r w:rsidRPr="00D05F7B">
        <w:rPr>
          <w:rFonts w:ascii="Verdana" w:hAnsi="Verdana"/>
          <w:i/>
          <w:sz w:val="16"/>
          <w:szCs w:val="16"/>
          <w:lang w:val="es-PR"/>
        </w:rPr>
        <w:t xml:space="preserve">Cfr. Caso </w:t>
      </w:r>
      <w:r w:rsidRPr="00D05F7B">
        <w:rPr>
          <w:rFonts w:ascii="Verdana" w:hAnsi="Verdana"/>
          <w:sz w:val="16"/>
          <w:szCs w:val="16"/>
          <w:lang w:val="es-PR"/>
        </w:rPr>
        <w:t xml:space="preserve">Masacre de </w:t>
      </w:r>
      <w:r w:rsidRPr="00D05F7B">
        <w:rPr>
          <w:rFonts w:ascii="Verdana" w:hAnsi="Verdana"/>
          <w:i/>
          <w:sz w:val="16"/>
          <w:szCs w:val="16"/>
          <w:lang w:val="es-PR"/>
        </w:rPr>
        <w:t>Las Dos Erres Vs. Guatemala</w:t>
      </w:r>
      <w:r w:rsidRPr="00D05F7B">
        <w:rPr>
          <w:rFonts w:ascii="Verdana" w:hAnsi="Verdana"/>
          <w:sz w:val="16"/>
          <w:szCs w:val="16"/>
          <w:lang w:val="es-PR"/>
        </w:rPr>
        <w:t>,</w:t>
      </w:r>
      <w:r w:rsidRPr="00D05F7B">
        <w:rPr>
          <w:rFonts w:ascii="Verdana" w:hAnsi="Verdana"/>
          <w:i/>
          <w:sz w:val="16"/>
          <w:szCs w:val="16"/>
          <w:lang w:val="es-PR"/>
        </w:rPr>
        <w:t xml:space="preserve"> </w:t>
      </w:r>
      <w:r w:rsidRPr="00D05F7B">
        <w:rPr>
          <w:rFonts w:ascii="Verdana" w:hAnsi="Verdana"/>
          <w:sz w:val="16"/>
          <w:szCs w:val="16"/>
          <w:lang w:val="es-PR"/>
        </w:rPr>
        <w:t xml:space="preserve">párr. 270 y </w:t>
      </w:r>
      <w:r w:rsidRPr="00D05F7B">
        <w:rPr>
          <w:rFonts w:ascii="Verdana" w:hAnsi="Verdana"/>
          <w:i/>
          <w:sz w:val="16"/>
          <w:szCs w:val="16"/>
          <w:lang w:val="es-CR"/>
        </w:rPr>
        <w:t>Caso V.R.P., V.P.C. y otros Vs. Nicaragua</w:t>
      </w:r>
      <w:r>
        <w:rPr>
          <w:rFonts w:ascii="Verdana" w:hAnsi="Verdana"/>
          <w:i/>
          <w:sz w:val="16"/>
          <w:szCs w:val="16"/>
          <w:lang w:val="es-CR"/>
        </w:rPr>
        <w:t>, supra</w:t>
      </w:r>
      <w:r w:rsidRPr="00D05F7B">
        <w:rPr>
          <w:rFonts w:ascii="Verdana" w:hAnsi="Verdana"/>
          <w:sz w:val="16"/>
          <w:szCs w:val="16"/>
          <w:lang w:val="es-CR"/>
        </w:rPr>
        <w:t xml:space="preserve">, </w:t>
      </w:r>
      <w:r w:rsidRPr="00E35130">
        <w:rPr>
          <w:rFonts w:ascii="Verdana" w:hAnsi="Verdana"/>
          <w:sz w:val="16"/>
          <w:szCs w:val="16"/>
          <w:lang w:val="es-CR"/>
        </w:rPr>
        <w:t>párr. 352</w:t>
      </w:r>
      <w:r w:rsidRPr="00E35130">
        <w:rPr>
          <w:rFonts w:ascii="Verdana" w:hAnsi="Verdana"/>
          <w:i/>
          <w:sz w:val="16"/>
          <w:szCs w:val="16"/>
          <w:lang w:val="es-CR"/>
        </w:rPr>
        <w:t>.</w:t>
      </w:r>
    </w:p>
  </w:footnote>
  <w:footnote w:id="215">
    <w:p w:rsidR="00785921" w:rsidRPr="00637508" w:rsidRDefault="00785921" w:rsidP="00126E97">
      <w:pPr>
        <w:spacing w:after="0" w:line="20" w:lineRule="atLeast"/>
        <w:jc w:val="both"/>
        <w:rPr>
          <w:sz w:val="16"/>
          <w:szCs w:val="16"/>
          <w:lang w:val="es-CR"/>
        </w:rPr>
      </w:pPr>
      <w:r w:rsidRPr="00E35130">
        <w:rPr>
          <w:rStyle w:val="FootnoteReference"/>
          <w:rFonts w:ascii="Verdana" w:hAnsi="Verdana"/>
          <w:sz w:val="16"/>
          <w:szCs w:val="16"/>
          <w:lang w:eastAsia="x-none"/>
        </w:rPr>
        <w:footnoteRef/>
      </w:r>
      <w:r w:rsidRPr="00E35130">
        <w:rPr>
          <w:rFonts w:ascii="Verdana" w:hAnsi="Verdana"/>
          <w:sz w:val="16"/>
          <w:szCs w:val="16"/>
          <w:lang w:val="es-CR"/>
        </w:rPr>
        <w:t xml:space="preserve"> Inclusive en ausencia de solicitud expresa, como ocurrió en este caso. </w:t>
      </w:r>
      <w:r w:rsidRPr="00E35130">
        <w:rPr>
          <w:rFonts w:ascii="Verdana" w:eastAsia="MS Mincho" w:hAnsi="Verdana"/>
          <w:i/>
          <w:sz w:val="16"/>
          <w:szCs w:val="16"/>
        </w:rPr>
        <w:t>Cfr. Caso Cantoral Benavides Vs. Perú</w:t>
      </w:r>
      <w:r>
        <w:rPr>
          <w:rFonts w:ascii="Verdana" w:eastAsia="MS Mincho" w:hAnsi="Verdana"/>
          <w:i/>
          <w:sz w:val="16"/>
          <w:szCs w:val="16"/>
        </w:rPr>
        <w:t>, supra</w:t>
      </w:r>
      <w:r w:rsidRPr="00E35130">
        <w:rPr>
          <w:rFonts w:ascii="Verdana" w:eastAsia="MS Mincho" w:hAnsi="Verdana"/>
          <w:sz w:val="16"/>
          <w:szCs w:val="16"/>
        </w:rPr>
        <w:t xml:space="preserve">, párr. 79 y </w:t>
      </w:r>
      <w:r w:rsidRPr="00E35130">
        <w:rPr>
          <w:rFonts w:ascii="Verdana" w:hAnsi="Verdana"/>
          <w:i/>
          <w:sz w:val="16"/>
          <w:szCs w:val="16"/>
          <w:lang w:val="es-PR"/>
        </w:rPr>
        <w:t xml:space="preserve">Caso Pueblo Indígena </w:t>
      </w:r>
      <w:proofErr w:type="spellStart"/>
      <w:r w:rsidRPr="00E35130">
        <w:rPr>
          <w:rFonts w:ascii="Verdana" w:hAnsi="Verdana"/>
          <w:i/>
          <w:sz w:val="16"/>
          <w:szCs w:val="16"/>
          <w:lang w:val="es-PR"/>
        </w:rPr>
        <w:t>Xucuru</w:t>
      </w:r>
      <w:proofErr w:type="spellEnd"/>
      <w:r w:rsidRPr="00E35130">
        <w:rPr>
          <w:rFonts w:ascii="Verdana" w:hAnsi="Verdana"/>
          <w:i/>
          <w:sz w:val="16"/>
          <w:szCs w:val="16"/>
          <w:lang w:val="es-PR"/>
        </w:rPr>
        <w:t xml:space="preserve"> y sus miembros Vs. Brasil. Excepciones Preliminares, Fondo, Reparaciones y Costas. </w:t>
      </w:r>
      <w:r w:rsidRPr="00E35130">
        <w:rPr>
          <w:rFonts w:ascii="Verdana" w:hAnsi="Verdana"/>
          <w:sz w:val="16"/>
          <w:szCs w:val="16"/>
          <w:lang w:val="es-PR"/>
        </w:rPr>
        <w:t>Sentencia de 5 de febrero de 2018. Serie C No. 346, párr. 198.</w:t>
      </w:r>
    </w:p>
  </w:footnote>
  <w:footnote w:id="216">
    <w:p w:rsidR="00785921" w:rsidRPr="00637508" w:rsidRDefault="00785921" w:rsidP="00126E97">
      <w:pPr>
        <w:pStyle w:val="FootnoteText"/>
        <w:tabs>
          <w:tab w:val="left" w:pos="360"/>
        </w:tabs>
        <w:spacing w:line="20" w:lineRule="atLeast"/>
        <w:contextualSpacing/>
        <w:rPr>
          <w:sz w:val="16"/>
          <w:szCs w:val="16"/>
          <w:lang w:val="es-CR"/>
        </w:rPr>
      </w:pPr>
      <w:r>
        <w:rPr>
          <w:rStyle w:val="FootnoteReference"/>
          <w:rFonts w:eastAsia="Cambria"/>
          <w:sz w:val="16"/>
          <w:szCs w:val="16"/>
          <w:lang w:eastAsia="x-none"/>
        </w:rPr>
        <w:footnoteRef/>
      </w:r>
      <w:r w:rsidRPr="00637508">
        <w:rPr>
          <w:sz w:val="16"/>
          <w:szCs w:val="16"/>
          <w:lang w:val="es-CR"/>
        </w:rPr>
        <w:t xml:space="preserve"> </w:t>
      </w:r>
      <w:r w:rsidRPr="00637508">
        <w:rPr>
          <w:i/>
          <w:sz w:val="16"/>
          <w:szCs w:val="16"/>
          <w:lang w:val="es-CR"/>
        </w:rPr>
        <w:t xml:space="preserve">Cfr. </w:t>
      </w:r>
      <w:r w:rsidRPr="00637508">
        <w:rPr>
          <w:rFonts w:eastAsia="MS ????"/>
          <w:bCs/>
          <w:i/>
          <w:color w:val="000000"/>
          <w:sz w:val="16"/>
          <w:szCs w:val="16"/>
          <w:shd w:val="clear" w:color="auto" w:fill="FFFFFF"/>
          <w:lang w:val="es-CR"/>
        </w:rPr>
        <w:t xml:space="preserve">Caso </w:t>
      </w:r>
      <w:proofErr w:type="spellStart"/>
      <w:r w:rsidRPr="00637508">
        <w:rPr>
          <w:rFonts w:eastAsia="MS ????"/>
          <w:bCs/>
          <w:i/>
          <w:color w:val="000000"/>
          <w:sz w:val="16"/>
          <w:szCs w:val="16"/>
          <w:shd w:val="clear" w:color="auto" w:fill="FFFFFF"/>
          <w:lang w:val="es-CR"/>
        </w:rPr>
        <w:t>Bámaca</w:t>
      </w:r>
      <w:proofErr w:type="spellEnd"/>
      <w:r w:rsidRPr="00637508">
        <w:rPr>
          <w:rFonts w:eastAsia="MS ????"/>
          <w:bCs/>
          <w:i/>
          <w:color w:val="000000"/>
          <w:sz w:val="16"/>
          <w:szCs w:val="16"/>
          <w:shd w:val="clear" w:color="auto" w:fill="FFFFFF"/>
          <w:lang w:val="es-CR"/>
        </w:rPr>
        <w:t xml:space="preserve"> Velásquez Vs. Guatemala. Reparaciones y Costas</w:t>
      </w:r>
      <w:r w:rsidRPr="00637508">
        <w:rPr>
          <w:rFonts w:eastAsia="MS ????"/>
          <w:bCs/>
          <w:color w:val="000000"/>
          <w:sz w:val="16"/>
          <w:szCs w:val="16"/>
          <w:shd w:val="clear" w:color="auto" w:fill="FFFFFF"/>
          <w:lang w:val="es-CR"/>
        </w:rPr>
        <w:t xml:space="preserve">. Sentencia de 22 de febrero de 2002. Serie C No. 91, párr. 84 y </w:t>
      </w:r>
      <w:r w:rsidRPr="00637508">
        <w:rPr>
          <w:rFonts w:eastAsia="MS ????"/>
          <w:bCs/>
          <w:i/>
          <w:color w:val="000000"/>
          <w:sz w:val="16"/>
          <w:szCs w:val="16"/>
          <w:shd w:val="clear" w:color="auto" w:fill="FFFFFF"/>
          <w:lang w:val="es-CR"/>
        </w:rPr>
        <w:t>Caso Ramírez Escobar y otros Vs. Guatemala</w:t>
      </w:r>
      <w:r>
        <w:rPr>
          <w:rFonts w:eastAsia="MS ????"/>
          <w:bCs/>
          <w:i/>
          <w:color w:val="000000"/>
          <w:sz w:val="16"/>
          <w:szCs w:val="16"/>
          <w:shd w:val="clear" w:color="auto" w:fill="FFFFFF"/>
          <w:lang w:val="es-CR"/>
        </w:rPr>
        <w:t>, supra</w:t>
      </w:r>
      <w:r w:rsidRPr="00637508">
        <w:rPr>
          <w:rFonts w:eastAsia="MS ????"/>
          <w:bCs/>
          <w:color w:val="000000"/>
          <w:sz w:val="16"/>
          <w:szCs w:val="16"/>
          <w:shd w:val="clear" w:color="auto" w:fill="FFFFFF"/>
          <w:lang w:val="es-CR"/>
        </w:rPr>
        <w:t>, p</w:t>
      </w:r>
      <w:r>
        <w:rPr>
          <w:rFonts w:eastAsia="MS ????"/>
          <w:bCs/>
          <w:color w:val="000000"/>
          <w:sz w:val="16"/>
          <w:szCs w:val="16"/>
          <w:shd w:val="clear" w:color="auto" w:fill="FFFFFF"/>
          <w:lang w:val="es-CR"/>
        </w:rPr>
        <w:t>á</w:t>
      </w:r>
      <w:r w:rsidRPr="00637508">
        <w:rPr>
          <w:rFonts w:eastAsia="MS ????"/>
          <w:bCs/>
          <w:color w:val="000000"/>
          <w:sz w:val="16"/>
          <w:szCs w:val="16"/>
          <w:shd w:val="clear" w:color="auto" w:fill="FFFFFF"/>
          <w:lang w:val="es-CR"/>
        </w:rPr>
        <w:t>rr. 306.</w:t>
      </w:r>
      <w:r w:rsidRPr="00637508">
        <w:rPr>
          <w:b/>
          <w:sz w:val="16"/>
          <w:szCs w:val="16"/>
          <w:lang w:val="es-CR"/>
        </w:rPr>
        <w:t xml:space="preserve"> </w:t>
      </w:r>
    </w:p>
  </w:footnote>
  <w:footnote w:id="217">
    <w:p w:rsidR="00785921" w:rsidRPr="00E35130" w:rsidRDefault="00785921" w:rsidP="00126E97">
      <w:pPr>
        <w:tabs>
          <w:tab w:val="left" w:pos="360"/>
        </w:tabs>
        <w:spacing w:after="0" w:line="20" w:lineRule="atLeast"/>
        <w:contextualSpacing/>
        <w:jc w:val="both"/>
        <w:rPr>
          <w:rFonts w:ascii="Verdana" w:hAnsi="Verdana"/>
          <w:sz w:val="16"/>
          <w:szCs w:val="16"/>
          <w:lang w:val="es-PE"/>
        </w:rPr>
      </w:pPr>
      <w:r w:rsidRPr="00E35130">
        <w:rPr>
          <w:rStyle w:val="FootnoteReference"/>
          <w:rFonts w:ascii="Verdana" w:eastAsia="Cambria" w:hAnsi="Verdana"/>
          <w:sz w:val="16"/>
          <w:szCs w:val="16"/>
          <w:lang w:val="es-PE" w:eastAsia="x-none"/>
        </w:rPr>
        <w:footnoteRef/>
      </w:r>
      <w:r w:rsidRPr="00E35130">
        <w:rPr>
          <w:rFonts w:ascii="Verdana" w:hAnsi="Verdana"/>
          <w:i/>
          <w:sz w:val="16"/>
          <w:szCs w:val="16"/>
          <w:lang w:val="es-PR"/>
        </w:rPr>
        <w:t xml:space="preserve">Cfr. </w:t>
      </w:r>
      <w:r w:rsidRPr="00E35130">
        <w:rPr>
          <w:rFonts w:ascii="Verdana" w:eastAsia="MS ????" w:hAnsi="Verdana"/>
          <w:bCs/>
          <w:i/>
          <w:color w:val="000000"/>
          <w:sz w:val="16"/>
          <w:szCs w:val="16"/>
          <w:shd w:val="clear" w:color="auto" w:fill="FFFFFF"/>
          <w:lang w:val="es-CR"/>
        </w:rPr>
        <w:t xml:space="preserve">Caso Miembros de la Aldea </w:t>
      </w:r>
      <w:proofErr w:type="spellStart"/>
      <w:r w:rsidRPr="00E35130">
        <w:rPr>
          <w:rFonts w:ascii="Verdana" w:eastAsia="MS ????" w:hAnsi="Verdana"/>
          <w:bCs/>
          <w:i/>
          <w:color w:val="000000"/>
          <w:sz w:val="16"/>
          <w:szCs w:val="16"/>
          <w:shd w:val="clear" w:color="auto" w:fill="FFFFFF"/>
          <w:lang w:val="es-CR"/>
        </w:rPr>
        <w:t>Chichupac</w:t>
      </w:r>
      <w:proofErr w:type="spellEnd"/>
      <w:r w:rsidRPr="00E35130">
        <w:rPr>
          <w:rFonts w:ascii="Verdana" w:eastAsia="MS ????" w:hAnsi="Verdana"/>
          <w:bCs/>
          <w:i/>
          <w:color w:val="000000"/>
          <w:sz w:val="16"/>
          <w:szCs w:val="16"/>
          <w:shd w:val="clear" w:color="auto" w:fill="FFFFFF"/>
          <w:lang w:val="es-CR"/>
        </w:rPr>
        <w:t xml:space="preserve"> y comunidades vecinas del Municipio de Rabinal Vs. Guatemala</w:t>
      </w:r>
      <w:r>
        <w:rPr>
          <w:rFonts w:ascii="Verdana" w:eastAsia="MS ????" w:hAnsi="Verdana"/>
          <w:bCs/>
          <w:i/>
          <w:color w:val="000000"/>
          <w:sz w:val="16"/>
          <w:szCs w:val="16"/>
          <w:shd w:val="clear" w:color="auto" w:fill="FFFFFF"/>
          <w:lang w:val="es-CR"/>
        </w:rPr>
        <w:t>, supra</w:t>
      </w:r>
      <w:r w:rsidRPr="00E35130">
        <w:rPr>
          <w:rFonts w:ascii="Verdana" w:hAnsi="Verdana"/>
          <w:sz w:val="16"/>
          <w:szCs w:val="16"/>
          <w:lang w:val="es-PR"/>
        </w:rPr>
        <w:t>,</w:t>
      </w:r>
      <w:r w:rsidRPr="00E35130">
        <w:rPr>
          <w:rFonts w:ascii="Verdana" w:hAnsi="Verdana"/>
          <w:bCs/>
          <w:sz w:val="16"/>
          <w:szCs w:val="16"/>
          <w:lang w:val="es-PR"/>
        </w:rPr>
        <w:t xml:space="preserve"> nota a pie</w:t>
      </w:r>
      <w:r>
        <w:rPr>
          <w:rFonts w:ascii="Verdana" w:hAnsi="Verdana"/>
          <w:bCs/>
          <w:sz w:val="16"/>
          <w:szCs w:val="16"/>
          <w:lang w:val="es-PR"/>
        </w:rPr>
        <w:t xml:space="preserve"> de página</w:t>
      </w:r>
      <w:r w:rsidRPr="00E35130">
        <w:rPr>
          <w:rFonts w:ascii="Verdana" w:hAnsi="Verdana"/>
          <w:bCs/>
          <w:sz w:val="16"/>
          <w:szCs w:val="16"/>
          <w:lang w:val="es-PR"/>
        </w:rPr>
        <w:t xml:space="preserve"> 359.</w:t>
      </w:r>
    </w:p>
  </w:footnote>
  <w:footnote w:id="218">
    <w:p w:rsidR="00785921" w:rsidRPr="005917B2" w:rsidRDefault="00785921" w:rsidP="00126E97">
      <w:pPr>
        <w:pStyle w:val="FootnoteText"/>
        <w:spacing w:line="20" w:lineRule="atLeast"/>
        <w:rPr>
          <w:lang w:val="es-CR"/>
        </w:rPr>
      </w:pPr>
      <w:r w:rsidRPr="00E35130">
        <w:rPr>
          <w:rStyle w:val="FootnoteReference"/>
          <w:sz w:val="16"/>
          <w:szCs w:val="16"/>
        </w:rPr>
        <w:footnoteRef/>
      </w:r>
      <w:r w:rsidRPr="00E35130">
        <w:rPr>
          <w:sz w:val="16"/>
          <w:szCs w:val="16"/>
          <w:lang w:val="es-CR"/>
        </w:rPr>
        <w:t xml:space="preserve"> Al respecto</w:t>
      </w:r>
      <w:r w:rsidRPr="005658DB">
        <w:rPr>
          <w:sz w:val="16"/>
          <w:szCs w:val="16"/>
          <w:lang w:val="es-CR"/>
        </w:rPr>
        <w:t>, en relación con Guatemala, la Corte ha tenido oportunidad de apreciar la utilidad e importancia de realizar diligencias de supervisión en el territorio estatal, respecto a la supervisión del cumplimento de sus decisiones, en cuanto a las reparaciones que lo ameriten. Ha destacado, en ese sentido, “</w:t>
      </w:r>
      <w:r w:rsidRPr="005658DB">
        <w:rPr>
          <w:rFonts w:eastAsiaTheme="minorHAnsi" w:cs="Verdana"/>
          <w:color w:val="000000"/>
          <w:sz w:val="16"/>
          <w:szCs w:val="16"/>
          <w:lang w:val="es-CR" w:eastAsia="en-US"/>
        </w:rPr>
        <w:t>la necesidad de que, en [los casos pertinentes], los Estados [colaboren para que una delegación del Tribunal pueda efectuar diligencias de supervisión en territorio estatal], con la mayor participación posible de funcionarios responsables de ejecutar las reparaciones y la mejor disponibilidad para asumir compromisos dirigidos al pronto cumplimiento de las mismas”. La Corte, en circunstancias anteriores, constató que “[e]</w:t>
      </w:r>
      <w:proofErr w:type="spellStart"/>
      <w:r w:rsidRPr="005658DB">
        <w:rPr>
          <w:rFonts w:eastAsiaTheme="minorHAnsi" w:cs="Verdana"/>
          <w:color w:val="000000"/>
          <w:sz w:val="16"/>
          <w:szCs w:val="16"/>
          <w:lang w:val="es-CR" w:eastAsia="en-US"/>
        </w:rPr>
        <w:t>ste</w:t>
      </w:r>
      <w:proofErr w:type="spellEnd"/>
      <w:r w:rsidRPr="005658DB">
        <w:rPr>
          <w:rFonts w:eastAsiaTheme="minorHAnsi" w:cs="Verdana"/>
          <w:color w:val="000000"/>
          <w:sz w:val="16"/>
          <w:szCs w:val="16"/>
          <w:lang w:val="es-CR" w:eastAsia="en-US"/>
        </w:rPr>
        <w:t xml:space="preserve"> tipo de visita[s] además </w:t>
      </w:r>
      <w:proofErr w:type="spellStart"/>
      <w:proofErr w:type="gramStart"/>
      <w:r w:rsidRPr="005658DB">
        <w:rPr>
          <w:rFonts w:eastAsiaTheme="minorHAnsi" w:cs="Verdana"/>
          <w:color w:val="000000"/>
          <w:sz w:val="16"/>
          <w:szCs w:val="16"/>
          <w:lang w:val="es-CR" w:eastAsia="en-US"/>
        </w:rPr>
        <w:t>permit</w:t>
      </w:r>
      <w:proofErr w:type="spellEnd"/>
      <w:r w:rsidRPr="005658DB">
        <w:rPr>
          <w:rFonts w:eastAsiaTheme="minorHAnsi" w:cs="Verdana"/>
          <w:color w:val="000000"/>
          <w:sz w:val="16"/>
          <w:szCs w:val="16"/>
          <w:lang w:val="es-CR" w:eastAsia="en-US"/>
        </w:rPr>
        <w:t>[</w:t>
      </w:r>
      <w:proofErr w:type="spellStart"/>
      <w:proofErr w:type="gramEnd"/>
      <w:r w:rsidRPr="005658DB">
        <w:rPr>
          <w:rFonts w:eastAsiaTheme="minorHAnsi" w:cs="Verdana"/>
          <w:color w:val="000000"/>
          <w:sz w:val="16"/>
          <w:szCs w:val="16"/>
          <w:lang w:val="es-CR" w:eastAsia="en-US"/>
        </w:rPr>
        <w:t>eron</w:t>
      </w:r>
      <w:proofErr w:type="spellEnd"/>
      <w:r w:rsidRPr="005658DB">
        <w:rPr>
          <w:rFonts w:eastAsiaTheme="minorHAnsi" w:cs="Verdana"/>
          <w:color w:val="000000"/>
          <w:sz w:val="16"/>
          <w:szCs w:val="16"/>
          <w:lang w:val="es-CR" w:eastAsia="en-US"/>
        </w:rPr>
        <w:t>] la comunicación directa e inmediata entre las víctimas y altos funcionarios estatales, de manera que</w:t>
      </w:r>
      <w:r>
        <w:rPr>
          <w:rFonts w:eastAsiaTheme="minorHAnsi" w:cs="Verdana"/>
          <w:color w:val="000000"/>
          <w:sz w:val="16"/>
          <w:szCs w:val="16"/>
          <w:lang w:val="es-CR" w:eastAsia="en-US"/>
        </w:rPr>
        <w:t>,</w:t>
      </w:r>
      <w:r w:rsidRPr="005658DB">
        <w:rPr>
          <w:rFonts w:eastAsiaTheme="minorHAnsi" w:cs="Verdana"/>
          <w:color w:val="000000"/>
          <w:sz w:val="16"/>
          <w:szCs w:val="16"/>
          <w:lang w:val="es-CR" w:eastAsia="en-US"/>
        </w:rPr>
        <w:t xml:space="preserve"> en el mismo momento estos últimos pudieran comprometerse a adoptar acciones concretas dirigidas a avanzar en el cumplimiento de las medidas y que las víctimas pudieran ser escuchadas sobre los avances y falencias que identifican”</w:t>
      </w:r>
      <w:r>
        <w:rPr>
          <w:rFonts w:eastAsiaTheme="minorHAnsi" w:cs="Verdana"/>
          <w:color w:val="000000"/>
          <w:sz w:val="16"/>
          <w:szCs w:val="16"/>
          <w:lang w:val="es-CR" w:eastAsia="en-US"/>
        </w:rPr>
        <w:t>.</w:t>
      </w:r>
      <w:r w:rsidRPr="005658DB">
        <w:rPr>
          <w:rFonts w:eastAsiaTheme="minorHAnsi" w:cs="Verdana"/>
          <w:color w:val="000000"/>
          <w:sz w:val="16"/>
          <w:szCs w:val="16"/>
          <w:lang w:val="es-CR" w:eastAsia="en-US"/>
        </w:rPr>
        <w:t xml:space="preserve"> (</w:t>
      </w:r>
      <w:r w:rsidRPr="005658DB">
        <w:rPr>
          <w:bCs/>
          <w:i/>
          <w:sz w:val="16"/>
          <w:szCs w:val="16"/>
          <w:lang w:val="es-CR"/>
        </w:rPr>
        <w:t>Caso Masacre de Plan de Sánchez Vs. Guatemala. Supervisión de Cumplimiento de Sentencia.</w:t>
      </w:r>
      <w:r w:rsidRPr="005658DB">
        <w:rPr>
          <w:bCs/>
          <w:sz w:val="16"/>
          <w:szCs w:val="16"/>
          <w:lang w:val="es-CR"/>
        </w:rPr>
        <w:t xml:space="preserve"> Resolución de la Corte Interamericana de Derechos Humanos 25 de mayo de 2017 y </w:t>
      </w:r>
      <w:r w:rsidRPr="005658DB">
        <w:rPr>
          <w:bCs/>
          <w:i/>
          <w:sz w:val="16"/>
          <w:szCs w:val="16"/>
          <w:lang w:val="es-CR"/>
        </w:rPr>
        <w:t xml:space="preserve">Caso Masacres de Río Negro Vs. Guatemala. Supervisión de Cumplimiento de Sentencia. </w:t>
      </w:r>
      <w:r w:rsidRPr="005658DB">
        <w:rPr>
          <w:bCs/>
          <w:sz w:val="16"/>
          <w:szCs w:val="16"/>
          <w:lang w:val="es-CR"/>
        </w:rPr>
        <w:t>Resolución de la Corte Interamericana de Derechos Humanos de 25 de mayo de 2017, Considerando 9)</w:t>
      </w:r>
      <w:r>
        <w:rPr>
          <w:bCs/>
          <w:sz w:val="16"/>
          <w:szCs w:val="16"/>
          <w:lang w:val="es-CR"/>
        </w:rPr>
        <w:t>.</w:t>
      </w:r>
    </w:p>
  </w:footnote>
  <w:footnote w:id="219">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w:t>
      </w:r>
      <w:r>
        <w:rPr>
          <w:rFonts w:eastAsia="MS Mincho"/>
          <w:sz w:val="16"/>
          <w:szCs w:val="16"/>
          <w:lang w:val="es-ES_tradnl"/>
        </w:rPr>
        <w:t xml:space="preserve">Asimismo, alegó que mediante el Acuerdo Gubernativo número 130-2016, se emitió el Reglamento Orgánico Interno del Ministerio de Defensa Nacional, el cual tiene aspectos a resaltar, como la creación de la Dirección General de Derechos Humanos y Derecho Internacional Humanitario del Ministerio de la Defensa Nacional </w:t>
      </w:r>
      <w:r w:rsidRPr="005917B2">
        <w:rPr>
          <w:sz w:val="16"/>
          <w:szCs w:val="16"/>
          <w:lang w:val="es-ES_tradnl"/>
        </w:rPr>
        <w:t>(</w:t>
      </w:r>
      <w:r>
        <w:rPr>
          <w:i/>
          <w:sz w:val="16"/>
          <w:szCs w:val="16"/>
          <w:lang w:val="es-ES_tradnl"/>
        </w:rPr>
        <w:t>cfr.</w:t>
      </w:r>
      <w:r>
        <w:rPr>
          <w:b/>
          <w:sz w:val="16"/>
          <w:szCs w:val="16"/>
          <w:lang w:val="es-ES_tradnl"/>
        </w:rPr>
        <w:t xml:space="preserve"> </w:t>
      </w:r>
      <w:r w:rsidRPr="00637508">
        <w:rPr>
          <w:sz w:val="16"/>
          <w:szCs w:val="16"/>
          <w:lang w:val="es-CR"/>
        </w:rPr>
        <w:t>Acuerdo gubernativo 130-2016. Reglamento Orgánico Interno del Ministerio de la Defensa Nacional</w:t>
      </w:r>
      <w:r>
        <w:rPr>
          <w:sz w:val="16"/>
          <w:szCs w:val="16"/>
          <w:lang w:val="es-CR"/>
        </w:rPr>
        <w:t xml:space="preserve"> (e</w:t>
      </w:r>
      <w:r w:rsidRPr="00637508">
        <w:rPr>
          <w:sz w:val="16"/>
          <w:szCs w:val="16"/>
          <w:lang w:val="es-CR"/>
        </w:rPr>
        <w:t>xpediente de prueba, anexo 9 a la contestación</w:t>
      </w:r>
      <w:r>
        <w:rPr>
          <w:sz w:val="16"/>
          <w:szCs w:val="16"/>
          <w:lang w:val="es-CR"/>
        </w:rPr>
        <w:t xml:space="preserve"> del Estado</w:t>
      </w:r>
      <w:r w:rsidRPr="00637508">
        <w:rPr>
          <w:sz w:val="16"/>
          <w:szCs w:val="16"/>
          <w:lang w:val="es-CR"/>
        </w:rPr>
        <w:t>, f</w:t>
      </w:r>
      <w:r>
        <w:rPr>
          <w:sz w:val="16"/>
          <w:szCs w:val="16"/>
          <w:lang w:val="es-CR"/>
        </w:rPr>
        <w:t>olio</w:t>
      </w:r>
      <w:r w:rsidRPr="00637508">
        <w:rPr>
          <w:sz w:val="16"/>
          <w:szCs w:val="16"/>
          <w:lang w:val="es-CR"/>
        </w:rPr>
        <w:t>s 5463 a 5471)</w:t>
      </w:r>
      <w:r>
        <w:rPr>
          <w:sz w:val="16"/>
          <w:szCs w:val="16"/>
          <w:lang w:val="es-CR"/>
        </w:rPr>
        <w:t>)</w:t>
      </w:r>
      <w:r w:rsidRPr="00637508">
        <w:rPr>
          <w:sz w:val="16"/>
          <w:szCs w:val="16"/>
          <w:lang w:val="es-CR"/>
        </w:rPr>
        <w:t>.</w:t>
      </w:r>
      <w:r>
        <w:rPr>
          <w:rFonts w:eastAsia="MS Mincho"/>
          <w:sz w:val="16"/>
          <w:szCs w:val="16"/>
          <w:lang w:val="es-ES_tradnl"/>
        </w:rPr>
        <w:t xml:space="preserve"> Indicó también que cuenta con instituciones gubernamentales y no gubernamentales, nacionales e internacionales para el desarrollo de estos programas, tales como: Procuraduría de los Derechos Humanos (PDH), Comisión Presidencial Coordinadora de la Política del Ejecutivo en materia de Derechos Humanos (COPREDEH), Comisión Presidencial Contra la Discriminación y el Racismo de los Pueblos Indígenas en Guatemala (CODISRA), Secretaría Contra la Violencia Sexual, Explotación y Trata de Personas (SVET), Secretaria Presidencial de la Mujer (SEPREM), Oficina Nacional de la Mujer (ONAM), y </w:t>
      </w:r>
      <w:r w:rsidRPr="00F90CFC">
        <w:rPr>
          <w:rFonts w:eastAsia="MS Mincho"/>
          <w:sz w:val="16"/>
          <w:szCs w:val="16"/>
          <w:lang w:val="es-ES_tradnl"/>
        </w:rPr>
        <w:t>Oficina de Derechos Humanos del Comando Sur de los Estados Unidos de América. Asimismo, informó que se</w:t>
      </w:r>
      <w:r>
        <w:rPr>
          <w:rFonts w:eastAsia="MS Mincho"/>
          <w:sz w:val="16"/>
          <w:szCs w:val="16"/>
          <w:lang w:val="es-ES_tradnl"/>
        </w:rPr>
        <w:t xml:space="preserve"> han desarrollado “Postgrados, Diplomados, Cursos, Talleres y Conferencias sobre Derechos Humanos y Derecho Internacional Humanitario así como en Uso de la Fuerza y de las Armas de Fuego, con el propósito de fortalecer el conocimiento, respeto y aplicación sobre estos temas en el personal militar del Ejército de Guatemala”. Adicionalmente, informó que el 23 de marzo del año 2017 se inauguró el diplomado en Derechos Humanos en el Ministerio de la Defensa Nacional. </w:t>
      </w:r>
    </w:p>
  </w:footnote>
  <w:footnote w:id="220">
    <w:p w:rsidR="00785921" w:rsidRPr="00E35130" w:rsidRDefault="00785921" w:rsidP="00126E97">
      <w:pPr>
        <w:tabs>
          <w:tab w:val="left" w:pos="567"/>
        </w:tabs>
        <w:spacing w:after="0" w:line="20" w:lineRule="atLeast"/>
        <w:jc w:val="both"/>
        <w:rPr>
          <w:rFonts w:ascii="Verdana" w:hAnsi="Verdana"/>
          <w:sz w:val="16"/>
          <w:szCs w:val="16"/>
        </w:rPr>
      </w:pPr>
      <w:r w:rsidRPr="00E35130">
        <w:rPr>
          <w:rStyle w:val="FootnoteReference"/>
          <w:rFonts w:ascii="Verdana" w:hAnsi="Verdana"/>
          <w:sz w:val="16"/>
          <w:szCs w:val="16"/>
          <w:lang w:eastAsia="x-none"/>
        </w:rPr>
        <w:footnoteRef/>
      </w:r>
      <w:r w:rsidRPr="00E35130">
        <w:rPr>
          <w:rFonts w:ascii="Verdana" w:hAnsi="Verdana"/>
          <w:sz w:val="16"/>
          <w:szCs w:val="16"/>
          <w:lang w:val="es-CR"/>
        </w:rPr>
        <w:t xml:space="preserve"> </w:t>
      </w:r>
      <w:r w:rsidRPr="00E35130">
        <w:rPr>
          <w:rFonts w:ascii="Verdana" w:eastAsia="Calibri" w:hAnsi="Verdana" w:cs="Cambria"/>
          <w:sz w:val="16"/>
          <w:szCs w:val="16"/>
          <w:lang w:val="es-CR"/>
        </w:rPr>
        <w:t>Guatemala explicó que con dicha “Agencia Fiscal” se buscará reorientar las investigaciones, atendiendo a los principios generales de "debida diligencia" para la investigación de graves violaciones de derechos humanos y los estándares para las investigaciones de ejecuciones extrajudiciales, hechos de tortura y otros tratos crueles, inhumanos o degradantes y la desaparición forzada de personas. Informó que esta agencia fiscal estaría integrada por 6 auxiliares fiscales y un agente fiscal.</w:t>
      </w:r>
    </w:p>
  </w:footnote>
  <w:footnote w:id="221">
    <w:p w:rsidR="00785921" w:rsidRDefault="00785921" w:rsidP="00126E97">
      <w:pPr>
        <w:tabs>
          <w:tab w:val="left" w:pos="567"/>
        </w:tabs>
        <w:spacing w:after="0" w:line="20" w:lineRule="atLeast"/>
        <w:jc w:val="both"/>
        <w:rPr>
          <w:rFonts w:eastAsia="MS Mincho"/>
          <w:sz w:val="16"/>
          <w:szCs w:val="16"/>
        </w:rPr>
      </w:pPr>
      <w:r w:rsidRPr="00E35130">
        <w:rPr>
          <w:rStyle w:val="FootnoteReference"/>
          <w:rFonts w:ascii="Verdana" w:eastAsia="MS Mincho" w:hAnsi="Verdana"/>
          <w:sz w:val="16"/>
          <w:szCs w:val="16"/>
          <w:lang w:eastAsia="x-none"/>
        </w:rPr>
        <w:footnoteRef/>
      </w:r>
      <w:r w:rsidRPr="00E35130">
        <w:rPr>
          <w:rFonts w:ascii="Verdana" w:hAnsi="Verdana"/>
          <w:sz w:val="16"/>
          <w:szCs w:val="16"/>
          <w:lang w:val="es-CR"/>
        </w:rPr>
        <w:t xml:space="preserve"> </w:t>
      </w:r>
      <w:r w:rsidRPr="00E35130">
        <w:rPr>
          <w:rFonts w:ascii="Verdana" w:eastAsia="MS Mincho" w:hAnsi="Verdana"/>
          <w:sz w:val="16"/>
          <w:szCs w:val="16"/>
        </w:rPr>
        <w:t>Explicó que esta ley crea el servicio de protección el cual indica el Estado que funcionará dentro del Ministerio Público y tiene como objetivo esencial, proporcionar protección a funcionarios y empleados del Organismo Judicial, de las fuerzas de seguridad civil y del Ministerio Público, así como a testigos, peritos, consultores, “querellantes adhesivos” y otras personas que estén expuestos a riesgos, por su intervención en procesos penales; y además, periodistas que lo necesiten por encontrarse en riesgo, debido al cumplimiento de su función informativo y presta diferentes medidas de protección, según el nivel de riesg</w:t>
      </w:r>
      <w:r>
        <w:rPr>
          <w:rFonts w:ascii="Verdana" w:eastAsia="MS Mincho" w:hAnsi="Verdana"/>
          <w:sz w:val="16"/>
          <w:szCs w:val="16"/>
        </w:rPr>
        <w:t>o de la persona. Además, señaló</w:t>
      </w:r>
      <w:r w:rsidRPr="00E35130">
        <w:rPr>
          <w:rFonts w:ascii="Verdana" w:eastAsia="MS Mincho" w:hAnsi="Verdana"/>
          <w:sz w:val="16"/>
          <w:szCs w:val="16"/>
        </w:rPr>
        <w:t xml:space="preserve"> que el Ministerio Público, a través de la Fiscalía de Sección de Derechos Humanos, Unidad del Conflicto Armado Interno informó que se han adoptado una serie de medidas tendientes a cumplir la medida solicitada, tal como que las declaraciones se presten por medios audiovisuales de videoconferencia o cámara </w:t>
      </w:r>
      <w:proofErr w:type="spellStart"/>
      <w:r w:rsidRPr="00E35130">
        <w:rPr>
          <w:rFonts w:ascii="Verdana" w:eastAsia="MS Mincho" w:hAnsi="Verdana"/>
          <w:sz w:val="16"/>
          <w:szCs w:val="16"/>
        </w:rPr>
        <w:t>Gessel</w:t>
      </w:r>
      <w:proofErr w:type="spellEnd"/>
      <w:r w:rsidRPr="00E35130">
        <w:rPr>
          <w:rFonts w:ascii="Verdana" w:eastAsia="MS Mincho" w:hAnsi="Verdana"/>
          <w:sz w:val="16"/>
          <w:szCs w:val="16"/>
        </w:rPr>
        <w:t xml:space="preserve"> </w:t>
      </w:r>
      <w:r>
        <w:rPr>
          <w:rFonts w:ascii="Verdana" w:eastAsia="MS Mincho" w:hAnsi="Verdana"/>
          <w:sz w:val="16"/>
          <w:szCs w:val="16"/>
        </w:rPr>
        <w:t>(</w:t>
      </w:r>
      <w:r w:rsidRPr="00E35130">
        <w:rPr>
          <w:rFonts w:ascii="Verdana" w:eastAsia="MS Mincho" w:hAnsi="Verdana"/>
          <w:sz w:val="16"/>
          <w:szCs w:val="16"/>
        </w:rPr>
        <w:t>y, en algunos casos, con la reserva de los datos de identificación personal o con el ocultamiento de rostro, para evitar el contacto directo con los sindicados y exponerlos físicamente con algún riesgo</w:t>
      </w:r>
      <w:r>
        <w:rPr>
          <w:rFonts w:ascii="Verdana" w:eastAsia="MS Mincho" w:hAnsi="Verdana"/>
          <w:sz w:val="16"/>
          <w:szCs w:val="16"/>
        </w:rPr>
        <w:t>)</w:t>
      </w:r>
      <w:r w:rsidRPr="00E35130">
        <w:rPr>
          <w:rFonts w:ascii="Verdana" w:eastAsia="MS Mincho" w:hAnsi="Verdana"/>
          <w:sz w:val="16"/>
          <w:szCs w:val="16"/>
        </w:rPr>
        <w:t>,</w:t>
      </w:r>
      <w:r>
        <w:rPr>
          <w:rFonts w:ascii="Verdana" w:eastAsia="MS Mincho" w:hAnsi="Verdana"/>
          <w:sz w:val="16"/>
          <w:szCs w:val="16"/>
        </w:rPr>
        <w:t xml:space="preserve"> o</w:t>
      </w:r>
      <w:r w:rsidRPr="00E35130">
        <w:rPr>
          <w:rFonts w:ascii="Verdana" w:eastAsia="MS Mincho" w:hAnsi="Verdana"/>
          <w:sz w:val="16"/>
          <w:szCs w:val="16"/>
        </w:rPr>
        <w:t xml:space="preserve"> solicitar al Departamento de Seguridad del Ministerio Público la asignación de personal de seguridad y de vehículos para el traslado de Fiscales en riesgo, entre </w:t>
      </w:r>
      <w:r w:rsidRPr="00F90CFC">
        <w:rPr>
          <w:rFonts w:ascii="Verdana" w:eastAsia="MS Mincho" w:hAnsi="Verdana"/>
          <w:sz w:val="16"/>
          <w:szCs w:val="16"/>
        </w:rPr>
        <w:t xml:space="preserve">otros </w:t>
      </w:r>
      <w:r w:rsidRPr="00F90CFC">
        <w:rPr>
          <w:rFonts w:ascii="Verdana" w:hAnsi="Verdana"/>
          <w:sz w:val="16"/>
          <w:szCs w:val="16"/>
          <w:lang w:val="es-CR"/>
        </w:rPr>
        <w:t>(expediente de prueba, anexos 10 y 11 a la contestación, folios 5472 a 5509).</w:t>
      </w:r>
      <w:r>
        <w:rPr>
          <w:rFonts w:eastAsia="MS Mincho"/>
          <w:sz w:val="16"/>
          <w:szCs w:val="16"/>
        </w:rPr>
        <w:t xml:space="preserve"> </w:t>
      </w:r>
    </w:p>
  </w:footnote>
  <w:footnote w:id="222">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w:t>
      </w:r>
      <w:r w:rsidRPr="00187CF4">
        <w:rPr>
          <w:i/>
          <w:sz w:val="16"/>
          <w:szCs w:val="16"/>
          <w:lang w:val="es-CR"/>
        </w:rPr>
        <w:t>Cfr.</w:t>
      </w:r>
      <w:r>
        <w:rPr>
          <w:sz w:val="16"/>
          <w:szCs w:val="16"/>
          <w:lang w:val="es-CR"/>
        </w:rPr>
        <w:t xml:space="preserve"> </w:t>
      </w:r>
      <w:r w:rsidRPr="00637508">
        <w:rPr>
          <w:sz w:val="16"/>
          <w:szCs w:val="16"/>
          <w:lang w:val="es-CR"/>
        </w:rPr>
        <w:t>Pensum de estudios sobre Derechos Humanos, Derecho Internacional Humanitario y Uso de la Fuerza y Uso de Armas de Fuego, en el Sistema Educativo Militar del Ejército de Guatemala (</w:t>
      </w:r>
      <w:r>
        <w:rPr>
          <w:sz w:val="16"/>
          <w:szCs w:val="16"/>
          <w:lang w:val="es-CR"/>
        </w:rPr>
        <w:t>e</w:t>
      </w:r>
      <w:r w:rsidRPr="00637508">
        <w:rPr>
          <w:sz w:val="16"/>
          <w:szCs w:val="16"/>
          <w:lang w:val="es-CR"/>
        </w:rPr>
        <w:t xml:space="preserve">xpediente de prueba, anexo 8 a la contestación, </w:t>
      </w:r>
      <w:r>
        <w:rPr>
          <w:sz w:val="16"/>
          <w:szCs w:val="16"/>
          <w:lang w:val="es-CR"/>
        </w:rPr>
        <w:t>f</w:t>
      </w:r>
      <w:r w:rsidRPr="00637508">
        <w:rPr>
          <w:sz w:val="16"/>
          <w:szCs w:val="16"/>
          <w:lang w:val="es-CR"/>
        </w:rPr>
        <w:t>olios 5449 a 5461) y Acuerdo gubernativo 130-2016. Reglamento Orgánico Interno del Ministerio de la Defensa Nacional (</w:t>
      </w:r>
      <w:r>
        <w:rPr>
          <w:sz w:val="16"/>
          <w:szCs w:val="16"/>
          <w:lang w:val="es-CR"/>
        </w:rPr>
        <w:t>e</w:t>
      </w:r>
      <w:r w:rsidRPr="00637508">
        <w:rPr>
          <w:sz w:val="16"/>
          <w:szCs w:val="16"/>
          <w:lang w:val="es-CR"/>
        </w:rPr>
        <w:t xml:space="preserve">xpediente de prueba, anexo 9 a la contestación, </w:t>
      </w:r>
      <w:r>
        <w:rPr>
          <w:sz w:val="16"/>
          <w:szCs w:val="16"/>
          <w:lang w:val="es-CR"/>
        </w:rPr>
        <w:t>f</w:t>
      </w:r>
      <w:r w:rsidRPr="00637508">
        <w:rPr>
          <w:sz w:val="16"/>
          <w:szCs w:val="16"/>
          <w:lang w:val="es-CR"/>
        </w:rPr>
        <w:t xml:space="preserve">olios 5463 a 5471).  </w:t>
      </w:r>
    </w:p>
  </w:footnote>
  <w:footnote w:id="223">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w:t>
      </w:r>
      <w:r w:rsidRPr="00637508">
        <w:rPr>
          <w:rFonts w:eastAsia="MS ????"/>
          <w:bCs/>
          <w:i/>
          <w:color w:val="000000"/>
          <w:sz w:val="16"/>
          <w:szCs w:val="16"/>
          <w:shd w:val="clear" w:color="auto" w:fill="FFFFFF"/>
          <w:lang w:val="es-CR"/>
        </w:rPr>
        <w:t xml:space="preserve">Caso Miembros de la Aldea </w:t>
      </w:r>
      <w:proofErr w:type="spellStart"/>
      <w:r w:rsidRPr="00637508">
        <w:rPr>
          <w:rFonts w:eastAsia="MS ????"/>
          <w:bCs/>
          <w:i/>
          <w:color w:val="000000"/>
          <w:sz w:val="16"/>
          <w:szCs w:val="16"/>
          <w:shd w:val="clear" w:color="auto" w:fill="FFFFFF"/>
          <w:lang w:val="es-CR"/>
        </w:rPr>
        <w:t>Chichupac</w:t>
      </w:r>
      <w:proofErr w:type="spellEnd"/>
      <w:r w:rsidRPr="00637508">
        <w:rPr>
          <w:rFonts w:eastAsia="MS ????"/>
          <w:bCs/>
          <w:i/>
          <w:color w:val="000000"/>
          <w:sz w:val="16"/>
          <w:szCs w:val="16"/>
          <w:shd w:val="clear" w:color="auto" w:fill="FFFFFF"/>
          <w:lang w:val="es-CR"/>
        </w:rPr>
        <w:t xml:space="preserve"> y comunidades vecinas del Municipio de Rabinal Vs. Guatemala</w:t>
      </w:r>
      <w:r>
        <w:rPr>
          <w:rFonts w:eastAsia="MS ????"/>
          <w:bCs/>
          <w:i/>
          <w:color w:val="000000"/>
          <w:sz w:val="16"/>
          <w:szCs w:val="16"/>
          <w:shd w:val="clear" w:color="auto" w:fill="FFFFFF"/>
          <w:lang w:val="es-CR"/>
        </w:rPr>
        <w:t>, supra</w:t>
      </w:r>
      <w:r>
        <w:rPr>
          <w:sz w:val="16"/>
          <w:szCs w:val="16"/>
          <w:lang w:val="es-PR"/>
        </w:rPr>
        <w:t>,</w:t>
      </w:r>
      <w:r>
        <w:rPr>
          <w:bCs/>
          <w:sz w:val="16"/>
          <w:szCs w:val="16"/>
          <w:lang w:val="es-PR"/>
        </w:rPr>
        <w:t xml:space="preserve"> párr. 313.</w:t>
      </w:r>
    </w:p>
  </w:footnote>
  <w:footnote w:id="224">
    <w:p w:rsidR="00785921" w:rsidRPr="00E35130" w:rsidRDefault="00785921" w:rsidP="00126E97">
      <w:pPr>
        <w:pStyle w:val="FootnoteText"/>
        <w:spacing w:line="20" w:lineRule="atLeast"/>
        <w:rPr>
          <w:lang w:val="es-CR"/>
        </w:rPr>
      </w:pPr>
      <w:r w:rsidRPr="00416FFE">
        <w:rPr>
          <w:rStyle w:val="FootnoteReference"/>
          <w:sz w:val="16"/>
          <w:szCs w:val="16"/>
        </w:rPr>
        <w:footnoteRef/>
      </w:r>
      <w:r w:rsidRPr="00E35130">
        <w:rPr>
          <w:lang w:val="es-CR"/>
        </w:rPr>
        <w:t xml:space="preserve"> </w:t>
      </w:r>
      <w:r w:rsidRPr="00D05F7B">
        <w:rPr>
          <w:sz w:val="16"/>
          <w:szCs w:val="16"/>
          <w:lang w:val="es-CR"/>
        </w:rPr>
        <w:t xml:space="preserve">Es pertinente indicar que la </w:t>
      </w:r>
      <w:r w:rsidRPr="00641A62">
        <w:rPr>
          <w:b/>
          <w:i/>
          <w:sz w:val="16"/>
          <w:szCs w:val="16"/>
          <w:lang w:val="es-CR"/>
        </w:rPr>
        <w:t>Comisión</w:t>
      </w:r>
      <w:r w:rsidRPr="00D05F7B">
        <w:rPr>
          <w:sz w:val="16"/>
          <w:szCs w:val="16"/>
          <w:lang w:val="es-CR"/>
        </w:rPr>
        <w:t xml:space="preserve"> señaló que quienes actuaron como peticionarios ante ella informaron que el 4 de octubre de 1996 presentaron una demanda civil por daños y perjuicios, solicitando que se condenara a los “acusados” y al Estado al pago de una suma de dinero. </w:t>
      </w:r>
      <w:r>
        <w:rPr>
          <w:sz w:val="16"/>
          <w:szCs w:val="16"/>
          <w:lang w:val="es-CR"/>
        </w:rPr>
        <w:t xml:space="preserve">Los </w:t>
      </w:r>
      <w:r w:rsidRPr="00641A62">
        <w:rPr>
          <w:b/>
          <w:i/>
          <w:sz w:val="16"/>
          <w:szCs w:val="16"/>
          <w:lang w:val="es-CR"/>
        </w:rPr>
        <w:t>representantes</w:t>
      </w:r>
      <w:r>
        <w:rPr>
          <w:sz w:val="16"/>
          <w:szCs w:val="16"/>
          <w:lang w:val="es-CR"/>
        </w:rPr>
        <w:t xml:space="preserve">, por su parte, manifestaron que el juicio civil no avanzó. </w:t>
      </w:r>
      <w:r w:rsidRPr="00D05F7B">
        <w:rPr>
          <w:sz w:val="16"/>
          <w:szCs w:val="16"/>
          <w:lang w:val="es-CR"/>
        </w:rPr>
        <w:t xml:space="preserve">Si bien la </w:t>
      </w:r>
      <w:r w:rsidRPr="00641A62">
        <w:rPr>
          <w:b/>
          <w:i/>
          <w:sz w:val="16"/>
          <w:szCs w:val="16"/>
          <w:lang w:val="es-CR"/>
        </w:rPr>
        <w:t>Corte</w:t>
      </w:r>
      <w:r w:rsidRPr="00D05F7B">
        <w:rPr>
          <w:sz w:val="16"/>
          <w:szCs w:val="16"/>
          <w:lang w:val="es-CR"/>
        </w:rPr>
        <w:t xml:space="preserve"> cuenta con alguna información sobre el desarrollo del proceso, la misma no es completa y, en particular, no señala cómo concluyó el mismo. Tampoco qué sucedió después del 24 de octubre de 2002 cuando asesores legales de las víctimas “</w:t>
      </w:r>
      <w:proofErr w:type="gramStart"/>
      <w:r w:rsidRPr="00D05F7B">
        <w:rPr>
          <w:sz w:val="16"/>
          <w:szCs w:val="16"/>
          <w:lang w:val="es-CR"/>
        </w:rPr>
        <w:t>hi[</w:t>
      </w:r>
      <w:proofErr w:type="spellStart"/>
      <w:proofErr w:type="gramEnd"/>
      <w:r w:rsidRPr="00D05F7B">
        <w:rPr>
          <w:sz w:val="16"/>
          <w:szCs w:val="16"/>
          <w:lang w:val="es-CR"/>
        </w:rPr>
        <w:t>cieron</w:t>
      </w:r>
      <w:proofErr w:type="spellEnd"/>
      <w:r w:rsidRPr="00D05F7B">
        <w:rPr>
          <w:sz w:val="16"/>
          <w:szCs w:val="16"/>
          <w:lang w:val="es-CR"/>
        </w:rPr>
        <w:t>] una visita [a la Corte de Constitucionalidad] para preguntar si estaba resuelta [una] petición” relacionada con un “incidente de constitucionalidad”. Lo anterior, de acuerdo a información remitida a la Comisión Interamericana por los peticionarios (</w:t>
      </w:r>
      <w:r w:rsidRPr="00D05F7B">
        <w:rPr>
          <w:i/>
          <w:sz w:val="16"/>
          <w:szCs w:val="16"/>
          <w:lang w:val="es-CR"/>
        </w:rPr>
        <w:t>cfr</w:t>
      </w:r>
      <w:r w:rsidRPr="00D05F7B">
        <w:rPr>
          <w:sz w:val="16"/>
          <w:szCs w:val="16"/>
          <w:lang w:val="es-CR"/>
        </w:rPr>
        <w:t>. comunicación de los peticionarios de 29 de octubre de 2002, dirigida a la Comisión Interamericana (expediente de prueba, trámite ante la Comisión, folios 2371 a 2385)). La información, entonces resulta insuficiente para que este Tribunal examine el proceso civil o lo tenga en cuenta en el marco de la determinación de reparaciones</w:t>
      </w:r>
      <w:r>
        <w:rPr>
          <w:sz w:val="16"/>
          <w:szCs w:val="16"/>
          <w:lang w:val="es-CR"/>
        </w:rPr>
        <w:t>.</w:t>
      </w:r>
    </w:p>
  </w:footnote>
  <w:footnote w:id="225">
    <w:p w:rsidR="00785921" w:rsidRPr="0079729D"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w:t>
      </w:r>
      <w:r>
        <w:rPr>
          <w:sz w:val="16"/>
          <w:szCs w:val="16"/>
          <w:lang w:val="es-CR"/>
        </w:rPr>
        <w:t>C</w:t>
      </w:r>
      <w:r w:rsidRPr="00676759">
        <w:rPr>
          <w:i/>
          <w:sz w:val="16"/>
          <w:szCs w:val="16"/>
          <w:lang w:val="es-CR"/>
        </w:rPr>
        <w:t>fr.</w:t>
      </w:r>
      <w:r>
        <w:rPr>
          <w:sz w:val="16"/>
          <w:szCs w:val="16"/>
          <w:lang w:val="es-CR"/>
        </w:rPr>
        <w:t xml:space="preserve"> expediente de prueba, anexo 5 al escrito de solicitudes y argumentos, folios 5355 a5367. </w:t>
      </w:r>
      <w:r w:rsidRPr="001A5177">
        <w:rPr>
          <w:sz w:val="16"/>
          <w:szCs w:val="16"/>
          <w:lang w:val="es-CR"/>
        </w:rPr>
        <w:t xml:space="preserve">Los </w:t>
      </w:r>
      <w:r w:rsidRPr="008D68C5">
        <w:rPr>
          <w:b/>
          <w:i/>
          <w:sz w:val="16"/>
          <w:szCs w:val="16"/>
          <w:lang w:val="es-CR"/>
        </w:rPr>
        <w:t>representantes</w:t>
      </w:r>
      <w:r w:rsidRPr="008D68C5">
        <w:rPr>
          <w:sz w:val="16"/>
          <w:szCs w:val="16"/>
          <w:lang w:val="es-CR"/>
        </w:rPr>
        <w:t>,</w:t>
      </w:r>
      <w:r w:rsidRPr="001A5177">
        <w:rPr>
          <w:sz w:val="16"/>
          <w:szCs w:val="16"/>
          <w:lang w:val="es-CR"/>
        </w:rPr>
        <w:t xml:space="preserve"> </w:t>
      </w:r>
      <w:r>
        <w:rPr>
          <w:sz w:val="16"/>
          <w:szCs w:val="16"/>
          <w:lang w:val="es-CR"/>
        </w:rPr>
        <w:t xml:space="preserve">en ese escrito, expresaron </w:t>
      </w:r>
      <w:r w:rsidRPr="00676759">
        <w:rPr>
          <w:sz w:val="16"/>
          <w:szCs w:val="16"/>
          <w:lang w:val="es-CR"/>
        </w:rPr>
        <w:t xml:space="preserve">montos en quetzales guatemaltecos. La </w:t>
      </w:r>
      <w:r w:rsidRPr="008D68C5">
        <w:rPr>
          <w:b/>
          <w:i/>
          <w:sz w:val="16"/>
          <w:szCs w:val="16"/>
          <w:lang w:val="es-CR"/>
        </w:rPr>
        <w:t>Corte</w:t>
      </w:r>
      <w:r w:rsidRPr="00676759">
        <w:rPr>
          <w:sz w:val="16"/>
          <w:szCs w:val="16"/>
          <w:lang w:val="es-CR"/>
        </w:rPr>
        <w:t xml:space="preserve">, a efectos de señalar la equivalencia en dólares de Estados Unidos de América, tiene en consideración el tipo de cambio indicado por el Banco de Guatemala en su sitio de internet: </w:t>
      </w:r>
      <w:hyperlink r:id="rId4" w:history="1">
        <w:r w:rsidRPr="00187CF4">
          <w:rPr>
            <w:rStyle w:val="Hyperlink"/>
            <w:rFonts w:cs="Segoe UI"/>
            <w:bCs/>
            <w:color w:val="auto"/>
            <w:sz w:val="16"/>
            <w:szCs w:val="16"/>
            <w:u w:val="none"/>
            <w:shd w:val="clear" w:color="auto" w:fill="FFFFFF"/>
            <w:lang w:val="es-CR"/>
          </w:rPr>
          <w:t>http://www.banguat.gob.gt/cambio/</w:t>
        </w:r>
      </w:hyperlink>
      <w:r w:rsidRPr="00187CF4">
        <w:rPr>
          <w:rStyle w:val="Hyperlink"/>
          <w:rFonts w:cs="Segoe UI"/>
          <w:bCs/>
          <w:color w:val="auto"/>
          <w:sz w:val="16"/>
          <w:szCs w:val="16"/>
          <w:u w:val="none"/>
          <w:shd w:val="clear" w:color="auto" w:fill="FFFFFF"/>
          <w:lang w:val="es-CR"/>
        </w:rPr>
        <w:t xml:space="preserve">. Se toma en cuenta la equivalencia </w:t>
      </w:r>
      <w:r w:rsidRPr="00676759">
        <w:rPr>
          <w:sz w:val="16"/>
          <w:szCs w:val="16"/>
          <w:lang w:val="es-CR"/>
        </w:rPr>
        <w:t>correspondiente al 31 de marzo de 2017</w:t>
      </w:r>
      <w:r>
        <w:rPr>
          <w:sz w:val="16"/>
          <w:szCs w:val="16"/>
          <w:lang w:val="es-CR"/>
        </w:rPr>
        <w:t>, cuando fue presentado el escrito de solicitudes y argumentos (</w:t>
      </w:r>
      <w:r>
        <w:rPr>
          <w:i/>
          <w:sz w:val="16"/>
          <w:szCs w:val="16"/>
          <w:lang w:val="es-CR"/>
        </w:rPr>
        <w:t>supra</w:t>
      </w:r>
      <w:r>
        <w:rPr>
          <w:sz w:val="16"/>
          <w:szCs w:val="16"/>
          <w:lang w:val="es-CR"/>
        </w:rPr>
        <w:t xml:space="preserve"> párr. 6):</w:t>
      </w:r>
      <w:r w:rsidRPr="00676759">
        <w:rPr>
          <w:sz w:val="16"/>
          <w:szCs w:val="16"/>
          <w:lang w:val="es-CR"/>
        </w:rPr>
        <w:t xml:space="preserve"> 1 US$ = </w:t>
      </w:r>
      <w:r w:rsidRPr="00676759">
        <w:rPr>
          <w:rFonts w:cs="Arial"/>
          <w:sz w:val="16"/>
          <w:szCs w:val="16"/>
          <w:lang w:val="es-CR"/>
        </w:rPr>
        <w:t>7.47444</w:t>
      </w:r>
      <w:r>
        <w:rPr>
          <w:rFonts w:cs="Segoe UI"/>
          <w:bCs/>
          <w:sz w:val="16"/>
          <w:szCs w:val="16"/>
          <w:shd w:val="clear" w:color="auto" w:fill="FFFFFF"/>
          <w:lang w:val="es-CR"/>
        </w:rPr>
        <w:t>.</w:t>
      </w:r>
    </w:p>
  </w:footnote>
  <w:footnote w:id="226">
    <w:p w:rsidR="00785921" w:rsidRDefault="00785921" w:rsidP="00126E97">
      <w:pPr>
        <w:tabs>
          <w:tab w:val="left" w:pos="567"/>
        </w:tabs>
        <w:spacing w:after="0" w:line="20" w:lineRule="atLeast"/>
        <w:jc w:val="both"/>
        <w:rPr>
          <w:sz w:val="16"/>
          <w:szCs w:val="16"/>
          <w:lang w:val="es-CR"/>
        </w:rPr>
      </w:pPr>
      <w:r w:rsidRPr="00D05F7B">
        <w:rPr>
          <w:rStyle w:val="FootnoteReference"/>
          <w:rFonts w:ascii="Verdana" w:eastAsia="MS ????" w:hAnsi="Verdana"/>
          <w:sz w:val="16"/>
          <w:szCs w:val="16"/>
          <w:lang w:val="es-CR" w:eastAsia="x-none"/>
        </w:rPr>
        <w:footnoteRef/>
      </w:r>
      <w:r w:rsidRPr="00D05F7B">
        <w:rPr>
          <w:rFonts w:ascii="Verdana" w:hAnsi="Verdana"/>
          <w:sz w:val="16"/>
          <w:szCs w:val="16"/>
          <w:lang w:val="es-CR"/>
        </w:rPr>
        <w:t xml:space="preserve"> </w:t>
      </w:r>
      <w:r w:rsidRPr="00D05F7B">
        <w:rPr>
          <w:rFonts w:ascii="Verdana" w:hAnsi="Verdana"/>
          <w:i/>
          <w:sz w:val="16"/>
          <w:szCs w:val="16"/>
          <w:lang w:val="es-CR"/>
        </w:rPr>
        <w:t xml:space="preserve">Cfr. </w:t>
      </w:r>
      <w:r w:rsidRPr="00D05F7B">
        <w:rPr>
          <w:rFonts w:ascii="Verdana" w:hAnsi="Verdana"/>
          <w:bCs/>
          <w:i/>
          <w:sz w:val="16"/>
          <w:szCs w:val="16"/>
          <w:lang w:val="es-CR"/>
        </w:rPr>
        <w:t xml:space="preserve">Caso </w:t>
      </w:r>
      <w:proofErr w:type="spellStart"/>
      <w:r w:rsidRPr="00D05F7B">
        <w:rPr>
          <w:rFonts w:ascii="Verdana" w:hAnsi="Verdana"/>
          <w:bCs/>
          <w:i/>
          <w:sz w:val="16"/>
          <w:szCs w:val="16"/>
          <w:lang w:val="es-CR"/>
        </w:rPr>
        <w:t>Bámaca</w:t>
      </w:r>
      <w:proofErr w:type="spellEnd"/>
      <w:r w:rsidRPr="00D05F7B">
        <w:rPr>
          <w:rFonts w:ascii="Verdana" w:hAnsi="Verdana"/>
          <w:bCs/>
          <w:i/>
          <w:sz w:val="16"/>
          <w:szCs w:val="16"/>
          <w:lang w:val="es-CR"/>
        </w:rPr>
        <w:t xml:space="preserve"> Velásquez Vs. Guatemala. </w:t>
      </w:r>
      <w:r w:rsidRPr="00D05F7B">
        <w:rPr>
          <w:rFonts w:ascii="Verdana" w:hAnsi="Verdana"/>
          <w:i/>
          <w:sz w:val="16"/>
          <w:szCs w:val="16"/>
          <w:lang w:val="es-CR"/>
        </w:rPr>
        <w:t>Reparaciones y Costas</w:t>
      </w:r>
      <w:r>
        <w:rPr>
          <w:rFonts w:ascii="Verdana" w:hAnsi="Verdana"/>
          <w:i/>
          <w:sz w:val="16"/>
          <w:szCs w:val="16"/>
          <w:lang w:val="es-CR"/>
        </w:rPr>
        <w:t>, supra</w:t>
      </w:r>
      <w:r w:rsidRPr="00D05F7B">
        <w:rPr>
          <w:rFonts w:ascii="Verdana" w:hAnsi="Verdana"/>
          <w:sz w:val="16"/>
          <w:szCs w:val="16"/>
          <w:lang w:val="es-CR"/>
        </w:rPr>
        <w:t xml:space="preserve">, párr. 43, y </w:t>
      </w:r>
      <w:r w:rsidRPr="00D05F7B">
        <w:rPr>
          <w:rStyle w:val="Strong"/>
          <w:rFonts w:ascii="Verdana" w:hAnsi="Verdana"/>
          <w:b w:val="0"/>
          <w:i/>
          <w:sz w:val="16"/>
          <w:szCs w:val="16"/>
          <w:lang w:val="es-CR"/>
        </w:rPr>
        <w:t xml:space="preserve">Caso </w:t>
      </w:r>
      <w:proofErr w:type="spellStart"/>
      <w:r w:rsidRPr="00D05F7B">
        <w:rPr>
          <w:rStyle w:val="Strong"/>
          <w:rFonts w:ascii="Verdana" w:hAnsi="Verdana"/>
          <w:b w:val="0"/>
          <w:i/>
          <w:sz w:val="16"/>
          <w:szCs w:val="16"/>
          <w:lang w:val="es-CR"/>
        </w:rPr>
        <w:t>Amrhein</w:t>
      </w:r>
      <w:proofErr w:type="spellEnd"/>
      <w:r w:rsidRPr="00D05F7B">
        <w:rPr>
          <w:rStyle w:val="Strong"/>
          <w:rFonts w:ascii="Verdana" w:hAnsi="Verdana"/>
          <w:b w:val="0"/>
          <w:i/>
          <w:sz w:val="16"/>
          <w:szCs w:val="16"/>
          <w:lang w:val="es-CR"/>
        </w:rPr>
        <w:t xml:space="preserve"> y otros vs. Costa Rica</w:t>
      </w:r>
      <w:r>
        <w:rPr>
          <w:rStyle w:val="Strong"/>
          <w:rFonts w:ascii="Verdana" w:hAnsi="Verdana"/>
          <w:b w:val="0"/>
          <w:i/>
          <w:sz w:val="16"/>
          <w:szCs w:val="16"/>
          <w:lang w:val="es-CR"/>
        </w:rPr>
        <w:t>, supra</w:t>
      </w:r>
      <w:r w:rsidRPr="00D05F7B">
        <w:rPr>
          <w:rFonts w:ascii="Verdana" w:hAnsi="Verdana"/>
          <w:bCs/>
          <w:i/>
          <w:sz w:val="16"/>
          <w:szCs w:val="16"/>
          <w:lang w:val="es-CR"/>
        </w:rPr>
        <w:t xml:space="preserve">, </w:t>
      </w:r>
      <w:r w:rsidRPr="00D05F7B">
        <w:rPr>
          <w:rFonts w:ascii="Verdana" w:hAnsi="Verdana"/>
          <w:bCs/>
          <w:sz w:val="16"/>
          <w:szCs w:val="16"/>
          <w:lang w:val="es-CR"/>
        </w:rPr>
        <w:t>párr. 487.</w:t>
      </w:r>
    </w:p>
  </w:footnote>
  <w:footnote w:id="227">
    <w:p w:rsidR="00785921" w:rsidRDefault="00785921" w:rsidP="00126E97">
      <w:pPr>
        <w:pStyle w:val="FootnoteText"/>
        <w:spacing w:line="20" w:lineRule="atLeast"/>
        <w:rPr>
          <w:sz w:val="16"/>
          <w:szCs w:val="16"/>
          <w:lang w:val="es-ES_tradnl"/>
        </w:rPr>
      </w:pPr>
      <w:r>
        <w:rPr>
          <w:rStyle w:val="FootnoteReference"/>
          <w:sz w:val="16"/>
          <w:szCs w:val="16"/>
          <w:lang w:val="es-ES_tradnl" w:eastAsia="x-none"/>
        </w:rPr>
        <w:footnoteRef/>
      </w:r>
      <w:r w:rsidRPr="00637508">
        <w:rPr>
          <w:sz w:val="16"/>
          <w:szCs w:val="16"/>
          <w:lang w:val="es-CR"/>
        </w:rPr>
        <w:t xml:space="preserve"> </w:t>
      </w:r>
      <w:r>
        <w:rPr>
          <w:rFonts w:eastAsia="MS Mincho"/>
          <w:sz w:val="16"/>
          <w:szCs w:val="16"/>
          <w:lang w:val="es-ES_tradnl"/>
        </w:rPr>
        <w:t xml:space="preserve">Según indicaron, refiriendo a dicha sentencia, el cálculo debe hacerse tomando en cuenta la edad de la víctima a la fecha de su muerte, los años por vivir […], la actividad a la que se dedicaba al momento de los hechos, las mejoras económicas que hubiese podido obtener y su ingreso, y debe utilizarse para todos los cálculos el salario real o, en su defecto, el salario mínimo para las actividades correspondientes en Guatemala (en el caso </w:t>
      </w:r>
      <w:r>
        <w:rPr>
          <w:rFonts w:eastAsia="MS Mincho"/>
          <w:i/>
          <w:sz w:val="16"/>
          <w:szCs w:val="16"/>
          <w:lang w:val="es-ES_tradnl"/>
        </w:rPr>
        <w:t>Villagrán Morales</w:t>
      </w:r>
      <w:r>
        <w:rPr>
          <w:rFonts w:eastAsia="MS Mincho"/>
          <w:sz w:val="16"/>
          <w:szCs w:val="16"/>
          <w:lang w:val="es-ES_tradnl"/>
        </w:rPr>
        <w:t xml:space="preserve">, actividades “no agrícolas”), considerando 12 salarios mensuales de cada año. </w:t>
      </w:r>
    </w:p>
  </w:footnote>
  <w:footnote w:id="228">
    <w:p w:rsidR="00785921" w:rsidRDefault="00785921" w:rsidP="00126E97">
      <w:pPr>
        <w:pStyle w:val="FootnoteText"/>
        <w:spacing w:line="20" w:lineRule="atLeast"/>
        <w:rPr>
          <w:sz w:val="16"/>
          <w:szCs w:val="16"/>
          <w:lang w:val="es-ES_tradnl"/>
        </w:rPr>
      </w:pPr>
      <w:r>
        <w:rPr>
          <w:rStyle w:val="FootnoteReference"/>
          <w:sz w:val="16"/>
          <w:szCs w:val="16"/>
          <w:lang w:val="es-ES_tradnl" w:eastAsia="x-none"/>
        </w:rPr>
        <w:footnoteRef/>
      </w:r>
      <w:r w:rsidRPr="00637508">
        <w:rPr>
          <w:sz w:val="16"/>
          <w:szCs w:val="16"/>
          <w:lang w:val="es-CR"/>
        </w:rPr>
        <w:t xml:space="preserve"> </w:t>
      </w:r>
      <w:r>
        <w:rPr>
          <w:rFonts w:eastAsia="MS Mincho"/>
          <w:sz w:val="16"/>
          <w:szCs w:val="16"/>
          <w:lang w:val="es-ES_tradnl"/>
        </w:rPr>
        <w:t>Para “</w:t>
      </w:r>
      <w:proofErr w:type="spellStart"/>
      <w:r>
        <w:rPr>
          <w:rFonts w:eastAsia="MS Mincho"/>
          <w:sz w:val="16"/>
          <w:szCs w:val="16"/>
          <w:lang w:val="es-ES_tradnl"/>
        </w:rPr>
        <w:t>Maurilia</w:t>
      </w:r>
      <w:proofErr w:type="spellEnd"/>
      <w:r>
        <w:rPr>
          <w:rFonts w:eastAsia="MS Mincho"/>
          <w:sz w:val="16"/>
          <w:szCs w:val="16"/>
          <w:lang w:val="es-ES_tradnl"/>
        </w:rPr>
        <w:t xml:space="preserve">” Q 7,672,792.92; para “Carlos” Q 7,707,511.44; para “Manuela” Q 7,290,889.20, para “Abel” Q 5,381,370.60; para “Pablo” Q 3,992,629.80; para “Juana” Q 3,124,666.80; para “Andrés” Q 2,256,703.80; para “Hilaria” Q 1,562,333.40; para “Pedro” Q 3,645,444.60, y para “Pedro” Q4,687,000.20. (Los representantes, al hacer estos señalamientos, indicaron solo nombres y no mencionaron apellidos. Por otra parte, los representantes se refirieron a Santiago </w:t>
      </w:r>
      <w:proofErr w:type="spellStart"/>
      <w:r>
        <w:rPr>
          <w:rFonts w:eastAsia="MS Mincho"/>
          <w:sz w:val="16"/>
          <w:szCs w:val="16"/>
          <w:lang w:val="es-ES_tradnl"/>
        </w:rPr>
        <w:t>Coc</w:t>
      </w:r>
      <w:proofErr w:type="spellEnd"/>
      <w:r>
        <w:rPr>
          <w:rFonts w:eastAsia="MS Mincho"/>
          <w:sz w:val="16"/>
          <w:szCs w:val="16"/>
          <w:lang w:val="es-ES_tradnl"/>
        </w:rPr>
        <w:t xml:space="preserve"> en su escrito de solicitudes y argumentos, mas señalaron no tener contacto con su familia, explicando que por ese motivo no pueden efectuar “</w:t>
      </w:r>
      <w:proofErr w:type="gramStart"/>
      <w:r w:rsidRPr="00592D10">
        <w:rPr>
          <w:rFonts w:eastAsia="MS Mincho"/>
          <w:sz w:val="16"/>
          <w:szCs w:val="16"/>
          <w:lang w:val="es-ES_tradnl"/>
        </w:rPr>
        <w:t>solicitud</w:t>
      </w:r>
      <w:r>
        <w:rPr>
          <w:rFonts w:eastAsia="MS Mincho"/>
          <w:sz w:val="16"/>
          <w:szCs w:val="16"/>
          <w:lang w:val="es-ES_tradnl"/>
        </w:rPr>
        <w:t>[</w:t>
      </w:r>
      <w:proofErr w:type="gramEnd"/>
      <w:r>
        <w:rPr>
          <w:rFonts w:eastAsia="MS Mincho"/>
          <w:sz w:val="16"/>
          <w:szCs w:val="16"/>
          <w:lang w:val="es-ES_tradnl"/>
        </w:rPr>
        <w:t>es]</w:t>
      </w:r>
      <w:r w:rsidRPr="00592D10">
        <w:rPr>
          <w:rFonts w:eastAsia="MS Mincho"/>
          <w:sz w:val="16"/>
          <w:szCs w:val="16"/>
          <w:lang w:val="es-ES_tradnl"/>
        </w:rPr>
        <w:t xml:space="preserve"> de medidas de reparación</w:t>
      </w:r>
      <w:r>
        <w:rPr>
          <w:rFonts w:eastAsia="MS Mincho"/>
          <w:sz w:val="16"/>
          <w:szCs w:val="16"/>
          <w:lang w:val="es-ES_tradnl"/>
        </w:rPr>
        <w:t>”).</w:t>
      </w:r>
    </w:p>
  </w:footnote>
  <w:footnote w:id="229">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Solicitaron </w:t>
      </w:r>
      <w:r>
        <w:rPr>
          <w:rFonts w:eastAsia="MS Mincho"/>
          <w:sz w:val="16"/>
          <w:szCs w:val="16"/>
          <w:lang w:val="es-ES_tradnl"/>
        </w:rPr>
        <w:t>para “</w:t>
      </w:r>
      <w:proofErr w:type="spellStart"/>
      <w:r>
        <w:rPr>
          <w:rFonts w:eastAsia="MS Mincho"/>
          <w:sz w:val="16"/>
          <w:szCs w:val="16"/>
          <w:lang w:val="es-ES_tradnl"/>
        </w:rPr>
        <w:t>Maurilia</w:t>
      </w:r>
      <w:proofErr w:type="spellEnd"/>
      <w:r>
        <w:rPr>
          <w:rFonts w:eastAsia="MS Mincho"/>
          <w:sz w:val="16"/>
          <w:szCs w:val="16"/>
          <w:lang w:val="es-ES_tradnl"/>
        </w:rPr>
        <w:t>” Q 85,928.34; para “Carlos” Q 63,014.11; para “Manuela” Q 85,928.34; para “Abel” Q 63,014.11; para “Pablo” Q 46,349.22; para “Juana” Q 35,933.67; para “Andrés” Q 25,518.11; para “Hilaria” Q 17,185.67; para “Pedro” Q 42,183, y para “Pedro” Q 54,681.67. Expresaron que “</w:t>
      </w:r>
      <w:proofErr w:type="gramStart"/>
      <w:r>
        <w:rPr>
          <w:rFonts w:eastAsia="MS Mincho"/>
          <w:sz w:val="16"/>
          <w:szCs w:val="16"/>
          <w:lang w:val="es-ES_tradnl"/>
        </w:rPr>
        <w:t>toma[</w:t>
      </w:r>
      <w:proofErr w:type="gramEnd"/>
      <w:r>
        <w:rPr>
          <w:rFonts w:eastAsia="MS Mincho"/>
          <w:sz w:val="16"/>
          <w:szCs w:val="16"/>
          <w:lang w:val="es-ES_tradnl"/>
        </w:rPr>
        <w:t>ron] como base el interés que los bancos pagan para quienes mantienen depósitos a largo plazo”.</w:t>
      </w:r>
      <w:r>
        <w:rPr>
          <w:rFonts w:eastAsia="MS Mincho"/>
          <w:b/>
          <w:sz w:val="16"/>
          <w:szCs w:val="16"/>
          <w:lang w:val="es-ES_tradnl"/>
        </w:rPr>
        <w:t xml:space="preserve"> </w:t>
      </w:r>
    </w:p>
  </w:footnote>
  <w:footnote w:id="230">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w:t>
      </w:r>
      <w:r>
        <w:rPr>
          <w:sz w:val="16"/>
          <w:szCs w:val="16"/>
          <w:lang w:val="es-CR"/>
        </w:rPr>
        <w:t>Los nombres de tales personas, conforme indicaron los representantes, son: “</w:t>
      </w:r>
      <w:r w:rsidRPr="00637508">
        <w:rPr>
          <w:sz w:val="16"/>
          <w:szCs w:val="16"/>
          <w:lang w:val="es-CR"/>
        </w:rPr>
        <w:t>Pascual José Pascual</w:t>
      </w:r>
      <w:r>
        <w:rPr>
          <w:sz w:val="16"/>
          <w:szCs w:val="16"/>
          <w:lang w:val="es-CR"/>
        </w:rPr>
        <w:t>”;</w:t>
      </w:r>
      <w:r w:rsidRPr="00637508">
        <w:rPr>
          <w:sz w:val="16"/>
          <w:szCs w:val="16"/>
          <w:lang w:val="es-CR"/>
        </w:rPr>
        <w:t xml:space="preserve"> </w:t>
      </w:r>
      <w:r>
        <w:rPr>
          <w:sz w:val="16"/>
          <w:szCs w:val="16"/>
          <w:lang w:val="es-CR"/>
        </w:rPr>
        <w:t>“</w:t>
      </w:r>
      <w:r w:rsidRPr="00637508">
        <w:rPr>
          <w:sz w:val="16"/>
          <w:szCs w:val="16"/>
          <w:lang w:val="es-CR"/>
        </w:rPr>
        <w:t xml:space="preserve">Santiago </w:t>
      </w:r>
      <w:proofErr w:type="spellStart"/>
      <w:r w:rsidRPr="00637508">
        <w:rPr>
          <w:sz w:val="16"/>
          <w:szCs w:val="16"/>
          <w:lang w:val="es-CR"/>
        </w:rPr>
        <w:t>Maquín</w:t>
      </w:r>
      <w:proofErr w:type="spellEnd"/>
      <w:r w:rsidRPr="00637508">
        <w:rPr>
          <w:sz w:val="16"/>
          <w:szCs w:val="16"/>
          <w:lang w:val="es-CR"/>
        </w:rPr>
        <w:t xml:space="preserve"> </w:t>
      </w:r>
      <w:proofErr w:type="spellStart"/>
      <w:r w:rsidRPr="00637508">
        <w:rPr>
          <w:sz w:val="16"/>
          <w:szCs w:val="16"/>
          <w:lang w:val="es-CR"/>
        </w:rPr>
        <w:t>Quip</w:t>
      </w:r>
      <w:proofErr w:type="spellEnd"/>
      <w:r>
        <w:rPr>
          <w:sz w:val="16"/>
          <w:szCs w:val="16"/>
          <w:lang w:val="es-CR"/>
        </w:rPr>
        <w:t>”;</w:t>
      </w:r>
      <w:r w:rsidRPr="00637508">
        <w:rPr>
          <w:sz w:val="16"/>
          <w:szCs w:val="16"/>
          <w:lang w:val="es-CR"/>
        </w:rPr>
        <w:t xml:space="preserve"> </w:t>
      </w:r>
      <w:r>
        <w:rPr>
          <w:sz w:val="16"/>
          <w:szCs w:val="16"/>
          <w:lang w:val="es-CR"/>
        </w:rPr>
        <w:t>“</w:t>
      </w:r>
      <w:r w:rsidRPr="00637508">
        <w:rPr>
          <w:sz w:val="16"/>
          <w:szCs w:val="16"/>
          <w:lang w:val="es-CR"/>
        </w:rPr>
        <w:t xml:space="preserve">Rosendo Morales </w:t>
      </w:r>
      <w:proofErr w:type="spellStart"/>
      <w:r w:rsidRPr="00637508">
        <w:rPr>
          <w:sz w:val="16"/>
          <w:szCs w:val="16"/>
          <w:lang w:val="es-CR"/>
        </w:rPr>
        <w:t>Ortíz</w:t>
      </w:r>
      <w:proofErr w:type="spellEnd"/>
      <w:r>
        <w:rPr>
          <w:sz w:val="16"/>
          <w:szCs w:val="16"/>
          <w:lang w:val="es-CR"/>
        </w:rPr>
        <w:t>”;</w:t>
      </w:r>
      <w:r w:rsidRPr="00637508">
        <w:rPr>
          <w:sz w:val="16"/>
          <w:szCs w:val="16"/>
          <w:lang w:val="es-CR"/>
        </w:rPr>
        <w:t xml:space="preserve"> </w:t>
      </w:r>
      <w:r>
        <w:rPr>
          <w:sz w:val="16"/>
          <w:szCs w:val="16"/>
          <w:lang w:val="es-CR"/>
        </w:rPr>
        <w:t>“Ví</w:t>
      </w:r>
      <w:r w:rsidRPr="00637508">
        <w:rPr>
          <w:sz w:val="16"/>
          <w:szCs w:val="16"/>
          <w:lang w:val="es-CR"/>
        </w:rPr>
        <w:t>ctor Carrillo Morales</w:t>
      </w:r>
      <w:r>
        <w:rPr>
          <w:sz w:val="16"/>
          <w:szCs w:val="16"/>
          <w:lang w:val="es-CR"/>
        </w:rPr>
        <w:t>”;</w:t>
      </w:r>
      <w:r w:rsidRPr="00637508">
        <w:rPr>
          <w:sz w:val="16"/>
          <w:szCs w:val="16"/>
          <w:lang w:val="es-CR"/>
        </w:rPr>
        <w:t xml:space="preserve"> </w:t>
      </w:r>
      <w:r>
        <w:rPr>
          <w:sz w:val="16"/>
          <w:szCs w:val="16"/>
          <w:lang w:val="es-CR"/>
        </w:rPr>
        <w:t>“</w:t>
      </w:r>
      <w:r w:rsidRPr="00637508">
        <w:rPr>
          <w:sz w:val="16"/>
          <w:szCs w:val="16"/>
          <w:lang w:val="es-CR"/>
        </w:rPr>
        <w:t xml:space="preserve">Ricardo Pop </w:t>
      </w:r>
      <w:proofErr w:type="spellStart"/>
      <w:r w:rsidRPr="00637508">
        <w:rPr>
          <w:sz w:val="16"/>
          <w:szCs w:val="16"/>
          <w:lang w:val="es-CR"/>
        </w:rPr>
        <w:t>Caal</w:t>
      </w:r>
      <w:proofErr w:type="spellEnd"/>
      <w:r>
        <w:rPr>
          <w:sz w:val="16"/>
          <w:szCs w:val="16"/>
          <w:lang w:val="es-CR"/>
        </w:rPr>
        <w:t>”;</w:t>
      </w:r>
      <w:r w:rsidRPr="00637508">
        <w:rPr>
          <w:sz w:val="16"/>
          <w:szCs w:val="16"/>
          <w:lang w:val="es-CR"/>
        </w:rPr>
        <w:t xml:space="preserve"> </w:t>
      </w:r>
      <w:r>
        <w:rPr>
          <w:sz w:val="16"/>
          <w:szCs w:val="16"/>
          <w:lang w:val="es-CR"/>
        </w:rPr>
        <w:t>“</w:t>
      </w:r>
      <w:r w:rsidRPr="00637508">
        <w:rPr>
          <w:sz w:val="16"/>
          <w:szCs w:val="16"/>
          <w:lang w:val="es-CR"/>
        </w:rPr>
        <w:t>Juana Felipe Velásquez</w:t>
      </w:r>
      <w:r>
        <w:rPr>
          <w:sz w:val="16"/>
          <w:szCs w:val="16"/>
          <w:lang w:val="es-CR"/>
        </w:rPr>
        <w:t>”;</w:t>
      </w:r>
      <w:r w:rsidRPr="00637508">
        <w:rPr>
          <w:sz w:val="16"/>
          <w:szCs w:val="16"/>
          <w:lang w:val="es-CR"/>
        </w:rPr>
        <w:t xml:space="preserve"> </w:t>
      </w:r>
      <w:r>
        <w:rPr>
          <w:sz w:val="16"/>
          <w:szCs w:val="16"/>
          <w:lang w:val="es-CR"/>
        </w:rPr>
        <w:t>“</w:t>
      </w:r>
      <w:r w:rsidRPr="00637508">
        <w:rPr>
          <w:sz w:val="16"/>
          <w:szCs w:val="16"/>
          <w:lang w:val="es-CR"/>
        </w:rPr>
        <w:t xml:space="preserve">Santos </w:t>
      </w:r>
      <w:proofErr w:type="spellStart"/>
      <w:r w:rsidRPr="00637508">
        <w:rPr>
          <w:sz w:val="16"/>
          <w:szCs w:val="16"/>
          <w:lang w:val="es-CR"/>
        </w:rPr>
        <w:t>Choc</w:t>
      </w:r>
      <w:proofErr w:type="spellEnd"/>
      <w:r w:rsidRPr="00637508">
        <w:rPr>
          <w:sz w:val="16"/>
          <w:szCs w:val="16"/>
          <w:lang w:val="es-CR"/>
        </w:rPr>
        <w:t xml:space="preserve"> </w:t>
      </w:r>
      <w:proofErr w:type="spellStart"/>
      <w:r w:rsidRPr="00637508">
        <w:rPr>
          <w:sz w:val="16"/>
          <w:szCs w:val="16"/>
          <w:lang w:val="es-CR"/>
        </w:rPr>
        <w:t>Coc</w:t>
      </w:r>
      <w:proofErr w:type="spellEnd"/>
      <w:r>
        <w:rPr>
          <w:sz w:val="16"/>
          <w:szCs w:val="16"/>
          <w:lang w:val="es-CR"/>
        </w:rPr>
        <w:t>”;</w:t>
      </w:r>
      <w:r w:rsidRPr="00637508">
        <w:rPr>
          <w:sz w:val="16"/>
          <w:szCs w:val="16"/>
          <w:lang w:val="es-CR"/>
        </w:rPr>
        <w:t xml:space="preserve"> </w:t>
      </w:r>
      <w:r>
        <w:rPr>
          <w:sz w:val="16"/>
          <w:szCs w:val="16"/>
          <w:lang w:val="es-CR"/>
        </w:rPr>
        <w:t>“</w:t>
      </w:r>
      <w:r w:rsidRPr="00637508">
        <w:rPr>
          <w:sz w:val="16"/>
          <w:szCs w:val="16"/>
          <w:lang w:val="es-CR"/>
        </w:rPr>
        <w:t xml:space="preserve">Rosenda Sales </w:t>
      </w:r>
      <w:proofErr w:type="spellStart"/>
      <w:r w:rsidRPr="00637508">
        <w:rPr>
          <w:sz w:val="16"/>
          <w:szCs w:val="16"/>
          <w:lang w:val="es-CR"/>
        </w:rPr>
        <w:t>Ort</w:t>
      </w:r>
      <w:r>
        <w:rPr>
          <w:sz w:val="16"/>
          <w:szCs w:val="16"/>
          <w:lang w:val="es-CR"/>
        </w:rPr>
        <w:t>í</w:t>
      </w:r>
      <w:r w:rsidRPr="00637508">
        <w:rPr>
          <w:sz w:val="16"/>
          <w:szCs w:val="16"/>
          <w:lang w:val="es-CR"/>
        </w:rPr>
        <w:t>z</w:t>
      </w:r>
      <w:proofErr w:type="spellEnd"/>
      <w:r>
        <w:rPr>
          <w:sz w:val="16"/>
          <w:szCs w:val="16"/>
          <w:lang w:val="es-CR"/>
        </w:rPr>
        <w:t>”;</w:t>
      </w:r>
      <w:r w:rsidRPr="00637508">
        <w:rPr>
          <w:sz w:val="16"/>
          <w:szCs w:val="16"/>
          <w:lang w:val="es-CR"/>
        </w:rPr>
        <w:t xml:space="preserve"> </w:t>
      </w:r>
      <w:r>
        <w:rPr>
          <w:sz w:val="16"/>
          <w:szCs w:val="16"/>
          <w:lang w:val="es-CR"/>
        </w:rPr>
        <w:t>“</w:t>
      </w:r>
      <w:r w:rsidRPr="00637508">
        <w:rPr>
          <w:sz w:val="16"/>
          <w:szCs w:val="16"/>
          <w:lang w:val="es-CR"/>
        </w:rPr>
        <w:t xml:space="preserve">Marcos Raymundo </w:t>
      </w:r>
      <w:proofErr w:type="spellStart"/>
      <w:r w:rsidRPr="00637508">
        <w:rPr>
          <w:sz w:val="16"/>
          <w:szCs w:val="16"/>
          <w:lang w:val="es-CR"/>
        </w:rPr>
        <w:t>Jolomná</w:t>
      </w:r>
      <w:proofErr w:type="spellEnd"/>
      <w:r w:rsidRPr="00637508">
        <w:rPr>
          <w:sz w:val="16"/>
          <w:szCs w:val="16"/>
          <w:lang w:val="es-CR"/>
        </w:rPr>
        <w:t xml:space="preserve"> </w:t>
      </w:r>
      <w:proofErr w:type="spellStart"/>
      <w:r w:rsidRPr="00637508">
        <w:rPr>
          <w:sz w:val="16"/>
          <w:szCs w:val="16"/>
          <w:lang w:val="es-CR"/>
        </w:rPr>
        <w:t>Yat</w:t>
      </w:r>
      <w:proofErr w:type="spellEnd"/>
      <w:r>
        <w:rPr>
          <w:sz w:val="16"/>
          <w:szCs w:val="16"/>
          <w:lang w:val="es-CR"/>
        </w:rPr>
        <w:t>”;</w:t>
      </w:r>
      <w:r w:rsidRPr="00637508">
        <w:rPr>
          <w:sz w:val="16"/>
          <w:szCs w:val="16"/>
          <w:lang w:val="es-CR"/>
        </w:rPr>
        <w:t xml:space="preserve"> </w:t>
      </w:r>
      <w:r>
        <w:rPr>
          <w:sz w:val="16"/>
          <w:szCs w:val="16"/>
          <w:lang w:val="es-CR"/>
        </w:rPr>
        <w:t>“</w:t>
      </w:r>
      <w:r w:rsidRPr="00637508">
        <w:rPr>
          <w:sz w:val="16"/>
          <w:szCs w:val="16"/>
          <w:lang w:val="es-CR"/>
        </w:rPr>
        <w:t>Rolando Hernández Maldonado</w:t>
      </w:r>
      <w:r>
        <w:rPr>
          <w:sz w:val="16"/>
          <w:szCs w:val="16"/>
          <w:lang w:val="es-CR"/>
        </w:rPr>
        <w:t>”;</w:t>
      </w:r>
      <w:r w:rsidRPr="00637508">
        <w:rPr>
          <w:sz w:val="16"/>
          <w:szCs w:val="16"/>
          <w:lang w:val="es-CR"/>
        </w:rPr>
        <w:t xml:space="preserve"> </w:t>
      </w:r>
      <w:r>
        <w:rPr>
          <w:sz w:val="16"/>
          <w:szCs w:val="16"/>
          <w:lang w:val="es-CR"/>
        </w:rPr>
        <w:t>“</w:t>
      </w:r>
      <w:r w:rsidRPr="00637508">
        <w:rPr>
          <w:sz w:val="16"/>
          <w:szCs w:val="16"/>
          <w:lang w:val="es-CR"/>
        </w:rPr>
        <w:t>Aurelio Hernández M</w:t>
      </w:r>
      <w:r>
        <w:rPr>
          <w:sz w:val="16"/>
          <w:szCs w:val="16"/>
          <w:lang w:val="es-CR"/>
        </w:rPr>
        <w:t>orales”;</w:t>
      </w:r>
      <w:r w:rsidRPr="00637508">
        <w:rPr>
          <w:sz w:val="16"/>
          <w:szCs w:val="16"/>
          <w:lang w:val="es-CR"/>
        </w:rPr>
        <w:t xml:space="preserve"> </w:t>
      </w:r>
      <w:r>
        <w:rPr>
          <w:sz w:val="16"/>
          <w:szCs w:val="16"/>
          <w:lang w:val="es-CR"/>
        </w:rPr>
        <w:t>“</w:t>
      </w:r>
      <w:r w:rsidRPr="00637508">
        <w:rPr>
          <w:sz w:val="16"/>
          <w:szCs w:val="16"/>
          <w:lang w:val="es-CR"/>
        </w:rPr>
        <w:t>Josefa Mendoza Aguilar</w:t>
      </w:r>
      <w:r>
        <w:rPr>
          <w:sz w:val="16"/>
          <w:szCs w:val="16"/>
          <w:lang w:val="es-CR"/>
        </w:rPr>
        <w:t>”;</w:t>
      </w:r>
      <w:r w:rsidRPr="00637508">
        <w:rPr>
          <w:sz w:val="16"/>
          <w:szCs w:val="16"/>
          <w:lang w:val="es-CR"/>
        </w:rPr>
        <w:t xml:space="preserve"> </w:t>
      </w:r>
      <w:r>
        <w:rPr>
          <w:sz w:val="16"/>
          <w:szCs w:val="16"/>
          <w:lang w:val="es-CR"/>
        </w:rPr>
        <w:t>“</w:t>
      </w:r>
      <w:r w:rsidRPr="00637508">
        <w:rPr>
          <w:sz w:val="16"/>
          <w:szCs w:val="16"/>
          <w:lang w:val="es-CR"/>
        </w:rPr>
        <w:t>Micaela Pascual Juan</w:t>
      </w:r>
      <w:r>
        <w:rPr>
          <w:sz w:val="16"/>
          <w:szCs w:val="16"/>
          <w:lang w:val="es-CR"/>
        </w:rPr>
        <w:t>”;</w:t>
      </w:r>
      <w:r w:rsidRPr="00637508">
        <w:rPr>
          <w:sz w:val="16"/>
          <w:szCs w:val="16"/>
          <w:lang w:val="es-CR"/>
        </w:rPr>
        <w:t xml:space="preserve"> </w:t>
      </w:r>
      <w:r>
        <w:rPr>
          <w:sz w:val="16"/>
          <w:szCs w:val="16"/>
          <w:lang w:val="es-CR"/>
        </w:rPr>
        <w:t>“</w:t>
      </w:r>
      <w:r w:rsidRPr="00637508">
        <w:rPr>
          <w:sz w:val="16"/>
          <w:szCs w:val="16"/>
          <w:lang w:val="es-CR"/>
        </w:rPr>
        <w:t xml:space="preserve">Carmen </w:t>
      </w:r>
      <w:proofErr w:type="spellStart"/>
      <w:r w:rsidRPr="00637508">
        <w:rPr>
          <w:sz w:val="16"/>
          <w:szCs w:val="16"/>
          <w:lang w:val="es-CR"/>
        </w:rPr>
        <w:t>Caal</w:t>
      </w:r>
      <w:proofErr w:type="spellEnd"/>
      <w:r w:rsidRPr="00637508">
        <w:rPr>
          <w:sz w:val="16"/>
          <w:szCs w:val="16"/>
          <w:lang w:val="es-CR"/>
        </w:rPr>
        <w:t xml:space="preserve"> </w:t>
      </w:r>
      <w:proofErr w:type="spellStart"/>
      <w:r w:rsidRPr="00637508">
        <w:rPr>
          <w:sz w:val="16"/>
          <w:szCs w:val="16"/>
          <w:lang w:val="es-CR"/>
        </w:rPr>
        <w:t>Saqui</w:t>
      </w:r>
      <w:proofErr w:type="spellEnd"/>
      <w:r>
        <w:rPr>
          <w:sz w:val="16"/>
          <w:szCs w:val="16"/>
          <w:lang w:val="es-CR"/>
        </w:rPr>
        <w:t>”</w:t>
      </w:r>
      <w:r w:rsidRPr="00637508">
        <w:rPr>
          <w:sz w:val="16"/>
          <w:szCs w:val="16"/>
          <w:lang w:val="es-CR"/>
        </w:rPr>
        <w:t xml:space="preserve">, </w:t>
      </w:r>
      <w:r>
        <w:rPr>
          <w:sz w:val="16"/>
          <w:szCs w:val="16"/>
          <w:lang w:val="es-CR"/>
        </w:rPr>
        <w:t>“</w:t>
      </w:r>
      <w:r w:rsidRPr="00637508">
        <w:rPr>
          <w:sz w:val="16"/>
          <w:szCs w:val="16"/>
          <w:lang w:val="es-CR"/>
        </w:rPr>
        <w:t>Juan Medina Toma</w:t>
      </w:r>
      <w:r>
        <w:rPr>
          <w:sz w:val="16"/>
          <w:szCs w:val="16"/>
          <w:lang w:val="es-CR"/>
        </w:rPr>
        <w:t>”;</w:t>
      </w:r>
      <w:r w:rsidRPr="00637508">
        <w:rPr>
          <w:sz w:val="16"/>
          <w:szCs w:val="16"/>
          <w:lang w:val="es-CR"/>
        </w:rPr>
        <w:t xml:space="preserve"> </w:t>
      </w:r>
      <w:r>
        <w:rPr>
          <w:sz w:val="16"/>
          <w:szCs w:val="16"/>
          <w:lang w:val="es-CR"/>
        </w:rPr>
        <w:t>“</w:t>
      </w:r>
      <w:r w:rsidRPr="00637508">
        <w:rPr>
          <w:sz w:val="16"/>
          <w:szCs w:val="16"/>
          <w:lang w:val="es-CR"/>
        </w:rPr>
        <w:t>Mateo Pedro</w:t>
      </w:r>
      <w:r>
        <w:rPr>
          <w:sz w:val="16"/>
          <w:szCs w:val="16"/>
          <w:lang w:val="es-CR"/>
        </w:rPr>
        <w:t>”;</w:t>
      </w:r>
      <w:r w:rsidRPr="00637508">
        <w:rPr>
          <w:sz w:val="16"/>
          <w:szCs w:val="16"/>
          <w:lang w:val="es-CR"/>
        </w:rPr>
        <w:t xml:space="preserve"> </w:t>
      </w:r>
      <w:r>
        <w:rPr>
          <w:sz w:val="16"/>
          <w:szCs w:val="16"/>
          <w:lang w:val="es-CR"/>
        </w:rPr>
        <w:t xml:space="preserve">“Martín </w:t>
      </w:r>
      <w:proofErr w:type="spellStart"/>
      <w:r>
        <w:rPr>
          <w:sz w:val="16"/>
          <w:szCs w:val="16"/>
          <w:lang w:val="es-CR"/>
        </w:rPr>
        <w:t>Quip</w:t>
      </w:r>
      <w:proofErr w:type="spellEnd"/>
      <w:r>
        <w:rPr>
          <w:sz w:val="16"/>
          <w:szCs w:val="16"/>
          <w:lang w:val="es-CR"/>
        </w:rPr>
        <w:t xml:space="preserve"> </w:t>
      </w:r>
      <w:proofErr w:type="spellStart"/>
      <w:r>
        <w:rPr>
          <w:sz w:val="16"/>
          <w:szCs w:val="16"/>
          <w:lang w:val="es-CR"/>
        </w:rPr>
        <w:t>Mucú</w:t>
      </w:r>
      <w:proofErr w:type="spellEnd"/>
      <w:r>
        <w:rPr>
          <w:sz w:val="16"/>
          <w:szCs w:val="16"/>
          <w:lang w:val="es-CR"/>
        </w:rPr>
        <w:t>”;</w:t>
      </w:r>
      <w:r w:rsidRPr="00637508">
        <w:rPr>
          <w:sz w:val="16"/>
          <w:szCs w:val="16"/>
          <w:lang w:val="es-CR"/>
        </w:rPr>
        <w:t xml:space="preserve"> </w:t>
      </w:r>
      <w:r>
        <w:rPr>
          <w:sz w:val="16"/>
          <w:szCs w:val="16"/>
          <w:lang w:val="es-CR"/>
        </w:rPr>
        <w:t>“</w:t>
      </w:r>
      <w:r w:rsidRPr="00637508">
        <w:rPr>
          <w:sz w:val="16"/>
          <w:szCs w:val="16"/>
          <w:lang w:val="es-CR"/>
        </w:rPr>
        <w:t>Francisco Hernández</w:t>
      </w:r>
      <w:r>
        <w:rPr>
          <w:sz w:val="16"/>
          <w:szCs w:val="16"/>
          <w:lang w:val="es-CR"/>
        </w:rPr>
        <w:t>”;</w:t>
      </w:r>
      <w:r w:rsidRPr="00637508">
        <w:rPr>
          <w:sz w:val="16"/>
          <w:szCs w:val="16"/>
          <w:lang w:val="es-CR"/>
        </w:rPr>
        <w:t xml:space="preserve"> </w:t>
      </w:r>
      <w:r>
        <w:rPr>
          <w:sz w:val="16"/>
          <w:szCs w:val="16"/>
          <w:lang w:val="es-CR"/>
        </w:rPr>
        <w:t>“</w:t>
      </w:r>
      <w:r w:rsidRPr="00637508">
        <w:rPr>
          <w:sz w:val="16"/>
          <w:szCs w:val="16"/>
          <w:lang w:val="es-CR"/>
        </w:rPr>
        <w:t>Juana Andrés Maldonado</w:t>
      </w:r>
      <w:r>
        <w:rPr>
          <w:sz w:val="16"/>
          <w:szCs w:val="16"/>
          <w:lang w:val="es-CR"/>
        </w:rPr>
        <w:t>”;</w:t>
      </w:r>
      <w:r w:rsidRPr="00637508">
        <w:rPr>
          <w:sz w:val="16"/>
          <w:szCs w:val="16"/>
          <w:lang w:val="es-CR"/>
        </w:rPr>
        <w:t xml:space="preserve"> </w:t>
      </w:r>
      <w:r>
        <w:rPr>
          <w:sz w:val="16"/>
          <w:szCs w:val="16"/>
          <w:lang w:val="es-CR"/>
        </w:rPr>
        <w:t>“</w:t>
      </w:r>
      <w:r w:rsidRPr="00637508">
        <w:rPr>
          <w:sz w:val="16"/>
          <w:szCs w:val="16"/>
          <w:lang w:val="es-CR"/>
        </w:rPr>
        <w:t xml:space="preserve">Tomás Grave </w:t>
      </w:r>
      <w:proofErr w:type="spellStart"/>
      <w:r w:rsidRPr="00637508">
        <w:rPr>
          <w:sz w:val="16"/>
          <w:szCs w:val="16"/>
          <w:lang w:val="es-CR"/>
        </w:rPr>
        <w:t>Morente</w:t>
      </w:r>
      <w:proofErr w:type="spellEnd"/>
      <w:r>
        <w:rPr>
          <w:sz w:val="16"/>
          <w:szCs w:val="16"/>
          <w:lang w:val="es-CR"/>
        </w:rPr>
        <w:t>”;</w:t>
      </w:r>
      <w:r w:rsidRPr="00637508">
        <w:rPr>
          <w:sz w:val="16"/>
          <w:szCs w:val="16"/>
          <w:lang w:val="es-CR"/>
        </w:rPr>
        <w:t xml:space="preserve"> </w:t>
      </w:r>
      <w:r>
        <w:rPr>
          <w:sz w:val="16"/>
          <w:szCs w:val="16"/>
          <w:lang w:val="es-CR"/>
        </w:rPr>
        <w:t>“</w:t>
      </w:r>
      <w:r w:rsidRPr="00637508">
        <w:rPr>
          <w:sz w:val="16"/>
          <w:szCs w:val="16"/>
          <w:lang w:val="es-CR"/>
        </w:rPr>
        <w:t>Jacinta Matón Raymundo</w:t>
      </w:r>
      <w:r>
        <w:rPr>
          <w:sz w:val="16"/>
          <w:szCs w:val="16"/>
          <w:lang w:val="es-CR"/>
        </w:rPr>
        <w:t>”;</w:t>
      </w:r>
      <w:r w:rsidRPr="00637508">
        <w:rPr>
          <w:sz w:val="16"/>
          <w:szCs w:val="16"/>
          <w:lang w:val="es-CR"/>
        </w:rPr>
        <w:t xml:space="preserve"> </w:t>
      </w:r>
      <w:r>
        <w:rPr>
          <w:sz w:val="16"/>
          <w:szCs w:val="16"/>
          <w:lang w:val="es-CR"/>
        </w:rPr>
        <w:t>“</w:t>
      </w:r>
      <w:r w:rsidRPr="00637508">
        <w:rPr>
          <w:sz w:val="16"/>
          <w:szCs w:val="16"/>
          <w:lang w:val="es-CR"/>
        </w:rPr>
        <w:t>Pedro Daniel Carrillo López</w:t>
      </w:r>
      <w:r>
        <w:rPr>
          <w:sz w:val="16"/>
          <w:szCs w:val="16"/>
          <w:lang w:val="es-CR"/>
        </w:rPr>
        <w:t>”;</w:t>
      </w:r>
      <w:r w:rsidRPr="00637508">
        <w:rPr>
          <w:sz w:val="16"/>
          <w:szCs w:val="16"/>
          <w:lang w:val="es-CR"/>
        </w:rPr>
        <w:t xml:space="preserve"> </w:t>
      </w:r>
      <w:r>
        <w:rPr>
          <w:sz w:val="16"/>
          <w:szCs w:val="16"/>
          <w:lang w:val="es-CR"/>
        </w:rPr>
        <w:t>“</w:t>
      </w:r>
      <w:r w:rsidRPr="00637508">
        <w:rPr>
          <w:sz w:val="16"/>
          <w:szCs w:val="16"/>
          <w:lang w:val="es-CR"/>
        </w:rPr>
        <w:t>Natividad Sales Calmo</w:t>
      </w:r>
      <w:r>
        <w:rPr>
          <w:sz w:val="16"/>
          <w:szCs w:val="16"/>
          <w:lang w:val="es-CR"/>
        </w:rPr>
        <w:t>”;</w:t>
      </w:r>
      <w:r w:rsidRPr="00637508">
        <w:rPr>
          <w:sz w:val="16"/>
          <w:szCs w:val="16"/>
          <w:lang w:val="es-CR"/>
        </w:rPr>
        <w:t xml:space="preserve"> </w:t>
      </w:r>
      <w:r>
        <w:rPr>
          <w:sz w:val="16"/>
          <w:szCs w:val="16"/>
          <w:lang w:val="es-CR"/>
        </w:rPr>
        <w:t>“</w:t>
      </w:r>
      <w:r w:rsidRPr="00637508">
        <w:rPr>
          <w:sz w:val="16"/>
          <w:szCs w:val="16"/>
          <w:lang w:val="es-CR"/>
        </w:rPr>
        <w:t xml:space="preserve">Efraín Grave </w:t>
      </w:r>
      <w:proofErr w:type="spellStart"/>
      <w:r w:rsidRPr="00637508">
        <w:rPr>
          <w:sz w:val="16"/>
          <w:szCs w:val="16"/>
          <w:lang w:val="es-CR"/>
        </w:rPr>
        <w:t>Morente</w:t>
      </w:r>
      <w:proofErr w:type="spellEnd"/>
      <w:r>
        <w:rPr>
          <w:sz w:val="16"/>
          <w:szCs w:val="16"/>
          <w:lang w:val="es-CR"/>
        </w:rPr>
        <w:t>”;</w:t>
      </w:r>
      <w:r w:rsidRPr="00637508">
        <w:rPr>
          <w:sz w:val="16"/>
          <w:szCs w:val="16"/>
          <w:lang w:val="es-CR"/>
        </w:rPr>
        <w:t xml:space="preserve"> </w:t>
      </w:r>
      <w:r>
        <w:rPr>
          <w:sz w:val="16"/>
          <w:szCs w:val="16"/>
          <w:lang w:val="es-CR"/>
        </w:rPr>
        <w:t>“</w:t>
      </w:r>
      <w:r w:rsidRPr="00637508">
        <w:rPr>
          <w:sz w:val="16"/>
          <w:szCs w:val="16"/>
          <w:lang w:val="es-CR"/>
        </w:rPr>
        <w:t>Eliseo Hernández</w:t>
      </w:r>
      <w:r>
        <w:rPr>
          <w:sz w:val="16"/>
          <w:szCs w:val="16"/>
          <w:lang w:val="es-CR"/>
        </w:rPr>
        <w:t xml:space="preserve"> Morales”,</w:t>
      </w:r>
      <w:r w:rsidRPr="00637508">
        <w:rPr>
          <w:sz w:val="16"/>
          <w:szCs w:val="16"/>
          <w:lang w:val="es-CR"/>
        </w:rPr>
        <w:t xml:space="preserve"> y </w:t>
      </w:r>
      <w:r>
        <w:rPr>
          <w:sz w:val="16"/>
          <w:szCs w:val="16"/>
          <w:lang w:val="es-CR"/>
        </w:rPr>
        <w:t xml:space="preserve">“Santiago </w:t>
      </w:r>
      <w:proofErr w:type="spellStart"/>
      <w:r>
        <w:rPr>
          <w:sz w:val="16"/>
          <w:szCs w:val="16"/>
          <w:lang w:val="es-CR"/>
        </w:rPr>
        <w:t>Cajbó</w:t>
      </w:r>
      <w:r w:rsidRPr="00637508">
        <w:rPr>
          <w:sz w:val="16"/>
          <w:szCs w:val="16"/>
          <w:lang w:val="es-CR"/>
        </w:rPr>
        <w:t>n</w:t>
      </w:r>
      <w:proofErr w:type="spellEnd"/>
      <w:r w:rsidRPr="00637508">
        <w:rPr>
          <w:sz w:val="16"/>
          <w:szCs w:val="16"/>
          <w:lang w:val="es-CR"/>
        </w:rPr>
        <w:t xml:space="preserve"> </w:t>
      </w:r>
      <w:proofErr w:type="spellStart"/>
      <w:r w:rsidRPr="00637508">
        <w:rPr>
          <w:sz w:val="16"/>
          <w:szCs w:val="16"/>
          <w:lang w:val="es-CR"/>
        </w:rPr>
        <w:t>Quip</w:t>
      </w:r>
      <w:proofErr w:type="spellEnd"/>
      <w:r>
        <w:rPr>
          <w:sz w:val="16"/>
          <w:szCs w:val="16"/>
          <w:lang w:val="es-CR"/>
        </w:rPr>
        <w:t>”</w:t>
      </w:r>
      <w:r w:rsidRPr="00637508">
        <w:rPr>
          <w:sz w:val="16"/>
          <w:szCs w:val="16"/>
          <w:lang w:val="es-CR"/>
        </w:rPr>
        <w:t>.</w:t>
      </w:r>
    </w:p>
  </w:footnote>
  <w:footnote w:id="231">
    <w:p w:rsidR="00785921" w:rsidRPr="00637508" w:rsidRDefault="00785921" w:rsidP="00126E97">
      <w:pPr>
        <w:pStyle w:val="FootnoteText"/>
        <w:spacing w:line="20" w:lineRule="atLeast"/>
        <w:rPr>
          <w:sz w:val="16"/>
          <w:szCs w:val="16"/>
          <w:lang w:val="es-CR"/>
        </w:rPr>
      </w:pPr>
      <w:r>
        <w:rPr>
          <w:rStyle w:val="FootnoteReference"/>
          <w:sz w:val="16"/>
          <w:szCs w:val="16"/>
          <w:lang w:eastAsia="x-none"/>
        </w:rPr>
        <w:footnoteRef/>
      </w:r>
      <w:r w:rsidRPr="00637508">
        <w:rPr>
          <w:sz w:val="16"/>
          <w:szCs w:val="16"/>
          <w:lang w:val="es-CR"/>
        </w:rPr>
        <w:t xml:space="preserve"> </w:t>
      </w:r>
      <w:r>
        <w:rPr>
          <w:sz w:val="16"/>
          <w:szCs w:val="16"/>
          <w:lang w:val="es-CR"/>
        </w:rPr>
        <w:t xml:space="preserve">Los representantes </w:t>
      </w:r>
      <w:r>
        <w:rPr>
          <w:rFonts w:eastAsia="MS Mincho"/>
          <w:sz w:val="16"/>
          <w:szCs w:val="16"/>
          <w:lang w:val="es-ES_tradnl"/>
        </w:rPr>
        <w:t xml:space="preserve">pidieron Q 173,592.60 para cada una de las 26 personas. </w:t>
      </w:r>
      <w:r>
        <w:rPr>
          <w:sz w:val="16"/>
          <w:szCs w:val="16"/>
          <w:lang w:val="es-CR"/>
        </w:rPr>
        <w:t>S</w:t>
      </w:r>
      <w:r w:rsidRPr="00637508">
        <w:rPr>
          <w:sz w:val="16"/>
          <w:szCs w:val="16"/>
          <w:lang w:val="es-CR"/>
        </w:rPr>
        <w:t xml:space="preserve">eñalaron que utilizaron </w:t>
      </w:r>
      <w:r>
        <w:rPr>
          <w:sz w:val="16"/>
          <w:szCs w:val="16"/>
          <w:lang w:val="es-CR"/>
        </w:rPr>
        <w:t>el mismo método usado</w:t>
      </w:r>
      <w:r w:rsidRPr="00637508">
        <w:rPr>
          <w:sz w:val="16"/>
          <w:szCs w:val="16"/>
          <w:lang w:val="es-CR"/>
        </w:rPr>
        <w:t xml:space="preserve"> para el cálculo del monto de lucro cesante a favor de las víctimas fallecidas, </w:t>
      </w:r>
      <w:r>
        <w:rPr>
          <w:sz w:val="16"/>
          <w:szCs w:val="16"/>
          <w:lang w:val="es-CR"/>
        </w:rPr>
        <w:t>pero</w:t>
      </w:r>
      <w:r w:rsidRPr="00637508">
        <w:rPr>
          <w:sz w:val="16"/>
          <w:szCs w:val="16"/>
          <w:lang w:val="es-CR"/>
        </w:rPr>
        <w:t xml:space="preserve"> </w:t>
      </w:r>
      <w:r>
        <w:rPr>
          <w:sz w:val="16"/>
          <w:szCs w:val="16"/>
          <w:lang w:val="es-CR"/>
        </w:rPr>
        <w:t>aclararon que “se computó únicamente por los primeros cinco años a partir de 1997”</w:t>
      </w:r>
      <w:r w:rsidRPr="00637508">
        <w:rPr>
          <w:sz w:val="16"/>
          <w:szCs w:val="16"/>
          <w:lang w:val="es-CR"/>
        </w:rPr>
        <w:t>.</w:t>
      </w:r>
    </w:p>
  </w:footnote>
  <w:footnote w:id="232">
    <w:p w:rsidR="00785921" w:rsidRDefault="00785921" w:rsidP="00126E97">
      <w:pPr>
        <w:pStyle w:val="FootnoteText"/>
        <w:spacing w:line="20" w:lineRule="atLeast"/>
        <w:rPr>
          <w:sz w:val="16"/>
          <w:szCs w:val="16"/>
          <w:lang w:val="es-ES_tradnl"/>
        </w:rPr>
      </w:pPr>
      <w:r>
        <w:rPr>
          <w:rStyle w:val="FootnoteReference"/>
          <w:sz w:val="16"/>
          <w:szCs w:val="16"/>
          <w:lang w:val="es-ES_tradnl" w:eastAsia="x-none"/>
        </w:rPr>
        <w:footnoteRef/>
      </w:r>
      <w:r w:rsidRPr="00637508">
        <w:rPr>
          <w:sz w:val="16"/>
          <w:szCs w:val="16"/>
          <w:lang w:val="es-CR"/>
        </w:rPr>
        <w:t xml:space="preserve"> Pidieron para cada una de las 26 </w:t>
      </w:r>
      <w:r>
        <w:rPr>
          <w:sz w:val="16"/>
          <w:szCs w:val="16"/>
          <w:lang w:val="es-CR"/>
        </w:rPr>
        <w:t>personas</w:t>
      </w:r>
      <w:r w:rsidRPr="00637508">
        <w:rPr>
          <w:sz w:val="16"/>
          <w:szCs w:val="16"/>
          <w:lang w:val="es-CR"/>
        </w:rPr>
        <w:t xml:space="preserve"> referidas </w:t>
      </w:r>
      <w:r>
        <w:rPr>
          <w:rFonts w:eastAsia="MS Mincho"/>
          <w:sz w:val="16"/>
          <w:szCs w:val="16"/>
          <w:lang w:val="es-ES_tradnl"/>
        </w:rPr>
        <w:t>Q 179,959.98, indicando que la suma total por las 26 personas corresponde a Q 4</w:t>
      </w:r>
      <w:proofErr w:type="gramStart"/>
      <w:r>
        <w:rPr>
          <w:rFonts w:eastAsia="MS Mincho"/>
          <w:sz w:val="16"/>
          <w:szCs w:val="16"/>
          <w:lang w:val="es-ES_tradnl"/>
        </w:rPr>
        <w:t>,678,959.39</w:t>
      </w:r>
      <w:proofErr w:type="gramEnd"/>
      <w:r>
        <w:rPr>
          <w:rFonts w:eastAsia="MS Mincho"/>
          <w:sz w:val="16"/>
          <w:szCs w:val="16"/>
          <w:lang w:val="es-ES_tradnl"/>
        </w:rPr>
        <w:t>.</w:t>
      </w:r>
    </w:p>
  </w:footnote>
  <w:footnote w:id="233">
    <w:p w:rsidR="00785921" w:rsidRDefault="00785921" w:rsidP="00126E97">
      <w:pPr>
        <w:pStyle w:val="FootnoteText"/>
        <w:spacing w:line="20" w:lineRule="atLeast"/>
        <w:rPr>
          <w:sz w:val="16"/>
          <w:szCs w:val="16"/>
          <w:lang w:val="es-ES_tradnl"/>
        </w:rPr>
      </w:pPr>
      <w:r>
        <w:rPr>
          <w:rStyle w:val="FootnoteReference"/>
          <w:sz w:val="16"/>
          <w:szCs w:val="16"/>
          <w:lang w:val="es-ES_tradnl" w:eastAsia="x-none"/>
        </w:rPr>
        <w:footnoteRef/>
      </w:r>
      <w:r w:rsidRPr="00637508">
        <w:rPr>
          <w:sz w:val="16"/>
          <w:szCs w:val="16"/>
          <w:lang w:val="es-CR"/>
        </w:rPr>
        <w:t xml:space="preserve"> </w:t>
      </w:r>
      <w:r>
        <w:rPr>
          <w:rFonts w:eastAsia="MS Mincho"/>
          <w:sz w:val="16"/>
          <w:szCs w:val="16"/>
          <w:lang w:val="es-ES_tradnl"/>
        </w:rPr>
        <w:t>Reclamaron Q 2</w:t>
      </w:r>
      <w:proofErr w:type="gramStart"/>
      <w:r>
        <w:rPr>
          <w:rFonts w:eastAsia="MS Mincho"/>
          <w:sz w:val="16"/>
          <w:szCs w:val="16"/>
          <w:lang w:val="es-ES_tradnl"/>
        </w:rPr>
        <w:t>,083,111.2</w:t>
      </w:r>
      <w:proofErr w:type="gramEnd"/>
      <w:r>
        <w:rPr>
          <w:rFonts w:eastAsia="MS Mincho"/>
          <w:sz w:val="16"/>
          <w:szCs w:val="16"/>
          <w:lang w:val="es-ES_tradnl"/>
        </w:rPr>
        <w:t xml:space="preserve"> por concepto de lucro cesante, lo cual es equivalente a US$ 278,697.96 y una cifra por concepto de intereses de Q 124,986.67 lo cual equivale a US$ 16,721.84.</w:t>
      </w:r>
    </w:p>
  </w:footnote>
  <w:footnote w:id="234">
    <w:p w:rsidR="00785921" w:rsidRDefault="00785921" w:rsidP="00126E97">
      <w:pPr>
        <w:pStyle w:val="FootnoteText"/>
        <w:spacing w:line="20" w:lineRule="atLeast"/>
        <w:rPr>
          <w:lang w:val="es-CR"/>
        </w:rPr>
      </w:pPr>
      <w:r>
        <w:rPr>
          <w:rStyle w:val="FootnoteReference"/>
          <w:sz w:val="16"/>
          <w:szCs w:val="16"/>
          <w:lang w:val="es-CR" w:eastAsia="x-none"/>
        </w:rPr>
        <w:footnoteRef/>
      </w:r>
      <w:r w:rsidRPr="00637508">
        <w:rPr>
          <w:sz w:val="16"/>
          <w:szCs w:val="16"/>
          <w:lang w:val="es-CR"/>
        </w:rPr>
        <w:t xml:space="preserve"> </w:t>
      </w:r>
      <w:r>
        <w:rPr>
          <w:bCs/>
          <w:i/>
          <w:color w:val="000000"/>
          <w:sz w:val="16"/>
          <w:szCs w:val="16"/>
          <w:shd w:val="clear" w:color="auto" w:fill="FFFFFF"/>
          <w:lang w:val="es-CR"/>
        </w:rPr>
        <w:t>Caso de los “Niños de la Calle” (Villagrán Morales y otros) Vs. Guatemala. Reparaciones y Costas</w:t>
      </w:r>
      <w:r>
        <w:rPr>
          <w:bCs/>
          <w:color w:val="000000"/>
          <w:sz w:val="16"/>
          <w:szCs w:val="16"/>
          <w:shd w:val="clear" w:color="auto" w:fill="FFFFFF"/>
          <w:lang w:val="es-CR"/>
        </w:rPr>
        <w:t xml:space="preserve">. Sentencia de 26 de mayo de 2001. Serie C No. 77, párr. 81. </w:t>
      </w:r>
    </w:p>
  </w:footnote>
  <w:footnote w:id="235">
    <w:p w:rsidR="00785921" w:rsidRPr="00D05F7B" w:rsidRDefault="00785921" w:rsidP="00126E97">
      <w:pPr>
        <w:pStyle w:val="FootnoteText"/>
        <w:tabs>
          <w:tab w:val="left" w:pos="360"/>
        </w:tabs>
        <w:spacing w:line="20" w:lineRule="atLeast"/>
        <w:contextualSpacing/>
        <w:rPr>
          <w:sz w:val="16"/>
          <w:szCs w:val="16"/>
          <w:lang w:val="es-CR"/>
        </w:rPr>
      </w:pPr>
      <w:r>
        <w:rPr>
          <w:rStyle w:val="FootnoteReference"/>
          <w:sz w:val="16"/>
          <w:szCs w:val="16"/>
          <w:lang w:eastAsia="x-none"/>
        </w:rPr>
        <w:footnoteRef/>
      </w:r>
      <w:r>
        <w:rPr>
          <w:i/>
          <w:sz w:val="16"/>
          <w:szCs w:val="16"/>
          <w:lang w:val="es-CR"/>
        </w:rPr>
        <w:t xml:space="preserve"> </w:t>
      </w:r>
      <w:r w:rsidRPr="00676759">
        <w:rPr>
          <w:i/>
          <w:sz w:val="16"/>
          <w:szCs w:val="16"/>
          <w:lang w:val="es-CR"/>
        </w:rPr>
        <w:t>Cfr.</w:t>
      </w:r>
      <w:r w:rsidRPr="00676759">
        <w:rPr>
          <w:sz w:val="16"/>
          <w:szCs w:val="16"/>
          <w:lang w:val="es-CR"/>
        </w:rPr>
        <w:t xml:space="preserve"> </w:t>
      </w:r>
      <w:r w:rsidRPr="00676759">
        <w:rPr>
          <w:i/>
          <w:sz w:val="16"/>
          <w:szCs w:val="16"/>
          <w:lang w:val="es-CR"/>
        </w:rPr>
        <w:t>Caso de los “Niños de la Calle” (Villagrán Morales y otros) Vs. Guatemala. Reparaciones y Costas</w:t>
      </w:r>
      <w:r>
        <w:rPr>
          <w:i/>
          <w:sz w:val="16"/>
          <w:szCs w:val="16"/>
          <w:lang w:val="es-CR"/>
        </w:rPr>
        <w:t>, supra</w:t>
      </w:r>
      <w:r w:rsidRPr="00676759">
        <w:rPr>
          <w:sz w:val="16"/>
          <w:szCs w:val="16"/>
          <w:lang w:val="es-CR"/>
        </w:rPr>
        <w:t>, párr. 84, y</w:t>
      </w:r>
      <w:r>
        <w:rPr>
          <w:lang w:val="es-CR"/>
        </w:rPr>
        <w:t xml:space="preserve"> </w:t>
      </w:r>
      <w:r w:rsidRPr="00D05F7B">
        <w:rPr>
          <w:rStyle w:val="Strong"/>
          <w:b w:val="0"/>
          <w:i/>
          <w:sz w:val="16"/>
          <w:szCs w:val="16"/>
          <w:lang w:val="es-CR"/>
        </w:rPr>
        <w:t xml:space="preserve">Caso </w:t>
      </w:r>
      <w:proofErr w:type="spellStart"/>
      <w:r w:rsidRPr="00D05F7B">
        <w:rPr>
          <w:rStyle w:val="Strong"/>
          <w:b w:val="0"/>
          <w:i/>
          <w:sz w:val="16"/>
          <w:szCs w:val="16"/>
          <w:lang w:val="es-CR"/>
        </w:rPr>
        <w:t>Amrhein</w:t>
      </w:r>
      <w:proofErr w:type="spellEnd"/>
      <w:r w:rsidRPr="00D05F7B">
        <w:rPr>
          <w:rStyle w:val="Strong"/>
          <w:b w:val="0"/>
          <w:i/>
          <w:sz w:val="16"/>
          <w:szCs w:val="16"/>
          <w:lang w:val="es-CR"/>
        </w:rPr>
        <w:t xml:space="preserve"> y otros vs. Costa Rica</w:t>
      </w:r>
      <w:r>
        <w:rPr>
          <w:rStyle w:val="Strong"/>
          <w:b w:val="0"/>
          <w:i/>
          <w:sz w:val="16"/>
          <w:szCs w:val="16"/>
          <w:lang w:val="es-CR"/>
        </w:rPr>
        <w:t>, supra</w:t>
      </w:r>
      <w:r w:rsidRPr="00D05F7B">
        <w:rPr>
          <w:bCs/>
          <w:i/>
          <w:sz w:val="16"/>
          <w:szCs w:val="16"/>
          <w:lang w:val="es-CR"/>
        </w:rPr>
        <w:t xml:space="preserve">, </w:t>
      </w:r>
      <w:r w:rsidRPr="00D05F7B">
        <w:rPr>
          <w:bCs/>
          <w:sz w:val="16"/>
          <w:szCs w:val="16"/>
          <w:lang w:val="es-CR"/>
        </w:rPr>
        <w:t>párr. 482.</w:t>
      </w:r>
    </w:p>
  </w:footnote>
  <w:footnote w:id="236">
    <w:p w:rsidR="00785921" w:rsidRPr="00D05F7B" w:rsidRDefault="00785921" w:rsidP="00126E97">
      <w:pPr>
        <w:pStyle w:val="FootnoteText"/>
        <w:tabs>
          <w:tab w:val="left" w:pos="567"/>
          <w:tab w:val="left" w:pos="709"/>
        </w:tabs>
        <w:spacing w:line="20" w:lineRule="atLeast"/>
        <w:rPr>
          <w:sz w:val="16"/>
          <w:szCs w:val="16"/>
          <w:lang w:val="es-CR"/>
        </w:rPr>
      </w:pPr>
      <w:r w:rsidRPr="00D05F7B">
        <w:rPr>
          <w:rStyle w:val="FootnoteReference"/>
          <w:rFonts w:eastAsia="Calibri"/>
          <w:sz w:val="16"/>
          <w:szCs w:val="16"/>
          <w:lang w:val="es-CR" w:eastAsia="x-none"/>
        </w:rPr>
        <w:footnoteRef/>
      </w:r>
      <w:r w:rsidRPr="00D05F7B">
        <w:rPr>
          <w:sz w:val="16"/>
          <w:szCs w:val="16"/>
          <w:lang w:val="es-CR"/>
        </w:rPr>
        <w:t xml:space="preserve"> </w:t>
      </w:r>
      <w:r w:rsidRPr="00D05F7B">
        <w:rPr>
          <w:i/>
          <w:sz w:val="16"/>
          <w:szCs w:val="16"/>
          <w:lang w:val="es-CR"/>
        </w:rPr>
        <w:t>Cfr. Caso de los “Niños de la Calle” (Villagrán Morales y otros) Vs. Guatemala</w:t>
      </w:r>
      <w:r w:rsidRPr="00D05F7B">
        <w:rPr>
          <w:sz w:val="16"/>
          <w:szCs w:val="16"/>
          <w:lang w:val="es-CR"/>
        </w:rPr>
        <w:t xml:space="preserve">. </w:t>
      </w:r>
      <w:r w:rsidRPr="00D05F7B">
        <w:rPr>
          <w:i/>
          <w:sz w:val="16"/>
          <w:szCs w:val="16"/>
          <w:lang w:val="es-CR"/>
        </w:rPr>
        <w:t>Reparaciones y Costas</w:t>
      </w:r>
      <w:r>
        <w:rPr>
          <w:i/>
          <w:sz w:val="16"/>
          <w:szCs w:val="16"/>
          <w:lang w:val="es-CR"/>
        </w:rPr>
        <w:t>, supra</w:t>
      </w:r>
      <w:r w:rsidRPr="00D05F7B">
        <w:rPr>
          <w:i/>
          <w:sz w:val="16"/>
          <w:szCs w:val="16"/>
          <w:lang w:val="es-CR"/>
        </w:rPr>
        <w:t xml:space="preserve">, </w:t>
      </w:r>
      <w:r w:rsidRPr="00D05F7B">
        <w:rPr>
          <w:sz w:val="16"/>
          <w:szCs w:val="16"/>
          <w:lang w:val="es-CR"/>
        </w:rPr>
        <w:t xml:space="preserve">párr. 84, y </w:t>
      </w:r>
      <w:r w:rsidRPr="00D05F7B">
        <w:rPr>
          <w:rStyle w:val="Strong"/>
          <w:b w:val="0"/>
          <w:i/>
          <w:sz w:val="16"/>
          <w:szCs w:val="16"/>
          <w:lang w:val="es-CR"/>
        </w:rPr>
        <w:t>Caso V.R.P., V.P.C. y otros Vs. Nicaragua</w:t>
      </w:r>
      <w:r>
        <w:rPr>
          <w:rStyle w:val="Strong"/>
          <w:b w:val="0"/>
          <w:i/>
          <w:sz w:val="16"/>
          <w:szCs w:val="16"/>
          <w:lang w:val="es-CR"/>
        </w:rPr>
        <w:t>, supra</w:t>
      </w:r>
      <w:r w:rsidRPr="00D05F7B">
        <w:rPr>
          <w:bCs/>
          <w:sz w:val="16"/>
          <w:szCs w:val="16"/>
          <w:lang w:val="es-CR"/>
        </w:rPr>
        <w:t>,</w:t>
      </w:r>
      <w:r w:rsidRPr="00D05F7B">
        <w:rPr>
          <w:sz w:val="16"/>
          <w:szCs w:val="16"/>
          <w:lang w:val="es-CR"/>
        </w:rPr>
        <w:t xml:space="preserve"> p</w:t>
      </w:r>
      <w:r w:rsidRPr="00D05F7B">
        <w:rPr>
          <w:rFonts w:cs="Calibri"/>
          <w:sz w:val="16"/>
          <w:szCs w:val="16"/>
          <w:lang w:val="es-CR"/>
        </w:rPr>
        <w:t>á</w:t>
      </w:r>
      <w:r w:rsidRPr="00D05F7B">
        <w:rPr>
          <w:sz w:val="16"/>
          <w:szCs w:val="16"/>
          <w:lang w:val="es-CR"/>
        </w:rPr>
        <w:t>rr. 424.</w:t>
      </w:r>
    </w:p>
  </w:footnote>
  <w:footnote w:id="237">
    <w:p w:rsidR="00785921" w:rsidRPr="00D05F7B" w:rsidRDefault="00785921" w:rsidP="00126E97">
      <w:pPr>
        <w:tabs>
          <w:tab w:val="left" w:pos="-540"/>
          <w:tab w:val="left" w:pos="360"/>
        </w:tabs>
        <w:spacing w:after="0" w:line="20" w:lineRule="atLeast"/>
        <w:contextualSpacing/>
        <w:jc w:val="both"/>
        <w:rPr>
          <w:rFonts w:ascii="Verdana" w:hAnsi="Verdana"/>
          <w:b/>
          <w:color w:val="000000"/>
          <w:sz w:val="16"/>
          <w:szCs w:val="16"/>
          <w:lang w:val="es-CR"/>
        </w:rPr>
      </w:pPr>
      <w:r w:rsidRPr="00D05F7B">
        <w:rPr>
          <w:rStyle w:val="FootnoteReference"/>
          <w:rFonts w:ascii="Verdana" w:hAnsi="Verdana"/>
          <w:color w:val="000000"/>
          <w:sz w:val="16"/>
          <w:szCs w:val="16"/>
          <w:lang w:val="es-CR" w:eastAsia="x-none"/>
        </w:rPr>
        <w:footnoteRef/>
      </w:r>
      <w:r w:rsidRPr="00D05F7B">
        <w:rPr>
          <w:rFonts w:ascii="Verdana" w:hAnsi="Verdana"/>
          <w:i/>
          <w:color w:val="000000"/>
          <w:sz w:val="16"/>
          <w:szCs w:val="16"/>
          <w:lang w:val="es-CR"/>
        </w:rPr>
        <w:t xml:space="preserve">Cfr. </w:t>
      </w:r>
      <w:r w:rsidRPr="00D05F7B">
        <w:rPr>
          <w:rFonts w:ascii="Verdana" w:hAnsi="Verdana"/>
          <w:color w:val="000000"/>
          <w:sz w:val="16"/>
          <w:szCs w:val="16"/>
          <w:lang w:val="es-CR"/>
        </w:rPr>
        <w:t>en similar sentido</w:t>
      </w:r>
      <w:r w:rsidRPr="00D05F7B">
        <w:rPr>
          <w:rFonts w:ascii="Verdana" w:hAnsi="Verdana"/>
          <w:i/>
          <w:color w:val="000000"/>
          <w:sz w:val="16"/>
          <w:szCs w:val="16"/>
          <w:lang w:val="es-CR"/>
        </w:rPr>
        <w:t xml:space="preserve">, </w:t>
      </w:r>
      <w:r w:rsidRPr="00D05F7B">
        <w:rPr>
          <w:rStyle w:val="Strong"/>
          <w:rFonts w:ascii="Verdana" w:hAnsi="Verdana"/>
          <w:b w:val="0"/>
          <w:i/>
          <w:sz w:val="16"/>
          <w:szCs w:val="16"/>
          <w:lang w:val="es-CR"/>
        </w:rPr>
        <w:t xml:space="preserve">Caso </w:t>
      </w:r>
      <w:proofErr w:type="spellStart"/>
      <w:r w:rsidRPr="00D05F7B">
        <w:rPr>
          <w:rStyle w:val="Strong"/>
          <w:rFonts w:ascii="Verdana" w:hAnsi="Verdana"/>
          <w:b w:val="0"/>
          <w:i/>
          <w:sz w:val="16"/>
          <w:szCs w:val="16"/>
          <w:lang w:val="es-CR"/>
        </w:rPr>
        <w:t>Ticona</w:t>
      </w:r>
      <w:proofErr w:type="spellEnd"/>
      <w:r w:rsidRPr="00D05F7B">
        <w:rPr>
          <w:rStyle w:val="Strong"/>
          <w:rFonts w:ascii="Verdana" w:hAnsi="Verdana"/>
          <w:b w:val="0"/>
          <w:i/>
          <w:sz w:val="16"/>
          <w:szCs w:val="16"/>
          <w:lang w:val="es-CR"/>
        </w:rPr>
        <w:t xml:space="preserve"> Estrada y otros Vs. Bolivia</w:t>
      </w:r>
      <w:r>
        <w:rPr>
          <w:rStyle w:val="Strong"/>
          <w:rFonts w:ascii="Verdana" w:hAnsi="Verdana"/>
          <w:b w:val="0"/>
          <w:i/>
          <w:sz w:val="16"/>
          <w:szCs w:val="16"/>
          <w:lang w:val="es-CR"/>
        </w:rPr>
        <w:t>, supra</w:t>
      </w:r>
      <w:r w:rsidRPr="00D05F7B">
        <w:rPr>
          <w:rFonts w:ascii="Verdana" w:hAnsi="Verdana"/>
          <w:color w:val="000000"/>
          <w:sz w:val="16"/>
          <w:szCs w:val="16"/>
          <w:lang w:val="es-CR"/>
        </w:rPr>
        <w:t xml:space="preserve">, párr. 109, y </w:t>
      </w:r>
      <w:r w:rsidRPr="00D05F7B">
        <w:rPr>
          <w:rStyle w:val="Strong"/>
          <w:rFonts w:ascii="Verdana" w:hAnsi="Verdana"/>
          <w:b w:val="0"/>
          <w:i/>
          <w:sz w:val="16"/>
          <w:szCs w:val="16"/>
          <w:lang w:val="es-CR"/>
        </w:rPr>
        <w:t xml:space="preserve">Caso Carvajal </w:t>
      </w:r>
      <w:proofErr w:type="spellStart"/>
      <w:r w:rsidRPr="00D05F7B">
        <w:rPr>
          <w:rStyle w:val="Strong"/>
          <w:rFonts w:ascii="Verdana" w:hAnsi="Verdana"/>
          <w:b w:val="0"/>
          <w:i/>
          <w:sz w:val="16"/>
          <w:szCs w:val="16"/>
          <w:lang w:val="es-CR"/>
        </w:rPr>
        <w:t>Carvajal</w:t>
      </w:r>
      <w:proofErr w:type="spellEnd"/>
      <w:r w:rsidRPr="00D05F7B">
        <w:rPr>
          <w:rStyle w:val="Strong"/>
          <w:rFonts w:ascii="Verdana" w:hAnsi="Verdana"/>
          <w:b w:val="0"/>
          <w:i/>
          <w:sz w:val="16"/>
          <w:szCs w:val="16"/>
          <w:lang w:val="es-CR"/>
        </w:rPr>
        <w:t xml:space="preserve"> y otros Vs. Colombia</w:t>
      </w:r>
      <w:r>
        <w:rPr>
          <w:rStyle w:val="Strong"/>
          <w:rFonts w:ascii="Verdana" w:hAnsi="Verdana"/>
          <w:b w:val="0"/>
          <w:i/>
          <w:sz w:val="16"/>
          <w:szCs w:val="16"/>
          <w:lang w:val="es-CR"/>
        </w:rPr>
        <w:t>, supra</w:t>
      </w:r>
      <w:r w:rsidRPr="00D05F7B">
        <w:rPr>
          <w:rStyle w:val="Strong"/>
          <w:rFonts w:ascii="Verdana" w:hAnsi="Verdana"/>
          <w:b w:val="0"/>
          <w:sz w:val="16"/>
          <w:szCs w:val="16"/>
          <w:lang w:val="es-CR"/>
        </w:rPr>
        <w:t>, párr. 228.</w:t>
      </w:r>
    </w:p>
  </w:footnote>
  <w:footnote w:id="238">
    <w:p w:rsidR="00785921" w:rsidRPr="00EC6314" w:rsidRDefault="00785921" w:rsidP="00126E97">
      <w:pPr>
        <w:pStyle w:val="FootnoteText"/>
        <w:spacing w:line="20" w:lineRule="atLeast"/>
        <w:rPr>
          <w:sz w:val="16"/>
          <w:szCs w:val="16"/>
          <w:lang w:val="es-CR"/>
        </w:rPr>
      </w:pPr>
      <w:r w:rsidRPr="00C1547D">
        <w:rPr>
          <w:rStyle w:val="FootnoteReference"/>
          <w:sz w:val="16"/>
          <w:szCs w:val="16"/>
        </w:rPr>
        <w:footnoteRef/>
      </w:r>
      <w:r w:rsidRPr="00C1547D">
        <w:rPr>
          <w:sz w:val="16"/>
          <w:szCs w:val="16"/>
          <w:lang w:val="es-CR"/>
        </w:rPr>
        <w:t xml:space="preserve"> Se aclara que se hace alusión a familiares de 10 víctimas fallecidas pues no se indicaron familiares del niño fallecido Santiago </w:t>
      </w:r>
      <w:proofErr w:type="spellStart"/>
      <w:r w:rsidRPr="00C1547D">
        <w:rPr>
          <w:sz w:val="16"/>
          <w:szCs w:val="16"/>
          <w:lang w:val="es-CR"/>
        </w:rPr>
        <w:t>Coc</w:t>
      </w:r>
      <w:proofErr w:type="spellEnd"/>
      <w:r w:rsidRPr="00C1547D">
        <w:rPr>
          <w:sz w:val="16"/>
          <w:szCs w:val="16"/>
          <w:lang w:val="es-CR"/>
        </w:rPr>
        <w:t>.</w:t>
      </w:r>
      <w:r w:rsidRPr="00EC6314">
        <w:rPr>
          <w:sz w:val="16"/>
          <w:szCs w:val="16"/>
          <w:lang w:val="es-CR"/>
        </w:rPr>
        <w:t xml:space="preserve"> </w:t>
      </w:r>
    </w:p>
  </w:footnote>
  <w:footnote w:id="239">
    <w:p w:rsidR="00785921" w:rsidRPr="003D0120" w:rsidRDefault="00785921" w:rsidP="00126E97">
      <w:pPr>
        <w:pStyle w:val="FootnoteText"/>
        <w:spacing w:line="20" w:lineRule="atLeast"/>
        <w:rPr>
          <w:lang w:val="es-CR"/>
        </w:rPr>
      </w:pPr>
      <w:r w:rsidRPr="003D0120">
        <w:rPr>
          <w:rStyle w:val="FootnoteReference"/>
          <w:sz w:val="16"/>
          <w:szCs w:val="16"/>
        </w:rPr>
        <w:footnoteRef/>
      </w:r>
      <w:r w:rsidRPr="003D0120">
        <w:rPr>
          <w:sz w:val="16"/>
          <w:szCs w:val="16"/>
          <w:lang w:val="es-CR"/>
        </w:rPr>
        <w:t xml:space="preserve"> Se aclara que lo indicado </w:t>
      </w:r>
      <w:r>
        <w:rPr>
          <w:sz w:val="16"/>
          <w:szCs w:val="16"/>
          <w:lang w:val="es-CR"/>
        </w:rPr>
        <w:t xml:space="preserve">sobre el pago a familiares de personas fallecidas </w:t>
      </w:r>
      <w:r w:rsidRPr="003D0120">
        <w:rPr>
          <w:sz w:val="16"/>
          <w:szCs w:val="16"/>
          <w:lang w:val="es-CR"/>
        </w:rPr>
        <w:t>es aplicable respecto de cualquiera de las víctimas que de hecho se encuentre fallecida</w:t>
      </w:r>
      <w:r w:rsidRPr="008D68C5">
        <w:rPr>
          <w:sz w:val="16"/>
          <w:szCs w:val="16"/>
          <w:lang w:val="es-CR"/>
        </w:rPr>
        <w:t xml:space="preserve"> al momento de emitirse esta Sentencia, aun si dicho fallecimiento no está indicado en la </w:t>
      </w:r>
      <w:r>
        <w:rPr>
          <w:sz w:val="16"/>
          <w:szCs w:val="16"/>
          <w:lang w:val="es-CR"/>
        </w:rPr>
        <w:t>misma</w:t>
      </w:r>
      <w:r w:rsidRPr="008D68C5">
        <w:rPr>
          <w:sz w:val="16"/>
          <w:szCs w:val="16"/>
          <w:lang w:val="es-CR"/>
        </w:rPr>
        <w:t>.</w:t>
      </w:r>
      <w:r>
        <w:rPr>
          <w:sz w:val="16"/>
          <w:szCs w:val="16"/>
          <w:lang w:val="es-CR"/>
        </w:rPr>
        <w:t xml:space="preserve"> </w:t>
      </w:r>
      <w:r w:rsidRPr="00C1547D">
        <w:rPr>
          <w:sz w:val="16"/>
          <w:szCs w:val="16"/>
          <w:lang w:val="es-CR"/>
        </w:rPr>
        <w:t>Por otra parte, se aclara que las víctimas que se encuentran incorporadas tanto en el Anexo B.3 como en el Anexo B.5 de la presente Sentencia deben recibir tanto las indemnizaciones por daño inmaterial determinadas correspondientes a las víctimas heridas como también las indemnizaciones por daño inmaterial determinadas correspondientes a los familiares de personas fallecidas.</w:t>
      </w:r>
      <w:r>
        <w:rPr>
          <w:sz w:val="16"/>
          <w:szCs w:val="16"/>
          <w:lang w:val="es-CR"/>
        </w:rPr>
        <w:t xml:space="preserve"> </w:t>
      </w:r>
    </w:p>
  </w:footnote>
  <w:footnote w:id="240">
    <w:p w:rsidR="00785921" w:rsidRDefault="00785921" w:rsidP="00126E97">
      <w:pPr>
        <w:pStyle w:val="FootnoteText"/>
        <w:tabs>
          <w:tab w:val="left" w:pos="567"/>
          <w:tab w:val="left" w:pos="709"/>
        </w:tabs>
        <w:spacing w:line="20" w:lineRule="atLeast"/>
        <w:rPr>
          <w:sz w:val="16"/>
          <w:szCs w:val="16"/>
          <w:lang w:val="es-CR"/>
        </w:rPr>
      </w:pPr>
      <w:r>
        <w:rPr>
          <w:rStyle w:val="FootnoteReference"/>
          <w:rFonts w:eastAsia="Calibri"/>
          <w:sz w:val="16"/>
          <w:szCs w:val="16"/>
          <w:lang w:val="es-CR" w:eastAsia="x-none"/>
        </w:rPr>
        <w:footnoteRef/>
      </w:r>
      <w:r>
        <w:rPr>
          <w:sz w:val="16"/>
          <w:szCs w:val="16"/>
          <w:lang w:val="es-CR"/>
        </w:rPr>
        <w:t xml:space="preserve"> </w:t>
      </w:r>
      <w:r>
        <w:rPr>
          <w:i/>
          <w:sz w:val="16"/>
          <w:szCs w:val="16"/>
          <w:lang w:val="es-CR"/>
        </w:rPr>
        <w:t xml:space="preserve">Cfr. </w:t>
      </w:r>
      <w:r w:rsidRPr="001C2132">
        <w:rPr>
          <w:i/>
          <w:sz w:val="16"/>
          <w:szCs w:val="16"/>
          <w:lang w:val="es-CR"/>
        </w:rPr>
        <w:t>Caso Velásquez Rodríguez Vs. H</w:t>
      </w:r>
      <w:r>
        <w:rPr>
          <w:i/>
          <w:sz w:val="16"/>
          <w:szCs w:val="16"/>
          <w:lang w:val="es-CR"/>
        </w:rPr>
        <w:t>onduras. Reparaciones y Costas, supra</w:t>
      </w:r>
      <w:r w:rsidRPr="00D05F7B">
        <w:rPr>
          <w:rStyle w:val="Strong"/>
          <w:b w:val="0"/>
          <w:sz w:val="16"/>
          <w:szCs w:val="16"/>
          <w:lang w:val="es-CR"/>
        </w:rPr>
        <w:t>,</w:t>
      </w:r>
      <w:r w:rsidRPr="00D05F7B">
        <w:rPr>
          <w:b/>
          <w:sz w:val="16"/>
          <w:szCs w:val="16"/>
          <w:lang w:val="es-CR"/>
        </w:rPr>
        <w:t xml:space="preserve"> </w:t>
      </w:r>
      <w:r w:rsidRPr="00D05F7B">
        <w:rPr>
          <w:sz w:val="16"/>
          <w:szCs w:val="16"/>
          <w:lang w:val="es-CR"/>
        </w:rPr>
        <w:t>párr. 42,</w:t>
      </w:r>
      <w:r w:rsidRPr="00D05F7B">
        <w:rPr>
          <w:rFonts w:eastAsia="Calibri"/>
          <w:bCs/>
          <w:sz w:val="16"/>
          <w:szCs w:val="16"/>
          <w:shd w:val="clear" w:color="auto" w:fill="FFFFFF"/>
          <w:lang w:val="es-CR"/>
        </w:rPr>
        <w:t xml:space="preserve"> y</w:t>
      </w:r>
      <w:r w:rsidRPr="00D05F7B">
        <w:rPr>
          <w:rFonts w:eastAsia="Calibri"/>
          <w:b/>
          <w:bCs/>
          <w:sz w:val="16"/>
          <w:szCs w:val="16"/>
          <w:shd w:val="clear" w:color="auto" w:fill="FFFFFF"/>
          <w:lang w:val="es-CR"/>
        </w:rPr>
        <w:t xml:space="preserve"> </w:t>
      </w:r>
      <w:r w:rsidRPr="00D05F7B">
        <w:rPr>
          <w:rStyle w:val="Strong"/>
          <w:b w:val="0"/>
          <w:i/>
          <w:sz w:val="16"/>
          <w:szCs w:val="16"/>
          <w:lang w:val="es-CR"/>
        </w:rPr>
        <w:t xml:space="preserve">Caso </w:t>
      </w:r>
      <w:proofErr w:type="spellStart"/>
      <w:r w:rsidRPr="00D05F7B">
        <w:rPr>
          <w:rStyle w:val="Strong"/>
          <w:b w:val="0"/>
          <w:i/>
          <w:sz w:val="16"/>
          <w:szCs w:val="16"/>
          <w:lang w:val="es-CR"/>
        </w:rPr>
        <w:t>Amrhein</w:t>
      </w:r>
      <w:proofErr w:type="spellEnd"/>
      <w:r w:rsidRPr="00D05F7B">
        <w:rPr>
          <w:rStyle w:val="Strong"/>
          <w:b w:val="0"/>
          <w:i/>
          <w:sz w:val="16"/>
          <w:szCs w:val="16"/>
          <w:lang w:val="es-CR"/>
        </w:rPr>
        <w:t xml:space="preserve"> y otros vs. Costa Rica</w:t>
      </w:r>
      <w:r>
        <w:rPr>
          <w:rStyle w:val="Strong"/>
          <w:b w:val="0"/>
          <w:i/>
          <w:sz w:val="16"/>
          <w:szCs w:val="16"/>
          <w:lang w:val="es-CR"/>
        </w:rPr>
        <w:t>, supra</w:t>
      </w:r>
      <w:r>
        <w:rPr>
          <w:bCs/>
          <w:i/>
          <w:sz w:val="16"/>
          <w:szCs w:val="16"/>
          <w:lang w:val="es-CR"/>
        </w:rPr>
        <w:t xml:space="preserve">, </w:t>
      </w:r>
      <w:r>
        <w:rPr>
          <w:bCs/>
          <w:sz w:val="16"/>
          <w:szCs w:val="16"/>
          <w:lang w:val="es-CR"/>
        </w:rPr>
        <w:t>párr.</w:t>
      </w:r>
      <w:r>
        <w:rPr>
          <w:sz w:val="16"/>
          <w:szCs w:val="16"/>
          <w:lang w:val="es-CR"/>
        </w:rPr>
        <w:t>494</w:t>
      </w:r>
      <w:r w:rsidRPr="00460810">
        <w:rPr>
          <w:sz w:val="16"/>
          <w:szCs w:val="16"/>
          <w:lang w:val="es-CR"/>
        </w:rPr>
        <w:t>.</w:t>
      </w:r>
    </w:p>
  </w:footnote>
  <w:footnote w:id="241">
    <w:p w:rsidR="00785921" w:rsidRDefault="00785921" w:rsidP="00126E97">
      <w:pPr>
        <w:pStyle w:val="FootnoteText"/>
        <w:tabs>
          <w:tab w:val="left" w:pos="567"/>
        </w:tabs>
        <w:spacing w:line="20" w:lineRule="atLeast"/>
        <w:rPr>
          <w:sz w:val="16"/>
          <w:szCs w:val="16"/>
          <w:lang w:val="es-CR"/>
        </w:rPr>
      </w:pPr>
      <w:r>
        <w:rPr>
          <w:rStyle w:val="FootnoteReference"/>
          <w:rFonts w:eastAsia="Calibri"/>
          <w:sz w:val="16"/>
          <w:szCs w:val="16"/>
          <w:lang w:val="es-CR" w:eastAsia="x-none"/>
        </w:rPr>
        <w:footnoteRef/>
      </w:r>
      <w:r>
        <w:rPr>
          <w:sz w:val="16"/>
          <w:szCs w:val="16"/>
          <w:lang w:val="es-CR"/>
        </w:rPr>
        <w:t xml:space="preserve"> </w:t>
      </w:r>
      <w:r>
        <w:rPr>
          <w:i/>
          <w:sz w:val="16"/>
          <w:szCs w:val="16"/>
          <w:lang w:val="es-CR"/>
        </w:rPr>
        <w:t xml:space="preserve">Cfr. </w:t>
      </w:r>
      <w:r>
        <w:rPr>
          <w:rFonts w:eastAsia="Calibri"/>
          <w:bCs/>
          <w:i/>
          <w:sz w:val="16"/>
          <w:szCs w:val="16"/>
          <w:shd w:val="clear" w:color="auto" w:fill="FFFFFF"/>
          <w:lang w:val="es-CR"/>
        </w:rPr>
        <w:t xml:space="preserve">Caso Garrido y </w:t>
      </w:r>
      <w:proofErr w:type="spellStart"/>
      <w:r>
        <w:rPr>
          <w:rFonts w:eastAsia="Calibri"/>
          <w:bCs/>
          <w:i/>
          <w:sz w:val="16"/>
          <w:szCs w:val="16"/>
          <w:shd w:val="clear" w:color="auto" w:fill="FFFFFF"/>
          <w:lang w:val="es-CR"/>
        </w:rPr>
        <w:t>Baigorria</w:t>
      </w:r>
      <w:proofErr w:type="spellEnd"/>
      <w:r>
        <w:rPr>
          <w:rFonts w:eastAsia="Calibri"/>
          <w:bCs/>
          <w:i/>
          <w:sz w:val="16"/>
          <w:szCs w:val="16"/>
          <w:shd w:val="clear" w:color="auto" w:fill="FFFFFF"/>
          <w:lang w:val="es-CR"/>
        </w:rPr>
        <w:t xml:space="preserve"> Vs. Argentina. Reparaciones y Costas. </w:t>
      </w:r>
      <w:r>
        <w:rPr>
          <w:rFonts w:eastAsia="Calibri"/>
          <w:bCs/>
          <w:sz w:val="16"/>
          <w:szCs w:val="16"/>
          <w:shd w:val="clear" w:color="auto" w:fill="FFFFFF"/>
          <w:lang w:val="es-CR"/>
        </w:rPr>
        <w:t>Sentencia de 27 de agosto de 1998. Serie C No. 39</w:t>
      </w:r>
      <w:r>
        <w:rPr>
          <w:sz w:val="16"/>
          <w:szCs w:val="16"/>
          <w:lang w:val="es-CR"/>
        </w:rPr>
        <w:t xml:space="preserve">, párr. 82, y </w:t>
      </w:r>
      <w:r w:rsidRPr="00D05F7B">
        <w:rPr>
          <w:rStyle w:val="Strong"/>
          <w:b w:val="0"/>
          <w:i/>
          <w:sz w:val="16"/>
          <w:szCs w:val="16"/>
          <w:lang w:val="es-CR"/>
        </w:rPr>
        <w:t xml:space="preserve">Caso </w:t>
      </w:r>
      <w:proofErr w:type="spellStart"/>
      <w:r w:rsidRPr="00D05F7B">
        <w:rPr>
          <w:rStyle w:val="Strong"/>
          <w:b w:val="0"/>
          <w:i/>
          <w:sz w:val="16"/>
          <w:szCs w:val="16"/>
          <w:lang w:val="es-CR"/>
        </w:rPr>
        <w:t>Herzog</w:t>
      </w:r>
      <w:proofErr w:type="spellEnd"/>
      <w:r w:rsidRPr="00D05F7B">
        <w:rPr>
          <w:rStyle w:val="Strong"/>
          <w:b w:val="0"/>
          <w:i/>
          <w:sz w:val="16"/>
          <w:szCs w:val="16"/>
          <w:lang w:val="es-CR"/>
        </w:rPr>
        <w:t xml:space="preserve"> y otros Vs. Brasil</w:t>
      </w:r>
      <w:r>
        <w:rPr>
          <w:rStyle w:val="Strong"/>
          <w:b w:val="0"/>
          <w:i/>
          <w:sz w:val="16"/>
          <w:szCs w:val="16"/>
          <w:lang w:val="es-CR"/>
        </w:rPr>
        <w:t>, supra</w:t>
      </w:r>
      <w:r>
        <w:rPr>
          <w:rFonts w:eastAsia="Calibri"/>
          <w:bCs/>
          <w:sz w:val="16"/>
          <w:szCs w:val="16"/>
          <w:shd w:val="clear" w:color="auto" w:fill="FFFFFF"/>
          <w:lang w:val="es-CR"/>
        </w:rPr>
        <w:t>, párr. 401.</w:t>
      </w:r>
    </w:p>
  </w:footnote>
  <w:footnote w:id="242">
    <w:p w:rsidR="00785921" w:rsidRPr="00D05F7B" w:rsidRDefault="00785921" w:rsidP="00126E97">
      <w:pPr>
        <w:pStyle w:val="FootnoteText"/>
        <w:tabs>
          <w:tab w:val="left" w:pos="567"/>
          <w:tab w:val="left" w:pos="709"/>
        </w:tabs>
        <w:spacing w:line="20" w:lineRule="atLeast"/>
        <w:rPr>
          <w:sz w:val="16"/>
          <w:szCs w:val="16"/>
          <w:lang w:val="es-CR"/>
        </w:rPr>
      </w:pPr>
      <w:r w:rsidRPr="00D05F7B">
        <w:rPr>
          <w:rStyle w:val="FootnoteReference"/>
          <w:rFonts w:eastAsia="Calibri"/>
          <w:sz w:val="16"/>
          <w:szCs w:val="16"/>
          <w:lang w:val="es-CR" w:eastAsia="x-none"/>
        </w:rPr>
        <w:footnoteRef/>
      </w:r>
      <w:r w:rsidRPr="00D05F7B">
        <w:rPr>
          <w:rFonts w:eastAsia="Calibri"/>
          <w:bCs/>
          <w:i/>
          <w:sz w:val="16"/>
          <w:szCs w:val="16"/>
          <w:shd w:val="clear" w:color="auto" w:fill="FFFFFF"/>
          <w:lang w:val="es-CR"/>
        </w:rPr>
        <w:t xml:space="preserve">Caso Garrido y </w:t>
      </w:r>
      <w:proofErr w:type="spellStart"/>
      <w:r w:rsidRPr="00D05F7B">
        <w:rPr>
          <w:rFonts w:eastAsia="Calibri"/>
          <w:bCs/>
          <w:i/>
          <w:sz w:val="16"/>
          <w:szCs w:val="16"/>
          <w:shd w:val="clear" w:color="auto" w:fill="FFFFFF"/>
          <w:lang w:val="es-CR"/>
        </w:rPr>
        <w:t>Baigorria</w:t>
      </w:r>
      <w:proofErr w:type="spellEnd"/>
      <w:r w:rsidRPr="00D05F7B">
        <w:rPr>
          <w:rFonts w:eastAsia="Calibri"/>
          <w:bCs/>
          <w:i/>
          <w:sz w:val="16"/>
          <w:szCs w:val="16"/>
          <w:shd w:val="clear" w:color="auto" w:fill="FFFFFF"/>
          <w:lang w:val="es-CR"/>
        </w:rPr>
        <w:t xml:space="preserve"> Vs. </w:t>
      </w:r>
      <w:r>
        <w:rPr>
          <w:rFonts w:eastAsia="Calibri"/>
          <w:bCs/>
          <w:i/>
          <w:sz w:val="16"/>
          <w:szCs w:val="16"/>
          <w:shd w:val="clear" w:color="auto" w:fill="FFFFFF"/>
          <w:lang w:val="es-CR"/>
        </w:rPr>
        <w:t>Argentina, supra</w:t>
      </w:r>
      <w:r w:rsidRPr="00D05F7B">
        <w:rPr>
          <w:sz w:val="16"/>
          <w:szCs w:val="16"/>
          <w:lang w:val="es-CR"/>
        </w:rPr>
        <w:t>, párr. 82,</w:t>
      </w:r>
      <w:r w:rsidRPr="00D05F7B">
        <w:rPr>
          <w:i/>
          <w:sz w:val="16"/>
          <w:szCs w:val="16"/>
          <w:lang w:val="es-CR"/>
        </w:rPr>
        <w:t xml:space="preserve"> </w:t>
      </w:r>
      <w:r w:rsidRPr="00D05F7B">
        <w:rPr>
          <w:sz w:val="16"/>
          <w:szCs w:val="16"/>
          <w:lang w:val="es-CR"/>
        </w:rPr>
        <w:t>y</w:t>
      </w:r>
      <w:r w:rsidRPr="00D05F7B">
        <w:rPr>
          <w:bCs/>
          <w:i/>
          <w:sz w:val="16"/>
          <w:szCs w:val="16"/>
          <w:lang w:val="es-CR"/>
        </w:rPr>
        <w:t xml:space="preserve"> </w:t>
      </w:r>
      <w:r w:rsidRPr="00D05F7B">
        <w:rPr>
          <w:rStyle w:val="Strong"/>
          <w:b w:val="0"/>
          <w:i/>
          <w:sz w:val="16"/>
          <w:szCs w:val="16"/>
          <w:lang w:val="es-CR"/>
        </w:rPr>
        <w:t>Caso Ramírez Escobar y otros Vs. Guatemala</w:t>
      </w:r>
      <w:r>
        <w:rPr>
          <w:rStyle w:val="Strong"/>
          <w:b w:val="0"/>
          <w:i/>
          <w:sz w:val="16"/>
          <w:szCs w:val="16"/>
          <w:lang w:val="es-CR"/>
        </w:rPr>
        <w:t>, supra</w:t>
      </w:r>
      <w:r w:rsidRPr="00D05F7B">
        <w:rPr>
          <w:sz w:val="16"/>
          <w:szCs w:val="16"/>
          <w:lang w:val="es-CR"/>
        </w:rPr>
        <w:t>, párr. 424.</w:t>
      </w:r>
    </w:p>
  </w:footnote>
  <w:footnote w:id="243">
    <w:p w:rsidR="00785921" w:rsidRPr="00D05F7B" w:rsidRDefault="00785921" w:rsidP="00126E97">
      <w:pPr>
        <w:tabs>
          <w:tab w:val="left" w:pos="567"/>
        </w:tabs>
        <w:spacing w:after="0" w:line="20" w:lineRule="atLeast"/>
        <w:jc w:val="both"/>
        <w:rPr>
          <w:rFonts w:ascii="Verdana" w:hAnsi="Verdana"/>
          <w:sz w:val="16"/>
          <w:szCs w:val="16"/>
          <w:lang w:val="es-CR"/>
        </w:rPr>
      </w:pPr>
      <w:r w:rsidRPr="00D05F7B">
        <w:rPr>
          <w:rStyle w:val="FootnoteReference"/>
          <w:rFonts w:ascii="Verdana" w:eastAsia="Calibri" w:hAnsi="Verdana"/>
          <w:sz w:val="16"/>
          <w:szCs w:val="16"/>
          <w:lang w:val="es-CR" w:eastAsia="x-none"/>
        </w:rPr>
        <w:footnoteRef/>
      </w:r>
      <w:r w:rsidRPr="00D05F7B">
        <w:rPr>
          <w:rFonts w:ascii="Verdana" w:hAnsi="Verdana"/>
          <w:sz w:val="16"/>
          <w:szCs w:val="16"/>
          <w:lang w:val="es-CR"/>
        </w:rPr>
        <w:t xml:space="preserve"> </w:t>
      </w:r>
      <w:r w:rsidRPr="00D05F7B">
        <w:rPr>
          <w:rFonts w:ascii="Verdana" w:hAnsi="Verdana"/>
          <w:i/>
          <w:sz w:val="16"/>
          <w:szCs w:val="16"/>
          <w:lang w:val="es-CR"/>
        </w:rPr>
        <w:t xml:space="preserve">Cfr. </w:t>
      </w:r>
      <w:r w:rsidRPr="00D05F7B">
        <w:rPr>
          <w:rFonts w:ascii="Verdana" w:hAnsi="Verdana"/>
          <w:bCs/>
          <w:i/>
          <w:sz w:val="16"/>
          <w:szCs w:val="16"/>
          <w:lang w:val="es-CR"/>
        </w:rPr>
        <w:t>Caso Chaparro Álvarez y Lapo Íñiguez Vs. Ecuador. Excepciones Preliminares, Fondo, Reparaciones y Costas</w:t>
      </w:r>
      <w:r w:rsidRPr="00D05F7B">
        <w:rPr>
          <w:rFonts w:ascii="Verdana" w:hAnsi="Verdana"/>
          <w:bCs/>
          <w:sz w:val="16"/>
          <w:szCs w:val="16"/>
          <w:lang w:val="es-CR"/>
        </w:rPr>
        <w:t>. Sentencia de 21 de noviembre de 2007. Serie C No. 170</w:t>
      </w:r>
      <w:r w:rsidRPr="00D05F7B">
        <w:rPr>
          <w:rFonts w:ascii="Verdana" w:hAnsi="Verdana"/>
          <w:sz w:val="16"/>
          <w:szCs w:val="16"/>
          <w:lang w:val="es-CR"/>
        </w:rPr>
        <w:t>, párr. 277, y</w:t>
      </w:r>
      <w:r w:rsidRPr="00D05F7B">
        <w:rPr>
          <w:rFonts w:ascii="Verdana" w:hAnsi="Verdana"/>
          <w:bCs/>
          <w:i/>
          <w:sz w:val="16"/>
          <w:szCs w:val="16"/>
          <w:lang w:val="es-CR"/>
        </w:rPr>
        <w:t xml:space="preserve"> </w:t>
      </w:r>
      <w:r w:rsidRPr="00D05F7B">
        <w:rPr>
          <w:rStyle w:val="Strong"/>
          <w:rFonts w:ascii="Verdana" w:hAnsi="Verdana"/>
          <w:b w:val="0"/>
          <w:i/>
          <w:sz w:val="16"/>
          <w:szCs w:val="16"/>
          <w:lang w:val="es-CR"/>
        </w:rPr>
        <w:t xml:space="preserve">Caso </w:t>
      </w:r>
      <w:proofErr w:type="spellStart"/>
      <w:r w:rsidRPr="00D05F7B">
        <w:rPr>
          <w:rStyle w:val="Strong"/>
          <w:rFonts w:ascii="Verdana" w:hAnsi="Verdana"/>
          <w:b w:val="0"/>
          <w:i/>
          <w:sz w:val="16"/>
          <w:szCs w:val="16"/>
          <w:lang w:val="es-CR"/>
        </w:rPr>
        <w:t>Amrhein</w:t>
      </w:r>
      <w:proofErr w:type="spellEnd"/>
      <w:r w:rsidRPr="00D05F7B">
        <w:rPr>
          <w:rStyle w:val="Strong"/>
          <w:rFonts w:ascii="Verdana" w:hAnsi="Verdana"/>
          <w:b w:val="0"/>
          <w:i/>
          <w:sz w:val="16"/>
          <w:szCs w:val="16"/>
          <w:lang w:val="es-CR"/>
        </w:rPr>
        <w:t xml:space="preserve"> y otros vs. Costa Rica</w:t>
      </w:r>
      <w:r>
        <w:rPr>
          <w:rStyle w:val="Strong"/>
          <w:rFonts w:ascii="Verdana" w:hAnsi="Verdana"/>
          <w:b w:val="0"/>
          <w:i/>
          <w:sz w:val="16"/>
          <w:szCs w:val="16"/>
          <w:lang w:val="es-CR"/>
        </w:rPr>
        <w:t>, supra</w:t>
      </w:r>
      <w:r w:rsidRPr="00D05F7B">
        <w:rPr>
          <w:rFonts w:ascii="Verdana" w:hAnsi="Verdana"/>
          <w:bCs/>
          <w:i/>
          <w:sz w:val="16"/>
          <w:szCs w:val="16"/>
          <w:lang w:val="es-CR"/>
        </w:rPr>
        <w:t xml:space="preserve">, </w:t>
      </w:r>
      <w:r w:rsidRPr="00D05F7B">
        <w:rPr>
          <w:rFonts w:ascii="Verdana" w:hAnsi="Verdana"/>
          <w:bCs/>
          <w:sz w:val="16"/>
          <w:szCs w:val="16"/>
          <w:lang w:val="es-CR"/>
        </w:rPr>
        <w:t>párr.</w:t>
      </w:r>
      <w:r w:rsidRPr="00D05F7B">
        <w:rPr>
          <w:rFonts w:ascii="Verdana" w:hAnsi="Verdana"/>
          <w:sz w:val="16"/>
          <w:szCs w:val="16"/>
          <w:lang w:val="es-CR"/>
        </w:rPr>
        <w:t>494.</w:t>
      </w:r>
    </w:p>
  </w:footnote>
  <w:footnote w:id="244">
    <w:p w:rsidR="00785921" w:rsidRPr="00637508" w:rsidRDefault="00785921" w:rsidP="00126E97">
      <w:pPr>
        <w:pStyle w:val="FootnoteText"/>
        <w:spacing w:line="20" w:lineRule="atLeast"/>
        <w:rPr>
          <w:sz w:val="16"/>
          <w:szCs w:val="16"/>
          <w:lang w:val="es-CR"/>
        </w:rPr>
      </w:pPr>
      <w:r w:rsidRPr="00D05F7B">
        <w:rPr>
          <w:rStyle w:val="FootnoteReference"/>
          <w:sz w:val="16"/>
          <w:szCs w:val="16"/>
          <w:lang w:eastAsia="x-none"/>
        </w:rPr>
        <w:footnoteRef/>
      </w:r>
      <w:r w:rsidRPr="00D05F7B">
        <w:rPr>
          <w:sz w:val="16"/>
          <w:szCs w:val="16"/>
          <w:lang w:val="es-CR"/>
        </w:rPr>
        <w:t xml:space="preserve"> </w:t>
      </w:r>
      <w:r w:rsidRPr="00D05F7B">
        <w:rPr>
          <w:i/>
          <w:sz w:val="16"/>
          <w:szCs w:val="16"/>
          <w:lang w:val="es-CR"/>
        </w:rPr>
        <w:t>Cfr.</w:t>
      </w:r>
      <w:r w:rsidRPr="00D05F7B">
        <w:rPr>
          <w:sz w:val="16"/>
          <w:szCs w:val="16"/>
          <w:lang w:val="es-CR"/>
        </w:rPr>
        <w:t xml:space="preserve"> Declaración jurada</w:t>
      </w:r>
      <w:r w:rsidRPr="00637508">
        <w:rPr>
          <w:sz w:val="16"/>
          <w:szCs w:val="16"/>
          <w:lang w:val="es-CR"/>
        </w:rPr>
        <w:t xml:space="preserve"> de 8 de marzo de 2018 </w:t>
      </w:r>
      <w:r>
        <w:rPr>
          <w:sz w:val="16"/>
          <w:szCs w:val="16"/>
          <w:lang w:val="es-CR"/>
        </w:rPr>
        <w:t>efectuada ante notario por la</w:t>
      </w:r>
      <w:r w:rsidRPr="00637508">
        <w:rPr>
          <w:sz w:val="16"/>
          <w:szCs w:val="16"/>
          <w:lang w:val="es-CR"/>
        </w:rPr>
        <w:t xml:space="preserve"> Administradora de la Fundación Grupo Apoyo Mutuo (expediente de prueba, anexo 5 a los alegatos finales escritos de los representantes, f</w:t>
      </w:r>
      <w:r>
        <w:rPr>
          <w:sz w:val="16"/>
          <w:szCs w:val="16"/>
          <w:lang w:val="es-CR"/>
        </w:rPr>
        <w:t>olio</w:t>
      </w:r>
      <w:r w:rsidRPr="00637508">
        <w:rPr>
          <w:sz w:val="16"/>
          <w:szCs w:val="16"/>
          <w:lang w:val="es-CR"/>
        </w:rPr>
        <w:t>s 5590 a</w:t>
      </w:r>
      <w:r>
        <w:rPr>
          <w:sz w:val="16"/>
          <w:szCs w:val="16"/>
          <w:lang w:val="es-CR"/>
        </w:rPr>
        <w:t xml:space="preserve"> </w:t>
      </w:r>
      <w:r w:rsidRPr="00637508">
        <w:rPr>
          <w:sz w:val="16"/>
          <w:szCs w:val="16"/>
          <w:lang w:val="es-CR"/>
        </w:rPr>
        <w:t>5595).</w:t>
      </w:r>
    </w:p>
  </w:footnote>
  <w:footnote w:id="245">
    <w:p w:rsidR="00785921" w:rsidRPr="00B85B75" w:rsidRDefault="00785921" w:rsidP="00126E97">
      <w:pPr>
        <w:pStyle w:val="FootnoteText"/>
        <w:tabs>
          <w:tab w:val="left" w:pos="567"/>
        </w:tabs>
        <w:spacing w:line="20" w:lineRule="atLeast"/>
        <w:rPr>
          <w:sz w:val="16"/>
          <w:szCs w:val="16"/>
          <w:lang w:val="es-CR"/>
        </w:rPr>
      </w:pPr>
      <w:r>
        <w:rPr>
          <w:rStyle w:val="FootnoteReference"/>
          <w:rFonts w:eastAsia="Calibri"/>
          <w:sz w:val="16"/>
          <w:szCs w:val="16"/>
          <w:lang w:val="es-CR" w:eastAsia="x-none"/>
        </w:rPr>
        <w:footnoteRef/>
      </w:r>
      <w:r>
        <w:rPr>
          <w:sz w:val="16"/>
          <w:szCs w:val="16"/>
          <w:lang w:val="es-CR"/>
        </w:rPr>
        <w:t xml:space="preserve"> </w:t>
      </w:r>
      <w:r>
        <w:rPr>
          <w:i/>
          <w:sz w:val="16"/>
          <w:szCs w:val="16"/>
          <w:lang w:val="es-CR"/>
        </w:rPr>
        <w:t xml:space="preserve">Cfr. Caso Comunidad Indígena </w:t>
      </w:r>
      <w:proofErr w:type="spellStart"/>
      <w:r>
        <w:rPr>
          <w:i/>
          <w:sz w:val="16"/>
          <w:szCs w:val="16"/>
          <w:lang w:val="es-CR"/>
        </w:rPr>
        <w:t>Xákmok</w:t>
      </w:r>
      <w:proofErr w:type="spellEnd"/>
      <w:r>
        <w:rPr>
          <w:i/>
          <w:sz w:val="16"/>
          <w:szCs w:val="16"/>
          <w:lang w:val="es-CR"/>
        </w:rPr>
        <w:t xml:space="preserve"> </w:t>
      </w:r>
      <w:proofErr w:type="spellStart"/>
      <w:r>
        <w:rPr>
          <w:i/>
          <w:sz w:val="16"/>
          <w:szCs w:val="16"/>
          <w:lang w:val="es-CR"/>
        </w:rPr>
        <w:t>Kásek</w:t>
      </w:r>
      <w:proofErr w:type="spellEnd"/>
      <w:r>
        <w:rPr>
          <w:i/>
          <w:sz w:val="16"/>
          <w:szCs w:val="16"/>
          <w:lang w:val="es-CR"/>
        </w:rPr>
        <w:t xml:space="preserve"> Vs. Paraguay. Fondo, Reparaciones y Costas. </w:t>
      </w:r>
      <w:r>
        <w:rPr>
          <w:sz w:val="16"/>
          <w:szCs w:val="16"/>
          <w:lang w:val="es-CR"/>
        </w:rPr>
        <w:t xml:space="preserve">Sentencia de 24 de agosto de 2010. Serie C No. 214, párr. </w:t>
      </w:r>
      <w:r w:rsidRPr="00B85B75">
        <w:rPr>
          <w:sz w:val="16"/>
          <w:szCs w:val="16"/>
          <w:lang w:val="es-CR"/>
        </w:rPr>
        <w:t xml:space="preserve">331, y </w:t>
      </w:r>
      <w:r w:rsidRPr="00D05F7B">
        <w:rPr>
          <w:rStyle w:val="Strong"/>
          <w:b w:val="0"/>
          <w:i/>
          <w:sz w:val="16"/>
          <w:szCs w:val="16"/>
          <w:lang w:val="es-CR"/>
        </w:rPr>
        <w:t xml:space="preserve">Caso </w:t>
      </w:r>
      <w:proofErr w:type="spellStart"/>
      <w:r w:rsidRPr="00D05F7B">
        <w:rPr>
          <w:rStyle w:val="Strong"/>
          <w:b w:val="0"/>
          <w:i/>
          <w:sz w:val="16"/>
          <w:szCs w:val="16"/>
          <w:lang w:val="es-CR"/>
        </w:rPr>
        <w:t>Herzog</w:t>
      </w:r>
      <w:proofErr w:type="spellEnd"/>
      <w:r w:rsidRPr="00D05F7B">
        <w:rPr>
          <w:rStyle w:val="Strong"/>
          <w:b w:val="0"/>
          <w:i/>
          <w:sz w:val="16"/>
          <w:szCs w:val="16"/>
          <w:lang w:val="es-CR"/>
        </w:rPr>
        <w:t xml:space="preserve"> y otros Vs. Brasil</w:t>
      </w:r>
      <w:r>
        <w:rPr>
          <w:rStyle w:val="Strong"/>
          <w:b w:val="0"/>
          <w:i/>
          <w:sz w:val="16"/>
          <w:szCs w:val="16"/>
          <w:lang w:val="es-CR"/>
        </w:rPr>
        <w:t>, supra</w:t>
      </w:r>
      <w:r>
        <w:rPr>
          <w:rFonts w:eastAsia="Calibri"/>
          <w:bCs/>
          <w:sz w:val="16"/>
          <w:szCs w:val="16"/>
          <w:shd w:val="clear" w:color="auto" w:fill="FFFFFF"/>
          <w:lang w:val="es-CR"/>
        </w:rPr>
        <w:t>, párr. 404.</w:t>
      </w:r>
    </w:p>
  </w:footnote>
  <w:footnote w:id="246">
    <w:p w:rsidR="003908EB" w:rsidRPr="000E75E4" w:rsidRDefault="003908EB">
      <w:pPr>
        <w:pStyle w:val="FootnoteText"/>
        <w:rPr>
          <w:sz w:val="16"/>
          <w:szCs w:val="16"/>
          <w:lang w:val="es-CR"/>
        </w:rPr>
      </w:pPr>
      <w:r w:rsidRPr="000E75E4">
        <w:rPr>
          <w:rStyle w:val="FootnoteReference"/>
          <w:sz w:val="16"/>
          <w:szCs w:val="16"/>
        </w:rPr>
        <w:footnoteRef/>
      </w:r>
      <w:r w:rsidRPr="000E75E4">
        <w:rPr>
          <w:sz w:val="16"/>
          <w:szCs w:val="16"/>
          <w:lang w:val="es-CR"/>
        </w:rPr>
        <w:t xml:space="preserve"> Los nombres de las personas identificadas por la Comisión en el Informe de Fondo como víctimas se han escrito de acuerdo a la información allegada a la Corte sobre los distintos nombres, aun si presentan diferencias con la forma en que los mismos fueron asentados en el Informe de Fondo. </w:t>
      </w:r>
    </w:p>
  </w:footnote>
  <w:footnote w:id="247">
    <w:p w:rsidR="003908EB" w:rsidRPr="000E75E4" w:rsidRDefault="003908EB">
      <w:pPr>
        <w:pStyle w:val="FootnoteText"/>
        <w:rPr>
          <w:sz w:val="16"/>
          <w:szCs w:val="16"/>
          <w:lang w:val="es-CR"/>
        </w:rPr>
      </w:pPr>
      <w:r w:rsidRPr="000E75E4">
        <w:rPr>
          <w:rStyle w:val="FootnoteReference"/>
          <w:sz w:val="16"/>
          <w:szCs w:val="16"/>
        </w:rPr>
        <w:footnoteRef/>
      </w:r>
      <w:r w:rsidRPr="000E75E4">
        <w:rPr>
          <w:sz w:val="16"/>
          <w:szCs w:val="16"/>
          <w:lang w:val="es-CR"/>
        </w:rPr>
        <w:t xml:space="preserve"> La Corte advierte que eventuales inconsistencias o inexactitudes que pudieran evidenciarse en los nombres de las víctimas, o en el modo de escribirlos, no puede motivar la falta de cumplimiento de las medidas de reparación ordenadas en la Sentencia. </w:t>
      </w:r>
      <w:r>
        <w:rPr>
          <w:sz w:val="16"/>
          <w:szCs w:val="16"/>
          <w:lang w:val="es-CR"/>
        </w:rPr>
        <w:t xml:space="preserve">Por otra parte, de conformidad con información que ha sido allegada a la Corte, además de las personas cuyos nombres están incorporados en los Anexos B.2 y B.4, se encuentran fallecidas las siguientes víctimas: </w:t>
      </w:r>
      <w:r w:rsidRPr="00D76970">
        <w:rPr>
          <w:sz w:val="16"/>
          <w:szCs w:val="16"/>
          <w:lang w:val="es-CR"/>
        </w:rPr>
        <w:t>Pedro Daniel Carrillo López</w:t>
      </w:r>
      <w:r>
        <w:rPr>
          <w:sz w:val="16"/>
          <w:szCs w:val="16"/>
          <w:lang w:val="es-CR"/>
        </w:rPr>
        <w:t xml:space="preserve">; </w:t>
      </w:r>
      <w:r w:rsidRPr="00D76970">
        <w:rPr>
          <w:sz w:val="16"/>
          <w:szCs w:val="16"/>
          <w:lang w:val="es-CR"/>
        </w:rPr>
        <w:t>Gerardo Maldonado Sales</w:t>
      </w:r>
      <w:r>
        <w:rPr>
          <w:sz w:val="16"/>
          <w:szCs w:val="16"/>
          <w:lang w:val="es-CR"/>
        </w:rPr>
        <w:t xml:space="preserve">; </w:t>
      </w:r>
      <w:r w:rsidRPr="00D76970">
        <w:rPr>
          <w:sz w:val="16"/>
          <w:szCs w:val="16"/>
          <w:lang w:val="es-CR"/>
        </w:rPr>
        <w:t xml:space="preserve">Santiago </w:t>
      </w:r>
      <w:proofErr w:type="spellStart"/>
      <w:r w:rsidRPr="00D76970">
        <w:rPr>
          <w:sz w:val="16"/>
          <w:szCs w:val="16"/>
          <w:lang w:val="es-CR"/>
        </w:rPr>
        <w:t>Maquín</w:t>
      </w:r>
      <w:proofErr w:type="spellEnd"/>
      <w:r w:rsidRPr="00D76970">
        <w:rPr>
          <w:sz w:val="16"/>
          <w:szCs w:val="16"/>
          <w:lang w:val="es-CR"/>
        </w:rPr>
        <w:t xml:space="preserve"> </w:t>
      </w:r>
      <w:proofErr w:type="spellStart"/>
      <w:r w:rsidRPr="00D76970">
        <w:rPr>
          <w:sz w:val="16"/>
          <w:szCs w:val="16"/>
          <w:lang w:val="es-CR"/>
        </w:rPr>
        <w:t>Quip</w:t>
      </w:r>
      <w:proofErr w:type="spellEnd"/>
      <w:r>
        <w:rPr>
          <w:sz w:val="16"/>
          <w:szCs w:val="16"/>
          <w:lang w:val="es-CR"/>
        </w:rPr>
        <w:t xml:space="preserve">; </w:t>
      </w:r>
      <w:r w:rsidRPr="00D76970">
        <w:rPr>
          <w:sz w:val="16"/>
          <w:szCs w:val="16"/>
          <w:lang w:val="es-CR"/>
        </w:rPr>
        <w:t>Francisco Hernández</w:t>
      </w:r>
      <w:r>
        <w:rPr>
          <w:sz w:val="16"/>
          <w:szCs w:val="16"/>
          <w:lang w:val="es-CR"/>
        </w:rPr>
        <w:t xml:space="preserve">; Rosendo Morales </w:t>
      </w:r>
      <w:proofErr w:type="spellStart"/>
      <w:r>
        <w:rPr>
          <w:sz w:val="16"/>
          <w:szCs w:val="16"/>
          <w:lang w:val="es-CR"/>
        </w:rPr>
        <w:t>Ortí</w:t>
      </w:r>
      <w:r w:rsidRPr="00D76970">
        <w:rPr>
          <w:sz w:val="16"/>
          <w:szCs w:val="16"/>
          <w:lang w:val="es-CR"/>
        </w:rPr>
        <w:t>z</w:t>
      </w:r>
      <w:proofErr w:type="spellEnd"/>
      <w:r>
        <w:rPr>
          <w:sz w:val="16"/>
          <w:szCs w:val="16"/>
          <w:lang w:val="es-CR"/>
        </w:rPr>
        <w:t xml:space="preserve">, y </w:t>
      </w:r>
      <w:r w:rsidRPr="00D76970">
        <w:rPr>
          <w:sz w:val="16"/>
          <w:szCs w:val="16"/>
          <w:lang w:val="es-CR"/>
        </w:rPr>
        <w:t xml:space="preserve">Manuela Pop </w:t>
      </w:r>
      <w:proofErr w:type="spellStart"/>
      <w:r w:rsidRPr="00D76970">
        <w:rPr>
          <w:sz w:val="16"/>
          <w:szCs w:val="16"/>
          <w:lang w:val="es-CR"/>
        </w:rPr>
        <w:t>Choc</w:t>
      </w:r>
      <w:proofErr w:type="spellEnd"/>
      <w:r>
        <w:rPr>
          <w:sz w:val="16"/>
          <w:szCs w:val="16"/>
          <w:lang w:val="es-CR"/>
        </w:rPr>
        <w:t>.</w:t>
      </w:r>
    </w:p>
  </w:footnote>
  <w:footnote w:id="248">
    <w:p w:rsidR="003908EB" w:rsidRPr="003C7F71" w:rsidRDefault="003908EB" w:rsidP="00330F0B">
      <w:pPr>
        <w:pStyle w:val="FootnoteText"/>
        <w:rPr>
          <w:sz w:val="16"/>
          <w:szCs w:val="16"/>
          <w:lang w:val="es-CR"/>
        </w:rPr>
      </w:pPr>
      <w:r w:rsidRPr="003C7F71">
        <w:rPr>
          <w:rStyle w:val="FootnoteReference"/>
          <w:sz w:val="16"/>
          <w:szCs w:val="16"/>
        </w:rPr>
        <w:footnoteRef/>
      </w:r>
      <w:r w:rsidRPr="003C7F71">
        <w:rPr>
          <w:sz w:val="16"/>
          <w:szCs w:val="16"/>
          <w:lang w:val="es-CR"/>
        </w:rPr>
        <w:t xml:space="preserve"> La Corte aclara</w:t>
      </w:r>
      <w:r>
        <w:rPr>
          <w:sz w:val="16"/>
          <w:szCs w:val="16"/>
          <w:lang w:val="es-CR"/>
        </w:rPr>
        <w:t>, respecto de</w:t>
      </w:r>
      <w:r w:rsidRPr="003C7F71">
        <w:rPr>
          <w:sz w:val="16"/>
          <w:szCs w:val="16"/>
          <w:lang w:val="es-CR"/>
        </w:rPr>
        <w:t xml:space="preserve"> la repetición del nombre “Antonio Medina Toma”</w:t>
      </w:r>
      <w:r>
        <w:rPr>
          <w:sz w:val="16"/>
          <w:szCs w:val="16"/>
          <w:lang w:val="es-CR"/>
        </w:rPr>
        <w:t>, que</w:t>
      </w:r>
      <w:r w:rsidRPr="003C7F71">
        <w:rPr>
          <w:sz w:val="16"/>
          <w:szCs w:val="16"/>
          <w:lang w:val="es-CR"/>
        </w:rPr>
        <w:t xml:space="preserve"> </w:t>
      </w:r>
      <w:r>
        <w:rPr>
          <w:sz w:val="16"/>
          <w:szCs w:val="16"/>
          <w:lang w:val="es-CR"/>
        </w:rPr>
        <w:t>l</w:t>
      </w:r>
      <w:r w:rsidRPr="003C7F71">
        <w:rPr>
          <w:sz w:val="16"/>
          <w:szCs w:val="16"/>
          <w:lang w:val="es-CR"/>
        </w:rPr>
        <w:t>a Comisión incluyó en el informe de fondo, como víctimas, a dos personas con el mismo nombre. Este Tribunal pudo constatar, a partir de documentación remitida por los representantes que, en efecto, una víctima es “Antonio Medina Toma”, quien nació el 27 de noviembre de 1971, y otra persona es “Antonio Medina Toma”, quien nació el 23 de septiembre de 1986 (</w:t>
      </w:r>
      <w:r w:rsidRPr="003C7F71">
        <w:rPr>
          <w:i/>
          <w:sz w:val="16"/>
          <w:szCs w:val="16"/>
          <w:lang w:val="es-CR"/>
        </w:rPr>
        <w:t>cfr.</w:t>
      </w:r>
      <w:r w:rsidRPr="003C7F71">
        <w:rPr>
          <w:sz w:val="16"/>
          <w:szCs w:val="16"/>
          <w:lang w:val="es-CR"/>
        </w:rPr>
        <w:t xml:space="preserve"> Certificados de Nacimiento (expediente de prueba, anexo 1 al escrito de solicitudes y argumentos, folios 5036 y 5048)).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488195"/>
      <w:docPartObj>
        <w:docPartGallery w:val="Page Numbers (Top of Page)"/>
        <w:docPartUnique/>
      </w:docPartObj>
    </w:sdtPr>
    <w:sdtEndPr>
      <w:rPr>
        <w:noProof/>
      </w:rPr>
    </w:sdtEndPr>
    <w:sdtContent>
      <w:p w:rsidR="00E372C2" w:rsidRDefault="00E372C2">
        <w:pPr>
          <w:pStyle w:val="Header"/>
          <w:jc w:val="center"/>
        </w:pPr>
        <w:r>
          <w:fldChar w:fldCharType="begin"/>
        </w:r>
        <w:r>
          <w:instrText xml:space="preserve"> PAGE   \* MERGEFORMAT </w:instrText>
        </w:r>
        <w:r>
          <w:fldChar w:fldCharType="separate"/>
        </w:r>
        <w:r w:rsidR="00B9342F">
          <w:rPr>
            <w:noProof/>
          </w:rPr>
          <w:t>3</w:t>
        </w:r>
        <w:r>
          <w:rPr>
            <w:noProof/>
          </w:rPr>
          <w:fldChar w:fldCharType="end"/>
        </w:r>
      </w:p>
    </w:sdtContent>
  </w:sdt>
  <w:p w:rsidR="00E372C2" w:rsidRDefault="00E37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136556"/>
      <w:docPartObj>
        <w:docPartGallery w:val="Page Numbers (Top of Page)"/>
        <w:docPartUnique/>
      </w:docPartObj>
    </w:sdtPr>
    <w:sdtEndPr>
      <w:rPr>
        <w:noProof/>
      </w:rPr>
    </w:sdtEndPr>
    <w:sdtContent>
      <w:p w:rsidR="00A63903" w:rsidRDefault="00E8771A">
        <w:pPr>
          <w:pStyle w:val="Header"/>
          <w:jc w:val="center"/>
        </w:pPr>
        <w:r>
          <w:fldChar w:fldCharType="begin"/>
        </w:r>
        <w:r>
          <w:instrText xml:space="preserve"> PAGE   \* MERGEFORMAT </w:instrText>
        </w:r>
        <w:r>
          <w:fldChar w:fldCharType="separate"/>
        </w:r>
        <w:r w:rsidR="00B9342F">
          <w:rPr>
            <w:noProof/>
          </w:rPr>
          <w:t>4</w:t>
        </w:r>
        <w:r>
          <w:rPr>
            <w:noProof/>
          </w:rPr>
          <w:fldChar w:fldCharType="end"/>
        </w:r>
      </w:p>
    </w:sdtContent>
  </w:sdt>
  <w:p w:rsidR="00A63903" w:rsidRDefault="00B93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21A42"/>
    <w:multiLevelType w:val="hybridMultilevel"/>
    <w:tmpl w:val="F56E466E"/>
    <w:lvl w:ilvl="0" w:tplc="96B075A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53315285"/>
    <w:multiLevelType w:val="hybridMultilevel"/>
    <w:tmpl w:val="2190F83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5B6DD93A"/>
    <w:multiLevelType w:val="multilevel"/>
    <w:tmpl w:val="5B6DD93A"/>
    <w:name w:val="Lista numerada 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nsid w:val="5B6DD93C"/>
    <w:multiLevelType w:val="multilevel"/>
    <w:tmpl w:val="5B6DD93C"/>
    <w:name w:val="Lista numerada 4"/>
    <w:lvl w:ilvl="0">
      <w:start w:val="1"/>
      <w:numFmt w:val="upperLetter"/>
      <w:lvlText w:val="%1."/>
      <w:lvlJc w:val="left"/>
      <w:rPr>
        <w:b/>
        <w:i/>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5B6DD93F"/>
    <w:multiLevelType w:val="multilevel"/>
    <w:tmpl w:val="5B6DD93F"/>
    <w:name w:val="Lista numerada 7"/>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5B6DD940"/>
    <w:multiLevelType w:val="multilevel"/>
    <w:tmpl w:val="5B6DD940"/>
    <w:name w:val="Lista numerada 8"/>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5B6DD943"/>
    <w:multiLevelType w:val="multilevel"/>
    <w:tmpl w:val="5B6DD943"/>
    <w:name w:val="Lista numerada 11"/>
    <w:lvl w:ilvl="0">
      <w:start w:val="3"/>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5B6DD94F"/>
    <w:multiLevelType w:val="multilevel"/>
    <w:tmpl w:val="5B6DD94F"/>
    <w:name w:val="Lista numerada 23"/>
    <w:lvl w:ilvl="0">
      <w:start w:val="1"/>
      <w:numFmt w:val="decimal"/>
      <w:lvlText w:val="%1."/>
      <w:lvlJc w:val="left"/>
      <w:rPr>
        <w:rFonts w:ascii="Verdana" w:hAnsi="Verdana"/>
        <w:b w:val="0"/>
        <w:i w:val="0"/>
        <w:strike w:val="0"/>
        <w:color w:val="000000"/>
        <w:sz w:val="20"/>
      </w:rPr>
    </w:lvl>
    <w:lvl w:ilvl="1">
      <w:start w:val="1"/>
      <w:numFmt w:val="lowerLetter"/>
      <w:lvlText w:val="%2."/>
      <w:lvlJc w:val="left"/>
      <w:rPr>
        <w:rFonts w:ascii="Verdana" w:hAnsi="Verdana"/>
        <w:i/>
      </w:rPr>
    </w:lvl>
    <w:lvl w:ilvl="2">
      <w:start w:val="1"/>
      <w:numFmt w:val="lowerRoman"/>
      <w:lvlText w:val="%3."/>
      <w:lvlJc w:val="left"/>
      <w:rPr>
        <w:i/>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5B6DD951"/>
    <w:multiLevelType w:val="multilevel"/>
    <w:tmpl w:val="5B6DD951"/>
    <w:name w:val="Lista numerada 25"/>
    <w:lvl w:ilvl="0">
      <w:start w:val="1"/>
      <w:numFmt w:val="lowerLetter"/>
      <w:lvlText w:val="%1."/>
      <w:lvlJc w:val="left"/>
      <w:rPr>
        <w:rFonts w:ascii="Verdana" w:hAnsi="Verdana"/>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nsid w:val="5B6DD956"/>
    <w:multiLevelType w:val="multilevel"/>
    <w:tmpl w:val="5B6DD956"/>
    <w:name w:val="Lista numerada 30"/>
    <w:lvl w:ilvl="0">
      <w:start w:val="1"/>
      <w:numFmt w:val="lowerRoman"/>
      <w:lvlText w:val="%1)"/>
      <w:lvlJc w:val="left"/>
    </w:lvl>
    <w:lvl w:ilvl="1">
      <w:start w:val="3"/>
      <w:numFmt w:val="lowerLetter"/>
      <w:lvlText w:val="%2."/>
      <w:lvlJc w:val="left"/>
      <w:rPr>
        <w:b w:val="0"/>
        <w:i w:val="0"/>
      </w:rPr>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5B6DD958"/>
    <w:multiLevelType w:val="multilevel"/>
    <w:tmpl w:val="343A226E"/>
    <w:name w:val="Lista numerada 32"/>
    <w:lvl w:ilvl="0">
      <w:start w:val="1"/>
      <w:numFmt w:val="upperLetter"/>
      <w:lvlText w:val="%1."/>
      <w:lvlJc w:val="left"/>
      <w:rPr>
        <w:b/>
        <w:i/>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nsid w:val="5B6DD95C"/>
    <w:multiLevelType w:val="multilevel"/>
    <w:tmpl w:val="5B6DD95C"/>
    <w:name w:val="Lista numerada 36"/>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nsid w:val="5B6DD95E"/>
    <w:multiLevelType w:val="multilevel"/>
    <w:tmpl w:val="5B6DD95E"/>
    <w:name w:val="Lista numerada 38"/>
    <w:lvl w:ilvl="0">
      <w:start w:val="1"/>
      <w:numFmt w:val="decimal"/>
      <w:lvlText w:val="%1."/>
      <w:lvlJc w:val="left"/>
      <w:rPr>
        <w:rFonts w:ascii="Verdana" w:hAnsi="Verdana"/>
        <w:b w:val="0"/>
        <w:i w:val="0"/>
        <w:strike w:val="0"/>
        <w:color w:val="000000"/>
        <w:position w:val="0"/>
        <w:sz w:val="20"/>
        <w:vertAlign w:val="baseline"/>
      </w:rPr>
    </w:lvl>
    <w:lvl w:ilvl="1">
      <w:start w:val="1"/>
      <w:numFmt w:val="lowerLetter"/>
      <w:lvlText w:val="%2."/>
      <w:lvlJc w:val="left"/>
      <w:rPr>
        <w:rFonts w:ascii="Verdana" w:hAnsi="Verdana"/>
        <w:i/>
      </w:rPr>
    </w:lvl>
    <w:lvl w:ilvl="2">
      <w:start w:val="1"/>
      <w:numFmt w:val="lowerRoman"/>
      <w:lvlText w:val="%3."/>
      <w:lvlJc w:val="left"/>
      <w:rPr>
        <w:i/>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nsid w:val="5B6DD962"/>
    <w:multiLevelType w:val="multilevel"/>
    <w:tmpl w:val="5B6DD962"/>
    <w:name w:val="Lista numerada 42"/>
    <w:lvl w:ilvl="0">
      <w:start w:val="1"/>
      <w:numFmt w:val="lowerLetter"/>
      <w:lvlText w:val="%1)"/>
      <w:lvlJc w:val="left"/>
      <w:pPr>
        <w:tabs>
          <w:tab w:val="left" w:pos="360"/>
        </w:tabs>
      </w:pPr>
      <w:rPr>
        <w:b w:val="0"/>
        <w:i w:val="0"/>
        <w:sz w:val="20"/>
      </w:rPr>
    </w:lvl>
    <w:lvl w:ilvl="1">
      <w:start w:val="1"/>
      <w:numFmt w:val="lowerLetter"/>
      <w:lvlText w:val="%2."/>
      <w:lvlJc w:val="left"/>
      <w:pPr>
        <w:tabs>
          <w:tab w:val="left" w:pos="1080"/>
        </w:tabs>
      </w:pPr>
    </w:lvl>
    <w:lvl w:ilvl="2">
      <w:start w:val="1"/>
      <w:numFmt w:val="lowerRoman"/>
      <w:lvlText w:val="%3."/>
      <w:lvlJc w:val="left"/>
      <w:pPr>
        <w:tabs>
          <w:tab w:val="left" w:pos="1980"/>
        </w:tabs>
      </w:pPr>
    </w:lvl>
    <w:lvl w:ilvl="3">
      <w:start w:val="1"/>
      <w:numFmt w:val="decimal"/>
      <w:lvlText w:val="%4."/>
      <w:lvlJc w:val="left"/>
      <w:pPr>
        <w:tabs>
          <w:tab w:val="left" w:pos="2520"/>
        </w:tabs>
      </w:pPr>
    </w:lvl>
    <w:lvl w:ilvl="4">
      <w:start w:val="1"/>
      <w:numFmt w:val="lowerLetter"/>
      <w:lvlText w:val="%5."/>
      <w:lvlJc w:val="left"/>
      <w:pPr>
        <w:tabs>
          <w:tab w:val="left" w:pos="3240"/>
        </w:tabs>
      </w:pPr>
    </w:lvl>
    <w:lvl w:ilvl="5">
      <w:start w:val="1"/>
      <w:numFmt w:val="lowerRoman"/>
      <w:lvlText w:val="%6."/>
      <w:lvlJc w:val="left"/>
      <w:pPr>
        <w:tabs>
          <w:tab w:val="left" w:pos="4140"/>
        </w:tabs>
      </w:pPr>
    </w:lvl>
    <w:lvl w:ilvl="6">
      <w:start w:val="1"/>
      <w:numFmt w:val="decimal"/>
      <w:lvlText w:val="%7."/>
      <w:lvlJc w:val="left"/>
      <w:pPr>
        <w:tabs>
          <w:tab w:val="left" w:pos="4680"/>
        </w:tabs>
      </w:pPr>
    </w:lvl>
    <w:lvl w:ilvl="7">
      <w:start w:val="1"/>
      <w:numFmt w:val="lowerLetter"/>
      <w:lvlText w:val="%8."/>
      <w:lvlJc w:val="left"/>
      <w:pPr>
        <w:tabs>
          <w:tab w:val="left" w:pos="5400"/>
        </w:tabs>
      </w:pPr>
    </w:lvl>
    <w:lvl w:ilvl="8">
      <w:start w:val="1"/>
      <w:numFmt w:val="lowerRoman"/>
      <w:lvlText w:val="%9."/>
      <w:lvlJc w:val="left"/>
      <w:pPr>
        <w:tabs>
          <w:tab w:val="left" w:pos="6300"/>
        </w:tabs>
      </w:pPr>
    </w:lvl>
  </w:abstractNum>
  <w:num w:numId="1">
    <w:abstractNumId w:val="2"/>
  </w:num>
  <w:num w:numId="2">
    <w:abstractNumId w:val="9"/>
  </w:num>
  <w:num w:numId="3">
    <w:abstractNumId w:val="12"/>
  </w:num>
  <w:num w:numId="4">
    <w:abstractNumId w:val="13"/>
  </w:num>
  <w:num w:numId="5">
    <w:abstractNumId w:val="6"/>
  </w:num>
  <w:num w:numId="6">
    <w:abstractNumId w:val="8"/>
  </w:num>
  <w:num w:numId="7">
    <w:abstractNumId w:val="11"/>
  </w:num>
  <w:num w:numId="8">
    <w:abstractNumId w:val="4"/>
  </w:num>
  <w:num w:numId="9">
    <w:abstractNumId w:val="3"/>
  </w:num>
  <w:num w:numId="10">
    <w:abstractNumId w:val="5"/>
  </w:num>
  <w:num w:numId="11">
    <w:abstractNumId w:val="0"/>
  </w:num>
  <w:num w:numId="12">
    <w:abstractNumId w:val="1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D8"/>
    <w:rsid w:val="00005901"/>
    <w:rsid w:val="00013017"/>
    <w:rsid w:val="00013983"/>
    <w:rsid w:val="0002791C"/>
    <w:rsid w:val="0004311C"/>
    <w:rsid w:val="00047731"/>
    <w:rsid w:val="000624C7"/>
    <w:rsid w:val="00064130"/>
    <w:rsid w:val="00065154"/>
    <w:rsid w:val="0009387A"/>
    <w:rsid w:val="000C5676"/>
    <w:rsid w:val="000C769B"/>
    <w:rsid w:val="000D480B"/>
    <w:rsid w:val="000D5D3B"/>
    <w:rsid w:val="000E39FE"/>
    <w:rsid w:val="00111212"/>
    <w:rsid w:val="00115440"/>
    <w:rsid w:val="00126E97"/>
    <w:rsid w:val="00135334"/>
    <w:rsid w:val="00162E78"/>
    <w:rsid w:val="0016468E"/>
    <w:rsid w:val="00167906"/>
    <w:rsid w:val="001808D1"/>
    <w:rsid w:val="00187CF4"/>
    <w:rsid w:val="00191A9D"/>
    <w:rsid w:val="001A37C7"/>
    <w:rsid w:val="001D1D5B"/>
    <w:rsid w:val="001D1F47"/>
    <w:rsid w:val="001E3D1E"/>
    <w:rsid w:val="001F330C"/>
    <w:rsid w:val="001F48CC"/>
    <w:rsid w:val="0020708F"/>
    <w:rsid w:val="00214820"/>
    <w:rsid w:val="002212CF"/>
    <w:rsid w:val="00226EED"/>
    <w:rsid w:val="00251A8B"/>
    <w:rsid w:val="002701EA"/>
    <w:rsid w:val="002706B2"/>
    <w:rsid w:val="0028119E"/>
    <w:rsid w:val="00287A5A"/>
    <w:rsid w:val="002918DC"/>
    <w:rsid w:val="002C6766"/>
    <w:rsid w:val="002E4E3D"/>
    <w:rsid w:val="002E7364"/>
    <w:rsid w:val="003001C0"/>
    <w:rsid w:val="00330F55"/>
    <w:rsid w:val="00332F58"/>
    <w:rsid w:val="00340741"/>
    <w:rsid w:val="0034081F"/>
    <w:rsid w:val="003438EE"/>
    <w:rsid w:val="0035121E"/>
    <w:rsid w:val="003908EB"/>
    <w:rsid w:val="003B08E1"/>
    <w:rsid w:val="003D0120"/>
    <w:rsid w:val="003D514F"/>
    <w:rsid w:val="003F67FE"/>
    <w:rsid w:val="0040546C"/>
    <w:rsid w:val="004112F9"/>
    <w:rsid w:val="00416FFE"/>
    <w:rsid w:val="004323FA"/>
    <w:rsid w:val="00464CB5"/>
    <w:rsid w:val="0046676D"/>
    <w:rsid w:val="00467331"/>
    <w:rsid w:val="0047691C"/>
    <w:rsid w:val="004777AE"/>
    <w:rsid w:val="00486E1B"/>
    <w:rsid w:val="004A1957"/>
    <w:rsid w:val="004A2D8B"/>
    <w:rsid w:val="004B1CF2"/>
    <w:rsid w:val="004B3ED7"/>
    <w:rsid w:val="004D0B5C"/>
    <w:rsid w:val="004D15FC"/>
    <w:rsid w:val="00550BBF"/>
    <w:rsid w:val="00552A1D"/>
    <w:rsid w:val="00560BD9"/>
    <w:rsid w:val="005726F1"/>
    <w:rsid w:val="00572C81"/>
    <w:rsid w:val="0057574C"/>
    <w:rsid w:val="00592D10"/>
    <w:rsid w:val="00595BC3"/>
    <w:rsid w:val="00596814"/>
    <w:rsid w:val="005A2F71"/>
    <w:rsid w:val="005B4879"/>
    <w:rsid w:val="005C3199"/>
    <w:rsid w:val="005D3A78"/>
    <w:rsid w:val="005D3CA3"/>
    <w:rsid w:val="00611839"/>
    <w:rsid w:val="006166D8"/>
    <w:rsid w:val="006301B6"/>
    <w:rsid w:val="00641A62"/>
    <w:rsid w:val="0066780D"/>
    <w:rsid w:val="00671669"/>
    <w:rsid w:val="00671FE6"/>
    <w:rsid w:val="00682A5B"/>
    <w:rsid w:val="0069793F"/>
    <w:rsid w:val="006C5A57"/>
    <w:rsid w:val="006D521C"/>
    <w:rsid w:val="006D7311"/>
    <w:rsid w:val="006E0D54"/>
    <w:rsid w:val="006F4175"/>
    <w:rsid w:val="006F430C"/>
    <w:rsid w:val="00731642"/>
    <w:rsid w:val="007335F2"/>
    <w:rsid w:val="00745BF3"/>
    <w:rsid w:val="007521EB"/>
    <w:rsid w:val="007600F8"/>
    <w:rsid w:val="00767A0F"/>
    <w:rsid w:val="00767E04"/>
    <w:rsid w:val="00772536"/>
    <w:rsid w:val="00785921"/>
    <w:rsid w:val="00786B04"/>
    <w:rsid w:val="007877C0"/>
    <w:rsid w:val="00787F00"/>
    <w:rsid w:val="00793238"/>
    <w:rsid w:val="00795393"/>
    <w:rsid w:val="007A598B"/>
    <w:rsid w:val="007A6098"/>
    <w:rsid w:val="007B11F1"/>
    <w:rsid w:val="007E5A4B"/>
    <w:rsid w:val="007F3A90"/>
    <w:rsid w:val="007F44F4"/>
    <w:rsid w:val="008016AB"/>
    <w:rsid w:val="0081472F"/>
    <w:rsid w:val="00863619"/>
    <w:rsid w:val="00872671"/>
    <w:rsid w:val="00873FEC"/>
    <w:rsid w:val="0088070D"/>
    <w:rsid w:val="008877A6"/>
    <w:rsid w:val="00892B5E"/>
    <w:rsid w:val="008A5395"/>
    <w:rsid w:val="008A6061"/>
    <w:rsid w:val="008C5946"/>
    <w:rsid w:val="008D2827"/>
    <w:rsid w:val="008E0A4C"/>
    <w:rsid w:val="008F3E05"/>
    <w:rsid w:val="00900FA6"/>
    <w:rsid w:val="00913F5C"/>
    <w:rsid w:val="00926EAB"/>
    <w:rsid w:val="00967B36"/>
    <w:rsid w:val="00972480"/>
    <w:rsid w:val="00990E65"/>
    <w:rsid w:val="009975A3"/>
    <w:rsid w:val="009C0116"/>
    <w:rsid w:val="009C2C79"/>
    <w:rsid w:val="009D750E"/>
    <w:rsid w:val="009F258B"/>
    <w:rsid w:val="009F3810"/>
    <w:rsid w:val="00A21F4B"/>
    <w:rsid w:val="00A335FC"/>
    <w:rsid w:val="00A51B35"/>
    <w:rsid w:val="00A53212"/>
    <w:rsid w:val="00A64400"/>
    <w:rsid w:val="00A67DE6"/>
    <w:rsid w:val="00A86017"/>
    <w:rsid w:val="00A92BA7"/>
    <w:rsid w:val="00A97098"/>
    <w:rsid w:val="00AA6E1B"/>
    <w:rsid w:val="00AB4A38"/>
    <w:rsid w:val="00AB53EC"/>
    <w:rsid w:val="00AB6711"/>
    <w:rsid w:val="00AC1E7C"/>
    <w:rsid w:val="00AE69BC"/>
    <w:rsid w:val="00AF3CD6"/>
    <w:rsid w:val="00B05C20"/>
    <w:rsid w:val="00B32759"/>
    <w:rsid w:val="00B41DDD"/>
    <w:rsid w:val="00B42848"/>
    <w:rsid w:val="00B5386D"/>
    <w:rsid w:val="00B9342F"/>
    <w:rsid w:val="00B951B4"/>
    <w:rsid w:val="00BA110F"/>
    <w:rsid w:val="00BA5009"/>
    <w:rsid w:val="00BA70EB"/>
    <w:rsid w:val="00C10BBD"/>
    <w:rsid w:val="00C1547D"/>
    <w:rsid w:val="00C66AF3"/>
    <w:rsid w:val="00C82A19"/>
    <w:rsid w:val="00CC7B08"/>
    <w:rsid w:val="00CE19A4"/>
    <w:rsid w:val="00D05F7B"/>
    <w:rsid w:val="00D108B6"/>
    <w:rsid w:val="00D15E2D"/>
    <w:rsid w:val="00D2259F"/>
    <w:rsid w:val="00D33C2E"/>
    <w:rsid w:val="00D43974"/>
    <w:rsid w:val="00D545C0"/>
    <w:rsid w:val="00D60FF1"/>
    <w:rsid w:val="00D639E8"/>
    <w:rsid w:val="00DC2D75"/>
    <w:rsid w:val="00DC523E"/>
    <w:rsid w:val="00DC70EB"/>
    <w:rsid w:val="00DD085F"/>
    <w:rsid w:val="00DD4761"/>
    <w:rsid w:val="00E062DF"/>
    <w:rsid w:val="00E13C2A"/>
    <w:rsid w:val="00E221AF"/>
    <w:rsid w:val="00E24DF8"/>
    <w:rsid w:val="00E35130"/>
    <w:rsid w:val="00E372C2"/>
    <w:rsid w:val="00E379BE"/>
    <w:rsid w:val="00E41216"/>
    <w:rsid w:val="00E46AEE"/>
    <w:rsid w:val="00E64872"/>
    <w:rsid w:val="00E73080"/>
    <w:rsid w:val="00E845F9"/>
    <w:rsid w:val="00E8771A"/>
    <w:rsid w:val="00E90E1F"/>
    <w:rsid w:val="00EC43E4"/>
    <w:rsid w:val="00ED28B6"/>
    <w:rsid w:val="00EF5A93"/>
    <w:rsid w:val="00F40997"/>
    <w:rsid w:val="00F42B5A"/>
    <w:rsid w:val="00F5049E"/>
    <w:rsid w:val="00F64E8C"/>
    <w:rsid w:val="00F6566A"/>
    <w:rsid w:val="00F65B04"/>
    <w:rsid w:val="00F717D5"/>
    <w:rsid w:val="00F76F3F"/>
    <w:rsid w:val="00F90CFC"/>
    <w:rsid w:val="00FA01FE"/>
    <w:rsid w:val="00FA5CA1"/>
    <w:rsid w:val="00FB5ADE"/>
    <w:rsid w:val="00FE7D3F"/>
    <w:rsid w:val="00FF1C0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
    <w:next w:val="Normal"/>
    <w:link w:val="Heading1Char"/>
    <w:uiPriority w:val="9"/>
    <w:qFormat/>
    <w:rsid w:val="004B3E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3E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3E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7F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qFormat/>
    <w:rsid w:val="006166D8"/>
    <w:pPr>
      <w:spacing w:after="0" w:line="240" w:lineRule="auto"/>
      <w:jc w:val="both"/>
    </w:pPr>
    <w:rPr>
      <w:rFonts w:ascii="Verdana" w:eastAsia="Batang" w:hAnsi="Verdana" w:cs="Times"/>
      <w:sz w:val="20"/>
      <w:szCs w:val="20"/>
      <w:lang w:val="en-US" w:eastAsia="es-CR"/>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Car Char,FA Fu Car Char,FA Fu Car Car Char,Footnote Text Cha Char"/>
    <w:basedOn w:val="DefaultParagraphFont"/>
    <w:link w:val="FootnoteText"/>
    <w:qFormat/>
    <w:rsid w:val="006166D8"/>
    <w:rPr>
      <w:rFonts w:ascii="Verdana" w:eastAsia="Batang" w:hAnsi="Verdana" w:cs="Times"/>
      <w:sz w:val="20"/>
      <w:szCs w:val="20"/>
      <w:lang w:val="en-US" w:eastAsia="es-CR"/>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6166D8"/>
    <w:rPr>
      <w:rFonts w:cs="Times New Roman"/>
      <w:position w:val="0"/>
      <w:szCs w:val="20"/>
      <w:vertAlign w:val="superscript"/>
    </w:rPr>
  </w:style>
  <w:style w:type="character" w:styleId="Hyperlink">
    <w:name w:val="Hyperlink"/>
    <w:uiPriority w:val="99"/>
    <w:rsid w:val="006166D8"/>
    <w:rPr>
      <w:color w:val="0000FF"/>
      <w:u w:val="single"/>
    </w:rPr>
  </w:style>
  <w:style w:type="character" w:styleId="FollowedHyperlink">
    <w:name w:val="FollowedHyperlink"/>
    <w:basedOn w:val="DefaultParagraphFont"/>
    <w:uiPriority w:val="99"/>
    <w:semiHidden/>
    <w:unhideWhenUsed/>
    <w:rsid w:val="006166D8"/>
    <w:rPr>
      <w:color w:val="800080" w:themeColor="followedHyperlink"/>
      <w:u w:val="single"/>
    </w:rPr>
  </w:style>
  <w:style w:type="character" w:styleId="Strong">
    <w:name w:val="Strong"/>
    <w:uiPriority w:val="22"/>
    <w:qFormat/>
    <w:rsid w:val="00E221AF"/>
    <w:rPr>
      <w:b/>
      <w:bCs w:val="0"/>
    </w:rPr>
  </w:style>
  <w:style w:type="paragraph" w:styleId="Header">
    <w:name w:val="header"/>
    <w:basedOn w:val="Normal"/>
    <w:link w:val="HeaderChar"/>
    <w:uiPriority w:val="99"/>
    <w:unhideWhenUsed/>
    <w:rsid w:val="00E221AF"/>
    <w:pPr>
      <w:tabs>
        <w:tab w:val="center" w:pos="4419"/>
        <w:tab w:val="right" w:pos="8838"/>
      </w:tabs>
      <w:spacing w:after="0" w:line="240" w:lineRule="auto"/>
    </w:pPr>
  </w:style>
  <w:style w:type="character" w:customStyle="1" w:styleId="HeaderChar">
    <w:name w:val="Header Char"/>
    <w:basedOn w:val="DefaultParagraphFont"/>
    <w:link w:val="Header"/>
    <w:uiPriority w:val="99"/>
    <w:rsid w:val="00E221AF"/>
    <w:rPr>
      <w:lang w:val="es-ES_tradnl"/>
    </w:rPr>
  </w:style>
  <w:style w:type="paragraph" w:styleId="Footer">
    <w:name w:val="footer"/>
    <w:basedOn w:val="Normal"/>
    <w:link w:val="FooterChar"/>
    <w:uiPriority w:val="99"/>
    <w:unhideWhenUsed/>
    <w:rsid w:val="00E221AF"/>
    <w:pPr>
      <w:tabs>
        <w:tab w:val="center" w:pos="4419"/>
        <w:tab w:val="right" w:pos="8838"/>
      </w:tabs>
      <w:spacing w:after="0" w:line="240" w:lineRule="auto"/>
    </w:pPr>
  </w:style>
  <w:style w:type="character" w:customStyle="1" w:styleId="FooterChar">
    <w:name w:val="Footer Char"/>
    <w:basedOn w:val="DefaultParagraphFont"/>
    <w:link w:val="Footer"/>
    <w:uiPriority w:val="99"/>
    <w:rsid w:val="00E221AF"/>
    <w:rPr>
      <w:lang w:val="es-ES_tradnl"/>
    </w:rPr>
  </w:style>
  <w:style w:type="paragraph" w:styleId="ListParagraph">
    <w:name w:val="List Paragraph"/>
    <w:aliases w:val="Párrafo de lista1,List Paragraph1,Colorful List - Accent 11,List Paragraph2,Footnote,Lista vistosa - Énfasis 11"/>
    <w:basedOn w:val="Normal"/>
    <w:qFormat/>
    <w:rsid w:val="00467331"/>
    <w:pPr>
      <w:ind w:left="720"/>
      <w:contextualSpacing/>
    </w:pPr>
  </w:style>
  <w:style w:type="paragraph" w:customStyle="1" w:styleId="Default">
    <w:name w:val="Default"/>
    <w:rsid w:val="00467331"/>
    <w:pPr>
      <w:spacing w:after="0" w:line="240" w:lineRule="auto"/>
    </w:pPr>
    <w:rPr>
      <w:rFonts w:ascii="Verdana" w:eastAsia="Calibri" w:hAnsi="Verdana" w:cs="Verdana"/>
      <w:color w:val="000000"/>
      <w:sz w:val="24"/>
      <w:szCs w:val="24"/>
      <w:lang w:eastAsia="es-CR"/>
    </w:rPr>
  </w:style>
  <w:style w:type="paragraph" w:styleId="TOC1">
    <w:name w:val="toc 1"/>
    <w:basedOn w:val="Normal"/>
    <w:next w:val="Normal"/>
    <w:autoRedefine/>
    <w:uiPriority w:val="39"/>
    <w:unhideWhenUsed/>
    <w:rsid w:val="00595BC3"/>
    <w:pPr>
      <w:spacing w:before="120" w:after="120"/>
    </w:pPr>
    <w:rPr>
      <w:b/>
      <w:bCs/>
      <w:caps/>
      <w:sz w:val="20"/>
      <w:szCs w:val="20"/>
    </w:rPr>
  </w:style>
  <w:style w:type="paragraph" w:styleId="TOC2">
    <w:name w:val="toc 2"/>
    <w:basedOn w:val="Normal"/>
    <w:next w:val="Normal"/>
    <w:autoRedefine/>
    <w:uiPriority w:val="39"/>
    <w:unhideWhenUsed/>
    <w:rsid w:val="00595BC3"/>
    <w:pPr>
      <w:spacing w:after="0"/>
      <w:ind w:left="220"/>
    </w:pPr>
    <w:rPr>
      <w:smallCaps/>
      <w:sz w:val="20"/>
      <w:szCs w:val="20"/>
    </w:rPr>
  </w:style>
  <w:style w:type="paragraph" w:styleId="TOC3">
    <w:name w:val="toc 3"/>
    <w:basedOn w:val="Normal"/>
    <w:next w:val="Normal"/>
    <w:autoRedefine/>
    <w:uiPriority w:val="39"/>
    <w:unhideWhenUsed/>
    <w:rsid w:val="00595BC3"/>
    <w:pPr>
      <w:spacing w:after="0"/>
      <w:ind w:left="440"/>
    </w:pPr>
    <w:rPr>
      <w:i/>
      <w:iCs/>
      <w:sz w:val="20"/>
      <w:szCs w:val="20"/>
    </w:rPr>
  </w:style>
  <w:style w:type="paragraph" w:styleId="TOC4">
    <w:name w:val="toc 4"/>
    <w:basedOn w:val="Normal"/>
    <w:next w:val="Normal"/>
    <w:autoRedefine/>
    <w:uiPriority w:val="39"/>
    <w:unhideWhenUsed/>
    <w:rsid w:val="00595BC3"/>
    <w:pPr>
      <w:spacing w:after="0"/>
      <w:ind w:left="660"/>
    </w:pPr>
    <w:rPr>
      <w:sz w:val="18"/>
      <w:szCs w:val="18"/>
    </w:rPr>
  </w:style>
  <w:style w:type="paragraph" w:styleId="TOC5">
    <w:name w:val="toc 5"/>
    <w:basedOn w:val="Normal"/>
    <w:next w:val="Normal"/>
    <w:autoRedefine/>
    <w:uiPriority w:val="39"/>
    <w:unhideWhenUsed/>
    <w:rsid w:val="00595BC3"/>
    <w:pPr>
      <w:spacing w:after="0"/>
      <w:ind w:left="880"/>
    </w:pPr>
    <w:rPr>
      <w:sz w:val="18"/>
      <w:szCs w:val="18"/>
    </w:rPr>
  </w:style>
  <w:style w:type="paragraph" w:styleId="TOC6">
    <w:name w:val="toc 6"/>
    <w:basedOn w:val="Normal"/>
    <w:next w:val="Normal"/>
    <w:autoRedefine/>
    <w:uiPriority w:val="39"/>
    <w:unhideWhenUsed/>
    <w:rsid w:val="00595BC3"/>
    <w:pPr>
      <w:spacing w:after="0"/>
      <w:ind w:left="1100"/>
    </w:pPr>
    <w:rPr>
      <w:sz w:val="18"/>
      <w:szCs w:val="18"/>
    </w:rPr>
  </w:style>
  <w:style w:type="paragraph" w:styleId="TOC7">
    <w:name w:val="toc 7"/>
    <w:basedOn w:val="Normal"/>
    <w:next w:val="Normal"/>
    <w:autoRedefine/>
    <w:uiPriority w:val="39"/>
    <w:unhideWhenUsed/>
    <w:rsid w:val="00595BC3"/>
    <w:pPr>
      <w:spacing w:after="0"/>
      <w:ind w:left="1320"/>
    </w:pPr>
    <w:rPr>
      <w:sz w:val="18"/>
      <w:szCs w:val="18"/>
    </w:rPr>
  </w:style>
  <w:style w:type="paragraph" w:styleId="TOC8">
    <w:name w:val="toc 8"/>
    <w:basedOn w:val="Normal"/>
    <w:next w:val="Normal"/>
    <w:autoRedefine/>
    <w:uiPriority w:val="39"/>
    <w:unhideWhenUsed/>
    <w:rsid w:val="00595BC3"/>
    <w:pPr>
      <w:spacing w:after="0"/>
      <w:ind w:left="1540"/>
    </w:pPr>
    <w:rPr>
      <w:sz w:val="18"/>
      <w:szCs w:val="18"/>
    </w:rPr>
  </w:style>
  <w:style w:type="paragraph" w:styleId="TOC9">
    <w:name w:val="toc 9"/>
    <w:basedOn w:val="Normal"/>
    <w:next w:val="Normal"/>
    <w:autoRedefine/>
    <w:uiPriority w:val="39"/>
    <w:unhideWhenUsed/>
    <w:rsid w:val="00595BC3"/>
    <w:pPr>
      <w:spacing w:after="0"/>
      <w:ind w:left="1760"/>
    </w:pPr>
    <w:rPr>
      <w:sz w:val="18"/>
      <w:szCs w:val="18"/>
    </w:rPr>
  </w:style>
  <w:style w:type="character" w:customStyle="1" w:styleId="Heading1Char">
    <w:name w:val="Heading 1 Char"/>
    <w:basedOn w:val="DefaultParagraphFont"/>
    <w:link w:val="Heading1"/>
    <w:uiPriority w:val="9"/>
    <w:rsid w:val="004B3ED7"/>
    <w:rPr>
      <w:rFonts w:asciiTheme="majorHAnsi" w:eastAsiaTheme="majorEastAsia" w:hAnsiTheme="majorHAnsi" w:cstheme="majorBidi"/>
      <w:b/>
      <w:bCs/>
      <w:color w:val="365F91" w:themeColor="accent1" w:themeShade="BF"/>
      <w:sz w:val="28"/>
      <w:szCs w:val="28"/>
      <w:lang w:val="es-ES_tradnl"/>
    </w:rPr>
  </w:style>
  <w:style w:type="character" w:customStyle="1" w:styleId="Heading2Char">
    <w:name w:val="Heading 2 Char"/>
    <w:basedOn w:val="DefaultParagraphFont"/>
    <w:link w:val="Heading2"/>
    <w:uiPriority w:val="9"/>
    <w:semiHidden/>
    <w:rsid w:val="004B3ED7"/>
    <w:rPr>
      <w:rFonts w:asciiTheme="majorHAnsi" w:eastAsiaTheme="majorEastAsia" w:hAnsiTheme="majorHAnsi" w:cstheme="majorBidi"/>
      <w:b/>
      <w:bCs/>
      <w:color w:val="4F81BD" w:themeColor="accent1"/>
      <w:sz w:val="26"/>
      <w:szCs w:val="26"/>
      <w:lang w:val="es-ES_tradnl"/>
    </w:rPr>
  </w:style>
  <w:style w:type="character" w:customStyle="1" w:styleId="Heading3Char">
    <w:name w:val="Heading 3 Char"/>
    <w:basedOn w:val="DefaultParagraphFont"/>
    <w:link w:val="Heading3"/>
    <w:uiPriority w:val="9"/>
    <w:semiHidden/>
    <w:rsid w:val="004B3ED7"/>
    <w:rPr>
      <w:rFonts w:asciiTheme="majorHAnsi" w:eastAsiaTheme="majorEastAsia" w:hAnsiTheme="majorHAnsi" w:cstheme="majorBidi"/>
      <w:b/>
      <w:bCs/>
      <w:color w:val="4F81BD" w:themeColor="accent1"/>
      <w:lang w:val="es-ES_tradnl"/>
    </w:rPr>
  </w:style>
  <w:style w:type="character" w:customStyle="1" w:styleId="Heading4Char">
    <w:name w:val="Heading 4 Char"/>
    <w:basedOn w:val="DefaultParagraphFont"/>
    <w:link w:val="Heading4"/>
    <w:uiPriority w:val="9"/>
    <w:semiHidden/>
    <w:rsid w:val="00787F00"/>
    <w:rPr>
      <w:rFonts w:asciiTheme="majorHAnsi" w:eastAsiaTheme="majorEastAsia" w:hAnsiTheme="majorHAnsi" w:cstheme="majorBidi"/>
      <w:b/>
      <w:bCs/>
      <w:i/>
      <w:iCs/>
      <w:color w:val="4F81BD" w:themeColor="accent1"/>
      <w:lang w:val="es-ES_tradnl"/>
    </w:rPr>
  </w:style>
  <w:style w:type="paragraph" w:styleId="BalloonText">
    <w:name w:val="Balloon Text"/>
    <w:basedOn w:val="Normal"/>
    <w:link w:val="BalloonTextChar"/>
    <w:uiPriority w:val="99"/>
    <w:semiHidden/>
    <w:unhideWhenUsed/>
    <w:rsid w:val="009F3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10"/>
    <w:rPr>
      <w:rFonts w:ascii="Tahoma" w:hAnsi="Tahoma" w:cs="Tahoma"/>
      <w:sz w:val="16"/>
      <w:szCs w:val="16"/>
      <w:lang w:val="es-ES_tradnl"/>
    </w:rPr>
  </w:style>
  <w:style w:type="paragraph" w:styleId="Revision">
    <w:name w:val="Revision"/>
    <w:hidden/>
    <w:uiPriority w:val="99"/>
    <w:semiHidden/>
    <w:rsid w:val="00416FFE"/>
    <w:pPr>
      <w:spacing w:after="0" w:line="240" w:lineRule="auto"/>
    </w:pPr>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
    <w:next w:val="Normal"/>
    <w:link w:val="Heading1Char"/>
    <w:uiPriority w:val="9"/>
    <w:qFormat/>
    <w:rsid w:val="004B3E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3E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3E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7F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qFormat/>
    <w:rsid w:val="006166D8"/>
    <w:pPr>
      <w:spacing w:after="0" w:line="240" w:lineRule="auto"/>
      <w:jc w:val="both"/>
    </w:pPr>
    <w:rPr>
      <w:rFonts w:ascii="Verdana" w:eastAsia="Batang" w:hAnsi="Verdana" w:cs="Times"/>
      <w:sz w:val="20"/>
      <w:szCs w:val="20"/>
      <w:lang w:val="en-US" w:eastAsia="es-CR"/>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Car Char,FA Fu Car Char,FA Fu Car Car Char,Footnote Text Cha Char"/>
    <w:basedOn w:val="DefaultParagraphFont"/>
    <w:link w:val="FootnoteText"/>
    <w:qFormat/>
    <w:rsid w:val="006166D8"/>
    <w:rPr>
      <w:rFonts w:ascii="Verdana" w:eastAsia="Batang" w:hAnsi="Verdana" w:cs="Times"/>
      <w:sz w:val="20"/>
      <w:szCs w:val="20"/>
      <w:lang w:val="en-US" w:eastAsia="es-CR"/>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6166D8"/>
    <w:rPr>
      <w:rFonts w:cs="Times New Roman"/>
      <w:position w:val="0"/>
      <w:szCs w:val="20"/>
      <w:vertAlign w:val="superscript"/>
    </w:rPr>
  </w:style>
  <w:style w:type="character" w:styleId="Hyperlink">
    <w:name w:val="Hyperlink"/>
    <w:uiPriority w:val="99"/>
    <w:rsid w:val="006166D8"/>
    <w:rPr>
      <w:color w:val="0000FF"/>
      <w:u w:val="single"/>
    </w:rPr>
  </w:style>
  <w:style w:type="character" w:styleId="FollowedHyperlink">
    <w:name w:val="FollowedHyperlink"/>
    <w:basedOn w:val="DefaultParagraphFont"/>
    <w:uiPriority w:val="99"/>
    <w:semiHidden/>
    <w:unhideWhenUsed/>
    <w:rsid w:val="006166D8"/>
    <w:rPr>
      <w:color w:val="800080" w:themeColor="followedHyperlink"/>
      <w:u w:val="single"/>
    </w:rPr>
  </w:style>
  <w:style w:type="character" w:styleId="Strong">
    <w:name w:val="Strong"/>
    <w:uiPriority w:val="22"/>
    <w:qFormat/>
    <w:rsid w:val="00E221AF"/>
    <w:rPr>
      <w:b/>
      <w:bCs w:val="0"/>
    </w:rPr>
  </w:style>
  <w:style w:type="paragraph" w:styleId="Header">
    <w:name w:val="header"/>
    <w:basedOn w:val="Normal"/>
    <w:link w:val="HeaderChar"/>
    <w:uiPriority w:val="99"/>
    <w:unhideWhenUsed/>
    <w:rsid w:val="00E221AF"/>
    <w:pPr>
      <w:tabs>
        <w:tab w:val="center" w:pos="4419"/>
        <w:tab w:val="right" w:pos="8838"/>
      </w:tabs>
      <w:spacing w:after="0" w:line="240" w:lineRule="auto"/>
    </w:pPr>
  </w:style>
  <w:style w:type="character" w:customStyle="1" w:styleId="HeaderChar">
    <w:name w:val="Header Char"/>
    <w:basedOn w:val="DefaultParagraphFont"/>
    <w:link w:val="Header"/>
    <w:uiPriority w:val="99"/>
    <w:rsid w:val="00E221AF"/>
    <w:rPr>
      <w:lang w:val="es-ES_tradnl"/>
    </w:rPr>
  </w:style>
  <w:style w:type="paragraph" w:styleId="Footer">
    <w:name w:val="footer"/>
    <w:basedOn w:val="Normal"/>
    <w:link w:val="FooterChar"/>
    <w:uiPriority w:val="99"/>
    <w:unhideWhenUsed/>
    <w:rsid w:val="00E221AF"/>
    <w:pPr>
      <w:tabs>
        <w:tab w:val="center" w:pos="4419"/>
        <w:tab w:val="right" w:pos="8838"/>
      </w:tabs>
      <w:spacing w:after="0" w:line="240" w:lineRule="auto"/>
    </w:pPr>
  </w:style>
  <w:style w:type="character" w:customStyle="1" w:styleId="FooterChar">
    <w:name w:val="Footer Char"/>
    <w:basedOn w:val="DefaultParagraphFont"/>
    <w:link w:val="Footer"/>
    <w:uiPriority w:val="99"/>
    <w:rsid w:val="00E221AF"/>
    <w:rPr>
      <w:lang w:val="es-ES_tradnl"/>
    </w:rPr>
  </w:style>
  <w:style w:type="paragraph" w:styleId="ListParagraph">
    <w:name w:val="List Paragraph"/>
    <w:aliases w:val="Párrafo de lista1,List Paragraph1,Colorful List - Accent 11,List Paragraph2,Footnote,Lista vistosa - Énfasis 11"/>
    <w:basedOn w:val="Normal"/>
    <w:qFormat/>
    <w:rsid w:val="00467331"/>
    <w:pPr>
      <w:ind w:left="720"/>
      <w:contextualSpacing/>
    </w:pPr>
  </w:style>
  <w:style w:type="paragraph" w:customStyle="1" w:styleId="Default">
    <w:name w:val="Default"/>
    <w:rsid w:val="00467331"/>
    <w:pPr>
      <w:spacing w:after="0" w:line="240" w:lineRule="auto"/>
    </w:pPr>
    <w:rPr>
      <w:rFonts w:ascii="Verdana" w:eastAsia="Calibri" w:hAnsi="Verdana" w:cs="Verdana"/>
      <w:color w:val="000000"/>
      <w:sz w:val="24"/>
      <w:szCs w:val="24"/>
      <w:lang w:eastAsia="es-CR"/>
    </w:rPr>
  </w:style>
  <w:style w:type="paragraph" w:styleId="TOC1">
    <w:name w:val="toc 1"/>
    <w:basedOn w:val="Normal"/>
    <w:next w:val="Normal"/>
    <w:autoRedefine/>
    <w:uiPriority w:val="39"/>
    <w:unhideWhenUsed/>
    <w:rsid w:val="00595BC3"/>
    <w:pPr>
      <w:spacing w:before="120" w:after="120"/>
    </w:pPr>
    <w:rPr>
      <w:b/>
      <w:bCs/>
      <w:caps/>
      <w:sz w:val="20"/>
      <w:szCs w:val="20"/>
    </w:rPr>
  </w:style>
  <w:style w:type="paragraph" w:styleId="TOC2">
    <w:name w:val="toc 2"/>
    <w:basedOn w:val="Normal"/>
    <w:next w:val="Normal"/>
    <w:autoRedefine/>
    <w:uiPriority w:val="39"/>
    <w:unhideWhenUsed/>
    <w:rsid w:val="00595BC3"/>
    <w:pPr>
      <w:spacing w:after="0"/>
      <w:ind w:left="220"/>
    </w:pPr>
    <w:rPr>
      <w:smallCaps/>
      <w:sz w:val="20"/>
      <w:szCs w:val="20"/>
    </w:rPr>
  </w:style>
  <w:style w:type="paragraph" w:styleId="TOC3">
    <w:name w:val="toc 3"/>
    <w:basedOn w:val="Normal"/>
    <w:next w:val="Normal"/>
    <w:autoRedefine/>
    <w:uiPriority w:val="39"/>
    <w:unhideWhenUsed/>
    <w:rsid w:val="00595BC3"/>
    <w:pPr>
      <w:spacing w:after="0"/>
      <w:ind w:left="440"/>
    </w:pPr>
    <w:rPr>
      <w:i/>
      <w:iCs/>
      <w:sz w:val="20"/>
      <w:szCs w:val="20"/>
    </w:rPr>
  </w:style>
  <w:style w:type="paragraph" w:styleId="TOC4">
    <w:name w:val="toc 4"/>
    <w:basedOn w:val="Normal"/>
    <w:next w:val="Normal"/>
    <w:autoRedefine/>
    <w:uiPriority w:val="39"/>
    <w:unhideWhenUsed/>
    <w:rsid w:val="00595BC3"/>
    <w:pPr>
      <w:spacing w:after="0"/>
      <w:ind w:left="660"/>
    </w:pPr>
    <w:rPr>
      <w:sz w:val="18"/>
      <w:szCs w:val="18"/>
    </w:rPr>
  </w:style>
  <w:style w:type="paragraph" w:styleId="TOC5">
    <w:name w:val="toc 5"/>
    <w:basedOn w:val="Normal"/>
    <w:next w:val="Normal"/>
    <w:autoRedefine/>
    <w:uiPriority w:val="39"/>
    <w:unhideWhenUsed/>
    <w:rsid w:val="00595BC3"/>
    <w:pPr>
      <w:spacing w:after="0"/>
      <w:ind w:left="880"/>
    </w:pPr>
    <w:rPr>
      <w:sz w:val="18"/>
      <w:szCs w:val="18"/>
    </w:rPr>
  </w:style>
  <w:style w:type="paragraph" w:styleId="TOC6">
    <w:name w:val="toc 6"/>
    <w:basedOn w:val="Normal"/>
    <w:next w:val="Normal"/>
    <w:autoRedefine/>
    <w:uiPriority w:val="39"/>
    <w:unhideWhenUsed/>
    <w:rsid w:val="00595BC3"/>
    <w:pPr>
      <w:spacing w:after="0"/>
      <w:ind w:left="1100"/>
    </w:pPr>
    <w:rPr>
      <w:sz w:val="18"/>
      <w:szCs w:val="18"/>
    </w:rPr>
  </w:style>
  <w:style w:type="paragraph" w:styleId="TOC7">
    <w:name w:val="toc 7"/>
    <w:basedOn w:val="Normal"/>
    <w:next w:val="Normal"/>
    <w:autoRedefine/>
    <w:uiPriority w:val="39"/>
    <w:unhideWhenUsed/>
    <w:rsid w:val="00595BC3"/>
    <w:pPr>
      <w:spacing w:after="0"/>
      <w:ind w:left="1320"/>
    </w:pPr>
    <w:rPr>
      <w:sz w:val="18"/>
      <w:szCs w:val="18"/>
    </w:rPr>
  </w:style>
  <w:style w:type="paragraph" w:styleId="TOC8">
    <w:name w:val="toc 8"/>
    <w:basedOn w:val="Normal"/>
    <w:next w:val="Normal"/>
    <w:autoRedefine/>
    <w:uiPriority w:val="39"/>
    <w:unhideWhenUsed/>
    <w:rsid w:val="00595BC3"/>
    <w:pPr>
      <w:spacing w:after="0"/>
      <w:ind w:left="1540"/>
    </w:pPr>
    <w:rPr>
      <w:sz w:val="18"/>
      <w:szCs w:val="18"/>
    </w:rPr>
  </w:style>
  <w:style w:type="paragraph" w:styleId="TOC9">
    <w:name w:val="toc 9"/>
    <w:basedOn w:val="Normal"/>
    <w:next w:val="Normal"/>
    <w:autoRedefine/>
    <w:uiPriority w:val="39"/>
    <w:unhideWhenUsed/>
    <w:rsid w:val="00595BC3"/>
    <w:pPr>
      <w:spacing w:after="0"/>
      <w:ind w:left="1760"/>
    </w:pPr>
    <w:rPr>
      <w:sz w:val="18"/>
      <w:szCs w:val="18"/>
    </w:rPr>
  </w:style>
  <w:style w:type="character" w:customStyle="1" w:styleId="Heading1Char">
    <w:name w:val="Heading 1 Char"/>
    <w:basedOn w:val="DefaultParagraphFont"/>
    <w:link w:val="Heading1"/>
    <w:uiPriority w:val="9"/>
    <w:rsid w:val="004B3ED7"/>
    <w:rPr>
      <w:rFonts w:asciiTheme="majorHAnsi" w:eastAsiaTheme="majorEastAsia" w:hAnsiTheme="majorHAnsi" w:cstheme="majorBidi"/>
      <w:b/>
      <w:bCs/>
      <w:color w:val="365F91" w:themeColor="accent1" w:themeShade="BF"/>
      <w:sz w:val="28"/>
      <w:szCs w:val="28"/>
      <w:lang w:val="es-ES_tradnl"/>
    </w:rPr>
  </w:style>
  <w:style w:type="character" w:customStyle="1" w:styleId="Heading2Char">
    <w:name w:val="Heading 2 Char"/>
    <w:basedOn w:val="DefaultParagraphFont"/>
    <w:link w:val="Heading2"/>
    <w:uiPriority w:val="9"/>
    <w:semiHidden/>
    <w:rsid w:val="004B3ED7"/>
    <w:rPr>
      <w:rFonts w:asciiTheme="majorHAnsi" w:eastAsiaTheme="majorEastAsia" w:hAnsiTheme="majorHAnsi" w:cstheme="majorBidi"/>
      <w:b/>
      <w:bCs/>
      <w:color w:val="4F81BD" w:themeColor="accent1"/>
      <w:sz w:val="26"/>
      <w:szCs w:val="26"/>
      <w:lang w:val="es-ES_tradnl"/>
    </w:rPr>
  </w:style>
  <w:style w:type="character" w:customStyle="1" w:styleId="Heading3Char">
    <w:name w:val="Heading 3 Char"/>
    <w:basedOn w:val="DefaultParagraphFont"/>
    <w:link w:val="Heading3"/>
    <w:uiPriority w:val="9"/>
    <w:semiHidden/>
    <w:rsid w:val="004B3ED7"/>
    <w:rPr>
      <w:rFonts w:asciiTheme="majorHAnsi" w:eastAsiaTheme="majorEastAsia" w:hAnsiTheme="majorHAnsi" w:cstheme="majorBidi"/>
      <w:b/>
      <w:bCs/>
      <w:color w:val="4F81BD" w:themeColor="accent1"/>
      <w:lang w:val="es-ES_tradnl"/>
    </w:rPr>
  </w:style>
  <w:style w:type="character" w:customStyle="1" w:styleId="Heading4Char">
    <w:name w:val="Heading 4 Char"/>
    <w:basedOn w:val="DefaultParagraphFont"/>
    <w:link w:val="Heading4"/>
    <w:uiPriority w:val="9"/>
    <w:semiHidden/>
    <w:rsid w:val="00787F00"/>
    <w:rPr>
      <w:rFonts w:asciiTheme="majorHAnsi" w:eastAsiaTheme="majorEastAsia" w:hAnsiTheme="majorHAnsi" w:cstheme="majorBidi"/>
      <w:b/>
      <w:bCs/>
      <w:i/>
      <w:iCs/>
      <w:color w:val="4F81BD" w:themeColor="accent1"/>
      <w:lang w:val="es-ES_tradnl"/>
    </w:rPr>
  </w:style>
  <w:style w:type="paragraph" w:styleId="BalloonText">
    <w:name w:val="Balloon Text"/>
    <w:basedOn w:val="Normal"/>
    <w:link w:val="BalloonTextChar"/>
    <w:uiPriority w:val="99"/>
    <w:semiHidden/>
    <w:unhideWhenUsed/>
    <w:rsid w:val="009F3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10"/>
    <w:rPr>
      <w:rFonts w:ascii="Tahoma" w:hAnsi="Tahoma" w:cs="Tahoma"/>
      <w:sz w:val="16"/>
      <w:szCs w:val="16"/>
      <w:lang w:val="es-ES_tradnl"/>
    </w:rPr>
  </w:style>
  <w:style w:type="paragraph" w:styleId="Revision">
    <w:name w:val="Revision"/>
    <w:hidden/>
    <w:uiPriority w:val="99"/>
    <w:semiHidden/>
    <w:rsid w:val="00416FFE"/>
    <w:pPr>
      <w:spacing w:after="0" w:line="240" w:lineRule="auto"/>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icad.oas.org/fortalecimiento_institucional/legislations/PDF/GT/decreto_congresional_51-92_codigo_procesal_penal.pdf" TargetMode="External"/><Relationship Id="rId2" Type="http://schemas.openxmlformats.org/officeDocument/2006/relationships/hyperlink" Target="http://www.centrodememoriahistorica.gov.co/descargas/guatemala-memoria-silencio/guatemala-memoria-del-silencio.pdf" TargetMode="External"/><Relationship Id="rId1" Type="http://schemas.openxmlformats.org/officeDocument/2006/relationships/hyperlink" Target="http://www.corteidh.or.cr/docs/asuntos/cocmax_13_12_17.pdf" TargetMode="External"/><Relationship Id="rId4" Type="http://schemas.openxmlformats.org/officeDocument/2006/relationships/hyperlink" Target="http://www.banguat.gob.gt/cam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5355-C159-42A7-92CA-07967808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63</Pages>
  <Words>22177</Words>
  <Characters>126410</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3</cp:revision>
  <cp:lastPrinted>2018-09-28T21:04:00Z</cp:lastPrinted>
  <dcterms:created xsi:type="dcterms:W3CDTF">2018-09-28T21:04:00Z</dcterms:created>
  <dcterms:modified xsi:type="dcterms:W3CDTF">2018-09-28T21:07:00Z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-546813120</vt:i4>
  </property>
</Properties>
</file>