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C5" w:rsidRDefault="005120C5" w:rsidP="007D6E53">
      <w:pPr>
        <w:jc w:val="center"/>
        <w:rPr>
          <w:rFonts w:eastAsia="Times New Roman" w:cs="Verdana"/>
          <w:b/>
          <w:bCs/>
          <w:caps/>
          <w:snapToGrid w:val="0"/>
          <w:lang w:val="es-CR" w:eastAsia="es-ES"/>
        </w:rPr>
      </w:pPr>
    </w:p>
    <w:p w:rsidR="005120C5" w:rsidRDefault="005120C5" w:rsidP="007D6E53">
      <w:pPr>
        <w:jc w:val="center"/>
        <w:rPr>
          <w:rFonts w:eastAsia="Times New Roman" w:cs="Verdana"/>
          <w:b/>
          <w:bCs/>
          <w:caps/>
          <w:snapToGrid w:val="0"/>
          <w:lang w:val="es-CR" w:eastAsia="es-ES"/>
        </w:rPr>
      </w:pPr>
    </w:p>
    <w:p w:rsidR="005120C5" w:rsidRDefault="005120C5" w:rsidP="007D6E53">
      <w:pPr>
        <w:jc w:val="center"/>
        <w:rPr>
          <w:rFonts w:eastAsia="Times New Roman" w:cs="Verdana"/>
          <w:b/>
          <w:bCs/>
          <w:caps/>
          <w:snapToGrid w:val="0"/>
          <w:lang w:val="es-CR" w:eastAsia="es-ES"/>
        </w:rPr>
      </w:pPr>
    </w:p>
    <w:p w:rsidR="005120C5" w:rsidRDefault="005120C5" w:rsidP="007D6E53">
      <w:pPr>
        <w:jc w:val="center"/>
        <w:rPr>
          <w:rFonts w:eastAsia="Times New Roman" w:cs="Verdana"/>
          <w:b/>
          <w:bCs/>
          <w:caps/>
          <w:snapToGrid w:val="0"/>
          <w:lang w:val="es-CR" w:eastAsia="es-ES"/>
        </w:rPr>
      </w:pPr>
    </w:p>
    <w:p w:rsidR="005120C5" w:rsidRDefault="005120C5" w:rsidP="007D6E53">
      <w:pPr>
        <w:jc w:val="center"/>
        <w:rPr>
          <w:rFonts w:eastAsia="Times New Roman" w:cs="Verdana"/>
          <w:b/>
          <w:bCs/>
          <w:caps/>
          <w:snapToGrid w:val="0"/>
          <w:lang w:val="es-CR" w:eastAsia="es-ES"/>
        </w:rPr>
      </w:pPr>
    </w:p>
    <w:p w:rsidR="005120C5" w:rsidRDefault="005120C5" w:rsidP="007D6E53">
      <w:pPr>
        <w:jc w:val="center"/>
        <w:rPr>
          <w:rFonts w:eastAsia="Times New Roman" w:cs="Verdana"/>
          <w:b/>
          <w:bCs/>
          <w:caps/>
          <w:snapToGrid w:val="0"/>
          <w:lang w:val="es-CR" w:eastAsia="es-ES"/>
        </w:rPr>
      </w:pPr>
    </w:p>
    <w:p w:rsidR="005120C5" w:rsidRDefault="005120C5" w:rsidP="007D6E53">
      <w:pPr>
        <w:jc w:val="center"/>
        <w:rPr>
          <w:rFonts w:eastAsia="Times New Roman" w:cs="Verdana"/>
          <w:b/>
          <w:bCs/>
          <w:caps/>
          <w:snapToGrid w:val="0"/>
          <w:lang w:val="es-CR" w:eastAsia="es-ES"/>
        </w:rPr>
      </w:pPr>
    </w:p>
    <w:p w:rsidR="007D6E53" w:rsidRPr="006B5A5A" w:rsidRDefault="007D6E53" w:rsidP="007D6E53">
      <w:pPr>
        <w:jc w:val="center"/>
        <w:rPr>
          <w:rFonts w:eastAsia="Times New Roman" w:cs="Verdana"/>
          <w:b/>
          <w:bCs/>
          <w:caps/>
          <w:snapToGrid w:val="0"/>
          <w:lang w:val="es-CR" w:eastAsia="es-ES"/>
        </w:rPr>
      </w:pPr>
      <w:r w:rsidRPr="006B5A5A">
        <w:rPr>
          <w:rFonts w:eastAsia="Times New Roman" w:cs="Verdana"/>
          <w:b/>
          <w:bCs/>
          <w:caps/>
          <w:snapToGrid w:val="0"/>
          <w:lang w:val="es-CR" w:eastAsia="es-ES"/>
        </w:rPr>
        <w:t>Corte Interamericana de Derechos Humanos</w:t>
      </w:r>
    </w:p>
    <w:p w:rsidR="007D6E53" w:rsidRPr="006B5A5A" w:rsidRDefault="007D6E53" w:rsidP="007D6E53">
      <w:pPr>
        <w:jc w:val="center"/>
        <w:rPr>
          <w:rFonts w:eastAsia="Times New Roman" w:cs="Verdana"/>
          <w:b/>
          <w:bCs/>
          <w:caps/>
          <w:snapToGrid w:val="0"/>
          <w:lang w:val="es-CR" w:eastAsia="es-ES"/>
        </w:rPr>
      </w:pPr>
    </w:p>
    <w:p w:rsidR="007D6E53" w:rsidRPr="006B5A5A" w:rsidRDefault="007D6E53" w:rsidP="007D6E53">
      <w:pPr>
        <w:jc w:val="center"/>
        <w:rPr>
          <w:rFonts w:eastAsia="Times New Roman" w:cs="Verdana"/>
          <w:b/>
          <w:bCs/>
          <w:caps/>
          <w:snapToGrid w:val="0"/>
          <w:lang w:val="es-CR" w:eastAsia="es-ES"/>
        </w:rPr>
      </w:pPr>
    </w:p>
    <w:p w:rsidR="007D6E53" w:rsidRPr="006B5A5A" w:rsidRDefault="007D6E53" w:rsidP="007D6E53">
      <w:pPr>
        <w:autoSpaceDE w:val="0"/>
        <w:autoSpaceDN w:val="0"/>
        <w:adjustRightInd w:val="0"/>
        <w:jc w:val="center"/>
        <w:rPr>
          <w:rFonts w:eastAsia="Times New Roman" w:cs="Verdana"/>
          <w:b/>
          <w:bCs/>
          <w:caps/>
          <w:snapToGrid w:val="0"/>
          <w:lang w:val="es-CR" w:eastAsia="es-ES"/>
        </w:rPr>
      </w:pPr>
      <w:r w:rsidRPr="006B5A5A">
        <w:rPr>
          <w:rFonts w:eastAsia="Times New Roman" w:cs="Verdana"/>
          <w:b/>
          <w:bCs/>
          <w:caps/>
          <w:snapToGrid w:val="0"/>
          <w:lang w:val="es-CR" w:eastAsia="es-ES"/>
        </w:rPr>
        <w:t>CASO GUTIÉRREZ HERNÁNDEZ Y OTROS VS. GUATEMALA</w:t>
      </w:r>
    </w:p>
    <w:p w:rsidR="007D6E53" w:rsidRPr="006B5A5A" w:rsidRDefault="007D6E53" w:rsidP="007D6E53">
      <w:pPr>
        <w:jc w:val="center"/>
        <w:rPr>
          <w:rFonts w:eastAsia="Times New Roman" w:cs="Verdana"/>
          <w:b/>
          <w:bCs/>
          <w:caps/>
          <w:snapToGrid w:val="0"/>
          <w:lang w:val="es-CR" w:eastAsia="es-ES"/>
        </w:rPr>
      </w:pPr>
    </w:p>
    <w:p w:rsidR="007D6E53" w:rsidRPr="006B5A5A" w:rsidRDefault="007D6E53" w:rsidP="007D6E53">
      <w:pPr>
        <w:jc w:val="center"/>
        <w:rPr>
          <w:rFonts w:eastAsia="Times New Roman" w:cs="Verdana"/>
          <w:b/>
          <w:bCs/>
          <w:caps/>
          <w:snapToGrid w:val="0"/>
          <w:lang w:val="es-CR" w:eastAsia="es-ES"/>
        </w:rPr>
      </w:pPr>
    </w:p>
    <w:p w:rsidR="007D6E53" w:rsidRPr="006B5A5A" w:rsidRDefault="007D6E53" w:rsidP="007D6E53">
      <w:pPr>
        <w:jc w:val="center"/>
        <w:rPr>
          <w:rFonts w:eastAsia="Times New Roman" w:cs="Verdana"/>
          <w:b/>
          <w:bCs/>
          <w:caps/>
          <w:snapToGrid w:val="0"/>
          <w:lang w:val="es-CR" w:eastAsia="es-ES"/>
        </w:rPr>
      </w:pPr>
      <w:r w:rsidRPr="006B5A5A">
        <w:rPr>
          <w:rFonts w:eastAsia="Times New Roman" w:cs="Verdana"/>
          <w:b/>
          <w:bCs/>
          <w:caps/>
          <w:snapToGrid w:val="0"/>
          <w:lang w:val="es-CR" w:eastAsia="es-ES"/>
        </w:rPr>
        <w:t xml:space="preserve">Sentencia de </w:t>
      </w:r>
      <w:r w:rsidR="00EF1739">
        <w:rPr>
          <w:rFonts w:eastAsia="Times New Roman" w:cs="Verdana"/>
          <w:b/>
          <w:bCs/>
          <w:caps/>
          <w:snapToGrid w:val="0"/>
          <w:lang w:val="es-CR" w:eastAsia="es-ES"/>
        </w:rPr>
        <w:t>22</w:t>
      </w:r>
      <w:r w:rsidRPr="006B5A5A">
        <w:rPr>
          <w:rFonts w:eastAsia="Times New Roman" w:cs="Verdana"/>
          <w:b/>
          <w:bCs/>
          <w:caps/>
          <w:snapToGrid w:val="0"/>
          <w:lang w:val="es-CR" w:eastAsia="es-ES"/>
        </w:rPr>
        <w:t xml:space="preserve"> de </w:t>
      </w:r>
      <w:r w:rsidR="007B6D7C">
        <w:rPr>
          <w:rFonts w:eastAsia="Times New Roman" w:cs="Verdana"/>
          <w:b/>
          <w:bCs/>
          <w:caps/>
          <w:snapToGrid w:val="0"/>
          <w:lang w:val="es-CR" w:eastAsia="es-ES"/>
        </w:rPr>
        <w:t>AGOSTO</w:t>
      </w:r>
      <w:r w:rsidR="008F17E0" w:rsidRPr="006B5A5A">
        <w:rPr>
          <w:rFonts w:eastAsia="Times New Roman" w:cs="Verdana"/>
          <w:b/>
          <w:bCs/>
          <w:caps/>
          <w:snapToGrid w:val="0"/>
          <w:lang w:val="es-CR" w:eastAsia="es-ES"/>
        </w:rPr>
        <w:t xml:space="preserve"> DE </w:t>
      </w:r>
      <w:r w:rsidRPr="006B5A5A">
        <w:rPr>
          <w:rFonts w:eastAsia="Times New Roman" w:cs="Verdana"/>
          <w:b/>
          <w:bCs/>
          <w:caps/>
          <w:snapToGrid w:val="0"/>
          <w:lang w:val="es-CR" w:eastAsia="es-ES"/>
        </w:rPr>
        <w:t>201</w:t>
      </w:r>
      <w:r w:rsidR="00760930" w:rsidRPr="006B5A5A">
        <w:rPr>
          <w:rFonts w:eastAsia="Times New Roman" w:cs="Verdana"/>
          <w:b/>
          <w:bCs/>
          <w:caps/>
          <w:snapToGrid w:val="0"/>
          <w:lang w:val="es-CR" w:eastAsia="es-ES"/>
        </w:rPr>
        <w:t>8</w:t>
      </w:r>
    </w:p>
    <w:p w:rsidR="007D6E53" w:rsidRPr="006B5A5A" w:rsidRDefault="007D6E53" w:rsidP="007D6E53">
      <w:pPr>
        <w:jc w:val="center"/>
        <w:rPr>
          <w:rFonts w:eastAsia="Times New Roman" w:cs="Verdana"/>
          <w:b/>
          <w:bCs/>
          <w:caps/>
          <w:snapToGrid w:val="0"/>
          <w:lang w:val="es-CR" w:eastAsia="es-ES"/>
        </w:rPr>
      </w:pPr>
    </w:p>
    <w:p w:rsidR="007D6E53" w:rsidRPr="006B5A5A" w:rsidRDefault="007D6E53" w:rsidP="007D6E53">
      <w:pPr>
        <w:jc w:val="center"/>
        <w:rPr>
          <w:rFonts w:eastAsia="Times New Roman" w:cs="Verdana"/>
          <w:b/>
          <w:bCs/>
          <w:i/>
          <w:snapToGrid w:val="0"/>
          <w:lang w:val="es-CR" w:eastAsia="es-ES"/>
        </w:rPr>
      </w:pPr>
      <w:r w:rsidRPr="006B5A5A">
        <w:rPr>
          <w:rFonts w:eastAsia="Times New Roman" w:cs="Verdana"/>
          <w:b/>
          <w:bCs/>
          <w:i/>
          <w:snapToGrid w:val="0"/>
          <w:lang w:val="es-CR" w:eastAsia="es-ES"/>
        </w:rPr>
        <w:t xml:space="preserve">(Interpretación de Sentencia de Excepciones Preliminares, </w:t>
      </w:r>
    </w:p>
    <w:p w:rsidR="007D6E53" w:rsidRPr="006B5A5A" w:rsidRDefault="007D6E53" w:rsidP="007D6E53">
      <w:pPr>
        <w:jc w:val="center"/>
        <w:rPr>
          <w:rFonts w:eastAsia="Times New Roman" w:cs="Verdana"/>
          <w:b/>
          <w:bCs/>
          <w:i/>
          <w:snapToGrid w:val="0"/>
          <w:lang w:val="es-CR" w:eastAsia="es-ES"/>
        </w:rPr>
      </w:pPr>
      <w:r w:rsidRPr="006B5A5A">
        <w:rPr>
          <w:rFonts w:eastAsia="Times New Roman" w:cs="Verdana"/>
          <w:b/>
          <w:bCs/>
          <w:i/>
          <w:snapToGrid w:val="0"/>
          <w:lang w:val="es-CR" w:eastAsia="es-ES"/>
        </w:rPr>
        <w:t>Fondo, Reparaciones y Costas</w:t>
      </w:r>
      <w:r w:rsidRPr="006B5A5A">
        <w:rPr>
          <w:rFonts w:eastAsia="Times New Roman" w:cs="Verdana"/>
          <w:b/>
          <w:bCs/>
          <w:i/>
          <w:caps/>
          <w:snapToGrid w:val="0"/>
          <w:lang w:val="es-CR" w:eastAsia="es-ES"/>
        </w:rPr>
        <w:t>)</w:t>
      </w:r>
    </w:p>
    <w:p w:rsidR="007D6E53" w:rsidRPr="006B5A5A" w:rsidRDefault="007D6E53" w:rsidP="007D6E53">
      <w:pPr>
        <w:jc w:val="both"/>
        <w:rPr>
          <w:lang w:val="es-CR"/>
        </w:rPr>
      </w:pPr>
    </w:p>
    <w:p w:rsidR="00B1155B" w:rsidRPr="006B5A5A" w:rsidRDefault="00B1155B" w:rsidP="007D6E53">
      <w:pPr>
        <w:jc w:val="both"/>
        <w:rPr>
          <w:lang w:val="es-CR"/>
        </w:rPr>
      </w:pPr>
    </w:p>
    <w:p w:rsidR="00B1155B" w:rsidRPr="006B5A5A" w:rsidRDefault="00B1155B" w:rsidP="007D6E53">
      <w:pPr>
        <w:jc w:val="both"/>
        <w:rPr>
          <w:lang w:val="es-CR"/>
        </w:rPr>
      </w:pPr>
    </w:p>
    <w:p w:rsidR="007D6E53" w:rsidRPr="006B5A5A" w:rsidRDefault="007D6E53" w:rsidP="007D6E53">
      <w:pPr>
        <w:rPr>
          <w:lang w:val="es-CR"/>
        </w:rPr>
      </w:pPr>
      <w:r w:rsidRPr="006B5A5A">
        <w:rPr>
          <w:lang w:val="es-CR"/>
        </w:rPr>
        <w:t xml:space="preserve">En el caso </w:t>
      </w:r>
      <w:r w:rsidRPr="006B5A5A">
        <w:rPr>
          <w:i/>
          <w:lang w:val="es-CR"/>
        </w:rPr>
        <w:t>Gutiérrez Hernández y otros V</w:t>
      </w:r>
      <w:r w:rsidR="00971DFA">
        <w:rPr>
          <w:i/>
          <w:lang w:val="es-CR"/>
        </w:rPr>
        <w:t>s</w:t>
      </w:r>
      <w:r w:rsidRPr="006B5A5A">
        <w:rPr>
          <w:i/>
          <w:lang w:val="es-CR"/>
        </w:rPr>
        <w:t xml:space="preserve">. Guatemala, </w:t>
      </w:r>
      <w:r w:rsidRPr="006B5A5A">
        <w:rPr>
          <w:lang w:val="es-CR"/>
        </w:rPr>
        <w:t xml:space="preserve"> </w:t>
      </w:r>
    </w:p>
    <w:p w:rsidR="007D6E53" w:rsidRPr="006B5A5A" w:rsidRDefault="007D6E53" w:rsidP="007D6E53">
      <w:pPr>
        <w:rPr>
          <w:lang w:val="es-CR"/>
        </w:rPr>
      </w:pPr>
    </w:p>
    <w:p w:rsidR="00EF1739" w:rsidRDefault="007D6E53" w:rsidP="00EF1739">
      <w:pPr>
        <w:rPr>
          <w:rFonts w:ascii="Times New Roman" w:eastAsiaTheme="minorHAnsi" w:hAnsi="Times New Roman"/>
          <w:lang w:eastAsia="es-CR"/>
        </w:rPr>
      </w:pPr>
      <w:r w:rsidRPr="006B5A5A">
        <w:rPr>
          <w:lang w:val="es-CR"/>
        </w:rPr>
        <w:t xml:space="preserve">la Corte Interamericana de Derechos Humanos (en adelante “la Corte Interamericana”, “la Corte” </w:t>
      </w:r>
      <w:r w:rsidRPr="006B5A5A">
        <w:rPr>
          <w:rFonts w:cs="Verdana"/>
          <w:lang w:val="es-CR"/>
        </w:rPr>
        <w:t>o “el Tribunal”</w:t>
      </w:r>
      <w:r w:rsidRPr="006B5A5A">
        <w:rPr>
          <w:lang w:val="es-CR"/>
        </w:rPr>
        <w:t xml:space="preserve">), integrada por los siguientes </w:t>
      </w:r>
      <w:r w:rsidR="00EF1739" w:rsidRPr="006B5A5A">
        <w:rPr>
          <w:lang w:val="es-CR"/>
        </w:rPr>
        <w:t>Jueces</w:t>
      </w:r>
      <w:r w:rsidR="00EF1739">
        <w:rPr>
          <w:rStyle w:val="FootnoteReference"/>
        </w:rPr>
        <w:footnoteReference w:customMarkFollows="1" w:id="1"/>
        <w:sym w:font="Symbol" w:char="F02A"/>
      </w:r>
      <w:r w:rsidR="00EF1739">
        <w:t>:</w:t>
      </w:r>
      <w:r w:rsidR="00EF1739">
        <w:rPr>
          <w:rFonts w:ascii="Times New Roman" w:eastAsiaTheme="minorHAnsi" w:hAnsi="Times New Roman"/>
          <w:lang w:eastAsia="es-CR"/>
        </w:rPr>
        <w:t xml:space="preserve"> </w:t>
      </w:r>
    </w:p>
    <w:p w:rsidR="007D6E53" w:rsidRPr="006B5A5A" w:rsidRDefault="007D6E53" w:rsidP="007D6E53">
      <w:pPr>
        <w:rPr>
          <w:lang w:val="es-CR"/>
        </w:rPr>
      </w:pPr>
    </w:p>
    <w:p w:rsidR="007D6E53" w:rsidRPr="006B5A5A" w:rsidRDefault="007D6E53" w:rsidP="007D6E53">
      <w:pPr>
        <w:tabs>
          <w:tab w:val="left" w:pos="567"/>
          <w:tab w:val="left" w:pos="720"/>
        </w:tabs>
        <w:rPr>
          <w:rFonts w:eastAsia="Times New Roman" w:cs="Verdana"/>
          <w:lang w:val="es-CR"/>
        </w:rPr>
      </w:pPr>
      <w:r w:rsidRPr="006B5A5A">
        <w:rPr>
          <w:rFonts w:eastAsia="Times New Roman" w:cs="Verdana"/>
          <w:lang w:val="es-CR"/>
        </w:rPr>
        <w:t>Eduardo Ferrer Mac-Gregor Poisot, Presidente;</w:t>
      </w:r>
    </w:p>
    <w:p w:rsidR="007D6E53" w:rsidRPr="006B5A5A" w:rsidRDefault="007D6E53" w:rsidP="007D6E53">
      <w:pPr>
        <w:tabs>
          <w:tab w:val="left" w:pos="567"/>
          <w:tab w:val="left" w:pos="720"/>
        </w:tabs>
        <w:rPr>
          <w:rFonts w:eastAsia="Times New Roman" w:cs="Verdana"/>
          <w:lang w:val="es-CR"/>
        </w:rPr>
      </w:pPr>
      <w:r w:rsidRPr="006B5A5A">
        <w:rPr>
          <w:rFonts w:eastAsia="Times New Roman" w:cs="Verdana"/>
          <w:lang w:val="es-CR"/>
        </w:rPr>
        <w:t>Humberto Antonio Sierra Porto, Juez;</w:t>
      </w:r>
    </w:p>
    <w:p w:rsidR="007D6E53" w:rsidRPr="006B5A5A" w:rsidRDefault="007D6E53" w:rsidP="007D6E53">
      <w:pPr>
        <w:tabs>
          <w:tab w:val="left" w:pos="567"/>
          <w:tab w:val="left" w:pos="720"/>
        </w:tabs>
        <w:rPr>
          <w:rFonts w:eastAsia="Times New Roman" w:cs="Verdana"/>
          <w:lang w:val="es-CR"/>
        </w:rPr>
      </w:pPr>
      <w:r w:rsidRPr="006B5A5A">
        <w:rPr>
          <w:rFonts w:eastAsia="Times New Roman" w:cs="Verdana"/>
          <w:lang w:val="es-CR"/>
        </w:rPr>
        <w:t>Elizabeth Odio Benito, Jueza;</w:t>
      </w:r>
    </w:p>
    <w:p w:rsidR="007D6E53" w:rsidRPr="006B5A5A" w:rsidRDefault="007D6E53" w:rsidP="007D6E53">
      <w:pPr>
        <w:tabs>
          <w:tab w:val="left" w:pos="567"/>
          <w:tab w:val="left" w:pos="720"/>
        </w:tabs>
        <w:rPr>
          <w:rFonts w:eastAsia="Times New Roman" w:cs="Verdana"/>
          <w:lang w:val="es-CR"/>
        </w:rPr>
      </w:pPr>
      <w:r w:rsidRPr="006B5A5A">
        <w:rPr>
          <w:rFonts w:eastAsia="Times New Roman" w:cs="Verdana"/>
          <w:lang w:val="es-CR"/>
        </w:rPr>
        <w:t>Eugenio Raúl Zaffaroni, Juez, y</w:t>
      </w:r>
    </w:p>
    <w:p w:rsidR="007D6E53" w:rsidRPr="006B5A5A" w:rsidRDefault="007D6E53" w:rsidP="007D6E53">
      <w:pPr>
        <w:tabs>
          <w:tab w:val="left" w:pos="567"/>
          <w:tab w:val="left" w:pos="720"/>
        </w:tabs>
        <w:rPr>
          <w:rFonts w:eastAsia="Times New Roman" w:cs="Verdana"/>
          <w:lang w:val="es-CR"/>
        </w:rPr>
      </w:pPr>
      <w:r w:rsidRPr="006B5A5A">
        <w:rPr>
          <w:rFonts w:eastAsia="Times New Roman" w:cs="Verdana"/>
          <w:lang w:val="es-CR"/>
        </w:rPr>
        <w:t xml:space="preserve">Patricio Pazmiño Freire, Juez; </w:t>
      </w:r>
    </w:p>
    <w:p w:rsidR="007D6E53" w:rsidRPr="006B5A5A" w:rsidRDefault="007D6E53" w:rsidP="007D6E53">
      <w:pPr>
        <w:tabs>
          <w:tab w:val="left" w:pos="567"/>
          <w:tab w:val="left" w:pos="720"/>
        </w:tabs>
        <w:rPr>
          <w:lang w:val="es-CR"/>
        </w:rPr>
      </w:pPr>
    </w:p>
    <w:p w:rsidR="007D6E53" w:rsidRPr="006B5A5A" w:rsidRDefault="007D6E53" w:rsidP="007D6E53">
      <w:pPr>
        <w:tabs>
          <w:tab w:val="left" w:pos="720"/>
        </w:tabs>
        <w:rPr>
          <w:lang w:val="es-CR"/>
        </w:rPr>
      </w:pPr>
      <w:r w:rsidRPr="006B5A5A">
        <w:rPr>
          <w:lang w:val="es-CR"/>
        </w:rPr>
        <w:t>presentes, además,</w:t>
      </w:r>
    </w:p>
    <w:p w:rsidR="007D6E53" w:rsidRPr="006B5A5A" w:rsidRDefault="007D6E53" w:rsidP="007D6E53">
      <w:pPr>
        <w:tabs>
          <w:tab w:val="left" w:pos="720"/>
        </w:tabs>
        <w:rPr>
          <w:lang w:val="es-CR"/>
        </w:rPr>
      </w:pPr>
    </w:p>
    <w:p w:rsidR="007D6E53" w:rsidRPr="006B5A5A" w:rsidRDefault="007D6E53" w:rsidP="007D6E53">
      <w:pPr>
        <w:tabs>
          <w:tab w:val="left" w:pos="720"/>
        </w:tabs>
        <w:rPr>
          <w:lang w:val="es-CR"/>
        </w:rPr>
      </w:pPr>
      <w:r w:rsidRPr="006B5A5A">
        <w:rPr>
          <w:lang w:val="es-CR"/>
        </w:rPr>
        <w:t xml:space="preserve">Pablo Saavedra Alessandri, Secretario, y </w:t>
      </w:r>
    </w:p>
    <w:p w:rsidR="007D6E53" w:rsidRPr="006B5A5A" w:rsidRDefault="007D6E53" w:rsidP="007D6E53">
      <w:pPr>
        <w:tabs>
          <w:tab w:val="left" w:pos="720"/>
        </w:tabs>
        <w:rPr>
          <w:lang w:val="es-CR"/>
        </w:rPr>
      </w:pPr>
      <w:r w:rsidRPr="006B5A5A">
        <w:rPr>
          <w:lang w:val="es-CR" w:eastAsia="es-MX"/>
        </w:rPr>
        <w:t>Emilia Segares Rodríguez, Secretaria Adjunta,</w:t>
      </w:r>
    </w:p>
    <w:p w:rsidR="007D6E53" w:rsidRPr="006B5A5A" w:rsidRDefault="007D6E53" w:rsidP="007D6E53">
      <w:pPr>
        <w:jc w:val="both"/>
        <w:rPr>
          <w:lang w:val="es-CR"/>
        </w:rPr>
      </w:pPr>
    </w:p>
    <w:p w:rsidR="007D6E53" w:rsidRPr="006B5A5A" w:rsidRDefault="007D6E53" w:rsidP="007D6E53">
      <w:pPr>
        <w:autoSpaceDE w:val="0"/>
        <w:autoSpaceDN w:val="0"/>
        <w:adjustRightInd w:val="0"/>
        <w:jc w:val="both"/>
        <w:rPr>
          <w:rFonts w:eastAsia="Calibri" w:cs="Verdana"/>
          <w:lang w:val="es-CR"/>
        </w:rPr>
      </w:pPr>
      <w:r w:rsidRPr="006B5A5A">
        <w:rPr>
          <w:rFonts w:eastAsia="Calibri" w:cs="Verdana"/>
          <w:lang w:val="es-CR"/>
        </w:rPr>
        <w:t xml:space="preserve">de conformidad con el artículo 67 de la Convención Americana sobre Derechos Humanos (en adelante también “la Convención Americana” o “la Convención”) y el artículo 68 del Reglamento de la Corte (en adelante “el Reglamento”), resuelve la solicitud de interpretación de la Sentencia de excepciones preliminares, fondo, reparaciones y costas emitida por este Tribunal </w:t>
      </w:r>
      <w:r w:rsidR="00BD7549" w:rsidRPr="006B5A5A">
        <w:rPr>
          <w:rFonts w:eastAsia="Calibri" w:cs="Verdana"/>
          <w:lang w:val="es-CR"/>
        </w:rPr>
        <w:t xml:space="preserve">24 de agosto de 2017 </w:t>
      </w:r>
      <w:r w:rsidRPr="006B5A5A">
        <w:rPr>
          <w:rFonts w:eastAsia="Calibri" w:cs="Verdana"/>
          <w:lang w:val="es-CR"/>
        </w:rPr>
        <w:t xml:space="preserve">en el presente caso (en adelante también “la Sentencia” o “el Fallo”), interpuesta </w:t>
      </w:r>
      <w:r w:rsidR="00BD7549" w:rsidRPr="006B5A5A">
        <w:rPr>
          <w:rFonts w:eastAsia="Calibri" w:cs="Verdana"/>
          <w:lang w:val="es-CR"/>
        </w:rPr>
        <w:t xml:space="preserve">30 de enero de 2018 </w:t>
      </w:r>
      <w:r w:rsidRPr="006B5A5A">
        <w:rPr>
          <w:rFonts w:eastAsia="Calibri" w:cs="Verdana"/>
          <w:lang w:val="es-CR"/>
        </w:rPr>
        <w:t xml:space="preserve">por </w:t>
      </w:r>
      <w:r w:rsidR="008F17E0" w:rsidRPr="006B5A5A">
        <w:rPr>
          <w:rFonts w:eastAsia="Calibri" w:cs="Verdana"/>
          <w:lang w:val="es-CR"/>
        </w:rPr>
        <w:t>los representantes de las víctimas</w:t>
      </w:r>
      <w:r w:rsidR="00EF1739">
        <w:rPr>
          <w:rFonts w:eastAsia="Calibri" w:cs="Verdana"/>
          <w:lang w:val="es-CR"/>
        </w:rPr>
        <w:t xml:space="preserve"> </w:t>
      </w:r>
      <w:r w:rsidR="00EF1739">
        <w:rPr>
          <w:lang w:val="es-CR"/>
        </w:rPr>
        <w:t>(en adelante “los representantes”).</w:t>
      </w:r>
    </w:p>
    <w:p w:rsidR="007D6E53" w:rsidRPr="006B5A5A" w:rsidRDefault="007D6E53" w:rsidP="007D6E53">
      <w:pPr>
        <w:pStyle w:val="Heading1"/>
        <w:rPr>
          <w:rFonts w:eastAsia="Calibri"/>
          <w:bCs w:val="0"/>
          <w:iCs w:val="0"/>
          <w:caps w:val="0"/>
          <w:snapToGrid/>
          <w:lang w:eastAsia="en-US"/>
        </w:rPr>
      </w:pPr>
    </w:p>
    <w:p w:rsidR="007D6E53" w:rsidRPr="006B5A5A" w:rsidRDefault="007D6E53" w:rsidP="007D6E53">
      <w:pPr>
        <w:rPr>
          <w:lang w:val="es-CR"/>
        </w:rPr>
      </w:pPr>
      <w:r w:rsidRPr="006B5A5A">
        <w:rPr>
          <w:lang w:val="es-CR"/>
        </w:rPr>
        <w:br w:type="page"/>
      </w:r>
    </w:p>
    <w:p w:rsidR="007D6E53" w:rsidRPr="006B5A5A" w:rsidRDefault="007D6E53" w:rsidP="00C710D9">
      <w:pPr>
        <w:pStyle w:val="Heading1"/>
        <w:spacing w:afterLines="40" w:after="96"/>
      </w:pPr>
      <w:r w:rsidRPr="006B5A5A">
        <w:lastRenderedPageBreak/>
        <w:t>I</w:t>
      </w:r>
      <w:r w:rsidRPr="006B5A5A">
        <w:rPr>
          <w:b w:val="0"/>
          <w:bCs w:val="0"/>
          <w:caps w:val="0"/>
          <w:kern w:val="32"/>
        </w:rPr>
        <w:br/>
      </w:r>
      <w:r w:rsidRPr="006B5A5A">
        <w:rPr>
          <w:rFonts w:eastAsia="Calibri"/>
        </w:rPr>
        <w:t>SOLICITUD DE INTERPRETACIÓN</w:t>
      </w:r>
      <w:r w:rsidRPr="006B5A5A">
        <w:rPr>
          <w:b w:val="0"/>
          <w:bCs w:val="0"/>
          <w:caps w:val="0"/>
          <w:kern w:val="32"/>
        </w:rPr>
        <w:br/>
      </w:r>
      <w:r w:rsidRPr="006B5A5A">
        <w:rPr>
          <w:rFonts w:eastAsia="Calibri"/>
        </w:rPr>
        <w:t>Y PROCEDIMIENTO ANTE LA CORTE</w:t>
      </w:r>
    </w:p>
    <w:p w:rsidR="007D6E53" w:rsidRPr="006B5A5A" w:rsidRDefault="007D6E53" w:rsidP="00C710D9">
      <w:pPr>
        <w:spacing w:afterLines="40" w:after="96"/>
        <w:jc w:val="both"/>
        <w:rPr>
          <w:lang w:val="es-CR"/>
        </w:rPr>
      </w:pPr>
    </w:p>
    <w:p w:rsidR="007D6E53" w:rsidRPr="006B5A5A" w:rsidRDefault="007D6E53" w:rsidP="00C710D9">
      <w:pPr>
        <w:numPr>
          <w:ilvl w:val="0"/>
          <w:numId w:val="1"/>
        </w:numPr>
        <w:tabs>
          <w:tab w:val="num" w:pos="720"/>
        </w:tabs>
        <w:autoSpaceDE w:val="0"/>
        <w:autoSpaceDN w:val="0"/>
        <w:adjustRightInd w:val="0"/>
        <w:spacing w:afterLines="40" w:after="96"/>
        <w:ind w:left="0"/>
        <w:jc w:val="both"/>
        <w:rPr>
          <w:rFonts w:eastAsia="Calibri" w:cs="Verdana"/>
          <w:lang w:val="es-CR"/>
        </w:rPr>
      </w:pPr>
      <w:r w:rsidRPr="006B5A5A">
        <w:rPr>
          <w:rFonts w:eastAsia="Calibri" w:cs="Verdana"/>
          <w:lang w:val="es-CR"/>
        </w:rPr>
        <w:t xml:space="preserve">El </w:t>
      </w:r>
      <w:r w:rsidR="00EF4242" w:rsidRPr="006B5A5A">
        <w:rPr>
          <w:rFonts w:eastAsia="Calibri" w:cs="Verdana"/>
          <w:lang w:val="es-CR"/>
        </w:rPr>
        <w:t>24 de agosto de 2017</w:t>
      </w:r>
      <w:r w:rsidRPr="006B5A5A">
        <w:rPr>
          <w:rFonts w:eastAsia="Calibri" w:cs="Verdana"/>
          <w:lang w:val="es-CR"/>
        </w:rPr>
        <w:t xml:space="preserve"> </w:t>
      </w:r>
      <w:r w:rsidRPr="006B5A5A">
        <w:rPr>
          <w:lang w:val="es-CR"/>
        </w:rPr>
        <w:t xml:space="preserve">la Corte emitió la Sentencia de excepciones preliminares, fondo, reparaciones y costas en el caso </w:t>
      </w:r>
      <w:r w:rsidR="00F83D76" w:rsidRPr="006B5A5A">
        <w:rPr>
          <w:i/>
          <w:lang w:val="es-CR"/>
        </w:rPr>
        <w:t>Gutiérrez Hernández y otros V</w:t>
      </w:r>
      <w:r w:rsidR="00EF1739">
        <w:rPr>
          <w:i/>
          <w:lang w:val="es-CR"/>
        </w:rPr>
        <w:t>s</w:t>
      </w:r>
      <w:r w:rsidR="00F83D76" w:rsidRPr="006B5A5A">
        <w:rPr>
          <w:i/>
          <w:lang w:val="es-CR"/>
        </w:rPr>
        <w:t>. Guatemala</w:t>
      </w:r>
      <w:r w:rsidR="00962FF9" w:rsidRPr="006B5A5A">
        <w:rPr>
          <w:i/>
          <w:lang w:val="es-CR"/>
        </w:rPr>
        <w:t xml:space="preserve"> </w:t>
      </w:r>
      <w:r w:rsidRPr="006B5A5A">
        <w:rPr>
          <w:lang w:val="es-CR"/>
        </w:rPr>
        <w:t xml:space="preserve">la cual fue notificada a los </w:t>
      </w:r>
      <w:r w:rsidR="00E1557F" w:rsidRPr="006B5A5A">
        <w:rPr>
          <w:lang w:val="es-CR"/>
        </w:rPr>
        <w:t>representantes de las</w:t>
      </w:r>
      <w:r w:rsidR="00EF1739">
        <w:rPr>
          <w:lang w:val="es-CR"/>
        </w:rPr>
        <w:t xml:space="preserve"> </w:t>
      </w:r>
      <w:r w:rsidR="00E1557F" w:rsidRPr="006B5A5A">
        <w:rPr>
          <w:lang w:val="es-CR"/>
        </w:rPr>
        <w:t>víctimas</w:t>
      </w:r>
      <w:r w:rsidR="00567DC6" w:rsidRPr="006B5A5A">
        <w:rPr>
          <w:rStyle w:val="FootnoteReference"/>
          <w:lang w:val="es-CR"/>
        </w:rPr>
        <w:footnoteReference w:id="2"/>
      </w:r>
      <w:r w:rsidRPr="006B5A5A">
        <w:rPr>
          <w:lang w:val="es-CR"/>
        </w:rPr>
        <w:t xml:space="preserve"> el </w:t>
      </w:r>
      <w:r w:rsidR="00E1557F" w:rsidRPr="006B5A5A">
        <w:rPr>
          <w:lang w:val="es-PR"/>
        </w:rPr>
        <w:t>25 de septiembre de 2017</w:t>
      </w:r>
      <w:r w:rsidRPr="006B5A5A">
        <w:rPr>
          <w:lang w:val="es-CR"/>
        </w:rPr>
        <w:t>.</w:t>
      </w:r>
    </w:p>
    <w:p w:rsidR="007D6E53" w:rsidRPr="006B5A5A" w:rsidRDefault="007D6E53" w:rsidP="00C710D9">
      <w:pPr>
        <w:tabs>
          <w:tab w:val="num" w:pos="720"/>
        </w:tabs>
        <w:autoSpaceDE w:val="0"/>
        <w:autoSpaceDN w:val="0"/>
        <w:adjustRightInd w:val="0"/>
        <w:spacing w:afterLines="40" w:after="96"/>
        <w:jc w:val="both"/>
        <w:rPr>
          <w:rFonts w:eastAsia="Calibri" w:cs="Verdana"/>
          <w:lang w:val="es-CR"/>
        </w:rPr>
      </w:pPr>
    </w:p>
    <w:p w:rsidR="00962FF9" w:rsidRPr="006B5A5A" w:rsidRDefault="00962FF9" w:rsidP="00C710D9">
      <w:pPr>
        <w:numPr>
          <w:ilvl w:val="0"/>
          <w:numId w:val="1"/>
        </w:numPr>
        <w:tabs>
          <w:tab w:val="num" w:pos="720"/>
        </w:tabs>
        <w:autoSpaceDE w:val="0"/>
        <w:autoSpaceDN w:val="0"/>
        <w:adjustRightInd w:val="0"/>
        <w:spacing w:afterLines="40" w:after="96"/>
        <w:ind w:left="0"/>
        <w:jc w:val="both"/>
        <w:rPr>
          <w:rFonts w:eastAsia="Calibri" w:cs="Verdana"/>
          <w:u w:val="single"/>
          <w:lang w:val="es-CR"/>
        </w:rPr>
      </w:pPr>
      <w:r w:rsidRPr="006B5A5A">
        <w:rPr>
          <w:rFonts w:eastAsiaTheme="minorHAnsi" w:cs="Verdana"/>
          <w:lang w:val="es-GT"/>
        </w:rPr>
        <w:t xml:space="preserve">El 22 de </w:t>
      </w:r>
      <w:r w:rsidRPr="006B5A5A">
        <w:rPr>
          <w:rFonts w:eastAsia="Calibri" w:cs="Verdana"/>
          <w:lang w:val="es-CR"/>
        </w:rPr>
        <w:t>diciembre</w:t>
      </w:r>
      <w:r w:rsidRPr="006B5A5A">
        <w:rPr>
          <w:rFonts w:eastAsiaTheme="minorHAnsi" w:cs="Verdana"/>
          <w:lang w:val="es-GT"/>
        </w:rPr>
        <w:t xml:space="preserve"> de 2017 los representantes solicitaron una interpretación de la Sentencia. </w:t>
      </w:r>
    </w:p>
    <w:p w:rsidR="00962FF9" w:rsidRPr="006B5A5A" w:rsidRDefault="00962FF9" w:rsidP="00C710D9">
      <w:pPr>
        <w:pStyle w:val="ListParagraph"/>
        <w:spacing w:afterLines="40" w:after="96"/>
        <w:rPr>
          <w:rFonts w:eastAsia="Calibri" w:cs="Verdana"/>
          <w:lang w:val="es-CR"/>
        </w:rPr>
      </w:pPr>
    </w:p>
    <w:p w:rsidR="007D6E53" w:rsidRPr="006B5A5A" w:rsidRDefault="00CD7526" w:rsidP="00C710D9">
      <w:pPr>
        <w:pStyle w:val="ListParagraph"/>
        <w:numPr>
          <w:ilvl w:val="0"/>
          <w:numId w:val="1"/>
        </w:numPr>
        <w:tabs>
          <w:tab w:val="clear" w:pos="1427"/>
          <w:tab w:val="num" w:pos="720"/>
        </w:tabs>
        <w:spacing w:afterLines="40" w:after="96"/>
        <w:ind w:left="0"/>
        <w:jc w:val="both"/>
        <w:rPr>
          <w:rFonts w:eastAsia="Calibri" w:cs="Verdana"/>
          <w:u w:val="single"/>
          <w:lang w:val="es-CR"/>
        </w:rPr>
      </w:pPr>
      <w:r w:rsidRPr="006B5A5A">
        <w:rPr>
          <w:rFonts w:eastAsia="Calibri" w:cs="Verdana"/>
          <w:lang w:val="es-CR"/>
        </w:rPr>
        <w:t>El</w:t>
      </w:r>
      <w:r w:rsidRPr="006B5A5A">
        <w:rPr>
          <w:lang w:val="es-CR"/>
        </w:rPr>
        <w:t xml:space="preserve"> </w:t>
      </w:r>
      <w:r w:rsidR="002C02EF" w:rsidRPr="006B5A5A">
        <w:rPr>
          <w:lang w:val="es-CR"/>
        </w:rPr>
        <w:t>2 de febrero de 2018</w:t>
      </w:r>
      <w:r w:rsidRPr="006B5A5A">
        <w:rPr>
          <w:lang w:val="es-CR"/>
        </w:rPr>
        <w:t xml:space="preserve"> </w:t>
      </w:r>
      <w:r w:rsidR="00EF1739">
        <w:rPr>
          <w:rFonts w:eastAsia="Calibri" w:cs="Verdana"/>
          <w:lang w:val="es-CR"/>
        </w:rPr>
        <w:t xml:space="preserve">la República de Guatemala </w:t>
      </w:r>
      <w:r w:rsidR="00EF1739">
        <w:rPr>
          <w:bCs/>
          <w:lang w:val="es-CR"/>
        </w:rPr>
        <w:t xml:space="preserve">(en adelante </w:t>
      </w:r>
      <w:r w:rsidR="00EF1739">
        <w:rPr>
          <w:lang w:val="es-CR"/>
        </w:rPr>
        <w:t>“</w:t>
      </w:r>
      <w:r w:rsidR="00EF1739">
        <w:rPr>
          <w:bCs/>
          <w:lang w:val="es-CR"/>
        </w:rPr>
        <w:t>el Estado” o “Guatemala”)</w:t>
      </w:r>
      <w:r w:rsidR="00EF1739">
        <w:rPr>
          <w:rFonts w:eastAsia="Calibri" w:cs="Verdana"/>
          <w:lang w:val="es-CR"/>
        </w:rPr>
        <w:t xml:space="preserve"> </w:t>
      </w:r>
      <w:r w:rsidR="007D6E53" w:rsidRPr="006B5A5A">
        <w:rPr>
          <w:rFonts w:eastAsia="Calibri" w:cs="Verdana"/>
          <w:lang w:val="es-CR"/>
        </w:rPr>
        <w:t xml:space="preserve"> sometió a la Corte</w:t>
      </w:r>
      <w:r w:rsidR="00D4687D" w:rsidRPr="006B5A5A">
        <w:rPr>
          <w:rFonts w:eastAsia="Calibri" w:cs="Verdana"/>
          <w:lang w:val="es-CR"/>
        </w:rPr>
        <w:t xml:space="preserve"> sus</w:t>
      </w:r>
      <w:r w:rsidR="007D6E53" w:rsidRPr="006B5A5A">
        <w:rPr>
          <w:rFonts w:eastAsia="Calibri" w:cs="Verdana"/>
          <w:lang w:val="es-CR"/>
        </w:rPr>
        <w:t xml:space="preserve"> </w:t>
      </w:r>
      <w:r w:rsidR="00D4687D" w:rsidRPr="006B5A5A">
        <w:rPr>
          <w:lang w:val="es-CR"/>
        </w:rPr>
        <w:t xml:space="preserve">observaciones a la solicitud de interpretación de la Sentencia planteada por los representantes. </w:t>
      </w:r>
    </w:p>
    <w:p w:rsidR="00760930" w:rsidRPr="006B5A5A" w:rsidRDefault="00760930" w:rsidP="00C710D9">
      <w:pPr>
        <w:tabs>
          <w:tab w:val="num" w:pos="720"/>
        </w:tabs>
        <w:autoSpaceDE w:val="0"/>
        <w:autoSpaceDN w:val="0"/>
        <w:adjustRightInd w:val="0"/>
        <w:spacing w:afterLines="40" w:after="96"/>
        <w:jc w:val="both"/>
        <w:rPr>
          <w:rFonts w:eastAsia="Calibri" w:cs="Verdana"/>
          <w:u w:val="single"/>
          <w:lang w:val="es-CR"/>
        </w:rPr>
      </w:pPr>
    </w:p>
    <w:p w:rsidR="007D6E53" w:rsidRPr="006B5A5A" w:rsidRDefault="007D6E53" w:rsidP="00C710D9">
      <w:pPr>
        <w:numPr>
          <w:ilvl w:val="0"/>
          <w:numId w:val="1"/>
        </w:numPr>
        <w:tabs>
          <w:tab w:val="num" w:pos="720"/>
        </w:tabs>
        <w:autoSpaceDE w:val="0"/>
        <w:autoSpaceDN w:val="0"/>
        <w:adjustRightInd w:val="0"/>
        <w:spacing w:afterLines="40" w:after="96"/>
        <w:ind w:left="0"/>
        <w:jc w:val="both"/>
        <w:rPr>
          <w:rFonts w:eastAsia="Calibri" w:cs="Verdana"/>
          <w:u w:val="single"/>
          <w:lang w:val="es-CR"/>
        </w:rPr>
      </w:pPr>
      <w:r w:rsidRPr="006B5A5A">
        <w:rPr>
          <w:rFonts w:eastAsia="Calibri" w:cs="Verdana"/>
          <w:lang w:val="es-CR"/>
        </w:rPr>
        <w:t xml:space="preserve">El </w:t>
      </w:r>
      <w:r w:rsidR="007F00DC" w:rsidRPr="006B5A5A">
        <w:rPr>
          <w:lang w:val="es-CR"/>
        </w:rPr>
        <w:t xml:space="preserve">16 de febrero de 2018 la </w:t>
      </w:r>
      <w:r w:rsidR="00EF1739">
        <w:rPr>
          <w:lang w:val="es-CR"/>
        </w:rPr>
        <w:t>Comisión Interamericana de Derechos Humanos (en adelante “la Comisión Interamericana” o “la Comisión”)</w:t>
      </w:r>
      <w:r w:rsidR="007F00DC" w:rsidRPr="006B5A5A">
        <w:rPr>
          <w:lang w:val="es-CR"/>
        </w:rPr>
        <w:t xml:space="preserve"> remitió sus observaciones a la solicitud de interpretación de la Sentencia planteada por los representantes.</w:t>
      </w:r>
    </w:p>
    <w:p w:rsidR="007D6E53" w:rsidRPr="006B5A5A" w:rsidRDefault="007D6E53" w:rsidP="00C710D9">
      <w:pPr>
        <w:autoSpaceDE w:val="0"/>
        <w:autoSpaceDN w:val="0"/>
        <w:adjustRightInd w:val="0"/>
        <w:spacing w:afterLines="40" w:after="96"/>
        <w:rPr>
          <w:b/>
          <w:bCs/>
          <w:lang w:val="es-CR"/>
        </w:rPr>
      </w:pPr>
    </w:p>
    <w:p w:rsidR="007D6E53" w:rsidRPr="006B5A5A" w:rsidRDefault="007D6E53" w:rsidP="00C710D9">
      <w:pPr>
        <w:pStyle w:val="Heading1"/>
        <w:spacing w:afterLines="40" w:after="96"/>
      </w:pPr>
      <w:r w:rsidRPr="006B5A5A">
        <w:t>II</w:t>
      </w:r>
      <w:r w:rsidRPr="006B5A5A">
        <w:rPr>
          <w:b w:val="0"/>
          <w:bCs w:val="0"/>
          <w:caps w:val="0"/>
          <w:kern w:val="32"/>
        </w:rPr>
        <w:br/>
      </w:r>
      <w:r w:rsidRPr="006B5A5A">
        <w:t>COMPETENCIA</w:t>
      </w:r>
    </w:p>
    <w:p w:rsidR="007D6E53" w:rsidRPr="006B5A5A" w:rsidRDefault="007D6E53" w:rsidP="00C710D9">
      <w:pPr>
        <w:pStyle w:val="MediumGrid1-Accent21"/>
        <w:spacing w:afterLines="40" w:after="96"/>
        <w:ind w:left="0"/>
        <w:rPr>
          <w:szCs w:val="20"/>
          <w:lang w:val="es-CR"/>
        </w:rPr>
      </w:pPr>
    </w:p>
    <w:p w:rsidR="007D6E53" w:rsidRPr="006B5A5A" w:rsidRDefault="007D6E53" w:rsidP="00C710D9">
      <w:pPr>
        <w:numPr>
          <w:ilvl w:val="0"/>
          <w:numId w:val="1"/>
        </w:numPr>
        <w:tabs>
          <w:tab w:val="num" w:pos="720"/>
        </w:tabs>
        <w:autoSpaceDE w:val="0"/>
        <w:autoSpaceDN w:val="0"/>
        <w:adjustRightInd w:val="0"/>
        <w:spacing w:afterLines="40" w:after="96"/>
        <w:ind w:left="0"/>
        <w:jc w:val="both"/>
        <w:rPr>
          <w:bCs/>
          <w:lang w:val="es-CR"/>
        </w:rPr>
      </w:pPr>
      <w:bookmarkStart w:id="0" w:name="_Ref392064772"/>
      <w:r w:rsidRPr="006B5A5A">
        <w:rPr>
          <w:lang w:val="es-CR"/>
        </w:rPr>
        <w:t>El artículo 67 de la Convención establece que:</w:t>
      </w:r>
      <w:bookmarkEnd w:id="0"/>
    </w:p>
    <w:p w:rsidR="007D6E53" w:rsidRPr="006B5A5A" w:rsidRDefault="007D6E53" w:rsidP="00C710D9">
      <w:pPr>
        <w:autoSpaceDE w:val="0"/>
        <w:autoSpaceDN w:val="0"/>
        <w:adjustRightInd w:val="0"/>
        <w:spacing w:afterLines="40" w:after="96"/>
        <w:jc w:val="both"/>
        <w:rPr>
          <w:bCs/>
          <w:sz w:val="16"/>
          <w:lang w:val="es-CR"/>
        </w:rPr>
      </w:pPr>
    </w:p>
    <w:p w:rsidR="007D6E53" w:rsidRPr="006B5A5A" w:rsidRDefault="007D6E53" w:rsidP="00C710D9">
      <w:pPr>
        <w:spacing w:afterLines="40" w:after="96"/>
        <w:ind w:left="720"/>
        <w:jc w:val="both"/>
        <w:rPr>
          <w:sz w:val="16"/>
          <w:szCs w:val="18"/>
          <w:lang w:val="es-CR"/>
        </w:rPr>
      </w:pPr>
      <w:r w:rsidRPr="006B5A5A">
        <w:rPr>
          <w:sz w:val="16"/>
          <w:szCs w:val="18"/>
          <w:lang w:val="es-CR"/>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7D6E53" w:rsidRPr="006B5A5A" w:rsidRDefault="007D6E53" w:rsidP="00C710D9">
      <w:pPr>
        <w:autoSpaceDE w:val="0"/>
        <w:autoSpaceDN w:val="0"/>
        <w:adjustRightInd w:val="0"/>
        <w:spacing w:afterLines="40" w:after="96"/>
        <w:jc w:val="both"/>
        <w:rPr>
          <w:bCs/>
          <w:sz w:val="16"/>
          <w:lang w:val="es-CR"/>
        </w:rPr>
      </w:pPr>
    </w:p>
    <w:p w:rsidR="007D6E53" w:rsidRPr="006B5A5A" w:rsidRDefault="007D6E53" w:rsidP="00C710D9">
      <w:pPr>
        <w:numPr>
          <w:ilvl w:val="0"/>
          <w:numId w:val="1"/>
        </w:numPr>
        <w:tabs>
          <w:tab w:val="num" w:pos="720"/>
        </w:tabs>
        <w:autoSpaceDE w:val="0"/>
        <w:autoSpaceDN w:val="0"/>
        <w:adjustRightInd w:val="0"/>
        <w:spacing w:afterLines="40" w:after="96"/>
        <w:ind w:left="0"/>
        <w:jc w:val="both"/>
        <w:rPr>
          <w:bCs/>
          <w:lang w:val="es-CR"/>
        </w:rPr>
      </w:pPr>
      <w:r w:rsidRPr="006B5A5A">
        <w:rPr>
          <w:lang w:val="es-CR"/>
        </w:rPr>
        <w:t>De conformidad con el artículo citado, la Corte es competente para interpretar sus fallos. Para realizar el examen de la solicitud de interpretación y resolver lo que a este respecto corresponda, este Tribunal debe tener, si es posible, la misma composición que tenía al dictar la Sentencia respectiva, de acuerdo con el artículo 68.3 del Reglamento</w:t>
      </w:r>
      <w:r w:rsidRPr="006B5A5A">
        <w:rPr>
          <w:rStyle w:val="FootnoteReference"/>
          <w:lang w:val="es-CR"/>
        </w:rPr>
        <w:footnoteReference w:id="3"/>
      </w:r>
      <w:r w:rsidRPr="006B5A5A">
        <w:rPr>
          <w:lang w:val="es-CR"/>
        </w:rPr>
        <w:t>. En esta ocasión, la Corte se integra con los jueces que dictaron la Sentencia cuya interpretación ha sido solicitada por el Estado</w:t>
      </w:r>
      <w:r w:rsidR="00897789">
        <w:rPr>
          <w:lang w:val="es-CR"/>
        </w:rPr>
        <w:t xml:space="preserve"> (supra nota al pie de página 1)</w:t>
      </w:r>
      <w:r w:rsidRPr="006B5A5A">
        <w:rPr>
          <w:lang w:val="es-CR"/>
        </w:rPr>
        <w:t>.</w:t>
      </w:r>
    </w:p>
    <w:p w:rsidR="007D6E53" w:rsidRPr="006B5A5A" w:rsidRDefault="007D6E53" w:rsidP="00C710D9">
      <w:pPr>
        <w:autoSpaceDE w:val="0"/>
        <w:autoSpaceDN w:val="0"/>
        <w:adjustRightInd w:val="0"/>
        <w:spacing w:afterLines="40" w:after="96"/>
        <w:jc w:val="both"/>
        <w:rPr>
          <w:rFonts w:eastAsia="Calibri" w:cs="Verdana"/>
          <w:lang w:val="es-CR"/>
        </w:rPr>
      </w:pPr>
    </w:p>
    <w:p w:rsidR="007D6E53" w:rsidRPr="006B5A5A" w:rsidRDefault="007D6E53" w:rsidP="00C710D9">
      <w:pPr>
        <w:pStyle w:val="Heading1"/>
        <w:spacing w:afterLines="40" w:after="96"/>
        <w:rPr>
          <w:rFonts w:eastAsia="Calibri"/>
        </w:rPr>
      </w:pPr>
      <w:r w:rsidRPr="006B5A5A">
        <w:rPr>
          <w:rFonts w:eastAsia="Calibri"/>
        </w:rPr>
        <w:t>III</w:t>
      </w:r>
      <w:r w:rsidRPr="006B5A5A">
        <w:rPr>
          <w:b w:val="0"/>
          <w:bCs w:val="0"/>
          <w:caps w:val="0"/>
          <w:kern w:val="32"/>
        </w:rPr>
        <w:br/>
      </w:r>
      <w:r w:rsidRPr="006B5A5A">
        <w:rPr>
          <w:rFonts w:eastAsia="Calibri"/>
        </w:rPr>
        <w:t>ADMISIBILIDAD</w:t>
      </w:r>
    </w:p>
    <w:p w:rsidR="007D6E53" w:rsidRPr="006B5A5A" w:rsidRDefault="007D6E53" w:rsidP="00C710D9">
      <w:pPr>
        <w:autoSpaceDE w:val="0"/>
        <w:autoSpaceDN w:val="0"/>
        <w:adjustRightInd w:val="0"/>
        <w:spacing w:afterLines="40" w:after="96"/>
        <w:rPr>
          <w:rFonts w:eastAsia="Calibri" w:cs="Verdana"/>
          <w:b/>
          <w:lang w:val="es-CR"/>
        </w:rPr>
      </w:pPr>
    </w:p>
    <w:p w:rsidR="007D6E53" w:rsidRPr="006B5A5A" w:rsidRDefault="007D6E53" w:rsidP="00C710D9">
      <w:pPr>
        <w:numPr>
          <w:ilvl w:val="0"/>
          <w:numId w:val="1"/>
        </w:numPr>
        <w:tabs>
          <w:tab w:val="num" w:pos="720"/>
        </w:tabs>
        <w:autoSpaceDE w:val="0"/>
        <w:autoSpaceDN w:val="0"/>
        <w:adjustRightInd w:val="0"/>
        <w:spacing w:afterLines="40" w:after="96"/>
        <w:ind w:left="0"/>
        <w:jc w:val="both"/>
        <w:rPr>
          <w:rFonts w:eastAsia="Calibri" w:cs="Verdana"/>
          <w:strike/>
          <w:lang w:val="es-CR"/>
        </w:rPr>
      </w:pPr>
      <w:bookmarkStart w:id="1" w:name="_Ref391898657"/>
      <w:r w:rsidRPr="006B5A5A">
        <w:rPr>
          <w:lang w:val="es-CR"/>
        </w:rPr>
        <w:lastRenderedPageBreak/>
        <w:t>Corresponde a la Corte verificar si la solicitud presentada por el Estado cumple con los requisitos establecidos en las normas aplicables a una solicitud de interpretación de Sentencia, a saber, el artículo 67 de la Convención y el artículo 68 del Reglamento</w:t>
      </w:r>
      <w:r w:rsidRPr="006B5A5A">
        <w:rPr>
          <w:rStyle w:val="FootnoteReference"/>
          <w:lang w:val="es-CR"/>
        </w:rPr>
        <w:footnoteReference w:id="4"/>
      </w:r>
      <w:r w:rsidRPr="006B5A5A">
        <w:rPr>
          <w:lang w:val="es-CR"/>
        </w:rPr>
        <w:t>.</w:t>
      </w:r>
    </w:p>
    <w:p w:rsidR="007D6E53" w:rsidRPr="006B5A5A" w:rsidRDefault="007D6E53" w:rsidP="00C710D9">
      <w:pPr>
        <w:autoSpaceDE w:val="0"/>
        <w:autoSpaceDN w:val="0"/>
        <w:adjustRightInd w:val="0"/>
        <w:spacing w:afterLines="40" w:after="96"/>
        <w:jc w:val="both"/>
        <w:rPr>
          <w:rFonts w:eastAsia="Calibri" w:cs="Verdana"/>
          <w:strike/>
          <w:lang w:val="es-CR"/>
        </w:rPr>
      </w:pPr>
    </w:p>
    <w:p w:rsidR="00CD7526" w:rsidRPr="006B5A5A" w:rsidRDefault="007D6E53" w:rsidP="00C710D9">
      <w:pPr>
        <w:numPr>
          <w:ilvl w:val="0"/>
          <w:numId w:val="1"/>
        </w:numPr>
        <w:tabs>
          <w:tab w:val="num" w:pos="720"/>
        </w:tabs>
        <w:autoSpaceDE w:val="0"/>
        <w:autoSpaceDN w:val="0"/>
        <w:adjustRightInd w:val="0"/>
        <w:spacing w:afterLines="40" w:after="96"/>
        <w:ind w:left="0"/>
        <w:jc w:val="both"/>
        <w:rPr>
          <w:lang w:val="es-CR"/>
        </w:rPr>
      </w:pPr>
      <w:r w:rsidRPr="006B5A5A">
        <w:rPr>
          <w:lang w:val="es-CR"/>
        </w:rPr>
        <w:t xml:space="preserve">Este Tribunal nota que el </w:t>
      </w:r>
      <w:r w:rsidR="00AD71B5" w:rsidRPr="006B5A5A">
        <w:rPr>
          <w:lang w:val="es-CR"/>
        </w:rPr>
        <w:t>los representantes presentaron</w:t>
      </w:r>
      <w:r w:rsidRPr="006B5A5A">
        <w:rPr>
          <w:lang w:val="es-CR"/>
        </w:rPr>
        <w:t xml:space="preserve"> su solicitud de interpretación de la Sentencia </w:t>
      </w:r>
      <w:r w:rsidR="00AD71B5" w:rsidRPr="006B5A5A">
        <w:rPr>
          <w:lang w:val="es-CR"/>
        </w:rPr>
        <w:t xml:space="preserve">el </w:t>
      </w:r>
      <w:r w:rsidR="00B1155B" w:rsidRPr="006B5A5A">
        <w:rPr>
          <w:lang w:val="es-PR"/>
        </w:rPr>
        <w:t xml:space="preserve">22 </w:t>
      </w:r>
      <w:r w:rsidR="00AD71B5" w:rsidRPr="006B5A5A">
        <w:rPr>
          <w:lang w:val="es-PR"/>
        </w:rPr>
        <w:t xml:space="preserve">de </w:t>
      </w:r>
      <w:r w:rsidR="00B1155B" w:rsidRPr="006B5A5A">
        <w:rPr>
          <w:lang w:val="es-PR"/>
        </w:rPr>
        <w:t>diciembre</w:t>
      </w:r>
      <w:r w:rsidR="00AD71B5" w:rsidRPr="006B5A5A">
        <w:rPr>
          <w:lang w:val="es-PR"/>
        </w:rPr>
        <w:t xml:space="preserve"> de 2017</w:t>
      </w:r>
      <w:r w:rsidRPr="006B5A5A">
        <w:rPr>
          <w:lang w:val="es-CR"/>
        </w:rPr>
        <w:t xml:space="preserve">, dentro del plazo de noventa días establecido en el artículo 67 de la Convención, ya que la misma fue notificada el </w:t>
      </w:r>
      <w:r w:rsidR="00AD71B5" w:rsidRPr="006B5A5A">
        <w:rPr>
          <w:lang w:val="es-CR"/>
        </w:rPr>
        <w:t>2</w:t>
      </w:r>
      <w:r w:rsidR="00B1155B" w:rsidRPr="006B5A5A">
        <w:rPr>
          <w:lang w:val="es-CR"/>
        </w:rPr>
        <w:t>5</w:t>
      </w:r>
      <w:r w:rsidR="00AD71B5" w:rsidRPr="006B5A5A">
        <w:rPr>
          <w:lang w:val="es-CR"/>
        </w:rPr>
        <w:t xml:space="preserve"> de </w:t>
      </w:r>
      <w:r w:rsidR="00B1155B" w:rsidRPr="006B5A5A">
        <w:rPr>
          <w:lang w:val="es-CR"/>
        </w:rPr>
        <w:t>septiembre</w:t>
      </w:r>
      <w:r w:rsidR="00AD71B5" w:rsidRPr="006B5A5A">
        <w:rPr>
          <w:lang w:val="es-CR"/>
        </w:rPr>
        <w:t xml:space="preserve"> de 2017</w:t>
      </w:r>
      <w:r w:rsidRPr="006B5A5A">
        <w:rPr>
          <w:rStyle w:val="FootnoteReference"/>
          <w:lang w:val="es-CR"/>
        </w:rPr>
        <w:footnoteReference w:id="5"/>
      </w:r>
      <w:r w:rsidRPr="006B5A5A">
        <w:rPr>
          <w:lang w:val="es-CR"/>
        </w:rPr>
        <w:t xml:space="preserve">. Por ende, la solicitud resulta admisible en lo que se refiere al plazo de su presentación. </w:t>
      </w:r>
      <w:r w:rsidRPr="006B5A5A">
        <w:t>En cuanto a los demás requisitos, la Corte realizará el análisis respectivo al examinar el contenido de la presente solicitud de interpretación en el próximo capítulo.</w:t>
      </w:r>
      <w:bookmarkEnd w:id="1"/>
    </w:p>
    <w:p w:rsidR="00CD7526" w:rsidRPr="006B5A5A" w:rsidRDefault="00CD7526" w:rsidP="00C710D9">
      <w:pPr>
        <w:spacing w:afterLines="40" w:after="96"/>
        <w:rPr>
          <w:strike/>
          <w:lang w:val="es-CR"/>
        </w:rPr>
      </w:pPr>
    </w:p>
    <w:p w:rsidR="007D6E53" w:rsidRPr="006B5A5A" w:rsidRDefault="007D6E53" w:rsidP="00C710D9">
      <w:pPr>
        <w:pStyle w:val="Heading1"/>
        <w:spacing w:afterLines="40" w:after="96"/>
        <w:rPr>
          <w:rFonts w:eastAsia="Calibri"/>
        </w:rPr>
      </w:pPr>
      <w:r w:rsidRPr="006B5A5A">
        <w:t>IV</w:t>
      </w:r>
      <w:r w:rsidRPr="006B5A5A">
        <w:rPr>
          <w:b w:val="0"/>
          <w:bCs w:val="0"/>
          <w:caps w:val="0"/>
          <w:kern w:val="32"/>
        </w:rPr>
        <w:br/>
      </w:r>
      <w:r w:rsidRPr="006B5A5A">
        <w:rPr>
          <w:rFonts w:eastAsia="Calibri"/>
        </w:rPr>
        <w:t>ANÁLISIS DE LA PROCEDENCIA DE LA SOLICITUD DE INTERPRETACIÓN</w:t>
      </w:r>
    </w:p>
    <w:p w:rsidR="007D6E53" w:rsidRPr="006B5A5A" w:rsidRDefault="007D6E53" w:rsidP="00C710D9">
      <w:pPr>
        <w:spacing w:afterLines="40" w:after="96"/>
        <w:jc w:val="both"/>
        <w:rPr>
          <w:lang w:val="es-CR"/>
        </w:rPr>
      </w:pPr>
    </w:p>
    <w:p w:rsidR="007D6E53" w:rsidRPr="006B5A5A" w:rsidRDefault="007D6E53" w:rsidP="00C710D9">
      <w:pPr>
        <w:numPr>
          <w:ilvl w:val="0"/>
          <w:numId w:val="1"/>
        </w:numPr>
        <w:tabs>
          <w:tab w:val="num" w:pos="720"/>
        </w:tabs>
        <w:autoSpaceDE w:val="0"/>
        <w:autoSpaceDN w:val="0"/>
        <w:adjustRightInd w:val="0"/>
        <w:spacing w:afterLines="40" w:after="96"/>
        <w:ind w:left="0"/>
        <w:jc w:val="both"/>
        <w:rPr>
          <w:b/>
          <w:lang w:val="es-CR"/>
        </w:rPr>
      </w:pPr>
      <w:r w:rsidRPr="006B5A5A">
        <w:rPr>
          <w:lang w:val="es-CR"/>
        </w:rPr>
        <w:t xml:space="preserve">A continuación, la Corte examinará la solicitud </w:t>
      </w:r>
      <w:r w:rsidR="00B1155B" w:rsidRPr="006B5A5A">
        <w:rPr>
          <w:lang w:val="es-CR"/>
        </w:rPr>
        <w:t>de los representantes</w:t>
      </w:r>
      <w:r w:rsidRPr="006B5A5A">
        <w:rPr>
          <w:lang w:val="es-CR"/>
        </w:rPr>
        <w:t xml:space="preserve"> para determinar si, de acuerdo a la normativa y a los estándares desarrollados en su jurisprudencia, procede aclarar el sentido o alcance de algún punto de la Sentencia.</w:t>
      </w:r>
    </w:p>
    <w:p w:rsidR="007D6E53" w:rsidRPr="006B5A5A" w:rsidRDefault="007D6E53" w:rsidP="00C710D9">
      <w:pPr>
        <w:autoSpaceDE w:val="0"/>
        <w:autoSpaceDN w:val="0"/>
        <w:adjustRightInd w:val="0"/>
        <w:spacing w:afterLines="40" w:after="96"/>
        <w:jc w:val="both"/>
        <w:rPr>
          <w:b/>
          <w:lang w:val="es-CR"/>
        </w:rPr>
      </w:pPr>
    </w:p>
    <w:p w:rsidR="007D6E53" w:rsidRPr="006B5A5A" w:rsidRDefault="007D6E53" w:rsidP="00C710D9">
      <w:pPr>
        <w:numPr>
          <w:ilvl w:val="0"/>
          <w:numId w:val="1"/>
        </w:numPr>
        <w:tabs>
          <w:tab w:val="num" w:pos="720"/>
        </w:tabs>
        <w:autoSpaceDE w:val="0"/>
        <w:autoSpaceDN w:val="0"/>
        <w:adjustRightInd w:val="0"/>
        <w:spacing w:afterLines="40" w:after="96"/>
        <w:ind w:left="0"/>
        <w:jc w:val="both"/>
        <w:rPr>
          <w:lang w:val="es-CR"/>
        </w:rPr>
      </w:pPr>
      <w:bookmarkStart w:id="2" w:name="_Ref392082429"/>
      <w:r w:rsidRPr="006B5A5A">
        <w:rPr>
          <w:lang w:val="es-CR"/>
        </w:rPr>
        <w:t>Para analizar la procedencia de la solicitud de</w:t>
      </w:r>
      <w:r w:rsidR="00B1155B" w:rsidRPr="006B5A5A">
        <w:rPr>
          <w:lang w:val="es-CR"/>
        </w:rPr>
        <w:t xml:space="preserve"> los representantes</w:t>
      </w:r>
      <w:r w:rsidRPr="006B5A5A">
        <w:rPr>
          <w:lang w:val="es-CR"/>
        </w:rPr>
        <w:t>, la Corte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Pr="006B5A5A">
        <w:rPr>
          <w:rStyle w:val="FootnoteReference"/>
          <w:lang w:val="es-CR"/>
        </w:rPr>
        <w:footnoteReference w:id="6"/>
      </w:r>
      <w:r w:rsidRPr="006B5A5A">
        <w:rPr>
          <w:lang w:val="es-CR"/>
        </w:rPr>
        <w:t>. Por lo tanto, de conformidad con el artículo 31.3 del Reglamento, no se puede solicitar la modificación o anulación de la sentencia respectiva a través de una solicitud de interpretación</w:t>
      </w:r>
      <w:r w:rsidRPr="006B5A5A">
        <w:rPr>
          <w:rStyle w:val="FootnoteReference"/>
          <w:lang w:val="es-CR"/>
        </w:rPr>
        <w:footnoteReference w:id="7"/>
      </w:r>
      <w:r w:rsidRPr="006B5A5A">
        <w:rPr>
          <w:lang w:val="es-CR"/>
        </w:rPr>
        <w:t>.</w:t>
      </w:r>
      <w:bookmarkEnd w:id="2"/>
    </w:p>
    <w:p w:rsidR="007D6E53" w:rsidRPr="006B5A5A" w:rsidRDefault="007D6E53" w:rsidP="00C710D9">
      <w:pPr>
        <w:autoSpaceDE w:val="0"/>
        <w:autoSpaceDN w:val="0"/>
        <w:adjustRightInd w:val="0"/>
        <w:spacing w:afterLines="40" w:after="96"/>
        <w:jc w:val="both"/>
        <w:rPr>
          <w:lang w:val="es-CR"/>
        </w:rPr>
      </w:pPr>
    </w:p>
    <w:p w:rsidR="007D6E53" w:rsidRPr="006B5A5A" w:rsidRDefault="007D6E53" w:rsidP="00C710D9">
      <w:pPr>
        <w:numPr>
          <w:ilvl w:val="0"/>
          <w:numId w:val="1"/>
        </w:numPr>
        <w:tabs>
          <w:tab w:val="clear" w:pos="1427"/>
          <w:tab w:val="num" w:pos="720"/>
        </w:tabs>
        <w:spacing w:afterLines="40" w:after="96"/>
        <w:ind w:left="0"/>
        <w:jc w:val="both"/>
        <w:rPr>
          <w:lang w:val="es-CR"/>
        </w:rPr>
      </w:pPr>
      <w:r w:rsidRPr="006B5A5A">
        <w:rPr>
          <w:lang w:val="es-CR"/>
        </w:rPr>
        <w:t>Adicionalmente, la Corte ha sostenido la improcedencia de utilizar una solicitud de interpretación para someter cuestiones de hecho y de derecho que ya fueron planteadas en su oportunidad procesal y sobre las cuales la Corte ya adoptó una decisión</w:t>
      </w:r>
      <w:r w:rsidRPr="006B5A5A">
        <w:rPr>
          <w:rStyle w:val="FootnoteReference"/>
          <w:lang w:val="es-CR"/>
        </w:rPr>
        <w:footnoteReference w:id="8"/>
      </w:r>
      <w:r w:rsidRPr="006B5A5A">
        <w:rPr>
          <w:lang w:val="es-CR"/>
        </w:rPr>
        <w:t>, así como para pretender que la Corte valore nuevamente cuestiones que ya han sido resueltas por ésta en su Sentencia</w:t>
      </w:r>
      <w:r w:rsidRPr="006B5A5A">
        <w:rPr>
          <w:rStyle w:val="FootnoteReference"/>
          <w:lang w:val="es-CR"/>
        </w:rPr>
        <w:footnoteReference w:id="9"/>
      </w:r>
      <w:r w:rsidRPr="006B5A5A">
        <w:rPr>
          <w:lang w:val="es-CR"/>
        </w:rPr>
        <w:t xml:space="preserve">. De igual manera, por esta vía tampoco se puede intentar que se amplíe el alcance </w:t>
      </w:r>
      <w:r w:rsidRPr="006B5A5A">
        <w:rPr>
          <w:lang w:val="es-CR"/>
        </w:rPr>
        <w:lastRenderedPageBreak/>
        <w:t>de una medida de reparación ordenada oportunamente</w:t>
      </w:r>
      <w:r w:rsidRPr="006B5A5A">
        <w:rPr>
          <w:rStyle w:val="FootnoteReference"/>
          <w:lang w:val="es-CR"/>
        </w:rPr>
        <w:footnoteReference w:id="10"/>
      </w:r>
      <w:r w:rsidRPr="006B5A5A">
        <w:rPr>
          <w:lang w:val="es-CR"/>
        </w:rPr>
        <w:t xml:space="preserve">. Bajo este entendido, la Corte examinará las cuestiones planteadas por </w:t>
      </w:r>
      <w:r w:rsidR="00AE7C3A" w:rsidRPr="006B5A5A">
        <w:rPr>
          <w:lang w:val="es-CR"/>
        </w:rPr>
        <w:t>los representantes</w:t>
      </w:r>
      <w:r w:rsidRPr="006B5A5A">
        <w:rPr>
          <w:lang w:val="es-CR"/>
        </w:rPr>
        <w:t>, así como los alegatos presentados por los representantes y la Comisión, respectivamente, y determinará la procedencia de las mismas.</w:t>
      </w:r>
    </w:p>
    <w:p w:rsidR="007D6E53" w:rsidRPr="006B5A5A" w:rsidRDefault="007D6E53" w:rsidP="00C710D9">
      <w:pPr>
        <w:autoSpaceDE w:val="0"/>
        <w:autoSpaceDN w:val="0"/>
        <w:adjustRightInd w:val="0"/>
        <w:spacing w:afterLines="40" w:after="96"/>
        <w:jc w:val="both"/>
        <w:rPr>
          <w:rFonts w:eastAsia="Calibri" w:cs="Verdana"/>
          <w:lang w:val="es-CR"/>
        </w:rPr>
      </w:pPr>
    </w:p>
    <w:p w:rsidR="007D6E53" w:rsidRPr="00A728BD" w:rsidRDefault="007D6E53" w:rsidP="00C710D9">
      <w:pPr>
        <w:autoSpaceDE w:val="0"/>
        <w:autoSpaceDN w:val="0"/>
        <w:adjustRightInd w:val="0"/>
        <w:spacing w:afterLines="40" w:after="96"/>
        <w:jc w:val="both"/>
        <w:rPr>
          <w:rFonts w:eastAsiaTheme="minorHAnsi" w:cs="Calibri-Bold"/>
          <w:b/>
          <w:bCs/>
          <w:i/>
          <w:lang w:val="es-CR"/>
        </w:rPr>
      </w:pPr>
      <w:r w:rsidRPr="00A728BD">
        <w:rPr>
          <w:rFonts w:eastAsia="Calibri" w:cs="Verdana"/>
          <w:b/>
          <w:i/>
          <w:lang w:val="es-CR"/>
        </w:rPr>
        <w:t>A.</w:t>
      </w:r>
      <w:r w:rsidRPr="00A728BD">
        <w:rPr>
          <w:rFonts w:eastAsia="Calibri" w:cs="Verdana"/>
          <w:i/>
          <w:lang w:val="es-CR"/>
        </w:rPr>
        <w:tab/>
      </w:r>
      <w:r w:rsidR="00897F89" w:rsidRPr="00A728BD">
        <w:rPr>
          <w:rFonts w:eastAsia="Calibri" w:cs="Verdana"/>
          <w:b/>
          <w:i/>
          <w:lang w:val="es-CR"/>
        </w:rPr>
        <w:t>Sobre la figura jurídica bajo la cual se encuadraría la desaparición de Mayra Gutiérrez</w:t>
      </w:r>
    </w:p>
    <w:p w:rsidR="007D6E53" w:rsidRPr="006B5A5A" w:rsidRDefault="007D6E53" w:rsidP="00C710D9">
      <w:pPr>
        <w:autoSpaceDE w:val="0"/>
        <w:autoSpaceDN w:val="0"/>
        <w:adjustRightInd w:val="0"/>
        <w:spacing w:afterLines="40" w:after="96"/>
        <w:jc w:val="both"/>
        <w:rPr>
          <w:rFonts w:eastAsia="Calibri" w:cs="Verdana"/>
          <w:b/>
          <w:lang w:val="es-CR"/>
        </w:rPr>
      </w:pPr>
    </w:p>
    <w:p w:rsidR="007D6E53" w:rsidRPr="006B5A5A" w:rsidRDefault="00FA47F4" w:rsidP="00C710D9">
      <w:pPr>
        <w:autoSpaceDE w:val="0"/>
        <w:autoSpaceDN w:val="0"/>
        <w:adjustRightInd w:val="0"/>
        <w:spacing w:afterLines="40" w:after="96"/>
        <w:ind w:left="708"/>
        <w:jc w:val="both"/>
        <w:rPr>
          <w:rFonts w:eastAsia="Calibri" w:cs="Verdana"/>
          <w:i/>
          <w:lang w:val="es-CR"/>
        </w:rPr>
      </w:pPr>
      <w:r w:rsidRPr="006B5A5A">
        <w:rPr>
          <w:rFonts w:eastAsia="Calibri" w:cs="Verdana"/>
          <w:i/>
          <w:lang w:val="es-CR"/>
        </w:rPr>
        <w:t>A.</w:t>
      </w:r>
      <w:r w:rsidR="007D6E53" w:rsidRPr="006B5A5A">
        <w:rPr>
          <w:rFonts w:eastAsia="Calibri" w:cs="Verdana"/>
          <w:i/>
          <w:lang w:val="es-CR"/>
        </w:rPr>
        <w:t xml:space="preserve">1. Argumentos de las partes y de la Comisión </w:t>
      </w:r>
    </w:p>
    <w:p w:rsidR="007D6E53" w:rsidRPr="006B5A5A" w:rsidRDefault="007D6E53" w:rsidP="00C710D9">
      <w:pPr>
        <w:pStyle w:val="MediumGrid1-Accent21"/>
        <w:spacing w:afterLines="40" w:after="96"/>
        <w:ind w:left="708"/>
        <w:rPr>
          <w:rFonts w:eastAsia="Calibri" w:cs="Verdana"/>
          <w:i/>
          <w:lang w:val="es-CR"/>
        </w:rPr>
      </w:pPr>
    </w:p>
    <w:p w:rsidR="00CA7316" w:rsidRPr="006B5A5A" w:rsidRDefault="00406961" w:rsidP="00C710D9">
      <w:pPr>
        <w:numPr>
          <w:ilvl w:val="0"/>
          <w:numId w:val="1"/>
        </w:numPr>
        <w:tabs>
          <w:tab w:val="clear" w:pos="1427"/>
          <w:tab w:val="num" w:pos="720"/>
        </w:tabs>
        <w:spacing w:afterLines="40" w:after="96"/>
        <w:ind w:left="0"/>
        <w:jc w:val="both"/>
        <w:rPr>
          <w:rFonts w:eastAsia="Calibri" w:cs="Verdana"/>
          <w:lang w:val="es-CR"/>
        </w:rPr>
      </w:pPr>
      <w:r w:rsidRPr="006B5A5A">
        <w:rPr>
          <w:rFonts w:eastAsia="Calibri" w:cs="Verdana"/>
          <w:lang w:val="es-CR"/>
        </w:rPr>
        <w:t xml:space="preserve">Los </w:t>
      </w:r>
      <w:r w:rsidRPr="006B5A5A">
        <w:rPr>
          <w:rFonts w:eastAsia="Calibri" w:cs="Verdana"/>
          <w:b/>
          <w:i/>
          <w:lang w:val="es-CR"/>
        </w:rPr>
        <w:t>representantes</w:t>
      </w:r>
      <w:r w:rsidRPr="006B5A5A">
        <w:rPr>
          <w:rFonts w:eastAsia="Calibri" w:cs="Verdana"/>
          <w:lang w:val="es-CR"/>
        </w:rPr>
        <w:t xml:space="preserve"> </w:t>
      </w:r>
      <w:r w:rsidR="00E20CFC" w:rsidRPr="006B5A5A">
        <w:rPr>
          <w:rFonts w:eastAsia="Calibri" w:cs="Verdana"/>
          <w:lang w:val="es-CR"/>
        </w:rPr>
        <w:t>consultaron “[b]ajo qu[</w:t>
      </w:r>
      <w:r w:rsidR="00E20CFC" w:rsidRPr="006B5A5A">
        <w:rPr>
          <w:rFonts w:eastAsia="Calibri" w:cs="Verdana"/>
          <w:lang w:val="es-GT"/>
        </w:rPr>
        <w:t>é</w:t>
      </w:r>
      <w:r w:rsidR="00E20CFC" w:rsidRPr="006B5A5A">
        <w:rPr>
          <w:rFonts w:eastAsia="Calibri" w:cs="Verdana"/>
          <w:lang w:val="es-CR"/>
        </w:rPr>
        <w:t>] figura jurídica se</w:t>
      </w:r>
      <w:r w:rsidR="00B9411D" w:rsidRPr="006B5A5A">
        <w:rPr>
          <w:rFonts w:eastAsia="Calibri" w:cs="Verdana"/>
          <w:lang w:val="es-CR"/>
        </w:rPr>
        <w:t xml:space="preserve"> encuadra la desaparición de [l]a [v]íctima Mayra Angelina Gutiérrez Hernández”.</w:t>
      </w:r>
      <w:r w:rsidR="00E20CFC" w:rsidRPr="006B5A5A">
        <w:rPr>
          <w:rFonts w:eastAsia="Calibri" w:cs="Verdana"/>
          <w:lang w:val="es-CR"/>
        </w:rPr>
        <w:t xml:space="preserve"> </w:t>
      </w:r>
      <w:r w:rsidR="00B9411D" w:rsidRPr="006B5A5A">
        <w:rPr>
          <w:rFonts w:eastAsia="Calibri" w:cs="Verdana"/>
          <w:lang w:val="es-CR"/>
        </w:rPr>
        <w:t xml:space="preserve">Señalaron </w:t>
      </w:r>
      <w:r w:rsidRPr="006B5A5A">
        <w:rPr>
          <w:rFonts w:cs="Arial"/>
          <w:lang w:val="es-CR"/>
        </w:rPr>
        <w:t>que</w:t>
      </w:r>
      <w:r w:rsidR="00492C0D" w:rsidRPr="006B5A5A">
        <w:rPr>
          <w:rFonts w:cs="Arial"/>
          <w:lang w:val="es-CR"/>
        </w:rPr>
        <w:t>,</w:t>
      </w:r>
      <w:r w:rsidRPr="006B5A5A">
        <w:rPr>
          <w:rFonts w:cs="Arial"/>
          <w:lang w:val="es-CR"/>
        </w:rPr>
        <w:t xml:space="preserve"> de lo documentado y conocido por la Corte, se puede establecer que la víctima está desaparecida</w:t>
      </w:r>
      <w:r w:rsidR="00B9411D" w:rsidRPr="006B5A5A">
        <w:rPr>
          <w:rFonts w:cs="Arial"/>
          <w:lang w:val="es-CR"/>
        </w:rPr>
        <w:t xml:space="preserve"> y que </w:t>
      </w:r>
      <w:r w:rsidRPr="006B5A5A">
        <w:rPr>
          <w:rFonts w:cs="Arial"/>
          <w:lang w:val="es-CR"/>
        </w:rPr>
        <w:t xml:space="preserve">en la actualidad no se ha </w:t>
      </w:r>
      <w:r w:rsidRPr="006B5A5A">
        <w:rPr>
          <w:lang w:val="es-CR"/>
        </w:rPr>
        <w:t>establecido</w:t>
      </w:r>
      <w:r w:rsidRPr="006B5A5A">
        <w:rPr>
          <w:rFonts w:cs="Arial"/>
          <w:lang w:val="es-CR"/>
        </w:rPr>
        <w:t xml:space="preserve"> </w:t>
      </w:r>
      <w:r w:rsidR="00492C0D" w:rsidRPr="006B5A5A">
        <w:rPr>
          <w:rFonts w:cs="Arial"/>
          <w:lang w:val="es-CR"/>
        </w:rPr>
        <w:t>su</w:t>
      </w:r>
      <w:r w:rsidRPr="006B5A5A">
        <w:rPr>
          <w:rFonts w:cs="Arial"/>
          <w:lang w:val="es-CR"/>
        </w:rPr>
        <w:t xml:space="preserve"> paradero. </w:t>
      </w:r>
      <w:r w:rsidR="00DF08BA" w:rsidRPr="006B5A5A">
        <w:rPr>
          <w:rFonts w:cs="Arial"/>
          <w:lang w:val="es-CR"/>
        </w:rPr>
        <w:t>Señalaron que en el caso de la señora Gutiérrez, se puede establecer que hay un patrón sistemático, en similitud a los casos del Diario Militar, así como la tergiversación y desviación de la investigación que permitiera establecer su paradero y, días posteriores a su desaparición, el hallazgo del archivo militar en las instalaciones de la SAE.</w:t>
      </w:r>
      <w:r w:rsidR="004341B4" w:rsidRPr="006B5A5A">
        <w:rPr>
          <w:rFonts w:cs="Arial"/>
          <w:lang w:val="es-CR"/>
        </w:rPr>
        <w:t xml:space="preserve"> Además, consultaron cu</w:t>
      </w:r>
      <w:r w:rsidR="00492C0D" w:rsidRPr="006B5A5A">
        <w:rPr>
          <w:rFonts w:cs="Arial"/>
          <w:lang w:val="es-CR"/>
        </w:rPr>
        <w:t>á</w:t>
      </w:r>
      <w:r w:rsidR="004341B4" w:rsidRPr="006B5A5A">
        <w:rPr>
          <w:rFonts w:cs="Arial"/>
          <w:lang w:val="es-CR"/>
        </w:rPr>
        <w:t xml:space="preserve">l sería a </w:t>
      </w:r>
      <w:r w:rsidR="006941AD" w:rsidRPr="006B5A5A">
        <w:rPr>
          <w:rFonts w:cs="Arial"/>
          <w:lang w:val="es-CR"/>
        </w:rPr>
        <w:t>futuro el estatus legal en cuant</w:t>
      </w:r>
      <w:r w:rsidR="004341B4" w:rsidRPr="006B5A5A">
        <w:rPr>
          <w:rFonts w:cs="Arial"/>
          <w:lang w:val="es-CR"/>
        </w:rPr>
        <w:t>o a la desaparición ante la Corte Interamericana de Derechos Humanos, si se reencausa</w:t>
      </w:r>
      <w:r w:rsidR="00DF08BA" w:rsidRPr="006B5A5A">
        <w:rPr>
          <w:rFonts w:cs="Arial"/>
          <w:lang w:val="es-CR"/>
        </w:rPr>
        <w:t>ra</w:t>
      </w:r>
      <w:r w:rsidR="004341B4" w:rsidRPr="006B5A5A">
        <w:rPr>
          <w:rFonts w:cs="Arial"/>
          <w:lang w:val="es-CR"/>
        </w:rPr>
        <w:t xml:space="preserve"> una investigación</w:t>
      </w:r>
      <w:r w:rsidR="00BD59D3" w:rsidRPr="006B5A5A">
        <w:rPr>
          <w:rFonts w:cs="Arial"/>
          <w:lang w:val="es-CR"/>
        </w:rPr>
        <w:t xml:space="preserve"> </w:t>
      </w:r>
      <w:r w:rsidR="004341B4" w:rsidRPr="006B5A5A">
        <w:rPr>
          <w:rFonts w:cs="Arial"/>
          <w:lang w:val="es-CR"/>
        </w:rPr>
        <w:t xml:space="preserve">que pudiese </w:t>
      </w:r>
      <w:r w:rsidR="00DF08BA" w:rsidRPr="006B5A5A">
        <w:rPr>
          <w:rFonts w:cs="Arial"/>
          <w:lang w:val="es-CR"/>
        </w:rPr>
        <w:t>tipificar</w:t>
      </w:r>
      <w:r w:rsidR="004341B4" w:rsidRPr="006B5A5A">
        <w:rPr>
          <w:rFonts w:cs="Arial"/>
          <w:lang w:val="es-CR"/>
        </w:rPr>
        <w:t xml:space="preserve"> el hecho como desaparición forzada.</w:t>
      </w:r>
      <w:r w:rsidR="00DF08BA" w:rsidRPr="006B5A5A">
        <w:rPr>
          <w:rFonts w:cs="Arial"/>
          <w:b/>
          <w:lang w:val="es-CR"/>
        </w:rPr>
        <w:t xml:space="preserve"> </w:t>
      </w:r>
      <w:r w:rsidR="00CA7316" w:rsidRPr="006B5A5A">
        <w:rPr>
          <w:rFonts w:cs="Arial"/>
          <w:lang w:val="es-CR"/>
        </w:rPr>
        <w:t>Alegaron que lo resuelto por lo Corte en el párrafo 131 de la Sentencia en sentido que, “de la prueba ante el Tribunal no se desprende si los archivos entregados por la SAE en los cuales aparece el nombre de Mayra Gutiérrez datan de la época del conflicto o bien, se trataría de información recopilada de forma contemporánea a los hechos del presente caso”, sería contrario a los hechos establecidos en los párrafos 127 y 129 de la Sentencia y la declaración del señor Edgar Gutiérrez Girón</w:t>
      </w:r>
      <w:r w:rsidR="006258C9" w:rsidRPr="006B5A5A">
        <w:rPr>
          <w:rFonts w:cs="Arial"/>
          <w:lang w:val="es-CR"/>
        </w:rPr>
        <w:t>, de la Secretaría de Análisis Estratégico</w:t>
      </w:r>
      <w:r w:rsidR="009E4F8A" w:rsidRPr="006B5A5A">
        <w:rPr>
          <w:rFonts w:cs="Arial"/>
          <w:lang w:val="es-CR"/>
        </w:rPr>
        <w:t xml:space="preserve"> (SAE)</w:t>
      </w:r>
      <w:r w:rsidR="006258C9" w:rsidRPr="006B5A5A">
        <w:rPr>
          <w:rFonts w:cs="Arial"/>
          <w:lang w:val="es-CR"/>
        </w:rPr>
        <w:t xml:space="preserve">, </w:t>
      </w:r>
      <w:r w:rsidR="00CC2040" w:rsidRPr="006B5A5A">
        <w:rPr>
          <w:rFonts w:cs="Arial"/>
          <w:lang w:val="es-CR"/>
        </w:rPr>
        <w:t>admitida en el párrafo 39.</w:t>
      </w:r>
      <w:r w:rsidR="001F6629" w:rsidRPr="006B5A5A">
        <w:rPr>
          <w:rFonts w:cs="Arial"/>
          <w:lang w:val="es-CR"/>
        </w:rPr>
        <w:t xml:space="preserve"> </w:t>
      </w:r>
      <w:r w:rsidR="00275DFD" w:rsidRPr="006B5A5A">
        <w:rPr>
          <w:rFonts w:cs="Arial"/>
          <w:lang w:val="es-CR"/>
        </w:rPr>
        <w:t>Al respecto, consultaron si dicha declaración fue tomada en consideración y cuál fue el valor probatorio que se le dio</w:t>
      </w:r>
      <w:r w:rsidR="004C77A8" w:rsidRPr="006B5A5A">
        <w:rPr>
          <w:rFonts w:cs="Arial"/>
          <w:lang w:val="es-CR"/>
        </w:rPr>
        <w:t>, así como cuáles serían los alcances de los párrafos indicados</w:t>
      </w:r>
      <w:r w:rsidR="00275DFD" w:rsidRPr="006B5A5A">
        <w:rPr>
          <w:rFonts w:cs="Arial"/>
          <w:lang w:val="es-CR"/>
        </w:rPr>
        <w:t>.</w:t>
      </w:r>
    </w:p>
    <w:p w:rsidR="006A0F4F" w:rsidRPr="006B5A5A" w:rsidRDefault="006A0F4F" w:rsidP="00C710D9">
      <w:pPr>
        <w:pStyle w:val="ListParagraph"/>
        <w:autoSpaceDE w:val="0"/>
        <w:autoSpaceDN w:val="0"/>
        <w:adjustRightInd w:val="0"/>
        <w:spacing w:afterLines="40" w:after="96"/>
        <w:ind w:left="0"/>
        <w:jc w:val="both"/>
        <w:rPr>
          <w:rFonts w:cs="Arial"/>
          <w:lang w:val="es-CR"/>
        </w:rPr>
      </w:pPr>
    </w:p>
    <w:p w:rsidR="00A5715C" w:rsidRPr="006B5A5A" w:rsidRDefault="006A0F4F" w:rsidP="00C710D9">
      <w:pPr>
        <w:numPr>
          <w:ilvl w:val="0"/>
          <w:numId w:val="1"/>
        </w:numPr>
        <w:tabs>
          <w:tab w:val="clear" w:pos="1427"/>
          <w:tab w:val="num" w:pos="720"/>
        </w:tabs>
        <w:spacing w:afterLines="40" w:after="96"/>
        <w:ind w:left="0"/>
        <w:jc w:val="both"/>
        <w:rPr>
          <w:rFonts w:cs="Arial"/>
          <w:lang w:val="es-CR"/>
        </w:rPr>
      </w:pPr>
      <w:r w:rsidRPr="006B5A5A">
        <w:rPr>
          <w:rFonts w:cs="Calibri"/>
          <w:lang w:val="es-CR"/>
        </w:rPr>
        <w:t xml:space="preserve">El </w:t>
      </w:r>
      <w:r w:rsidRPr="006B5A5A">
        <w:rPr>
          <w:rFonts w:cs="Calibri"/>
          <w:b/>
          <w:i/>
          <w:lang w:val="es-CR"/>
        </w:rPr>
        <w:t xml:space="preserve">Estado </w:t>
      </w:r>
      <w:r w:rsidRPr="006B5A5A">
        <w:rPr>
          <w:rFonts w:cs="Calibri"/>
          <w:lang w:val="es-CR"/>
        </w:rPr>
        <w:t>consideró que</w:t>
      </w:r>
      <w:r w:rsidR="00403FB7" w:rsidRPr="006B5A5A">
        <w:rPr>
          <w:rFonts w:cs="Calibri"/>
          <w:lang w:val="es-CR"/>
        </w:rPr>
        <w:t>,</w:t>
      </w:r>
      <w:r w:rsidR="00763D00" w:rsidRPr="006B5A5A">
        <w:rPr>
          <w:rFonts w:cs="Calibri"/>
          <w:lang w:val="es-CR"/>
        </w:rPr>
        <w:t xml:space="preserve"> </w:t>
      </w:r>
      <w:r w:rsidR="002A0DD6" w:rsidRPr="006B5A5A">
        <w:rPr>
          <w:rFonts w:cs="Calibri"/>
          <w:lang w:val="es-CR"/>
        </w:rPr>
        <w:t>“</w:t>
      </w:r>
      <w:r w:rsidRPr="006B5A5A">
        <w:rPr>
          <w:rFonts w:cs="Calibri"/>
          <w:lang w:val="es-CR"/>
        </w:rPr>
        <w:t xml:space="preserve">debido a que la víctima no se encontraba </w:t>
      </w:r>
      <w:r w:rsidR="002A0DD6" w:rsidRPr="006B5A5A">
        <w:rPr>
          <w:rFonts w:cs="Calibri"/>
          <w:lang w:val="es-CR"/>
        </w:rPr>
        <w:t xml:space="preserve">ni se encuentra </w:t>
      </w:r>
      <w:r w:rsidRPr="006B5A5A">
        <w:rPr>
          <w:rFonts w:cs="Calibri"/>
          <w:lang w:val="es-CR"/>
        </w:rPr>
        <w:t xml:space="preserve">bajo custodia del Estado, los </w:t>
      </w:r>
      <w:r w:rsidR="002A0DD6" w:rsidRPr="006B5A5A">
        <w:rPr>
          <w:rFonts w:cs="Calibri"/>
          <w:lang w:val="es-CR"/>
        </w:rPr>
        <w:t xml:space="preserve">[…] </w:t>
      </w:r>
      <w:r w:rsidRPr="006B5A5A">
        <w:rPr>
          <w:rFonts w:cs="Calibri"/>
          <w:lang w:val="es-CR"/>
        </w:rPr>
        <w:t xml:space="preserve">Jueces no </w:t>
      </w:r>
      <w:r w:rsidRPr="006B5A5A">
        <w:rPr>
          <w:rFonts w:cs="Arial"/>
          <w:lang w:val="es-CR"/>
        </w:rPr>
        <w:t>contaron</w:t>
      </w:r>
      <w:r w:rsidRPr="006B5A5A">
        <w:rPr>
          <w:rFonts w:cs="Calibri"/>
          <w:lang w:val="es-CR"/>
        </w:rPr>
        <w:t xml:space="preserve"> con sustento probatorio que les permitiera concluir que lo ocurrido a la señora Gutiérrez Hernández era desaparición forzada</w:t>
      </w:r>
      <w:r w:rsidR="002A0DD6" w:rsidRPr="006B5A5A">
        <w:rPr>
          <w:rFonts w:cs="Calibri"/>
          <w:lang w:val="es-CR"/>
        </w:rPr>
        <w:t>”</w:t>
      </w:r>
      <w:r w:rsidRPr="006B5A5A">
        <w:rPr>
          <w:rFonts w:cs="Calibri"/>
          <w:lang w:val="es-CR"/>
        </w:rPr>
        <w:t>.</w:t>
      </w:r>
      <w:r w:rsidR="002A0DD6" w:rsidRPr="006B5A5A">
        <w:rPr>
          <w:rFonts w:cs="Calibri"/>
          <w:lang w:val="es-CR"/>
        </w:rPr>
        <w:t xml:space="preserve"> Según el Estado, la Corte “pudo constatar que en el hecho ocurrido a la señora Gutiérrez Hernández no hubo participación del Estado y sus agentes”.</w:t>
      </w:r>
      <w:r w:rsidRPr="006B5A5A">
        <w:rPr>
          <w:rFonts w:cs="Calibri"/>
          <w:lang w:val="es-CR"/>
        </w:rPr>
        <w:t xml:space="preserve"> Asimismo, </w:t>
      </w:r>
      <w:r w:rsidR="0001613C" w:rsidRPr="006B5A5A">
        <w:rPr>
          <w:rFonts w:cs="Calibri"/>
          <w:lang w:val="es-CR"/>
        </w:rPr>
        <w:t xml:space="preserve">en relación con los párrafos 39, 129 y 131 de la Sentencia, </w:t>
      </w:r>
      <w:r w:rsidR="00B21C1A" w:rsidRPr="006B5A5A">
        <w:rPr>
          <w:rFonts w:cs="Calibri"/>
          <w:lang w:val="es-CR"/>
        </w:rPr>
        <w:t>Guatemala</w:t>
      </w:r>
      <w:r w:rsidRPr="006B5A5A">
        <w:rPr>
          <w:rFonts w:cs="Calibri"/>
          <w:lang w:val="es-CR"/>
        </w:rPr>
        <w:t xml:space="preserve"> </w:t>
      </w:r>
      <w:r w:rsidR="0001613C" w:rsidRPr="006B5A5A">
        <w:rPr>
          <w:rFonts w:cs="Calibri"/>
          <w:lang w:val="es-CR"/>
        </w:rPr>
        <w:t>alegó que “está demás el requerir […] una interpretación”</w:t>
      </w:r>
      <w:r w:rsidR="003F404B" w:rsidRPr="006B5A5A">
        <w:rPr>
          <w:rFonts w:cs="Calibri"/>
          <w:lang w:val="es-CR"/>
        </w:rPr>
        <w:t>,</w:t>
      </w:r>
      <w:r w:rsidR="0001613C" w:rsidRPr="006B5A5A">
        <w:rPr>
          <w:rFonts w:cs="Calibri"/>
          <w:lang w:val="es-CR"/>
        </w:rPr>
        <w:t xml:space="preserve"> toda vez que </w:t>
      </w:r>
      <w:r w:rsidR="00B21C1A" w:rsidRPr="006B5A5A">
        <w:rPr>
          <w:rFonts w:cs="Calibri"/>
          <w:lang w:val="es-CR"/>
        </w:rPr>
        <w:t xml:space="preserve">el </w:t>
      </w:r>
      <w:r w:rsidR="0001613C" w:rsidRPr="006B5A5A">
        <w:rPr>
          <w:rFonts w:cs="Calibri"/>
          <w:lang w:val="es-CR"/>
        </w:rPr>
        <w:t xml:space="preserve">mencionado </w:t>
      </w:r>
      <w:r w:rsidR="00B21C1A" w:rsidRPr="006B5A5A">
        <w:rPr>
          <w:rFonts w:cs="Calibri"/>
          <w:lang w:val="es-CR"/>
        </w:rPr>
        <w:t xml:space="preserve">párrafo 129 demostraría que el Estado carece de responsabilidad internacional </w:t>
      </w:r>
      <w:r w:rsidR="0001613C" w:rsidRPr="006B5A5A">
        <w:rPr>
          <w:rFonts w:cs="Calibri"/>
          <w:lang w:val="es-CR"/>
        </w:rPr>
        <w:t>en el</w:t>
      </w:r>
      <w:r w:rsidR="00B21C1A" w:rsidRPr="006B5A5A">
        <w:rPr>
          <w:rFonts w:cs="Calibri"/>
          <w:lang w:val="es-CR"/>
        </w:rPr>
        <w:t xml:space="preserve"> presente caso</w:t>
      </w:r>
      <w:r w:rsidR="0001613C" w:rsidRPr="006B5A5A">
        <w:rPr>
          <w:rFonts w:cs="Calibri"/>
          <w:lang w:val="es-CR"/>
        </w:rPr>
        <w:t>. También indicó que los párrafos 39 y 131 son claros, por lo que no habría necesidad de interpretarlos.</w:t>
      </w:r>
    </w:p>
    <w:p w:rsidR="00A5715C" w:rsidRPr="006B5A5A" w:rsidRDefault="00A5715C" w:rsidP="00C710D9">
      <w:pPr>
        <w:pStyle w:val="ListParagraph"/>
        <w:spacing w:afterLines="40" w:after="96"/>
        <w:ind w:left="0"/>
        <w:rPr>
          <w:rFonts w:cs="Calibri"/>
          <w:lang w:val="es-CR"/>
        </w:rPr>
      </w:pPr>
    </w:p>
    <w:p w:rsidR="00A5715C" w:rsidRPr="006B5A5A" w:rsidRDefault="00A5715C" w:rsidP="00C710D9">
      <w:pPr>
        <w:pStyle w:val="ListParagraph"/>
        <w:numPr>
          <w:ilvl w:val="0"/>
          <w:numId w:val="1"/>
        </w:numPr>
        <w:tabs>
          <w:tab w:val="clear" w:pos="1427"/>
          <w:tab w:val="num" w:pos="990"/>
        </w:tabs>
        <w:autoSpaceDE w:val="0"/>
        <w:autoSpaceDN w:val="0"/>
        <w:adjustRightInd w:val="0"/>
        <w:spacing w:afterLines="40" w:after="96"/>
        <w:ind w:left="0"/>
        <w:jc w:val="both"/>
        <w:rPr>
          <w:rFonts w:cs="Arial"/>
          <w:lang w:val="es-CR"/>
        </w:rPr>
      </w:pPr>
      <w:r w:rsidRPr="006B5A5A">
        <w:rPr>
          <w:rFonts w:cs="Calibri"/>
          <w:lang w:val="es-CR"/>
        </w:rPr>
        <w:t xml:space="preserve">La </w:t>
      </w:r>
      <w:r w:rsidRPr="006B5A5A">
        <w:rPr>
          <w:rFonts w:cs="Calibri"/>
          <w:b/>
          <w:i/>
          <w:lang w:val="es-CR"/>
        </w:rPr>
        <w:t>Comisión</w:t>
      </w:r>
      <w:r w:rsidRPr="006B5A5A">
        <w:rPr>
          <w:rFonts w:cs="Calibri"/>
          <w:lang w:val="es-CR"/>
        </w:rPr>
        <w:t xml:space="preserve"> consider</w:t>
      </w:r>
      <w:r w:rsidR="00403FB7" w:rsidRPr="006B5A5A">
        <w:rPr>
          <w:rFonts w:cs="Calibri"/>
          <w:lang w:val="es-CR"/>
        </w:rPr>
        <w:t>ó</w:t>
      </w:r>
      <w:r w:rsidRPr="006B5A5A">
        <w:rPr>
          <w:rFonts w:cs="Calibri"/>
          <w:lang w:val="es-CR"/>
        </w:rPr>
        <w:t xml:space="preserve"> que una interpretación de la Corte podría ser útil para entender el alcance de los hechos analizados por el Tribunal</w:t>
      </w:r>
      <w:r w:rsidR="00DD4940" w:rsidRPr="006B5A5A">
        <w:rPr>
          <w:rFonts w:cs="Calibri"/>
          <w:lang w:val="es-CR"/>
        </w:rPr>
        <w:t>, en particular, frente a la supervisión de las medidas relativas a la investigación sobre la “desaparición de Mayra Gutiérrez”</w:t>
      </w:r>
      <w:r w:rsidRPr="006B5A5A">
        <w:rPr>
          <w:rFonts w:cs="Calibri"/>
          <w:lang w:val="es-CR"/>
        </w:rPr>
        <w:t xml:space="preserve">. </w:t>
      </w:r>
      <w:r w:rsidR="00EF6AAC" w:rsidRPr="006B5A5A">
        <w:rPr>
          <w:rFonts w:cs="Calibri"/>
          <w:lang w:val="es-CR"/>
        </w:rPr>
        <w:t>También</w:t>
      </w:r>
      <w:r w:rsidRPr="006B5A5A">
        <w:rPr>
          <w:rFonts w:cs="Calibri"/>
          <w:lang w:val="es-CR"/>
        </w:rPr>
        <w:t xml:space="preserve"> consider</w:t>
      </w:r>
      <w:r w:rsidR="00E03122" w:rsidRPr="006B5A5A">
        <w:rPr>
          <w:rFonts w:cs="Calibri"/>
          <w:lang w:val="es-CR"/>
        </w:rPr>
        <w:t>ó</w:t>
      </w:r>
      <w:r w:rsidRPr="006B5A5A">
        <w:rPr>
          <w:rFonts w:cs="Calibri"/>
          <w:lang w:val="es-CR"/>
        </w:rPr>
        <w:t xml:space="preserve"> que</w:t>
      </w:r>
      <w:r w:rsidR="00EF6AAC" w:rsidRPr="006B5A5A">
        <w:rPr>
          <w:rFonts w:cs="Calibri"/>
          <w:lang w:val="es-CR"/>
        </w:rPr>
        <w:t>,</w:t>
      </w:r>
      <w:r w:rsidRPr="006B5A5A">
        <w:rPr>
          <w:rFonts w:cs="Calibri"/>
          <w:lang w:val="es-CR"/>
        </w:rPr>
        <w:t xml:space="preserve"> de una lectura integral del fallo, surgen puntos específicos de duda en relación con la aplicación de estándares en cuanto al deber estricto de debida diligencia frente a la denuncia de desaparición de una mujer, cuestiones que podrían vincularse con el deber de investigar, que </w:t>
      </w:r>
      <w:r w:rsidR="004B2060" w:rsidRPr="006B5A5A">
        <w:rPr>
          <w:rFonts w:cs="Calibri"/>
          <w:lang w:val="es-CR"/>
        </w:rPr>
        <w:t>sería</w:t>
      </w:r>
      <w:r w:rsidRPr="006B5A5A">
        <w:rPr>
          <w:rFonts w:cs="Calibri"/>
          <w:lang w:val="es-CR"/>
        </w:rPr>
        <w:t xml:space="preserve"> uno de los puntos materiales de la solicitud de interpretación. </w:t>
      </w:r>
      <w:r w:rsidR="00BD59D3" w:rsidRPr="006B5A5A">
        <w:rPr>
          <w:rFonts w:cs="Calibri"/>
          <w:lang w:val="es-CR"/>
        </w:rPr>
        <w:t xml:space="preserve">En particular, la Comisión cuestionó el impacto que podría tener en la </w:t>
      </w:r>
      <w:r w:rsidR="00BD59D3" w:rsidRPr="006B5A5A">
        <w:rPr>
          <w:rFonts w:cs="Calibri"/>
          <w:lang w:val="es-CR"/>
        </w:rPr>
        <w:lastRenderedPageBreak/>
        <w:t xml:space="preserve">investigación, la determinación de la Corte en la Sentencia de que no se comprobó que, para el año 2000, las autoridades estatales tenían conocimiento del fenómeno en ascenso de violencia homicida en contra de las mujeres.  </w:t>
      </w:r>
      <w:r w:rsidR="00F977E1" w:rsidRPr="006B5A5A">
        <w:rPr>
          <w:rFonts w:cs="Calibri"/>
          <w:lang w:val="es-CR"/>
        </w:rPr>
        <w:t>En relación con el valor probatorio otorgado por la Corte a la información presentada “por la Procuraduría de los Derechos Humanos y los archivos entregados por la Secretaría de Análisis Estratégico de la Presidencia de la República” (SAE), la Comisión consideró que “este aspecto de la Sentencia presenta cierta ambigüedad, por lo que la Corte p[odría] aclarar[</w:t>
      </w:r>
      <w:r w:rsidR="004B2060" w:rsidRPr="006B5A5A">
        <w:rPr>
          <w:rFonts w:cs="Calibri"/>
          <w:lang w:val="es-CR"/>
        </w:rPr>
        <w:t>lo</w:t>
      </w:r>
      <w:r w:rsidR="00F977E1" w:rsidRPr="006B5A5A">
        <w:rPr>
          <w:rFonts w:cs="Calibri"/>
          <w:lang w:val="es-CR"/>
        </w:rPr>
        <w:t>…]”.</w:t>
      </w:r>
    </w:p>
    <w:p w:rsidR="00F40FEB" w:rsidRPr="006B5A5A" w:rsidRDefault="00F40FEB" w:rsidP="00C710D9">
      <w:pPr>
        <w:autoSpaceDE w:val="0"/>
        <w:autoSpaceDN w:val="0"/>
        <w:adjustRightInd w:val="0"/>
        <w:spacing w:afterLines="40" w:after="96"/>
        <w:jc w:val="both"/>
        <w:rPr>
          <w:rFonts w:cs="Arial"/>
          <w:lang w:val="es-CR"/>
        </w:rPr>
      </w:pPr>
    </w:p>
    <w:p w:rsidR="00F40FEB" w:rsidRPr="006B5A5A" w:rsidRDefault="00F40FEB" w:rsidP="00C710D9">
      <w:pPr>
        <w:autoSpaceDE w:val="0"/>
        <w:autoSpaceDN w:val="0"/>
        <w:adjustRightInd w:val="0"/>
        <w:spacing w:afterLines="40" w:after="96"/>
        <w:ind w:left="709"/>
        <w:jc w:val="both"/>
        <w:rPr>
          <w:rFonts w:cs="Arial"/>
          <w:lang w:val="es-CR"/>
        </w:rPr>
      </w:pPr>
      <w:r w:rsidRPr="006B5A5A">
        <w:rPr>
          <w:rFonts w:cs="Arial"/>
          <w:i/>
          <w:lang w:val="es-CR"/>
        </w:rPr>
        <w:t>A.2. Consideraciones de la Corte</w:t>
      </w:r>
    </w:p>
    <w:p w:rsidR="00CE19D6" w:rsidRPr="006B5A5A" w:rsidRDefault="00CE19D6" w:rsidP="00C710D9">
      <w:pPr>
        <w:autoSpaceDE w:val="0"/>
        <w:autoSpaceDN w:val="0"/>
        <w:adjustRightInd w:val="0"/>
        <w:spacing w:afterLines="40" w:after="96"/>
        <w:jc w:val="both"/>
        <w:rPr>
          <w:rFonts w:cs="Arial"/>
          <w:lang w:val="es-CR"/>
        </w:rPr>
      </w:pPr>
    </w:p>
    <w:p w:rsidR="00BD59D3" w:rsidRPr="006B5A5A" w:rsidRDefault="00BD59D3" w:rsidP="00C710D9">
      <w:pPr>
        <w:numPr>
          <w:ilvl w:val="0"/>
          <w:numId w:val="1"/>
        </w:numPr>
        <w:tabs>
          <w:tab w:val="num" w:pos="720"/>
        </w:tabs>
        <w:autoSpaceDE w:val="0"/>
        <w:autoSpaceDN w:val="0"/>
        <w:adjustRightInd w:val="0"/>
        <w:spacing w:afterLines="40" w:after="96"/>
        <w:ind w:left="0"/>
        <w:jc w:val="both"/>
        <w:rPr>
          <w:rFonts w:eastAsia="Calibri" w:cs="Verdana"/>
          <w:i/>
          <w:lang w:val="es-CR"/>
        </w:rPr>
      </w:pPr>
      <w:r w:rsidRPr="006B5A5A">
        <w:rPr>
          <w:rFonts w:eastAsia="Calibri" w:cs="Verdana"/>
          <w:lang w:val="es-CR"/>
        </w:rPr>
        <w:t xml:space="preserve">La Corte nota que los representantes realizaron cuatro preguntas concretas al Tribunal: i) bajo qué figura jurídica se encuadra la desaparición de la víctima Mayra Gutiérrez; ii) cuál sería a futuro el estatus legal de la desaparición ante la Corte si se reencausara una investigación que pudiese tipificar el hecho como desaparición forzada; iii) </w:t>
      </w:r>
      <w:r w:rsidR="009E4F8A" w:rsidRPr="006B5A5A">
        <w:rPr>
          <w:rFonts w:eastAsia="Calibri" w:cs="Verdana"/>
          <w:lang w:val="es-CR"/>
        </w:rPr>
        <w:t>si la declaración del señor Edgar Gutiérrez Girón, Secretario de la SAE, fue tomada en consideración por la Corte, y</w:t>
      </w:r>
      <w:r w:rsidRPr="006B5A5A">
        <w:rPr>
          <w:rFonts w:eastAsia="Calibri" w:cs="Verdana"/>
          <w:lang w:val="es-CR"/>
        </w:rPr>
        <w:t xml:space="preserve"> </w:t>
      </w:r>
      <w:r w:rsidR="009E4F8A" w:rsidRPr="006B5A5A">
        <w:rPr>
          <w:rFonts w:eastAsia="Calibri" w:cs="Verdana"/>
          <w:lang w:val="es-CR"/>
        </w:rPr>
        <w:t xml:space="preserve">iv) cuál fue el valor probatorio que se le dio a dicha declaración. </w:t>
      </w:r>
    </w:p>
    <w:p w:rsidR="009E4F8A" w:rsidRPr="006B5A5A" w:rsidRDefault="009E4F8A" w:rsidP="00C710D9">
      <w:pPr>
        <w:autoSpaceDE w:val="0"/>
        <w:autoSpaceDN w:val="0"/>
        <w:adjustRightInd w:val="0"/>
        <w:spacing w:afterLines="40" w:after="96"/>
        <w:jc w:val="both"/>
        <w:rPr>
          <w:rFonts w:eastAsia="Calibri" w:cs="Verdana"/>
          <w:i/>
          <w:lang w:val="es-CR"/>
        </w:rPr>
      </w:pPr>
    </w:p>
    <w:p w:rsidR="00070F08" w:rsidRPr="006B5A5A" w:rsidRDefault="009E4F8A" w:rsidP="00C710D9">
      <w:pPr>
        <w:numPr>
          <w:ilvl w:val="0"/>
          <w:numId w:val="1"/>
        </w:numPr>
        <w:tabs>
          <w:tab w:val="num" w:pos="720"/>
        </w:tabs>
        <w:autoSpaceDE w:val="0"/>
        <w:autoSpaceDN w:val="0"/>
        <w:adjustRightInd w:val="0"/>
        <w:spacing w:afterLines="40" w:after="96"/>
        <w:ind w:left="0"/>
        <w:jc w:val="both"/>
        <w:rPr>
          <w:rFonts w:eastAsia="Calibri" w:cs="Verdana"/>
          <w:lang w:val="es-CR"/>
        </w:rPr>
      </w:pPr>
      <w:r w:rsidRPr="006B5A5A">
        <w:rPr>
          <w:rFonts w:eastAsia="Calibri" w:cs="Verdana"/>
          <w:lang w:val="es-CR"/>
        </w:rPr>
        <w:t>Al respecto</w:t>
      </w:r>
      <w:r w:rsidR="00CE19D6" w:rsidRPr="006B5A5A">
        <w:rPr>
          <w:rFonts w:eastAsia="Calibri" w:cs="Verdana"/>
          <w:lang w:val="es-CR"/>
        </w:rPr>
        <w:t xml:space="preserve">, </w:t>
      </w:r>
      <w:r w:rsidR="00581E4F" w:rsidRPr="006B5A5A">
        <w:rPr>
          <w:rFonts w:eastAsia="Calibri" w:cs="Verdana"/>
          <w:lang w:val="es-CR"/>
        </w:rPr>
        <w:t>en cuanto a</w:t>
      </w:r>
      <w:r w:rsidR="003919EE" w:rsidRPr="006B5A5A">
        <w:rPr>
          <w:rFonts w:eastAsia="Calibri" w:cs="Verdana"/>
          <w:lang w:val="es-CR"/>
        </w:rPr>
        <w:t xml:space="preserve"> las pregun</w:t>
      </w:r>
      <w:r w:rsidR="003F020C" w:rsidRPr="006B5A5A">
        <w:rPr>
          <w:rFonts w:eastAsia="Calibri" w:cs="Verdana"/>
          <w:lang w:val="es-CR"/>
        </w:rPr>
        <w:t>t</w:t>
      </w:r>
      <w:r w:rsidR="003919EE" w:rsidRPr="006B5A5A">
        <w:rPr>
          <w:rFonts w:eastAsia="Calibri" w:cs="Verdana"/>
          <w:lang w:val="es-CR"/>
        </w:rPr>
        <w:t>as i) y ii)</w:t>
      </w:r>
      <w:r w:rsidR="00581E4F" w:rsidRPr="006B5A5A">
        <w:rPr>
          <w:rFonts w:eastAsia="Calibri" w:cs="Verdana"/>
          <w:lang w:val="es-CR"/>
        </w:rPr>
        <w:t xml:space="preserve">, </w:t>
      </w:r>
      <w:r w:rsidR="00CE19D6" w:rsidRPr="006B5A5A">
        <w:t>la Corte</w:t>
      </w:r>
      <w:r w:rsidR="00151BA6" w:rsidRPr="006B5A5A">
        <w:rPr>
          <w:rFonts w:eastAsia="Calibri" w:cs="Verdana"/>
          <w:lang w:val="es-CR"/>
        </w:rPr>
        <w:t xml:space="preserve"> recuerda que</w:t>
      </w:r>
      <w:r w:rsidRPr="006B5A5A">
        <w:rPr>
          <w:rFonts w:eastAsia="Calibri" w:cs="Verdana"/>
          <w:lang w:val="es-CR"/>
        </w:rPr>
        <w:t>,</w:t>
      </w:r>
      <w:r w:rsidR="00151BA6" w:rsidRPr="006B5A5A">
        <w:rPr>
          <w:rFonts w:eastAsia="Calibri" w:cs="Verdana"/>
          <w:lang w:val="es-CR"/>
        </w:rPr>
        <w:t xml:space="preserve"> en los párrafos </w:t>
      </w:r>
      <w:r w:rsidR="002E415A" w:rsidRPr="006B5A5A">
        <w:rPr>
          <w:rFonts w:eastAsia="Calibri" w:cs="Verdana"/>
          <w:lang w:val="es-CR"/>
        </w:rPr>
        <w:t>123,</w:t>
      </w:r>
      <w:r w:rsidR="00581E4F" w:rsidRPr="006B5A5A">
        <w:rPr>
          <w:rFonts w:eastAsia="Calibri" w:cs="Verdana"/>
          <w:lang w:val="es-CR"/>
        </w:rPr>
        <w:t xml:space="preserve"> 13</w:t>
      </w:r>
      <w:r w:rsidR="00012D65" w:rsidRPr="006B5A5A">
        <w:rPr>
          <w:rFonts w:eastAsia="Calibri" w:cs="Verdana"/>
          <w:lang w:val="es-CR"/>
        </w:rPr>
        <w:t>5</w:t>
      </w:r>
      <w:r w:rsidR="00581E4F" w:rsidRPr="006B5A5A">
        <w:rPr>
          <w:rFonts w:eastAsia="Calibri" w:cs="Verdana"/>
          <w:lang w:val="es-CR"/>
        </w:rPr>
        <w:t xml:space="preserve"> y </w:t>
      </w:r>
      <w:r w:rsidR="002E415A" w:rsidRPr="006B5A5A">
        <w:rPr>
          <w:rFonts w:eastAsia="Calibri" w:cs="Verdana"/>
          <w:lang w:val="es-CR"/>
        </w:rPr>
        <w:t>136</w:t>
      </w:r>
      <w:r w:rsidR="00151BA6" w:rsidRPr="006B5A5A">
        <w:rPr>
          <w:rFonts w:eastAsia="Calibri" w:cs="Verdana"/>
          <w:lang w:val="es-CR"/>
        </w:rPr>
        <w:t xml:space="preserve"> de la Sentencia </w:t>
      </w:r>
      <w:r w:rsidR="00D37B51" w:rsidRPr="006B5A5A">
        <w:rPr>
          <w:rFonts w:eastAsia="Calibri" w:cs="Verdana"/>
          <w:lang w:val="es-CR"/>
        </w:rPr>
        <w:t>se estableció claramente que</w:t>
      </w:r>
      <w:r w:rsidR="00151BA6" w:rsidRPr="006B5A5A">
        <w:rPr>
          <w:rFonts w:eastAsia="Calibri" w:cs="Verdana"/>
          <w:lang w:val="es-CR"/>
        </w:rPr>
        <w:t xml:space="preserve">: </w:t>
      </w:r>
    </w:p>
    <w:p w:rsidR="00DE2347" w:rsidRPr="006B5A5A" w:rsidRDefault="00DE2347" w:rsidP="00C710D9">
      <w:pPr>
        <w:spacing w:afterLines="40" w:after="96"/>
        <w:ind w:left="180"/>
        <w:jc w:val="both"/>
        <w:rPr>
          <w:sz w:val="16"/>
          <w:szCs w:val="16"/>
          <w:lang w:val="es-CR"/>
        </w:rPr>
      </w:pPr>
    </w:p>
    <w:p w:rsidR="00DE2347" w:rsidRPr="006B5A5A" w:rsidRDefault="00DE2347" w:rsidP="00C710D9">
      <w:pPr>
        <w:pStyle w:val="ListParagraph"/>
        <w:spacing w:afterLines="40" w:after="96"/>
        <w:jc w:val="both"/>
        <w:rPr>
          <w:sz w:val="16"/>
          <w:szCs w:val="16"/>
          <w:lang w:eastAsia="es-MX"/>
        </w:rPr>
      </w:pPr>
      <w:r w:rsidRPr="006B5A5A">
        <w:rPr>
          <w:sz w:val="16"/>
          <w:szCs w:val="16"/>
        </w:rPr>
        <w:t>123</w:t>
      </w:r>
      <w:r w:rsidR="001E0E81" w:rsidRPr="006B5A5A">
        <w:rPr>
          <w:sz w:val="16"/>
          <w:szCs w:val="16"/>
        </w:rPr>
        <w:t>.</w:t>
      </w:r>
      <w:r w:rsidRPr="006B5A5A">
        <w:rPr>
          <w:sz w:val="16"/>
          <w:szCs w:val="16"/>
          <w:lang w:eastAsia="es-MX"/>
        </w:rPr>
        <w:t xml:space="preserve"> Al respecto, la Corte recuerda que </w:t>
      </w:r>
      <w:r w:rsidRPr="006B5A5A">
        <w:rPr>
          <w:b/>
          <w:sz w:val="16"/>
          <w:szCs w:val="16"/>
          <w:lang w:eastAsia="es-MX"/>
        </w:rPr>
        <w:t>la desaparición de una persona porque no se conoce su paradero no es lo mismo que una desaparición forzada</w:t>
      </w:r>
      <w:r w:rsidRPr="006B5A5A">
        <w:rPr>
          <w:sz w:val="16"/>
          <w:szCs w:val="16"/>
          <w:lang w:eastAsia="es-MX"/>
        </w:rPr>
        <w:t>. La desaparición forzada de personas es una violación de derechos humanos constituida por tres elementos concurrentes: a) la privación de la libertad; b) la intervención directa de agentes estatales o la aquiescencia de éstos, y c) la negativa de reconocer la detención y de revelar la suerte o el paradero de la persona interesada. Así, c</w:t>
      </w:r>
      <w:r w:rsidRPr="006B5A5A">
        <w:rPr>
          <w:rFonts w:cs="Times"/>
          <w:sz w:val="16"/>
          <w:szCs w:val="16"/>
          <w:lang w:eastAsia="es-MX"/>
        </w:rPr>
        <w:t xml:space="preserve">orresponde a la Corte determinar si lo ocurrido a la señora Gutiérrez en </w:t>
      </w:r>
      <w:r w:rsidR="008E3F65" w:rsidRPr="006B5A5A">
        <w:rPr>
          <w:rFonts w:cs="Times"/>
          <w:sz w:val="16"/>
          <w:szCs w:val="16"/>
          <w:lang w:eastAsia="es-MX"/>
        </w:rPr>
        <w:t xml:space="preserve">el </w:t>
      </w:r>
      <w:r w:rsidRPr="006B5A5A">
        <w:rPr>
          <w:rFonts w:cs="Times"/>
          <w:sz w:val="16"/>
          <w:szCs w:val="16"/>
          <w:lang w:eastAsia="es-MX"/>
        </w:rPr>
        <w:t xml:space="preserve">presente caso constituye una desaparición forzada y, de ser el caso, </w:t>
      </w:r>
      <w:r w:rsidRPr="006B5A5A">
        <w:rPr>
          <w:sz w:val="16"/>
          <w:szCs w:val="16"/>
          <w:lang w:eastAsia="es-MX"/>
        </w:rPr>
        <w:t>analizará en lo pertinente las alegadas violaciones de los derechos al reconocimiento de la personalidad jurídica, a la vida, a la integridad personal y a la libertad personal, en relación con la obligación de respeto establecida en el artículo 1.1 de la Convención Americana, así como de los artículos I y II de la Convención Interamericana sobre Desaparición Forzada de Personas (CIDFP).</w:t>
      </w:r>
      <w:r w:rsidR="00581E4F" w:rsidRPr="006B5A5A">
        <w:rPr>
          <w:sz w:val="16"/>
          <w:szCs w:val="16"/>
          <w:lang w:eastAsia="es-MX"/>
        </w:rPr>
        <w:t xml:space="preserve"> […]</w:t>
      </w:r>
    </w:p>
    <w:p w:rsidR="00DE2347" w:rsidRPr="006B5A5A" w:rsidRDefault="00DE2347" w:rsidP="00C710D9">
      <w:pPr>
        <w:tabs>
          <w:tab w:val="left" w:pos="567"/>
        </w:tabs>
        <w:spacing w:afterLines="40" w:after="96"/>
        <w:jc w:val="both"/>
        <w:rPr>
          <w:rFonts w:eastAsia="Batang"/>
          <w:sz w:val="16"/>
          <w:szCs w:val="16"/>
          <w:lang w:eastAsia="es-MX"/>
        </w:rPr>
      </w:pPr>
    </w:p>
    <w:p w:rsidR="00581E4F" w:rsidRPr="006B5A5A" w:rsidRDefault="00012D65" w:rsidP="00C710D9">
      <w:pPr>
        <w:pStyle w:val="ListParagraph"/>
        <w:spacing w:afterLines="40" w:after="96"/>
        <w:jc w:val="both"/>
        <w:rPr>
          <w:sz w:val="16"/>
          <w:szCs w:val="16"/>
          <w:lang w:eastAsia="es-MX"/>
        </w:rPr>
      </w:pPr>
      <w:r w:rsidRPr="006B5A5A">
        <w:rPr>
          <w:sz w:val="16"/>
          <w:szCs w:val="16"/>
          <w:lang w:eastAsia="es-MX"/>
        </w:rPr>
        <w:t>135</w:t>
      </w:r>
      <w:r w:rsidR="00581E4F" w:rsidRPr="006B5A5A">
        <w:rPr>
          <w:sz w:val="16"/>
          <w:szCs w:val="16"/>
          <w:lang w:eastAsia="es-MX"/>
        </w:rPr>
        <w:t>. En el siguiente capítulo de esta Sentencia, esta Corte determina que las investigaciones realizadas por el Estado en torno a la desaparición de Mayra Gutiérrez no han sido diligentes (</w:t>
      </w:r>
      <w:r w:rsidR="00581E4F" w:rsidRPr="006B5A5A">
        <w:rPr>
          <w:i/>
          <w:sz w:val="16"/>
          <w:szCs w:val="16"/>
          <w:lang w:eastAsia="es-MX"/>
        </w:rPr>
        <w:t>infra</w:t>
      </w:r>
      <w:r w:rsidR="00581E4F" w:rsidRPr="006B5A5A">
        <w:rPr>
          <w:sz w:val="16"/>
          <w:szCs w:val="16"/>
          <w:lang w:eastAsia="es-MX"/>
        </w:rPr>
        <w:t xml:space="preserve"> párrs. 147 a 196). Por ello, </w:t>
      </w:r>
      <w:r w:rsidR="00581E4F" w:rsidRPr="006B5A5A">
        <w:rPr>
          <w:b/>
          <w:sz w:val="16"/>
          <w:szCs w:val="16"/>
          <w:lang w:eastAsia="es-MX"/>
        </w:rPr>
        <w:t>no se puede descartar la posibilidad de que lo ocurrido a ésta haya sido una desaparición forzada.</w:t>
      </w:r>
    </w:p>
    <w:p w:rsidR="00581E4F" w:rsidRPr="006B5A5A" w:rsidRDefault="00581E4F" w:rsidP="00C710D9">
      <w:pPr>
        <w:pStyle w:val="ListParagraph"/>
        <w:spacing w:afterLines="40" w:after="96"/>
        <w:jc w:val="both"/>
        <w:rPr>
          <w:sz w:val="16"/>
          <w:szCs w:val="16"/>
          <w:lang w:eastAsia="es-MX"/>
        </w:rPr>
      </w:pPr>
    </w:p>
    <w:p w:rsidR="00717782" w:rsidRPr="006B5A5A" w:rsidRDefault="00717782" w:rsidP="00C710D9">
      <w:pPr>
        <w:pStyle w:val="ListParagraph"/>
        <w:spacing w:afterLines="40" w:after="96"/>
        <w:jc w:val="both"/>
        <w:rPr>
          <w:sz w:val="16"/>
          <w:szCs w:val="16"/>
          <w:lang w:eastAsia="es-MX"/>
        </w:rPr>
      </w:pPr>
      <w:r w:rsidRPr="006B5A5A">
        <w:rPr>
          <w:sz w:val="16"/>
          <w:szCs w:val="16"/>
          <w:lang w:eastAsia="es-MX"/>
        </w:rPr>
        <w:t xml:space="preserve">136. Sin perjuicio de ello, la Corte considera que </w:t>
      </w:r>
      <w:r w:rsidRPr="006B5A5A">
        <w:rPr>
          <w:b/>
          <w:sz w:val="16"/>
          <w:szCs w:val="16"/>
          <w:lang w:eastAsia="es-MX"/>
        </w:rPr>
        <w:t>los indicios mencionados por los representantes y analizados en este subacápite son insuficientes por sí solos para establecer que la señora Gutiérrez haya sido privada de su libertad por parte de agentes estatales o con la aquiescencia de éstos</w:t>
      </w:r>
      <w:r w:rsidRPr="006B5A5A">
        <w:rPr>
          <w:sz w:val="16"/>
          <w:szCs w:val="16"/>
          <w:lang w:eastAsia="es-MX"/>
        </w:rPr>
        <w:t xml:space="preserve">. Por tanto, la Corte no encuentra elementos suficientes para declarar la responsabilidad del Estado por la violación de los artículos 3, 4, 5 y 7 de la Convención, en relación con los artículos I y II de la Convención Interamericana sobre Desaparición Forzada de Personas, en lo que respecta la alegada desaparición forzada de la señora Gutiérrez. </w:t>
      </w:r>
      <w:r w:rsidR="007A47FC" w:rsidRPr="006B5A5A">
        <w:rPr>
          <w:sz w:val="16"/>
          <w:szCs w:val="16"/>
          <w:lang w:eastAsia="es-MX"/>
        </w:rPr>
        <w:t>(Énfasis añadido)</w:t>
      </w:r>
    </w:p>
    <w:p w:rsidR="007A47FC" w:rsidRPr="006B5A5A" w:rsidRDefault="007A47FC" w:rsidP="00C710D9">
      <w:pPr>
        <w:spacing w:afterLines="40" w:after="96"/>
        <w:jc w:val="both"/>
        <w:rPr>
          <w:sz w:val="16"/>
          <w:szCs w:val="16"/>
          <w:lang w:eastAsia="es-MX"/>
        </w:rPr>
      </w:pPr>
    </w:p>
    <w:p w:rsidR="00012D65" w:rsidRPr="006B5A5A" w:rsidRDefault="007A47FC" w:rsidP="00C710D9">
      <w:pPr>
        <w:numPr>
          <w:ilvl w:val="0"/>
          <w:numId w:val="1"/>
        </w:numPr>
        <w:tabs>
          <w:tab w:val="num" w:pos="720"/>
        </w:tabs>
        <w:autoSpaceDE w:val="0"/>
        <w:autoSpaceDN w:val="0"/>
        <w:adjustRightInd w:val="0"/>
        <w:spacing w:afterLines="40" w:after="96"/>
        <w:ind w:left="0"/>
        <w:jc w:val="both"/>
        <w:rPr>
          <w:szCs w:val="16"/>
          <w:lang w:eastAsia="es-MX"/>
        </w:rPr>
      </w:pPr>
      <w:r w:rsidRPr="006B5A5A">
        <w:rPr>
          <w:szCs w:val="16"/>
          <w:lang w:eastAsia="es-MX"/>
        </w:rPr>
        <w:t>A su vez, en el párrafo 196 de la Sentencia, y en relación con la investigación de la alegada desaparición forzada, la Corte estableció que:</w:t>
      </w:r>
    </w:p>
    <w:p w:rsidR="007A47FC" w:rsidRPr="006B5A5A" w:rsidRDefault="007A47FC" w:rsidP="00C710D9">
      <w:pPr>
        <w:autoSpaceDE w:val="0"/>
        <w:autoSpaceDN w:val="0"/>
        <w:adjustRightInd w:val="0"/>
        <w:spacing w:afterLines="40" w:after="96"/>
        <w:jc w:val="both"/>
        <w:rPr>
          <w:sz w:val="16"/>
          <w:szCs w:val="16"/>
          <w:lang w:eastAsia="es-MX"/>
        </w:rPr>
      </w:pPr>
    </w:p>
    <w:p w:rsidR="007A47FC" w:rsidRPr="006B5A5A" w:rsidRDefault="007A47FC" w:rsidP="00C710D9">
      <w:pPr>
        <w:pStyle w:val="PrrafodeSentencia"/>
        <w:spacing w:afterLines="40" w:after="96"/>
      </w:pPr>
      <w:r w:rsidRPr="006B5A5A">
        <w:t xml:space="preserve">[…] </w:t>
      </w:r>
      <w:r w:rsidRPr="006B5A5A">
        <w:rPr>
          <w:b/>
          <w:spacing w:val="-2"/>
        </w:rPr>
        <w:t xml:space="preserve">a pesar de </w:t>
      </w:r>
      <w:r w:rsidRPr="006B5A5A">
        <w:rPr>
          <w:b/>
        </w:rPr>
        <w:t>la denuncia de una presunta desaparición forzada</w:t>
      </w:r>
      <w:r w:rsidRPr="006B5A5A">
        <w:t xml:space="preserve"> en el marco de tres exhibiciones personales, en la investigación penal del Ministerio Público y el procedimiento especial de averiguación de la Procuraduría de los Derechos Humanos</w:t>
      </w:r>
      <w:r w:rsidRPr="006B5A5A">
        <w:rPr>
          <w:spacing w:val="-2"/>
        </w:rPr>
        <w:t>,</w:t>
      </w:r>
      <w:r w:rsidRPr="006B5A5A">
        <w:t xml:space="preserve"> </w:t>
      </w:r>
      <w:r w:rsidRPr="006B5A5A">
        <w:rPr>
          <w:b/>
        </w:rPr>
        <w:t>no ha existido una estrategia de investigación diligente, seria y conducida tomando en cuenta la complejidad de este tipo de hechos</w:t>
      </w:r>
      <w:r w:rsidRPr="006B5A5A">
        <w:t xml:space="preserve">. A más de 17 años de la desaparición de Mayra Gutiérrez no se ha logrado esclarecer lo sucedido ni se ha localizado su paradero. Por lo tanto, el Tribunal considera que el Estado es responsable internacionalmente por la violación de los artículos 8.1 y 25 de la Convención Americana, </w:t>
      </w:r>
      <w:r w:rsidRPr="006B5A5A">
        <w:rPr>
          <w:rFonts w:cs="Times"/>
        </w:rPr>
        <w:t xml:space="preserve">en relación con el artículo </w:t>
      </w:r>
      <w:r w:rsidRPr="006B5A5A">
        <w:t>1.1 del tratado, en perjuicio de Mayra Angelina Gutiérrez Hernández y sus familiares. (Énfasis añadido)</w:t>
      </w:r>
    </w:p>
    <w:p w:rsidR="007A47FC" w:rsidRPr="006B5A5A" w:rsidRDefault="007A47FC" w:rsidP="00C710D9">
      <w:pPr>
        <w:numPr>
          <w:ilvl w:val="0"/>
          <w:numId w:val="1"/>
        </w:numPr>
        <w:tabs>
          <w:tab w:val="num" w:pos="720"/>
        </w:tabs>
        <w:autoSpaceDE w:val="0"/>
        <w:autoSpaceDN w:val="0"/>
        <w:adjustRightInd w:val="0"/>
        <w:spacing w:afterLines="40" w:after="96"/>
        <w:ind w:left="0"/>
        <w:jc w:val="both"/>
        <w:rPr>
          <w:szCs w:val="16"/>
          <w:lang w:val="es-CR" w:eastAsia="es-MX"/>
        </w:rPr>
      </w:pPr>
      <w:r w:rsidRPr="006B5A5A">
        <w:rPr>
          <w:szCs w:val="16"/>
          <w:lang w:val="es-CR" w:eastAsia="es-MX"/>
        </w:rPr>
        <w:lastRenderedPageBreak/>
        <w:t>Y, en atención a ello, en el capítulo de reparaciones, párrafos 206, 207 y 209</w:t>
      </w:r>
      <w:r w:rsidR="003F020C" w:rsidRPr="006B5A5A">
        <w:rPr>
          <w:szCs w:val="16"/>
          <w:lang w:val="es-CR" w:eastAsia="es-MX"/>
        </w:rPr>
        <w:t xml:space="preserve"> de la Sentencia</w:t>
      </w:r>
      <w:r w:rsidRPr="006B5A5A">
        <w:rPr>
          <w:szCs w:val="16"/>
          <w:lang w:val="es-CR" w:eastAsia="es-MX"/>
        </w:rPr>
        <w:t xml:space="preserve">, la Corte dispuso que: </w:t>
      </w:r>
    </w:p>
    <w:p w:rsidR="007A47FC" w:rsidRPr="006B5A5A" w:rsidRDefault="007A47FC" w:rsidP="00C710D9">
      <w:pPr>
        <w:spacing w:before="120" w:afterLines="40" w:after="96"/>
        <w:ind w:left="810"/>
        <w:contextualSpacing/>
        <w:jc w:val="both"/>
        <w:rPr>
          <w:sz w:val="16"/>
        </w:rPr>
      </w:pPr>
    </w:p>
    <w:p w:rsidR="007A47FC" w:rsidRPr="006B5A5A" w:rsidRDefault="007A47FC" w:rsidP="00C710D9">
      <w:pPr>
        <w:spacing w:before="120" w:afterLines="40" w:after="96"/>
        <w:ind w:left="720"/>
        <w:contextualSpacing/>
        <w:jc w:val="both"/>
        <w:rPr>
          <w:sz w:val="16"/>
        </w:rPr>
      </w:pPr>
      <w:r w:rsidRPr="006B5A5A">
        <w:rPr>
          <w:sz w:val="16"/>
        </w:rPr>
        <w:t>206. […]</w:t>
      </w:r>
      <w:r w:rsidRPr="006B5A5A">
        <w:rPr>
          <w:rFonts w:eastAsia="Batang" w:cs="Arial"/>
          <w:sz w:val="16"/>
        </w:rPr>
        <w:t xml:space="preserve"> el Estado debe, en un plazo razonable, </w:t>
      </w:r>
      <w:r w:rsidRPr="006B5A5A">
        <w:rPr>
          <w:rFonts w:eastAsia="Batang" w:cs="Arial"/>
          <w:b/>
          <w:sz w:val="16"/>
        </w:rPr>
        <w:t>conducir eficazmente la investigación,</w:t>
      </w:r>
      <w:r w:rsidRPr="006B5A5A">
        <w:rPr>
          <w:rFonts w:eastAsia="Batang" w:cs="Arial"/>
          <w:sz w:val="16"/>
        </w:rPr>
        <w:t xml:space="preserve"> libre de estereotipos negativos de género, y en su caso, </w:t>
      </w:r>
      <w:r w:rsidRPr="006B5A5A">
        <w:rPr>
          <w:rFonts w:eastAsia="Batang" w:cs="Arial"/>
          <w:b/>
          <w:sz w:val="16"/>
        </w:rPr>
        <w:t>continuar y/o abrir el o los procesos penales que correspondieren, para identificar, procesar y, en su caso, sancionar a los responsables de la desaparición de Mayra Gutiérrez,</w:t>
      </w:r>
      <w:r w:rsidRPr="006B5A5A">
        <w:rPr>
          <w:rFonts w:eastAsia="Batang" w:cs="Arial"/>
          <w:sz w:val="16"/>
        </w:rPr>
        <w:t xml:space="preserve"> conforme a los criterios señalados en esta Sentencia (</w:t>
      </w:r>
      <w:r w:rsidRPr="006B5A5A">
        <w:rPr>
          <w:rFonts w:eastAsia="Batang" w:cs="Arial"/>
          <w:i/>
          <w:sz w:val="16"/>
        </w:rPr>
        <w:t xml:space="preserve">supra </w:t>
      </w:r>
      <w:r w:rsidRPr="006B5A5A">
        <w:rPr>
          <w:rFonts w:eastAsia="Batang" w:cs="Arial"/>
          <w:sz w:val="16"/>
        </w:rPr>
        <w:t xml:space="preserve">párrs. </w:t>
      </w:r>
      <w:r w:rsidRPr="006B5A5A">
        <w:rPr>
          <w:rFonts w:eastAsia="Batang"/>
          <w:sz w:val="16"/>
          <w:lang w:eastAsia="es-MX"/>
        </w:rPr>
        <w:t>147 a 196</w:t>
      </w:r>
      <w:r w:rsidRPr="006B5A5A">
        <w:rPr>
          <w:rFonts w:eastAsia="Batang" w:cs="Arial"/>
          <w:sz w:val="16"/>
        </w:rPr>
        <w:t xml:space="preserve">). </w:t>
      </w:r>
    </w:p>
    <w:p w:rsidR="007A47FC" w:rsidRPr="006B5A5A" w:rsidRDefault="007A47FC" w:rsidP="00C710D9">
      <w:pPr>
        <w:spacing w:before="120" w:afterLines="40" w:after="96"/>
        <w:ind w:left="720"/>
        <w:contextualSpacing/>
        <w:jc w:val="both"/>
        <w:rPr>
          <w:sz w:val="16"/>
        </w:rPr>
      </w:pPr>
    </w:p>
    <w:p w:rsidR="007A47FC" w:rsidRPr="006B5A5A" w:rsidRDefault="007A47FC" w:rsidP="00C710D9">
      <w:pPr>
        <w:spacing w:before="120" w:afterLines="40" w:after="96"/>
        <w:ind w:left="720"/>
        <w:contextualSpacing/>
        <w:jc w:val="both"/>
        <w:rPr>
          <w:rFonts w:cs="Calibri"/>
          <w:sz w:val="16"/>
        </w:rPr>
      </w:pPr>
      <w:r w:rsidRPr="006B5A5A">
        <w:rPr>
          <w:sz w:val="16"/>
        </w:rPr>
        <w:t xml:space="preserve">207. </w:t>
      </w:r>
      <w:r w:rsidRPr="006B5A5A">
        <w:rPr>
          <w:rFonts w:eastAsia="Batang" w:cs="Arial"/>
          <w:sz w:val="16"/>
        </w:rPr>
        <w:t xml:space="preserve">En particular, </w:t>
      </w:r>
      <w:r w:rsidRPr="006B5A5A">
        <w:rPr>
          <w:sz w:val="16"/>
        </w:rPr>
        <w:t xml:space="preserve">sin perjuicio de otras líneas de investigación que las autoridades consideren pertinente indagar, el Estado </w:t>
      </w:r>
      <w:r w:rsidRPr="006B5A5A">
        <w:rPr>
          <w:rFonts w:eastAsia="Batang" w:cs="Arial"/>
          <w:sz w:val="16"/>
        </w:rPr>
        <w:t>deberá</w:t>
      </w:r>
      <w:r w:rsidRPr="006B5A5A">
        <w:rPr>
          <w:sz w:val="16"/>
        </w:rPr>
        <w:t xml:space="preserve"> emprender o continuar líneas de investigación específicas respecto a: i</w:t>
      </w:r>
      <w:r w:rsidRPr="006B5A5A">
        <w:rPr>
          <w:b/>
          <w:sz w:val="16"/>
        </w:rPr>
        <w:t>) la posibilidad de que lo ocurrido a la señora Gutiérrez Hernández constituyó una desaparición forzada;</w:t>
      </w:r>
      <w:r w:rsidRPr="006B5A5A">
        <w:rPr>
          <w:sz w:val="16"/>
        </w:rPr>
        <w:t xml:space="preserve"> </w:t>
      </w:r>
      <w:r w:rsidRPr="006B5A5A">
        <w:rPr>
          <w:b/>
          <w:sz w:val="16"/>
        </w:rPr>
        <w:t>ii) la posible relación entre la desaparición de la señora Gutiérrez y las bases de datos elaboradas por los servicios de inteligencia militar en las que se encuentra su nombre;</w:t>
      </w:r>
      <w:r w:rsidRPr="006B5A5A">
        <w:rPr>
          <w:sz w:val="16"/>
        </w:rPr>
        <w:t xml:space="preserve"> y iii) la posibilidad de que su desaparición tuvo relación con sus investigaciones sobre adopciones irregulares en Guatemala.</w:t>
      </w:r>
    </w:p>
    <w:p w:rsidR="007A47FC" w:rsidRPr="006B5A5A" w:rsidRDefault="007A47FC" w:rsidP="00C710D9">
      <w:pPr>
        <w:autoSpaceDE w:val="0"/>
        <w:autoSpaceDN w:val="0"/>
        <w:spacing w:afterLines="40" w:after="96"/>
        <w:ind w:left="720"/>
        <w:rPr>
          <w:rFonts w:cs="Calibri"/>
          <w:sz w:val="16"/>
        </w:rPr>
      </w:pPr>
    </w:p>
    <w:p w:rsidR="007A47FC" w:rsidRPr="006B5A5A" w:rsidRDefault="007A47FC" w:rsidP="00C710D9">
      <w:pPr>
        <w:autoSpaceDE w:val="0"/>
        <w:autoSpaceDN w:val="0"/>
        <w:spacing w:afterLines="40" w:after="96"/>
        <w:ind w:left="720"/>
        <w:contextualSpacing/>
        <w:jc w:val="both"/>
        <w:rPr>
          <w:rFonts w:cs="Calibri"/>
          <w:sz w:val="16"/>
        </w:rPr>
      </w:pPr>
      <w:r w:rsidRPr="006B5A5A">
        <w:rPr>
          <w:rFonts w:eastAsia="Batang" w:cs="Arial"/>
          <w:sz w:val="16"/>
        </w:rPr>
        <w:t>[…]</w:t>
      </w:r>
    </w:p>
    <w:p w:rsidR="007A47FC" w:rsidRPr="006B5A5A" w:rsidRDefault="007A47FC" w:rsidP="00C710D9">
      <w:pPr>
        <w:autoSpaceDE w:val="0"/>
        <w:autoSpaceDN w:val="0"/>
        <w:spacing w:afterLines="40" w:after="96"/>
        <w:ind w:left="720"/>
        <w:rPr>
          <w:rFonts w:cs="Calibri"/>
          <w:sz w:val="16"/>
        </w:rPr>
      </w:pPr>
    </w:p>
    <w:p w:rsidR="007A47FC" w:rsidRPr="006B5A5A" w:rsidRDefault="007A47FC" w:rsidP="00C710D9">
      <w:pPr>
        <w:autoSpaceDE w:val="0"/>
        <w:autoSpaceDN w:val="0"/>
        <w:spacing w:afterLines="40" w:after="96"/>
        <w:ind w:left="720"/>
        <w:contextualSpacing/>
        <w:jc w:val="both"/>
        <w:rPr>
          <w:rFonts w:cs="Calibri"/>
          <w:sz w:val="16"/>
        </w:rPr>
      </w:pPr>
      <w:r w:rsidRPr="006B5A5A">
        <w:rPr>
          <w:rFonts w:eastAsia="MS Mincho" w:cs="Times"/>
          <w:sz w:val="16"/>
        </w:rPr>
        <w:t xml:space="preserve">209. Por otro lado, la Corte nota que Guatemala ha emprendido acciones tendientes a la determinación del paradero de Mayra Gutiérrez. La señora Gutiérrez desapareció hace más de 17 años, por lo cual es una expectativa justa de sus familiares que el Estado emprenda acciones eficaces para dar con su paradero, y que adopte las medidas que sean necesarias en su oportunidad. Así, el Tribunal dispone que </w:t>
      </w:r>
      <w:r w:rsidRPr="006B5A5A">
        <w:rPr>
          <w:rFonts w:eastAsia="MS Mincho" w:cs="Times"/>
          <w:b/>
          <w:sz w:val="16"/>
        </w:rPr>
        <w:t xml:space="preserve">el Estado deberá continuar con la búsqueda de ésta, para lo cual debe realizar todos los esfuerzos posibles a la brevedad. </w:t>
      </w:r>
      <w:r w:rsidR="00DE7C22" w:rsidRPr="006B5A5A">
        <w:rPr>
          <w:rFonts w:eastAsia="MS Mincho" w:cs="Times"/>
          <w:sz w:val="16"/>
        </w:rPr>
        <w:t>[…] (Énfasis añadido)</w:t>
      </w:r>
    </w:p>
    <w:p w:rsidR="00DE7C22" w:rsidRPr="006B5A5A" w:rsidRDefault="00DE7C22" w:rsidP="00C710D9">
      <w:pPr>
        <w:pStyle w:val="ListParagraph"/>
        <w:spacing w:afterLines="40" w:after="96"/>
        <w:ind w:left="810"/>
        <w:jc w:val="both"/>
        <w:rPr>
          <w:rFonts w:eastAsia="Batang"/>
          <w:sz w:val="16"/>
          <w:lang w:val="es-CR" w:eastAsia="es-MX"/>
        </w:rPr>
      </w:pPr>
    </w:p>
    <w:p w:rsidR="00DE7C22" w:rsidRPr="006B5A5A" w:rsidRDefault="00DE7C22" w:rsidP="00C710D9">
      <w:pPr>
        <w:numPr>
          <w:ilvl w:val="0"/>
          <w:numId w:val="1"/>
        </w:numPr>
        <w:tabs>
          <w:tab w:val="num" w:pos="720"/>
        </w:tabs>
        <w:autoSpaceDE w:val="0"/>
        <w:autoSpaceDN w:val="0"/>
        <w:adjustRightInd w:val="0"/>
        <w:spacing w:afterLines="40" w:after="96"/>
        <w:ind w:left="0"/>
        <w:jc w:val="both"/>
      </w:pPr>
      <w:r w:rsidRPr="006B5A5A">
        <w:t xml:space="preserve">De lo anterior se desprende claramente que la Corte no contó con elementos probatorios suficientes para declarar la responsabilidad internacional del Estado por la alegada desaparición forzada de Mayra Gutiérrez. Sin embargo, contrario a lo señalado por </w:t>
      </w:r>
      <w:r w:rsidR="006144E3" w:rsidRPr="006B5A5A">
        <w:t>Guatemala</w:t>
      </w:r>
      <w:r w:rsidRPr="006B5A5A">
        <w:t xml:space="preserve">, la Corte tampoco descartó la posibilidad de que dicha desaparición haya sido cometida por un agente estatal. </w:t>
      </w:r>
      <w:r w:rsidR="006144E3" w:rsidRPr="006B5A5A">
        <w:t xml:space="preserve">Más bien, la Corte declaró </w:t>
      </w:r>
      <w:r w:rsidR="003919EE" w:rsidRPr="006B5A5A">
        <w:t>el</w:t>
      </w:r>
      <w:r w:rsidR="006144E3" w:rsidRPr="006B5A5A">
        <w:t xml:space="preserve"> incumplimiento de Guatemala de su deber de investigar este hecho y ordenó al Estado continuar y</w:t>
      </w:r>
      <w:r w:rsidR="006144E3" w:rsidRPr="006B5A5A">
        <w:rPr>
          <w:lang w:val="es-GT"/>
        </w:rPr>
        <w:t>/o abrir los procesos penales necesari</w:t>
      </w:r>
      <w:r w:rsidR="003919EE" w:rsidRPr="006B5A5A">
        <w:rPr>
          <w:lang w:val="es-GT"/>
        </w:rPr>
        <w:t>o</w:t>
      </w:r>
      <w:r w:rsidR="006144E3" w:rsidRPr="006B5A5A">
        <w:rPr>
          <w:lang w:val="es-GT"/>
        </w:rPr>
        <w:t xml:space="preserve">s para esclarecer lo sucedido. </w:t>
      </w:r>
      <w:r w:rsidR="003919EE" w:rsidRPr="006B5A5A">
        <w:rPr>
          <w:lang w:val="es-GT"/>
        </w:rPr>
        <w:t xml:space="preserve">De este modo, corresponde al Estado establecer las responsabilidades penales que correspondan según su derecho penal interno y, por ende, determinar la figura jurídica a nivel interno en la que se encuadraría la desaparición de la víctima. El cumplimiento de esta obligación será valorada por la Corte en el momento procesal oportuno, esto es, en el trámite de supervisión de cumplimiento de la Sentencia. De este modo, la Corte declara improcedente la solicitud de interpretación en estos extremos. </w:t>
      </w:r>
    </w:p>
    <w:p w:rsidR="003919EE" w:rsidRPr="006B5A5A" w:rsidRDefault="003919EE" w:rsidP="00C710D9">
      <w:pPr>
        <w:autoSpaceDE w:val="0"/>
        <w:autoSpaceDN w:val="0"/>
        <w:adjustRightInd w:val="0"/>
        <w:spacing w:afterLines="40" w:after="96"/>
        <w:jc w:val="both"/>
      </w:pPr>
    </w:p>
    <w:p w:rsidR="003919EE" w:rsidRPr="006B5A5A" w:rsidRDefault="003919EE" w:rsidP="00C710D9">
      <w:pPr>
        <w:numPr>
          <w:ilvl w:val="0"/>
          <w:numId w:val="1"/>
        </w:numPr>
        <w:tabs>
          <w:tab w:val="num" w:pos="720"/>
        </w:tabs>
        <w:autoSpaceDE w:val="0"/>
        <w:autoSpaceDN w:val="0"/>
        <w:adjustRightInd w:val="0"/>
        <w:spacing w:afterLines="40" w:after="96"/>
        <w:ind w:left="0"/>
        <w:jc w:val="both"/>
      </w:pPr>
      <w:r w:rsidRPr="006B5A5A">
        <w:t>Ahora bien, en relación con las preguntas iii) y iv) de los representantes sobre la declaración de</w:t>
      </w:r>
      <w:r w:rsidR="00D058BB" w:rsidRPr="006B5A5A">
        <w:t>l Secretario de la SAE</w:t>
      </w:r>
      <w:r w:rsidRPr="006B5A5A">
        <w:t xml:space="preserve"> Edgar Gutiérrez Girón, </w:t>
      </w:r>
      <w:r w:rsidR="00E177CB" w:rsidRPr="006B5A5A">
        <w:t>se desprende que dicha persona fue citada en los párrafos 129 y 193 de la Sentencia, en los siguientes términos:</w:t>
      </w:r>
    </w:p>
    <w:p w:rsidR="00D058BB" w:rsidRPr="006B5A5A" w:rsidRDefault="00D058BB" w:rsidP="00C710D9">
      <w:pPr>
        <w:autoSpaceDE w:val="0"/>
        <w:autoSpaceDN w:val="0"/>
        <w:adjustRightInd w:val="0"/>
        <w:spacing w:afterLines="40" w:after="96"/>
        <w:ind w:left="708"/>
        <w:jc w:val="both"/>
        <w:rPr>
          <w:sz w:val="16"/>
          <w:lang w:val="es-CR"/>
        </w:rPr>
      </w:pPr>
    </w:p>
    <w:p w:rsidR="004E6817" w:rsidRPr="006B5A5A" w:rsidRDefault="004E6817" w:rsidP="00C710D9">
      <w:pPr>
        <w:autoSpaceDE w:val="0"/>
        <w:autoSpaceDN w:val="0"/>
        <w:adjustRightInd w:val="0"/>
        <w:spacing w:afterLines="40" w:after="96"/>
        <w:ind w:left="708"/>
        <w:jc w:val="both"/>
        <w:rPr>
          <w:rFonts w:eastAsia="Batang"/>
          <w:sz w:val="16"/>
          <w:lang w:eastAsia="es-MX"/>
        </w:rPr>
      </w:pPr>
      <w:r w:rsidRPr="006B5A5A">
        <w:rPr>
          <w:sz w:val="16"/>
          <w:lang w:val="es-CR"/>
        </w:rPr>
        <w:t xml:space="preserve">129. </w:t>
      </w:r>
      <w:r w:rsidRPr="006B5A5A">
        <w:rPr>
          <w:rFonts w:eastAsia="Batang"/>
          <w:sz w:val="16"/>
          <w:lang w:eastAsia="es-MX"/>
        </w:rPr>
        <w:t xml:space="preserve">Según consta en el expediente, los archivos mencionados </w:t>
      </w:r>
      <w:r w:rsidRPr="006B5A5A">
        <w:rPr>
          <w:rFonts w:eastAsia="Batang"/>
          <w:b/>
          <w:sz w:val="16"/>
          <w:lang w:eastAsia="es-MX"/>
        </w:rPr>
        <w:t>contendrían el registro de cerca de 650 mil personas correspondientes al periodo del año 1954 a diciembre del año 1999, “que fue la última fecha de ingreso de información encontrada en [los mismos]”.</w:t>
      </w:r>
      <w:r w:rsidRPr="006B5A5A">
        <w:rPr>
          <w:rFonts w:eastAsia="Batang"/>
          <w:sz w:val="16"/>
          <w:lang w:eastAsia="es-MX"/>
        </w:rPr>
        <w:t xml:space="preserve"> Es decir, los registros del archivo del ejército desclasificado datan del período del conflicto armado interno que vivió Guatemala entre los años 1962 y 1996, y con posterioridad a éste hasta el año 1999. </w:t>
      </w:r>
      <w:r w:rsidR="00E177CB" w:rsidRPr="006B5A5A">
        <w:rPr>
          <w:rFonts w:eastAsia="Batang"/>
          <w:sz w:val="16"/>
          <w:lang w:eastAsia="es-MX"/>
        </w:rPr>
        <w:t>[…]</w:t>
      </w:r>
      <w:r w:rsidRPr="006B5A5A">
        <w:rPr>
          <w:rFonts w:eastAsia="Batang"/>
          <w:sz w:val="16"/>
          <w:lang w:eastAsia="es-MX"/>
        </w:rPr>
        <w:t xml:space="preserve"> </w:t>
      </w:r>
    </w:p>
    <w:p w:rsidR="004E6817" w:rsidRPr="006B5A5A" w:rsidRDefault="004E6817" w:rsidP="00C710D9">
      <w:pPr>
        <w:autoSpaceDE w:val="0"/>
        <w:autoSpaceDN w:val="0"/>
        <w:adjustRightInd w:val="0"/>
        <w:spacing w:afterLines="40" w:after="96"/>
        <w:ind w:left="708"/>
        <w:jc w:val="both"/>
        <w:rPr>
          <w:rFonts w:eastAsia="Calibri" w:cs="Arial"/>
          <w:sz w:val="16"/>
          <w:lang w:eastAsia="es-MX"/>
        </w:rPr>
      </w:pPr>
    </w:p>
    <w:p w:rsidR="00786A5F" w:rsidRPr="006B5A5A" w:rsidRDefault="00786A5F" w:rsidP="00C710D9">
      <w:pPr>
        <w:autoSpaceDE w:val="0"/>
        <w:autoSpaceDN w:val="0"/>
        <w:adjustRightInd w:val="0"/>
        <w:spacing w:afterLines="40" w:after="96"/>
        <w:ind w:left="708"/>
        <w:jc w:val="both"/>
        <w:rPr>
          <w:rFonts w:eastAsia="Batang"/>
          <w:lang w:eastAsia="es-MX"/>
        </w:rPr>
      </w:pPr>
      <w:r w:rsidRPr="006B5A5A">
        <w:rPr>
          <w:sz w:val="16"/>
          <w:lang w:val="es-CR"/>
        </w:rPr>
        <w:t xml:space="preserve">193. En tercer lugar, surge del expediente que en mayo del año 2000 la Secretaría de Análisis Estratégico de la Presidencia de la República (SAE) desclasificó un </w:t>
      </w:r>
      <w:r w:rsidRPr="006B5A5A">
        <w:rPr>
          <w:rFonts w:cs="Arial Narrow"/>
          <w:sz w:val="16"/>
          <w:lang w:val="es-CR"/>
        </w:rPr>
        <w:t xml:space="preserve">archivo del Ejército y lo entregó </w:t>
      </w:r>
      <w:r w:rsidRPr="006B5A5A">
        <w:rPr>
          <w:rFonts w:eastAsia="Calibri"/>
          <w:sz w:val="16"/>
          <w:lang w:val="es-CR"/>
        </w:rPr>
        <w:t xml:space="preserve">a la Procuraduría de los Derechos Humanos. </w:t>
      </w:r>
      <w:r w:rsidRPr="006B5A5A">
        <w:rPr>
          <w:sz w:val="16"/>
          <w:lang w:val="es-CR"/>
        </w:rPr>
        <w:t>La copia electrónica completa de los archivos también fue entregada públicamente al Fiscal General y Jefe del Ministerio Público para los efectos legales correspondientes</w:t>
      </w:r>
      <w:r w:rsidRPr="006B5A5A">
        <w:rPr>
          <w:rFonts w:cs="Arial Narrow"/>
          <w:sz w:val="16"/>
          <w:lang w:val="es-CR"/>
        </w:rPr>
        <w:t xml:space="preserve">. Por su parte, “el Procurador </w:t>
      </w:r>
      <w:r w:rsidRPr="006B5A5A">
        <w:rPr>
          <w:rFonts w:eastAsia="Calibri"/>
          <w:sz w:val="16"/>
          <w:lang w:val="es-CR"/>
        </w:rPr>
        <w:t>de los Derechos Humanos abrió una oficina de consulta a donde los ciudadanos podían acudir a indagar si constaba algo sobre ellos y qué información podía haber registrada”.</w:t>
      </w:r>
      <w:r w:rsidRPr="006B5A5A">
        <w:rPr>
          <w:rFonts w:cs="Arial Narrow"/>
          <w:sz w:val="16"/>
          <w:lang w:val="es-CR"/>
        </w:rPr>
        <w:t xml:space="preserve"> </w:t>
      </w:r>
      <w:r w:rsidRPr="006B5A5A">
        <w:rPr>
          <w:rFonts w:cs="Arial Narrow"/>
          <w:b/>
          <w:sz w:val="16"/>
          <w:lang w:val="es-CR"/>
        </w:rPr>
        <w:t>D</w:t>
      </w:r>
      <w:r w:rsidRPr="006B5A5A">
        <w:rPr>
          <w:rFonts w:eastAsia="Calibri"/>
          <w:b/>
          <w:sz w:val="16"/>
          <w:lang w:val="es-CR"/>
        </w:rPr>
        <w:t xml:space="preserve">icho archivo </w:t>
      </w:r>
      <w:r w:rsidRPr="006B5A5A">
        <w:rPr>
          <w:b/>
          <w:sz w:val="16"/>
          <w:lang w:val="es-CR"/>
        </w:rPr>
        <w:t>contendría el registro de cerca de 650 mil personas correspondientes al periodo de</w:t>
      </w:r>
      <w:r w:rsidRPr="006B5A5A">
        <w:rPr>
          <w:rFonts w:eastAsia="Calibri"/>
          <w:b/>
          <w:sz w:val="16"/>
          <w:lang w:val="es-CR"/>
        </w:rPr>
        <w:t xml:space="preserve">l año </w:t>
      </w:r>
      <w:r w:rsidRPr="006B5A5A">
        <w:rPr>
          <w:b/>
          <w:sz w:val="16"/>
          <w:lang w:val="es-CR"/>
        </w:rPr>
        <w:t>1954 a diciembre del año 1999, “que fue la última fecha de ingreso de información encontrada en dichos archivos”, según explicó el entonces Secretario de la SAE.</w:t>
      </w:r>
      <w:r w:rsidRPr="006B5A5A">
        <w:rPr>
          <w:sz w:val="16"/>
          <w:lang w:val="es-CR"/>
        </w:rPr>
        <w:t xml:space="preserve"> El archivo </w:t>
      </w:r>
      <w:r w:rsidRPr="006B5A5A">
        <w:rPr>
          <w:rFonts w:eastAsia="Calibri"/>
          <w:sz w:val="16"/>
          <w:lang w:val="es-CR"/>
        </w:rPr>
        <w:t xml:space="preserve">consiste en tres bases de datos identificadas </w:t>
      </w:r>
      <w:r w:rsidRPr="006B5A5A">
        <w:rPr>
          <w:rFonts w:eastAsia="Calibri"/>
          <w:sz w:val="16"/>
          <w:lang w:val="es-CR"/>
        </w:rPr>
        <w:lastRenderedPageBreak/>
        <w:t>como</w:t>
      </w:r>
      <w:r w:rsidRPr="006B5A5A">
        <w:rPr>
          <w:rFonts w:cs="Arial Narrow"/>
          <w:sz w:val="16"/>
          <w:lang w:val="es-CR"/>
        </w:rPr>
        <w:t xml:space="preserve"> </w:t>
      </w:r>
      <w:r w:rsidRPr="006B5A5A">
        <w:rPr>
          <w:rFonts w:eastAsia="Calibri"/>
          <w:sz w:val="16"/>
          <w:lang w:val="es-CR"/>
        </w:rPr>
        <w:t>“Personas”,</w:t>
      </w:r>
      <w:r w:rsidRPr="006B5A5A">
        <w:rPr>
          <w:rFonts w:cs="Arial Narrow"/>
          <w:sz w:val="16"/>
          <w:lang w:val="es-CR"/>
        </w:rPr>
        <w:t xml:space="preserve"> </w:t>
      </w:r>
      <w:r w:rsidRPr="006B5A5A">
        <w:rPr>
          <w:rFonts w:eastAsia="Calibri"/>
          <w:sz w:val="16"/>
          <w:lang w:val="es-CR"/>
        </w:rPr>
        <w:t>“Adicionales” y “Catálogo”. La Procuraduría de los Derechos Humanos explicó que el nombre de Mayra Angelina Gutiérrez Hernández aparece y tiene asignado el “código de persona 152397”, sin embargo, no se encontró ningún registro relacionado a su código de persona en la tabla “adicionales”, además, hace falta una tabla que permita relacionar la tabla “catálogo” con las tablas “personas” y “adicionales” (</w:t>
      </w:r>
      <w:r w:rsidRPr="006B5A5A">
        <w:rPr>
          <w:rFonts w:eastAsia="Calibri"/>
          <w:i/>
          <w:sz w:val="16"/>
          <w:lang w:val="es-CR"/>
        </w:rPr>
        <w:t>supra</w:t>
      </w:r>
      <w:r w:rsidRPr="006B5A5A">
        <w:rPr>
          <w:rFonts w:eastAsia="Calibri"/>
          <w:sz w:val="16"/>
          <w:lang w:val="es-CR"/>
        </w:rPr>
        <w:t xml:space="preserve"> párrs. 127 y 128). (Énfasis añadido)</w:t>
      </w:r>
    </w:p>
    <w:p w:rsidR="002C5C2B" w:rsidRPr="006B5A5A" w:rsidRDefault="002C5C2B" w:rsidP="00C710D9">
      <w:pPr>
        <w:autoSpaceDE w:val="0"/>
        <w:autoSpaceDN w:val="0"/>
        <w:adjustRightInd w:val="0"/>
        <w:spacing w:afterLines="40" w:after="96"/>
        <w:jc w:val="both"/>
        <w:rPr>
          <w:rFonts w:eastAsia="Calibri" w:cs="Arial"/>
          <w:sz w:val="16"/>
          <w:lang w:eastAsia="es-MX"/>
        </w:rPr>
      </w:pPr>
    </w:p>
    <w:p w:rsidR="00786A5F" w:rsidRPr="006B5A5A" w:rsidRDefault="00786A5F" w:rsidP="00C710D9">
      <w:pPr>
        <w:numPr>
          <w:ilvl w:val="0"/>
          <w:numId w:val="1"/>
        </w:numPr>
        <w:tabs>
          <w:tab w:val="num" w:pos="720"/>
        </w:tabs>
        <w:autoSpaceDE w:val="0"/>
        <w:autoSpaceDN w:val="0"/>
        <w:adjustRightInd w:val="0"/>
        <w:spacing w:afterLines="40" w:after="96"/>
        <w:ind w:left="0"/>
        <w:jc w:val="both"/>
        <w:rPr>
          <w:sz w:val="16"/>
          <w:szCs w:val="16"/>
        </w:rPr>
      </w:pPr>
      <w:r w:rsidRPr="006B5A5A">
        <w:rPr>
          <w:rFonts w:eastAsia="Batang"/>
          <w:lang w:eastAsia="es-MX"/>
        </w:rPr>
        <w:t>Por otro lado</w:t>
      </w:r>
      <w:r w:rsidR="002C5C2B" w:rsidRPr="006B5A5A">
        <w:rPr>
          <w:rFonts w:eastAsia="Batang"/>
          <w:lang w:eastAsia="es-MX"/>
        </w:rPr>
        <w:t xml:space="preserve">, </w:t>
      </w:r>
      <w:r w:rsidR="003D12E3" w:rsidRPr="006B5A5A">
        <w:rPr>
          <w:rFonts w:eastAsia="Batang"/>
          <w:lang w:eastAsia="es-MX"/>
        </w:rPr>
        <w:t xml:space="preserve">en el </w:t>
      </w:r>
      <w:r w:rsidRPr="006B5A5A">
        <w:rPr>
          <w:rFonts w:eastAsia="Batang"/>
          <w:lang w:eastAsia="es-MX"/>
        </w:rPr>
        <w:t>párrafo 131 de la Sentencia</w:t>
      </w:r>
      <w:r w:rsidR="003D12E3" w:rsidRPr="006B5A5A">
        <w:rPr>
          <w:rFonts w:eastAsia="Batang"/>
          <w:lang w:eastAsia="es-MX"/>
        </w:rPr>
        <w:t xml:space="preserve"> se establece que: </w:t>
      </w:r>
      <w:r w:rsidRPr="006B5A5A">
        <w:rPr>
          <w:sz w:val="16"/>
          <w:szCs w:val="16"/>
        </w:rPr>
        <w:t xml:space="preserve"> </w:t>
      </w:r>
    </w:p>
    <w:p w:rsidR="00786A5F" w:rsidRPr="006B5A5A" w:rsidRDefault="00786A5F" w:rsidP="00C710D9">
      <w:pPr>
        <w:autoSpaceDE w:val="0"/>
        <w:autoSpaceDN w:val="0"/>
        <w:adjustRightInd w:val="0"/>
        <w:spacing w:afterLines="40" w:after="96"/>
        <w:ind w:left="708"/>
        <w:jc w:val="both"/>
        <w:rPr>
          <w:rFonts w:eastAsia="Calibri" w:cs="Arial"/>
          <w:sz w:val="16"/>
          <w:lang w:eastAsia="es-MX"/>
        </w:rPr>
      </w:pPr>
    </w:p>
    <w:p w:rsidR="00786A5F" w:rsidRPr="006B5A5A" w:rsidRDefault="00786A5F" w:rsidP="00C710D9">
      <w:pPr>
        <w:autoSpaceDE w:val="0"/>
        <w:autoSpaceDN w:val="0"/>
        <w:adjustRightInd w:val="0"/>
        <w:spacing w:afterLines="40" w:after="96"/>
        <w:ind w:left="708"/>
        <w:jc w:val="both"/>
        <w:rPr>
          <w:rFonts w:eastAsia="Batang"/>
          <w:lang w:eastAsia="es-MX"/>
        </w:rPr>
      </w:pPr>
      <w:r w:rsidRPr="006B5A5A">
        <w:rPr>
          <w:rFonts w:eastAsia="Calibri" w:cs="Arial"/>
          <w:sz w:val="16"/>
          <w:lang w:eastAsia="es-MX"/>
        </w:rPr>
        <w:t xml:space="preserve">131. </w:t>
      </w:r>
      <w:r w:rsidRPr="006B5A5A">
        <w:rPr>
          <w:rFonts w:eastAsia="Batang"/>
          <w:sz w:val="16"/>
          <w:lang w:eastAsia="es-MX"/>
        </w:rPr>
        <w:t>La Corte nota que los hermanos de la presunta víctima desaparecieron en los años 1982 y 1985, en el marco de dicho contexto. Por su parte, Mayra Gutiérrez, quien habría pertenecido a grupos guerrilleros entre 1977 y 1986 (</w:t>
      </w:r>
      <w:r w:rsidRPr="006B5A5A">
        <w:rPr>
          <w:rFonts w:eastAsia="Batang"/>
          <w:i/>
          <w:sz w:val="16"/>
          <w:lang w:eastAsia="es-MX"/>
        </w:rPr>
        <w:t xml:space="preserve">supra </w:t>
      </w:r>
      <w:r w:rsidRPr="006B5A5A">
        <w:rPr>
          <w:rFonts w:eastAsia="Batang"/>
          <w:sz w:val="16"/>
          <w:lang w:eastAsia="es-MX"/>
        </w:rPr>
        <w:t xml:space="preserve">párr. 45), desapareció el 7 de abril de 2000. Al respecto, la Corte no cuenta con elementos para establecer si la práctica de desaparición forzada empleada por el Estado durante el conflicto armado interno se extendió con posterioridad a la conclusión formal del mismo en el año 1996 y hasta la fecha en que desapareció Mayra Gutiérrez. Por otra parte, </w:t>
      </w:r>
      <w:r w:rsidRPr="006B5A5A">
        <w:rPr>
          <w:rFonts w:eastAsia="Batang"/>
          <w:b/>
          <w:sz w:val="16"/>
          <w:lang w:eastAsia="es-MX"/>
        </w:rPr>
        <w:t>de la prueba ante el Tribunal no se desprende si los archivos entregados por la SAE</w:t>
      </w:r>
      <w:r w:rsidRPr="006B5A5A">
        <w:rPr>
          <w:rFonts w:eastAsia="Batang"/>
          <w:sz w:val="16"/>
          <w:lang w:eastAsia="es-MX"/>
        </w:rPr>
        <w:t xml:space="preserve"> </w:t>
      </w:r>
      <w:r w:rsidRPr="006B5A5A">
        <w:rPr>
          <w:rFonts w:eastAsia="Batang"/>
          <w:b/>
          <w:sz w:val="16"/>
          <w:u w:val="single"/>
          <w:lang w:eastAsia="es-MX"/>
        </w:rPr>
        <w:t>en los cuales aparece el nombre de Mayra Gutiérrez</w:t>
      </w:r>
      <w:r w:rsidRPr="006B5A5A">
        <w:rPr>
          <w:rFonts w:eastAsia="Batang"/>
          <w:b/>
          <w:sz w:val="16"/>
          <w:lang w:eastAsia="es-MX"/>
        </w:rPr>
        <w:t xml:space="preserve"> datan de la época del conflicto o bien, se trataría de información recopilada de forma contemporánea a los hechos del presente caso</w:t>
      </w:r>
      <w:r w:rsidR="00A728BD">
        <w:rPr>
          <w:rStyle w:val="FootnoteReference"/>
          <w:rFonts w:eastAsia="Batang"/>
          <w:b/>
          <w:sz w:val="16"/>
          <w:lang w:eastAsia="es-MX"/>
        </w:rPr>
        <w:footnoteReference w:id="11"/>
      </w:r>
      <w:r w:rsidRPr="006B5A5A">
        <w:rPr>
          <w:rFonts w:eastAsia="Batang"/>
          <w:b/>
          <w:sz w:val="16"/>
          <w:lang w:eastAsia="es-MX"/>
        </w:rPr>
        <w:t>.</w:t>
      </w:r>
      <w:r w:rsidRPr="006B5A5A">
        <w:rPr>
          <w:rFonts w:eastAsia="Batang"/>
          <w:sz w:val="16"/>
          <w:lang w:eastAsia="es-MX"/>
        </w:rPr>
        <w:t xml:space="preserve"> </w:t>
      </w:r>
      <w:r w:rsidRPr="006B5A5A">
        <w:rPr>
          <w:rFonts w:eastAsia="Batang"/>
          <w:b/>
          <w:sz w:val="16"/>
          <w:lang w:eastAsia="es-MX"/>
        </w:rPr>
        <w:t xml:space="preserve">Tampoco se desprende de la documentación presentada, qué tipo de información se recopiló sobre ella. </w:t>
      </w:r>
      <w:r w:rsidRPr="006B5A5A">
        <w:rPr>
          <w:rFonts w:eastAsia="Batang"/>
          <w:sz w:val="16"/>
          <w:lang w:eastAsia="es-MX"/>
        </w:rPr>
        <w:t xml:space="preserve">De este modo, la Corte considera que estos indicios son insuficientes, por sí solos, para demostrar que la señora Gutiérrez fue privada de su libertad por agentes del Estado o con la aquiescencia de </w:t>
      </w:r>
      <w:r w:rsidRPr="006B5A5A">
        <w:rPr>
          <w:rFonts w:eastAsia="Batang"/>
          <w:sz w:val="16"/>
          <w:szCs w:val="16"/>
          <w:lang w:eastAsia="es-MX"/>
        </w:rPr>
        <w:t>éstos. (Énfasis añadido)</w:t>
      </w:r>
    </w:p>
    <w:p w:rsidR="003D12E3" w:rsidRPr="006B5A5A" w:rsidRDefault="003D12E3" w:rsidP="00C710D9">
      <w:pPr>
        <w:autoSpaceDE w:val="0"/>
        <w:autoSpaceDN w:val="0"/>
        <w:adjustRightInd w:val="0"/>
        <w:spacing w:afterLines="40" w:after="96"/>
        <w:jc w:val="both"/>
        <w:rPr>
          <w:rFonts w:eastAsia="Batang"/>
          <w:lang w:eastAsia="es-MX"/>
        </w:rPr>
      </w:pPr>
    </w:p>
    <w:p w:rsidR="004F76A0" w:rsidRPr="006B5A5A" w:rsidRDefault="003D12E3" w:rsidP="00C710D9">
      <w:pPr>
        <w:pStyle w:val="ListParagraph"/>
        <w:numPr>
          <w:ilvl w:val="0"/>
          <w:numId w:val="1"/>
        </w:numPr>
        <w:tabs>
          <w:tab w:val="clear" w:pos="1427"/>
          <w:tab w:val="num" w:pos="720"/>
        </w:tabs>
        <w:spacing w:afterLines="40" w:after="96"/>
        <w:ind w:left="0"/>
        <w:jc w:val="both"/>
        <w:rPr>
          <w:lang w:val="es-CR"/>
        </w:rPr>
      </w:pPr>
      <w:r w:rsidRPr="006B5A5A">
        <w:rPr>
          <w:rFonts w:eastAsia="Batang"/>
          <w:lang w:eastAsia="es-MX"/>
        </w:rPr>
        <w:t>En particular, en la nota al pie 166 del mencionado párrafo 131, la Corte indica que se solicitó al P</w:t>
      </w:r>
      <w:r w:rsidRPr="006B5A5A">
        <w:t xml:space="preserve">rocurador de los Derechos Humanos información sobre la fecha de creación de los </w:t>
      </w:r>
      <w:r w:rsidRPr="006B5A5A">
        <w:rPr>
          <w:rFonts w:eastAsia="Batang"/>
          <w:lang w:eastAsia="es-MX"/>
        </w:rPr>
        <w:t>archivos</w:t>
      </w:r>
      <w:r w:rsidRPr="006B5A5A">
        <w:t xml:space="preserve"> entregados por la SAE </w:t>
      </w:r>
      <w:r w:rsidRPr="006B5A5A">
        <w:rPr>
          <w:i/>
        </w:rPr>
        <w:t>donde aparece el nombre de Mayra Gutiérrez</w:t>
      </w:r>
      <w:r w:rsidRPr="006B5A5A">
        <w:t>, sin embargo, éste indicó que no contaba con dicha información</w:t>
      </w:r>
      <w:r w:rsidR="00316ADA" w:rsidRPr="006B5A5A">
        <w:rPr>
          <w:rStyle w:val="FootnoteReference"/>
          <w:rFonts w:cs="Arial"/>
          <w:lang w:val="es-CR"/>
        </w:rPr>
        <w:footnoteReference w:id="12"/>
      </w:r>
      <w:r w:rsidRPr="006B5A5A">
        <w:t>.</w:t>
      </w:r>
      <w:r w:rsidR="008079AF" w:rsidRPr="006B5A5A">
        <w:t xml:space="preserve"> </w:t>
      </w:r>
      <w:r w:rsidR="00786A5F" w:rsidRPr="006B5A5A">
        <w:t xml:space="preserve">Es claro, pues, </w:t>
      </w:r>
      <w:r w:rsidR="00F61186" w:rsidRPr="006B5A5A">
        <w:rPr>
          <w:rFonts w:eastAsia="Calibri" w:cs="Verdana"/>
          <w:lang w:val="es-CR"/>
        </w:rPr>
        <w:t>que la declaración de Edgar Armando Guti</w:t>
      </w:r>
      <w:r w:rsidR="000B5CB9" w:rsidRPr="006B5A5A">
        <w:rPr>
          <w:rFonts w:eastAsia="Calibri" w:cs="Verdana"/>
          <w:lang w:val="es-CR"/>
        </w:rPr>
        <w:t>é</w:t>
      </w:r>
      <w:r w:rsidR="00F61186" w:rsidRPr="006B5A5A">
        <w:rPr>
          <w:rFonts w:eastAsia="Calibri" w:cs="Verdana"/>
          <w:lang w:val="es-CR"/>
        </w:rPr>
        <w:t xml:space="preserve">rrez fue valorada por el </w:t>
      </w:r>
      <w:r w:rsidR="00786A5F" w:rsidRPr="006B5A5A">
        <w:rPr>
          <w:rFonts w:eastAsia="Calibri" w:cs="Verdana"/>
          <w:lang w:val="es-CR"/>
        </w:rPr>
        <w:t>T</w:t>
      </w:r>
      <w:r w:rsidR="00F61186" w:rsidRPr="006B5A5A">
        <w:rPr>
          <w:rFonts w:eastAsia="Calibri" w:cs="Verdana"/>
          <w:lang w:val="es-CR"/>
        </w:rPr>
        <w:t>ribunal junto con los demás elementos probatorios en el expediente</w:t>
      </w:r>
      <w:r w:rsidR="008079AF" w:rsidRPr="006B5A5A">
        <w:rPr>
          <w:rFonts w:eastAsia="Calibri" w:cs="Verdana"/>
          <w:lang w:val="es-CR"/>
        </w:rPr>
        <w:t xml:space="preserve">. Igualmente, es claro el alcance probatorio que se dio a dicha declaración. Por tanto, la Corte </w:t>
      </w:r>
      <w:r w:rsidR="008079AF" w:rsidRPr="006B5A5A">
        <w:rPr>
          <w:lang w:val="es-GT"/>
        </w:rPr>
        <w:t xml:space="preserve">declara improcedente la solicitud de interpretación en estos extremos. </w:t>
      </w:r>
    </w:p>
    <w:p w:rsidR="004F76A0" w:rsidRPr="006B5A5A" w:rsidRDefault="004F76A0" w:rsidP="00C710D9">
      <w:pPr>
        <w:tabs>
          <w:tab w:val="left" w:pos="810"/>
        </w:tabs>
        <w:autoSpaceDE w:val="0"/>
        <w:autoSpaceDN w:val="0"/>
        <w:adjustRightInd w:val="0"/>
        <w:spacing w:afterLines="40" w:after="96"/>
        <w:jc w:val="both"/>
        <w:rPr>
          <w:rFonts w:eastAsia="Calibri" w:cs="Verdana"/>
          <w:lang w:val="es-CR"/>
        </w:rPr>
      </w:pPr>
    </w:p>
    <w:p w:rsidR="00C07A62" w:rsidRPr="00A728BD" w:rsidRDefault="00C07A62" w:rsidP="00C710D9">
      <w:pPr>
        <w:autoSpaceDE w:val="0"/>
        <w:autoSpaceDN w:val="0"/>
        <w:adjustRightInd w:val="0"/>
        <w:spacing w:afterLines="40" w:after="96"/>
        <w:jc w:val="both"/>
        <w:rPr>
          <w:rFonts w:eastAsia="Calibri" w:cs="Verdana"/>
          <w:b/>
          <w:i/>
          <w:lang w:val="es-CR"/>
        </w:rPr>
      </w:pPr>
      <w:bookmarkStart w:id="3" w:name="_ftnref1"/>
      <w:bookmarkStart w:id="4" w:name="_ftnref2"/>
      <w:bookmarkStart w:id="5" w:name="_ftnref3"/>
      <w:bookmarkStart w:id="6" w:name="_ftnref4"/>
      <w:bookmarkStart w:id="7" w:name="_ftnref5"/>
      <w:bookmarkStart w:id="8" w:name="_ftnref6"/>
      <w:bookmarkEnd w:id="3"/>
      <w:bookmarkEnd w:id="4"/>
      <w:bookmarkEnd w:id="5"/>
      <w:bookmarkEnd w:id="6"/>
      <w:bookmarkEnd w:id="7"/>
      <w:bookmarkEnd w:id="8"/>
      <w:r w:rsidRPr="00A728BD">
        <w:rPr>
          <w:rFonts w:eastAsia="Calibri" w:cs="Verdana"/>
          <w:b/>
          <w:i/>
          <w:lang w:val="es-CR"/>
        </w:rPr>
        <w:t xml:space="preserve">B. </w:t>
      </w:r>
      <w:r w:rsidR="00C66596" w:rsidRPr="00A728BD">
        <w:rPr>
          <w:rFonts w:eastAsia="Calibri" w:cs="Verdana"/>
          <w:b/>
          <w:i/>
          <w:lang w:val="es-CR"/>
        </w:rPr>
        <w:t>E</w:t>
      </w:r>
      <w:r w:rsidRPr="00A728BD">
        <w:rPr>
          <w:rFonts w:eastAsia="Calibri" w:cs="Verdana"/>
          <w:b/>
          <w:i/>
          <w:lang w:val="es-CR"/>
        </w:rPr>
        <w:t>n</w:t>
      </w:r>
      <w:r w:rsidR="00C66596" w:rsidRPr="00A728BD">
        <w:rPr>
          <w:rFonts w:eastAsia="Calibri" w:cs="Verdana"/>
          <w:b/>
          <w:i/>
          <w:lang w:val="es-CR"/>
        </w:rPr>
        <w:t xml:space="preserve"> relación </w:t>
      </w:r>
      <w:r w:rsidRPr="00A728BD">
        <w:rPr>
          <w:rFonts w:eastAsia="Calibri" w:cs="Verdana"/>
          <w:b/>
          <w:i/>
          <w:lang w:val="es-CR"/>
        </w:rPr>
        <w:t xml:space="preserve">al daño inmaterial </w:t>
      </w:r>
    </w:p>
    <w:p w:rsidR="00C07A62" w:rsidRPr="006B5A5A" w:rsidRDefault="00C07A62" w:rsidP="00C710D9">
      <w:pPr>
        <w:pStyle w:val="ListParagraph"/>
        <w:spacing w:afterLines="40" w:after="96"/>
        <w:jc w:val="both"/>
        <w:rPr>
          <w:szCs w:val="16"/>
          <w:lang w:val="es-CR"/>
        </w:rPr>
      </w:pPr>
    </w:p>
    <w:p w:rsidR="00F60F20" w:rsidRPr="006B5A5A" w:rsidRDefault="00F60F20" w:rsidP="00C710D9">
      <w:pPr>
        <w:pStyle w:val="ListParagraph"/>
        <w:spacing w:afterLines="40" w:after="96"/>
        <w:jc w:val="both"/>
        <w:rPr>
          <w:i/>
          <w:szCs w:val="16"/>
          <w:lang w:val="es-CR"/>
        </w:rPr>
      </w:pPr>
      <w:r w:rsidRPr="006B5A5A">
        <w:rPr>
          <w:i/>
          <w:szCs w:val="16"/>
          <w:lang w:val="es-CR"/>
        </w:rPr>
        <w:t xml:space="preserve">B.1. Argumentos de las partes y la Comisión </w:t>
      </w:r>
    </w:p>
    <w:p w:rsidR="00F60F20" w:rsidRPr="006B5A5A" w:rsidRDefault="00F60F20" w:rsidP="00C710D9">
      <w:pPr>
        <w:pStyle w:val="ListParagraph"/>
        <w:spacing w:afterLines="40" w:after="96"/>
        <w:jc w:val="both"/>
        <w:rPr>
          <w:i/>
          <w:szCs w:val="16"/>
          <w:lang w:val="es-CR"/>
        </w:rPr>
      </w:pPr>
    </w:p>
    <w:p w:rsidR="00A5443D" w:rsidRPr="006B5A5A" w:rsidRDefault="00F61322" w:rsidP="00C710D9">
      <w:pPr>
        <w:pStyle w:val="ListParagraph"/>
        <w:numPr>
          <w:ilvl w:val="0"/>
          <w:numId w:val="1"/>
        </w:numPr>
        <w:tabs>
          <w:tab w:val="clear" w:pos="1427"/>
          <w:tab w:val="num" w:pos="720"/>
        </w:tabs>
        <w:spacing w:afterLines="40" w:after="96"/>
        <w:ind w:left="0"/>
        <w:jc w:val="both"/>
        <w:rPr>
          <w:rFonts w:eastAsia="Calibri" w:cs="Verdana"/>
          <w:lang w:val="es-CR"/>
        </w:rPr>
      </w:pPr>
      <w:r w:rsidRPr="006B5A5A">
        <w:rPr>
          <w:lang w:val="es-CR"/>
        </w:rPr>
        <w:t>En relación con el monto ordenado en la Sentencia a favor de Mayra Angelina Gutiérrez Hernández por concepto de daño inmaterial, l</w:t>
      </w:r>
      <w:r w:rsidR="00C07A62" w:rsidRPr="006B5A5A">
        <w:rPr>
          <w:lang w:val="es-CR"/>
        </w:rPr>
        <w:t xml:space="preserve">os </w:t>
      </w:r>
      <w:r w:rsidR="00C07A62" w:rsidRPr="006B5A5A">
        <w:rPr>
          <w:b/>
          <w:i/>
          <w:lang w:val="es-CR"/>
        </w:rPr>
        <w:t>representantes</w:t>
      </w:r>
      <w:r w:rsidR="00C07A62" w:rsidRPr="006B5A5A">
        <w:rPr>
          <w:lang w:val="es-CR"/>
        </w:rPr>
        <w:t xml:space="preserve"> </w:t>
      </w:r>
      <w:r w:rsidR="007F08D2" w:rsidRPr="006B5A5A">
        <w:rPr>
          <w:lang w:val="es-CR"/>
        </w:rPr>
        <w:t xml:space="preserve">señalaron que el Estado, a través de la Comisión Presidencial Coordinadora de la Política del Ejecutivo en materia de </w:t>
      </w:r>
      <w:r w:rsidR="007F08D2" w:rsidRPr="006B5A5A">
        <w:rPr>
          <w:rFonts w:eastAsia="Calibri" w:cs="Verdana"/>
          <w:lang w:val="es-CR"/>
        </w:rPr>
        <w:t>Derechos</w:t>
      </w:r>
      <w:r w:rsidR="007F08D2" w:rsidRPr="006B5A5A">
        <w:rPr>
          <w:lang w:val="es-CR"/>
        </w:rPr>
        <w:t xml:space="preserve"> Humanos (COPREDEH), informó verbalmente que abriría una cuenta bancaria a nombre de la víctima. Sin embargo</w:t>
      </w:r>
      <w:r w:rsidR="00C07A62" w:rsidRPr="006B5A5A">
        <w:rPr>
          <w:lang w:val="es-CR"/>
        </w:rPr>
        <w:t xml:space="preserve">, “la victima </w:t>
      </w:r>
      <w:r w:rsidR="00607CE1" w:rsidRPr="006B5A5A">
        <w:rPr>
          <w:lang w:val="es-CR"/>
        </w:rPr>
        <w:t>[…]</w:t>
      </w:r>
      <w:r w:rsidR="00C07A62" w:rsidRPr="006B5A5A">
        <w:rPr>
          <w:lang w:val="es-CR"/>
        </w:rPr>
        <w:t xml:space="preserve"> se encuentra desaparecida, y </w:t>
      </w:r>
      <w:r w:rsidR="00607CE1" w:rsidRPr="006B5A5A">
        <w:rPr>
          <w:lang w:val="es-CR"/>
        </w:rPr>
        <w:t>[…]</w:t>
      </w:r>
      <w:r w:rsidR="00C07A62" w:rsidRPr="006B5A5A">
        <w:rPr>
          <w:lang w:val="es-CR"/>
        </w:rPr>
        <w:t xml:space="preserve"> legalmente ante el Registro Nacional de Personas -RENAP- está viva</w:t>
      </w:r>
      <w:r w:rsidR="007F08D2" w:rsidRPr="006B5A5A">
        <w:rPr>
          <w:lang w:val="es-CR"/>
        </w:rPr>
        <w:t>, […] por lo que no es posible que […] pueda acceder a la indemnización […]”. Al respecto, sostuvieron que</w:t>
      </w:r>
      <w:r w:rsidR="00A5443D" w:rsidRPr="006B5A5A">
        <w:rPr>
          <w:lang w:val="es-CR"/>
        </w:rPr>
        <w:t xml:space="preserve"> que el </w:t>
      </w:r>
      <w:r w:rsidR="00A5443D" w:rsidRPr="006B5A5A">
        <w:rPr>
          <w:lang w:val="es-CR"/>
        </w:rPr>
        <w:lastRenderedPageBreak/>
        <w:t>Cód</w:t>
      </w:r>
      <w:r w:rsidR="007F08D2" w:rsidRPr="006B5A5A">
        <w:rPr>
          <w:lang w:val="es-CR"/>
        </w:rPr>
        <w:t>igo Civil guatemalteco establece en su artículo 63, un mecanismo que obligaría a los familiares a declarar fallecida “presuntamente” a una persona desaparecida a fin de pedir la posesión de la herencia. Así</w:t>
      </w:r>
      <w:r w:rsidR="00446B9B" w:rsidRPr="006B5A5A">
        <w:rPr>
          <w:lang w:val="es-CR"/>
        </w:rPr>
        <w:t>,</w:t>
      </w:r>
      <w:r w:rsidR="007F08D2" w:rsidRPr="006B5A5A">
        <w:rPr>
          <w:lang w:val="es-CR"/>
        </w:rPr>
        <w:t xml:space="preserve"> requirieron que se les “indique cuál es el mecanismo y/o uso del ordenamiento jurídico interno en cuanto [a]l derecho hereditario” a utilizarse “para que la hija de la víctima pueda acceder a dicha reparación”.</w:t>
      </w:r>
    </w:p>
    <w:p w:rsidR="00607CE1" w:rsidRPr="006B5A5A" w:rsidRDefault="00607CE1" w:rsidP="00C710D9">
      <w:pPr>
        <w:pStyle w:val="ListParagraph"/>
        <w:spacing w:afterLines="40" w:after="96"/>
        <w:ind w:left="0"/>
        <w:jc w:val="both"/>
        <w:rPr>
          <w:rFonts w:eastAsia="Calibri" w:cs="Verdana"/>
          <w:lang w:val="es-CR"/>
        </w:rPr>
      </w:pPr>
    </w:p>
    <w:p w:rsidR="007F08D2" w:rsidRPr="006B5A5A" w:rsidRDefault="00C07A62" w:rsidP="00C710D9">
      <w:pPr>
        <w:pStyle w:val="ListParagraph"/>
        <w:numPr>
          <w:ilvl w:val="0"/>
          <w:numId w:val="1"/>
        </w:numPr>
        <w:tabs>
          <w:tab w:val="clear" w:pos="1427"/>
          <w:tab w:val="num" w:pos="720"/>
        </w:tabs>
        <w:spacing w:afterLines="40" w:after="96"/>
        <w:ind w:left="0"/>
        <w:jc w:val="both"/>
        <w:rPr>
          <w:rFonts w:eastAsiaTheme="minorHAnsi" w:cs="Calibri-Italic"/>
          <w:iCs/>
          <w:lang w:val="es-CR"/>
        </w:rPr>
      </w:pPr>
      <w:r w:rsidRPr="006B5A5A">
        <w:rPr>
          <w:rFonts w:eastAsiaTheme="minorHAnsi" w:cs="Calibri-Italic"/>
          <w:iCs/>
          <w:lang w:val="es-CR"/>
        </w:rPr>
        <w:t xml:space="preserve">El </w:t>
      </w:r>
      <w:r w:rsidRPr="006B5A5A">
        <w:rPr>
          <w:rFonts w:eastAsiaTheme="minorHAnsi" w:cs="Calibri-Italic"/>
          <w:b/>
          <w:i/>
          <w:iCs/>
          <w:lang w:val="es-CR"/>
        </w:rPr>
        <w:t xml:space="preserve">Estado </w:t>
      </w:r>
      <w:r w:rsidR="007F08D2" w:rsidRPr="006B5A5A">
        <w:rPr>
          <w:rFonts w:eastAsiaTheme="minorHAnsi" w:cs="Calibri-Italic"/>
          <w:iCs/>
          <w:lang w:val="es-CR"/>
        </w:rPr>
        <w:t xml:space="preserve">manifestó </w:t>
      </w:r>
      <w:r w:rsidRPr="006B5A5A">
        <w:rPr>
          <w:rFonts w:eastAsiaTheme="minorHAnsi" w:cs="Calibri-Italic"/>
          <w:iCs/>
          <w:lang w:val="es-CR"/>
        </w:rPr>
        <w:t xml:space="preserve">que </w:t>
      </w:r>
      <w:r w:rsidR="007F08D2" w:rsidRPr="006B5A5A">
        <w:rPr>
          <w:rFonts w:eastAsiaTheme="minorHAnsi" w:cs="Calibri-Italic"/>
          <w:iCs/>
          <w:lang w:val="es-CR"/>
        </w:rPr>
        <w:t>“</w:t>
      </w:r>
      <w:r w:rsidRPr="006B5A5A">
        <w:rPr>
          <w:rFonts w:eastAsiaTheme="minorHAnsi" w:cs="Calibri-Italic"/>
          <w:iCs/>
          <w:lang w:val="es-CR"/>
        </w:rPr>
        <w:t>abriga la esperanza de que en algún momento aparezca con vida la señora Gutiérrez Hernández</w:t>
      </w:r>
      <w:r w:rsidR="00425E32" w:rsidRPr="006B5A5A">
        <w:rPr>
          <w:rFonts w:eastAsiaTheme="minorHAnsi" w:cs="Calibri-Italic"/>
          <w:iCs/>
          <w:lang w:val="es-CR"/>
        </w:rPr>
        <w:t>” y que “d</w:t>
      </w:r>
      <w:r w:rsidRPr="006B5A5A">
        <w:rPr>
          <w:rFonts w:eastAsiaTheme="minorHAnsi" w:cs="Calibri-Italic"/>
          <w:iCs/>
          <w:lang w:val="es-CR"/>
        </w:rPr>
        <w:t>ará cumplimiento a las medidas de reparación establecidas en el presente caso</w:t>
      </w:r>
      <w:r w:rsidR="00425E32" w:rsidRPr="006B5A5A">
        <w:rPr>
          <w:rFonts w:eastAsiaTheme="minorHAnsi" w:cs="Calibri-Italic"/>
          <w:iCs/>
          <w:lang w:val="es-CR"/>
        </w:rPr>
        <w:t>”</w:t>
      </w:r>
      <w:r w:rsidRPr="006B5A5A">
        <w:rPr>
          <w:rFonts w:eastAsiaTheme="minorHAnsi" w:cs="Calibri-Italic"/>
          <w:iCs/>
          <w:lang w:val="es-CR"/>
        </w:rPr>
        <w:t xml:space="preserve">. </w:t>
      </w:r>
      <w:r w:rsidR="00425E32" w:rsidRPr="006B5A5A">
        <w:rPr>
          <w:rFonts w:eastAsiaTheme="minorHAnsi" w:cs="Calibri-Italic"/>
          <w:iCs/>
          <w:lang w:val="es-CR"/>
        </w:rPr>
        <w:t>Al respecto indicó</w:t>
      </w:r>
      <w:r w:rsidR="00446B9B" w:rsidRPr="006B5A5A">
        <w:rPr>
          <w:rFonts w:eastAsiaTheme="minorHAnsi" w:cs="Calibri-Italic"/>
          <w:iCs/>
          <w:lang w:val="es-CR"/>
        </w:rPr>
        <w:t>,</w:t>
      </w:r>
      <w:r w:rsidRPr="006B5A5A">
        <w:rPr>
          <w:rFonts w:eastAsiaTheme="minorHAnsi" w:cs="Calibri-Italic"/>
          <w:iCs/>
          <w:lang w:val="es-CR"/>
        </w:rPr>
        <w:t xml:space="preserve"> en primer lugar, </w:t>
      </w:r>
      <w:r w:rsidR="00425E32" w:rsidRPr="006B5A5A">
        <w:rPr>
          <w:rFonts w:eastAsiaTheme="minorHAnsi" w:cs="Calibri-Italic"/>
          <w:iCs/>
          <w:lang w:val="es-CR"/>
        </w:rPr>
        <w:t>que la Corte identificó</w:t>
      </w:r>
      <w:r w:rsidRPr="006B5A5A">
        <w:rPr>
          <w:rFonts w:eastAsiaTheme="minorHAnsi" w:cs="Calibri-Italic"/>
          <w:iCs/>
          <w:lang w:val="es-CR"/>
        </w:rPr>
        <w:t xml:space="preserve"> como </w:t>
      </w:r>
      <w:r w:rsidRPr="006B5A5A">
        <w:rPr>
          <w:rFonts w:eastAsia="Calibri" w:cs="Verdana"/>
          <w:lang w:val="es-CR"/>
        </w:rPr>
        <w:t>víctima</w:t>
      </w:r>
      <w:r w:rsidRPr="006B5A5A">
        <w:rPr>
          <w:rFonts w:eastAsiaTheme="minorHAnsi" w:cs="Calibri-Italic"/>
          <w:iCs/>
          <w:lang w:val="es-CR"/>
        </w:rPr>
        <w:t xml:space="preserve"> directa a la señora Gutiérrez Hernández, </w:t>
      </w:r>
      <w:r w:rsidR="00425E32" w:rsidRPr="006B5A5A">
        <w:rPr>
          <w:rFonts w:eastAsiaTheme="minorHAnsi" w:cs="Calibri-Italic"/>
          <w:iCs/>
          <w:lang w:val="es-CR"/>
        </w:rPr>
        <w:t>por lo que el</w:t>
      </w:r>
      <w:r w:rsidRPr="006B5A5A">
        <w:rPr>
          <w:rFonts w:eastAsiaTheme="minorHAnsi" w:cs="Calibri-Italic"/>
          <w:iCs/>
          <w:lang w:val="es-CR"/>
        </w:rPr>
        <w:t xml:space="preserve"> Estado presume que est</w:t>
      </w:r>
      <w:r w:rsidR="00425E32" w:rsidRPr="006B5A5A">
        <w:rPr>
          <w:rFonts w:eastAsiaTheme="minorHAnsi" w:cs="Calibri-Italic"/>
          <w:iCs/>
          <w:lang w:val="es-CR"/>
        </w:rPr>
        <w:t>á</w:t>
      </w:r>
      <w:r w:rsidRPr="006B5A5A">
        <w:rPr>
          <w:rFonts w:eastAsiaTheme="minorHAnsi" w:cs="Calibri-Italic"/>
          <w:iCs/>
          <w:lang w:val="es-CR"/>
        </w:rPr>
        <w:t xml:space="preserve"> con vida</w:t>
      </w:r>
      <w:r w:rsidR="00425E32" w:rsidRPr="006B5A5A">
        <w:rPr>
          <w:rFonts w:eastAsiaTheme="minorHAnsi" w:cs="Calibri-Italic"/>
          <w:iCs/>
          <w:lang w:val="es-CR"/>
        </w:rPr>
        <w:t xml:space="preserve">. Hizo notar que la Corte no ordenó en la Sentencia que se otorgara el monto por concepto de daño inmaterial correspondiente a la señora Gutiérrez Hernández directamente a su hija como derechohabiente. En segundo lugar, señaló que “la legislación interna contempla los procedimientos a implementar y plazos a cumplir al momento de considerar la opción de declarar la ausencia y presunción de muerte de una persona, extremo del que no pueden alegar desconocimiento” los representantes. </w:t>
      </w:r>
      <w:r w:rsidRPr="006B5A5A">
        <w:rPr>
          <w:rFonts w:eastAsiaTheme="minorHAnsi" w:cs="Calibri-Italic"/>
          <w:iCs/>
          <w:lang w:val="es-CR"/>
        </w:rPr>
        <w:t xml:space="preserve">Como tercer punto, el Estado </w:t>
      </w:r>
      <w:r w:rsidR="00425E32" w:rsidRPr="006B5A5A">
        <w:rPr>
          <w:rFonts w:eastAsiaTheme="minorHAnsi" w:cs="Calibri-Italic"/>
          <w:iCs/>
          <w:lang w:val="es-CR"/>
        </w:rPr>
        <w:t xml:space="preserve">sostuvo que el 19 de diciembre de 2017, en el acto de pago indemnizatorio a los familiares de la víctima por concepto de daño inmaterial y reintegro de costas y gastos, el representante indicó verbalmente que habían iniciado el </w:t>
      </w:r>
      <w:r w:rsidRPr="006B5A5A">
        <w:rPr>
          <w:rFonts w:eastAsiaTheme="minorHAnsi" w:cs="Calibri-Italic"/>
          <w:iCs/>
          <w:lang w:val="es-CR"/>
        </w:rPr>
        <w:t xml:space="preserve">procedimiento para la declaratoria de muerte presunta de la señora Gutiérrez Hernández. </w:t>
      </w:r>
      <w:r w:rsidR="00425E32" w:rsidRPr="006B5A5A">
        <w:rPr>
          <w:rFonts w:eastAsiaTheme="minorHAnsi" w:cs="Calibri-Italic"/>
          <w:iCs/>
          <w:lang w:val="es-CR"/>
        </w:rPr>
        <w:t xml:space="preserve">Por </w:t>
      </w:r>
      <w:r w:rsidRPr="006B5A5A">
        <w:rPr>
          <w:rFonts w:eastAsiaTheme="minorHAnsi" w:cs="Calibri-Italic"/>
          <w:iCs/>
          <w:lang w:val="es-CR"/>
        </w:rPr>
        <w:t>último</w:t>
      </w:r>
      <w:r w:rsidR="00425E32" w:rsidRPr="006B5A5A">
        <w:rPr>
          <w:rFonts w:eastAsiaTheme="minorHAnsi" w:cs="Calibri-Italic"/>
          <w:iCs/>
          <w:lang w:val="es-CR"/>
        </w:rPr>
        <w:t>,</w:t>
      </w:r>
      <w:r w:rsidRPr="006B5A5A">
        <w:rPr>
          <w:rFonts w:eastAsiaTheme="minorHAnsi" w:cs="Calibri-Italic"/>
          <w:iCs/>
          <w:lang w:val="es-CR"/>
        </w:rPr>
        <w:t xml:space="preserve"> reiter</w:t>
      </w:r>
      <w:r w:rsidR="00425E32" w:rsidRPr="006B5A5A">
        <w:rPr>
          <w:rFonts w:eastAsiaTheme="minorHAnsi" w:cs="Calibri-Italic"/>
          <w:iCs/>
          <w:lang w:val="es-CR"/>
        </w:rPr>
        <w:t>ó</w:t>
      </w:r>
      <w:r w:rsidRPr="006B5A5A">
        <w:rPr>
          <w:rFonts w:eastAsiaTheme="minorHAnsi" w:cs="Calibri-Italic"/>
          <w:iCs/>
          <w:lang w:val="es-CR"/>
        </w:rPr>
        <w:t xml:space="preserve"> su voluntad </w:t>
      </w:r>
      <w:r w:rsidR="00423424" w:rsidRPr="006B5A5A">
        <w:rPr>
          <w:rFonts w:eastAsiaTheme="minorHAnsi" w:cs="Calibri-Italic"/>
          <w:iCs/>
          <w:lang w:val="es-CR"/>
        </w:rPr>
        <w:t xml:space="preserve">de </w:t>
      </w:r>
      <w:r w:rsidRPr="006B5A5A">
        <w:rPr>
          <w:rFonts w:eastAsiaTheme="minorHAnsi" w:cs="Calibri-Italic"/>
          <w:iCs/>
          <w:lang w:val="es-CR"/>
        </w:rPr>
        <w:t xml:space="preserve">dar cumplimiento a todas las medidas de reparación </w:t>
      </w:r>
      <w:r w:rsidR="00423424" w:rsidRPr="006B5A5A">
        <w:rPr>
          <w:rFonts w:eastAsiaTheme="minorHAnsi" w:cs="Calibri-Italic"/>
          <w:iCs/>
          <w:lang w:val="es-CR"/>
        </w:rPr>
        <w:t>ordenadas en la</w:t>
      </w:r>
      <w:r w:rsidRPr="006B5A5A">
        <w:rPr>
          <w:rFonts w:eastAsiaTheme="minorHAnsi" w:cs="Calibri-Italic"/>
          <w:iCs/>
          <w:lang w:val="es-CR"/>
        </w:rPr>
        <w:t xml:space="preserve"> </w:t>
      </w:r>
      <w:r w:rsidR="00423424" w:rsidRPr="006B5A5A">
        <w:rPr>
          <w:rFonts w:eastAsiaTheme="minorHAnsi" w:cs="Calibri-Italic"/>
          <w:iCs/>
          <w:lang w:val="es-CR"/>
        </w:rPr>
        <w:t>forma y modo indicado por la Corte.</w:t>
      </w:r>
      <w:r w:rsidRPr="006B5A5A">
        <w:rPr>
          <w:rFonts w:eastAsiaTheme="minorHAnsi" w:cs="Calibri-Italic"/>
          <w:iCs/>
          <w:lang w:val="es-CR"/>
        </w:rPr>
        <w:t xml:space="preserve"> </w:t>
      </w:r>
    </w:p>
    <w:p w:rsidR="007F08D2" w:rsidRPr="006B5A5A" w:rsidRDefault="007F08D2" w:rsidP="00C710D9">
      <w:pPr>
        <w:pStyle w:val="ListParagraph"/>
        <w:spacing w:afterLines="40" w:after="96"/>
        <w:ind w:left="0"/>
        <w:jc w:val="both"/>
        <w:rPr>
          <w:rFonts w:eastAsiaTheme="minorHAnsi" w:cs="Calibri-Italic"/>
          <w:iCs/>
          <w:lang w:val="es-CR"/>
        </w:rPr>
      </w:pPr>
    </w:p>
    <w:p w:rsidR="00C07A62" w:rsidRPr="006B5A5A" w:rsidRDefault="00C07A62" w:rsidP="00C710D9">
      <w:pPr>
        <w:pStyle w:val="ListParagraph"/>
        <w:numPr>
          <w:ilvl w:val="0"/>
          <w:numId w:val="1"/>
        </w:numPr>
        <w:tabs>
          <w:tab w:val="clear" w:pos="1427"/>
          <w:tab w:val="num" w:pos="720"/>
        </w:tabs>
        <w:spacing w:afterLines="40" w:after="96"/>
        <w:ind w:left="0"/>
        <w:jc w:val="both"/>
        <w:rPr>
          <w:lang w:val="es-CR"/>
        </w:rPr>
      </w:pPr>
      <w:r w:rsidRPr="006B5A5A">
        <w:rPr>
          <w:rFonts w:eastAsiaTheme="minorHAnsi" w:cs="Calibri-Italic"/>
          <w:iCs/>
          <w:lang w:val="es-CR"/>
        </w:rPr>
        <w:t xml:space="preserve">La </w:t>
      </w:r>
      <w:r w:rsidRPr="006B5A5A">
        <w:rPr>
          <w:rFonts w:eastAsiaTheme="minorHAnsi" w:cs="Calibri-Italic"/>
          <w:b/>
          <w:i/>
          <w:iCs/>
          <w:lang w:val="es-CR"/>
        </w:rPr>
        <w:t>Comisión</w:t>
      </w:r>
      <w:r w:rsidRPr="006B5A5A">
        <w:rPr>
          <w:rFonts w:eastAsiaTheme="minorHAnsi" w:cs="Calibri-Italic"/>
          <w:iCs/>
          <w:lang w:val="es-CR"/>
        </w:rPr>
        <w:t xml:space="preserve"> consideró </w:t>
      </w:r>
      <w:r w:rsidRPr="006B5A5A">
        <w:rPr>
          <w:rFonts w:eastAsia="Calibri" w:cs="Verdana"/>
          <w:lang w:val="es-CR"/>
        </w:rPr>
        <w:t>que</w:t>
      </w:r>
      <w:r w:rsidR="00224B76" w:rsidRPr="006B5A5A">
        <w:rPr>
          <w:rFonts w:eastAsiaTheme="minorHAnsi" w:cs="Calibri-Italic"/>
          <w:iCs/>
          <w:lang w:val="es-CR"/>
        </w:rPr>
        <w:t>, “de acuerdo con la legislación interna citada por los representantes, la posible exigencia de declaratoria de muerte presunta p[odría] constituir un obstáculo para el cumplimiento de dicha reparación</w:t>
      </w:r>
      <w:r w:rsidR="00B235FA" w:rsidRPr="006B5A5A">
        <w:rPr>
          <w:rFonts w:eastAsiaTheme="minorHAnsi" w:cs="Calibri-Italic"/>
          <w:iCs/>
          <w:lang w:val="es-CR"/>
        </w:rPr>
        <w:t xml:space="preserve">, </w:t>
      </w:r>
      <w:r w:rsidR="00224B76" w:rsidRPr="006B5A5A">
        <w:rPr>
          <w:rFonts w:eastAsiaTheme="minorHAnsi" w:cs="Calibri-Italic"/>
          <w:iCs/>
          <w:lang w:val="es-CR"/>
        </w:rPr>
        <w:t>que el Estado estaría en obligación de re</w:t>
      </w:r>
      <w:r w:rsidR="00B235FA" w:rsidRPr="006B5A5A">
        <w:rPr>
          <w:rFonts w:eastAsiaTheme="minorHAnsi" w:cs="Calibri-Italic"/>
          <w:iCs/>
          <w:lang w:val="es-CR"/>
        </w:rPr>
        <w:t>mover”. Sostuvo que</w:t>
      </w:r>
      <w:r w:rsidRPr="006B5A5A">
        <w:rPr>
          <w:rFonts w:eastAsiaTheme="minorHAnsi" w:cs="Calibri-Italic"/>
          <w:iCs/>
          <w:lang w:val="es-CR"/>
        </w:rPr>
        <w:t xml:space="preserve"> exigir la declaratoria de muerte presunta de una víctima de desaparición equivale a imponer a sus familiares aceptar la muerte como el destino de la persona desaparecida, sin embargo, el </w:t>
      </w:r>
      <w:r w:rsidRPr="006B5A5A">
        <w:rPr>
          <w:rFonts w:eastAsia="Calibri" w:cs="Verdana"/>
          <w:lang w:val="es-CR"/>
        </w:rPr>
        <w:t>Estado</w:t>
      </w:r>
      <w:r w:rsidRPr="006B5A5A">
        <w:rPr>
          <w:rFonts w:eastAsiaTheme="minorHAnsi" w:cs="Calibri-Italic"/>
          <w:iCs/>
          <w:lang w:val="es-CR"/>
        </w:rPr>
        <w:t xml:space="preserve"> no ha logrado establecer dicho destino</w:t>
      </w:r>
      <w:r w:rsidR="00B235FA" w:rsidRPr="006B5A5A">
        <w:rPr>
          <w:rFonts w:eastAsiaTheme="minorHAnsi" w:cs="Calibri-Italic"/>
          <w:iCs/>
          <w:lang w:val="es-CR"/>
        </w:rPr>
        <w:t xml:space="preserve"> o paradero</w:t>
      </w:r>
      <w:r w:rsidRPr="006B5A5A">
        <w:rPr>
          <w:rFonts w:eastAsiaTheme="minorHAnsi" w:cs="Calibri-Italic"/>
          <w:iCs/>
          <w:lang w:val="es-CR"/>
        </w:rPr>
        <w:t>.</w:t>
      </w:r>
      <w:r w:rsidR="00B235FA" w:rsidRPr="006B5A5A">
        <w:rPr>
          <w:rFonts w:eastAsiaTheme="minorHAnsi" w:cs="Calibri-Italic"/>
          <w:iCs/>
          <w:lang w:val="es-CR"/>
        </w:rPr>
        <w:t xml:space="preserve"> Esta exigencia podría convertirse en una fuente adicional de sufrimiento para los familiares. </w:t>
      </w:r>
      <w:r w:rsidRPr="006B5A5A">
        <w:rPr>
          <w:rFonts w:eastAsiaTheme="minorHAnsi" w:cs="Calibri-Italic"/>
          <w:iCs/>
          <w:lang w:val="es-CR"/>
        </w:rPr>
        <w:t xml:space="preserve"> </w:t>
      </w:r>
    </w:p>
    <w:p w:rsidR="00C07A62" w:rsidRPr="006B5A5A" w:rsidRDefault="00C07A62" w:rsidP="00C710D9">
      <w:pPr>
        <w:pStyle w:val="ListParagraph"/>
        <w:spacing w:afterLines="40" w:after="96"/>
        <w:rPr>
          <w:lang w:val="es-CR"/>
        </w:rPr>
      </w:pPr>
    </w:p>
    <w:p w:rsidR="00C07A62" w:rsidRPr="006B5A5A" w:rsidRDefault="00C07A62" w:rsidP="00C710D9">
      <w:pPr>
        <w:pStyle w:val="ListParagraph"/>
        <w:spacing w:afterLines="40" w:after="96" w:line="360" w:lineRule="auto"/>
        <w:ind w:right="720"/>
        <w:jc w:val="both"/>
        <w:rPr>
          <w:lang w:val="es-CR"/>
        </w:rPr>
      </w:pPr>
      <w:r w:rsidRPr="006B5A5A">
        <w:rPr>
          <w:lang w:val="es-CR"/>
        </w:rPr>
        <w:t xml:space="preserve"> </w:t>
      </w:r>
      <w:r w:rsidR="00F60F20" w:rsidRPr="006B5A5A">
        <w:rPr>
          <w:i/>
          <w:lang w:val="es-CR"/>
        </w:rPr>
        <w:t>B.</w:t>
      </w:r>
      <w:r w:rsidRPr="006B5A5A">
        <w:rPr>
          <w:rFonts w:eastAsia="Calibri" w:cs="Verdana"/>
          <w:i/>
          <w:lang w:val="es-CR"/>
        </w:rPr>
        <w:t xml:space="preserve">2. Consideraciones de la Corte </w:t>
      </w:r>
    </w:p>
    <w:p w:rsidR="00C07A62" w:rsidRPr="006B5A5A" w:rsidRDefault="002D18F2" w:rsidP="00C710D9">
      <w:pPr>
        <w:pStyle w:val="ListParagraph"/>
        <w:numPr>
          <w:ilvl w:val="0"/>
          <w:numId w:val="1"/>
        </w:numPr>
        <w:tabs>
          <w:tab w:val="clear" w:pos="1427"/>
          <w:tab w:val="num" w:pos="720"/>
        </w:tabs>
        <w:spacing w:afterLines="40" w:after="96"/>
        <w:ind w:left="0"/>
        <w:jc w:val="both"/>
        <w:rPr>
          <w:rFonts w:eastAsia="Calibri" w:cs="Verdana"/>
          <w:i/>
          <w:lang w:val="es-CR"/>
        </w:rPr>
      </w:pPr>
      <w:r w:rsidRPr="006B5A5A">
        <w:t>L</w:t>
      </w:r>
      <w:r w:rsidR="00C07A62" w:rsidRPr="006B5A5A">
        <w:t>a Corte recuerda que</w:t>
      </w:r>
      <w:r w:rsidR="001007D3" w:rsidRPr="006B5A5A">
        <w:t>,</w:t>
      </w:r>
      <w:r w:rsidR="00C07A62" w:rsidRPr="006B5A5A">
        <w:t xml:space="preserve"> </w:t>
      </w:r>
      <w:r w:rsidR="00BE33FF" w:rsidRPr="006B5A5A">
        <w:t>en el párrafo 219 de la Sentencia</w:t>
      </w:r>
      <w:r w:rsidR="001007D3" w:rsidRPr="006B5A5A">
        <w:t>,</w:t>
      </w:r>
      <w:r w:rsidR="00BE33FF" w:rsidRPr="006B5A5A">
        <w:t xml:space="preserve"> ordenó al Estado pagar la cantidad de USD $55.000,00 (</w:t>
      </w:r>
      <w:r w:rsidR="00BE33FF" w:rsidRPr="006B5A5A">
        <w:rPr>
          <w:rFonts w:eastAsiaTheme="minorHAnsi" w:cs="Calibri-Italic"/>
          <w:iCs/>
          <w:lang w:val="es-CR"/>
        </w:rPr>
        <w:t>cincuenta</w:t>
      </w:r>
      <w:r w:rsidR="00BE33FF" w:rsidRPr="006B5A5A">
        <w:t xml:space="preserve"> y cinco mil dólares de los Estados Unidos de América) a favor de </w:t>
      </w:r>
      <w:r w:rsidR="00BE33FF" w:rsidRPr="006B5A5A">
        <w:rPr>
          <w:rFonts w:cs="Calibri"/>
        </w:rPr>
        <w:t>Mayra Angelina Gutiérrez Hernández por concepto de daño inmaterial. Asimismo, en los</w:t>
      </w:r>
      <w:r w:rsidR="00BE33FF" w:rsidRPr="006B5A5A">
        <w:t xml:space="preserve"> </w:t>
      </w:r>
      <w:r w:rsidR="00C07A62" w:rsidRPr="006B5A5A">
        <w:t>párrafos 227</w:t>
      </w:r>
      <w:r w:rsidR="00880574" w:rsidRPr="006B5A5A">
        <w:t xml:space="preserve"> y 228, así como 230 a 232</w:t>
      </w:r>
      <w:r w:rsidR="00C07A62" w:rsidRPr="006B5A5A">
        <w:t xml:space="preserve"> de la Sentencia</w:t>
      </w:r>
      <w:r w:rsidR="00BE33FF" w:rsidRPr="006B5A5A">
        <w:t>, se</w:t>
      </w:r>
      <w:r w:rsidR="00C07A62" w:rsidRPr="006B5A5A">
        <w:t xml:space="preserve"> establece :</w:t>
      </w:r>
    </w:p>
    <w:p w:rsidR="00C07A62" w:rsidRPr="006B5A5A" w:rsidRDefault="00C07A62" w:rsidP="00C710D9">
      <w:pPr>
        <w:spacing w:afterLines="40" w:after="96"/>
        <w:rPr>
          <w:rFonts w:cs="Calibri"/>
          <w:b/>
          <w:sz w:val="16"/>
          <w:szCs w:val="16"/>
        </w:rPr>
      </w:pPr>
    </w:p>
    <w:p w:rsidR="00C07A62" w:rsidRPr="006B5A5A" w:rsidRDefault="00C07A62" w:rsidP="00C710D9">
      <w:pPr>
        <w:pStyle w:val="PrrafodeSentencia"/>
        <w:spacing w:afterLines="40" w:after="96"/>
      </w:pPr>
      <w:bookmarkStart w:id="9" w:name="_Toc492646053"/>
      <w:r w:rsidRPr="006B5A5A">
        <w:t>H. Modalidad de cumplimiento de los pagos ordenados</w:t>
      </w:r>
      <w:bookmarkStart w:id="10" w:name="_Ref469940428"/>
      <w:bookmarkEnd w:id="9"/>
    </w:p>
    <w:p w:rsidR="00BE33FF" w:rsidRPr="006B5A5A" w:rsidRDefault="00BE33FF" w:rsidP="00C710D9">
      <w:pPr>
        <w:pStyle w:val="PrrafodeSentencia"/>
        <w:spacing w:afterLines="40" w:after="96"/>
      </w:pPr>
    </w:p>
    <w:p w:rsidR="00C07A62" w:rsidRPr="006B5A5A" w:rsidRDefault="00C07A62" w:rsidP="00C710D9">
      <w:pPr>
        <w:pStyle w:val="PrrafodeSentencia"/>
        <w:spacing w:afterLines="40" w:after="96"/>
      </w:pPr>
      <w:r w:rsidRPr="006B5A5A">
        <w:t xml:space="preserve">227. El Estado deberá efectuar el pago de las indemnizaciones por concepto de daño inmaterial y el reintegro de costas y gastos establecidos en la presente Sentencia </w:t>
      </w:r>
      <w:r w:rsidRPr="006B5A5A">
        <w:rPr>
          <w:b/>
        </w:rPr>
        <w:t>directamente a las personas indicadas en la misma, en un plazo de un año</w:t>
      </w:r>
      <w:r w:rsidRPr="006B5A5A">
        <w:t xml:space="preserve"> contado a partir de la notificación de la presente Sentencia, sin perjuicio de que pueda adelantar el pago completo en un plazo menor.</w:t>
      </w:r>
      <w:bookmarkStart w:id="11" w:name="_Ref469601153"/>
      <w:bookmarkEnd w:id="10"/>
    </w:p>
    <w:p w:rsidR="00C07A62" w:rsidRPr="006B5A5A" w:rsidRDefault="00C07A62" w:rsidP="00C710D9">
      <w:pPr>
        <w:pStyle w:val="PrrafodeSentencia"/>
        <w:spacing w:afterLines="40" w:after="96"/>
      </w:pPr>
    </w:p>
    <w:p w:rsidR="00C07A62" w:rsidRPr="006B5A5A" w:rsidRDefault="00C07A62" w:rsidP="00C710D9">
      <w:pPr>
        <w:pStyle w:val="PrrafodeSentencia"/>
        <w:spacing w:afterLines="40" w:after="96"/>
      </w:pPr>
      <w:r w:rsidRPr="006B5A5A">
        <w:t xml:space="preserve">228. En caso de que los beneficiarios </w:t>
      </w:r>
      <w:r w:rsidRPr="006B5A5A">
        <w:rPr>
          <w:b/>
        </w:rPr>
        <w:t>hayan fallecido o fallezcan</w:t>
      </w:r>
      <w:r w:rsidRPr="006B5A5A">
        <w:t xml:space="preserve"> antes de que le sea entregada la cantidad respectiva, esta </w:t>
      </w:r>
      <w:r w:rsidRPr="006B5A5A">
        <w:rPr>
          <w:b/>
        </w:rPr>
        <w:t>se entregará directamente a sus derechohabientes,</w:t>
      </w:r>
      <w:r w:rsidRPr="006B5A5A">
        <w:t xml:space="preserve"> </w:t>
      </w:r>
      <w:r w:rsidRPr="006B5A5A">
        <w:rPr>
          <w:b/>
        </w:rPr>
        <w:t>conforme al derecho interno aplicable</w:t>
      </w:r>
      <w:r w:rsidRPr="006B5A5A">
        <w:t xml:space="preserve">. </w:t>
      </w:r>
      <w:bookmarkEnd w:id="11"/>
    </w:p>
    <w:p w:rsidR="00462891" w:rsidRPr="006B5A5A" w:rsidRDefault="00462891" w:rsidP="00C710D9">
      <w:pPr>
        <w:pStyle w:val="PrrafodeSentencia"/>
        <w:spacing w:afterLines="40" w:after="96"/>
      </w:pPr>
    </w:p>
    <w:p w:rsidR="00462891" w:rsidRPr="006B5A5A" w:rsidRDefault="00462891" w:rsidP="00C710D9">
      <w:pPr>
        <w:pStyle w:val="PrrafodeSentencia"/>
        <w:spacing w:afterLines="40" w:after="96"/>
      </w:pPr>
      <w:r w:rsidRPr="006B5A5A">
        <w:t>[…]</w:t>
      </w:r>
    </w:p>
    <w:p w:rsidR="00BE33FF" w:rsidRPr="006B5A5A" w:rsidRDefault="007C5FF1" w:rsidP="00C710D9">
      <w:pPr>
        <w:autoSpaceDE w:val="0"/>
        <w:autoSpaceDN w:val="0"/>
        <w:spacing w:afterLines="40" w:after="96"/>
        <w:ind w:left="720"/>
        <w:contextualSpacing/>
        <w:jc w:val="both"/>
        <w:rPr>
          <w:sz w:val="16"/>
        </w:rPr>
      </w:pPr>
      <w:r w:rsidRPr="006B5A5A">
        <w:rPr>
          <w:sz w:val="16"/>
        </w:rPr>
        <w:t xml:space="preserve">230. </w:t>
      </w:r>
      <w:r w:rsidR="00BE33FF" w:rsidRPr="006B5A5A">
        <w:rPr>
          <w:sz w:val="16"/>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guatemalteca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rsidR="00BE33FF" w:rsidRPr="006B5A5A" w:rsidRDefault="00BE33FF" w:rsidP="00C710D9">
      <w:pPr>
        <w:autoSpaceDE w:val="0"/>
        <w:autoSpaceDN w:val="0"/>
        <w:spacing w:afterLines="40" w:after="96"/>
        <w:ind w:left="720"/>
        <w:rPr>
          <w:sz w:val="16"/>
        </w:rPr>
      </w:pPr>
    </w:p>
    <w:p w:rsidR="00BE33FF" w:rsidRPr="006B5A5A" w:rsidRDefault="007C5FF1" w:rsidP="00C710D9">
      <w:pPr>
        <w:autoSpaceDE w:val="0"/>
        <w:autoSpaceDN w:val="0"/>
        <w:spacing w:afterLines="40" w:after="96"/>
        <w:ind w:left="720"/>
        <w:contextualSpacing/>
        <w:jc w:val="both"/>
        <w:rPr>
          <w:sz w:val="16"/>
        </w:rPr>
      </w:pPr>
      <w:r w:rsidRPr="006B5A5A">
        <w:rPr>
          <w:sz w:val="16"/>
        </w:rPr>
        <w:lastRenderedPageBreak/>
        <w:t xml:space="preserve">231. </w:t>
      </w:r>
      <w:r w:rsidR="00BE33FF" w:rsidRPr="006B5A5A">
        <w:rPr>
          <w:sz w:val="16"/>
        </w:rPr>
        <w:t>Las cantidades asignadas en la presente Sentencia como indemnización por daños inmateriales, y como reintegro de costas y gastos deberán ser entregadas a las personas indicadas en forma íntegra, conforme a lo establecido en esta Sentencia, sin reducciones derivadas de eventuales cargas fiscales.</w:t>
      </w:r>
    </w:p>
    <w:p w:rsidR="00BE33FF" w:rsidRPr="006B5A5A" w:rsidRDefault="00BE33FF" w:rsidP="00C710D9">
      <w:pPr>
        <w:autoSpaceDE w:val="0"/>
        <w:autoSpaceDN w:val="0"/>
        <w:spacing w:afterLines="40" w:after="96"/>
        <w:ind w:left="720"/>
        <w:rPr>
          <w:sz w:val="16"/>
        </w:rPr>
      </w:pPr>
    </w:p>
    <w:p w:rsidR="00BE33FF" w:rsidRPr="006B5A5A" w:rsidRDefault="007C5FF1" w:rsidP="00C710D9">
      <w:pPr>
        <w:autoSpaceDE w:val="0"/>
        <w:autoSpaceDN w:val="0"/>
        <w:spacing w:afterLines="40" w:after="96"/>
        <w:ind w:left="720"/>
        <w:contextualSpacing/>
        <w:jc w:val="both"/>
        <w:rPr>
          <w:sz w:val="16"/>
        </w:rPr>
      </w:pPr>
      <w:bookmarkStart w:id="12" w:name="_Ref469940442"/>
      <w:r w:rsidRPr="006B5A5A">
        <w:rPr>
          <w:sz w:val="16"/>
        </w:rPr>
        <w:t xml:space="preserve">232. </w:t>
      </w:r>
      <w:r w:rsidR="00BE33FF" w:rsidRPr="006B5A5A">
        <w:rPr>
          <w:sz w:val="16"/>
        </w:rPr>
        <w:t>En caso de que el Estado incurriera en mora, deberá pagar un interés sobre la cantidad adeudada correspondiente al interés bancario moratorio en la República de Guatemala.</w:t>
      </w:r>
      <w:bookmarkEnd w:id="12"/>
    </w:p>
    <w:p w:rsidR="00001608" w:rsidRPr="006B5A5A" w:rsidRDefault="00001608" w:rsidP="00C710D9">
      <w:pPr>
        <w:autoSpaceDE w:val="0"/>
        <w:autoSpaceDN w:val="0"/>
        <w:spacing w:afterLines="40" w:after="96"/>
        <w:ind w:left="720"/>
        <w:contextualSpacing/>
        <w:jc w:val="both"/>
      </w:pPr>
    </w:p>
    <w:p w:rsidR="007F08D2" w:rsidRPr="006B5A5A" w:rsidRDefault="00B10734" w:rsidP="00C710D9">
      <w:pPr>
        <w:pStyle w:val="ListParagraph"/>
        <w:numPr>
          <w:ilvl w:val="0"/>
          <w:numId w:val="1"/>
        </w:numPr>
        <w:tabs>
          <w:tab w:val="clear" w:pos="1427"/>
          <w:tab w:val="num" w:pos="720"/>
        </w:tabs>
        <w:spacing w:afterLines="40" w:after="96"/>
        <w:ind w:left="0"/>
        <w:jc w:val="both"/>
        <w:rPr>
          <w:rFonts w:cs="Calibri"/>
          <w:b/>
        </w:rPr>
      </w:pPr>
      <w:r w:rsidRPr="006B5A5A">
        <w:t>Al respecto</w:t>
      </w:r>
      <w:r w:rsidR="00C07A62" w:rsidRPr="006B5A5A">
        <w:t xml:space="preserve">, la Corte </w:t>
      </w:r>
      <w:r w:rsidR="001D4336" w:rsidRPr="006B5A5A">
        <w:t>aclara que</w:t>
      </w:r>
      <w:r w:rsidR="0099385A" w:rsidRPr="006B5A5A">
        <w:t xml:space="preserve"> la indemnización correspondiente a la señora Mayra Angelina Gutiérrez Hernández, víctima </w:t>
      </w:r>
      <w:r w:rsidR="0099385A" w:rsidRPr="006B5A5A">
        <w:rPr>
          <w:rFonts w:eastAsiaTheme="minorHAnsi" w:cs="Calibri-Italic"/>
          <w:iCs/>
          <w:lang w:val="es-CR"/>
        </w:rPr>
        <w:t>desaparecida</w:t>
      </w:r>
      <w:r w:rsidR="0099385A" w:rsidRPr="006B5A5A">
        <w:t xml:space="preserve">, deberá ser entregada directamente a sus derechohabientes conforme al derecho interno aplicable. </w:t>
      </w:r>
    </w:p>
    <w:p w:rsidR="007F08D2" w:rsidRPr="006B5A5A" w:rsidRDefault="007F08D2" w:rsidP="00C710D9">
      <w:pPr>
        <w:pStyle w:val="ListParagraph"/>
        <w:spacing w:afterLines="40" w:after="96"/>
        <w:ind w:left="0"/>
        <w:jc w:val="both"/>
        <w:rPr>
          <w:rFonts w:eastAsia="Calibri" w:cs="Verdana"/>
          <w:lang w:val="es-CR"/>
        </w:rPr>
      </w:pPr>
    </w:p>
    <w:p w:rsidR="00406B97" w:rsidRPr="00A728BD" w:rsidRDefault="00BA76F0" w:rsidP="00C710D9">
      <w:pPr>
        <w:spacing w:afterLines="40" w:after="96"/>
        <w:jc w:val="both"/>
        <w:rPr>
          <w:rFonts w:eastAsia="Calibri" w:cs="Verdana"/>
          <w:b/>
          <w:i/>
          <w:lang w:val="es-CR"/>
        </w:rPr>
      </w:pPr>
      <w:r w:rsidRPr="00A728BD">
        <w:rPr>
          <w:rFonts w:eastAsia="Calibri" w:cs="Verdana"/>
          <w:b/>
          <w:i/>
          <w:lang w:val="es-CR"/>
        </w:rPr>
        <w:t>C. En cuanto a “las medidas de no repetición”</w:t>
      </w:r>
    </w:p>
    <w:p w:rsidR="00406B97" w:rsidRPr="006B5A5A" w:rsidRDefault="00406B97" w:rsidP="00C710D9">
      <w:pPr>
        <w:spacing w:afterLines="40" w:after="96"/>
        <w:jc w:val="both"/>
        <w:rPr>
          <w:rFonts w:eastAsia="Calibri" w:cs="Verdana"/>
          <w:i/>
          <w:lang w:val="es-CR"/>
        </w:rPr>
      </w:pPr>
    </w:p>
    <w:p w:rsidR="00700180" w:rsidRPr="006B5A5A" w:rsidRDefault="00700180" w:rsidP="00C710D9">
      <w:pPr>
        <w:spacing w:afterLines="40" w:after="96"/>
        <w:jc w:val="both"/>
        <w:rPr>
          <w:rFonts w:eastAsia="Calibri" w:cs="Verdana"/>
          <w:i/>
          <w:lang w:val="es-CR"/>
        </w:rPr>
      </w:pPr>
      <w:r w:rsidRPr="006B5A5A">
        <w:rPr>
          <w:rFonts w:eastAsia="Calibri" w:cs="Verdana"/>
          <w:i/>
          <w:lang w:val="es-CR"/>
        </w:rPr>
        <w:tab/>
        <w:t xml:space="preserve">C.1. Argumentos de las partes y la Comisión </w:t>
      </w:r>
    </w:p>
    <w:p w:rsidR="00593275" w:rsidRPr="006B5A5A" w:rsidRDefault="00593275" w:rsidP="00C710D9">
      <w:pPr>
        <w:pStyle w:val="ListParagraph"/>
        <w:spacing w:afterLines="40" w:after="96"/>
        <w:ind w:left="0"/>
        <w:jc w:val="both"/>
        <w:rPr>
          <w:rFonts w:eastAsia="Calibri" w:cs="Verdana"/>
          <w:lang w:val="es-CR"/>
        </w:rPr>
      </w:pPr>
    </w:p>
    <w:p w:rsidR="007F08D2" w:rsidRPr="006B5A5A" w:rsidRDefault="001F1D61" w:rsidP="00C710D9">
      <w:pPr>
        <w:pStyle w:val="ListParagraph"/>
        <w:numPr>
          <w:ilvl w:val="0"/>
          <w:numId w:val="1"/>
        </w:numPr>
        <w:tabs>
          <w:tab w:val="clear" w:pos="1427"/>
          <w:tab w:val="num" w:pos="720"/>
        </w:tabs>
        <w:spacing w:afterLines="40" w:after="96"/>
        <w:ind w:left="0"/>
        <w:jc w:val="both"/>
        <w:rPr>
          <w:rFonts w:eastAsia="Calibri" w:cs="Verdana"/>
          <w:lang w:val="es-CR"/>
        </w:rPr>
      </w:pPr>
      <w:r w:rsidRPr="006B5A5A">
        <w:rPr>
          <w:rFonts w:eastAsia="Calibri" w:cs="Verdana"/>
          <w:lang w:val="es-CR"/>
        </w:rPr>
        <w:t>L</w:t>
      </w:r>
      <w:r w:rsidR="007F08D2" w:rsidRPr="006B5A5A">
        <w:rPr>
          <w:rFonts w:eastAsia="Calibri" w:cs="Verdana"/>
          <w:lang w:val="es-CR"/>
        </w:rPr>
        <w:t xml:space="preserve">os </w:t>
      </w:r>
      <w:r w:rsidR="007F08D2" w:rsidRPr="006B5A5A">
        <w:rPr>
          <w:rFonts w:eastAsia="Calibri" w:cs="Verdana"/>
          <w:b/>
          <w:i/>
          <w:lang w:val="es-CR"/>
        </w:rPr>
        <w:t>representantes</w:t>
      </w:r>
      <w:r w:rsidR="007F08D2" w:rsidRPr="006B5A5A">
        <w:rPr>
          <w:rFonts w:eastAsia="Calibri" w:cs="Verdana"/>
          <w:lang w:val="es-CR"/>
        </w:rPr>
        <w:t xml:space="preserve"> </w:t>
      </w:r>
      <w:r w:rsidR="00562B5E" w:rsidRPr="006B5A5A">
        <w:rPr>
          <w:rFonts w:eastAsia="Calibri" w:cs="Verdana"/>
          <w:lang w:val="es-CR"/>
        </w:rPr>
        <w:t>solicitaron a la Corte indicar cuál es la institución delegada para el cumplimiento de la medida de no repetición de implementar programas y cursos permanentes para funcionarios</w:t>
      </w:r>
      <w:r w:rsidR="00BA76F0" w:rsidRPr="006B5A5A">
        <w:rPr>
          <w:rFonts w:eastAsia="Calibri" w:cs="Verdana"/>
          <w:lang w:val="es-CR"/>
        </w:rPr>
        <w:t xml:space="preserve"> que figuraría en el párrafo 210 de la Sentencia</w:t>
      </w:r>
      <w:r w:rsidR="00CB1941" w:rsidRPr="006B5A5A">
        <w:rPr>
          <w:rFonts w:eastAsia="Calibri" w:cs="Verdana"/>
          <w:lang w:val="es-CR"/>
        </w:rPr>
        <w:t>, y que “dicha institución informe sobre cuáles son los programas y cursos, con el objeto de darles el seguimiento, ejecución y cumplimiento de los mismos</w:t>
      </w:r>
      <w:r w:rsidR="00831A16" w:rsidRPr="006B5A5A">
        <w:rPr>
          <w:rFonts w:eastAsia="Calibri" w:cs="Verdana"/>
          <w:lang w:val="es-CR"/>
        </w:rPr>
        <w:t xml:space="preserve">”. </w:t>
      </w:r>
    </w:p>
    <w:p w:rsidR="007F08D2" w:rsidRPr="006B5A5A" w:rsidRDefault="007F08D2" w:rsidP="00C710D9">
      <w:pPr>
        <w:pStyle w:val="ListParagraph"/>
        <w:spacing w:afterLines="40" w:after="96"/>
        <w:jc w:val="both"/>
        <w:rPr>
          <w:rFonts w:eastAsia="Calibri" w:cs="Verdana"/>
          <w:lang w:val="es-CR"/>
        </w:rPr>
      </w:pPr>
    </w:p>
    <w:p w:rsidR="00423424" w:rsidRPr="006B5A5A" w:rsidRDefault="005223A3" w:rsidP="00C710D9">
      <w:pPr>
        <w:pStyle w:val="ListParagraph"/>
        <w:numPr>
          <w:ilvl w:val="0"/>
          <w:numId w:val="1"/>
        </w:numPr>
        <w:tabs>
          <w:tab w:val="clear" w:pos="1427"/>
          <w:tab w:val="num" w:pos="720"/>
        </w:tabs>
        <w:spacing w:afterLines="40" w:after="96"/>
        <w:ind w:left="0"/>
        <w:jc w:val="both"/>
        <w:rPr>
          <w:rFonts w:eastAsiaTheme="minorHAnsi" w:cs="Calibri-Italic"/>
          <w:iCs/>
          <w:lang w:val="es-CR"/>
        </w:rPr>
      </w:pPr>
      <w:r w:rsidRPr="006B5A5A">
        <w:rPr>
          <w:rFonts w:eastAsiaTheme="minorHAnsi" w:cs="Calibri-Italic"/>
          <w:iCs/>
          <w:lang w:val="es-CR"/>
        </w:rPr>
        <w:t>E</w:t>
      </w:r>
      <w:r w:rsidR="00423424" w:rsidRPr="006B5A5A">
        <w:rPr>
          <w:rFonts w:eastAsiaTheme="minorHAnsi" w:cs="Calibri-Italic"/>
          <w:iCs/>
          <w:lang w:val="es-CR"/>
        </w:rPr>
        <w:t xml:space="preserve">l </w:t>
      </w:r>
      <w:r w:rsidR="00423424" w:rsidRPr="006B5A5A">
        <w:rPr>
          <w:rFonts w:eastAsiaTheme="minorHAnsi" w:cs="Calibri-Italic"/>
          <w:b/>
          <w:i/>
          <w:iCs/>
          <w:lang w:val="es-CR"/>
        </w:rPr>
        <w:t>Estado</w:t>
      </w:r>
      <w:r w:rsidR="00423424" w:rsidRPr="006B5A5A">
        <w:rPr>
          <w:rFonts w:eastAsiaTheme="minorHAnsi" w:cs="Calibri-Italic"/>
          <w:iCs/>
          <w:lang w:val="es-CR"/>
        </w:rPr>
        <w:t xml:space="preserve"> </w:t>
      </w:r>
      <w:r w:rsidR="0042022C" w:rsidRPr="006B5A5A">
        <w:rPr>
          <w:rFonts w:eastAsiaTheme="minorHAnsi" w:cs="Calibri-Italic"/>
          <w:iCs/>
          <w:lang w:val="es-CR"/>
        </w:rPr>
        <w:t xml:space="preserve">señaló que “el Estado consciente que dicha medida fue establecida con antelación en otras Sentencias dictadas por la Corte […] </w:t>
      </w:r>
      <w:r w:rsidR="003B6FAD" w:rsidRPr="006B5A5A">
        <w:rPr>
          <w:rFonts w:eastAsiaTheme="minorHAnsi" w:cs="Calibri-Italic"/>
          <w:iCs/>
          <w:lang w:val="es-CR"/>
        </w:rPr>
        <w:t xml:space="preserve">en los caso[s] </w:t>
      </w:r>
      <w:r w:rsidR="003B6FAD" w:rsidRPr="006B5A5A">
        <w:rPr>
          <w:rFonts w:eastAsiaTheme="minorHAnsi" w:cs="Calibri-Italic"/>
          <w:i/>
          <w:iCs/>
          <w:lang w:val="es-CR"/>
        </w:rPr>
        <w:t>Veliz Franco</w:t>
      </w:r>
      <w:r w:rsidR="003B6FAD" w:rsidRPr="006B5A5A">
        <w:rPr>
          <w:rFonts w:eastAsiaTheme="minorHAnsi" w:cs="Calibri-Italic"/>
          <w:iCs/>
          <w:lang w:val="es-CR"/>
        </w:rPr>
        <w:t xml:space="preserve"> y </w:t>
      </w:r>
      <w:r w:rsidR="003B6FAD" w:rsidRPr="006B5A5A">
        <w:rPr>
          <w:rFonts w:eastAsiaTheme="minorHAnsi" w:cs="Calibri-Italic"/>
          <w:i/>
          <w:iCs/>
          <w:lang w:val="es-CR"/>
        </w:rPr>
        <w:t>Velásquez</w:t>
      </w:r>
      <w:r w:rsidR="003B6FAD" w:rsidRPr="006B5A5A">
        <w:rPr>
          <w:rFonts w:eastAsiaTheme="minorHAnsi" w:cs="Calibri-Italic"/>
          <w:iCs/>
          <w:lang w:val="es-CR"/>
        </w:rPr>
        <w:t xml:space="preserve"> </w:t>
      </w:r>
      <w:r w:rsidR="003B6FAD" w:rsidRPr="006B5A5A">
        <w:rPr>
          <w:rFonts w:eastAsiaTheme="minorHAnsi" w:cs="Calibri-Italic"/>
          <w:i/>
          <w:iCs/>
          <w:lang w:val="es-CR"/>
        </w:rPr>
        <w:t xml:space="preserve">Paiz, </w:t>
      </w:r>
      <w:r w:rsidR="003B6FAD" w:rsidRPr="006B5A5A">
        <w:rPr>
          <w:rFonts w:eastAsiaTheme="minorHAnsi" w:cs="Calibri-Italic"/>
          <w:iCs/>
          <w:lang w:val="es-CR"/>
        </w:rPr>
        <w:t xml:space="preserve">por consiguiente, aunque la Corte no desarrolló de forma explícita el procedimiento para la implementación de dicha medida, tampoco la descartó, simple[mente…] la homologará a través de la supervisión de cumplimiento de sentencia de dos casos antes indicados, tal y como lo consignó en el pie de página 262 de la Sentencia”. </w:t>
      </w:r>
      <w:r w:rsidR="003B6FAD" w:rsidRPr="006B5A5A">
        <w:rPr>
          <w:lang w:val="es-CR"/>
        </w:rPr>
        <w:t>Sostuvo que “</w:t>
      </w:r>
      <w:r w:rsidR="00423424" w:rsidRPr="006B5A5A">
        <w:rPr>
          <w:lang w:val="es-CR"/>
        </w:rPr>
        <w:t>lo único que no hicieron los</w:t>
      </w:r>
      <w:r w:rsidR="00006A2A" w:rsidRPr="006B5A5A">
        <w:rPr>
          <w:lang w:val="es-CR"/>
        </w:rPr>
        <w:t xml:space="preserve"> […]</w:t>
      </w:r>
      <w:r w:rsidR="00423424" w:rsidRPr="006B5A5A">
        <w:rPr>
          <w:lang w:val="es-CR"/>
        </w:rPr>
        <w:t xml:space="preserve"> jueces fue ser reiterativos sobre dicha</w:t>
      </w:r>
      <w:r w:rsidR="00423424" w:rsidRPr="006B5A5A">
        <w:rPr>
          <w:rFonts w:eastAsiaTheme="minorHAnsi" w:cs="Calibri-Italic"/>
          <w:iCs/>
          <w:lang w:val="es-CR"/>
        </w:rPr>
        <w:t xml:space="preserve"> medida, situación que no debe ser interpretado por los representantes de las víctimas como medida no aplicada en la </w:t>
      </w:r>
      <w:r w:rsidR="00006A2A" w:rsidRPr="006B5A5A">
        <w:rPr>
          <w:rFonts w:eastAsiaTheme="minorHAnsi" w:cs="Calibri-Italic"/>
          <w:iCs/>
          <w:lang w:val="es-CR"/>
        </w:rPr>
        <w:t>S</w:t>
      </w:r>
      <w:r w:rsidR="00423424" w:rsidRPr="006B5A5A">
        <w:rPr>
          <w:rFonts w:eastAsiaTheme="minorHAnsi" w:cs="Calibri-Italic"/>
          <w:iCs/>
          <w:lang w:val="es-CR"/>
        </w:rPr>
        <w:t>entencia</w:t>
      </w:r>
      <w:r w:rsidR="00006A2A" w:rsidRPr="006B5A5A">
        <w:rPr>
          <w:rFonts w:eastAsiaTheme="minorHAnsi" w:cs="Calibri-Italic"/>
          <w:iCs/>
          <w:lang w:val="es-CR"/>
        </w:rPr>
        <w:t>”</w:t>
      </w:r>
      <w:r w:rsidR="00423424" w:rsidRPr="006B5A5A">
        <w:rPr>
          <w:rFonts w:eastAsiaTheme="minorHAnsi" w:cs="Calibri-Italic"/>
          <w:iCs/>
          <w:lang w:val="es-CR"/>
        </w:rPr>
        <w:t>.</w:t>
      </w:r>
    </w:p>
    <w:p w:rsidR="007D6E53" w:rsidRPr="006B5A5A" w:rsidRDefault="007D6E53" w:rsidP="00C710D9">
      <w:pPr>
        <w:autoSpaceDE w:val="0"/>
        <w:autoSpaceDN w:val="0"/>
        <w:adjustRightInd w:val="0"/>
        <w:spacing w:afterLines="40" w:after="96"/>
        <w:jc w:val="both"/>
        <w:rPr>
          <w:lang w:val="es-CR"/>
        </w:rPr>
      </w:pPr>
    </w:p>
    <w:p w:rsidR="00F977E1" w:rsidRPr="006B5A5A" w:rsidRDefault="00B235FA" w:rsidP="00C710D9">
      <w:pPr>
        <w:pStyle w:val="ListParagraph"/>
        <w:numPr>
          <w:ilvl w:val="0"/>
          <w:numId w:val="1"/>
        </w:numPr>
        <w:tabs>
          <w:tab w:val="clear" w:pos="1427"/>
          <w:tab w:val="num" w:pos="720"/>
        </w:tabs>
        <w:spacing w:afterLines="40" w:after="96"/>
        <w:ind w:left="0"/>
        <w:jc w:val="both"/>
        <w:rPr>
          <w:lang w:val="es-CR"/>
        </w:rPr>
      </w:pPr>
      <w:r w:rsidRPr="006B5A5A">
        <w:rPr>
          <w:rFonts w:eastAsiaTheme="minorHAnsi" w:cs="Calibri-Italic"/>
          <w:iCs/>
          <w:lang w:val="es-CR"/>
        </w:rPr>
        <w:t xml:space="preserve">La </w:t>
      </w:r>
      <w:r w:rsidR="00F977E1" w:rsidRPr="006B5A5A">
        <w:rPr>
          <w:rFonts w:eastAsiaTheme="minorHAnsi" w:cs="Calibri-Italic"/>
          <w:b/>
          <w:i/>
          <w:iCs/>
          <w:lang w:val="es-CR"/>
        </w:rPr>
        <w:t>Comisión</w:t>
      </w:r>
      <w:r w:rsidR="00F977E1" w:rsidRPr="006B5A5A">
        <w:rPr>
          <w:rFonts w:eastAsiaTheme="minorHAnsi" w:cs="Calibri-Italic"/>
          <w:iCs/>
          <w:lang w:val="es-CR"/>
        </w:rPr>
        <w:t xml:space="preserve"> </w:t>
      </w:r>
      <w:r w:rsidRPr="006B5A5A">
        <w:rPr>
          <w:rFonts w:eastAsiaTheme="minorHAnsi" w:cs="Calibri-Italic"/>
          <w:iCs/>
          <w:lang w:val="es-CR"/>
        </w:rPr>
        <w:t>indicó que los cuestionamientos de los representantes podrían</w:t>
      </w:r>
      <w:r w:rsidR="00F977E1" w:rsidRPr="006B5A5A">
        <w:rPr>
          <w:rFonts w:eastAsiaTheme="minorHAnsi" w:cs="Calibri-Italic"/>
          <w:iCs/>
          <w:lang w:val="es-CR"/>
        </w:rPr>
        <w:t xml:space="preserve"> ser abordados por la Corte </w:t>
      </w:r>
      <w:r w:rsidRPr="006B5A5A">
        <w:rPr>
          <w:rFonts w:eastAsiaTheme="minorHAnsi" w:cs="Calibri-Italic"/>
          <w:iCs/>
          <w:lang w:val="es-CR"/>
        </w:rPr>
        <w:t>en</w:t>
      </w:r>
      <w:r w:rsidR="00F977E1" w:rsidRPr="006B5A5A">
        <w:rPr>
          <w:rFonts w:eastAsiaTheme="minorHAnsi" w:cs="Calibri-Italic"/>
          <w:iCs/>
          <w:lang w:val="es-CR"/>
        </w:rPr>
        <w:t xml:space="preserve"> la sentencia de interpretación o</w:t>
      </w:r>
      <w:r w:rsidRPr="006B5A5A">
        <w:rPr>
          <w:rFonts w:eastAsiaTheme="minorHAnsi" w:cs="Calibri-Italic"/>
          <w:iCs/>
          <w:lang w:val="es-CR"/>
        </w:rPr>
        <w:t xml:space="preserve"> bien,</w:t>
      </w:r>
      <w:r w:rsidR="00F977E1" w:rsidRPr="006B5A5A">
        <w:rPr>
          <w:rFonts w:eastAsiaTheme="minorHAnsi" w:cs="Calibri-Italic"/>
          <w:iCs/>
          <w:lang w:val="es-CR"/>
        </w:rPr>
        <w:t xml:space="preserve"> en el marco de supervisión de cumplimiento de las medidas de reparación.</w:t>
      </w:r>
    </w:p>
    <w:p w:rsidR="002B7A63" w:rsidRPr="006B5A5A" w:rsidRDefault="002B7A63" w:rsidP="00C710D9">
      <w:pPr>
        <w:pStyle w:val="ListParagraph"/>
        <w:spacing w:afterLines="40" w:after="96"/>
        <w:rPr>
          <w:lang w:val="es-CR"/>
        </w:rPr>
      </w:pPr>
    </w:p>
    <w:p w:rsidR="002B7A63" w:rsidRPr="006B5A5A" w:rsidRDefault="00A728BD" w:rsidP="00C710D9">
      <w:pPr>
        <w:pStyle w:val="ListParagraph"/>
        <w:spacing w:afterLines="40" w:after="96"/>
        <w:ind w:left="0" w:firstLine="720"/>
        <w:jc w:val="both"/>
        <w:rPr>
          <w:i/>
          <w:lang w:val="es-CR"/>
        </w:rPr>
      </w:pPr>
      <w:r>
        <w:rPr>
          <w:i/>
          <w:lang w:val="es-CR"/>
        </w:rPr>
        <w:t>C</w:t>
      </w:r>
      <w:r w:rsidR="00A32FA1" w:rsidRPr="006B5A5A">
        <w:rPr>
          <w:i/>
          <w:lang w:val="es-CR"/>
        </w:rPr>
        <w:t>.2. Consideraciones de la Corte</w:t>
      </w:r>
    </w:p>
    <w:p w:rsidR="00D11D7E" w:rsidRPr="006B5A5A" w:rsidRDefault="00D11D7E" w:rsidP="00C710D9">
      <w:pPr>
        <w:spacing w:afterLines="40" w:after="96"/>
        <w:jc w:val="both"/>
        <w:rPr>
          <w:lang w:val="es-CR"/>
        </w:rPr>
      </w:pPr>
    </w:p>
    <w:p w:rsidR="00A15228" w:rsidRPr="006B5A5A" w:rsidRDefault="00A15228" w:rsidP="00C710D9">
      <w:pPr>
        <w:pStyle w:val="ListParagraph"/>
        <w:numPr>
          <w:ilvl w:val="0"/>
          <w:numId w:val="1"/>
        </w:numPr>
        <w:tabs>
          <w:tab w:val="clear" w:pos="1427"/>
          <w:tab w:val="num" w:pos="720"/>
        </w:tabs>
        <w:spacing w:afterLines="40" w:after="96"/>
        <w:ind w:left="0"/>
        <w:jc w:val="both"/>
        <w:rPr>
          <w:lang w:val="es-CR"/>
        </w:rPr>
      </w:pPr>
      <w:r w:rsidRPr="006B5A5A">
        <w:rPr>
          <w:lang w:val="es-CR"/>
        </w:rPr>
        <w:t>En el párrafo 210 de la Sentencia, esta Corte estableció:</w:t>
      </w:r>
    </w:p>
    <w:p w:rsidR="00664B21" w:rsidRPr="006B5A5A" w:rsidRDefault="00664B21" w:rsidP="00C710D9">
      <w:pPr>
        <w:pStyle w:val="ListParagraph"/>
        <w:spacing w:afterLines="40" w:after="96"/>
        <w:ind w:left="0"/>
        <w:jc w:val="both"/>
        <w:rPr>
          <w:lang w:val="es-CR"/>
        </w:rPr>
      </w:pPr>
    </w:p>
    <w:p w:rsidR="00664B21" w:rsidRPr="006B5A5A" w:rsidRDefault="00664B21" w:rsidP="00C710D9">
      <w:pPr>
        <w:autoSpaceDE w:val="0"/>
        <w:autoSpaceDN w:val="0"/>
        <w:spacing w:afterLines="40" w:after="96"/>
        <w:ind w:left="720"/>
        <w:contextualSpacing/>
        <w:jc w:val="both"/>
        <w:rPr>
          <w:rFonts w:cs="Calibri"/>
          <w:sz w:val="18"/>
        </w:rPr>
      </w:pPr>
      <w:r w:rsidRPr="006B5A5A">
        <w:rPr>
          <w:sz w:val="18"/>
        </w:rPr>
        <w:t xml:space="preserve">210. Debido a que en esta Sentencia se declaró que el Estado incumplió su deber de investigar efectivamente la desaparición de Mayra Gutiérrez al aplicar estereotipos negativos de género que culpabilizaron a la víctima, </w:t>
      </w:r>
      <w:r w:rsidRPr="006B5A5A">
        <w:rPr>
          <w:b/>
          <w:sz w:val="18"/>
        </w:rPr>
        <w:t>la Corte recuerda lo ordenado</w:t>
      </w:r>
      <w:r w:rsidRPr="006B5A5A">
        <w:rPr>
          <w:sz w:val="18"/>
        </w:rPr>
        <w:t xml:space="preserve"> por este Tribunal en los casos </w:t>
      </w:r>
      <w:r w:rsidRPr="006B5A5A">
        <w:rPr>
          <w:i/>
          <w:sz w:val="18"/>
        </w:rPr>
        <w:t>Veliz Franco y otros y Velásquez Paiz y otros</w:t>
      </w:r>
      <w:r w:rsidRPr="006B5A5A">
        <w:rPr>
          <w:sz w:val="18"/>
        </w:rPr>
        <w:t>, ambos contra Guatemala. En éstos se estableció que el Estado debe, en un plazo razonable, implementar programas y cursos permanentes para funcionarios públicos pertenecientes al Poder Judicial, Ministerio Público y Policía Nacional Civil, que estén vinculados a la investigación de actos de homicidio de mujeres, sobre estándares en materia de prevención, eventual sanción y erradicación de homicidios de mujeres y capacitarlos sobre la debida aplicación de la normativa internacional y jurisprudencia de este Tribunal en la materia</w:t>
      </w:r>
      <w:r w:rsidR="00A728BD">
        <w:rPr>
          <w:rStyle w:val="FootnoteReference"/>
          <w:sz w:val="18"/>
        </w:rPr>
        <w:footnoteReference w:id="13"/>
      </w:r>
      <w:r w:rsidRPr="006B5A5A">
        <w:rPr>
          <w:sz w:val="18"/>
        </w:rPr>
        <w:t>.</w:t>
      </w:r>
    </w:p>
    <w:p w:rsidR="00664B21" w:rsidRPr="006B5A5A" w:rsidRDefault="00664B21" w:rsidP="00C710D9">
      <w:pPr>
        <w:pStyle w:val="ListParagraph"/>
        <w:numPr>
          <w:ilvl w:val="0"/>
          <w:numId w:val="1"/>
        </w:numPr>
        <w:tabs>
          <w:tab w:val="clear" w:pos="1427"/>
          <w:tab w:val="num" w:pos="720"/>
        </w:tabs>
        <w:spacing w:afterLines="40" w:after="96"/>
        <w:ind w:left="0"/>
        <w:jc w:val="both"/>
      </w:pPr>
      <w:r w:rsidRPr="006B5A5A">
        <w:lastRenderedPageBreak/>
        <w:t xml:space="preserve">A su vez </w:t>
      </w:r>
      <w:r w:rsidR="002D6935" w:rsidRPr="006B5A5A">
        <w:t xml:space="preserve">, en el pie de </w:t>
      </w:r>
      <w:r w:rsidR="002D6935" w:rsidRPr="006B5A5A">
        <w:rPr>
          <w:lang w:val="es-CR"/>
        </w:rPr>
        <w:t>página</w:t>
      </w:r>
      <w:r w:rsidR="002D6935" w:rsidRPr="006B5A5A">
        <w:t xml:space="preserve"> 262 de la Sentencia, la Corte indicó que “[l]a supervisión de la implementación de esta medida de reparación se realiza en el marco de los procedimientos de supervisión de los mencionados casos</w:t>
      </w:r>
      <w:r w:rsidR="002D6935" w:rsidRPr="006B5A5A">
        <w:rPr>
          <w:i/>
        </w:rPr>
        <w:t xml:space="preserve"> Veliz Franco y otros </w:t>
      </w:r>
      <w:r w:rsidR="002D6935" w:rsidRPr="006B5A5A">
        <w:t xml:space="preserve">y </w:t>
      </w:r>
      <w:r w:rsidR="002D6935" w:rsidRPr="006B5A5A">
        <w:rPr>
          <w:i/>
        </w:rPr>
        <w:t xml:space="preserve">Velásquez Paiz y otros”. </w:t>
      </w:r>
      <w:r w:rsidR="009C5C66" w:rsidRPr="006B5A5A">
        <w:t xml:space="preserve">De este modo, la Corte dejó claro en su Sentencia que la obligación del Estado de implementar dicha medida de reparación se supervisa en el marco del trámite de dichos casos. Asimismo, dado que en el presente caso no se ordenó esta medida de reparación, la misma no figura en los puntos resolutivos de la Sentencia. </w:t>
      </w:r>
      <w:r w:rsidR="00930ECF" w:rsidRPr="006B5A5A">
        <w:t xml:space="preserve">Por lo tanto, </w:t>
      </w:r>
      <w:r w:rsidR="001B2E70" w:rsidRPr="006B5A5A">
        <w:t xml:space="preserve">la solicitud de interpretación de los representantes es improcedente en este extremo. </w:t>
      </w:r>
    </w:p>
    <w:p w:rsidR="00A15228" w:rsidRPr="006B5A5A" w:rsidRDefault="00A15228" w:rsidP="00C710D9">
      <w:pPr>
        <w:pStyle w:val="ListParagraph"/>
        <w:spacing w:afterLines="40" w:after="96"/>
        <w:ind w:left="0"/>
        <w:jc w:val="both"/>
        <w:rPr>
          <w:lang w:val="es-CR"/>
        </w:rPr>
      </w:pPr>
    </w:p>
    <w:p w:rsidR="007D6E53" w:rsidRPr="006B5A5A" w:rsidRDefault="007D6E53" w:rsidP="00C710D9">
      <w:pPr>
        <w:pStyle w:val="Heading1"/>
        <w:spacing w:afterLines="40" w:after="96"/>
      </w:pPr>
      <w:r w:rsidRPr="006B5A5A">
        <w:t>V</w:t>
      </w:r>
      <w:r w:rsidRPr="006B5A5A">
        <w:rPr>
          <w:b w:val="0"/>
          <w:bCs w:val="0"/>
          <w:caps w:val="0"/>
          <w:kern w:val="32"/>
        </w:rPr>
        <w:br/>
      </w:r>
      <w:r w:rsidRPr="006B5A5A">
        <w:t>PUNTOS RESOLUTIVOS</w:t>
      </w:r>
    </w:p>
    <w:p w:rsidR="007D6E53" w:rsidRPr="006B5A5A" w:rsidRDefault="007D6E53" w:rsidP="00C710D9">
      <w:pPr>
        <w:spacing w:afterLines="40" w:after="96"/>
        <w:jc w:val="both"/>
        <w:rPr>
          <w:lang w:val="es-CR"/>
        </w:rPr>
      </w:pPr>
      <w:r w:rsidRPr="006B5A5A">
        <w:rPr>
          <w:lang w:val="es-CR"/>
        </w:rPr>
        <w:t>Por tanto,</w:t>
      </w:r>
    </w:p>
    <w:p w:rsidR="007D6E53" w:rsidRPr="006B5A5A" w:rsidRDefault="007D6E53" w:rsidP="00C710D9">
      <w:pPr>
        <w:spacing w:afterLines="40" w:after="96"/>
        <w:jc w:val="both"/>
        <w:rPr>
          <w:rFonts w:cs="Arial"/>
          <w:b/>
          <w:i/>
          <w:lang w:val="es-CR"/>
        </w:rPr>
      </w:pPr>
    </w:p>
    <w:p w:rsidR="007D6E53" w:rsidRPr="006B5A5A" w:rsidRDefault="007D6E53" w:rsidP="00C710D9">
      <w:pPr>
        <w:spacing w:afterLines="40" w:after="96"/>
        <w:rPr>
          <w:b/>
          <w:lang w:val="es-CR"/>
        </w:rPr>
      </w:pPr>
      <w:r w:rsidRPr="006B5A5A">
        <w:rPr>
          <w:b/>
          <w:lang w:val="es-CR"/>
        </w:rPr>
        <w:t>LA CORTE,</w:t>
      </w:r>
    </w:p>
    <w:p w:rsidR="007D6E53" w:rsidRPr="006B5A5A" w:rsidRDefault="007D6E53" w:rsidP="00C710D9">
      <w:pPr>
        <w:spacing w:afterLines="40" w:after="96"/>
        <w:rPr>
          <w:b/>
          <w:lang w:val="es-CR"/>
        </w:rPr>
      </w:pPr>
    </w:p>
    <w:p w:rsidR="007D6E53" w:rsidRPr="006B5A5A" w:rsidRDefault="007D6E53" w:rsidP="00C710D9">
      <w:pPr>
        <w:spacing w:afterLines="40" w:after="96"/>
        <w:jc w:val="both"/>
        <w:rPr>
          <w:lang w:val="es-CR"/>
        </w:rPr>
      </w:pPr>
      <w:r w:rsidRPr="006B5A5A">
        <w:rPr>
          <w:lang w:val="es-CR"/>
        </w:rPr>
        <w:t>de conformidad con el artículo 67 de la Convención Americana sobre Derechos Humanos y los artículos 31.3 y 68 del Reglamento,</w:t>
      </w:r>
    </w:p>
    <w:p w:rsidR="007D6E53" w:rsidRPr="006B5A5A" w:rsidRDefault="007D6E53" w:rsidP="00C710D9">
      <w:pPr>
        <w:spacing w:afterLines="40" w:after="96"/>
        <w:jc w:val="both"/>
        <w:rPr>
          <w:lang w:val="es-CR"/>
        </w:rPr>
      </w:pPr>
    </w:p>
    <w:p w:rsidR="007D6E53" w:rsidRPr="006B5A5A" w:rsidRDefault="007D6E53" w:rsidP="00C710D9">
      <w:pPr>
        <w:spacing w:afterLines="40" w:after="96"/>
        <w:rPr>
          <w:b/>
          <w:lang w:val="es-CR"/>
        </w:rPr>
      </w:pPr>
      <w:r w:rsidRPr="006B5A5A">
        <w:rPr>
          <w:b/>
          <w:lang w:val="es-CR"/>
        </w:rPr>
        <w:t>DECIDE:</w:t>
      </w:r>
    </w:p>
    <w:p w:rsidR="007D6E53" w:rsidRPr="006B5A5A" w:rsidRDefault="007D6E53" w:rsidP="00C710D9">
      <w:pPr>
        <w:spacing w:afterLines="40" w:after="96"/>
        <w:rPr>
          <w:b/>
          <w:lang w:val="es-CR"/>
        </w:rPr>
      </w:pPr>
    </w:p>
    <w:p w:rsidR="007D6E53" w:rsidRPr="006B5A5A" w:rsidRDefault="007D6E53" w:rsidP="00C710D9">
      <w:pPr>
        <w:tabs>
          <w:tab w:val="center" w:pos="4252"/>
          <w:tab w:val="right" w:pos="8504"/>
        </w:tabs>
        <w:spacing w:afterLines="40" w:after="96"/>
        <w:rPr>
          <w:lang w:val="es-CR"/>
        </w:rPr>
      </w:pPr>
      <w:r w:rsidRPr="006B5A5A">
        <w:rPr>
          <w:lang w:val="es-CR"/>
        </w:rPr>
        <w:t xml:space="preserve">Por unanimidad, </w:t>
      </w:r>
    </w:p>
    <w:p w:rsidR="008705D2" w:rsidRPr="006B5A5A" w:rsidRDefault="008705D2" w:rsidP="00C710D9">
      <w:pPr>
        <w:pStyle w:val="ListParagraph"/>
        <w:spacing w:afterLines="40" w:after="96"/>
        <w:ind w:left="360"/>
        <w:rPr>
          <w:lang w:val="es-CR"/>
        </w:rPr>
      </w:pPr>
    </w:p>
    <w:p w:rsidR="007D6E53" w:rsidRPr="006B5A5A" w:rsidRDefault="007D6E53" w:rsidP="00C710D9">
      <w:pPr>
        <w:pStyle w:val="ListParagraph"/>
        <w:numPr>
          <w:ilvl w:val="0"/>
          <w:numId w:val="7"/>
        </w:numPr>
        <w:tabs>
          <w:tab w:val="left" w:pos="0"/>
        </w:tabs>
        <w:autoSpaceDE w:val="0"/>
        <w:autoSpaceDN w:val="0"/>
        <w:adjustRightInd w:val="0"/>
        <w:spacing w:afterLines="40" w:after="96"/>
        <w:ind w:left="0" w:firstLine="0"/>
        <w:jc w:val="both"/>
        <w:rPr>
          <w:rFonts w:eastAsia="Times New Roman" w:cs="Verdana"/>
          <w:b/>
          <w:bCs/>
          <w:caps/>
          <w:snapToGrid w:val="0"/>
          <w:lang w:val="es-CR" w:eastAsia="es-ES"/>
        </w:rPr>
      </w:pPr>
      <w:r w:rsidRPr="006B5A5A">
        <w:rPr>
          <w:rFonts w:eastAsia="Times New Roman"/>
          <w:lang w:val="es-CR" w:eastAsia="es-ES"/>
        </w:rPr>
        <w:t xml:space="preserve">Declarar admisible la solicitud de interpretación de la Sentencia de excepciones preliminares, fondo, reparaciones y costas, emitida en el caso </w:t>
      </w:r>
      <w:r w:rsidR="00FE1BCA" w:rsidRPr="006B5A5A">
        <w:rPr>
          <w:rFonts w:eastAsia="Times New Roman"/>
          <w:i/>
          <w:lang w:val="es-CR" w:eastAsia="es-ES"/>
        </w:rPr>
        <w:t>Guti</w:t>
      </w:r>
      <w:r w:rsidR="00FF77FB" w:rsidRPr="006B5A5A">
        <w:rPr>
          <w:rFonts w:eastAsia="Times New Roman"/>
          <w:i/>
          <w:lang w:val="es-CR" w:eastAsia="es-ES"/>
        </w:rPr>
        <w:t>é</w:t>
      </w:r>
      <w:r w:rsidR="00FE1BCA" w:rsidRPr="006B5A5A">
        <w:rPr>
          <w:rFonts w:eastAsia="Times New Roman"/>
          <w:i/>
          <w:lang w:val="es-CR" w:eastAsia="es-ES"/>
        </w:rPr>
        <w:t>rrez Hern</w:t>
      </w:r>
      <w:r w:rsidR="00FF77FB" w:rsidRPr="006B5A5A">
        <w:rPr>
          <w:rFonts w:eastAsia="Times New Roman"/>
          <w:i/>
          <w:lang w:val="es-CR" w:eastAsia="es-ES"/>
        </w:rPr>
        <w:t>á</w:t>
      </w:r>
      <w:r w:rsidR="00FE1BCA" w:rsidRPr="006B5A5A">
        <w:rPr>
          <w:rFonts w:eastAsia="Times New Roman"/>
          <w:i/>
          <w:lang w:val="es-CR" w:eastAsia="es-ES"/>
        </w:rPr>
        <w:t>ndez y otros Vs. Guatemala,</w:t>
      </w:r>
      <w:r w:rsidRPr="006B5A5A">
        <w:rPr>
          <w:rFonts w:eastAsia="Times New Roman"/>
          <w:lang w:val="es-CR" w:eastAsia="es-ES"/>
        </w:rPr>
        <w:t xml:space="preserve"> presentada por </w:t>
      </w:r>
      <w:r w:rsidR="00327E82" w:rsidRPr="006B5A5A">
        <w:rPr>
          <w:rFonts w:eastAsia="Times New Roman"/>
          <w:lang w:val="es-CR" w:eastAsia="es-ES"/>
        </w:rPr>
        <w:t>los Representantes</w:t>
      </w:r>
      <w:r w:rsidRPr="006B5A5A">
        <w:rPr>
          <w:rFonts w:eastAsia="Times New Roman"/>
          <w:lang w:val="es-CR" w:eastAsia="es-ES"/>
        </w:rPr>
        <w:t>.</w:t>
      </w:r>
    </w:p>
    <w:p w:rsidR="007D6E53" w:rsidRPr="006B5A5A" w:rsidRDefault="007D6E53" w:rsidP="00C710D9">
      <w:pPr>
        <w:pStyle w:val="MediumGrid1-Accent21"/>
        <w:tabs>
          <w:tab w:val="left" w:pos="567"/>
        </w:tabs>
        <w:spacing w:afterLines="40" w:after="96"/>
        <w:ind w:left="0"/>
        <w:contextualSpacing/>
        <w:rPr>
          <w:rFonts w:eastAsia="Times New Roman"/>
          <w:szCs w:val="20"/>
          <w:lang w:val="es-CR" w:eastAsia="es-ES"/>
        </w:rPr>
      </w:pPr>
    </w:p>
    <w:p w:rsidR="007D6E53" w:rsidRPr="006B5A5A" w:rsidRDefault="007D6E53" w:rsidP="00C710D9">
      <w:pPr>
        <w:pStyle w:val="ListParagraph"/>
        <w:numPr>
          <w:ilvl w:val="0"/>
          <w:numId w:val="7"/>
        </w:numPr>
        <w:tabs>
          <w:tab w:val="left" w:pos="0"/>
        </w:tabs>
        <w:autoSpaceDE w:val="0"/>
        <w:autoSpaceDN w:val="0"/>
        <w:adjustRightInd w:val="0"/>
        <w:spacing w:afterLines="40" w:after="96"/>
        <w:ind w:left="0" w:firstLine="0"/>
        <w:jc w:val="both"/>
        <w:rPr>
          <w:rFonts w:eastAsia="Times New Roman"/>
          <w:lang w:val="es-CR" w:eastAsia="es-ES"/>
        </w:rPr>
      </w:pPr>
      <w:r w:rsidRPr="006B5A5A">
        <w:t xml:space="preserve">Desestimar por </w:t>
      </w:r>
      <w:r w:rsidR="00AB782B" w:rsidRPr="006B5A5A">
        <w:t xml:space="preserve">improcedente la solicitud de interpretación de los representantes sobre la figura jurídica bajo la cual se encuadraría la desaparición de Mayra Gutiérrez, en los términos de los párrafos </w:t>
      </w:r>
      <w:r w:rsidR="00A728BD">
        <w:t>15 a 22</w:t>
      </w:r>
      <w:r w:rsidR="00AB782B" w:rsidRPr="006B5A5A">
        <w:t xml:space="preserve"> de esta Sentencia de Interpretación</w:t>
      </w:r>
      <w:r w:rsidR="008705D2" w:rsidRPr="006B5A5A">
        <w:t>.</w:t>
      </w:r>
    </w:p>
    <w:p w:rsidR="008705D2" w:rsidRPr="006B5A5A" w:rsidRDefault="008705D2" w:rsidP="00C710D9">
      <w:pPr>
        <w:pStyle w:val="ListParagraph"/>
        <w:spacing w:afterLines="40" w:after="96"/>
        <w:rPr>
          <w:rFonts w:eastAsia="Times New Roman"/>
          <w:lang w:val="es-CR" w:eastAsia="es-ES"/>
        </w:rPr>
      </w:pPr>
    </w:p>
    <w:p w:rsidR="008705D2" w:rsidRPr="006B5A5A" w:rsidRDefault="008705D2" w:rsidP="00C710D9">
      <w:pPr>
        <w:pStyle w:val="ListParagraph"/>
        <w:numPr>
          <w:ilvl w:val="0"/>
          <w:numId w:val="7"/>
        </w:numPr>
        <w:tabs>
          <w:tab w:val="left" w:pos="0"/>
        </w:tabs>
        <w:autoSpaceDE w:val="0"/>
        <w:autoSpaceDN w:val="0"/>
        <w:adjustRightInd w:val="0"/>
        <w:spacing w:afterLines="40" w:after="96"/>
        <w:ind w:left="0" w:firstLine="0"/>
        <w:jc w:val="both"/>
        <w:rPr>
          <w:rFonts w:eastAsia="Times New Roman"/>
          <w:lang w:val="es-CR" w:eastAsia="es-ES"/>
        </w:rPr>
      </w:pPr>
      <w:r w:rsidRPr="006B5A5A">
        <w:rPr>
          <w:rFonts w:eastAsia="Times New Roman"/>
          <w:lang w:val="es-CR" w:eastAsia="es-ES"/>
        </w:rPr>
        <w:t xml:space="preserve">Aclarar lo referente a la solicitud de los representantes en relación con la indemnización por concepto de daño inmaterial ordenado a favor de Mayra Angelina Gutiérrez Hernández, en los términos de los párrafos </w:t>
      </w:r>
      <w:r w:rsidR="00A728BD">
        <w:rPr>
          <w:rFonts w:eastAsia="Times New Roman"/>
          <w:lang w:val="es-CR" w:eastAsia="es-ES"/>
        </w:rPr>
        <w:t>26 y 27</w:t>
      </w:r>
      <w:r w:rsidRPr="006B5A5A">
        <w:rPr>
          <w:rFonts w:eastAsia="Times New Roman"/>
          <w:lang w:val="es-CR" w:eastAsia="es-ES"/>
        </w:rPr>
        <w:t xml:space="preserve"> de esta Sentencia de Interpretación.</w:t>
      </w:r>
    </w:p>
    <w:p w:rsidR="00FB1AEF" w:rsidRPr="006B5A5A" w:rsidRDefault="00FB1AEF" w:rsidP="00C710D9">
      <w:pPr>
        <w:pStyle w:val="ListParagraph"/>
        <w:spacing w:afterLines="40" w:after="96"/>
        <w:jc w:val="both"/>
        <w:rPr>
          <w:rFonts w:eastAsia="Times New Roman"/>
          <w:lang w:val="es-CR" w:eastAsia="es-ES"/>
        </w:rPr>
      </w:pPr>
    </w:p>
    <w:p w:rsidR="00FB1AEF" w:rsidRPr="006B5A5A" w:rsidRDefault="00FB1AEF" w:rsidP="00C710D9">
      <w:pPr>
        <w:pStyle w:val="ListParagraph"/>
        <w:numPr>
          <w:ilvl w:val="0"/>
          <w:numId w:val="7"/>
        </w:numPr>
        <w:tabs>
          <w:tab w:val="left" w:pos="0"/>
        </w:tabs>
        <w:autoSpaceDE w:val="0"/>
        <w:autoSpaceDN w:val="0"/>
        <w:adjustRightInd w:val="0"/>
        <w:spacing w:afterLines="40" w:after="96"/>
        <w:ind w:left="0" w:firstLine="0"/>
        <w:jc w:val="both"/>
        <w:rPr>
          <w:rFonts w:eastAsia="Times New Roman"/>
          <w:lang w:val="es-CR" w:eastAsia="es-ES"/>
        </w:rPr>
      </w:pPr>
      <w:r w:rsidRPr="006B5A5A">
        <w:t xml:space="preserve">Desestimar por </w:t>
      </w:r>
      <w:r w:rsidR="00AB782B" w:rsidRPr="006B5A5A">
        <w:t xml:space="preserve">improcedente </w:t>
      </w:r>
      <w:r w:rsidRPr="006B5A5A">
        <w:t xml:space="preserve">la solicitud </w:t>
      </w:r>
      <w:r w:rsidR="00AB782B" w:rsidRPr="006B5A5A">
        <w:t xml:space="preserve">de interpretación planteada </w:t>
      </w:r>
      <w:r w:rsidRPr="006B5A5A">
        <w:t xml:space="preserve">por </w:t>
      </w:r>
      <w:r w:rsidR="00457B0B" w:rsidRPr="006B5A5A">
        <w:t xml:space="preserve">los </w:t>
      </w:r>
      <w:r w:rsidR="00AB782B" w:rsidRPr="006B5A5A">
        <w:t>r</w:t>
      </w:r>
      <w:r w:rsidR="00457B0B" w:rsidRPr="006B5A5A">
        <w:t>epresentantes</w:t>
      </w:r>
      <w:r w:rsidR="00AB782B" w:rsidRPr="006B5A5A">
        <w:t xml:space="preserve"> sobre </w:t>
      </w:r>
      <w:r w:rsidR="008705D2" w:rsidRPr="006B5A5A">
        <w:t>la medida de no repetición referida en el párrafo 210 de la Sentencia de excepciones preliminares, fondo, reparaciones y costas emitid</w:t>
      </w:r>
      <w:r w:rsidR="00183620" w:rsidRPr="006B5A5A">
        <w:t>a</w:t>
      </w:r>
      <w:r w:rsidR="008705D2" w:rsidRPr="006B5A5A">
        <w:t xml:space="preserve"> en el caso </w:t>
      </w:r>
      <w:r w:rsidR="008705D2" w:rsidRPr="006B5A5A">
        <w:rPr>
          <w:i/>
        </w:rPr>
        <w:t xml:space="preserve">Gutiérrez Hernández y otros Vs. Guatemala. </w:t>
      </w:r>
    </w:p>
    <w:p w:rsidR="007D6E53" w:rsidRPr="006B5A5A" w:rsidRDefault="007D6E53" w:rsidP="00C710D9">
      <w:pPr>
        <w:pStyle w:val="MediumGrid1-Accent21"/>
        <w:tabs>
          <w:tab w:val="left" w:pos="567"/>
        </w:tabs>
        <w:spacing w:afterLines="40" w:after="96"/>
        <w:ind w:left="0"/>
        <w:contextualSpacing/>
        <w:rPr>
          <w:lang w:val="es-CR"/>
        </w:rPr>
      </w:pPr>
    </w:p>
    <w:p w:rsidR="009266E1" w:rsidRPr="006B5A5A" w:rsidRDefault="007D6E53" w:rsidP="00C710D9">
      <w:pPr>
        <w:pStyle w:val="ListParagraph"/>
        <w:numPr>
          <w:ilvl w:val="0"/>
          <w:numId w:val="7"/>
        </w:numPr>
        <w:tabs>
          <w:tab w:val="left" w:pos="0"/>
        </w:tabs>
        <w:autoSpaceDE w:val="0"/>
        <w:autoSpaceDN w:val="0"/>
        <w:adjustRightInd w:val="0"/>
        <w:spacing w:afterLines="40" w:after="96"/>
        <w:ind w:left="0" w:firstLine="0"/>
        <w:jc w:val="both"/>
        <w:rPr>
          <w:lang w:val="es-CR"/>
        </w:rPr>
      </w:pPr>
      <w:r w:rsidRPr="006B5A5A">
        <w:rPr>
          <w:rFonts w:eastAsia="Batang"/>
          <w:lang w:val="es-CR"/>
        </w:rPr>
        <w:t xml:space="preserve">Disponer que la Secretaría de la Corte notifique la presente Sentencia </w:t>
      </w:r>
      <w:r w:rsidRPr="006B5A5A">
        <w:rPr>
          <w:rFonts w:eastAsia="Times New Roman" w:cs="Arial"/>
          <w:lang w:val="es-CR" w:eastAsia="ko-KR"/>
        </w:rPr>
        <w:t>de interpretación</w:t>
      </w:r>
      <w:r w:rsidRPr="006B5A5A">
        <w:rPr>
          <w:rFonts w:eastAsia="Batang"/>
          <w:lang w:val="es-CR"/>
        </w:rPr>
        <w:t xml:space="preserve"> a la República </w:t>
      </w:r>
      <w:r w:rsidR="00FB1AEF" w:rsidRPr="006B5A5A">
        <w:rPr>
          <w:rFonts w:eastAsia="Batang"/>
          <w:lang w:val="es-CR"/>
        </w:rPr>
        <w:t>de Guatemala</w:t>
      </w:r>
      <w:r w:rsidRPr="006B5A5A">
        <w:rPr>
          <w:rFonts w:eastAsia="Batang"/>
          <w:lang w:val="es-CR"/>
        </w:rPr>
        <w:t>, a los representantes de las víctimas y a la Comisión Interamericana de Derechos Humanos.</w:t>
      </w:r>
    </w:p>
    <w:p w:rsidR="009266E1" w:rsidRPr="006B5A5A" w:rsidRDefault="009266E1" w:rsidP="00C710D9">
      <w:pPr>
        <w:pStyle w:val="ListParagraph"/>
        <w:autoSpaceDE w:val="0"/>
        <w:autoSpaceDN w:val="0"/>
        <w:adjustRightInd w:val="0"/>
        <w:spacing w:afterLines="40" w:after="96"/>
        <w:jc w:val="both"/>
      </w:pPr>
    </w:p>
    <w:p w:rsidR="003D12E3" w:rsidRDefault="003D12E3"/>
    <w:p w:rsidR="00E65B88" w:rsidRDefault="00E65B88"/>
    <w:p w:rsidR="00E65B88" w:rsidRDefault="00E65B88"/>
    <w:p w:rsidR="00E65B88" w:rsidRDefault="00E65B88" w:rsidP="00E65B88">
      <w:pPr>
        <w:jc w:val="both"/>
        <w:rPr>
          <w:lang w:val="es-ES"/>
        </w:rPr>
      </w:pPr>
    </w:p>
    <w:p w:rsidR="00E65B88" w:rsidRDefault="00E65B88" w:rsidP="00E65B88">
      <w:pPr>
        <w:keepNext/>
        <w:jc w:val="both"/>
        <w:outlineLvl w:val="0"/>
        <w:rPr>
          <w:lang w:val="es-ES"/>
        </w:rPr>
      </w:pPr>
      <w:r>
        <w:rPr>
          <w:rFonts w:cs="Courier New"/>
          <w:noProof/>
          <w:lang w:val="es-AR"/>
        </w:rPr>
        <w:t xml:space="preserve">Corte IDH. </w:t>
      </w:r>
      <w:r w:rsidRPr="00E14403">
        <w:rPr>
          <w:i/>
          <w:lang w:val="es-ES"/>
        </w:rPr>
        <w:t xml:space="preserve">Caso </w:t>
      </w:r>
      <w:r w:rsidRPr="00113F68">
        <w:rPr>
          <w:i/>
          <w:lang w:val="es-ES"/>
        </w:rPr>
        <w:t xml:space="preserve">Gutiérrez Hernández y </w:t>
      </w:r>
      <w:r>
        <w:rPr>
          <w:i/>
          <w:lang w:val="es-ES"/>
        </w:rPr>
        <w:t xml:space="preserve">Otros </w:t>
      </w:r>
      <w:r w:rsidRPr="00E14403">
        <w:rPr>
          <w:i/>
          <w:lang w:val="es-ES"/>
        </w:rPr>
        <w:t xml:space="preserve">Vs. </w:t>
      </w:r>
      <w:r>
        <w:rPr>
          <w:i/>
          <w:lang w:val="es-ES"/>
        </w:rPr>
        <w:t>Guatemala</w:t>
      </w:r>
      <w:r>
        <w:rPr>
          <w:lang w:val="es-ES"/>
        </w:rPr>
        <w:t xml:space="preserve">. </w:t>
      </w:r>
      <w:r w:rsidRPr="005E3CD4">
        <w:rPr>
          <w:lang w:val="es-ES"/>
        </w:rPr>
        <w:t>Interpretación de la</w:t>
      </w:r>
      <w:r>
        <w:rPr>
          <w:lang w:val="es-ES"/>
        </w:rPr>
        <w:t xml:space="preserve"> Sentencia</w:t>
      </w:r>
      <w:r w:rsidRPr="00771532">
        <w:rPr>
          <w:lang w:val="es-ES"/>
        </w:rPr>
        <w:t xml:space="preserve"> de </w:t>
      </w:r>
      <w:r w:rsidRPr="005E3CD4">
        <w:rPr>
          <w:lang w:val="es-ES"/>
        </w:rPr>
        <w:t>Excepciones Preliminares, Fondo, Reparaciones y Costas</w:t>
      </w:r>
      <w:r>
        <w:rPr>
          <w:lang w:val="es-ES"/>
        </w:rPr>
        <w:t>. Sentencia de 22 de agosto de 2018.</w:t>
      </w:r>
    </w:p>
    <w:p w:rsidR="00E65B88" w:rsidRDefault="00E65B88" w:rsidP="00E65B88">
      <w:pPr>
        <w:keepNext/>
        <w:jc w:val="both"/>
        <w:outlineLvl w:val="0"/>
        <w:rPr>
          <w:lang w:val="es-ES"/>
        </w:rPr>
      </w:pPr>
    </w:p>
    <w:p w:rsidR="00E65B88" w:rsidRDefault="00E65B88" w:rsidP="00E65B88">
      <w:pPr>
        <w:keepNext/>
        <w:jc w:val="both"/>
        <w:outlineLvl w:val="0"/>
        <w:rPr>
          <w:lang w:val="es-ES"/>
        </w:rPr>
      </w:pPr>
    </w:p>
    <w:p w:rsidR="00E65B88" w:rsidRDefault="00E65B88" w:rsidP="00E65B88">
      <w:pPr>
        <w:jc w:val="center"/>
        <w:rPr>
          <w:lang w:val="es-ES"/>
        </w:rPr>
      </w:pPr>
    </w:p>
    <w:p w:rsidR="00E65B88" w:rsidRDefault="00E65B88" w:rsidP="00E65B88">
      <w:pPr>
        <w:jc w:val="center"/>
        <w:rPr>
          <w:lang w:val="es-ES"/>
        </w:rPr>
      </w:pPr>
    </w:p>
    <w:p w:rsidR="00E65B88" w:rsidRDefault="00E65B88" w:rsidP="00E65B88">
      <w:pPr>
        <w:jc w:val="center"/>
        <w:rPr>
          <w:lang w:val="es-ES"/>
        </w:rPr>
      </w:pPr>
    </w:p>
    <w:p w:rsidR="00E65B88" w:rsidRDefault="00E65B88" w:rsidP="00E65B88">
      <w:pPr>
        <w:jc w:val="center"/>
        <w:rPr>
          <w:lang w:val="es-ES"/>
        </w:rPr>
      </w:pPr>
    </w:p>
    <w:p w:rsidR="00E65B88" w:rsidRDefault="00E65B88" w:rsidP="00E65B88">
      <w:pPr>
        <w:jc w:val="center"/>
        <w:rPr>
          <w:lang w:val="es-ES"/>
        </w:rPr>
      </w:pPr>
    </w:p>
    <w:p w:rsidR="00E65B88" w:rsidRDefault="00E65B88" w:rsidP="00E65B88">
      <w:pPr>
        <w:jc w:val="center"/>
        <w:rPr>
          <w:lang w:val="pt-BR"/>
        </w:rPr>
      </w:pPr>
      <w:r w:rsidRPr="00D0325C">
        <w:rPr>
          <w:lang w:val="pt-BR"/>
        </w:rPr>
        <w:t xml:space="preserve">Eduardo Ferrer Mac-Gregor Poisot </w:t>
      </w:r>
    </w:p>
    <w:p w:rsidR="00E65B88" w:rsidRPr="00D0325C" w:rsidRDefault="00E65B88" w:rsidP="00E65B88">
      <w:pPr>
        <w:jc w:val="center"/>
        <w:rPr>
          <w:lang w:val="pt-BR"/>
        </w:rPr>
      </w:pPr>
      <w:r w:rsidRPr="00D0325C">
        <w:rPr>
          <w:lang w:val="pt-BR"/>
        </w:rPr>
        <w:t>Presidente</w:t>
      </w:r>
    </w:p>
    <w:p w:rsidR="00E65B88" w:rsidRPr="00D0325C" w:rsidRDefault="00E65B88" w:rsidP="00E65B88">
      <w:pPr>
        <w:jc w:val="both"/>
        <w:rPr>
          <w:lang w:val="pt-BR"/>
        </w:rPr>
      </w:pPr>
    </w:p>
    <w:p w:rsidR="00E65B88" w:rsidRPr="00CC275C" w:rsidRDefault="00E65B88" w:rsidP="00E65B88">
      <w:pPr>
        <w:jc w:val="both"/>
        <w:rPr>
          <w:lang w:val="pt-BR"/>
        </w:rPr>
      </w:pPr>
    </w:p>
    <w:p w:rsidR="00E65B88"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r w:rsidRPr="00CC275C">
        <w:rPr>
          <w:lang w:val="pt-BR"/>
        </w:rPr>
        <w:t>Humberto Antonio Sierra Porto</w:t>
      </w:r>
      <w:r w:rsidRPr="00CC275C">
        <w:rPr>
          <w:lang w:val="pt-BR"/>
        </w:rPr>
        <w:tab/>
      </w:r>
      <w:r w:rsidRPr="00CC275C">
        <w:rPr>
          <w:lang w:val="pt-BR"/>
        </w:rPr>
        <w:tab/>
      </w:r>
      <w:r w:rsidRPr="00CC275C">
        <w:rPr>
          <w:lang w:val="pt-BR"/>
        </w:rPr>
        <w:tab/>
      </w:r>
      <w:r w:rsidRPr="00CC275C">
        <w:rPr>
          <w:lang w:val="pt-BR"/>
        </w:rPr>
        <w:tab/>
      </w:r>
      <w:r w:rsidRPr="00CC275C">
        <w:rPr>
          <w:lang w:val="pt-BR"/>
        </w:rPr>
        <w:tab/>
        <w:t xml:space="preserve">    Elizabeth Odio Benito</w:t>
      </w:r>
    </w:p>
    <w:p w:rsidR="00E65B88" w:rsidRPr="00CC275C" w:rsidRDefault="00E65B88" w:rsidP="00E65B88">
      <w:pPr>
        <w:jc w:val="both"/>
        <w:rPr>
          <w:lang w:val="pt-BR"/>
        </w:rPr>
      </w:pPr>
    </w:p>
    <w:p w:rsidR="00E65B88"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rPr>
          <w:lang w:val="pt-BR"/>
        </w:rPr>
      </w:pPr>
      <w:r w:rsidRPr="00CC275C">
        <w:rPr>
          <w:lang w:val="pt-BR"/>
        </w:rPr>
        <w:t xml:space="preserve">Eugenio Raúl Zaffaroni </w:t>
      </w:r>
      <w:r w:rsidRPr="00CC275C">
        <w:rPr>
          <w:lang w:val="pt-BR"/>
        </w:rPr>
        <w:tab/>
      </w:r>
      <w:r w:rsidRPr="00CC275C">
        <w:rPr>
          <w:lang w:val="pt-BR"/>
        </w:rPr>
        <w:tab/>
      </w:r>
      <w:r w:rsidRPr="00CC275C">
        <w:rPr>
          <w:lang w:val="pt-BR"/>
        </w:rPr>
        <w:tab/>
      </w:r>
      <w:r w:rsidRPr="00CC275C">
        <w:rPr>
          <w:lang w:val="pt-BR"/>
        </w:rPr>
        <w:tab/>
      </w:r>
      <w:r w:rsidRPr="00CC275C">
        <w:rPr>
          <w:lang w:val="pt-BR"/>
        </w:rPr>
        <w:tab/>
        <w:t xml:space="preserve">        L. Patricio Pazmiño Freire</w:t>
      </w: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center"/>
        <w:rPr>
          <w:lang w:val="pt-BR"/>
        </w:rPr>
      </w:pPr>
      <w:r w:rsidRPr="00CC275C">
        <w:rPr>
          <w:lang w:val="pt-BR"/>
        </w:rPr>
        <w:t>Pablo Saavedra Alessandri</w:t>
      </w:r>
    </w:p>
    <w:p w:rsidR="00E65B88" w:rsidRPr="00CC275C" w:rsidRDefault="00E65B88" w:rsidP="00E65B88">
      <w:pPr>
        <w:jc w:val="center"/>
        <w:rPr>
          <w:lang w:val="pt-BR"/>
        </w:rPr>
      </w:pPr>
      <w:r w:rsidRPr="00CC275C">
        <w:rPr>
          <w:lang w:val="pt-BR"/>
        </w:rPr>
        <w:t>Secretario</w:t>
      </w:r>
    </w:p>
    <w:p w:rsidR="00E65B88" w:rsidRPr="00CC275C" w:rsidRDefault="00E65B88" w:rsidP="00E65B88">
      <w:pPr>
        <w:rPr>
          <w:lang w:val="pt-BR"/>
        </w:rPr>
      </w:pPr>
    </w:p>
    <w:p w:rsidR="00E65B88" w:rsidRPr="00CC275C" w:rsidRDefault="00E65B88" w:rsidP="00E65B88">
      <w:pPr>
        <w:pStyle w:val="FootnoteText"/>
        <w:rPr>
          <w:lang w:val="pt-BR"/>
        </w:rPr>
      </w:pPr>
    </w:p>
    <w:p w:rsidR="00E65B88" w:rsidRPr="00CC275C" w:rsidRDefault="00E65B88" w:rsidP="00E65B88">
      <w:pPr>
        <w:jc w:val="both"/>
        <w:rPr>
          <w:lang w:val="pt-BR"/>
        </w:rPr>
      </w:pPr>
      <w:r w:rsidRPr="00CC275C">
        <w:rPr>
          <w:lang w:val="pt-BR"/>
        </w:rPr>
        <w:t>Comuníquese y ejecútese,</w:t>
      </w: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p>
    <w:p w:rsidR="00E65B88" w:rsidRDefault="00E65B88" w:rsidP="00E65B88">
      <w:pPr>
        <w:ind w:left="4956"/>
        <w:jc w:val="center"/>
        <w:rPr>
          <w:lang w:val="pt-BR"/>
        </w:rPr>
      </w:pPr>
      <w:r w:rsidRPr="00D0325C">
        <w:rPr>
          <w:lang w:val="pt-BR"/>
        </w:rPr>
        <w:t xml:space="preserve">Eduardo Ferrer Mac-Gregor Poisot </w:t>
      </w:r>
    </w:p>
    <w:p w:rsidR="00E65B88" w:rsidRPr="00D0325C" w:rsidRDefault="00E65B88" w:rsidP="00E65B88">
      <w:pPr>
        <w:ind w:left="4956"/>
        <w:jc w:val="center"/>
        <w:rPr>
          <w:lang w:val="pt-BR"/>
        </w:rPr>
      </w:pPr>
      <w:r w:rsidRPr="00D0325C">
        <w:rPr>
          <w:lang w:val="pt-BR"/>
        </w:rPr>
        <w:t>Presidente</w:t>
      </w: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p>
    <w:p w:rsidR="00E65B88" w:rsidRPr="00CC275C" w:rsidRDefault="00E65B88" w:rsidP="00E65B88">
      <w:pPr>
        <w:jc w:val="both"/>
        <w:rPr>
          <w:lang w:val="pt-BR"/>
        </w:rPr>
      </w:pPr>
    </w:p>
    <w:p w:rsidR="00E65B88" w:rsidRPr="004B7A1D" w:rsidRDefault="00E65B88" w:rsidP="00E65B88">
      <w:pPr>
        <w:jc w:val="both"/>
        <w:rPr>
          <w:lang w:val="es-ES"/>
        </w:rPr>
      </w:pPr>
      <w:r w:rsidRPr="004B7A1D">
        <w:rPr>
          <w:lang w:val="es-ES"/>
        </w:rPr>
        <w:t>Pablo Saavedra Alessandri</w:t>
      </w:r>
    </w:p>
    <w:p w:rsidR="00E65B88" w:rsidRPr="004B7A1D" w:rsidRDefault="00E65B88" w:rsidP="00E65B88">
      <w:pPr>
        <w:rPr>
          <w:lang w:val="es-CR"/>
        </w:rPr>
      </w:pPr>
      <w:r w:rsidRPr="004B7A1D">
        <w:rPr>
          <w:lang w:val="es-ES"/>
        </w:rPr>
        <w:tab/>
      </w:r>
      <w:r w:rsidRPr="004B7A1D">
        <w:rPr>
          <w:lang w:val="es-CR"/>
        </w:rPr>
        <w:t>Secretario</w:t>
      </w:r>
    </w:p>
    <w:p w:rsidR="00E65B88" w:rsidRPr="00634C8E" w:rsidRDefault="00E65B88">
      <w:bookmarkStart w:id="13" w:name="_GoBack"/>
      <w:bookmarkEnd w:id="13"/>
    </w:p>
    <w:sectPr w:rsidR="00E65B88" w:rsidRPr="00634C8E" w:rsidSect="00FF5C02">
      <w:headerReference w:type="defaul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74" w:rsidRDefault="00810C74" w:rsidP="007D6E53">
      <w:r>
        <w:separator/>
      </w:r>
    </w:p>
  </w:endnote>
  <w:endnote w:type="continuationSeparator" w:id="0">
    <w:p w:rsidR="00810C74" w:rsidRDefault="00810C74" w:rsidP="007D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74" w:rsidRDefault="00810C74" w:rsidP="007D6E53">
      <w:r>
        <w:separator/>
      </w:r>
    </w:p>
  </w:footnote>
  <w:footnote w:type="continuationSeparator" w:id="0">
    <w:p w:rsidR="00810C74" w:rsidRDefault="00810C74" w:rsidP="007D6E53">
      <w:r>
        <w:continuationSeparator/>
      </w:r>
    </w:p>
  </w:footnote>
  <w:footnote w:id="1">
    <w:p w:rsidR="00EF1739" w:rsidRPr="00A728BD" w:rsidRDefault="00EF1739" w:rsidP="00A728BD">
      <w:pPr>
        <w:pStyle w:val="FootnoteText"/>
        <w:tabs>
          <w:tab w:val="left" w:pos="450"/>
          <w:tab w:val="left" w:pos="720"/>
        </w:tabs>
        <w:rPr>
          <w:rFonts w:eastAsia="Times New Roman"/>
          <w:szCs w:val="16"/>
          <w:lang w:eastAsia="en-US"/>
        </w:rPr>
      </w:pPr>
      <w:r w:rsidRPr="00A728BD">
        <w:rPr>
          <w:rFonts w:cs="Microsoft Sans Serif"/>
          <w:spacing w:val="-4"/>
          <w:szCs w:val="16"/>
          <w:vertAlign w:val="superscript"/>
          <w:lang w:val="es-PR"/>
        </w:rPr>
        <w:t xml:space="preserve">* </w:t>
      </w:r>
      <w:r w:rsidRPr="00A728BD">
        <w:rPr>
          <w:rFonts w:cs="Microsoft Sans Serif"/>
          <w:spacing w:val="-4"/>
          <w:szCs w:val="16"/>
          <w:vertAlign w:val="superscript"/>
          <w:lang w:val="es-PR"/>
        </w:rPr>
        <w:tab/>
      </w:r>
      <w:r w:rsidRPr="00A728BD">
        <w:rPr>
          <w:szCs w:val="16"/>
        </w:rPr>
        <w:t>El Juez Edu</w:t>
      </w:r>
      <w:r w:rsidR="00A728BD" w:rsidRPr="00A728BD">
        <w:rPr>
          <w:szCs w:val="16"/>
        </w:rPr>
        <w:t>ardo Vio Grossi,</w:t>
      </w:r>
      <w:r w:rsidRPr="00A728BD">
        <w:rPr>
          <w:szCs w:val="16"/>
        </w:rPr>
        <w:t xml:space="preserve"> no asistió al 126º Período Ordinario de Sesiones de la Corte Interamericana por motivos de fuerza mayor, lo cual fue aceptado por el Pleno. Por esa razón no participó en la deliberación y firma de esta Resolución.</w:t>
      </w:r>
    </w:p>
  </w:footnote>
  <w:footnote w:id="2">
    <w:p w:rsidR="00C66596" w:rsidRPr="00A728BD" w:rsidRDefault="00C66596" w:rsidP="00A728BD">
      <w:pPr>
        <w:jc w:val="both"/>
        <w:rPr>
          <w:rFonts w:eastAsia="Times New Roman" w:cs="Arial"/>
          <w:sz w:val="16"/>
          <w:szCs w:val="16"/>
          <w:lang w:val="es-GT"/>
        </w:rPr>
      </w:pPr>
      <w:r w:rsidRPr="00A728BD">
        <w:rPr>
          <w:rStyle w:val="FootnoteReference"/>
          <w:sz w:val="16"/>
          <w:szCs w:val="16"/>
        </w:rPr>
        <w:footnoteRef/>
      </w:r>
      <w:r w:rsidRPr="00A728BD">
        <w:rPr>
          <w:sz w:val="16"/>
          <w:szCs w:val="16"/>
        </w:rPr>
        <w:t xml:space="preserve"> </w:t>
      </w:r>
      <w:r w:rsidRPr="00A728BD">
        <w:rPr>
          <w:sz w:val="16"/>
          <w:szCs w:val="16"/>
          <w:lang w:val="es-GT"/>
        </w:rPr>
        <w:tab/>
      </w:r>
      <w:r w:rsidRPr="00A728BD">
        <w:rPr>
          <w:rFonts w:eastAsia="Times New Roman" w:cs="Arial"/>
          <w:sz w:val="16"/>
          <w:szCs w:val="16"/>
          <w:lang w:val="es-GT"/>
        </w:rPr>
        <w:t>Los representantes de las víctimas en el presente caso son los señores Mario Alcides Polanco Pérez, Maynor Estuardo Alvarado Galeano y Sergio Alejandro Axpuac, de la organización Grupo de Apoyo Mutuo.</w:t>
      </w:r>
    </w:p>
  </w:footnote>
  <w:footnote w:id="3">
    <w:p w:rsidR="00C66596" w:rsidRPr="00A728BD" w:rsidRDefault="00C66596" w:rsidP="00A728BD">
      <w:pPr>
        <w:pStyle w:val="FootnoteText"/>
        <w:rPr>
          <w:szCs w:val="16"/>
        </w:rPr>
      </w:pPr>
      <w:r w:rsidRPr="00A728BD">
        <w:rPr>
          <w:rStyle w:val="FootnoteReference"/>
          <w:szCs w:val="16"/>
        </w:rPr>
        <w:footnoteRef/>
      </w:r>
      <w:r w:rsidRPr="00A728BD">
        <w:rPr>
          <w:szCs w:val="16"/>
        </w:rPr>
        <w:t xml:space="preserve"> </w:t>
      </w:r>
      <w:r w:rsidRPr="00A728BD">
        <w:rPr>
          <w:szCs w:val="16"/>
        </w:rPr>
        <w:tab/>
        <w:t>Artículo 68. Solicitud de Interpretación. 3. Para el examen de la solicitud de interpretación, la Corte se reunirá, si es posible, con la misma composición que tenía al dictar la sentencia respectiva. Sin embargo, en caso de fallecimiento, renuncia, impedimento, excusa o inhabilitación, se sustituirá al Juez de que se trate según el artículo 17 de este Reglamento.</w:t>
      </w:r>
    </w:p>
  </w:footnote>
  <w:footnote w:id="4">
    <w:p w:rsidR="00C66596" w:rsidRPr="00A728BD" w:rsidRDefault="00C66596" w:rsidP="00A728BD">
      <w:pPr>
        <w:jc w:val="both"/>
        <w:rPr>
          <w:sz w:val="16"/>
          <w:szCs w:val="16"/>
          <w:lang w:val="es-CR"/>
        </w:rPr>
      </w:pPr>
      <w:r w:rsidRPr="00A728BD">
        <w:rPr>
          <w:rFonts w:eastAsia="Times New Roman" w:cs="Arial"/>
          <w:sz w:val="16"/>
          <w:szCs w:val="16"/>
          <w:vertAlign w:val="superscript"/>
          <w:lang w:val="es-GT"/>
        </w:rPr>
        <w:footnoteRef/>
      </w:r>
      <w:r w:rsidRPr="00A728BD">
        <w:rPr>
          <w:rFonts w:eastAsia="Times New Roman" w:cs="Arial"/>
          <w:sz w:val="16"/>
          <w:szCs w:val="16"/>
          <w:vertAlign w:val="superscript"/>
          <w:lang w:val="es-GT"/>
        </w:rPr>
        <w:t xml:space="preserve"> </w:t>
      </w:r>
      <w:r w:rsidRPr="00A728BD">
        <w:rPr>
          <w:rFonts w:eastAsia="Times New Roman" w:cs="Arial"/>
          <w:sz w:val="16"/>
          <w:szCs w:val="16"/>
          <w:lang w:val="es-GT"/>
        </w:rPr>
        <w:tab/>
        <w:t>Dicho artículo dispone, en lo pertinente: “1. La solicitud de interpretación</w:t>
      </w:r>
      <w:r w:rsidRPr="00A728BD">
        <w:rPr>
          <w:sz w:val="16"/>
          <w:szCs w:val="16"/>
          <w:lang w:val="es-CR"/>
        </w:rPr>
        <w:t xml:space="preserve">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 […] 4. La solicitud de interpretación no suspenderá la ejecución de la sentencia. 5. La Corte determinará el procedimiento que se seguirá y resolverá mediante una sentencia”.</w:t>
      </w:r>
    </w:p>
  </w:footnote>
  <w:footnote w:id="5">
    <w:p w:rsidR="00C66596" w:rsidRPr="00A728BD" w:rsidRDefault="00C66596" w:rsidP="00A728BD">
      <w:pPr>
        <w:pStyle w:val="FootnoteText"/>
        <w:rPr>
          <w:szCs w:val="16"/>
        </w:rPr>
      </w:pPr>
      <w:r w:rsidRPr="00A728BD">
        <w:rPr>
          <w:rStyle w:val="FootnoteReference"/>
          <w:szCs w:val="16"/>
        </w:rPr>
        <w:footnoteRef/>
      </w:r>
      <w:r w:rsidRPr="00A728BD">
        <w:rPr>
          <w:szCs w:val="16"/>
        </w:rPr>
        <w:t xml:space="preserve"> </w:t>
      </w:r>
      <w:r w:rsidRPr="00A728BD">
        <w:rPr>
          <w:szCs w:val="16"/>
        </w:rPr>
        <w:tab/>
        <w:t>Para la contabilización de este plazo se tomó en cuenta el Acuerdo de Corte 1/14 “Precisiones sobre el Cómputo de Plazos”, por lo que dicho plazo se entendió prorrogado hasta el 8 de enero de 2018.</w:t>
      </w:r>
    </w:p>
  </w:footnote>
  <w:footnote w:id="6">
    <w:p w:rsidR="00C66596" w:rsidRPr="00A728BD" w:rsidRDefault="00C66596" w:rsidP="00A728BD">
      <w:pPr>
        <w:pStyle w:val="FootnoteText"/>
        <w:rPr>
          <w:szCs w:val="16"/>
          <w:lang w:val="es-CO"/>
        </w:rPr>
      </w:pPr>
      <w:r w:rsidRPr="00A728BD">
        <w:rPr>
          <w:rStyle w:val="FootnoteReference"/>
          <w:szCs w:val="16"/>
          <w:lang w:val="es-CO"/>
        </w:rPr>
        <w:footnoteRef/>
      </w:r>
      <w:r w:rsidRPr="00A728BD">
        <w:rPr>
          <w:szCs w:val="16"/>
          <w:lang w:val="es-CO"/>
        </w:rPr>
        <w:t xml:space="preserve"> </w:t>
      </w:r>
      <w:r w:rsidRPr="00A728BD">
        <w:rPr>
          <w:szCs w:val="16"/>
          <w:lang w:val="es-CO"/>
        </w:rPr>
        <w:tab/>
      </w:r>
      <w:r w:rsidRPr="00A728BD">
        <w:rPr>
          <w:i/>
          <w:szCs w:val="16"/>
          <w:lang w:val="es-CO"/>
        </w:rPr>
        <w:t xml:space="preserve">Cfr. </w:t>
      </w:r>
      <w:r w:rsidRPr="00A728BD">
        <w:rPr>
          <w:i/>
          <w:szCs w:val="16"/>
        </w:rPr>
        <w:t xml:space="preserve">Caso Loayza Tamayo Vs. Perú. Interpretación de la Sentencia de Fondo. </w:t>
      </w:r>
      <w:r w:rsidRPr="00A728BD">
        <w:rPr>
          <w:szCs w:val="16"/>
        </w:rPr>
        <w:t>Resolución de la Corte de 8 de marzo de 1998. Serie C No. 47</w:t>
      </w:r>
      <w:r w:rsidRPr="00A728BD">
        <w:rPr>
          <w:szCs w:val="16"/>
          <w:lang w:val="es-CO"/>
        </w:rPr>
        <w:t xml:space="preserve">, párr. 5, y </w:t>
      </w:r>
      <w:r w:rsidR="00EF1739" w:rsidRPr="00A728BD">
        <w:rPr>
          <w:rStyle w:val="Strong"/>
          <w:b w:val="0"/>
          <w:i/>
          <w:szCs w:val="16"/>
        </w:rPr>
        <w:t xml:space="preserve">Caso Zegarra Marín Vs. Perú. </w:t>
      </w:r>
      <w:r w:rsidR="00EF1739" w:rsidRPr="00A728BD">
        <w:rPr>
          <w:rStyle w:val="Strong"/>
          <w:b w:val="0"/>
          <w:szCs w:val="16"/>
        </w:rPr>
        <w:t>Interpretación de la Sentencia de Excepciones Preliminares, Fondo, Reparaciones y Costas. Sentencia de 8 de febrero de 2018</w:t>
      </w:r>
      <w:r w:rsidR="00EF1739" w:rsidRPr="00A728BD">
        <w:rPr>
          <w:rStyle w:val="Strong"/>
          <w:b w:val="0"/>
          <w:i/>
          <w:szCs w:val="16"/>
        </w:rPr>
        <w:t xml:space="preserve">, </w:t>
      </w:r>
      <w:r w:rsidRPr="00A728BD">
        <w:rPr>
          <w:szCs w:val="16"/>
          <w:lang w:val="es-CO"/>
        </w:rPr>
        <w:t>párr. 1</w:t>
      </w:r>
      <w:r w:rsidR="00EF1739" w:rsidRPr="00A728BD">
        <w:rPr>
          <w:szCs w:val="16"/>
          <w:lang w:val="es-CO"/>
        </w:rPr>
        <w:t>0</w:t>
      </w:r>
      <w:r w:rsidRPr="00A728BD">
        <w:rPr>
          <w:szCs w:val="16"/>
          <w:lang w:val="es-CO"/>
        </w:rPr>
        <w:t>.</w:t>
      </w:r>
    </w:p>
  </w:footnote>
  <w:footnote w:id="7">
    <w:p w:rsidR="00C66596" w:rsidRPr="00A728BD" w:rsidRDefault="00C66596" w:rsidP="00A728BD">
      <w:pPr>
        <w:pStyle w:val="FootnoteText"/>
        <w:rPr>
          <w:szCs w:val="16"/>
          <w:lang w:val="es-CO"/>
        </w:rPr>
      </w:pPr>
      <w:r w:rsidRPr="00A728BD">
        <w:rPr>
          <w:rStyle w:val="FootnoteReference"/>
          <w:szCs w:val="16"/>
          <w:lang w:val="es-CO"/>
        </w:rPr>
        <w:footnoteRef/>
      </w:r>
      <w:r w:rsidRPr="00A728BD">
        <w:rPr>
          <w:szCs w:val="16"/>
          <w:lang w:val="es-CO"/>
        </w:rPr>
        <w:t xml:space="preserve"> </w:t>
      </w:r>
      <w:r w:rsidRPr="00A728BD">
        <w:rPr>
          <w:szCs w:val="16"/>
          <w:lang w:val="es-CO"/>
        </w:rPr>
        <w:tab/>
      </w:r>
      <w:r w:rsidRPr="00A728BD">
        <w:rPr>
          <w:i/>
          <w:szCs w:val="16"/>
          <w:lang w:val="es-CO"/>
        </w:rPr>
        <w:t xml:space="preserve">Cfr. Caso Loayza Tamayo Vs. Perú. </w:t>
      </w:r>
      <w:r w:rsidRPr="00A728BD">
        <w:rPr>
          <w:i/>
          <w:szCs w:val="16"/>
        </w:rPr>
        <w:t xml:space="preserve">Interpretación de la Sentencia de Fondo, </w:t>
      </w:r>
      <w:r w:rsidRPr="00A728BD">
        <w:rPr>
          <w:szCs w:val="16"/>
          <w:lang w:val="es-CO"/>
        </w:rPr>
        <w:t xml:space="preserve">párr. 16, y </w:t>
      </w:r>
      <w:r w:rsidR="00EF1739" w:rsidRPr="00A728BD">
        <w:rPr>
          <w:rStyle w:val="Strong"/>
          <w:b w:val="0"/>
          <w:i/>
          <w:szCs w:val="16"/>
        </w:rPr>
        <w:t>Caso Zegarra Marín Vs. Perú. Interpretación de la Sentencia,</w:t>
      </w:r>
      <w:r w:rsidRPr="00A728BD">
        <w:rPr>
          <w:rStyle w:val="Strong"/>
          <w:b w:val="0"/>
          <w:i/>
          <w:szCs w:val="16"/>
        </w:rPr>
        <w:t xml:space="preserve"> </w:t>
      </w:r>
      <w:r w:rsidRPr="00A728BD">
        <w:rPr>
          <w:szCs w:val="16"/>
          <w:lang w:val="es-CO"/>
        </w:rPr>
        <w:t>párr. 1</w:t>
      </w:r>
      <w:r w:rsidR="00EF1739" w:rsidRPr="00A728BD">
        <w:rPr>
          <w:szCs w:val="16"/>
          <w:lang w:val="es-CO"/>
        </w:rPr>
        <w:t>0</w:t>
      </w:r>
      <w:r w:rsidRPr="00A728BD">
        <w:rPr>
          <w:szCs w:val="16"/>
          <w:lang w:val="es-CO"/>
        </w:rPr>
        <w:t>.</w:t>
      </w:r>
    </w:p>
  </w:footnote>
  <w:footnote w:id="8">
    <w:p w:rsidR="00C66596" w:rsidRPr="00A728BD" w:rsidRDefault="00C66596" w:rsidP="00A728BD">
      <w:pPr>
        <w:pStyle w:val="FootnoteText"/>
        <w:rPr>
          <w:szCs w:val="16"/>
          <w:lang w:val="es-CR"/>
        </w:rPr>
      </w:pPr>
      <w:r w:rsidRPr="00A728BD">
        <w:rPr>
          <w:rStyle w:val="FootnoteReference"/>
          <w:szCs w:val="16"/>
        </w:rPr>
        <w:footnoteRef/>
      </w:r>
      <w:r w:rsidRPr="00A728BD">
        <w:rPr>
          <w:szCs w:val="16"/>
        </w:rPr>
        <w:t xml:space="preserve"> </w:t>
      </w:r>
      <w:r w:rsidRPr="00A728BD">
        <w:rPr>
          <w:szCs w:val="16"/>
          <w:lang w:val="es-CR"/>
        </w:rPr>
        <w:tab/>
      </w:r>
      <w:r w:rsidRPr="00A728BD">
        <w:rPr>
          <w:i/>
          <w:szCs w:val="16"/>
        </w:rPr>
        <w:t>Cfr. Caso Loayza Tamayo Vs. Perú. Interpretación de la Sentencia</w:t>
      </w:r>
      <w:r w:rsidRPr="00A728BD">
        <w:rPr>
          <w:szCs w:val="16"/>
        </w:rPr>
        <w:t xml:space="preserve">, párr. 15, y </w:t>
      </w:r>
      <w:r w:rsidR="00EF1739" w:rsidRPr="00A728BD">
        <w:rPr>
          <w:rStyle w:val="Strong"/>
          <w:b w:val="0"/>
          <w:i/>
          <w:szCs w:val="16"/>
        </w:rPr>
        <w:t xml:space="preserve">Caso Zegarra Marín Vs. Perú. Interpretación de la Sentencia, </w:t>
      </w:r>
      <w:r w:rsidR="00EF1739" w:rsidRPr="00A728BD">
        <w:rPr>
          <w:szCs w:val="16"/>
          <w:lang w:val="es-CO"/>
        </w:rPr>
        <w:t>párr. 11.</w:t>
      </w:r>
    </w:p>
  </w:footnote>
  <w:footnote w:id="9">
    <w:p w:rsidR="00C66596" w:rsidRPr="00A728BD" w:rsidRDefault="00C66596" w:rsidP="00A728BD">
      <w:pPr>
        <w:pStyle w:val="FootnoteText"/>
        <w:rPr>
          <w:szCs w:val="16"/>
          <w:lang w:val="es-CR"/>
        </w:rPr>
      </w:pPr>
      <w:r w:rsidRPr="00A728BD">
        <w:rPr>
          <w:rStyle w:val="FootnoteReference"/>
          <w:szCs w:val="16"/>
        </w:rPr>
        <w:footnoteRef/>
      </w:r>
      <w:r w:rsidRPr="00A728BD">
        <w:rPr>
          <w:szCs w:val="16"/>
        </w:rPr>
        <w:t xml:space="preserve"> </w:t>
      </w:r>
      <w:r w:rsidRPr="00A728BD">
        <w:rPr>
          <w:szCs w:val="16"/>
          <w:lang w:val="es-CR"/>
        </w:rPr>
        <w:tab/>
      </w:r>
      <w:r w:rsidRPr="00A728BD">
        <w:rPr>
          <w:i/>
          <w:szCs w:val="16"/>
        </w:rPr>
        <w:t>Cfr. Caso Salvador Chiriboga Vs. Ecuador. Interpretación de la Sentencia de Reparaciones y Costas.</w:t>
      </w:r>
      <w:r w:rsidRPr="00A728BD">
        <w:rPr>
          <w:szCs w:val="16"/>
        </w:rPr>
        <w:t xml:space="preserve"> Sentencia de 29 de agosto de 2011. Serie C No. 230, párr. 30, y </w:t>
      </w:r>
      <w:r w:rsidR="00EF1739" w:rsidRPr="00A728BD">
        <w:rPr>
          <w:rStyle w:val="Strong"/>
          <w:b w:val="0"/>
          <w:i/>
          <w:szCs w:val="16"/>
        </w:rPr>
        <w:t xml:space="preserve">Caso Zegarra Marín Vs. Perú. Interpretación de la Sentencia, </w:t>
      </w:r>
      <w:r w:rsidR="00EF1739" w:rsidRPr="00A728BD">
        <w:rPr>
          <w:szCs w:val="16"/>
          <w:lang w:val="es-CO"/>
        </w:rPr>
        <w:t>párr. 11.</w:t>
      </w:r>
    </w:p>
  </w:footnote>
  <w:footnote w:id="10">
    <w:p w:rsidR="00C66596" w:rsidRPr="00A728BD" w:rsidRDefault="00C66596" w:rsidP="00A728BD">
      <w:pPr>
        <w:pStyle w:val="FootnoteText"/>
        <w:rPr>
          <w:szCs w:val="16"/>
          <w:lang w:val="es-CR"/>
        </w:rPr>
      </w:pPr>
      <w:r w:rsidRPr="00A728BD">
        <w:rPr>
          <w:rStyle w:val="FootnoteReference"/>
          <w:szCs w:val="16"/>
        </w:rPr>
        <w:footnoteRef/>
      </w:r>
      <w:r w:rsidRPr="00A728BD">
        <w:rPr>
          <w:szCs w:val="16"/>
        </w:rPr>
        <w:t xml:space="preserve"> </w:t>
      </w:r>
      <w:r w:rsidRPr="00A728BD">
        <w:rPr>
          <w:szCs w:val="16"/>
          <w:lang w:val="es-CR"/>
        </w:rPr>
        <w:tab/>
      </w:r>
      <w:r w:rsidRPr="00A728BD">
        <w:rPr>
          <w:i/>
          <w:szCs w:val="16"/>
        </w:rPr>
        <w:t>Cfr. Caso Escher y otros Vs. Brasil. Interpretación de la Sentencia de Excepciones Preliminares, Fondo, Reparaciones y Costas.</w:t>
      </w:r>
      <w:r w:rsidRPr="00A728BD">
        <w:rPr>
          <w:szCs w:val="16"/>
        </w:rPr>
        <w:t xml:space="preserve"> Sentencia de 20 de noviembre de 2009. Serie C No. 208, párr. 11, y </w:t>
      </w:r>
      <w:r w:rsidR="00EF1739" w:rsidRPr="00A728BD">
        <w:rPr>
          <w:rStyle w:val="Strong"/>
          <w:b w:val="0"/>
          <w:i/>
          <w:szCs w:val="16"/>
        </w:rPr>
        <w:t xml:space="preserve">Caso Zegarra Marín Vs. Perú. Interpretación de la Sentencia, </w:t>
      </w:r>
      <w:r w:rsidR="00EF1739" w:rsidRPr="00A728BD">
        <w:rPr>
          <w:szCs w:val="16"/>
          <w:lang w:val="es-CO"/>
        </w:rPr>
        <w:t>párr. 11.</w:t>
      </w:r>
    </w:p>
  </w:footnote>
  <w:footnote w:id="11">
    <w:p w:rsidR="00A728BD" w:rsidRPr="00A728BD" w:rsidRDefault="00A728BD" w:rsidP="00A728BD">
      <w:pPr>
        <w:pStyle w:val="FootnoteText"/>
        <w:rPr>
          <w:szCs w:val="16"/>
        </w:rPr>
      </w:pPr>
      <w:r w:rsidRPr="00A728BD">
        <w:rPr>
          <w:rStyle w:val="FootnoteReference"/>
          <w:szCs w:val="16"/>
        </w:rPr>
        <w:footnoteRef/>
      </w:r>
      <w:r w:rsidRPr="00A728BD">
        <w:rPr>
          <w:szCs w:val="16"/>
        </w:rPr>
        <w:t xml:space="preserve"> </w:t>
      </w:r>
      <w:r w:rsidRPr="00A728BD">
        <w:rPr>
          <w:szCs w:val="16"/>
        </w:rPr>
        <w:tab/>
        <w:t xml:space="preserve">Dicha información fue solicitada al Procurador de los Derechos Humanos, sin embargo, éste indicó que no cuenta con las fechas de creación de los archivos relacionados con la señora Gutiérrez. </w:t>
      </w:r>
      <w:r w:rsidRPr="00A728BD">
        <w:rPr>
          <w:i/>
          <w:szCs w:val="16"/>
        </w:rPr>
        <w:t>Cfr.</w:t>
      </w:r>
      <w:r w:rsidRPr="00A728BD">
        <w:rPr>
          <w:szCs w:val="16"/>
        </w:rPr>
        <w:t xml:space="preserve"> Escrito del Procurador de los Derechos Humanos de Guatemala y sus anexos de 14 de junio de 2017 (expediente de fondo folios 1105 a 1122).</w:t>
      </w:r>
    </w:p>
    <w:p w:rsidR="00A728BD" w:rsidRPr="00A728BD" w:rsidRDefault="00A728BD" w:rsidP="00A728BD">
      <w:pPr>
        <w:pStyle w:val="FootnoteText"/>
        <w:rPr>
          <w:szCs w:val="16"/>
        </w:rPr>
      </w:pPr>
    </w:p>
  </w:footnote>
  <w:footnote w:id="12">
    <w:p w:rsidR="00316ADA" w:rsidRPr="00A728BD" w:rsidRDefault="00316ADA" w:rsidP="00A728BD">
      <w:pPr>
        <w:tabs>
          <w:tab w:val="left" w:pos="567"/>
        </w:tabs>
        <w:ind w:left="12"/>
        <w:jc w:val="both"/>
        <w:rPr>
          <w:rFonts w:eastAsia="Batang"/>
          <w:sz w:val="16"/>
          <w:szCs w:val="16"/>
          <w:lang w:eastAsia="es-MX"/>
        </w:rPr>
      </w:pPr>
      <w:r w:rsidRPr="00A728BD">
        <w:rPr>
          <w:rStyle w:val="FootnoteReference"/>
          <w:sz w:val="16"/>
          <w:szCs w:val="16"/>
        </w:rPr>
        <w:footnoteRef/>
      </w:r>
      <w:r w:rsidRPr="00A728BD">
        <w:rPr>
          <w:sz w:val="16"/>
          <w:szCs w:val="16"/>
        </w:rPr>
        <w:t xml:space="preserve"> </w:t>
      </w:r>
      <w:r w:rsidRPr="00A728BD">
        <w:rPr>
          <w:sz w:val="16"/>
          <w:szCs w:val="16"/>
        </w:rPr>
        <w:tab/>
        <w:t xml:space="preserve">En el párrafo 127 de la Sentencia </w:t>
      </w:r>
      <w:r w:rsidR="00BD20E9" w:rsidRPr="00A728BD">
        <w:rPr>
          <w:sz w:val="16"/>
          <w:szCs w:val="16"/>
        </w:rPr>
        <w:t xml:space="preserve">se </w:t>
      </w:r>
      <w:r w:rsidRPr="00A728BD">
        <w:rPr>
          <w:sz w:val="16"/>
          <w:szCs w:val="16"/>
        </w:rPr>
        <w:t xml:space="preserve">establece: “127. </w:t>
      </w:r>
      <w:r w:rsidRPr="00A728BD">
        <w:rPr>
          <w:rFonts w:eastAsia="Batang"/>
          <w:sz w:val="16"/>
          <w:szCs w:val="16"/>
          <w:lang w:eastAsia="es-MX"/>
        </w:rPr>
        <w:t xml:space="preserve">Por otro lado, en cuanto al </w:t>
      </w:r>
      <w:r w:rsidRPr="00A728BD">
        <w:rPr>
          <w:rFonts w:eastAsia="Batang"/>
          <w:sz w:val="16"/>
          <w:szCs w:val="16"/>
          <w:lang w:val="es-GT" w:eastAsia="es-MX"/>
        </w:rPr>
        <w:t>‘</w:t>
      </w:r>
      <w:r w:rsidRPr="00A728BD">
        <w:rPr>
          <w:rFonts w:eastAsia="Batang"/>
          <w:sz w:val="16"/>
          <w:szCs w:val="16"/>
          <w:lang w:eastAsia="es-MX"/>
        </w:rPr>
        <w:t xml:space="preserve">diario militar’ referido por los representantes, cabe señalar que mediante nota de 12 de diciembre de 2006, el Tribunal solicitó al Procurador de los Derechos Humanos </w:t>
      </w:r>
      <w:r w:rsidRPr="00A728BD">
        <w:rPr>
          <w:rFonts w:eastAsia="Batang" w:cs="Calibri"/>
          <w:sz w:val="16"/>
          <w:szCs w:val="16"/>
          <w:lang w:eastAsia="es-MX"/>
        </w:rPr>
        <w:t>remitir</w:t>
      </w:r>
      <w:r w:rsidRPr="00A728BD">
        <w:rPr>
          <w:rFonts w:eastAsia="Batang"/>
          <w:sz w:val="16"/>
          <w:szCs w:val="16"/>
          <w:lang w:eastAsia="es-MX"/>
        </w:rPr>
        <w:t xml:space="preserve"> ‘las partes del archivo del Ejército de Guatemala presuntamente hecho público en mayo de 2000’ que se referían al caso de la señora Mayra Gutiérrez o sus familiares. Así, el 23 de enero de 2017 la Procuraduría presentó un escrito mediante el cual sostuvo que la información requerida por la Corte le fue entregada en el año 2000 por la Secretaría de Análisis Estratégico de la Presidencia de la República (SAE) y que aquélla consiste en las siguientes tres ‘tablas de datos’ que contienen diversos archivos: a) </w:t>
      </w:r>
      <w:r w:rsidRPr="00A728BD">
        <w:rPr>
          <w:rFonts w:eastAsia="Calibri" w:cs="Arial"/>
          <w:sz w:val="16"/>
          <w:szCs w:val="16"/>
          <w:lang w:eastAsia="es-MX"/>
        </w:rPr>
        <w:t xml:space="preserve">‘Personas’, la cual ‘incluye nombres de personas y organizaciones con su respectivo código’ numérico; </w:t>
      </w:r>
      <w:r w:rsidRPr="00A728BD">
        <w:rPr>
          <w:rFonts w:eastAsia="Batang"/>
          <w:sz w:val="16"/>
          <w:szCs w:val="16"/>
          <w:lang w:eastAsia="es-MX"/>
        </w:rPr>
        <w:t xml:space="preserve">b) </w:t>
      </w:r>
      <w:r w:rsidRPr="00A728BD">
        <w:rPr>
          <w:rFonts w:eastAsia="Calibri" w:cs="Arial"/>
          <w:sz w:val="16"/>
          <w:szCs w:val="16"/>
          <w:lang w:eastAsia="es-MX"/>
        </w:rPr>
        <w:t xml:space="preserve">‘Adicionales’, la cual identifica individuos y apariciones en medios de comunicación escrita, ‘pero que no se ha descifrado completamente’. En esta tabla se encontraría información clasificada ‘con sistema de codificación que se desconoce’, y </w:t>
      </w:r>
      <w:r w:rsidRPr="00A728BD">
        <w:rPr>
          <w:rFonts w:eastAsia="Batang"/>
          <w:sz w:val="16"/>
          <w:szCs w:val="16"/>
          <w:lang w:eastAsia="es-MX"/>
        </w:rPr>
        <w:t xml:space="preserve">c) </w:t>
      </w:r>
      <w:r w:rsidRPr="00A728BD">
        <w:rPr>
          <w:rFonts w:eastAsia="Calibri" w:cs="Arial"/>
          <w:sz w:val="16"/>
          <w:szCs w:val="16"/>
          <w:lang w:eastAsia="es-MX"/>
        </w:rPr>
        <w:t xml:space="preserve">‘Catálogo’, en la cual ‘se encuentran identificadas seis tablas con código 1 al 6’: 1) ‘Tabla de antecedentes penales’; 2) ‘Tabla de filiaciones políticas’; 3) ‘Tabla de códigos de seguridad’; 4) ‘Tabla de países’; 5) ‘Tabla de profesiones [y] oficios’; y 6) ‘Tabla de departamentos [y] municipios’”. (Los pies de página han sido omitidos). </w:t>
      </w:r>
    </w:p>
  </w:footnote>
  <w:footnote w:id="13">
    <w:p w:rsidR="00A728BD" w:rsidRPr="00A728BD" w:rsidRDefault="00A728BD" w:rsidP="00A728BD">
      <w:pPr>
        <w:pStyle w:val="FootnoteText"/>
        <w:rPr>
          <w:szCs w:val="16"/>
          <w:lang w:val="es-PR"/>
        </w:rPr>
      </w:pPr>
      <w:r w:rsidRPr="00A728BD">
        <w:rPr>
          <w:rStyle w:val="FootnoteReference"/>
          <w:szCs w:val="16"/>
        </w:rPr>
        <w:footnoteRef/>
      </w:r>
      <w:r w:rsidRPr="00A728BD">
        <w:rPr>
          <w:szCs w:val="16"/>
        </w:rPr>
        <w:t xml:space="preserve"> </w:t>
      </w:r>
      <w:r w:rsidRPr="00A728BD">
        <w:rPr>
          <w:szCs w:val="16"/>
        </w:rPr>
        <w:tab/>
        <w:t>La supervisión de la implementación de esta medida de reparación se realiza en el marco de los procedimientos de supervisión de los mencionados casos</w:t>
      </w:r>
      <w:r w:rsidRPr="00A728BD">
        <w:rPr>
          <w:i/>
          <w:szCs w:val="16"/>
        </w:rPr>
        <w:t xml:space="preserve"> Veliz Franco y otros </w:t>
      </w:r>
      <w:r w:rsidRPr="00A728BD">
        <w:rPr>
          <w:szCs w:val="16"/>
        </w:rPr>
        <w:t xml:space="preserve">y </w:t>
      </w:r>
      <w:r w:rsidRPr="00A728BD">
        <w:rPr>
          <w:i/>
          <w:szCs w:val="16"/>
        </w:rPr>
        <w:t>Velásquez Paiz y otros.</w:t>
      </w:r>
    </w:p>
    <w:p w:rsidR="00A728BD" w:rsidRPr="00A728BD" w:rsidRDefault="00A728BD" w:rsidP="00A728BD">
      <w:pPr>
        <w:pStyle w:val="FootnoteText"/>
        <w:rPr>
          <w:szCs w:val="16"/>
          <w:lang w:val="es-P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05140"/>
      <w:docPartObj>
        <w:docPartGallery w:val="Page Numbers (Top of Page)"/>
        <w:docPartUnique/>
      </w:docPartObj>
    </w:sdtPr>
    <w:sdtEndPr/>
    <w:sdtContent>
      <w:p w:rsidR="00FF5C02" w:rsidRDefault="00FF5C02">
        <w:pPr>
          <w:pStyle w:val="Header"/>
          <w:jc w:val="center"/>
        </w:pPr>
        <w:r>
          <w:fldChar w:fldCharType="begin"/>
        </w:r>
        <w:r>
          <w:instrText>PAGE   \* MERGEFORMAT</w:instrText>
        </w:r>
        <w:r>
          <w:fldChar w:fldCharType="separate"/>
        </w:r>
        <w:r w:rsidR="00E65B88" w:rsidRPr="00E65B88">
          <w:rPr>
            <w:noProof/>
            <w:lang w:val="es-ES"/>
          </w:rPr>
          <w:t>11</w:t>
        </w:r>
        <w:r>
          <w:fldChar w:fldCharType="end"/>
        </w:r>
      </w:p>
    </w:sdtContent>
  </w:sdt>
  <w:p w:rsidR="00FF5C02" w:rsidRDefault="00FF5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5C5"/>
    <w:multiLevelType w:val="hybridMultilevel"/>
    <w:tmpl w:val="90186EB6"/>
    <w:lvl w:ilvl="0" w:tplc="A48644AA">
      <w:start w:val="1"/>
      <w:numFmt w:val="decimal"/>
      <w:lvlText w:val="%1."/>
      <w:lvlJc w:val="left"/>
      <w:pPr>
        <w:ind w:left="450" w:hanging="360"/>
      </w:pPr>
      <w:rPr>
        <w:rFonts w:eastAsia="Time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1065B5"/>
    <w:multiLevelType w:val="hybridMultilevel"/>
    <w:tmpl w:val="7B2CBFA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06632"/>
    <w:multiLevelType w:val="hybridMultilevel"/>
    <w:tmpl w:val="8FFEA346"/>
    <w:lvl w:ilvl="0" w:tplc="B4801D54">
      <w:start w:val="2"/>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53043"/>
    <w:multiLevelType w:val="hybridMultilevel"/>
    <w:tmpl w:val="A484C77E"/>
    <w:lvl w:ilvl="0" w:tplc="4542552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95124"/>
    <w:multiLevelType w:val="hybridMultilevel"/>
    <w:tmpl w:val="AB50A8E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E7594"/>
    <w:multiLevelType w:val="hybridMultilevel"/>
    <w:tmpl w:val="944EF116"/>
    <w:lvl w:ilvl="0" w:tplc="72D6E708">
      <w:start w:val="1"/>
      <w:numFmt w:val="decimal"/>
      <w:lvlText w:val="%1."/>
      <w:lvlJc w:val="left"/>
      <w:pPr>
        <w:ind w:left="720" w:hanging="360"/>
      </w:pPr>
      <w:rPr>
        <w:rFonts w:eastAsia="Time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602E8"/>
    <w:multiLevelType w:val="hybridMultilevel"/>
    <w:tmpl w:val="D0107934"/>
    <w:lvl w:ilvl="0" w:tplc="3E26B828">
      <w:start w:val="1"/>
      <w:numFmt w:val="decimal"/>
      <w:lvlText w:val="%1."/>
      <w:lvlJc w:val="left"/>
      <w:pPr>
        <w:ind w:left="1428" w:hanging="360"/>
      </w:pPr>
      <w:rPr>
        <w:rFonts w:ascii="Verdana" w:eastAsia="Calibri" w:hAnsi="Verdana" w:cs="Arial Narrow" w:hint="default"/>
        <w:b w:val="0"/>
        <w:i w:val="0"/>
        <w:sz w:val="2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nsid w:val="6C815215"/>
    <w:multiLevelType w:val="hybridMultilevel"/>
    <w:tmpl w:val="C04CCAEA"/>
    <w:lvl w:ilvl="0" w:tplc="04C4398C">
      <w:start w:val="196"/>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D7446"/>
    <w:multiLevelType w:val="hybridMultilevel"/>
    <w:tmpl w:val="4CF26930"/>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CE64D32"/>
    <w:multiLevelType w:val="hybridMultilevel"/>
    <w:tmpl w:val="1EC616AC"/>
    <w:lvl w:ilvl="0" w:tplc="1270C540">
      <w:start w:val="1"/>
      <w:numFmt w:val="decimal"/>
      <w:lvlText w:val="%1."/>
      <w:lvlJc w:val="left"/>
      <w:pPr>
        <w:tabs>
          <w:tab w:val="num" w:pos="1427"/>
        </w:tabs>
        <w:ind w:left="18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4"/>
  </w:num>
  <w:num w:numId="5">
    <w:abstractNumId w:val="1"/>
  </w:num>
  <w:num w:numId="6">
    <w:abstractNumId w:val="2"/>
  </w:num>
  <w:num w:numId="7">
    <w:abstractNumId w:val="0"/>
  </w:num>
  <w:num w:numId="8">
    <w:abstractNumId w:val="7"/>
  </w:num>
  <w:num w:numId="9">
    <w:abstractNumId w:val="5"/>
  </w:num>
  <w:num w:numId="10">
    <w:abstractNumId w:val="6"/>
    <w:lvlOverride w:ilvl="0">
      <w:startOverride w:val="219"/>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53"/>
    <w:rsid w:val="00001608"/>
    <w:rsid w:val="00006A2A"/>
    <w:rsid w:val="0001233D"/>
    <w:rsid w:val="00012D65"/>
    <w:rsid w:val="0001613C"/>
    <w:rsid w:val="00037DFD"/>
    <w:rsid w:val="00044082"/>
    <w:rsid w:val="00060F0A"/>
    <w:rsid w:val="00070F08"/>
    <w:rsid w:val="000868D7"/>
    <w:rsid w:val="00086BAC"/>
    <w:rsid w:val="000922FA"/>
    <w:rsid w:val="00094AC6"/>
    <w:rsid w:val="00095F6B"/>
    <w:rsid w:val="000B22F7"/>
    <w:rsid w:val="000B5AAA"/>
    <w:rsid w:val="000B5CB9"/>
    <w:rsid w:val="000D19A4"/>
    <w:rsid w:val="001007D3"/>
    <w:rsid w:val="00102904"/>
    <w:rsid w:val="00133C93"/>
    <w:rsid w:val="00142BB8"/>
    <w:rsid w:val="00151BA6"/>
    <w:rsid w:val="00163102"/>
    <w:rsid w:val="00172AAF"/>
    <w:rsid w:val="00183620"/>
    <w:rsid w:val="00195DA3"/>
    <w:rsid w:val="001A0ED2"/>
    <w:rsid w:val="001A3675"/>
    <w:rsid w:val="001A3A48"/>
    <w:rsid w:val="001B280D"/>
    <w:rsid w:val="001B2E70"/>
    <w:rsid w:val="001C049D"/>
    <w:rsid w:val="001C0E97"/>
    <w:rsid w:val="001C607E"/>
    <w:rsid w:val="001C65FD"/>
    <w:rsid w:val="001C7B8A"/>
    <w:rsid w:val="001D05F2"/>
    <w:rsid w:val="001D22BE"/>
    <w:rsid w:val="001D4336"/>
    <w:rsid w:val="001E0E81"/>
    <w:rsid w:val="001E7260"/>
    <w:rsid w:val="001E780B"/>
    <w:rsid w:val="001F1D61"/>
    <w:rsid w:val="001F6629"/>
    <w:rsid w:val="00200F94"/>
    <w:rsid w:val="00224B76"/>
    <w:rsid w:val="00241493"/>
    <w:rsid w:val="00257A72"/>
    <w:rsid w:val="00266EED"/>
    <w:rsid w:val="00275DFD"/>
    <w:rsid w:val="00277483"/>
    <w:rsid w:val="002A0DD6"/>
    <w:rsid w:val="002A787A"/>
    <w:rsid w:val="002B4FAB"/>
    <w:rsid w:val="002B7A63"/>
    <w:rsid w:val="002C02EF"/>
    <w:rsid w:val="002C3A1B"/>
    <w:rsid w:val="002C5C2B"/>
    <w:rsid w:val="002D18F2"/>
    <w:rsid w:val="002D6935"/>
    <w:rsid w:val="002E415A"/>
    <w:rsid w:val="002F0D67"/>
    <w:rsid w:val="003043CB"/>
    <w:rsid w:val="00306374"/>
    <w:rsid w:val="00311DB9"/>
    <w:rsid w:val="00312684"/>
    <w:rsid w:val="00315CCA"/>
    <w:rsid w:val="00316ADA"/>
    <w:rsid w:val="00317EE6"/>
    <w:rsid w:val="00327E82"/>
    <w:rsid w:val="00333AFE"/>
    <w:rsid w:val="003374D4"/>
    <w:rsid w:val="00350892"/>
    <w:rsid w:val="00365E15"/>
    <w:rsid w:val="003919EE"/>
    <w:rsid w:val="0039658E"/>
    <w:rsid w:val="003A43AB"/>
    <w:rsid w:val="003B2A2F"/>
    <w:rsid w:val="003B63E0"/>
    <w:rsid w:val="003B6FAD"/>
    <w:rsid w:val="003C792C"/>
    <w:rsid w:val="003D12E3"/>
    <w:rsid w:val="003D345C"/>
    <w:rsid w:val="003F020C"/>
    <w:rsid w:val="003F404B"/>
    <w:rsid w:val="003F50B9"/>
    <w:rsid w:val="003F5F7F"/>
    <w:rsid w:val="00403FB7"/>
    <w:rsid w:val="00406961"/>
    <w:rsid w:val="00406B97"/>
    <w:rsid w:val="0042022C"/>
    <w:rsid w:val="00423424"/>
    <w:rsid w:val="00425E32"/>
    <w:rsid w:val="00426181"/>
    <w:rsid w:val="00431AA2"/>
    <w:rsid w:val="004341B4"/>
    <w:rsid w:val="00435DBF"/>
    <w:rsid w:val="00437A91"/>
    <w:rsid w:val="00440B18"/>
    <w:rsid w:val="00446B9B"/>
    <w:rsid w:val="00457B0B"/>
    <w:rsid w:val="00460B1F"/>
    <w:rsid w:val="00461895"/>
    <w:rsid w:val="00462891"/>
    <w:rsid w:val="00481E24"/>
    <w:rsid w:val="00482891"/>
    <w:rsid w:val="00492C0D"/>
    <w:rsid w:val="004938B6"/>
    <w:rsid w:val="00493946"/>
    <w:rsid w:val="004A7D58"/>
    <w:rsid w:val="004B2060"/>
    <w:rsid w:val="004C77A8"/>
    <w:rsid w:val="004D2B31"/>
    <w:rsid w:val="004E6817"/>
    <w:rsid w:val="004F76A0"/>
    <w:rsid w:val="005120C5"/>
    <w:rsid w:val="00520C84"/>
    <w:rsid w:val="005223A3"/>
    <w:rsid w:val="00533E30"/>
    <w:rsid w:val="00535669"/>
    <w:rsid w:val="00541D09"/>
    <w:rsid w:val="00562B5E"/>
    <w:rsid w:val="00567DC6"/>
    <w:rsid w:val="00581E4F"/>
    <w:rsid w:val="00582661"/>
    <w:rsid w:val="00583FC2"/>
    <w:rsid w:val="00593275"/>
    <w:rsid w:val="005A5E23"/>
    <w:rsid w:val="005A7D35"/>
    <w:rsid w:val="005B21A1"/>
    <w:rsid w:val="005C131B"/>
    <w:rsid w:val="005D24FB"/>
    <w:rsid w:val="005E717C"/>
    <w:rsid w:val="006039C0"/>
    <w:rsid w:val="00607CE1"/>
    <w:rsid w:val="006144E3"/>
    <w:rsid w:val="00622986"/>
    <w:rsid w:val="006258C9"/>
    <w:rsid w:val="00634C8E"/>
    <w:rsid w:val="00645636"/>
    <w:rsid w:val="006462FA"/>
    <w:rsid w:val="00646444"/>
    <w:rsid w:val="00664B21"/>
    <w:rsid w:val="00675595"/>
    <w:rsid w:val="00683B7C"/>
    <w:rsid w:val="006941AD"/>
    <w:rsid w:val="006A0F4F"/>
    <w:rsid w:val="006A3EE8"/>
    <w:rsid w:val="006B5A5A"/>
    <w:rsid w:val="006C1E51"/>
    <w:rsid w:val="006E41DA"/>
    <w:rsid w:val="006E555E"/>
    <w:rsid w:val="00700180"/>
    <w:rsid w:val="00701B79"/>
    <w:rsid w:val="00717782"/>
    <w:rsid w:val="00721647"/>
    <w:rsid w:val="007266DD"/>
    <w:rsid w:val="0072766D"/>
    <w:rsid w:val="00733CAB"/>
    <w:rsid w:val="0075247E"/>
    <w:rsid w:val="00760930"/>
    <w:rsid w:val="00763D00"/>
    <w:rsid w:val="007678D6"/>
    <w:rsid w:val="00775E5E"/>
    <w:rsid w:val="00781F17"/>
    <w:rsid w:val="00786A5F"/>
    <w:rsid w:val="00790498"/>
    <w:rsid w:val="007913E2"/>
    <w:rsid w:val="0079650A"/>
    <w:rsid w:val="007A40F1"/>
    <w:rsid w:val="007A47FC"/>
    <w:rsid w:val="007B6220"/>
    <w:rsid w:val="007B6D7C"/>
    <w:rsid w:val="007B7713"/>
    <w:rsid w:val="007B7935"/>
    <w:rsid w:val="007B7B89"/>
    <w:rsid w:val="007C2E42"/>
    <w:rsid w:val="007C52EC"/>
    <w:rsid w:val="007C5FF1"/>
    <w:rsid w:val="007C6EA0"/>
    <w:rsid w:val="007D6E53"/>
    <w:rsid w:val="007E73D8"/>
    <w:rsid w:val="007F00DC"/>
    <w:rsid w:val="007F08D2"/>
    <w:rsid w:val="008079AF"/>
    <w:rsid w:val="00810C74"/>
    <w:rsid w:val="0081119C"/>
    <w:rsid w:val="008213AB"/>
    <w:rsid w:val="008239C1"/>
    <w:rsid w:val="00831A16"/>
    <w:rsid w:val="00850026"/>
    <w:rsid w:val="0085328E"/>
    <w:rsid w:val="008554FB"/>
    <w:rsid w:val="008705D2"/>
    <w:rsid w:val="00874CDA"/>
    <w:rsid w:val="00880574"/>
    <w:rsid w:val="008956AE"/>
    <w:rsid w:val="00897174"/>
    <w:rsid w:val="00897789"/>
    <w:rsid w:val="00897F89"/>
    <w:rsid w:val="008C1457"/>
    <w:rsid w:val="008E0197"/>
    <w:rsid w:val="008E3833"/>
    <w:rsid w:val="008E3F65"/>
    <w:rsid w:val="008E48DF"/>
    <w:rsid w:val="008F092F"/>
    <w:rsid w:val="008F17E0"/>
    <w:rsid w:val="00904660"/>
    <w:rsid w:val="009266E1"/>
    <w:rsid w:val="00930ECF"/>
    <w:rsid w:val="00962FF9"/>
    <w:rsid w:val="00964742"/>
    <w:rsid w:val="00971DFA"/>
    <w:rsid w:val="0099385A"/>
    <w:rsid w:val="00996CAF"/>
    <w:rsid w:val="009A1B02"/>
    <w:rsid w:val="009A3082"/>
    <w:rsid w:val="009C5C66"/>
    <w:rsid w:val="009D0028"/>
    <w:rsid w:val="009D2B91"/>
    <w:rsid w:val="009D7212"/>
    <w:rsid w:val="009E090A"/>
    <w:rsid w:val="009E2B4B"/>
    <w:rsid w:val="009E4F8A"/>
    <w:rsid w:val="00A00629"/>
    <w:rsid w:val="00A066DC"/>
    <w:rsid w:val="00A14F97"/>
    <w:rsid w:val="00A15228"/>
    <w:rsid w:val="00A16F74"/>
    <w:rsid w:val="00A318DB"/>
    <w:rsid w:val="00A32FA1"/>
    <w:rsid w:val="00A51578"/>
    <w:rsid w:val="00A5443D"/>
    <w:rsid w:val="00A5715C"/>
    <w:rsid w:val="00A64C05"/>
    <w:rsid w:val="00A728BD"/>
    <w:rsid w:val="00A80361"/>
    <w:rsid w:val="00A829F0"/>
    <w:rsid w:val="00AB02F5"/>
    <w:rsid w:val="00AB782B"/>
    <w:rsid w:val="00AC0798"/>
    <w:rsid w:val="00AC4008"/>
    <w:rsid w:val="00AC492C"/>
    <w:rsid w:val="00AC6FF4"/>
    <w:rsid w:val="00AD71B5"/>
    <w:rsid w:val="00AE72E7"/>
    <w:rsid w:val="00AE7C3A"/>
    <w:rsid w:val="00B02D82"/>
    <w:rsid w:val="00B10734"/>
    <w:rsid w:val="00B109E1"/>
    <w:rsid w:val="00B1155B"/>
    <w:rsid w:val="00B13552"/>
    <w:rsid w:val="00B21C1A"/>
    <w:rsid w:val="00B235FA"/>
    <w:rsid w:val="00B3190F"/>
    <w:rsid w:val="00B549D3"/>
    <w:rsid w:val="00B54E26"/>
    <w:rsid w:val="00B65F81"/>
    <w:rsid w:val="00B73C00"/>
    <w:rsid w:val="00B76F05"/>
    <w:rsid w:val="00B9411D"/>
    <w:rsid w:val="00BA0350"/>
    <w:rsid w:val="00BA76F0"/>
    <w:rsid w:val="00BB7D90"/>
    <w:rsid w:val="00BC2437"/>
    <w:rsid w:val="00BD20E9"/>
    <w:rsid w:val="00BD59D3"/>
    <w:rsid w:val="00BD5FC8"/>
    <w:rsid w:val="00BD7549"/>
    <w:rsid w:val="00BE33FF"/>
    <w:rsid w:val="00BE522C"/>
    <w:rsid w:val="00BE70F8"/>
    <w:rsid w:val="00BF1D05"/>
    <w:rsid w:val="00C07A62"/>
    <w:rsid w:val="00C12269"/>
    <w:rsid w:val="00C22DB5"/>
    <w:rsid w:val="00C2529E"/>
    <w:rsid w:val="00C66596"/>
    <w:rsid w:val="00C710D9"/>
    <w:rsid w:val="00C733A4"/>
    <w:rsid w:val="00C8524B"/>
    <w:rsid w:val="00C966D3"/>
    <w:rsid w:val="00CA537F"/>
    <w:rsid w:val="00CA68A3"/>
    <w:rsid w:val="00CA7316"/>
    <w:rsid w:val="00CB1941"/>
    <w:rsid w:val="00CB6B23"/>
    <w:rsid w:val="00CC2040"/>
    <w:rsid w:val="00CD0B87"/>
    <w:rsid w:val="00CD7526"/>
    <w:rsid w:val="00CE19D6"/>
    <w:rsid w:val="00D023DE"/>
    <w:rsid w:val="00D050D3"/>
    <w:rsid w:val="00D058BB"/>
    <w:rsid w:val="00D10BEC"/>
    <w:rsid w:val="00D11D7E"/>
    <w:rsid w:val="00D15965"/>
    <w:rsid w:val="00D25F3F"/>
    <w:rsid w:val="00D27013"/>
    <w:rsid w:val="00D372CB"/>
    <w:rsid w:val="00D37B51"/>
    <w:rsid w:val="00D4687D"/>
    <w:rsid w:val="00D565FC"/>
    <w:rsid w:val="00D751CE"/>
    <w:rsid w:val="00D866B7"/>
    <w:rsid w:val="00D90878"/>
    <w:rsid w:val="00DA25DA"/>
    <w:rsid w:val="00DA74AB"/>
    <w:rsid w:val="00DA7755"/>
    <w:rsid w:val="00DB2BBC"/>
    <w:rsid w:val="00DD4940"/>
    <w:rsid w:val="00DD7F2E"/>
    <w:rsid w:val="00DE2347"/>
    <w:rsid w:val="00DE7C22"/>
    <w:rsid w:val="00DF08BA"/>
    <w:rsid w:val="00E03122"/>
    <w:rsid w:val="00E1557F"/>
    <w:rsid w:val="00E1718F"/>
    <w:rsid w:val="00E177CB"/>
    <w:rsid w:val="00E20CFC"/>
    <w:rsid w:val="00E2205B"/>
    <w:rsid w:val="00E2264E"/>
    <w:rsid w:val="00E22A71"/>
    <w:rsid w:val="00E26016"/>
    <w:rsid w:val="00E34EC3"/>
    <w:rsid w:val="00E419B7"/>
    <w:rsid w:val="00E65B88"/>
    <w:rsid w:val="00E67A86"/>
    <w:rsid w:val="00E703CF"/>
    <w:rsid w:val="00E76013"/>
    <w:rsid w:val="00E85491"/>
    <w:rsid w:val="00E91343"/>
    <w:rsid w:val="00ED6567"/>
    <w:rsid w:val="00EF1739"/>
    <w:rsid w:val="00EF4242"/>
    <w:rsid w:val="00EF6AAC"/>
    <w:rsid w:val="00F02C1B"/>
    <w:rsid w:val="00F11F33"/>
    <w:rsid w:val="00F3269E"/>
    <w:rsid w:val="00F40839"/>
    <w:rsid w:val="00F40FEB"/>
    <w:rsid w:val="00F52DD0"/>
    <w:rsid w:val="00F60F20"/>
    <w:rsid w:val="00F61186"/>
    <w:rsid w:val="00F61322"/>
    <w:rsid w:val="00F80D20"/>
    <w:rsid w:val="00F83D76"/>
    <w:rsid w:val="00F84573"/>
    <w:rsid w:val="00F90175"/>
    <w:rsid w:val="00F977E1"/>
    <w:rsid w:val="00F97A99"/>
    <w:rsid w:val="00FA47F4"/>
    <w:rsid w:val="00FB1AEF"/>
    <w:rsid w:val="00FE1BCA"/>
    <w:rsid w:val="00FE3796"/>
    <w:rsid w:val="00FF2810"/>
    <w:rsid w:val="00FF4ED0"/>
    <w:rsid w:val="00FF5C02"/>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53"/>
    <w:pPr>
      <w:spacing w:after="0" w:line="240" w:lineRule="auto"/>
    </w:pPr>
    <w:rPr>
      <w:rFonts w:ascii="Verdana" w:eastAsia="Times" w:hAnsi="Verdana" w:cs="Times New Roman"/>
      <w:sz w:val="20"/>
      <w:szCs w:val="20"/>
      <w:lang w:val="es-ES_tradnl"/>
    </w:rPr>
  </w:style>
  <w:style w:type="paragraph" w:styleId="Heading1">
    <w:name w:val="heading 1"/>
    <w:basedOn w:val="Heading2"/>
    <w:next w:val="Normal"/>
    <w:link w:val="Heading1Char"/>
    <w:uiPriority w:val="9"/>
    <w:qFormat/>
    <w:rsid w:val="007D6E53"/>
    <w:pPr>
      <w:keepLines w:val="0"/>
      <w:spacing w:before="0"/>
      <w:jc w:val="center"/>
      <w:outlineLvl w:val="0"/>
    </w:pPr>
    <w:rPr>
      <w:rFonts w:ascii="Verdana" w:eastAsia="Times New Roman" w:hAnsi="Verdana" w:cs="Verdana"/>
      <w:iCs/>
      <w:caps/>
      <w:snapToGrid w:val="0"/>
      <w:color w:val="auto"/>
      <w:sz w:val="20"/>
      <w:szCs w:val="20"/>
      <w:lang w:val="es-CR" w:eastAsia="es-ES"/>
    </w:rPr>
  </w:style>
  <w:style w:type="paragraph" w:styleId="Heading2">
    <w:name w:val="heading 2"/>
    <w:basedOn w:val="Normal"/>
    <w:next w:val="Normal"/>
    <w:link w:val="Heading2Char"/>
    <w:uiPriority w:val="9"/>
    <w:semiHidden/>
    <w:unhideWhenUsed/>
    <w:qFormat/>
    <w:rsid w:val="007D6E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E53"/>
    <w:rPr>
      <w:rFonts w:ascii="Verdana" w:eastAsia="Times New Roman" w:hAnsi="Verdana" w:cs="Verdana"/>
      <w:b/>
      <w:bCs/>
      <w:iCs/>
      <w:caps/>
      <w:snapToGrid w:val="0"/>
      <w:sz w:val="20"/>
      <w:szCs w:val="20"/>
      <w:lang w:val="es-CR" w:eastAsia="es-ES"/>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7D6E53"/>
    <w:pPr>
      <w:jc w:val="both"/>
    </w:pPr>
    <w:rPr>
      <w:sz w:val="16"/>
      <w:lang w:eastAsia="x-none"/>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basedOn w:val="DefaultParagraphFont"/>
    <w:link w:val="FootnoteText"/>
    <w:rsid w:val="007D6E53"/>
    <w:rPr>
      <w:rFonts w:ascii="Verdana" w:eastAsia="Times" w:hAnsi="Verdana" w:cs="Times New Roman"/>
      <w:sz w:val="16"/>
      <w:szCs w:val="20"/>
      <w:lang w:val="es-ES_tradnl"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7D6E53"/>
    <w:rPr>
      <w:vertAlign w:val="superscript"/>
    </w:rPr>
  </w:style>
  <w:style w:type="character" w:styleId="Strong">
    <w:name w:val="Strong"/>
    <w:uiPriority w:val="22"/>
    <w:qFormat/>
    <w:rsid w:val="007D6E53"/>
    <w:rPr>
      <w:b/>
      <w:bCs/>
    </w:rPr>
  </w:style>
  <w:style w:type="paragraph" w:customStyle="1" w:styleId="MediumGrid1-Accent21">
    <w:name w:val="Medium Grid 1 - Accent 21"/>
    <w:aliases w:val="Footnote,Colorful List - Accent 11,List Paragraph2"/>
    <w:basedOn w:val="Normal"/>
    <w:link w:val="MediumGrid1-Accent2Char"/>
    <w:qFormat/>
    <w:rsid w:val="007D6E53"/>
    <w:pPr>
      <w:ind w:left="720"/>
      <w:jc w:val="both"/>
    </w:pPr>
    <w:rPr>
      <w:rFonts w:eastAsia="Batang"/>
      <w:szCs w:val="24"/>
    </w:rPr>
  </w:style>
  <w:style w:type="character" w:customStyle="1" w:styleId="MediumGrid1-Accent2Char">
    <w:name w:val="Medium Grid 1 - Accent 2 Char"/>
    <w:aliases w:val="Footnote Char,Colorful List - Accent 11 Char,List Paragraph2 Char,List Paragraph Char,Párrafo de lista1 Char,List Paragraph1 Char,Lista vistosa - Énfasis 11 Char"/>
    <w:link w:val="MediumGrid1-Accent21"/>
    <w:rsid w:val="007D6E53"/>
    <w:rPr>
      <w:rFonts w:ascii="Verdana" w:eastAsia="Batang" w:hAnsi="Verdana" w:cs="Times New Roman"/>
      <w:sz w:val="20"/>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D6E53"/>
    <w:pPr>
      <w:jc w:val="both"/>
    </w:pPr>
    <w:rPr>
      <w:rFonts w:asciiTheme="minorHAnsi" w:eastAsiaTheme="minorHAnsi" w:hAnsiTheme="minorHAnsi" w:cstheme="minorBidi"/>
      <w:sz w:val="22"/>
      <w:szCs w:val="22"/>
      <w:vertAlign w:val="superscript"/>
      <w:lang w:val="en-US"/>
    </w:rPr>
  </w:style>
  <w:style w:type="character" w:customStyle="1" w:styleId="Heading2Char">
    <w:name w:val="Heading 2 Char"/>
    <w:basedOn w:val="DefaultParagraphFont"/>
    <w:link w:val="Heading2"/>
    <w:uiPriority w:val="9"/>
    <w:semiHidden/>
    <w:rsid w:val="007D6E53"/>
    <w:rPr>
      <w:rFonts w:asciiTheme="majorHAnsi" w:eastAsiaTheme="majorEastAsia" w:hAnsiTheme="majorHAnsi" w:cstheme="majorBidi"/>
      <w:b/>
      <w:bCs/>
      <w:color w:val="4F81BD" w:themeColor="accent1"/>
      <w:sz w:val="26"/>
      <w:szCs w:val="26"/>
      <w:lang w:val="es-ES_tradnl"/>
    </w:rPr>
  </w:style>
  <w:style w:type="paragraph" w:styleId="BalloonText">
    <w:name w:val="Balloon Text"/>
    <w:basedOn w:val="Normal"/>
    <w:link w:val="BalloonTextChar"/>
    <w:uiPriority w:val="99"/>
    <w:semiHidden/>
    <w:unhideWhenUsed/>
    <w:rsid w:val="00094AC6"/>
    <w:rPr>
      <w:rFonts w:ascii="Tahoma" w:hAnsi="Tahoma" w:cs="Tahoma"/>
      <w:sz w:val="16"/>
      <w:szCs w:val="16"/>
    </w:rPr>
  </w:style>
  <w:style w:type="character" w:customStyle="1" w:styleId="BalloonTextChar">
    <w:name w:val="Balloon Text Char"/>
    <w:basedOn w:val="DefaultParagraphFont"/>
    <w:link w:val="BalloonText"/>
    <w:uiPriority w:val="99"/>
    <w:semiHidden/>
    <w:rsid w:val="00094AC6"/>
    <w:rPr>
      <w:rFonts w:ascii="Tahoma" w:eastAsia="Times" w:hAnsi="Tahoma" w:cs="Tahoma"/>
      <w:sz w:val="16"/>
      <w:szCs w:val="16"/>
      <w:lang w:val="es-ES_tradnl"/>
    </w:rPr>
  </w:style>
  <w:style w:type="paragraph" w:styleId="ListParagraph">
    <w:name w:val="List Paragraph"/>
    <w:basedOn w:val="Normal"/>
    <w:uiPriority w:val="34"/>
    <w:qFormat/>
    <w:rsid w:val="00D4687D"/>
    <w:pPr>
      <w:ind w:left="720"/>
      <w:contextualSpacing/>
    </w:pPr>
  </w:style>
  <w:style w:type="character" w:styleId="CommentReference">
    <w:name w:val="annotation reference"/>
    <w:basedOn w:val="DefaultParagraphFont"/>
    <w:uiPriority w:val="99"/>
    <w:semiHidden/>
    <w:unhideWhenUsed/>
    <w:rsid w:val="001E7260"/>
    <w:rPr>
      <w:sz w:val="16"/>
      <w:szCs w:val="16"/>
    </w:rPr>
  </w:style>
  <w:style w:type="paragraph" w:styleId="CommentText">
    <w:name w:val="annotation text"/>
    <w:basedOn w:val="Normal"/>
    <w:link w:val="CommentTextChar"/>
    <w:uiPriority w:val="99"/>
    <w:semiHidden/>
    <w:unhideWhenUsed/>
    <w:rsid w:val="001E7260"/>
  </w:style>
  <w:style w:type="character" w:customStyle="1" w:styleId="CommentTextChar">
    <w:name w:val="Comment Text Char"/>
    <w:basedOn w:val="DefaultParagraphFont"/>
    <w:link w:val="CommentText"/>
    <w:uiPriority w:val="99"/>
    <w:semiHidden/>
    <w:rsid w:val="001E7260"/>
    <w:rPr>
      <w:rFonts w:ascii="Verdana" w:eastAsia="Times" w:hAnsi="Verdana"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1E7260"/>
    <w:rPr>
      <w:b/>
      <w:bCs/>
    </w:rPr>
  </w:style>
  <w:style w:type="character" w:customStyle="1" w:styleId="CommentSubjectChar">
    <w:name w:val="Comment Subject Char"/>
    <w:basedOn w:val="CommentTextChar"/>
    <w:link w:val="CommentSubject"/>
    <w:uiPriority w:val="99"/>
    <w:semiHidden/>
    <w:rsid w:val="001E7260"/>
    <w:rPr>
      <w:rFonts w:ascii="Verdana" w:eastAsia="Times" w:hAnsi="Verdana" w:cs="Times New Roman"/>
      <w:b/>
      <w:bCs/>
      <w:sz w:val="20"/>
      <w:szCs w:val="20"/>
      <w:lang w:val="es-ES_tradnl"/>
    </w:rPr>
  </w:style>
  <w:style w:type="paragraph" w:styleId="Revision">
    <w:name w:val="Revision"/>
    <w:hidden/>
    <w:uiPriority w:val="99"/>
    <w:semiHidden/>
    <w:rsid w:val="00461895"/>
    <w:pPr>
      <w:spacing w:after="0" w:line="240" w:lineRule="auto"/>
    </w:pPr>
    <w:rPr>
      <w:rFonts w:ascii="Verdana" w:eastAsia="Times" w:hAnsi="Verdana" w:cs="Times New Roman"/>
      <w:sz w:val="20"/>
      <w:szCs w:val="20"/>
      <w:lang w:val="es-ES_tradnl"/>
    </w:rPr>
  </w:style>
  <w:style w:type="paragraph" w:customStyle="1" w:styleId="PrrafodeSentencia">
    <w:name w:val="*. Párrafo de Sentencia"/>
    <w:basedOn w:val="Normal"/>
    <w:link w:val="PrrafodeSentenciaChar"/>
    <w:autoRedefine/>
    <w:qFormat/>
    <w:rsid w:val="001F1D61"/>
    <w:pPr>
      <w:tabs>
        <w:tab w:val="left" w:pos="567"/>
      </w:tabs>
      <w:autoSpaceDE w:val="0"/>
      <w:autoSpaceDN w:val="0"/>
      <w:spacing w:after="200"/>
      <w:ind w:left="720" w:right="630"/>
      <w:contextualSpacing/>
      <w:jc w:val="both"/>
    </w:pPr>
    <w:rPr>
      <w:rFonts w:eastAsia="Batang"/>
      <w:sz w:val="16"/>
      <w:lang w:val="es-CR" w:eastAsia="es-MX"/>
    </w:rPr>
  </w:style>
  <w:style w:type="paragraph" w:styleId="NormalWeb">
    <w:name w:val="Normal (Web)"/>
    <w:aliases w:val="Normal (Web) Char1,Normal (Web) Char Char,Normal (Web) Char1 Char,Normal (Web) Char Char Char"/>
    <w:basedOn w:val="Normal"/>
    <w:uiPriority w:val="99"/>
    <w:unhideWhenUsed/>
    <w:qFormat/>
    <w:rsid w:val="00F52DD0"/>
    <w:pPr>
      <w:widowControl w:val="0"/>
      <w:adjustRightInd w:val="0"/>
      <w:spacing w:line="360" w:lineRule="atLeast"/>
      <w:jc w:val="both"/>
      <w:textAlignment w:val="baseline"/>
    </w:pPr>
    <w:rPr>
      <w:rFonts w:eastAsia="Times New Roman"/>
      <w:sz w:val="24"/>
      <w:szCs w:val="24"/>
      <w:lang w:val="es-CR" w:eastAsia="es-CR"/>
    </w:rPr>
  </w:style>
  <w:style w:type="paragraph" w:customStyle="1" w:styleId="Footnotes">
    <w:name w:val="**. Footnotes"/>
    <w:basedOn w:val="FootnoteText"/>
    <w:link w:val="FootnotesChar"/>
    <w:autoRedefine/>
    <w:qFormat/>
    <w:rsid w:val="00F52DD0"/>
    <w:pPr>
      <w:spacing w:before="120" w:after="120"/>
      <w:jc w:val="center"/>
    </w:pPr>
    <w:rPr>
      <w:rFonts w:eastAsia="Times New Roman" w:cs="Palatino-Italic"/>
      <w:iCs/>
      <w:szCs w:val="18"/>
      <w:lang w:val="es-ES" w:bidi="en-US"/>
    </w:rPr>
  </w:style>
  <w:style w:type="character" w:customStyle="1" w:styleId="FootnotesChar">
    <w:name w:val="**. Footnotes Char"/>
    <w:link w:val="Footnotes"/>
    <w:rsid w:val="00F52DD0"/>
    <w:rPr>
      <w:rFonts w:ascii="Verdana" w:eastAsia="Times New Roman" w:hAnsi="Verdana" w:cs="Palatino-Italic"/>
      <w:iCs/>
      <w:sz w:val="16"/>
      <w:szCs w:val="18"/>
      <w:lang w:val="es-ES" w:eastAsia="x-none" w:bidi="en-US"/>
    </w:rPr>
  </w:style>
  <w:style w:type="character" w:customStyle="1" w:styleId="apple-style-span">
    <w:name w:val="apple-style-span"/>
    <w:rsid w:val="00F52DD0"/>
    <w:rPr>
      <w:rFonts w:cs="Times New Roman"/>
    </w:rPr>
  </w:style>
  <w:style w:type="character" w:customStyle="1" w:styleId="PrrafodeSentenciaChar">
    <w:name w:val="*. Párrafo de Sentencia Char"/>
    <w:link w:val="PrrafodeSentencia"/>
    <w:rsid w:val="001F1D61"/>
    <w:rPr>
      <w:rFonts w:ascii="Verdana" w:eastAsia="Batang" w:hAnsi="Verdana" w:cs="Times New Roman"/>
      <w:sz w:val="16"/>
      <w:szCs w:val="20"/>
      <w:lang w:val="es-CR" w:eastAsia="es-MX"/>
    </w:rPr>
  </w:style>
  <w:style w:type="paragraph" w:styleId="Header">
    <w:name w:val="header"/>
    <w:basedOn w:val="Normal"/>
    <w:link w:val="HeaderChar"/>
    <w:uiPriority w:val="99"/>
    <w:unhideWhenUsed/>
    <w:rsid w:val="00FF5C02"/>
    <w:pPr>
      <w:tabs>
        <w:tab w:val="center" w:pos="4419"/>
        <w:tab w:val="right" w:pos="8838"/>
      </w:tabs>
    </w:pPr>
  </w:style>
  <w:style w:type="character" w:customStyle="1" w:styleId="HeaderChar">
    <w:name w:val="Header Char"/>
    <w:basedOn w:val="DefaultParagraphFont"/>
    <w:link w:val="Header"/>
    <w:uiPriority w:val="99"/>
    <w:rsid w:val="00FF5C02"/>
    <w:rPr>
      <w:rFonts w:ascii="Verdana" w:eastAsia="Times" w:hAnsi="Verdana" w:cs="Times New Roman"/>
      <w:sz w:val="20"/>
      <w:szCs w:val="20"/>
      <w:lang w:val="es-ES_tradnl"/>
    </w:rPr>
  </w:style>
  <w:style w:type="paragraph" w:styleId="Footer">
    <w:name w:val="footer"/>
    <w:basedOn w:val="Normal"/>
    <w:link w:val="FooterChar"/>
    <w:uiPriority w:val="99"/>
    <w:unhideWhenUsed/>
    <w:rsid w:val="00FF5C02"/>
    <w:pPr>
      <w:tabs>
        <w:tab w:val="center" w:pos="4419"/>
        <w:tab w:val="right" w:pos="8838"/>
      </w:tabs>
    </w:pPr>
  </w:style>
  <w:style w:type="character" w:customStyle="1" w:styleId="FooterChar">
    <w:name w:val="Footer Char"/>
    <w:basedOn w:val="DefaultParagraphFont"/>
    <w:link w:val="Footer"/>
    <w:uiPriority w:val="99"/>
    <w:rsid w:val="00FF5C02"/>
    <w:rPr>
      <w:rFonts w:ascii="Verdana" w:eastAsia="Times" w:hAnsi="Verdana" w:cs="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53"/>
    <w:pPr>
      <w:spacing w:after="0" w:line="240" w:lineRule="auto"/>
    </w:pPr>
    <w:rPr>
      <w:rFonts w:ascii="Verdana" w:eastAsia="Times" w:hAnsi="Verdana" w:cs="Times New Roman"/>
      <w:sz w:val="20"/>
      <w:szCs w:val="20"/>
      <w:lang w:val="es-ES_tradnl"/>
    </w:rPr>
  </w:style>
  <w:style w:type="paragraph" w:styleId="Heading1">
    <w:name w:val="heading 1"/>
    <w:basedOn w:val="Heading2"/>
    <w:next w:val="Normal"/>
    <w:link w:val="Heading1Char"/>
    <w:uiPriority w:val="9"/>
    <w:qFormat/>
    <w:rsid w:val="007D6E53"/>
    <w:pPr>
      <w:keepLines w:val="0"/>
      <w:spacing w:before="0"/>
      <w:jc w:val="center"/>
      <w:outlineLvl w:val="0"/>
    </w:pPr>
    <w:rPr>
      <w:rFonts w:ascii="Verdana" w:eastAsia="Times New Roman" w:hAnsi="Verdana" w:cs="Verdana"/>
      <w:iCs/>
      <w:caps/>
      <w:snapToGrid w:val="0"/>
      <w:color w:val="auto"/>
      <w:sz w:val="20"/>
      <w:szCs w:val="20"/>
      <w:lang w:val="es-CR" w:eastAsia="es-ES"/>
    </w:rPr>
  </w:style>
  <w:style w:type="paragraph" w:styleId="Heading2">
    <w:name w:val="heading 2"/>
    <w:basedOn w:val="Normal"/>
    <w:next w:val="Normal"/>
    <w:link w:val="Heading2Char"/>
    <w:uiPriority w:val="9"/>
    <w:semiHidden/>
    <w:unhideWhenUsed/>
    <w:qFormat/>
    <w:rsid w:val="007D6E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E53"/>
    <w:rPr>
      <w:rFonts w:ascii="Verdana" w:eastAsia="Times New Roman" w:hAnsi="Verdana" w:cs="Verdana"/>
      <w:b/>
      <w:bCs/>
      <w:iCs/>
      <w:caps/>
      <w:snapToGrid w:val="0"/>
      <w:sz w:val="20"/>
      <w:szCs w:val="20"/>
      <w:lang w:val="es-CR" w:eastAsia="es-ES"/>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7D6E53"/>
    <w:pPr>
      <w:jc w:val="both"/>
    </w:pPr>
    <w:rPr>
      <w:sz w:val="16"/>
      <w:lang w:eastAsia="x-none"/>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basedOn w:val="DefaultParagraphFont"/>
    <w:link w:val="FootnoteText"/>
    <w:rsid w:val="007D6E53"/>
    <w:rPr>
      <w:rFonts w:ascii="Verdana" w:eastAsia="Times" w:hAnsi="Verdana" w:cs="Times New Roman"/>
      <w:sz w:val="16"/>
      <w:szCs w:val="20"/>
      <w:lang w:val="es-ES_tradnl"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7D6E53"/>
    <w:rPr>
      <w:vertAlign w:val="superscript"/>
    </w:rPr>
  </w:style>
  <w:style w:type="character" w:styleId="Strong">
    <w:name w:val="Strong"/>
    <w:uiPriority w:val="22"/>
    <w:qFormat/>
    <w:rsid w:val="007D6E53"/>
    <w:rPr>
      <w:b/>
      <w:bCs/>
    </w:rPr>
  </w:style>
  <w:style w:type="paragraph" w:customStyle="1" w:styleId="MediumGrid1-Accent21">
    <w:name w:val="Medium Grid 1 - Accent 21"/>
    <w:aliases w:val="Footnote,Colorful List - Accent 11,List Paragraph2"/>
    <w:basedOn w:val="Normal"/>
    <w:link w:val="MediumGrid1-Accent2Char"/>
    <w:qFormat/>
    <w:rsid w:val="007D6E53"/>
    <w:pPr>
      <w:ind w:left="720"/>
      <w:jc w:val="both"/>
    </w:pPr>
    <w:rPr>
      <w:rFonts w:eastAsia="Batang"/>
      <w:szCs w:val="24"/>
    </w:rPr>
  </w:style>
  <w:style w:type="character" w:customStyle="1" w:styleId="MediumGrid1-Accent2Char">
    <w:name w:val="Medium Grid 1 - Accent 2 Char"/>
    <w:aliases w:val="Footnote Char,Colorful List - Accent 11 Char,List Paragraph2 Char,List Paragraph Char,Párrafo de lista1 Char,List Paragraph1 Char,Lista vistosa - Énfasis 11 Char"/>
    <w:link w:val="MediumGrid1-Accent21"/>
    <w:rsid w:val="007D6E53"/>
    <w:rPr>
      <w:rFonts w:ascii="Verdana" w:eastAsia="Batang" w:hAnsi="Verdana" w:cs="Times New Roman"/>
      <w:sz w:val="20"/>
      <w:szCs w:val="24"/>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D6E53"/>
    <w:pPr>
      <w:jc w:val="both"/>
    </w:pPr>
    <w:rPr>
      <w:rFonts w:asciiTheme="minorHAnsi" w:eastAsiaTheme="minorHAnsi" w:hAnsiTheme="minorHAnsi" w:cstheme="minorBidi"/>
      <w:sz w:val="22"/>
      <w:szCs w:val="22"/>
      <w:vertAlign w:val="superscript"/>
      <w:lang w:val="en-US"/>
    </w:rPr>
  </w:style>
  <w:style w:type="character" w:customStyle="1" w:styleId="Heading2Char">
    <w:name w:val="Heading 2 Char"/>
    <w:basedOn w:val="DefaultParagraphFont"/>
    <w:link w:val="Heading2"/>
    <w:uiPriority w:val="9"/>
    <w:semiHidden/>
    <w:rsid w:val="007D6E53"/>
    <w:rPr>
      <w:rFonts w:asciiTheme="majorHAnsi" w:eastAsiaTheme="majorEastAsia" w:hAnsiTheme="majorHAnsi" w:cstheme="majorBidi"/>
      <w:b/>
      <w:bCs/>
      <w:color w:val="4F81BD" w:themeColor="accent1"/>
      <w:sz w:val="26"/>
      <w:szCs w:val="26"/>
      <w:lang w:val="es-ES_tradnl"/>
    </w:rPr>
  </w:style>
  <w:style w:type="paragraph" w:styleId="BalloonText">
    <w:name w:val="Balloon Text"/>
    <w:basedOn w:val="Normal"/>
    <w:link w:val="BalloonTextChar"/>
    <w:uiPriority w:val="99"/>
    <w:semiHidden/>
    <w:unhideWhenUsed/>
    <w:rsid w:val="00094AC6"/>
    <w:rPr>
      <w:rFonts w:ascii="Tahoma" w:hAnsi="Tahoma" w:cs="Tahoma"/>
      <w:sz w:val="16"/>
      <w:szCs w:val="16"/>
    </w:rPr>
  </w:style>
  <w:style w:type="character" w:customStyle="1" w:styleId="BalloonTextChar">
    <w:name w:val="Balloon Text Char"/>
    <w:basedOn w:val="DefaultParagraphFont"/>
    <w:link w:val="BalloonText"/>
    <w:uiPriority w:val="99"/>
    <w:semiHidden/>
    <w:rsid w:val="00094AC6"/>
    <w:rPr>
      <w:rFonts w:ascii="Tahoma" w:eastAsia="Times" w:hAnsi="Tahoma" w:cs="Tahoma"/>
      <w:sz w:val="16"/>
      <w:szCs w:val="16"/>
      <w:lang w:val="es-ES_tradnl"/>
    </w:rPr>
  </w:style>
  <w:style w:type="paragraph" w:styleId="ListParagraph">
    <w:name w:val="List Paragraph"/>
    <w:basedOn w:val="Normal"/>
    <w:uiPriority w:val="34"/>
    <w:qFormat/>
    <w:rsid w:val="00D4687D"/>
    <w:pPr>
      <w:ind w:left="720"/>
      <w:contextualSpacing/>
    </w:pPr>
  </w:style>
  <w:style w:type="character" w:styleId="CommentReference">
    <w:name w:val="annotation reference"/>
    <w:basedOn w:val="DefaultParagraphFont"/>
    <w:uiPriority w:val="99"/>
    <w:semiHidden/>
    <w:unhideWhenUsed/>
    <w:rsid w:val="001E7260"/>
    <w:rPr>
      <w:sz w:val="16"/>
      <w:szCs w:val="16"/>
    </w:rPr>
  </w:style>
  <w:style w:type="paragraph" w:styleId="CommentText">
    <w:name w:val="annotation text"/>
    <w:basedOn w:val="Normal"/>
    <w:link w:val="CommentTextChar"/>
    <w:uiPriority w:val="99"/>
    <w:semiHidden/>
    <w:unhideWhenUsed/>
    <w:rsid w:val="001E7260"/>
  </w:style>
  <w:style w:type="character" w:customStyle="1" w:styleId="CommentTextChar">
    <w:name w:val="Comment Text Char"/>
    <w:basedOn w:val="DefaultParagraphFont"/>
    <w:link w:val="CommentText"/>
    <w:uiPriority w:val="99"/>
    <w:semiHidden/>
    <w:rsid w:val="001E7260"/>
    <w:rPr>
      <w:rFonts w:ascii="Verdana" w:eastAsia="Times" w:hAnsi="Verdana"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1E7260"/>
    <w:rPr>
      <w:b/>
      <w:bCs/>
    </w:rPr>
  </w:style>
  <w:style w:type="character" w:customStyle="1" w:styleId="CommentSubjectChar">
    <w:name w:val="Comment Subject Char"/>
    <w:basedOn w:val="CommentTextChar"/>
    <w:link w:val="CommentSubject"/>
    <w:uiPriority w:val="99"/>
    <w:semiHidden/>
    <w:rsid w:val="001E7260"/>
    <w:rPr>
      <w:rFonts w:ascii="Verdana" w:eastAsia="Times" w:hAnsi="Verdana" w:cs="Times New Roman"/>
      <w:b/>
      <w:bCs/>
      <w:sz w:val="20"/>
      <w:szCs w:val="20"/>
      <w:lang w:val="es-ES_tradnl"/>
    </w:rPr>
  </w:style>
  <w:style w:type="paragraph" w:styleId="Revision">
    <w:name w:val="Revision"/>
    <w:hidden/>
    <w:uiPriority w:val="99"/>
    <w:semiHidden/>
    <w:rsid w:val="00461895"/>
    <w:pPr>
      <w:spacing w:after="0" w:line="240" w:lineRule="auto"/>
    </w:pPr>
    <w:rPr>
      <w:rFonts w:ascii="Verdana" w:eastAsia="Times" w:hAnsi="Verdana" w:cs="Times New Roman"/>
      <w:sz w:val="20"/>
      <w:szCs w:val="20"/>
      <w:lang w:val="es-ES_tradnl"/>
    </w:rPr>
  </w:style>
  <w:style w:type="paragraph" w:customStyle="1" w:styleId="PrrafodeSentencia">
    <w:name w:val="*. Párrafo de Sentencia"/>
    <w:basedOn w:val="Normal"/>
    <w:link w:val="PrrafodeSentenciaChar"/>
    <w:autoRedefine/>
    <w:qFormat/>
    <w:rsid w:val="001F1D61"/>
    <w:pPr>
      <w:tabs>
        <w:tab w:val="left" w:pos="567"/>
      </w:tabs>
      <w:autoSpaceDE w:val="0"/>
      <w:autoSpaceDN w:val="0"/>
      <w:spacing w:after="200"/>
      <w:ind w:left="720" w:right="630"/>
      <w:contextualSpacing/>
      <w:jc w:val="both"/>
    </w:pPr>
    <w:rPr>
      <w:rFonts w:eastAsia="Batang"/>
      <w:sz w:val="16"/>
      <w:lang w:val="es-CR" w:eastAsia="es-MX"/>
    </w:rPr>
  </w:style>
  <w:style w:type="paragraph" w:styleId="NormalWeb">
    <w:name w:val="Normal (Web)"/>
    <w:aliases w:val="Normal (Web) Char1,Normal (Web) Char Char,Normal (Web) Char1 Char,Normal (Web) Char Char Char"/>
    <w:basedOn w:val="Normal"/>
    <w:uiPriority w:val="99"/>
    <w:unhideWhenUsed/>
    <w:qFormat/>
    <w:rsid w:val="00F52DD0"/>
    <w:pPr>
      <w:widowControl w:val="0"/>
      <w:adjustRightInd w:val="0"/>
      <w:spacing w:line="360" w:lineRule="atLeast"/>
      <w:jc w:val="both"/>
      <w:textAlignment w:val="baseline"/>
    </w:pPr>
    <w:rPr>
      <w:rFonts w:eastAsia="Times New Roman"/>
      <w:sz w:val="24"/>
      <w:szCs w:val="24"/>
      <w:lang w:val="es-CR" w:eastAsia="es-CR"/>
    </w:rPr>
  </w:style>
  <w:style w:type="paragraph" w:customStyle="1" w:styleId="Footnotes">
    <w:name w:val="**. Footnotes"/>
    <w:basedOn w:val="FootnoteText"/>
    <w:link w:val="FootnotesChar"/>
    <w:autoRedefine/>
    <w:qFormat/>
    <w:rsid w:val="00F52DD0"/>
    <w:pPr>
      <w:spacing w:before="120" w:after="120"/>
      <w:jc w:val="center"/>
    </w:pPr>
    <w:rPr>
      <w:rFonts w:eastAsia="Times New Roman" w:cs="Palatino-Italic"/>
      <w:iCs/>
      <w:szCs w:val="18"/>
      <w:lang w:val="es-ES" w:bidi="en-US"/>
    </w:rPr>
  </w:style>
  <w:style w:type="character" w:customStyle="1" w:styleId="FootnotesChar">
    <w:name w:val="**. Footnotes Char"/>
    <w:link w:val="Footnotes"/>
    <w:rsid w:val="00F52DD0"/>
    <w:rPr>
      <w:rFonts w:ascii="Verdana" w:eastAsia="Times New Roman" w:hAnsi="Verdana" w:cs="Palatino-Italic"/>
      <w:iCs/>
      <w:sz w:val="16"/>
      <w:szCs w:val="18"/>
      <w:lang w:val="es-ES" w:eastAsia="x-none" w:bidi="en-US"/>
    </w:rPr>
  </w:style>
  <w:style w:type="character" w:customStyle="1" w:styleId="apple-style-span">
    <w:name w:val="apple-style-span"/>
    <w:rsid w:val="00F52DD0"/>
    <w:rPr>
      <w:rFonts w:cs="Times New Roman"/>
    </w:rPr>
  </w:style>
  <w:style w:type="character" w:customStyle="1" w:styleId="PrrafodeSentenciaChar">
    <w:name w:val="*. Párrafo de Sentencia Char"/>
    <w:link w:val="PrrafodeSentencia"/>
    <w:rsid w:val="001F1D61"/>
    <w:rPr>
      <w:rFonts w:ascii="Verdana" w:eastAsia="Batang" w:hAnsi="Verdana" w:cs="Times New Roman"/>
      <w:sz w:val="16"/>
      <w:szCs w:val="20"/>
      <w:lang w:val="es-CR" w:eastAsia="es-MX"/>
    </w:rPr>
  </w:style>
  <w:style w:type="paragraph" w:styleId="Header">
    <w:name w:val="header"/>
    <w:basedOn w:val="Normal"/>
    <w:link w:val="HeaderChar"/>
    <w:uiPriority w:val="99"/>
    <w:unhideWhenUsed/>
    <w:rsid w:val="00FF5C02"/>
    <w:pPr>
      <w:tabs>
        <w:tab w:val="center" w:pos="4419"/>
        <w:tab w:val="right" w:pos="8838"/>
      </w:tabs>
    </w:pPr>
  </w:style>
  <w:style w:type="character" w:customStyle="1" w:styleId="HeaderChar">
    <w:name w:val="Header Char"/>
    <w:basedOn w:val="DefaultParagraphFont"/>
    <w:link w:val="Header"/>
    <w:uiPriority w:val="99"/>
    <w:rsid w:val="00FF5C02"/>
    <w:rPr>
      <w:rFonts w:ascii="Verdana" w:eastAsia="Times" w:hAnsi="Verdana" w:cs="Times New Roman"/>
      <w:sz w:val="20"/>
      <w:szCs w:val="20"/>
      <w:lang w:val="es-ES_tradnl"/>
    </w:rPr>
  </w:style>
  <w:style w:type="paragraph" w:styleId="Footer">
    <w:name w:val="footer"/>
    <w:basedOn w:val="Normal"/>
    <w:link w:val="FooterChar"/>
    <w:uiPriority w:val="99"/>
    <w:unhideWhenUsed/>
    <w:rsid w:val="00FF5C02"/>
    <w:pPr>
      <w:tabs>
        <w:tab w:val="center" w:pos="4419"/>
        <w:tab w:val="right" w:pos="8838"/>
      </w:tabs>
    </w:pPr>
  </w:style>
  <w:style w:type="character" w:customStyle="1" w:styleId="FooterChar">
    <w:name w:val="Footer Char"/>
    <w:basedOn w:val="DefaultParagraphFont"/>
    <w:link w:val="Footer"/>
    <w:uiPriority w:val="99"/>
    <w:rsid w:val="00FF5C02"/>
    <w:rPr>
      <w:rFonts w:ascii="Verdana" w:eastAsia="Times"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939">
      <w:bodyDiv w:val="1"/>
      <w:marLeft w:val="0"/>
      <w:marRight w:val="0"/>
      <w:marTop w:val="0"/>
      <w:marBottom w:val="0"/>
      <w:divBdr>
        <w:top w:val="none" w:sz="0" w:space="0" w:color="auto"/>
        <w:left w:val="none" w:sz="0" w:space="0" w:color="auto"/>
        <w:bottom w:val="none" w:sz="0" w:space="0" w:color="auto"/>
        <w:right w:val="none" w:sz="0" w:space="0" w:color="auto"/>
      </w:divBdr>
    </w:div>
    <w:div w:id="460422643">
      <w:bodyDiv w:val="1"/>
      <w:marLeft w:val="0"/>
      <w:marRight w:val="0"/>
      <w:marTop w:val="0"/>
      <w:marBottom w:val="0"/>
      <w:divBdr>
        <w:top w:val="none" w:sz="0" w:space="0" w:color="auto"/>
        <w:left w:val="none" w:sz="0" w:space="0" w:color="auto"/>
        <w:bottom w:val="none" w:sz="0" w:space="0" w:color="auto"/>
        <w:right w:val="none" w:sz="0" w:space="0" w:color="auto"/>
      </w:divBdr>
    </w:div>
    <w:div w:id="626618862">
      <w:bodyDiv w:val="1"/>
      <w:marLeft w:val="0"/>
      <w:marRight w:val="0"/>
      <w:marTop w:val="0"/>
      <w:marBottom w:val="0"/>
      <w:divBdr>
        <w:top w:val="none" w:sz="0" w:space="0" w:color="auto"/>
        <w:left w:val="none" w:sz="0" w:space="0" w:color="auto"/>
        <w:bottom w:val="none" w:sz="0" w:space="0" w:color="auto"/>
        <w:right w:val="none" w:sz="0" w:space="0" w:color="auto"/>
      </w:divBdr>
      <w:divsChild>
        <w:div w:id="693577344">
          <w:marLeft w:val="0"/>
          <w:marRight w:val="0"/>
          <w:marTop w:val="0"/>
          <w:marBottom w:val="0"/>
          <w:divBdr>
            <w:top w:val="none" w:sz="0" w:space="0" w:color="auto"/>
            <w:left w:val="none" w:sz="0" w:space="0" w:color="auto"/>
            <w:bottom w:val="none" w:sz="0" w:space="0" w:color="auto"/>
            <w:right w:val="none" w:sz="0" w:space="0" w:color="auto"/>
          </w:divBdr>
          <w:divsChild>
            <w:div w:id="1814060964">
              <w:marLeft w:val="0"/>
              <w:marRight w:val="0"/>
              <w:marTop w:val="0"/>
              <w:marBottom w:val="0"/>
              <w:divBdr>
                <w:top w:val="none" w:sz="0" w:space="0" w:color="auto"/>
                <w:left w:val="none" w:sz="0" w:space="0" w:color="auto"/>
                <w:bottom w:val="none" w:sz="0" w:space="0" w:color="auto"/>
                <w:right w:val="none" w:sz="0" w:space="0" w:color="auto"/>
              </w:divBdr>
            </w:div>
          </w:divsChild>
        </w:div>
        <w:div w:id="2141796923">
          <w:marLeft w:val="0"/>
          <w:marRight w:val="0"/>
          <w:marTop w:val="0"/>
          <w:marBottom w:val="0"/>
          <w:divBdr>
            <w:top w:val="none" w:sz="0" w:space="0" w:color="auto"/>
            <w:left w:val="none" w:sz="0" w:space="0" w:color="auto"/>
            <w:bottom w:val="none" w:sz="0" w:space="0" w:color="auto"/>
            <w:right w:val="none" w:sz="0" w:space="0" w:color="auto"/>
          </w:divBdr>
        </w:div>
        <w:div w:id="442964751">
          <w:marLeft w:val="0"/>
          <w:marRight w:val="0"/>
          <w:marTop w:val="0"/>
          <w:marBottom w:val="0"/>
          <w:divBdr>
            <w:top w:val="none" w:sz="0" w:space="0" w:color="auto"/>
            <w:left w:val="none" w:sz="0" w:space="0" w:color="auto"/>
            <w:bottom w:val="none" w:sz="0" w:space="0" w:color="auto"/>
            <w:right w:val="none" w:sz="0" w:space="0" w:color="auto"/>
          </w:divBdr>
          <w:divsChild>
            <w:div w:id="1702976102">
              <w:marLeft w:val="0"/>
              <w:marRight w:val="0"/>
              <w:marTop w:val="0"/>
              <w:marBottom w:val="0"/>
              <w:divBdr>
                <w:top w:val="none" w:sz="0" w:space="0" w:color="auto"/>
                <w:left w:val="none" w:sz="0" w:space="0" w:color="auto"/>
                <w:bottom w:val="none" w:sz="0" w:space="0" w:color="auto"/>
                <w:right w:val="none" w:sz="0" w:space="0" w:color="auto"/>
              </w:divBdr>
              <w:divsChild>
                <w:div w:id="213741579">
                  <w:marLeft w:val="0"/>
                  <w:marRight w:val="0"/>
                  <w:marTop w:val="0"/>
                  <w:marBottom w:val="0"/>
                  <w:divBdr>
                    <w:top w:val="none" w:sz="0" w:space="0" w:color="auto"/>
                    <w:left w:val="none" w:sz="0" w:space="0" w:color="auto"/>
                    <w:bottom w:val="none" w:sz="0" w:space="0" w:color="auto"/>
                    <w:right w:val="none" w:sz="0" w:space="0" w:color="auto"/>
                  </w:divBdr>
                </w:div>
                <w:div w:id="302660153">
                  <w:marLeft w:val="0"/>
                  <w:marRight w:val="0"/>
                  <w:marTop w:val="0"/>
                  <w:marBottom w:val="0"/>
                  <w:divBdr>
                    <w:top w:val="none" w:sz="0" w:space="0" w:color="auto"/>
                    <w:left w:val="none" w:sz="0" w:space="0" w:color="auto"/>
                    <w:bottom w:val="none" w:sz="0" w:space="0" w:color="auto"/>
                    <w:right w:val="none" w:sz="0" w:space="0" w:color="auto"/>
                  </w:divBdr>
                </w:div>
                <w:div w:id="702285158">
                  <w:marLeft w:val="0"/>
                  <w:marRight w:val="0"/>
                  <w:marTop w:val="0"/>
                  <w:marBottom w:val="0"/>
                  <w:divBdr>
                    <w:top w:val="none" w:sz="0" w:space="0" w:color="auto"/>
                    <w:left w:val="none" w:sz="0" w:space="0" w:color="auto"/>
                    <w:bottom w:val="none" w:sz="0" w:space="0" w:color="auto"/>
                    <w:right w:val="none" w:sz="0" w:space="0" w:color="auto"/>
                  </w:divBdr>
                </w:div>
                <w:div w:id="874997488">
                  <w:marLeft w:val="0"/>
                  <w:marRight w:val="0"/>
                  <w:marTop w:val="0"/>
                  <w:marBottom w:val="0"/>
                  <w:divBdr>
                    <w:top w:val="none" w:sz="0" w:space="0" w:color="auto"/>
                    <w:left w:val="none" w:sz="0" w:space="0" w:color="auto"/>
                    <w:bottom w:val="none" w:sz="0" w:space="0" w:color="auto"/>
                    <w:right w:val="none" w:sz="0" w:space="0" w:color="auto"/>
                  </w:divBdr>
                </w:div>
                <w:div w:id="974290458">
                  <w:marLeft w:val="0"/>
                  <w:marRight w:val="0"/>
                  <w:marTop w:val="0"/>
                  <w:marBottom w:val="0"/>
                  <w:divBdr>
                    <w:top w:val="none" w:sz="0" w:space="0" w:color="auto"/>
                    <w:left w:val="none" w:sz="0" w:space="0" w:color="auto"/>
                    <w:bottom w:val="none" w:sz="0" w:space="0" w:color="auto"/>
                    <w:right w:val="none" w:sz="0" w:space="0" w:color="auto"/>
                  </w:divBdr>
                </w:div>
                <w:div w:id="1574004835">
                  <w:marLeft w:val="0"/>
                  <w:marRight w:val="0"/>
                  <w:marTop w:val="0"/>
                  <w:marBottom w:val="0"/>
                  <w:divBdr>
                    <w:top w:val="none" w:sz="0" w:space="0" w:color="auto"/>
                    <w:left w:val="none" w:sz="0" w:space="0" w:color="auto"/>
                    <w:bottom w:val="none" w:sz="0" w:space="0" w:color="auto"/>
                    <w:right w:val="none" w:sz="0" w:space="0" w:color="auto"/>
                  </w:divBdr>
                </w:div>
                <w:div w:id="1811483645">
                  <w:marLeft w:val="0"/>
                  <w:marRight w:val="0"/>
                  <w:marTop w:val="0"/>
                  <w:marBottom w:val="0"/>
                  <w:divBdr>
                    <w:top w:val="none" w:sz="0" w:space="0" w:color="auto"/>
                    <w:left w:val="none" w:sz="0" w:space="0" w:color="auto"/>
                    <w:bottom w:val="none" w:sz="0" w:space="0" w:color="auto"/>
                    <w:right w:val="none" w:sz="0" w:space="0" w:color="auto"/>
                  </w:divBdr>
                  <w:divsChild>
                    <w:div w:id="2122843422">
                      <w:marLeft w:val="0"/>
                      <w:marRight w:val="0"/>
                      <w:marTop w:val="0"/>
                      <w:marBottom w:val="0"/>
                      <w:divBdr>
                        <w:top w:val="none" w:sz="0" w:space="0" w:color="auto"/>
                        <w:left w:val="none" w:sz="0" w:space="0" w:color="auto"/>
                        <w:bottom w:val="none" w:sz="0" w:space="0" w:color="auto"/>
                        <w:right w:val="none" w:sz="0" w:space="0" w:color="auto"/>
                      </w:divBdr>
                      <w:divsChild>
                        <w:div w:id="911697400">
                          <w:marLeft w:val="0"/>
                          <w:marRight w:val="0"/>
                          <w:marTop w:val="0"/>
                          <w:marBottom w:val="0"/>
                          <w:divBdr>
                            <w:top w:val="none" w:sz="0" w:space="0" w:color="auto"/>
                            <w:left w:val="none" w:sz="0" w:space="0" w:color="auto"/>
                            <w:bottom w:val="none" w:sz="0" w:space="0" w:color="auto"/>
                            <w:right w:val="none" w:sz="0" w:space="0" w:color="auto"/>
                          </w:divBdr>
                          <w:divsChild>
                            <w:div w:id="1704204523">
                              <w:marLeft w:val="0"/>
                              <w:marRight w:val="0"/>
                              <w:marTop w:val="0"/>
                              <w:marBottom w:val="0"/>
                              <w:divBdr>
                                <w:top w:val="none" w:sz="0" w:space="0" w:color="auto"/>
                                <w:left w:val="none" w:sz="0" w:space="0" w:color="auto"/>
                                <w:bottom w:val="none" w:sz="0" w:space="0" w:color="auto"/>
                                <w:right w:val="none" w:sz="0" w:space="0" w:color="auto"/>
                              </w:divBdr>
                            </w:div>
                            <w:div w:id="1506164459">
                              <w:marLeft w:val="0"/>
                              <w:marRight w:val="0"/>
                              <w:marTop w:val="0"/>
                              <w:marBottom w:val="0"/>
                              <w:divBdr>
                                <w:top w:val="none" w:sz="0" w:space="0" w:color="auto"/>
                                <w:left w:val="none" w:sz="0" w:space="0" w:color="auto"/>
                                <w:bottom w:val="none" w:sz="0" w:space="0" w:color="auto"/>
                                <w:right w:val="none" w:sz="0" w:space="0" w:color="auto"/>
                              </w:divBdr>
                            </w:div>
                            <w:div w:id="1132476205">
                              <w:marLeft w:val="0"/>
                              <w:marRight w:val="0"/>
                              <w:marTop w:val="0"/>
                              <w:marBottom w:val="0"/>
                              <w:divBdr>
                                <w:top w:val="none" w:sz="0" w:space="0" w:color="auto"/>
                                <w:left w:val="none" w:sz="0" w:space="0" w:color="auto"/>
                                <w:bottom w:val="none" w:sz="0" w:space="0" w:color="auto"/>
                                <w:right w:val="none" w:sz="0" w:space="0" w:color="auto"/>
                              </w:divBdr>
                              <w:divsChild>
                                <w:div w:id="715738078">
                                  <w:marLeft w:val="0"/>
                                  <w:marRight w:val="0"/>
                                  <w:marTop w:val="0"/>
                                  <w:marBottom w:val="0"/>
                                  <w:divBdr>
                                    <w:top w:val="none" w:sz="0" w:space="0" w:color="auto"/>
                                    <w:left w:val="none" w:sz="0" w:space="0" w:color="auto"/>
                                    <w:bottom w:val="none" w:sz="0" w:space="0" w:color="auto"/>
                                    <w:right w:val="none" w:sz="0" w:space="0" w:color="auto"/>
                                  </w:divBdr>
                                </w:div>
                              </w:divsChild>
                            </w:div>
                            <w:div w:id="81074119">
                              <w:marLeft w:val="0"/>
                              <w:marRight w:val="0"/>
                              <w:marTop w:val="0"/>
                              <w:marBottom w:val="0"/>
                              <w:divBdr>
                                <w:top w:val="none" w:sz="0" w:space="0" w:color="auto"/>
                                <w:left w:val="none" w:sz="0" w:space="0" w:color="auto"/>
                                <w:bottom w:val="none" w:sz="0" w:space="0" w:color="auto"/>
                                <w:right w:val="none" w:sz="0" w:space="0" w:color="auto"/>
                              </w:divBdr>
                            </w:div>
                            <w:div w:id="287318465">
                              <w:marLeft w:val="0"/>
                              <w:marRight w:val="0"/>
                              <w:marTop w:val="0"/>
                              <w:marBottom w:val="0"/>
                              <w:divBdr>
                                <w:top w:val="none" w:sz="0" w:space="0" w:color="auto"/>
                                <w:left w:val="none" w:sz="0" w:space="0" w:color="auto"/>
                                <w:bottom w:val="none" w:sz="0" w:space="0" w:color="auto"/>
                                <w:right w:val="none" w:sz="0" w:space="0" w:color="auto"/>
                              </w:divBdr>
                            </w:div>
                            <w:div w:id="18161270">
                              <w:marLeft w:val="0"/>
                              <w:marRight w:val="0"/>
                              <w:marTop w:val="0"/>
                              <w:marBottom w:val="0"/>
                              <w:divBdr>
                                <w:top w:val="none" w:sz="0" w:space="0" w:color="auto"/>
                                <w:left w:val="none" w:sz="0" w:space="0" w:color="auto"/>
                                <w:bottom w:val="none" w:sz="0" w:space="0" w:color="auto"/>
                                <w:right w:val="none" w:sz="0" w:space="0" w:color="auto"/>
                              </w:divBdr>
                            </w:div>
                            <w:div w:id="1900246793">
                              <w:marLeft w:val="0"/>
                              <w:marRight w:val="0"/>
                              <w:marTop w:val="0"/>
                              <w:marBottom w:val="0"/>
                              <w:divBdr>
                                <w:top w:val="none" w:sz="0" w:space="0" w:color="auto"/>
                                <w:left w:val="none" w:sz="0" w:space="0" w:color="auto"/>
                                <w:bottom w:val="none" w:sz="0" w:space="0" w:color="auto"/>
                                <w:right w:val="none" w:sz="0" w:space="0" w:color="auto"/>
                              </w:divBdr>
                            </w:div>
                            <w:div w:id="806435400">
                              <w:marLeft w:val="0"/>
                              <w:marRight w:val="0"/>
                              <w:marTop w:val="0"/>
                              <w:marBottom w:val="0"/>
                              <w:divBdr>
                                <w:top w:val="none" w:sz="0" w:space="0" w:color="auto"/>
                                <w:left w:val="none" w:sz="0" w:space="0" w:color="auto"/>
                                <w:bottom w:val="none" w:sz="0" w:space="0" w:color="auto"/>
                                <w:right w:val="none" w:sz="0" w:space="0" w:color="auto"/>
                              </w:divBdr>
                            </w:div>
                            <w:div w:id="1917275485">
                              <w:marLeft w:val="0"/>
                              <w:marRight w:val="0"/>
                              <w:marTop w:val="0"/>
                              <w:marBottom w:val="0"/>
                              <w:divBdr>
                                <w:top w:val="none" w:sz="0" w:space="0" w:color="auto"/>
                                <w:left w:val="none" w:sz="0" w:space="0" w:color="auto"/>
                                <w:bottom w:val="none" w:sz="0" w:space="0" w:color="auto"/>
                                <w:right w:val="none" w:sz="0" w:space="0" w:color="auto"/>
                              </w:divBdr>
                            </w:div>
                            <w:div w:id="907685733">
                              <w:marLeft w:val="0"/>
                              <w:marRight w:val="0"/>
                              <w:marTop w:val="0"/>
                              <w:marBottom w:val="0"/>
                              <w:divBdr>
                                <w:top w:val="none" w:sz="0" w:space="0" w:color="auto"/>
                                <w:left w:val="none" w:sz="0" w:space="0" w:color="auto"/>
                                <w:bottom w:val="none" w:sz="0" w:space="0" w:color="auto"/>
                                <w:right w:val="none" w:sz="0" w:space="0" w:color="auto"/>
                              </w:divBdr>
                            </w:div>
                            <w:div w:id="1034617714">
                              <w:marLeft w:val="0"/>
                              <w:marRight w:val="0"/>
                              <w:marTop w:val="0"/>
                              <w:marBottom w:val="0"/>
                              <w:divBdr>
                                <w:top w:val="none" w:sz="0" w:space="0" w:color="auto"/>
                                <w:left w:val="none" w:sz="0" w:space="0" w:color="auto"/>
                                <w:bottom w:val="none" w:sz="0" w:space="0" w:color="auto"/>
                                <w:right w:val="none" w:sz="0" w:space="0" w:color="auto"/>
                              </w:divBdr>
                            </w:div>
                            <w:div w:id="1566138345">
                              <w:marLeft w:val="0"/>
                              <w:marRight w:val="0"/>
                              <w:marTop w:val="0"/>
                              <w:marBottom w:val="0"/>
                              <w:divBdr>
                                <w:top w:val="none" w:sz="0" w:space="0" w:color="auto"/>
                                <w:left w:val="none" w:sz="0" w:space="0" w:color="auto"/>
                                <w:bottom w:val="none" w:sz="0" w:space="0" w:color="auto"/>
                                <w:right w:val="none" w:sz="0" w:space="0" w:color="auto"/>
                              </w:divBdr>
                            </w:div>
                            <w:div w:id="17957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1354">
      <w:bodyDiv w:val="1"/>
      <w:marLeft w:val="0"/>
      <w:marRight w:val="0"/>
      <w:marTop w:val="0"/>
      <w:marBottom w:val="0"/>
      <w:divBdr>
        <w:top w:val="none" w:sz="0" w:space="0" w:color="auto"/>
        <w:left w:val="none" w:sz="0" w:space="0" w:color="auto"/>
        <w:bottom w:val="none" w:sz="0" w:space="0" w:color="auto"/>
        <w:right w:val="none" w:sz="0" w:space="0" w:color="auto"/>
      </w:divBdr>
      <w:divsChild>
        <w:div w:id="457574901">
          <w:marLeft w:val="0"/>
          <w:marRight w:val="0"/>
          <w:marTop w:val="0"/>
          <w:marBottom w:val="0"/>
          <w:divBdr>
            <w:top w:val="none" w:sz="0" w:space="0" w:color="auto"/>
            <w:left w:val="none" w:sz="0" w:space="0" w:color="auto"/>
            <w:bottom w:val="none" w:sz="0" w:space="0" w:color="auto"/>
            <w:right w:val="none" w:sz="0" w:space="0" w:color="auto"/>
          </w:divBdr>
        </w:div>
        <w:div w:id="62919549">
          <w:marLeft w:val="0"/>
          <w:marRight w:val="0"/>
          <w:marTop w:val="0"/>
          <w:marBottom w:val="0"/>
          <w:divBdr>
            <w:top w:val="none" w:sz="0" w:space="0" w:color="auto"/>
            <w:left w:val="none" w:sz="0" w:space="0" w:color="auto"/>
            <w:bottom w:val="none" w:sz="0" w:space="0" w:color="auto"/>
            <w:right w:val="none" w:sz="0" w:space="0" w:color="auto"/>
          </w:divBdr>
        </w:div>
        <w:div w:id="539513981">
          <w:marLeft w:val="0"/>
          <w:marRight w:val="0"/>
          <w:marTop w:val="0"/>
          <w:marBottom w:val="0"/>
          <w:divBdr>
            <w:top w:val="none" w:sz="0" w:space="0" w:color="auto"/>
            <w:left w:val="none" w:sz="0" w:space="0" w:color="auto"/>
            <w:bottom w:val="none" w:sz="0" w:space="0" w:color="auto"/>
            <w:right w:val="none" w:sz="0" w:space="0" w:color="auto"/>
          </w:divBdr>
        </w:div>
        <w:div w:id="1883903416">
          <w:marLeft w:val="0"/>
          <w:marRight w:val="0"/>
          <w:marTop w:val="0"/>
          <w:marBottom w:val="0"/>
          <w:divBdr>
            <w:top w:val="none" w:sz="0" w:space="0" w:color="auto"/>
            <w:left w:val="none" w:sz="0" w:space="0" w:color="auto"/>
            <w:bottom w:val="none" w:sz="0" w:space="0" w:color="auto"/>
            <w:right w:val="none" w:sz="0" w:space="0" w:color="auto"/>
          </w:divBdr>
        </w:div>
      </w:divsChild>
    </w:div>
    <w:div w:id="1617449119">
      <w:bodyDiv w:val="1"/>
      <w:marLeft w:val="0"/>
      <w:marRight w:val="0"/>
      <w:marTop w:val="0"/>
      <w:marBottom w:val="0"/>
      <w:divBdr>
        <w:top w:val="none" w:sz="0" w:space="0" w:color="auto"/>
        <w:left w:val="none" w:sz="0" w:space="0" w:color="auto"/>
        <w:bottom w:val="none" w:sz="0" w:space="0" w:color="auto"/>
        <w:right w:val="none" w:sz="0" w:space="0" w:color="auto"/>
      </w:divBdr>
      <w:divsChild>
        <w:div w:id="1339431308">
          <w:marLeft w:val="0"/>
          <w:marRight w:val="0"/>
          <w:marTop w:val="0"/>
          <w:marBottom w:val="0"/>
          <w:divBdr>
            <w:top w:val="none" w:sz="0" w:space="0" w:color="auto"/>
            <w:left w:val="none" w:sz="0" w:space="0" w:color="auto"/>
            <w:bottom w:val="none" w:sz="0" w:space="0" w:color="auto"/>
            <w:right w:val="none" w:sz="0" w:space="0" w:color="auto"/>
          </w:divBdr>
        </w:div>
        <w:div w:id="814881973">
          <w:marLeft w:val="0"/>
          <w:marRight w:val="0"/>
          <w:marTop w:val="0"/>
          <w:marBottom w:val="0"/>
          <w:divBdr>
            <w:top w:val="none" w:sz="0" w:space="0" w:color="auto"/>
            <w:left w:val="none" w:sz="0" w:space="0" w:color="auto"/>
            <w:bottom w:val="none" w:sz="0" w:space="0" w:color="auto"/>
            <w:right w:val="none" w:sz="0" w:space="0" w:color="auto"/>
          </w:divBdr>
        </w:div>
      </w:divsChild>
    </w:div>
    <w:div w:id="21216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BDD6-97DD-4509-B1F1-F7109091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4552</Words>
  <Characters>25953</Characters>
  <Application>Microsoft Office Word</Application>
  <DocSecurity>4</DocSecurity>
  <Lines>216</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2018-09-03T17:35:00Z</cp:lastPrinted>
  <dcterms:created xsi:type="dcterms:W3CDTF">2018-09-04T17:37:00Z</dcterms:created>
  <dcterms:modified xsi:type="dcterms:W3CDTF">2018-09-04T17:37:00Z</dcterms:modified>
</cp:coreProperties>
</file>