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38C906" w14:textId="75AE106B" w:rsidR="000975BB" w:rsidRPr="005254A8" w:rsidRDefault="000975BB" w:rsidP="000975BB">
      <w:pPr>
        <w:jc w:val="center"/>
        <w:rPr>
          <w:rFonts w:eastAsia="Times New Roman" w:cs="Verdana"/>
          <w:b/>
          <w:bCs/>
          <w:caps/>
          <w:snapToGrid w:val="0"/>
          <w:lang w:val="es-CR" w:eastAsia="es-ES"/>
        </w:rPr>
      </w:pPr>
      <w:bookmarkStart w:id="0" w:name="_GoBack"/>
      <w:bookmarkEnd w:id="0"/>
    </w:p>
    <w:p w14:paraId="5384B07D" w14:textId="77777777" w:rsidR="000975BB" w:rsidRPr="005254A8" w:rsidRDefault="000975BB" w:rsidP="000975BB">
      <w:pPr>
        <w:jc w:val="center"/>
        <w:rPr>
          <w:rFonts w:eastAsia="Times New Roman" w:cs="Verdana"/>
          <w:b/>
          <w:bCs/>
          <w:caps/>
          <w:snapToGrid w:val="0"/>
          <w:lang w:val="es-CR" w:eastAsia="es-ES"/>
        </w:rPr>
      </w:pPr>
    </w:p>
    <w:p w14:paraId="247385ED" w14:textId="77777777" w:rsidR="000975BB" w:rsidRPr="005254A8" w:rsidRDefault="000975BB" w:rsidP="000975BB">
      <w:pPr>
        <w:jc w:val="center"/>
        <w:rPr>
          <w:rFonts w:eastAsia="Times New Roman" w:cs="Verdana"/>
          <w:b/>
          <w:bCs/>
          <w:caps/>
          <w:snapToGrid w:val="0"/>
          <w:lang w:val="es-CR" w:eastAsia="es-ES"/>
        </w:rPr>
      </w:pPr>
    </w:p>
    <w:p w14:paraId="7EE598C1" w14:textId="77777777" w:rsidR="000975BB" w:rsidRPr="005254A8" w:rsidRDefault="000975BB" w:rsidP="000975BB">
      <w:pPr>
        <w:jc w:val="center"/>
        <w:rPr>
          <w:rFonts w:eastAsia="Times New Roman" w:cs="Verdana"/>
          <w:b/>
          <w:bCs/>
          <w:caps/>
          <w:snapToGrid w:val="0"/>
          <w:lang w:val="es-CR" w:eastAsia="es-ES"/>
        </w:rPr>
      </w:pPr>
    </w:p>
    <w:p w14:paraId="49222524" w14:textId="77777777" w:rsidR="000975BB" w:rsidRPr="005254A8" w:rsidRDefault="000975BB" w:rsidP="000975BB">
      <w:pPr>
        <w:jc w:val="center"/>
        <w:rPr>
          <w:rFonts w:eastAsia="Times New Roman" w:cs="Verdana"/>
          <w:b/>
          <w:bCs/>
          <w:caps/>
          <w:snapToGrid w:val="0"/>
          <w:lang w:val="es-CR" w:eastAsia="es-ES"/>
        </w:rPr>
      </w:pPr>
    </w:p>
    <w:p w14:paraId="3DF7A7D3" w14:textId="77777777" w:rsidR="000975BB" w:rsidRPr="005254A8" w:rsidRDefault="000975BB" w:rsidP="000975BB">
      <w:pPr>
        <w:jc w:val="center"/>
        <w:rPr>
          <w:rFonts w:eastAsia="Times New Roman" w:cs="Verdana"/>
          <w:b/>
          <w:bCs/>
          <w:caps/>
          <w:snapToGrid w:val="0"/>
          <w:lang w:val="es-CR" w:eastAsia="es-ES"/>
        </w:rPr>
      </w:pPr>
    </w:p>
    <w:p w14:paraId="60EE2A02" w14:textId="77777777" w:rsidR="000975BB" w:rsidRPr="005254A8" w:rsidRDefault="000975BB" w:rsidP="000975BB">
      <w:pPr>
        <w:jc w:val="center"/>
        <w:rPr>
          <w:rFonts w:eastAsia="Times New Roman" w:cs="Verdana"/>
          <w:b/>
          <w:bCs/>
          <w:caps/>
          <w:snapToGrid w:val="0"/>
          <w:lang w:val="es-CR" w:eastAsia="es-ES"/>
        </w:rPr>
      </w:pPr>
      <w:r w:rsidRPr="005254A8">
        <w:rPr>
          <w:rFonts w:eastAsia="Times New Roman" w:cs="Verdana"/>
          <w:b/>
          <w:bCs/>
          <w:caps/>
          <w:snapToGrid w:val="0"/>
          <w:lang w:val="es-CR" w:eastAsia="es-ES"/>
        </w:rPr>
        <w:t>Corte Interamericana de Derechos Humanos</w:t>
      </w:r>
      <w:r>
        <w:rPr>
          <w:rStyle w:val="FootnoteReference"/>
          <w:lang w:val="es-CR"/>
        </w:rPr>
        <w:footnoteReference w:customMarkFollows="1" w:id="1"/>
        <w:sym w:font="Symbol" w:char="F02A"/>
      </w:r>
    </w:p>
    <w:p w14:paraId="2BCE7F32" w14:textId="77777777" w:rsidR="000975BB" w:rsidRPr="005254A8" w:rsidRDefault="000975BB" w:rsidP="000975BB">
      <w:pPr>
        <w:jc w:val="center"/>
        <w:rPr>
          <w:rFonts w:eastAsia="Times New Roman" w:cs="Verdana"/>
          <w:b/>
          <w:bCs/>
          <w:caps/>
          <w:snapToGrid w:val="0"/>
          <w:lang w:val="es-CR" w:eastAsia="es-ES"/>
        </w:rPr>
      </w:pPr>
    </w:p>
    <w:p w14:paraId="2BF26D4B" w14:textId="77777777" w:rsidR="000975BB" w:rsidRPr="005254A8" w:rsidRDefault="000975BB" w:rsidP="000975BB">
      <w:pPr>
        <w:jc w:val="center"/>
        <w:rPr>
          <w:rFonts w:eastAsia="Times New Roman" w:cs="Verdana"/>
          <w:b/>
          <w:bCs/>
          <w:caps/>
          <w:snapToGrid w:val="0"/>
          <w:lang w:val="es-CR" w:eastAsia="es-ES"/>
        </w:rPr>
      </w:pPr>
    </w:p>
    <w:p w14:paraId="0E579EB5" w14:textId="21492671" w:rsidR="000975BB" w:rsidRPr="005254A8" w:rsidRDefault="000975BB" w:rsidP="000975BB">
      <w:pPr>
        <w:jc w:val="center"/>
        <w:rPr>
          <w:rFonts w:eastAsia="Times New Roman" w:cs="Verdana"/>
          <w:b/>
          <w:bCs/>
          <w:caps/>
          <w:snapToGrid w:val="0"/>
          <w:lang w:val="es-CR" w:eastAsia="es-ES"/>
        </w:rPr>
      </w:pPr>
      <w:r>
        <w:rPr>
          <w:rFonts w:eastAsia="MS Mincho"/>
          <w:b/>
          <w:lang w:val="es-CR"/>
        </w:rPr>
        <w:t xml:space="preserve">CASO </w:t>
      </w:r>
      <w:r w:rsidR="00DA0F23">
        <w:rPr>
          <w:rFonts w:eastAsia="MS Mincho"/>
          <w:b/>
          <w:lang w:val="es-CR"/>
        </w:rPr>
        <w:t xml:space="preserve">CARVAJAL </w:t>
      </w:r>
      <w:proofErr w:type="spellStart"/>
      <w:r w:rsidR="00DA0F23">
        <w:rPr>
          <w:rFonts w:eastAsia="MS Mincho"/>
          <w:b/>
          <w:lang w:val="es-CR"/>
        </w:rPr>
        <w:t>CARVAJAL</w:t>
      </w:r>
      <w:proofErr w:type="spellEnd"/>
      <w:r w:rsidR="00DA0F23">
        <w:rPr>
          <w:rFonts w:eastAsia="MS Mincho"/>
          <w:b/>
          <w:lang w:val="es-CR"/>
        </w:rPr>
        <w:t xml:space="preserve"> Y OTRO</w:t>
      </w:r>
      <w:r>
        <w:rPr>
          <w:rFonts w:eastAsia="MS Mincho"/>
          <w:b/>
          <w:lang w:val="es-CR"/>
        </w:rPr>
        <w:t xml:space="preserve">S </w:t>
      </w:r>
      <w:r w:rsidRPr="00692409">
        <w:rPr>
          <w:rFonts w:eastAsia="MS Mincho"/>
          <w:b/>
          <w:i/>
          <w:lang w:val="es-CR"/>
        </w:rPr>
        <w:t>VS</w:t>
      </w:r>
      <w:r>
        <w:rPr>
          <w:rFonts w:eastAsia="MS Mincho"/>
          <w:b/>
          <w:lang w:val="es-CR"/>
        </w:rPr>
        <w:t>. COLOMBIA</w:t>
      </w:r>
    </w:p>
    <w:p w14:paraId="52702BAB" w14:textId="77777777" w:rsidR="000975BB" w:rsidRPr="005254A8" w:rsidRDefault="000975BB" w:rsidP="000975BB">
      <w:pPr>
        <w:jc w:val="center"/>
        <w:rPr>
          <w:rFonts w:eastAsia="Times New Roman" w:cs="Verdana"/>
          <w:b/>
          <w:bCs/>
          <w:caps/>
          <w:snapToGrid w:val="0"/>
          <w:lang w:val="es-CR" w:eastAsia="es-ES"/>
        </w:rPr>
      </w:pPr>
    </w:p>
    <w:p w14:paraId="34481584" w14:textId="77777777" w:rsidR="000975BB" w:rsidRPr="005254A8" w:rsidRDefault="000975BB" w:rsidP="000975BB">
      <w:pPr>
        <w:jc w:val="center"/>
        <w:rPr>
          <w:rFonts w:eastAsia="Times New Roman" w:cs="Verdana"/>
          <w:b/>
          <w:bCs/>
          <w:caps/>
          <w:snapToGrid w:val="0"/>
          <w:lang w:val="es-CR" w:eastAsia="es-ES"/>
        </w:rPr>
      </w:pPr>
    </w:p>
    <w:p w14:paraId="4C6E2CFD" w14:textId="51DEAF39" w:rsidR="000975BB" w:rsidRPr="005254A8" w:rsidRDefault="000975BB" w:rsidP="000975BB">
      <w:pPr>
        <w:jc w:val="center"/>
        <w:rPr>
          <w:rFonts w:eastAsia="Times New Roman" w:cs="Verdana"/>
          <w:b/>
          <w:bCs/>
          <w:caps/>
          <w:snapToGrid w:val="0"/>
          <w:lang w:val="es-CR" w:eastAsia="es-ES"/>
        </w:rPr>
      </w:pPr>
      <w:r w:rsidRPr="005254A8">
        <w:rPr>
          <w:rFonts w:eastAsia="Times New Roman" w:cs="Verdana"/>
          <w:b/>
          <w:bCs/>
          <w:caps/>
          <w:snapToGrid w:val="0"/>
          <w:lang w:val="es-CR" w:eastAsia="es-ES"/>
        </w:rPr>
        <w:t xml:space="preserve">Sentencia de </w:t>
      </w:r>
      <w:r w:rsidR="004765BB">
        <w:rPr>
          <w:rFonts w:eastAsia="Times New Roman" w:cs="Verdana"/>
          <w:b/>
          <w:bCs/>
          <w:caps/>
          <w:snapToGrid w:val="0"/>
          <w:lang w:val="es-CR" w:eastAsia="es-ES"/>
        </w:rPr>
        <w:t>21</w:t>
      </w:r>
      <w:r w:rsidR="00DA0F23">
        <w:rPr>
          <w:rFonts w:eastAsia="Times New Roman" w:cs="Verdana"/>
          <w:b/>
          <w:bCs/>
          <w:caps/>
          <w:snapToGrid w:val="0"/>
          <w:lang w:val="es-CR" w:eastAsia="es-ES"/>
        </w:rPr>
        <w:t xml:space="preserve"> DE NOVIEMBRE de 2018</w:t>
      </w:r>
    </w:p>
    <w:p w14:paraId="39C0BD0D" w14:textId="77777777" w:rsidR="000975BB" w:rsidRPr="005254A8" w:rsidRDefault="000975BB" w:rsidP="000975BB">
      <w:pPr>
        <w:jc w:val="center"/>
        <w:rPr>
          <w:rFonts w:eastAsia="Times New Roman" w:cs="Verdana"/>
          <w:b/>
          <w:bCs/>
          <w:caps/>
          <w:snapToGrid w:val="0"/>
          <w:lang w:val="es-CR" w:eastAsia="es-ES"/>
        </w:rPr>
      </w:pPr>
    </w:p>
    <w:p w14:paraId="32217F14" w14:textId="00565F8D" w:rsidR="000975BB" w:rsidRDefault="000975BB" w:rsidP="000975BB">
      <w:pPr>
        <w:jc w:val="center"/>
        <w:rPr>
          <w:rFonts w:eastAsia="Times New Roman" w:cs="Verdana"/>
          <w:b/>
          <w:bCs/>
          <w:i/>
          <w:snapToGrid w:val="0"/>
          <w:lang w:val="es-CR" w:eastAsia="es-ES"/>
        </w:rPr>
      </w:pPr>
      <w:r w:rsidRPr="005254A8">
        <w:rPr>
          <w:rFonts w:eastAsia="Times New Roman" w:cs="Verdana"/>
          <w:b/>
          <w:bCs/>
          <w:i/>
          <w:snapToGrid w:val="0"/>
          <w:lang w:val="es-CR" w:eastAsia="es-ES"/>
        </w:rPr>
        <w:t>(Interpretación de la Sentencia de</w:t>
      </w:r>
      <w:r>
        <w:rPr>
          <w:rFonts w:eastAsia="Times New Roman" w:cs="Verdana"/>
          <w:b/>
          <w:bCs/>
          <w:i/>
          <w:snapToGrid w:val="0"/>
          <w:lang w:val="es-CR" w:eastAsia="es-ES"/>
        </w:rPr>
        <w:t xml:space="preserve"> </w:t>
      </w:r>
    </w:p>
    <w:p w14:paraId="4A14F68F" w14:textId="77777777" w:rsidR="000975BB" w:rsidRPr="005254A8" w:rsidRDefault="000975BB" w:rsidP="000975BB">
      <w:pPr>
        <w:jc w:val="center"/>
        <w:rPr>
          <w:rFonts w:eastAsia="Times New Roman" w:cs="Verdana"/>
          <w:b/>
          <w:bCs/>
          <w:i/>
          <w:snapToGrid w:val="0"/>
          <w:lang w:val="es-CR" w:eastAsia="es-ES"/>
        </w:rPr>
      </w:pPr>
      <w:r w:rsidRPr="005254A8">
        <w:rPr>
          <w:rFonts w:eastAsia="Times New Roman" w:cs="Verdana"/>
          <w:b/>
          <w:bCs/>
          <w:i/>
          <w:snapToGrid w:val="0"/>
          <w:lang w:val="es-CR" w:eastAsia="es-ES"/>
        </w:rPr>
        <w:t>Fondo, Reparaciones y Costas</w:t>
      </w:r>
      <w:r w:rsidRPr="005254A8">
        <w:rPr>
          <w:rFonts w:eastAsia="Times New Roman" w:cs="Verdana"/>
          <w:b/>
          <w:bCs/>
          <w:i/>
          <w:caps/>
          <w:snapToGrid w:val="0"/>
          <w:lang w:val="es-CR" w:eastAsia="es-ES"/>
        </w:rPr>
        <w:t>)</w:t>
      </w:r>
    </w:p>
    <w:p w14:paraId="2143B30E" w14:textId="77777777" w:rsidR="000975BB" w:rsidRDefault="000975BB" w:rsidP="000975BB">
      <w:pPr>
        <w:jc w:val="both"/>
        <w:rPr>
          <w:lang w:val="es-CR"/>
        </w:rPr>
      </w:pPr>
    </w:p>
    <w:p w14:paraId="3D38D12A" w14:textId="77777777" w:rsidR="000975BB" w:rsidRPr="005254A8" w:rsidRDefault="000975BB" w:rsidP="000975BB">
      <w:pPr>
        <w:jc w:val="both"/>
        <w:rPr>
          <w:lang w:val="es-CR"/>
        </w:rPr>
      </w:pPr>
    </w:p>
    <w:p w14:paraId="47BD111F" w14:textId="77777777" w:rsidR="000975BB" w:rsidRPr="005254A8" w:rsidRDefault="000975BB" w:rsidP="000975BB">
      <w:pPr>
        <w:jc w:val="both"/>
        <w:rPr>
          <w:lang w:val="es-CR"/>
        </w:rPr>
      </w:pPr>
    </w:p>
    <w:p w14:paraId="3B46BC70" w14:textId="2CB15B5B" w:rsidR="000975BB" w:rsidRPr="005254A8" w:rsidRDefault="000975BB" w:rsidP="000975BB">
      <w:pPr>
        <w:rPr>
          <w:lang w:val="es-CR"/>
        </w:rPr>
      </w:pPr>
      <w:r w:rsidRPr="005254A8">
        <w:rPr>
          <w:lang w:val="es-CR"/>
        </w:rPr>
        <w:t>En el caso</w:t>
      </w:r>
      <w:r>
        <w:rPr>
          <w:lang w:val="es-CR"/>
        </w:rPr>
        <w:t xml:space="preserve"> </w:t>
      </w:r>
      <w:r w:rsidR="00DA0F23">
        <w:rPr>
          <w:i/>
          <w:lang w:val="es-CR"/>
        </w:rPr>
        <w:t xml:space="preserve">Carvajal </w:t>
      </w:r>
      <w:proofErr w:type="spellStart"/>
      <w:r w:rsidR="00DA0F23">
        <w:rPr>
          <w:i/>
          <w:lang w:val="es-CR"/>
        </w:rPr>
        <w:t>Carvajal</w:t>
      </w:r>
      <w:proofErr w:type="spellEnd"/>
      <w:r w:rsidR="00DA0F23">
        <w:rPr>
          <w:i/>
          <w:lang w:val="es-CR"/>
        </w:rPr>
        <w:t xml:space="preserve"> y Otros</w:t>
      </w:r>
      <w:r>
        <w:rPr>
          <w:i/>
          <w:lang w:val="es-CR"/>
        </w:rPr>
        <w:t xml:space="preserve"> Vs. Colombia, </w:t>
      </w:r>
      <w:r w:rsidRPr="005254A8">
        <w:rPr>
          <w:lang w:val="es-CR"/>
        </w:rPr>
        <w:t xml:space="preserve"> </w:t>
      </w:r>
    </w:p>
    <w:p w14:paraId="23B7D6ED" w14:textId="77777777" w:rsidR="000975BB" w:rsidRPr="005254A8" w:rsidRDefault="000975BB" w:rsidP="000975BB">
      <w:pPr>
        <w:rPr>
          <w:lang w:val="es-CR"/>
        </w:rPr>
      </w:pPr>
    </w:p>
    <w:p w14:paraId="5EBD0B73" w14:textId="77777777" w:rsidR="000975BB" w:rsidRDefault="000975BB" w:rsidP="000975BB">
      <w:pPr>
        <w:rPr>
          <w:lang w:val="es-CR"/>
        </w:rPr>
      </w:pPr>
      <w:proofErr w:type="gramStart"/>
      <w:r>
        <w:rPr>
          <w:lang w:val="es-CR"/>
        </w:rPr>
        <w:t>la</w:t>
      </w:r>
      <w:proofErr w:type="gramEnd"/>
      <w:r>
        <w:rPr>
          <w:lang w:val="es-CR"/>
        </w:rPr>
        <w:t xml:space="preserve"> Corte Interamericana de Derechos Humanos (en adelante “la Corte Interamericana”, “la Corte” </w:t>
      </w:r>
      <w:r>
        <w:rPr>
          <w:rFonts w:cs="Verdana"/>
          <w:lang w:val="es-CR"/>
        </w:rPr>
        <w:t>o “el Tribunal”</w:t>
      </w:r>
      <w:r>
        <w:rPr>
          <w:lang w:val="es-CR"/>
        </w:rPr>
        <w:t>), integrada por los siguientes Jueces</w:t>
      </w:r>
      <w:r>
        <w:rPr>
          <w:rStyle w:val="FootnoteReference"/>
          <w:lang w:val="es-CR"/>
        </w:rPr>
        <w:footnoteReference w:customMarkFollows="1" w:id="2"/>
        <w:sym w:font="Symbol" w:char="F02A"/>
      </w:r>
      <w:r>
        <w:rPr>
          <w:lang w:val="es-CR"/>
        </w:rPr>
        <w:t>:</w:t>
      </w:r>
    </w:p>
    <w:p w14:paraId="156D3450" w14:textId="77777777" w:rsidR="000975BB" w:rsidRDefault="000975BB" w:rsidP="000975BB">
      <w:pPr>
        <w:rPr>
          <w:lang w:val="es-CR"/>
        </w:rPr>
      </w:pPr>
    </w:p>
    <w:p w14:paraId="5EED5AAD" w14:textId="594A9BDD" w:rsidR="000975BB" w:rsidRPr="00935D69" w:rsidRDefault="000975BB" w:rsidP="000975BB">
      <w:pPr>
        <w:tabs>
          <w:tab w:val="left" w:pos="567"/>
          <w:tab w:val="left" w:pos="720"/>
        </w:tabs>
        <w:rPr>
          <w:rFonts w:eastAsia="Times New Roman" w:cs="Verdana"/>
          <w:lang w:val="pt-BR"/>
        </w:rPr>
      </w:pPr>
      <w:r w:rsidRPr="00935D69">
        <w:rPr>
          <w:rFonts w:eastAsia="Times New Roman" w:cs="Verdana"/>
          <w:lang w:val="pt-BR"/>
        </w:rPr>
        <w:t>Eduardo</w:t>
      </w:r>
      <w:r w:rsidR="00DA0F23" w:rsidRPr="00935D69">
        <w:rPr>
          <w:rFonts w:eastAsia="Times New Roman" w:cs="Verdana"/>
          <w:lang w:val="pt-BR"/>
        </w:rPr>
        <w:t xml:space="preserve"> Ferrer Mac-Gregor Poisot, P</w:t>
      </w:r>
      <w:r w:rsidRPr="00935D69">
        <w:rPr>
          <w:rFonts w:eastAsia="Times New Roman" w:cs="Verdana"/>
          <w:lang w:val="pt-BR"/>
        </w:rPr>
        <w:t>residente;</w:t>
      </w:r>
    </w:p>
    <w:p w14:paraId="1F8BC6FD" w14:textId="77777777" w:rsidR="00DA0F23" w:rsidRDefault="000975BB" w:rsidP="000975BB">
      <w:pPr>
        <w:tabs>
          <w:tab w:val="left" w:pos="567"/>
          <w:tab w:val="left" w:pos="720"/>
        </w:tabs>
        <w:rPr>
          <w:rFonts w:eastAsia="Times New Roman" w:cs="Verdana"/>
          <w:lang w:val="es-CR"/>
        </w:rPr>
      </w:pPr>
      <w:r w:rsidRPr="000C2B1E">
        <w:rPr>
          <w:rFonts w:eastAsia="Times New Roman" w:cs="Verdana"/>
          <w:lang w:val="es-CR"/>
        </w:rPr>
        <w:t>Eduardo Vio Gross</w:t>
      </w:r>
      <w:r>
        <w:rPr>
          <w:rFonts w:eastAsia="Times New Roman" w:cs="Verdana"/>
          <w:lang w:val="es-CR"/>
        </w:rPr>
        <w:t xml:space="preserve">i, </w:t>
      </w:r>
      <w:r w:rsidR="00DA0F23">
        <w:rPr>
          <w:rFonts w:eastAsia="Times New Roman" w:cs="Verdana"/>
          <w:lang w:val="es-CR"/>
        </w:rPr>
        <w:t>Vicepresidente;</w:t>
      </w:r>
    </w:p>
    <w:p w14:paraId="283192C7" w14:textId="31F52CE7" w:rsidR="000975BB" w:rsidRDefault="00DA0F23" w:rsidP="000975BB">
      <w:pPr>
        <w:tabs>
          <w:tab w:val="left" w:pos="567"/>
          <w:tab w:val="left" w:pos="720"/>
        </w:tabs>
        <w:rPr>
          <w:rFonts w:eastAsia="Times New Roman" w:cs="Verdana"/>
          <w:lang w:val="es-CR"/>
        </w:rPr>
      </w:pPr>
      <w:r>
        <w:rPr>
          <w:rFonts w:eastAsia="Times New Roman" w:cs="Verdana"/>
          <w:lang w:val="es-CR"/>
        </w:rPr>
        <w:t>Elizabeth Odio Benito, Jueza;</w:t>
      </w:r>
      <w:r w:rsidR="000975BB">
        <w:rPr>
          <w:rFonts w:eastAsia="Times New Roman" w:cs="Verdana"/>
          <w:lang w:val="es-CR"/>
        </w:rPr>
        <w:t xml:space="preserve"> </w:t>
      </w:r>
    </w:p>
    <w:p w14:paraId="10D8A0B5" w14:textId="1E1AB60B" w:rsidR="000975BB" w:rsidRDefault="00DA0F23" w:rsidP="000975BB">
      <w:pPr>
        <w:tabs>
          <w:tab w:val="left" w:pos="567"/>
          <w:tab w:val="left" w:pos="720"/>
        </w:tabs>
        <w:rPr>
          <w:rFonts w:eastAsia="Times New Roman" w:cs="Verdana"/>
          <w:lang w:val="es-CR"/>
        </w:rPr>
      </w:pPr>
      <w:r>
        <w:rPr>
          <w:rFonts w:eastAsia="Times New Roman" w:cs="Verdana"/>
          <w:lang w:val="es-CR"/>
        </w:rPr>
        <w:t xml:space="preserve">Eugenio Raúl </w:t>
      </w:r>
      <w:proofErr w:type="spellStart"/>
      <w:r>
        <w:rPr>
          <w:rFonts w:eastAsia="Times New Roman" w:cs="Verdana"/>
          <w:lang w:val="es-CR"/>
        </w:rPr>
        <w:t>Zaffaroni</w:t>
      </w:r>
      <w:proofErr w:type="spellEnd"/>
      <w:r>
        <w:rPr>
          <w:rFonts w:eastAsia="Times New Roman" w:cs="Verdana"/>
          <w:lang w:val="es-CR"/>
        </w:rPr>
        <w:t>, Juez, y</w:t>
      </w:r>
    </w:p>
    <w:p w14:paraId="6CAF59F3" w14:textId="35527519" w:rsidR="00DA0F23" w:rsidRDefault="00DA0F23" w:rsidP="000975BB">
      <w:pPr>
        <w:tabs>
          <w:tab w:val="left" w:pos="567"/>
          <w:tab w:val="left" w:pos="720"/>
        </w:tabs>
        <w:rPr>
          <w:rFonts w:eastAsia="Times New Roman" w:cs="Verdana"/>
          <w:lang w:val="es-CR"/>
        </w:rPr>
      </w:pPr>
      <w:r>
        <w:rPr>
          <w:rFonts w:eastAsia="Times New Roman" w:cs="Verdana"/>
          <w:lang w:val="es-CR"/>
        </w:rPr>
        <w:t>L. Patricio Pazmiño Freire, Juez;</w:t>
      </w:r>
    </w:p>
    <w:p w14:paraId="6199ED02" w14:textId="77777777" w:rsidR="000975BB" w:rsidRPr="005254A8" w:rsidRDefault="000975BB" w:rsidP="000975BB">
      <w:pPr>
        <w:tabs>
          <w:tab w:val="left" w:pos="567"/>
          <w:tab w:val="left" w:pos="720"/>
        </w:tabs>
        <w:rPr>
          <w:lang w:val="es-CR"/>
        </w:rPr>
      </w:pPr>
    </w:p>
    <w:p w14:paraId="69265AD6" w14:textId="77777777" w:rsidR="000975BB" w:rsidRPr="005254A8" w:rsidRDefault="000975BB" w:rsidP="000975BB">
      <w:pPr>
        <w:tabs>
          <w:tab w:val="left" w:pos="720"/>
        </w:tabs>
        <w:rPr>
          <w:lang w:val="es-CR"/>
        </w:rPr>
      </w:pPr>
      <w:proofErr w:type="gramStart"/>
      <w:r w:rsidRPr="005254A8">
        <w:rPr>
          <w:lang w:val="es-CR"/>
        </w:rPr>
        <w:t>presentes</w:t>
      </w:r>
      <w:proofErr w:type="gramEnd"/>
      <w:r w:rsidRPr="005254A8">
        <w:rPr>
          <w:lang w:val="es-CR"/>
        </w:rPr>
        <w:t>, además,</w:t>
      </w:r>
    </w:p>
    <w:p w14:paraId="7F77C045" w14:textId="77777777" w:rsidR="000975BB" w:rsidRPr="005254A8" w:rsidRDefault="000975BB" w:rsidP="000975BB">
      <w:pPr>
        <w:tabs>
          <w:tab w:val="left" w:pos="720"/>
        </w:tabs>
        <w:rPr>
          <w:lang w:val="es-CR"/>
        </w:rPr>
      </w:pPr>
    </w:p>
    <w:p w14:paraId="301812ED" w14:textId="77777777" w:rsidR="000975BB" w:rsidRPr="005254A8" w:rsidRDefault="000975BB" w:rsidP="000975BB">
      <w:pPr>
        <w:tabs>
          <w:tab w:val="left" w:pos="720"/>
        </w:tabs>
        <w:rPr>
          <w:lang w:val="es-CR"/>
        </w:rPr>
      </w:pPr>
      <w:r w:rsidRPr="005254A8">
        <w:rPr>
          <w:lang w:val="es-CR"/>
        </w:rPr>
        <w:t xml:space="preserve">Pablo Saavedra Alessandri, Secretario, y </w:t>
      </w:r>
    </w:p>
    <w:p w14:paraId="269ACB51" w14:textId="77777777" w:rsidR="000975BB" w:rsidRPr="005254A8" w:rsidRDefault="000975BB" w:rsidP="000975BB">
      <w:pPr>
        <w:tabs>
          <w:tab w:val="left" w:pos="720"/>
        </w:tabs>
        <w:rPr>
          <w:lang w:val="es-CR"/>
        </w:rPr>
      </w:pPr>
      <w:r w:rsidRPr="005254A8">
        <w:rPr>
          <w:lang w:val="es-CR" w:eastAsia="es-MX"/>
        </w:rPr>
        <w:t>Emilia Segares Rodríguez, Secretaria Adjunta,</w:t>
      </w:r>
    </w:p>
    <w:p w14:paraId="1B76A544" w14:textId="77777777" w:rsidR="000975BB" w:rsidRPr="005254A8" w:rsidRDefault="000975BB" w:rsidP="000975BB">
      <w:pPr>
        <w:jc w:val="both"/>
        <w:rPr>
          <w:lang w:val="es-CR"/>
        </w:rPr>
      </w:pPr>
    </w:p>
    <w:p w14:paraId="31AED614" w14:textId="2CA6694B" w:rsidR="000975BB" w:rsidRPr="0023438F" w:rsidRDefault="000975BB" w:rsidP="000975BB">
      <w:pPr>
        <w:autoSpaceDE w:val="0"/>
        <w:autoSpaceDN w:val="0"/>
        <w:adjustRightInd w:val="0"/>
        <w:jc w:val="both"/>
        <w:rPr>
          <w:rFonts w:eastAsia="Calibri" w:cs="Verdana"/>
          <w:b/>
          <w:lang w:val="es-CR"/>
        </w:rPr>
      </w:pPr>
      <w:r w:rsidRPr="005254A8">
        <w:rPr>
          <w:rFonts w:eastAsia="Calibri" w:cs="Verdana"/>
          <w:lang w:val="es-CR"/>
        </w:rPr>
        <w:t xml:space="preserve">de conformidad con el artículo 67 de la Convención Americana sobre Derechos Humanos (en adelante también “la Convención Americana” o “la Convención”) y el artículo 68 del Reglamento de la Corte (en </w:t>
      </w:r>
      <w:r w:rsidRPr="00CD7B76">
        <w:rPr>
          <w:rFonts w:eastAsia="Calibri" w:cs="Verdana"/>
          <w:lang w:val="es-CR"/>
        </w:rPr>
        <w:t xml:space="preserve">adelante “el Reglamento”), resuelve la solicitud de interpretación de la Sentencia </w:t>
      </w:r>
      <w:r w:rsidR="00895888" w:rsidRPr="00CD7B76">
        <w:rPr>
          <w:rFonts w:eastAsia="Calibri" w:cs="Verdana"/>
          <w:lang w:val="es-CR"/>
        </w:rPr>
        <w:t>sobre</w:t>
      </w:r>
      <w:r w:rsidRPr="00CD7B76">
        <w:rPr>
          <w:rFonts w:eastAsia="Calibri" w:cs="Verdana"/>
          <w:lang w:val="es-CR"/>
        </w:rPr>
        <w:t xml:space="preserve"> </w:t>
      </w:r>
      <w:r w:rsidR="00CD7B76">
        <w:rPr>
          <w:rFonts w:eastAsia="Calibri" w:cs="Verdana"/>
          <w:lang w:val="es-CR"/>
        </w:rPr>
        <w:t xml:space="preserve"> el </w:t>
      </w:r>
      <w:r w:rsidRPr="00CD7B76">
        <w:rPr>
          <w:rFonts w:eastAsia="Calibri" w:cs="Verdana"/>
          <w:lang w:val="es-CR"/>
        </w:rPr>
        <w:t xml:space="preserve">fondo, reparaciones y costas emitida por este Tribunal el </w:t>
      </w:r>
      <w:r w:rsidR="00DA0F23" w:rsidRPr="00CD7B76">
        <w:rPr>
          <w:rFonts w:eastAsia="Calibri" w:cs="Verdana"/>
          <w:lang w:val="es-CR"/>
        </w:rPr>
        <w:t>13 de marzo de 2018</w:t>
      </w:r>
      <w:r w:rsidRPr="00CD7B76">
        <w:rPr>
          <w:rFonts w:eastAsia="Calibri" w:cs="Verdana"/>
          <w:lang w:val="es-CR"/>
        </w:rPr>
        <w:t xml:space="preserve"> en el presente caso (en adelante también “la Sentencia” o “el Fallo”), interpuesta el </w:t>
      </w:r>
      <w:r w:rsidR="00DA0F23" w:rsidRPr="00CD7B76">
        <w:rPr>
          <w:rFonts w:eastAsia="Calibri" w:cs="Verdana"/>
          <w:lang w:val="es-CR"/>
        </w:rPr>
        <w:t>3 de septiembre de 2018</w:t>
      </w:r>
      <w:r w:rsidRPr="00CD7B76">
        <w:rPr>
          <w:rFonts w:eastAsia="Calibri" w:cs="Verdana"/>
          <w:lang w:val="es-CR"/>
        </w:rPr>
        <w:t xml:space="preserve"> por la República</w:t>
      </w:r>
      <w:r w:rsidRPr="00CD7B76">
        <w:rPr>
          <w:lang w:val="es-CR"/>
        </w:rPr>
        <w:t xml:space="preserve"> del Colombia </w:t>
      </w:r>
      <w:r w:rsidRPr="00CD7B76">
        <w:rPr>
          <w:bCs/>
          <w:lang w:val="es-CR"/>
        </w:rPr>
        <w:t xml:space="preserve">(en adelante </w:t>
      </w:r>
      <w:r w:rsidRPr="00CD7B76">
        <w:rPr>
          <w:lang w:val="es-CR"/>
        </w:rPr>
        <w:t>“</w:t>
      </w:r>
      <w:r w:rsidRPr="00CD7B76">
        <w:rPr>
          <w:bCs/>
          <w:lang w:val="es-CR"/>
        </w:rPr>
        <w:t>el Estado” o “Colombia”)</w:t>
      </w:r>
      <w:r w:rsidRPr="00CD7B76">
        <w:rPr>
          <w:rFonts w:eastAsia="Calibri" w:cs="Verdana"/>
          <w:lang w:val="es-CR"/>
        </w:rPr>
        <w:t>.</w:t>
      </w:r>
      <w:r w:rsidRPr="005254A8">
        <w:rPr>
          <w:rFonts w:eastAsia="Calibri" w:cs="Verdana"/>
          <w:lang w:val="es-CR"/>
        </w:rPr>
        <w:t xml:space="preserve"> </w:t>
      </w:r>
    </w:p>
    <w:p w14:paraId="406D6BA6" w14:textId="77777777" w:rsidR="00B605C9" w:rsidRDefault="00B605C9">
      <w:pPr>
        <w:spacing w:after="160" w:line="259" w:lineRule="auto"/>
        <w:rPr>
          <w:rFonts w:eastAsia="Times New Roman" w:cs="Verdana"/>
          <w:b/>
          <w:bCs/>
          <w:iCs/>
          <w:caps/>
          <w:snapToGrid w:val="0"/>
          <w:lang w:val="es-CR" w:eastAsia="es-ES"/>
        </w:rPr>
      </w:pPr>
      <w:r>
        <w:br w:type="page"/>
      </w:r>
    </w:p>
    <w:p w14:paraId="1B5795D5" w14:textId="1F5CA688" w:rsidR="000975BB" w:rsidRPr="005254A8" w:rsidRDefault="000975BB" w:rsidP="00B605C9">
      <w:pPr>
        <w:pStyle w:val="Heading1"/>
        <w:spacing w:before="360" w:after="360"/>
      </w:pPr>
      <w:r w:rsidRPr="005254A8">
        <w:lastRenderedPageBreak/>
        <w:t>I</w:t>
      </w:r>
      <w:r w:rsidRPr="005254A8">
        <w:rPr>
          <w:b w:val="0"/>
          <w:bCs w:val="0"/>
          <w:caps w:val="0"/>
          <w:kern w:val="32"/>
        </w:rPr>
        <w:br/>
      </w:r>
      <w:r w:rsidRPr="005254A8">
        <w:rPr>
          <w:rFonts w:eastAsia="Calibri"/>
        </w:rPr>
        <w:t>SOLICITUD DE INTERPRETACIÓN</w:t>
      </w:r>
      <w:r w:rsidRPr="005254A8">
        <w:rPr>
          <w:b w:val="0"/>
          <w:bCs w:val="0"/>
          <w:caps w:val="0"/>
          <w:kern w:val="32"/>
        </w:rPr>
        <w:br/>
      </w:r>
      <w:r w:rsidRPr="005254A8">
        <w:rPr>
          <w:rFonts w:eastAsia="Calibri"/>
        </w:rPr>
        <w:t>Y PROCEDIMIENTO ANTE LA CORTE</w:t>
      </w:r>
    </w:p>
    <w:p w14:paraId="69A117EE" w14:textId="265F1703" w:rsidR="000975BB" w:rsidRPr="00F854DD" w:rsidRDefault="000975BB" w:rsidP="00B605C9">
      <w:pPr>
        <w:numPr>
          <w:ilvl w:val="0"/>
          <w:numId w:val="1"/>
        </w:numPr>
        <w:tabs>
          <w:tab w:val="num" w:pos="720"/>
        </w:tabs>
        <w:autoSpaceDE w:val="0"/>
        <w:autoSpaceDN w:val="0"/>
        <w:adjustRightInd w:val="0"/>
        <w:spacing w:before="120" w:after="120"/>
        <w:ind w:left="0"/>
        <w:jc w:val="both"/>
        <w:rPr>
          <w:rFonts w:eastAsia="Calibri" w:cs="Verdana"/>
          <w:lang w:val="es-CR"/>
        </w:rPr>
      </w:pPr>
      <w:r>
        <w:rPr>
          <w:rFonts w:eastAsia="Calibri" w:cs="Verdana"/>
          <w:lang w:val="es-CR"/>
        </w:rPr>
        <w:t xml:space="preserve">El </w:t>
      </w:r>
      <w:r w:rsidR="00DA0F23">
        <w:rPr>
          <w:rFonts w:eastAsia="Calibri" w:cs="Verdana"/>
          <w:lang w:val="es-CR"/>
        </w:rPr>
        <w:t>13 de marzo de 2018</w:t>
      </w:r>
      <w:r w:rsidRPr="005254A8">
        <w:rPr>
          <w:rFonts w:eastAsia="Calibri" w:cs="Verdana"/>
          <w:lang w:val="es-CR"/>
        </w:rPr>
        <w:t xml:space="preserve"> </w:t>
      </w:r>
      <w:r w:rsidRPr="005254A8">
        <w:rPr>
          <w:lang w:val="es-CR"/>
        </w:rPr>
        <w:t>la Corte emitió la Sentencia</w:t>
      </w:r>
      <w:r w:rsidR="00432DC7">
        <w:rPr>
          <w:lang w:val="es-CR"/>
        </w:rPr>
        <w:t xml:space="preserve"> de </w:t>
      </w:r>
      <w:r>
        <w:rPr>
          <w:lang w:val="es-CR"/>
        </w:rPr>
        <w:t xml:space="preserve">fondo, reparaciones y costas en el caso </w:t>
      </w:r>
      <w:r w:rsidR="00DA0F23">
        <w:rPr>
          <w:i/>
          <w:lang w:val="es-CR"/>
        </w:rPr>
        <w:t xml:space="preserve">Carvajal </w:t>
      </w:r>
      <w:proofErr w:type="spellStart"/>
      <w:r w:rsidR="00DA0F23">
        <w:rPr>
          <w:i/>
          <w:lang w:val="es-CR"/>
        </w:rPr>
        <w:t>Carvajal</w:t>
      </w:r>
      <w:proofErr w:type="spellEnd"/>
      <w:r w:rsidR="00DA0F23">
        <w:rPr>
          <w:i/>
          <w:lang w:val="es-CR"/>
        </w:rPr>
        <w:t xml:space="preserve"> y Otros </w:t>
      </w:r>
      <w:r>
        <w:rPr>
          <w:i/>
          <w:spacing w:val="-2"/>
        </w:rPr>
        <w:t>Vs. Colombia</w:t>
      </w:r>
      <w:r w:rsidRPr="005254A8">
        <w:rPr>
          <w:lang w:val="es-CR"/>
        </w:rPr>
        <w:t xml:space="preserve">, la </w:t>
      </w:r>
      <w:r>
        <w:rPr>
          <w:lang w:val="es-CR"/>
        </w:rPr>
        <w:t xml:space="preserve">cual fue notificada a los </w:t>
      </w:r>
      <w:r w:rsidRPr="00E452FA">
        <w:rPr>
          <w:lang w:val="es-CR"/>
        </w:rPr>
        <w:t>representantes</w:t>
      </w:r>
      <w:r w:rsidR="00B015C8">
        <w:rPr>
          <w:lang w:val="es-CR"/>
        </w:rPr>
        <w:t>, el</w:t>
      </w:r>
      <w:r w:rsidRPr="00E452FA">
        <w:rPr>
          <w:lang w:val="es-CR"/>
        </w:rPr>
        <w:t xml:space="preserve"> Estado </w:t>
      </w:r>
      <w:r w:rsidR="00B015C8">
        <w:rPr>
          <w:lang w:val="es-CR"/>
        </w:rPr>
        <w:t>y</w:t>
      </w:r>
      <w:r w:rsidRPr="00E452FA">
        <w:rPr>
          <w:lang w:val="es-CR"/>
        </w:rPr>
        <w:t xml:space="preserve"> la Comisión Interamericana de Derechos Humanos (en adelante “la Comisión Interamericana” o “la Comisión”) </w:t>
      </w:r>
      <w:r w:rsidRPr="00FD4BD7">
        <w:rPr>
          <w:lang w:val="es-CR"/>
        </w:rPr>
        <w:t xml:space="preserve">el </w:t>
      </w:r>
      <w:r w:rsidR="00B015C8" w:rsidRPr="00FD4BD7">
        <w:rPr>
          <w:lang w:val="es-CR"/>
        </w:rPr>
        <w:t>6 de junio de 2018.</w:t>
      </w:r>
      <w:r w:rsidR="00B015C8">
        <w:rPr>
          <w:lang w:val="es-CR"/>
        </w:rPr>
        <w:t xml:space="preserve"> </w:t>
      </w:r>
    </w:p>
    <w:p w14:paraId="095FD917" w14:textId="085BDB99" w:rsidR="00733C5B" w:rsidRPr="00733C5B" w:rsidRDefault="000975BB" w:rsidP="00B605C9">
      <w:pPr>
        <w:numPr>
          <w:ilvl w:val="0"/>
          <w:numId w:val="1"/>
        </w:numPr>
        <w:tabs>
          <w:tab w:val="num" w:pos="720"/>
        </w:tabs>
        <w:autoSpaceDE w:val="0"/>
        <w:autoSpaceDN w:val="0"/>
        <w:adjustRightInd w:val="0"/>
        <w:spacing w:before="120" w:after="120"/>
        <w:ind w:left="0"/>
        <w:jc w:val="both"/>
        <w:rPr>
          <w:rFonts w:eastAsia="Calibri" w:cs="Verdana"/>
          <w:strike/>
          <w:lang w:val="es-CR"/>
        </w:rPr>
      </w:pPr>
      <w:r w:rsidRPr="005254A8">
        <w:rPr>
          <w:lang w:val="es-CR"/>
        </w:rPr>
        <w:t xml:space="preserve"> </w:t>
      </w:r>
      <w:r w:rsidRPr="00880F18">
        <w:rPr>
          <w:rFonts w:eastAsia="Calibri" w:cs="Verdana"/>
          <w:lang w:val="es-CR"/>
        </w:rPr>
        <w:t xml:space="preserve">El </w:t>
      </w:r>
      <w:r w:rsidR="00DA0F23">
        <w:rPr>
          <w:rFonts w:eastAsia="Calibri" w:cs="Verdana"/>
          <w:lang w:val="es-CR"/>
        </w:rPr>
        <w:t>3 de septiembre de 2018</w:t>
      </w:r>
      <w:r w:rsidR="00DA0F23" w:rsidRPr="004E7D90">
        <w:rPr>
          <w:rFonts w:eastAsia="Calibri" w:cs="Verdana"/>
          <w:lang w:val="es-CR"/>
        </w:rPr>
        <w:t xml:space="preserve"> </w:t>
      </w:r>
      <w:r w:rsidRPr="004E7D90">
        <w:rPr>
          <w:rFonts w:eastAsia="Calibri" w:cs="Verdana"/>
          <w:lang w:val="es-CR"/>
        </w:rPr>
        <w:t xml:space="preserve">el Estado sometió a la Corte una solicitud de interpretación de la Sentencia, para aclarar aspectos vinculados </w:t>
      </w:r>
      <w:r w:rsidR="00AC6588">
        <w:rPr>
          <w:rFonts w:eastAsia="Calibri" w:cs="Verdana"/>
          <w:lang w:val="es-CR"/>
        </w:rPr>
        <w:t>con</w:t>
      </w:r>
      <w:r w:rsidR="00AC6588" w:rsidRPr="004E7D90">
        <w:rPr>
          <w:rFonts w:eastAsia="Calibri" w:cs="Verdana"/>
          <w:lang w:val="es-CR"/>
        </w:rPr>
        <w:t xml:space="preserve"> </w:t>
      </w:r>
      <w:r w:rsidRPr="004E7D90">
        <w:rPr>
          <w:rFonts w:eastAsia="Calibri" w:cs="Verdana"/>
          <w:lang w:val="es-CR"/>
        </w:rPr>
        <w:t xml:space="preserve">los siguientes </w:t>
      </w:r>
      <w:r w:rsidR="00DA0F23">
        <w:rPr>
          <w:rFonts w:eastAsia="Calibri" w:cs="Verdana"/>
          <w:lang w:val="es-CR"/>
        </w:rPr>
        <w:t>cuatro</w:t>
      </w:r>
      <w:r w:rsidRPr="004E7D90">
        <w:rPr>
          <w:rFonts w:eastAsia="Calibri" w:cs="Verdana"/>
          <w:lang w:val="es-CR"/>
        </w:rPr>
        <w:t xml:space="preserve"> puntos: </w:t>
      </w:r>
      <w:r>
        <w:rPr>
          <w:rFonts w:eastAsia="Calibri" w:cs="Verdana"/>
          <w:lang w:val="es-CR"/>
        </w:rPr>
        <w:t xml:space="preserve">a) </w:t>
      </w:r>
      <w:r w:rsidR="00733C5B">
        <w:rPr>
          <w:rFonts w:eastAsia="Calibri" w:cs="Verdana"/>
          <w:lang w:val="es-CR"/>
        </w:rPr>
        <w:t xml:space="preserve">los beneficiarios, alcance y gastos específicos incluidos en la medida </w:t>
      </w:r>
      <w:r w:rsidR="00B015C8">
        <w:rPr>
          <w:rFonts w:eastAsia="Calibri" w:cs="Verdana"/>
          <w:lang w:val="es-CR"/>
        </w:rPr>
        <w:t xml:space="preserve">ordenada en el párrafo 215 de la Sentencia, </w:t>
      </w:r>
      <w:r w:rsidR="00733C5B">
        <w:rPr>
          <w:rFonts w:eastAsia="Calibri" w:cs="Verdana"/>
          <w:lang w:val="es-CR"/>
        </w:rPr>
        <w:t xml:space="preserve">tendiente a garantizar las condiciones para que los familiares de Nelson Carvajal que se encuentran en situación de desplazamiento puedan retornar a sus lugares de residencia; b) </w:t>
      </w:r>
      <w:r w:rsidR="00AC6588">
        <w:rPr>
          <w:rFonts w:eastAsia="Calibri" w:cs="Verdana"/>
          <w:lang w:val="es-CR"/>
        </w:rPr>
        <w:t>los o</w:t>
      </w:r>
      <w:r w:rsidR="00733C5B">
        <w:rPr>
          <w:rFonts w:eastAsia="Calibri" w:cs="Verdana"/>
          <w:lang w:val="es-CR"/>
        </w:rPr>
        <w:t xml:space="preserve">rganismos especializados </w:t>
      </w:r>
      <w:r w:rsidR="00AC6588">
        <w:rPr>
          <w:rFonts w:eastAsia="Calibri" w:cs="Verdana"/>
          <w:lang w:val="es-CR"/>
        </w:rPr>
        <w:t xml:space="preserve">a los que </w:t>
      </w:r>
      <w:r w:rsidR="00733C5B">
        <w:rPr>
          <w:rFonts w:eastAsia="Calibri" w:cs="Verdana"/>
          <w:lang w:val="es-CR"/>
        </w:rPr>
        <w:t xml:space="preserve">se refiere </w:t>
      </w:r>
      <w:r w:rsidR="00B015C8">
        <w:rPr>
          <w:rFonts w:eastAsia="Calibri" w:cs="Verdana"/>
          <w:lang w:val="es-CR"/>
        </w:rPr>
        <w:t>el párrafo 217 de la Sentencia</w:t>
      </w:r>
      <w:r w:rsidR="00AC6588">
        <w:rPr>
          <w:rFonts w:eastAsia="Calibri" w:cs="Verdana"/>
          <w:lang w:val="es-CR"/>
        </w:rPr>
        <w:t xml:space="preserve"> sobre la obligación de </w:t>
      </w:r>
      <w:r w:rsidR="00733C5B">
        <w:rPr>
          <w:rFonts w:eastAsia="Calibri" w:cs="Verdana"/>
          <w:lang w:val="es-CR"/>
        </w:rPr>
        <w:t xml:space="preserve">remitir los informes periódicos que el Estado envía a los organismos especializados de la OEA y la ONU relacionados con las medidas implementadas para la prevención y protección de periodistas en Colombia, así como su duración; c) el concepto de gastos razonables a cargo del Estado en el marco de la supervisión del cumplimiento de la sentencia, y d) </w:t>
      </w:r>
      <w:r w:rsidR="002F3966">
        <w:rPr>
          <w:rFonts w:eastAsia="Calibri" w:cs="Verdana"/>
          <w:lang w:val="es-CR"/>
        </w:rPr>
        <w:t xml:space="preserve">la modalidad de pago de las indemnizaciones por daño material e inmaterial y reintegro de costas y gastos. </w:t>
      </w:r>
    </w:p>
    <w:p w14:paraId="36D751D8" w14:textId="174CB5A0" w:rsidR="000975BB" w:rsidRPr="002F3966" w:rsidRDefault="000975BB" w:rsidP="00B605C9">
      <w:pPr>
        <w:numPr>
          <w:ilvl w:val="0"/>
          <w:numId w:val="1"/>
        </w:numPr>
        <w:tabs>
          <w:tab w:val="num" w:pos="720"/>
        </w:tabs>
        <w:autoSpaceDE w:val="0"/>
        <w:autoSpaceDN w:val="0"/>
        <w:adjustRightInd w:val="0"/>
        <w:spacing w:before="120" w:after="120"/>
        <w:ind w:left="0"/>
        <w:jc w:val="both"/>
        <w:rPr>
          <w:rFonts w:eastAsia="Calibri" w:cs="Verdana"/>
          <w:u w:val="single"/>
          <w:lang w:val="es-CR"/>
        </w:rPr>
      </w:pPr>
      <w:r w:rsidRPr="002F3966">
        <w:rPr>
          <w:rFonts w:eastAsia="Calibri" w:cs="Verdana"/>
          <w:lang w:val="es-CR"/>
        </w:rPr>
        <w:t xml:space="preserve">El </w:t>
      </w:r>
      <w:r w:rsidR="002F3966" w:rsidRPr="002F3966">
        <w:rPr>
          <w:rFonts w:eastAsia="Calibri" w:cs="Verdana"/>
          <w:lang w:val="es-CR"/>
        </w:rPr>
        <w:t>10 de septiembre de 2018</w:t>
      </w:r>
      <w:r w:rsidRPr="002F3966">
        <w:rPr>
          <w:rFonts w:eastAsia="Calibri" w:cs="Verdana"/>
          <w:lang w:val="es-CR"/>
        </w:rPr>
        <w:t>, siguiendo instrucciones del Presidente de la Corte, la Secretaría d</w:t>
      </w:r>
      <w:r w:rsidR="00AC6588">
        <w:rPr>
          <w:rFonts w:eastAsia="Calibri" w:cs="Verdana"/>
          <w:lang w:val="es-CR"/>
        </w:rPr>
        <w:t>el Tribunal</w:t>
      </w:r>
      <w:r w:rsidRPr="002F3966">
        <w:rPr>
          <w:rFonts w:eastAsia="Calibri" w:cs="Verdana"/>
          <w:lang w:val="es-CR"/>
        </w:rPr>
        <w:t xml:space="preserve"> (en adelante “la Secretaría”), </w:t>
      </w:r>
      <w:r w:rsidR="00AC6588">
        <w:rPr>
          <w:rFonts w:eastAsia="Calibri" w:cs="Verdana"/>
          <w:lang w:val="es-CR"/>
        </w:rPr>
        <w:t xml:space="preserve">solicitó </w:t>
      </w:r>
      <w:r w:rsidRPr="002F3966">
        <w:rPr>
          <w:rFonts w:eastAsia="Calibri" w:cs="Verdana"/>
          <w:lang w:val="es-CR"/>
        </w:rPr>
        <w:t xml:space="preserve">a </w:t>
      </w:r>
      <w:r w:rsidR="002F3966" w:rsidRPr="002F3966">
        <w:rPr>
          <w:rFonts w:eastAsia="Calibri" w:cs="Verdana"/>
          <w:lang w:val="es-CR"/>
        </w:rPr>
        <w:t>los representantes y la Comisión</w:t>
      </w:r>
      <w:r w:rsidRPr="002F3966">
        <w:rPr>
          <w:rFonts w:eastAsia="Calibri" w:cs="Verdana"/>
          <w:lang w:val="es-CR"/>
        </w:rPr>
        <w:t xml:space="preserve"> </w:t>
      </w:r>
      <w:r w:rsidR="00AC6588">
        <w:rPr>
          <w:rFonts w:eastAsia="Calibri" w:cs="Verdana"/>
          <w:lang w:val="es-CR"/>
        </w:rPr>
        <w:t>que</w:t>
      </w:r>
      <w:r w:rsidR="00AC6588" w:rsidRPr="00AC6588">
        <w:rPr>
          <w:rFonts w:eastAsia="Calibri" w:cs="Verdana"/>
          <w:lang w:val="es-CR"/>
        </w:rPr>
        <w:t xml:space="preserve"> </w:t>
      </w:r>
      <w:r w:rsidR="00AC6588">
        <w:rPr>
          <w:rFonts w:eastAsia="Calibri" w:cs="Verdana"/>
          <w:lang w:val="es-CR"/>
        </w:rPr>
        <w:t xml:space="preserve">presenten sus observaciones </w:t>
      </w:r>
      <w:r w:rsidR="00AC6588" w:rsidRPr="002F3966">
        <w:rPr>
          <w:rFonts w:eastAsia="Calibri" w:cs="Verdana"/>
          <w:lang w:val="es-CR"/>
        </w:rPr>
        <w:t>a la referida demanda de interpretación</w:t>
      </w:r>
      <w:r w:rsidRPr="002F3966">
        <w:rPr>
          <w:rFonts w:eastAsia="Calibri" w:cs="Verdana"/>
          <w:lang w:val="es-CR"/>
        </w:rPr>
        <w:t xml:space="preserve">. </w:t>
      </w:r>
    </w:p>
    <w:p w14:paraId="229DFCCF" w14:textId="7631C9ED" w:rsidR="000975BB" w:rsidRPr="00D9534B" w:rsidRDefault="000975BB" w:rsidP="00B605C9">
      <w:pPr>
        <w:numPr>
          <w:ilvl w:val="0"/>
          <w:numId w:val="1"/>
        </w:numPr>
        <w:tabs>
          <w:tab w:val="num" w:pos="720"/>
        </w:tabs>
        <w:autoSpaceDE w:val="0"/>
        <w:autoSpaceDN w:val="0"/>
        <w:adjustRightInd w:val="0"/>
        <w:spacing w:before="120" w:after="120"/>
        <w:ind w:left="0"/>
        <w:jc w:val="both"/>
        <w:rPr>
          <w:rFonts w:eastAsia="Calibri" w:cs="Verdana"/>
          <w:u w:val="single"/>
          <w:lang w:val="es-CR"/>
        </w:rPr>
      </w:pPr>
      <w:r w:rsidRPr="00D9534B">
        <w:rPr>
          <w:rFonts w:eastAsia="Calibri" w:cs="Verdana"/>
          <w:lang w:val="es-CR"/>
        </w:rPr>
        <w:t xml:space="preserve">El </w:t>
      </w:r>
      <w:r w:rsidR="002F3966">
        <w:rPr>
          <w:rFonts w:eastAsia="Calibri" w:cs="Verdana"/>
          <w:lang w:val="es-CR"/>
        </w:rPr>
        <w:t>27 de septiembre de 2018 los representantes</w:t>
      </w:r>
      <w:r w:rsidRPr="00D9534B">
        <w:rPr>
          <w:rFonts w:eastAsia="Calibri" w:cs="Verdana"/>
          <w:lang w:val="es-CR"/>
        </w:rPr>
        <w:t xml:space="preserve"> presentaron sus </w:t>
      </w:r>
      <w:r w:rsidR="00941CC7">
        <w:rPr>
          <w:rFonts w:eastAsia="Calibri" w:cs="Verdana"/>
          <w:lang w:val="es-CR"/>
        </w:rPr>
        <w:t>observaciones</w:t>
      </w:r>
      <w:r w:rsidR="00404D56" w:rsidRPr="001560F2">
        <w:rPr>
          <w:rStyle w:val="FootnoteReference"/>
          <w:rFonts w:eastAsia="Calibri" w:cs="Verdana"/>
          <w:lang w:val="es-CR"/>
        </w:rPr>
        <w:footnoteReference w:id="3"/>
      </w:r>
      <w:r w:rsidR="00941CC7" w:rsidRPr="00D9534B">
        <w:rPr>
          <w:rFonts w:eastAsia="Calibri" w:cs="Verdana"/>
          <w:lang w:val="es-CR"/>
        </w:rPr>
        <w:t xml:space="preserve"> </w:t>
      </w:r>
      <w:r w:rsidRPr="00D9534B">
        <w:rPr>
          <w:rFonts w:eastAsia="Calibri" w:cs="Verdana"/>
          <w:lang w:val="es-CR"/>
        </w:rPr>
        <w:t xml:space="preserve">sobre la solicitud de interpretación presentada. </w:t>
      </w:r>
      <w:r w:rsidR="002F3966">
        <w:rPr>
          <w:rFonts w:eastAsia="Calibri" w:cs="Verdana"/>
          <w:lang w:val="es-CR"/>
        </w:rPr>
        <w:t xml:space="preserve">Ese mismo día, la Comisión solicitó una prórroga de una semana para remitir sus observaciones, la cual fue otorgada hasta el 6 de octubre de 2017, fecha en la cual la Comisión informó que no tenía observaciones al respecto. </w:t>
      </w:r>
    </w:p>
    <w:p w14:paraId="4EDC5696" w14:textId="77777777" w:rsidR="000975BB" w:rsidRPr="005254A8" w:rsidRDefault="000975BB" w:rsidP="00B605C9">
      <w:pPr>
        <w:pStyle w:val="Heading1"/>
        <w:spacing w:before="360" w:after="360"/>
      </w:pPr>
      <w:r w:rsidRPr="005254A8">
        <w:t>II</w:t>
      </w:r>
      <w:r w:rsidRPr="005254A8">
        <w:rPr>
          <w:b w:val="0"/>
          <w:bCs w:val="0"/>
          <w:caps w:val="0"/>
          <w:kern w:val="32"/>
        </w:rPr>
        <w:br/>
      </w:r>
      <w:r w:rsidRPr="005254A8">
        <w:t>COMPETENCIA</w:t>
      </w:r>
    </w:p>
    <w:p w14:paraId="53810908" w14:textId="3627F0FF" w:rsidR="000975BB" w:rsidRPr="00D27755" w:rsidRDefault="000975BB" w:rsidP="00D27755">
      <w:pPr>
        <w:numPr>
          <w:ilvl w:val="0"/>
          <w:numId w:val="1"/>
        </w:numPr>
        <w:tabs>
          <w:tab w:val="num" w:pos="720"/>
        </w:tabs>
        <w:autoSpaceDE w:val="0"/>
        <w:autoSpaceDN w:val="0"/>
        <w:adjustRightInd w:val="0"/>
        <w:spacing w:before="120" w:after="120"/>
        <w:ind w:left="0"/>
        <w:jc w:val="both"/>
        <w:rPr>
          <w:lang w:val="es-CR"/>
        </w:rPr>
      </w:pPr>
      <w:bookmarkStart w:id="1" w:name="_Ref392064772"/>
      <w:r w:rsidRPr="00580302">
        <w:rPr>
          <w:lang w:val="es-CR"/>
        </w:rPr>
        <w:t>El artículo 67 de la Convención establece que</w:t>
      </w:r>
      <w:bookmarkEnd w:id="1"/>
      <w:r w:rsidR="00580302" w:rsidRPr="00D27755">
        <w:rPr>
          <w:lang w:val="es-CR"/>
        </w:rPr>
        <w:t xml:space="preserve"> “</w:t>
      </w:r>
      <w:r w:rsidRPr="00D27755">
        <w:rPr>
          <w:lang w:val="es-CR"/>
        </w:rPr>
        <w:t>[e]l fallo de la Corte será definitivo e inapelable. En caso de desacuerdo sobre el sentido o alcance del fallo, la Corte lo interpretará a solicitud de cualquiera de las partes, siempre que dicha solicitud se presente dentro de los noventa días a partir de la fecha de la notificación del fallo</w:t>
      </w:r>
      <w:r w:rsidR="00580302" w:rsidRPr="00D27755">
        <w:rPr>
          <w:lang w:val="es-CR"/>
        </w:rPr>
        <w:t>”</w:t>
      </w:r>
      <w:r w:rsidRPr="00D27755">
        <w:rPr>
          <w:lang w:val="es-CR"/>
        </w:rPr>
        <w:t>.</w:t>
      </w:r>
    </w:p>
    <w:p w14:paraId="0F8263C1" w14:textId="0A7126DB" w:rsidR="000975BB" w:rsidRPr="00E452FA" w:rsidRDefault="000975BB" w:rsidP="00B605C9">
      <w:pPr>
        <w:numPr>
          <w:ilvl w:val="0"/>
          <w:numId w:val="1"/>
        </w:numPr>
        <w:tabs>
          <w:tab w:val="num" w:pos="720"/>
        </w:tabs>
        <w:autoSpaceDE w:val="0"/>
        <w:autoSpaceDN w:val="0"/>
        <w:adjustRightInd w:val="0"/>
        <w:spacing w:before="120" w:after="120"/>
        <w:ind w:left="0"/>
        <w:jc w:val="both"/>
        <w:rPr>
          <w:bCs/>
          <w:lang w:val="es-CR"/>
        </w:rPr>
      </w:pPr>
      <w:r w:rsidRPr="00E452FA">
        <w:rPr>
          <w:lang w:val="es-CR"/>
        </w:rPr>
        <w:t xml:space="preserve">De conformidad con el artículo citado, </w:t>
      </w:r>
      <w:r w:rsidR="00580302">
        <w:rPr>
          <w:lang w:val="es-CR"/>
        </w:rPr>
        <w:t>este Tribunal</w:t>
      </w:r>
      <w:r w:rsidR="00580302" w:rsidRPr="00E452FA">
        <w:rPr>
          <w:lang w:val="es-CR"/>
        </w:rPr>
        <w:t xml:space="preserve"> </w:t>
      </w:r>
      <w:r w:rsidRPr="00E452FA">
        <w:rPr>
          <w:lang w:val="es-CR"/>
        </w:rPr>
        <w:t>es competente para interpretar sus fallos</w:t>
      </w:r>
      <w:r w:rsidR="00404D56">
        <w:rPr>
          <w:lang w:val="es-CR"/>
        </w:rPr>
        <w:t>,</w:t>
      </w:r>
      <w:r w:rsidRPr="00E452FA">
        <w:rPr>
          <w:lang w:val="es-CR"/>
        </w:rPr>
        <w:t xml:space="preserve"> </w:t>
      </w:r>
      <w:r w:rsidR="00404D56">
        <w:rPr>
          <w:lang w:val="es-CR"/>
        </w:rPr>
        <w:t>p</w:t>
      </w:r>
      <w:r w:rsidRPr="00E452FA">
        <w:rPr>
          <w:lang w:val="es-CR"/>
        </w:rPr>
        <w:t>ara realizar el examen de la solicitud de interpretación y resolver lo que a este respecto corresponda</w:t>
      </w:r>
      <w:r w:rsidR="00941CC7">
        <w:rPr>
          <w:lang w:val="es-CR"/>
        </w:rPr>
        <w:t>.</w:t>
      </w:r>
      <w:r w:rsidRPr="00E452FA">
        <w:rPr>
          <w:lang w:val="es-CR"/>
        </w:rPr>
        <w:t xml:space="preserve"> </w:t>
      </w:r>
      <w:r w:rsidR="00941CC7">
        <w:rPr>
          <w:lang w:val="es-CR"/>
        </w:rPr>
        <w:t>D</w:t>
      </w:r>
      <w:r w:rsidR="00941CC7" w:rsidRPr="00E452FA">
        <w:rPr>
          <w:lang w:val="es-CR"/>
        </w:rPr>
        <w:t xml:space="preserve">e </w:t>
      </w:r>
      <w:r w:rsidR="00941CC7">
        <w:rPr>
          <w:lang w:val="es-CR"/>
        </w:rPr>
        <w:t xml:space="preserve">conformidad </w:t>
      </w:r>
      <w:r w:rsidR="00941CC7" w:rsidRPr="00E452FA">
        <w:rPr>
          <w:lang w:val="es-CR"/>
        </w:rPr>
        <w:t xml:space="preserve">con </w:t>
      </w:r>
      <w:r w:rsidR="00941CC7">
        <w:rPr>
          <w:lang w:val="es-CR"/>
        </w:rPr>
        <w:t xml:space="preserve">lo establecido por </w:t>
      </w:r>
      <w:r w:rsidR="00941CC7" w:rsidRPr="00E452FA">
        <w:rPr>
          <w:lang w:val="es-CR"/>
        </w:rPr>
        <w:t xml:space="preserve">artículo 68.3 </w:t>
      </w:r>
      <w:r w:rsidR="00941CC7">
        <w:rPr>
          <w:lang w:val="es-CR"/>
        </w:rPr>
        <w:t xml:space="preserve">de su </w:t>
      </w:r>
      <w:r w:rsidR="00941CC7" w:rsidRPr="00E452FA">
        <w:rPr>
          <w:lang w:val="es-CR"/>
        </w:rPr>
        <w:t>Reglamento</w:t>
      </w:r>
      <w:r w:rsidR="00941CC7">
        <w:rPr>
          <w:lang w:val="es-CR"/>
        </w:rPr>
        <w:t>,</w:t>
      </w:r>
      <w:r w:rsidR="00941CC7" w:rsidRPr="00E452FA" w:rsidDel="00580302">
        <w:rPr>
          <w:lang w:val="es-CR"/>
        </w:rPr>
        <w:t xml:space="preserve"> </w:t>
      </w:r>
      <w:r w:rsidR="00941CC7">
        <w:rPr>
          <w:lang w:val="es-CR"/>
        </w:rPr>
        <w:t>la Corte</w:t>
      </w:r>
      <w:r w:rsidRPr="00E452FA">
        <w:rPr>
          <w:lang w:val="es-CR"/>
        </w:rPr>
        <w:t xml:space="preserve"> debe, </w:t>
      </w:r>
      <w:r w:rsidR="00580302">
        <w:rPr>
          <w:lang w:val="es-CR"/>
        </w:rPr>
        <w:t>en la medida de lo posible</w:t>
      </w:r>
      <w:r w:rsidRPr="00E452FA">
        <w:rPr>
          <w:lang w:val="es-CR"/>
        </w:rPr>
        <w:t xml:space="preserve">, </w:t>
      </w:r>
      <w:r w:rsidR="00580302">
        <w:rPr>
          <w:lang w:val="es-CR"/>
        </w:rPr>
        <w:t xml:space="preserve">contar con </w:t>
      </w:r>
      <w:r w:rsidRPr="00E452FA">
        <w:rPr>
          <w:lang w:val="es-CR"/>
        </w:rPr>
        <w:t xml:space="preserve">la misma composición que tenía al dictar la Sentencia respectiva. </w:t>
      </w:r>
    </w:p>
    <w:p w14:paraId="72AF4368" w14:textId="77777777" w:rsidR="000975BB" w:rsidRPr="005254A8" w:rsidRDefault="000975BB" w:rsidP="00B605C9">
      <w:pPr>
        <w:pStyle w:val="Heading1"/>
        <w:spacing w:before="360" w:after="360"/>
        <w:rPr>
          <w:rFonts w:eastAsia="Calibri"/>
        </w:rPr>
      </w:pPr>
      <w:r w:rsidRPr="005254A8">
        <w:rPr>
          <w:rFonts w:eastAsia="Calibri"/>
        </w:rPr>
        <w:t>III</w:t>
      </w:r>
      <w:r w:rsidRPr="005254A8">
        <w:rPr>
          <w:b w:val="0"/>
          <w:bCs w:val="0"/>
          <w:caps w:val="0"/>
          <w:kern w:val="32"/>
        </w:rPr>
        <w:br/>
      </w:r>
      <w:r w:rsidRPr="00B605C9">
        <w:t>ADMISIBILIDAD</w:t>
      </w:r>
    </w:p>
    <w:p w14:paraId="48B9E065" w14:textId="77777777" w:rsidR="000975BB" w:rsidRPr="005254A8" w:rsidRDefault="000975BB" w:rsidP="000975BB">
      <w:pPr>
        <w:autoSpaceDE w:val="0"/>
        <w:autoSpaceDN w:val="0"/>
        <w:adjustRightInd w:val="0"/>
        <w:rPr>
          <w:rFonts w:eastAsia="Calibri" w:cs="Verdana"/>
          <w:b/>
          <w:lang w:val="es-CR"/>
        </w:rPr>
      </w:pPr>
    </w:p>
    <w:p w14:paraId="1DE26706" w14:textId="31EC4DB7" w:rsidR="000975BB" w:rsidRDefault="000975BB" w:rsidP="00B605C9">
      <w:pPr>
        <w:numPr>
          <w:ilvl w:val="0"/>
          <w:numId w:val="1"/>
        </w:numPr>
        <w:tabs>
          <w:tab w:val="num" w:pos="720"/>
        </w:tabs>
        <w:autoSpaceDE w:val="0"/>
        <w:autoSpaceDN w:val="0"/>
        <w:adjustRightInd w:val="0"/>
        <w:spacing w:before="120" w:after="120"/>
        <w:ind w:left="0"/>
        <w:jc w:val="both"/>
        <w:rPr>
          <w:rFonts w:eastAsia="Calibri" w:cs="Verdana"/>
          <w:strike/>
          <w:lang w:val="es-CR"/>
        </w:rPr>
      </w:pPr>
      <w:bookmarkStart w:id="2" w:name="_Ref391898657"/>
      <w:r w:rsidRPr="005254A8">
        <w:rPr>
          <w:lang w:val="es-CR"/>
        </w:rPr>
        <w:lastRenderedPageBreak/>
        <w:t xml:space="preserve">Corresponde verificar si la solicitud presentada por el Estado cumple con los requisitos establecidos en las normas aplicables a una solicitud de interpretación de Sentencia, a saber, </w:t>
      </w:r>
      <w:r>
        <w:rPr>
          <w:lang w:val="es-CR"/>
        </w:rPr>
        <w:t>el artículo 67 de la Convención</w:t>
      </w:r>
      <w:r w:rsidRPr="005254A8">
        <w:rPr>
          <w:lang w:val="es-CR"/>
        </w:rPr>
        <w:t xml:space="preserve"> y el artículo 68 del Reglamento</w:t>
      </w:r>
      <w:r>
        <w:rPr>
          <w:rStyle w:val="FootnoteReference"/>
          <w:lang w:val="es-CR"/>
        </w:rPr>
        <w:footnoteReference w:id="4"/>
      </w:r>
      <w:r>
        <w:rPr>
          <w:lang w:val="es-CR"/>
        </w:rPr>
        <w:t>.</w:t>
      </w:r>
    </w:p>
    <w:p w14:paraId="6AD98458" w14:textId="46E0E1FB" w:rsidR="000975BB" w:rsidRDefault="00941CC7" w:rsidP="00B605C9">
      <w:pPr>
        <w:numPr>
          <w:ilvl w:val="0"/>
          <w:numId w:val="1"/>
        </w:numPr>
        <w:tabs>
          <w:tab w:val="num" w:pos="720"/>
        </w:tabs>
        <w:autoSpaceDE w:val="0"/>
        <w:autoSpaceDN w:val="0"/>
        <w:adjustRightInd w:val="0"/>
        <w:spacing w:before="120" w:after="120"/>
        <w:ind w:left="0"/>
        <w:jc w:val="both"/>
        <w:rPr>
          <w:lang w:val="es-CR"/>
        </w:rPr>
      </w:pPr>
      <w:r>
        <w:rPr>
          <w:lang w:val="es-CR"/>
        </w:rPr>
        <w:t>E</w:t>
      </w:r>
      <w:r w:rsidR="000975BB" w:rsidRPr="005254A8">
        <w:rPr>
          <w:lang w:val="es-CR"/>
        </w:rPr>
        <w:t>l Estado presentó su solicitud de interpretación dentro del plazo de noventa días establecido en el artículo 67 de la Convención</w:t>
      </w:r>
      <w:r w:rsidR="009436D3">
        <w:rPr>
          <w:rStyle w:val="FootnoteReference"/>
          <w:lang w:val="es-CR"/>
        </w:rPr>
        <w:footnoteReference w:id="5"/>
      </w:r>
      <w:r>
        <w:rPr>
          <w:lang w:val="es-CR"/>
        </w:rPr>
        <w:t xml:space="preserve">. La Sentencia había </w:t>
      </w:r>
      <w:r w:rsidR="00404D56">
        <w:rPr>
          <w:lang w:val="es-CR"/>
        </w:rPr>
        <w:t xml:space="preserve">sido </w:t>
      </w:r>
      <w:r w:rsidR="000975BB" w:rsidRPr="005254A8">
        <w:rPr>
          <w:lang w:val="es-CR"/>
        </w:rPr>
        <w:t xml:space="preserve">notificada el </w:t>
      </w:r>
      <w:r w:rsidR="00EF6FBB">
        <w:rPr>
          <w:lang w:val="es-CR"/>
        </w:rPr>
        <w:t>6 de junio de 2018</w:t>
      </w:r>
      <w:r w:rsidR="000975BB">
        <w:rPr>
          <w:lang w:val="es-CR"/>
        </w:rPr>
        <w:t>.</w:t>
      </w:r>
      <w:r w:rsidR="000975BB" w:rsidRPr="005254A8">
        <w:rPr>
          <w:lang w:val="es-CR"/>
        </w:rPr>
        <w:t xml:space="preserve"> Por ende, la solicitud resulta admisible en lo que se refiere al plazo de su presentación.</w:t>
      </w:r>
    </w:p>
    <w:bookmarkEnd w:id="2"/>
    <w:p w14:paraId="441DA727" w14:textId="77777777" w:rsidR="000975BB" w:rsidRPr="005254A8" w:rsidRDefault="000975BB" w:rsidP="00B605C9">
      <w:pPr>
        <w:pStyle w:val="Heading1"/>
        <w:spacing w:before="360" w:after="360"/>
        <w:rPr>
          <w:rFonts w:eastAsia="Calibri"/>
        </w:rPr>
      </w:pPr>
      <w:r w:rsidRPr="00B605C9">
        <w:rPr>
          <w:rFonts w:eastAsia="Calibri"/>
        </w:rPr>
        <w:t>IV</w:t>
      </w:r>
      <w:r w:rsidRPr="005254A8">
        <w:rPr>
          <w:b w:val="0"/>
          <w:bCs w:val="0"/>
          <w:caps w:val="0"/>
          <w:kern w:val="32"/>
        </w:rPr>
        <w:br/>
      </w:r>
      <w:r w:rsidRPr="005254A8">
        <w:rPr>
          <w:rFonts w:eastAsia="Calibri"/>
        </w:rPr>
        <w:t>ANÁLISIS DE LA PROCEDENCIA DE LA SOLICITUD DE INTERPRETACIÓN</w:t>
      </w:r>
    </w:p>
    <w:p w14:paraId="2D8F61A7" w14:textId="7600F11D" w:rsidR="000975BB" w:rsidRPr="00447918" w:rsidRDefault="000975BB" w:rsidP="00B605C9">
      <w:pPr>
        <w:numPr>
          <w:ilvl w:val="0"/>
          <w:numId w:val="1"/>
        </w:numPr>
        <w:tabs>
          <w:tab w:val="num" w:pos="720"/>
        </w:tabs>
        <w:autoSpaceDE w:val="0"/>
        <w:autoSpaceDN w:val="0"/>
        <w:adjustRightInd w:val="0"/>
        <w:spacing w:before="120" w:after="120"/>
        <w:ind w:left="0"/>
        <w:jc w:val="both"/>
        <w:rPr>
          <w:b/>
          <w:lang w:val="es-CR"/>
        </w:rPr>
      </w:pPr>
      <w:r w:rsidRPr="005254A8">
        <w:rPr>
          <w:lang w:val="es-CR"/>
        </w:rPr>
        <w:t>A continuación, la Corte analizará la solicitud del Estado</w:t>
      </w:r>
      <w:r>
        <w:rPr>
          <w:lang w:val="es-CR"/>
        </w:rPr>
        <w:t xml:space="preserve"> </w:t>
      </w:r>
      <w:r w:rsidRPr="005254A8">
        <w:rPr>
          <w:lang w:val="es-CR"/>
        </w:rPr>
        <w:t xml:space="preserve">para determinar si, de acuerdo a la normativa y a los </w:t>
      </w:r>
      <w:r>
        <w:rPr>
          <w:lang w:val="es-CR"/>
        </w:rPr>
        <w:t>estándares</w:t>
      </w:r>
      <w:r w:rsidRPr="005254A8">
        <w:rPr>
          <w:lang w:val="es-CR"/>
        </w:rPr>
        <w:t xml:space="preserve"> desarrollados en su jurisprudencia, procede aclarar el sentido o alcance de algún punto de la Sentencia.</w:t>
      </w:r>
    </w:p>
    <w:p w14:paraId="1525037B" w14:textId="3C4A2929" w:rsidR="000975BB" w:rsidRDefault="000975BB" w:rsidP="00B605C9">
      <w:pPr>
        <w:numPr>
          <w:ilvl w:val="0"/>
          <w:numId w:val="1"/>
        </w:numPr>
        <w:tabs>
          <w:tab w:val="num" w:pos="720"/>
        </w:tabs>
        <w:autoSpaceDE w:val="0"/>
        <w:autoSpaceDN w:val="0"/>
        <w:adjustRightInd w:val="0"/>
        <w:spacing w:before="120" w:after="120"/>
        <w:ind w:left="0"/>
        <w:jc w:val="both"/>
        <w:rPr>
          <w:lang w:val="es-CR"/>
        </w:rPr>
      </w:pPr>
      <w:bookmarkStart w:id="3" w:name="_Ref392082429"/>
      <w:r w:rsidRPr="005254A8">
        <w:rPr>
          <w:lang w:val="es-CR"/>
        </w:rPr>
        <w:t>Para analizar la procedencia de la solicitud del Estado, la Corte toma en consideración su jurisprudencia constante, claramente sustentada en el ordenamiento aplicable, en cuanto a que una solicitud de interpretación de sentencia no puede utilizarse como medio de impugnación de la decisión cuya interpretación se requiere. Dicha solicitud tiene como objeto, exclusivamente, determinar el sentido de un fallo cuando alguna de las partes sostiene que el texto de sus puntos resolutivos o de sus consideraciones carece de claridad o precisión, siempre y cuando esas consideraciones incidan en dicha parte resolutiva</w:t>
      </w:r>
      <w:r w:rsidRPr="005254A8">
        <w:rPr>
          <w:rStyle w:val="FootnoteReference"/>
          <w:lang w:val="es-CR"/>
        </w:rPr>
        <w:footnoteReference w:id="6"/>
      </w:r>
      <w:r w:rsidRPr="005254A8">
        <w:rPr>
          <w:lang w:val="es-CR"/>
        </w:rPr>
        <w:t xml:space="preserve">. Por lo tanto, </w:t>
      </w:r>
      <w:r>
        <w:rPr>
          <w:lang w:val="es-CR"/>
        </w:rPr>
        <w:t xml:space="preserve">de conformidad con el artículo 31.3 del Reglamento, </w:t>
      </w:r>
      <w:r w:rsidRPr="005254A8">
        <w:rPr>
          <w:lang w:val="es-CR"/>
        </w:rPr>
        <w:t xml:space="preserve">no se puede </w:t>
      </w:r>
      <w:r w:rsidR="00A61A6F">
        <w:rPr>
          <w:lang w:val="es-CR"/>
        </w:rPr>
        <w:t>requerir</w:t>
      </w:r>
      <w:r w:rsidR="00A61A6F" w:rsidRPr="005254A8">
        <w:rPr>
          <w:lang w:val="es-CR"/>
        </w:rPr>
        <w:t xml:space="preserve"> </w:t>
      </w:r>
      <w:r w:rsidRPr="005254A8">
        <w:rPr>
          <w:lang w:val="es-CR"/>
        </w:rPr>
        <w:t>la modificación o anulación de la sentencia respectiva a través de una solicitud de interpretación</w:t>
      </w:r>
      <w:r w:rsidRPr="005254A8">
        <w:rPr>
          <w:rStyle w:val="FootnoteReference"/>
          <w:lang w:val="es-CR"/>
        </w:rPr>
        <w:footnoteReference w:id="7"/>
      </w:r>
      <w:r w:rsidRPr="005254A8">
        <w:rPr>
          <w:lang w:val="es-CR"/>
        </w:rPr>
        <w:t>.</w:t>
      </w:r>
      <w:bookmarkEnd w:id="3"/>
    </w:p>
    <w:p w14:paraId="404159B8" w14:textId="4195A8DD" w:rsidR="000975BB" w:rsidRPr="00447918" w:rsidRDefault="00E22C50" w:rsidP="00B605C9">
      <w:pPr>
        <w:numPr>
          <w:ilvl w:val="0"/>
          <w:numId w:val="1"/>
        </w:numPr>
        <w:tabs>
          <w:tab w:val="num" w:pos="720"/>
        </w:tabs>
        <w:autoSpaceDE w:val="0"/>
        <w:autoSpaceDN w:val="0"/>
        <w:adjustRightInd w:val="0"/>
        <w:spacing w:before="120" w:after="120"/>
        <w:ind w:left="0"/>
        <w:jc w:val="both"/>
        <w:rPr>
          <w:lang w:val="es-CR"/>
        </w:rPr>
      </w:pPr>
      <w:r>
        <w:rPr>
          <w:lang w:val="es-CR"/>
        </w:rPr>
        <w:t>A continuación</w:t>
      </w:r>
      <w:r w:rsidR="000975BB" w:rsidRPr="006929B0">
        <w:rPr>
          <w:lang w:val="es-CR"/>
        </w:rPr>
        <w:t xml:space="preserve">, la Corte considerará la solicitud de interpretación planteada por el Estado, en el siguiente orden: </w:t>
      </w:r>
      <w:r w:rsidR="00B015C8">
        <w:rPr>
          <w:lang w:val="es-CR"/>
        </w:rPr>
        <w:t xml:space="preserve">A) </w:t>
      </w:r>
      <w:r w:rsidR="00B015C8">
        <w:rPr>
          <w:rFonts w:eastAsia="Calibri" w:cs="Verdana"/>
          <w:lang w:val="es-CR"/>
        </w:rPr>
        <w:t xml:space="preserve">beneficiarios, alcance y gastos específicos incluidos en la medida ordenada en el párrafo 215 de la Sentencia; B) organismos especializados </w:t>
      </w:r>
      <w:r w:rsidR="00404D56">
        <w:rPr>
          <w:rFonts w:eastAsia="Calibri" w:cs="Verdana"/>
          <w:lang w:val="es-CR"/>
        </w:rPr>
        <w:t>a los que se refiere</w:t>
      </w:r>
      <w:r w:rsidR="00B015C8">
        <w:rPr>
          <w:rFonts w:eastAsia="Calibri" w:cs="Verdana"/>
          <w:lang w:val="es-CR"/>
        </w:rPr>
        <w:t xml:space="preserve"> la medida </w:t>
      </w:r>
      <w:r w:rsidR="00404D56">
        <w:rPr>
          <w:rFonts w:eastAsia="Calibri" w:cs="Verdana"/>
          <w:lang w:val="es-CR"/>
        </w:rPr>
        <w:t xml:space="preserve">contenida </w:t>
      </w:r>
      <w:r w:rsidR="00B015C8">
        <w:rPr>
          <w:rFonts w:eastAsia="Calibri" w:cs="Verdana"/>
          <w:lang w:val="es-CR"/>
        </w:rPr>
        <w:t>en el párrafo 217 de la Sentencia</w:t>
      </w:r>
      <w:r w:rsidR="00C70162">
        <w:rPr>
          <w:rFonts w:eastAsia="Calibri" w:cs="Verdana"/>
          <w:lang w:val="es-CR"/>
        </w:rPr>
        <w:t>; C</w:t>
      </w:r>
      <w:r w:rsidR="00B015C8">
        <w:rPr>
          <w:rFonts w:eastAsia="Calibri" w:cs="Verdana"/>
          <w:lang w:val="es-CR"/>
        </w:rPr>
        <w:t>) gastos razonables a cargo del Estado en el marco de la supervisión del c</w:t>
      </w:r>
      <w:r w:rsidR="00EE1D83">
        <w:rPr>
          <w:rFonts w:eastAsia="Calibri" w:cs="Verdana"/>
          <w:lang w:val="es-CR"/>
        </w:rPr>
        <w:t xml:space="preserve">umplimiento de la </w:t>
      </w:r>
      <w:r w:rsidR="00404D56">
        <w:rPr>
          <w:rFonts w:eastAsia="Calibri" w:cs="Verdana"/>
          <w:lang w:val="es-CR"/>
        </w:rPr>
        <w:t>S</w:t>
      </w:r>
      <w:r w:rsidR="00EE1D83">
        <w:rPr>
          <w:rFonts w:eastAsia="Calibri" w:cs="Verdana"/>
          <w:lang w:val="es-CR"/>
        </w:rPr>
        <w:t>entencia, y D</w:t>
      </w:r>
      <w:r w:rsidR="00B015C8">
        <w:rPr>
          <w:rFonts w:eastAsia="Calibri" w:cs="Verdana"/>
          <w:lang w:val="es-CR"/>
        </w:rPr>
        <w:t>) modalidad de pago de las indemnizaciones por daño material e inmaterial y reintegro de costas y gastos</w:t>
      </w:r>
      <w:r w:rsidR="00C70162">
        <w:rPr>
          <w:rFonts w:eastAsia="Calibri" w:cs="Verdana"/>
          <w:lang w:val="es-CR"/>
        </w:rPr>
        <w:t xml:space="preserve">. </w:t>
      </w:r>
    </w:p>
    <w:p w14:paraId="30500D0D" w14:textId="7876AA11" w:rsidR="000975BB" w:rsidRPr="00E879BC" w:rsidRDefault="000975BB" w:rsidP="00B605C9">
      <w:pPr>
        <w:autoSpaceDE w:val="0"/>
        <w:autoSpaceDN w:val="0"/>
        <w:adjustRightInd w:val="0"/>
        <w:spacing w:before="240" w:after="240"/>
        <w:ind w:left="703"/>
        <w:jc w:val="both"/>
        <w:rPr>
          <w:rFonts w:eastAsia="Calibri" w:cs="Verdana"/>
          <w:i/>
          <w:lang w:val="es-CR"/>
        </w:rPr>
      </w:pPr>
      <w:r>
        <w:rPr>
          <w:rFonts w:eastAsia="Calibri" w:cs="Verdana"/>
          <w:b/>
          <w:lang w:val="es-CR"/>
        </w:rPr>
        <w:t>A.</w:t>
      </w:r>
      <w:r w:rsidR="00B605C9">
        <w:rPr>
          <w:rFonts w:eastAsia="Calibri" w:cs="Verdana"/>
          <w:b/>
          <w:lang w:val="es-CR"/>
        </w:rPr>
        <w:t xml:space="preserve"> </w:t>
      </w:r>
      <w:r w:rsidR="00C70162">
        <w:rPr>
          <w:rFonts w:eastAsia="Calibri" w:cs="Verdana"/>
          <w:b/>
          <w:lang w:val="es-CR"/>
        </w:rPr>
        <w:t>B</w:t>
      </w:r>
      <w:r w:rsidR="00C70162" w:rsidRPr="00C70162">
        <w:rPr>
          <w:rFonts w:eastAsia="Calibri" w:cs="Verdana"/>
          <w:b/>
          <w:lang w:val="es-CR"/>
        </w:rPr>
        <w:t>eneficiarios, alcance y gastos específicos incluidos en la medida ordenada en el párrafo 215 de la Sentencia</w:t>
      </w:r>
      <w:r w:rsidR="00C70162">
        <w:rPr>
          <w:rFonts w:eastAsia="Calibri" w:cs="Verdana"/>
          <w:b/>
          <w:lang w:val="es-CR"/>
        </w:rPr>
        <w:t xml:space="preserve">. </w:t>
      </w:r>
    </w:p>
    <w:p w14:paraId="5CCABC28" w14:textId="0A60965A" w:rsidR="000975BB" w:rsidRPr="00E879BC" w:rsidRDefault="000975BB" w:rsidP="00B605C9">
      <w:pPr>
        <w:autoSpaceDE w:val="0"/>
        <w:autoSpaceDN w:val="0"/>
        <w:adjustRightInd w:val="0"/>
        <w:spacing w:before="240" w:after="240"/>
        <w:ind w:left="709" w:firstLine="709"/>
        <w:jc w:val="both"/>
        <w:rPr>
          <w:rFonts w:eastAsia="Calibri" w:cs="Verdana"/>
          <w:i/>
          <w:lang w:val="es-CR"/>
        </w:rPr>
      </w:pPr>
      <w:r>
        <w:rPr>
          <w:rFonts w:eastAsia="Calibri" w:cs="Verdana"/>
          <w:i/>
          <w:lang w:val="es-CR"/>
        </w:rPr>
        <w:t xml:space="preserve">A.1. Argumentos de las partes </w:t>
      </w:r>
    </w:p>
    <w:p w14:paraId="48F05BA9" w14:textId="257C005A" w:rsidR="0004542B" w:rsidRDefault="000975BB" w:rsidP="00B605C9">
      <w:pPr>
        <w:numPr>
          <w:ilvl w:val="0"/>
          <w:numId w:val="1"/>
        </w:numPr>
        <w:tabs>
          <w:tab w:val="num" w:pos="720"/>
        </w:tabs>
        <w:autoSpaceDE w:val="0"/>
        <w:autoSpaceDN w:val="0"/>
        <w:adjustRightInd w:val="0"/>
        <w:spacing w:before="120" w:after="120"/>
        <w:ind w:left="0"/>
        <w:jc w:val="both"/>
        <w:rPr>
          <w:rFonts w:eastAsia="Calibri" w:cs="Verdana"/>
          <w:lang w:val="es-AR"/>
        </w:rPr>
      </w:pPr>
      <w:r w:rsidRPr="00644440">
        <w:rPr>
          <w:rFonts w:eastAsia="Calibri" w:cs="Verdana"/>
          <w:lang w:val="es-CR"/>
        </w:rPr>
        <w:t xml:space="preserve">El </w:t>
      </w:r>
      <w:r w:rsidRPr="00D27755">
        <w:rPr>
          <w:rFonts w:eastAsia="Calibri" w:cs="Verdana"/>
          <w:i/>
          <w:lang w:val="es-CR"/>
        </w:rPr>
        <w:t>Estado</w:t>
      </w:r>
      <w:r w:rsidRPr="00644440">
        <w:rPr>
          <w:rFonts w:eastAsia="Calibri" w:cs="Verdana"/>
          <w:b/>
          <w:lang w:val="es-CR"/>
        </w:rPr>
        <w:t xml:space="preserve"> </w:t>
      </w:r>
      <w:r w:rsidRPr="00644440">
        <w:rPr>
          <w:rFonts w:eastAsia="Calibri" w:cs="Verdana"/>
          <w:lang w:val="es-CR"/>
        </w:rPr>
        <w:t xml:space="preserve">notó que la Corte </w:t>
      </w:r>
      <w:r w:rsidRPr="00B34661">
        <w:rPr>
          <w:lang w:val="es-CR"/>
        </w:rPr>
        <w:t>ordenó</w:t>
      </w:r>
      <w:r w:rsidRPr="00644440">
        <w:rPr>
          <w:rFonts w:eastAsia="Calibri" w:cs="Verdana"/>
          <w:lang w:val="es-CR"/>
        </w:rPr>
        <w:t xml:space="preserve"> </w:t>
      </w:r>
      <w:r w:rsidR="00B34661" w:rsidRPr="00B34661">
        <w:rPr>
          <w:rFonts w:eastAsia="Calibri" w:cs="Verdana"/>
          <w:lang w:val="es-CR"/>
        </w:rPr>
        <w:t xml:space="preserve">garantizar las condiciones de seguridad adecuadas para que </w:t>
      </w:r>
      <w:r w:rsidR="00B34661" w:rsidRPr="00B34661">
        <w:rPr>
          <w:rFonts w:eastAsia="Calibri" w:cs="Verdana"/>
          <w:lang w:val="es-AR"/>
        </w:rPr>
        <w:t>los familiares de</w:t>
      </w:r>
      <w:r w:rsidR="00B34661">
        <w:rPr>
          <w:rFonts w:eastAsia="Calibri" w:cs="Verdana"/>
          <w:lang w:val="es-AR"/>
        </w:rPr>
        <w:t xml:space="preserve"> </w:t>
      </w:r>
      <w:r w:rsidR="00B34661" w:rsidRPr="00B34661">
        <w:rPr>
          <w:rFonts w:eastAsia="Calibri" w:cs="Verdana"/>
          <w:lang w:val="es-AR"/>
        </w:rPr>
        <w:t>Nelson Carvajal que se encuentran en situación de desplazamiento y</w:t>
      </w:r>
      <w:r w:rsidR="00B34661">
        <w:rPr>
          <w:rFonts w:eastAsia="Calibri" w:cs="Verdana"/>
          <w:lang w:val="es-AR"/>
        </w:rPr>
        <w:t xml:space="preserve"> </w:t>
      </w:r>
      <w:r w:rsidR="00B34661" w:rsidRPr="00B34661">
        <w:rPr>
          <w:rFonts w:eastAsia="Calibri" w:cs="Verdana"/>
          <w:lang w:val="es-AR"/>
        </w:rPr>
        <w:t>que son víctimas del presente caso,</w:t>
      </w:r>
      <w:r w:rsidR="00B34661">
        <w:rPr>
          <w:rFonts w:eastAsia="Calibri" w:cs="Verdana"/>
          <w:lang w:val="es-AR"/>
        </w:rPr>
        <w:t xml:space="preserve"> </w:t>
      </w:r>
      <w:r w:rsidR="00B34661" w:rsidRPr="00B34661">
        <w:rPr>
          <w:rFonts w:eastAsia="Calibri" w:cs="Verdana"/>
          <w:lang w:val="es-AR"/>
        </w:rPr>
        <w:t>puedan retornar a sus lugares de residencia, de ser el caso y si así lo</w:t>
      </w:r>
      <w:r w:rsidR="00B34661">
        <w:rPr>
          <w:rFonts w:eastAsia="Calibri" w:cs="Verdana"/>
          <w:lang w:val="es-AR"/>
        </w:rPr>
        <w:t xml:space="preserve"> </w:t>
      </w:r>
      <w:r w:rsidR="00B34661" w:rsidRPr="00B34661">
        <w:rPr>
          <w:rFonts w:eastAsia="Calibri" w:cs="Verdana"/>
          <w:lang w:val="es-AR"/>
        </w:rPr>
        <w:lastRenderedPageBreak/>
        <w:t xml:space="preserve">desean, sin que ello </w:t>
      </w:r>
      <w:r w:rsidR="00B34661" w:rsidRPr="00B605C9">
        <w:rPr>
          <w:lang w:val="es-CR"/>
        </w:rPr>
        <w:t>represente</w:t>
      </w:r>
      <w:r w:rsidR="00B34661" w:rsidRPr="00B34661">
        <w:rPr>
          <w:rFonts w:eastAsia="Calibri" w:cs="Verdana"/>
          <w:lang w:val="es-AR"/>
        </w:rPr>
        <w:t xml:space="preserve"> un gasto adicional para los</w:t>
      </w:r>
      <w:r w:rsidR="00B34661">
        <w:rPr>
          <w:rFonts w:eastAsia="Calibri" w:cs="Verdana"/>
          <w:lang w:val="es-AR"/>
        </w:rPr>
        <w:t xml:space="preserve"> </w:t>
      </w:r>
      <w:r w:rsidR="00B34661" w:rsidRPr="00B34661">
        <w:rPr>
          <w:rFonts w:eastAsia="Calibri" w:cs="Verdana"/>
          <w:lang w:val="es-AR"/>
        </w:rPr>
        <w:t>beneficiarios de la medida</w:t>
      </w:r>
      <w:r w:rsidR="00B34661">
        <w:rPr>
          <w:rFonts w:eastAsia="Calibri" w:cs="Verdana"/>
          <w:lang w:val="es-AR"/>
        </w:rPr>
        <w:t>. Al respecto, el Estado solicitó</w:t>
      </w:r>
      <w:r w:rsidR="0004542B">
        <w:rPr>
          <w:rFonts w:eastAsia="Calibri" w:cs="Verdana"/>
          <w:lang w:val="es-AR"/>
        </w:rPr>
        <w:t>:</w:t>
      </w:r>
    </w:p>
    <w:p w14:paraId="406BB141" w14:textId="21263CE9" w:rsidR="0004542B" w:rsidRDefault="00B34661" w:rsidP="00D27755">
      <w:pPr>
        <w:numPr>
          <w:ilvl w:val="1"/>
          <w:numId w:val="1"/>
        </w:numPr>
        <w:tabs>
          <w:tab w:val="num" w:pos="1427"/>
        </w:tabs>
        <w:autoSpaceDE w:val="0"/>
        <w:autoSpaceDN w:val="0"/>
        <w:adjustRightInd w:val="0"/>
        <w:spacing w:before="120" w:after="120"/>
        <w:jc w:val="both"/>
        <w:rPr>
          <w:rFonts w:eastAsia="Calibri" w:cs="Verdana"/>
          <w:lang w:val="es-AR"/>
        </w:rPr>
      </w:pPr>
      <w:r>
        <w:rPr>
          <w:rFonts w:eastAsia="Calibri" w:cs="Verdana"/>
          <w:lang w:val="es-AR"/>
        </w:rPr>
        <w:t>una aclaración sobre quiénes serían los beneficiarios de esta medida, en tanto “podría tratarse exclusivamente de las nueve (9) víctimas reconocidas en la sentencia que se encuentran fuera del país, o también, podría interpretarse que se debe incluir a los integrantes de su núcleo familiar inmediato”</w:t>
      </w:r>
      <w:r w:rsidR="0004542B">
        <w:rPr>
          <w:rFonts w:eastAsia="Calibri" w:cs="Verdana"/>
          <w:lang w:val="es-AR"/>
        </w:rPr>
        <w:t>;</w:t>
      </w:r>
      <w:r>
        <w:rPr>
          <w:rFonts w:eastAsia="Calibri" w:cs="Verdana"/>
          <w:lang w:val="es-AR"/>
        </w:rPr>
        <w:t xml:space="preserve"> </w:t>
      </w:r>
    </w:p>
    <w:p w14:paraId="38F74025" w14:textId="15F72CD6" w:rsidR="0004542B" w:rsidRDefault="00B34661" w:rsidP="00D27755">
      <w:pPr>
        <w:numPr>
          <w:ilvl w:val="1"/>
          <w:numId w:val="1"/>
        </w:numPr>
        <w:tabs>
          <w:tab w:val="num" w:pos="1427"/>
        </w:tabs>
        <w:autoSpaceDE w:val="0"/>
        <w:autoSpaceDN w:val="0"/>
        <w:adjustRightInd w:val="0"/>
        <w:spacing w:before="120" w:after="120"/>
        <w:jc w:val="both"/>
        <w:rPr>
          <w:rFonts w:eastAsia="Calibri" w:cs="Verdana"/>
          <w:lang w:val="es-AR"/>
        </w:rPr>
      </w:pPr>
      <w:r>
        <w:rPr>
          <w:rFonts w:eastAsia="Calibri" w:cs="Verdana"/>
          <w:lang w:val="es-AR"/>
        </w:rPr>
        <w:t>que la Corte precise el alcance de la expresión “retornar a sus lugares de residencia”, remarcando que “este retorno puede interpretarse como volver al país, o que sea a alguna ciudad en particular, como, por ejemplo, la ciudad en que ocurrieron los hechos, Pitalito-Huila”, o incluso “el lugar donde se ubicarían dentro de determinada ciudad”</w:t>
      </w:r>
      <w:r w:rsidR="0004542B">
        <w:rPr>
          <w:rFonts w:eastAsia="Calibri" w:cs="Verdana"/>
          <w:lang w:val="es-AR"/>
        </w:rPr>
        <w:t>, y</w:t>
      </w:r>
    </w:p>
    <w:p w14:paraId="1D8E54D9" w14:textId="5937C2FB" w:rsidR="00B34661" w:rsidRDefault="00B10DB8" w:rsidP="00D27755">
      <w:pPr>
        <w:numPr>
          <w:ilvl w:val="1"/>
          <w:numId w:val="1"/>
        </w:numPr>
        <w:tabs>
          <w:tab w:val="num" w:pos="1427"/>
        </w:tabs>
        <w:autoSpaceDE w:val="0"/>
        <w:autoSpaceDN w:val="0"/>
        <w:adjustRightInd w:val="0"/>
        <w:spacing w:before="120" w:after="120"/>
        <w:jc w:val="both"/>
        <w:rPr>
          <w:rFonts w:eastAsia="Calibri" w:cs="Verdana"/>
          <w:lang w:val="es-AR"/>
        </w:rPr>
      </w:pPr>
      <w:r>
        <w:rPr>
          <w:rFonts w:eastAsia="Calibri" w:cs="Verdana"/>
          <w:lang w:val="es-AR"/>
        </w:rPr>
        <w:t xml:space="preserve">que la Corte especifique qué gastos están a cargo del Estado para garantizar el retorno de los familiares, en tanto “[l]a expresión </w:t>
      </w:r>
      <w:r w:rsidR="0004542B">
        <w:rPr>
          <w:rFonts w:eastAsia="Calibri" w:cs="Verdana"/>
          <w:lang w:val="es-AR"/>
        </w:rPr>
        <w:t>‘</w:t>
      </w:r>
      <w:r>
        <w:rPr>
          <w:rFonts w:eastAsia="Calibri" w:cs="Verdana"/>
          <w:lang w:val="es-AR"/>
        </w:rPr>
        <w:t>entre otros</w:t>
      </w:r>
      <w:r w:rsidR="0004542B">
        <w:rPr>
          <w:rFonts w:eastAsia="Calibri" w:cs="Verdana"/>
          <w:lang w:val="es-AR"/>
        </w:rPr>
        <w:t>’</w:t>
      </w:r>
      <w:r>
        <w:rPr>
          <w:rFonts w:eastAsia="Calibri" w:cs="Verdana"/>
          <w:lang w:val="es-AR"/>
        </w:rPr>
        <w:t xml:space="preserve"> no ofrece claridad sobre los conceptos que el Estado debería pagar en el proceso de retorno”. En este sentido, el Estado agregó que “cuenta con leyes y protocolos para el retorno y reubicación de víctimas de desplazamiento que especifican estos gastos” y propuso aclarar este punto según los parámetros que contempla la normativ</w:t>
      </w:r>
      <w:r w:rsidR="0004542B">
        <w:rPr>
          <w:rFonts w:eastAsia="Calibri" w:cs="Verdana"/>
          <w:lang w:val="es-AR"/>
        </w:rPr>
        <w:t>idad</w:t>
      </w:r>
      <w:r>
        <w:rPr>
          <w:rFonts w:eastAsia="Calibri" w:cs="Verdana"/>
          <w:lang w:val="es-AR"/>
        </w:rPr>
        <w:t xml:space="preserve"> interna. </w:t>
      </w:r>
    </w:p>
    <w:p w14:paraId="038406D4" w14:textId="3A8B2960" w:rsidR="009240DF" w:rsidRPr="009F52E2" w:rsidRDefault="00B10DB8" w:rsidP="00B605C9">
      <w:pPr>
        <w:numPr>
          <w:ilvl w:val="0"/>
          <w:numId w:val="1"/>
        </w:numPr>
        <w:tabs>
          <w:tab w:val="num" w:pos="720"/>
        </w:tabs>
        <w:autoSpaceDE w:val="0"/>
        <w:autoSpaceDN w:val="0"/>
        <w:adjustRightInd w:val="0"/>
        <w:spacing w:before="120" w:after="120"/>
        <w:ind w:left="0"/>
        <w:jc w:val="both"/>
        <w:rPr>
          <w:rFonts w:eastAsia="Calibri" w:cs="Verdana"/>
          <w:lang w:val="es-AR"/>
        </w:rPr>
      </w:pPr>
      <w:r w:rsidRPr="009F52E2">
        <w:rPr>
          <w:rFonts w:eastAsia="Calibri" w:cs="Verdana"/>
          <w:lang w:val="es-AR"/>
        </w:rPr>
        <w:t xml:space="preserve">Los </w:t>
      </w:r>
      <w:r w:rsidRPr="00D27755">
        <w:rPr>
          <w:rFonts w:eastAsia="Calibri" w:cs="Verdana"/>
          <w:i/>
          <w:lang w:val="es-AR"/>
        </w:rPr>
        <w:t>representantes</w:t>
      </w:r>
      <w:r w:rsidRPr="009F52E2">
        <w:rPr>
          <w:rFonts w:eastAsia="Calibri" w:cs="Verdana"/>
          <w:b/>
          <w:i/>
          <w:lang w:val="es-AR"/>
        </w:rPr>
        <w:t xml:space="preserve"> </w:t>
      </w:r>
      <w:r w:rsidR="00C6634F">
        <w:rPr>
          <w:rFonts w:eastAsia="Calibri" w:cs="Verdana"/>
          <w:lang w:val="es-AR"/>
        </w:rPr>
        <w:t>observaron que</w:t>
      </w:r>
      <w:r w:rsidR="00C6634F" w:rsidRPr="009F52E2">
        <w:rPr>
          <w:rFonts w:eastAsia="Calibri" w:cs="Verdana"/>
          <w:lang w:val="es-AR"/>
        </w:rPr>
        <w:t xml:space="preserve"> </w:t>
      </w:r>
      <w:r w:rsidR="00235723" w:rsidRPr="009F52E2">
        <w:rPr>
          <w:rFonts w:eastAsia="Calibri" w:cs="Verdana"/>
          <w:lang w:val="es-AR"/>
        </w:rPr>
        <w:t xml:space="preserve">la Corte </w:t>
      </w:r>
      <w:r w:rsidR="00C6634F">
        <w:rPr>
          <w:rFonts w:eastAsia="Calibri" w:cs="Verdana"/>
          <w:lang w:val="es-AR"/>
        </w:rPr>
        <w:t xml:space="preserve">debe </w:t>
      </w:r>
      <w:r w:rsidR="00235723" w:rsidRPr="009F52E2">
        <w:rPr>
          <w:rFonts w:eastAsia="Calibri" w:cs="Verdana"/>
          <w:lang w:val="es-AR"/>
        </w:rPr>
        <w:t xml:space="preserve">considerar como beneficiarios de esta medida a “todos los miembros del núcleo familiar inmediato de cada una de las víctimas que residen en el exterior, quienes se vieron forzadas a abandonar el país como consecuencia directa del asesinato de Nelson y su búsqueda de verdad y justicia”. Asimismo, agregaron que el término “entre otros” debe entenderse como “todos aquellos gastos necesarios para facilitar el retorno de la familia”, lo cual incluiría “hospedaje, alimentación y seguro de salud temporal y por un tiempo razonable que les permita […] tener las condiciones básicas para poder reconstruir sus vidas”. Finalmente, con respecto a la propuesta de remitir a la normativa interna a los fines de determinar cuáles gastos están incluidos, expresaron su preocupación en cuanto a que ello se interprete en el sentido de requerir a las víctimas “activar algún mecanismo o agotar algún procedimiento interno adicional y posterior a la Sentencia de esta </w:t>
      </w:r>
      <w:r w:rsidR="006524BC">
        <w:rPr>
          <w:rFonts w:eastAsia="Calibri" w:cs="Verdana"/>
          <w:lang w:val="es-AR"/>
        </w:rPr>
        <w:t>[…]</w:t>
      </w:r>
      <w:r w:rsidR="00235723" w:rsidRPr="009F52E2">
        <w:rPr>
          <w:rFonts w:eastAsia="Calibri" w:cs="Verdana"/>
          <w:lang w:val="es-AR"/>
        </w:rPr>
        <w:t xml:space="preserve"> Corte para poder hacer efectiva esta medida de reparación”. </w:t>
      </w:r>
    </w:p>
    <w:p w14:paraId="5ED218F8" w14:textId="77777777" w:rsidR="000975BB" w:rsidRDefault="000975BB" w:rsidP="00B605C9">
      <w:pPr>
        <w:autoSpaceDE w:val="0"/>
        <w:autoSpaceDN w:val="0"/>
        <w:adjustRightInd w:val="0"/>
        <w:spacing w:before="240" w:after="240"/>
        <w:jc w:val="both"/>
        <w:rPr>
          <w:rFonts w:eastAsia="Calibri" w:cs="Verdana"/>
          <w:i/>
          <w:lang w:val="es-CR"/>
        </w:rPr>
      </w:pPr>
      <w:r>
        <w:rPr>
          <w:rFonts w:eastAsia="Calibri" w:cs="Verdana"/>
          <w:i/>
          <w:lang w:val="es-CR"/>
        </w:rPr>
        <w:tab/>
        <w:t xml:space="preserve">A.2. Consideraciones de la Corte </w:t>
      </w:r>
    </w:p>
    <w:p w14:paraId="43F2CE71" w14:textId="0872D427" w:rsidR="000661DA" w:rsidRPr="00635BD5" w:rsidRDefault="00635BD5" w:rsidP="00635BD5">
      <w:pPr>
        <w:numPr>
          <w:ilvl w:val="0"/>
          <w:numId w:val="1"/>
        </w:numPr>
        <w:tabs>
          <w:tab w:val="num" w:pos="720"/>
        </w:tabs>
        <w:autoSpaceDE w:val="0"/>
        <w:autoSpaceDN w:val="0"/>
        <w:adjustRightInd w:val="0"/>
        <w:spacing w:before="120" w:after="120"/>
        <w:ind w:left="0"/>
        <w:jc w:val="both"/>
      </w:pPr>
      <w:r w:rsidRPr="00635BD5">
        <w:t xml:space="preserve">La Corte constata que este punto de la solicitud de interpretación se refiere a </w:t>
      </w:r>
      <w:r w:rsidR="00AE60B7">
        <w:t>tres</w:t>
      </w:r>
      <w:r w:rsidRPr="00635BD5">
        <w:t xml:space="preserve"> aspectos diferentes. En concreto, estos serían: a) quienes son los destinatarios de esa medida de restituci</w:t>
      </w:r>
      <w:r w:rsidR="00AE60B7">
        <w:t>ón;</w:t>
      </w:r>
      <w:r w:rsidRPr="00635BD5">
        <w:t xml:space="preserve"> b) </w:t>
      </w:r>
      <w:r w:rsidR="00635538">
        <w:t xml:space="preserve">el alcance </w:t>
      </w:r>
      <w:r w:rsidRPr="00635BD5">
        <w:t>de la expresión “retornar a sus lugares de residencia”</w:t>
      </w:r>
      <w:r w:rsidR="00AE60B7">
        <w:t>, y c) los gastos que están comprendidos dentro de esa medida de reparación.</w:t>
      </w:r>
    </w:p>
    <w:p w14:paraId="2331C5E7" w14:textId="4ACDB788" w:rsidR="00FF138F" w:rsidRDefault="00996E34" w:rsidP="00B605C9">
      <w:pPr>
        <w:numPr>
          <w:ilvl w:val="0"/>
          <w:numId w:val="1"/>
        </w:numPr>
        <w:tabs>
          <w:tab w:val="num" w:pos="720"/>
        </w:tabs>
        <w:autoSpaceDE w:val="0"/>
        <w:autoSpaceDN w:val="0"/>
        <w:adjustRightInd w:val="0"/>
        <w:spacing w:before="120" w:after="120"/>
        <w:ind w:left="0"/>
        <w:jc w:val="both"/>
      </w:pPr>
      <w:r>
        <w:rPr>
          <w:rFonts w:eastAsia="Calibri" w:cs="Verdana"/>
          <w:lang w:val="es-CR"/>
        </w:rPr>
        <w:t>Con respecto al primer punto, l</w:t>
      </w:r>
      <w:r w:rsidR="00235723">
        <w:rPr>
          <w:rFonts w:eastAsia="Calibri" w:cs="Verdana"/>
          <w:lang w:val="es-CR"/>
        </w:rPr>
        <w:t>a Corte recuerda que</w:t>
      </w:r>
      <w:r w:rsidR="001C2605">
        <w:rPr>
          <w:rFonts w:eastAsia="Calibri" w:cs="Verdana"/>
          <w:lang w:val="es-CR"/>
        </w:rPr>
        <w:t>, tal como fue referido en el párrafo 214 de la Sentencia,</w:t>
      </w:r>
      <w:r w:rsidR="00235723">
        <w:rPr>
          <w:rFonts w:eastAsia="Calibri" w:cs="Verdana"/>
          <w:lang w:val="es-CR"/>
        </w:rPr>
        <w:t xml:space="preserve"> la medida dispuesta en el párrafo </w:t>
      </w:r>
      <w:r w:rsidR="001C2605">
        <w:rPr>
          <w:rFonts w:eastAsia="Calibri" w:cs="Verdana"/>
          <w:lang w:val="es-CR"/>
        </w:rPr>
        <w:t xml:space="preserve">215 </w:t>
      </w:r>
      <w:r w:rsidR="00883F1F">
        <w:rPr>
          <w:rFonts w:eastAsia="Calibri" w:cs="Verdana"/>
          <w:lang w:val="es-CR"/>
        </w:rPr>
        <w:t>responde a que Colombia</w:t>
      </w:r>
      <w:r w:rsidR="00235723">
        <w:rPr>
          <w:rFonts w:eastAsia="Calibri" w:cs="Verdana"/>
          <w:lang w:val="es-CR"/>
        </w:rPr>
        <w:t xml:space="preserve"> fue encontrada responsable por </w:t>
      </w:r>
      <w:r w:rsidR="001C2605">
        <w:rPr>
          <w:rFonts w:eastAsia="Calibri" w:cs="Verdana"/>
          <w:lang w:val="es-CR"/>
        </w:rPr>
        <w:t>“</w:t>
      </w:r>
      <w:r w:rsidR="001C2605">
        <w:t xml:space="preserve">una violación a los derechos de circulación y residencia en perjuicio de nueve familiares de Nelson Carvajal que tuvieron que emigrar fuera del territorio colombiano debido a su situación de seguridad”. Dicho párrafo hace referencia al párrafo 196 de la misma Sentencia, el cual refiere que “dado que </w:t>
      </w:r>
      <w:r w:rsidR="001C2605" w:rsidRPr="00B605C9">
        <w:rPr>
          <w:rFonts w:eastAsia="Calibri" w:cs="Verdana"/>
          <w:lang w:val="es-AR"/>
        </w:rPr>
        <w:t>algunos</w:t>
      </w:r>
      <w:r w:rsidR="001C2605">
        <w:t xml:space="preserve"> de los familiares de Nelson Carvajal se vieron forzados a salir de su lugar de residencia habitual y desplazarse en razón de la situación de riesgo que soportaban, y el temor que sentían, y que el Estado incumplió con su obligación de investigar las amenazas de las cuales fueron objeto varios de ellos, así como de proveer las condiciones necesarias para facilitar un retorno voluntario, digno y seguro a sus lugares de residencia habitual o un reasentamiento voluntario en otra parte del país, de todos los que tuvieron que salir del territorio colombiano, se declara la violación del artículo 22.1 de la Convención Americana, en relación con el artículo 1.1 de la misma, en perjuicio de los familiares de Nelson Carvajal </w:t>
      </w:r>
      <w:proofErr w:type="spellStart"/>
      <w:r w:rsidR="001C2605">
        <w:t>Carvajal</w:t>
      </w:r>
      <w:proofErr w:type="spellEnd"/>
      <w:r w:rsidR="001C2605">
        <w:t xml:space="preserve"> que tuvieron que migrar y refugiarse fuera del país”. </w:t>
      </w:r>
      <w:r w:rsidR="00501977">
        <w:t xml:space="preserve">Esta parte de la Sentencia </w:t>
      </w:r>
      <w:r w:rsidR="001C2605">
        <w:t xml:space="preserve">debe complementarse con lo dispuesto en la nota al pie de página 251, contenida en dicho párrafo, donde se establece </w:t>
      </w:r>
      <w:r w:rsidR="001C2605">
        <w:lastRenderedPageBreak/>
        <w:t xml:space="preserve">expresamente que esas personas son: Paola Andrea Carvajal Bolaños, María Alejandra Carvajal Bolaños (hijas); Luz Estela Bolaños Rodríguez (cónyuge); Judith Carvajal </w:t>
      </w:r>
      <w:proofErr w:type="spellStart"/>
      <w:r w:rsidR="001C2605">
        <w:t>Carvajal</w:t>
      </w:r>
      <w:proofErr w:type="spellEnd"/>
      <w:r w:rsidR="001C2605">
        <w:t xml:space="preserve">, Gloria Mercedes Carvajal </w:t>
      </w:r>
      <w:proofErr w:type="spellStart"/>
      <w:r w:rsidR="001C2605">
        <w:t>Carvajal</w:t>
      </w:r>
      <w:proofErr w:type="spellEnd"/>
      <w:r w:rsidR="001C2605">
        <w:t xml:space="preserve">, Ruth Dary Carvajal </w:t>
      </w:r>
      <w:proofErr w:type="spellStart"/>
      <w:r w:rsidR="001C2605">
        <w:t>Carvajal</w:t>
      </w:r>
      <w:proofErr w:type="spellEnd"/>
      <w:r w:rsidR="001C2605">
        <w:t xml:space="preserve">, Fernando Augusto Carvajal </w:t>
      </w:r>
      <w:proofErr w:type="spellStart"/>
      <w:r w:rsidR="001C2605">
        <w:t>Carvajal</w:t>
      </w:r>
      <w:proofErr w:type="spellEnd"/>
      <w:r w:rsidR="001C2605">
        <w:t xml:space="preserve"> (hermanas y hermano); </w:t>
      </w:r>
      <w:proofErr w:type="spellStart"/>
      <w:r w:rsidR="001C2605">
        <w:t>Cristhian</w:t>
      </w:r>
      <w:proofErr w:type="spellEnd"/>
      <w:r w:rsidR="001C2605">
        <w:t xml:space="preserve"> Camilo Motta Carvajal, y César Augusto Meneses Carvajal (sobrinos).</w:t>
      </w:r>
    </w:p>
    <w:p w14:paraId="4478DB36" w14:textId="5106B57F" w:rsidR="00FF138F" w:rsidRDefault="00996E34" w:rsidP="00B605C9">
      <w:pPr>
        <w:numPr>
          <w:ilvl w:val="0"/>
          <w:numId w:val="1"/>
        </w:numPr>
        <w:tabs>
          <w:tab w:val="num" w:pos="720"/>
        </w:tabs>
        <w:autoSpaceDE w:val="0"/>
        <w:autoSpaceDN w:val="0"/>
        <w:adjustRightInd w:val="0"/>
        <w:spacing w:before="120" w:after="120"/>
        <w:ind w:left="0"/>
        <w:jc w:val="both"/>
      </w:pPr>
      <w:r>
        <w:t>Por tanto, con respecto</w:t>
      </w:r>
      <w:r w:rsidRPr="00996E34">
        <w:t xml:space="preserve"> </w:t>
      </w:r>
      <w:r>
        <w:t xml:space="preserve">a la medida de reparación contenida en el párrafo 215 de la Sentencia, </w:t>
      </w:r>
      <w:r w:rsidR="005324D0">
        <w:t>e</w:t>
      </w:r>
      <w:r w:rsidR="001C2605">
        <w:t>ste Tribunal concluye que</w:t>
      </w:r>
      <w:r w:rsidR="00FF138F">
        <w:t xml:space="preserve"> la </w:t>
      </w:r>
      <w:r w:rsidR="005324D0">
        <w:t xml:space="preserve">misma </w:t>
      </w:r>
      <w:r w:rsidR="00FF138F">
        <w:t>hace referencia a los nueve familiares allí señalados, y no a su núcleo familiar. Ello en tanto</w:t>
      </w:r>
      <w:r w:rsidR="005324D0">
        <w:t xml:space="preserve"> la</w:t>
      </w:r>
      <w:r w:rsidR="001C2605">
        <w:t xml:space="preserve"> lectura conjunta de lo dispuesto en los párrafos 214, 215, y 196 de la Sentencia</w:t>
      </w:r>
      <w:r w:rsidR="005324D0">
        <w:t xml:space="preserve"> es lo suficientemente clara y precisa</w:t>
      </w:r>
      <w:r w:rsidR="001C2605">
        <w:t>,</w:t>
      </w:r>
      <w:r w:rsidR="005324D0">
        <w:t xml:space="preserve"> máxime cuando </w:t>
      </w:r>
      <w:r w:rsidR="001C2605">
        <w:t xml:space="preserve">no surge de ninguna parte de la Sentencia que la medida abarque </w:t>
      </w:r>
      <w:r w:rsidR="00501977">
        <w:t xml:space="preserve">también </w:t>
      </w:r>
      <w:r w:rsidR="001C2605">
        <w:t>al núcleo familiar de estas nu</w:t>
      </w:r>
      <w:r w:rsidR="00A210E1">
        <w:t>eve personas</w:t>
      </w:r>
      <w:r w:rsidR="00FF138F">
        <w:t>.</w:t>
      </w:r>
      <w:r w:rsidR="00A210E1">
        <w:t xml:space="preserve"> </w:t>
      </w:r>
    </w:p>
    <w:p w14:paraId="4E72AB4A" w14:textId="1D7982DB" w:rsidR="00A210E1" w:rsidRPr="006524BC" w:rsidRDefault="00FF138F" w:rsidP="00B605C9">
      <w:pPr>
        <w:numPr>
          <w:ilvl w:val="0"/>
          <w:numId w:val="1"/>
        </w:numPr>
        <w:tabs>
          <w:tab w:val="num" w:pos="720"/>
        </w:tabs>
        <w:autoSpaceDE w:val="0"/>
        <w:autoSpaceDN w:val="0"/>
        <w:adjustRightInd w:val="0"/>
        <w:spacing w:before="120" w:after="120"/>
        <w:ind w:left="0"/>
        <w:jc w:val="both"/>
      </w:pPr>
      <w:r w:rsidRPr="006524BC">
        <w:t>Asimismo</w:t>
      </w:r>
      <w:r w:rsidR="00A210E1" w:rsidRPr="006524BC">
        <w:t xml:space="preserve">, la Corte recuerda que el momento procesal oportuno para solicitar medidas de reparación es </w:t>
      </w:r>
      <w:r w:rsidR="00501977">
        <w:t>en</w:t>
      </w:r>
      <w:r w:rsidRPr="006524BC">
        <w:t xml:space="preserve"> el escrito de solicitudes, argumentos y pruebas, el cual en el presente caso no hace referencia al núcleo familiar de las personas que se vieron forzadas a emigrar.</w:t>
      </w:r>
      <w:r w:rsidR="005324D0" w:rsidRPr="006524BC">
        <w:t xml:space="preserve"> T</w:t>
      </w:r>
      <w:r w:rsidRPr="006524BC">
        <w:t xml:space="preserve">al como fuera expresado </w:t>
      </w:r>
      <w:r w:rsidRPr="006524BC">
        <w:rPr>
          <w:i/>
        </w:rPr>
        <w:t xml:space="preserve">supra, </w:t>
      </w:r>
      <w:r w:rsidRPr="006524BC">
        <w:t xml:space="preserve">la función de interpretación de este Tribunal debe limitarse a aclarar el sentido o alcance de algún punto de la Sentencia, por lo que no correspondería utilizar dicha facultad para ampliar el sentido de las medidas de reparación ordenadas o incluir solicitudes que no fueron hechas en el momento procesal oportuno. </w:t>
      </w:r>
      <w:r w:rsidR="00501977">
        <w:t>En ese sentido, cabe recordar que</w:t>
      </w:r>
      <w:r w:rsidR="006524BC" w:rsidRPr="006524BC">
        <w:t xml:space="preserve"> no se puede pedir la modificación o anulación de la Sentencia respectiva a través de una solicitud de interpretación</w:t>
      </w:r>
      <w:r w:rsidR="006524BC" w:rsidRPr="006524BC">
        <w:rPr>
          <w:rStyle w:val="FootnoteReference"/>
        </w:rPr>
        <w:footnoteReference w:id="8"/>
      </w:r>
      <w:r w:rsidR="006524BC" w:rsidRPr="006524BC">
        <w:t xml:space="preserve">. De igual manera, por esta vía tampoco se puede </w:t>
      </w:r>
      <w:r w:rsidR="003B3B4E">
        <w:t>ampliar</w:t>
      </w:r>
      <w:r w:rsidR="006524BC" w:rsidRPr="006524BC">
        <w:t xml:space="preserve"> el alcance de una medida de reparación ordenada oportunamente</w:t>
      </w:r>
      <w:r w:rsidR="006524BC" w:rsidRPr="006524BC">
        <w:rPr>
          <w:rStyle w:val="FootnoteReference"/>
        </w:rPr>
        <w:footnoteReference w:id="9"/>
      </w:r>
      <w:r w:rsidR="006524BC" w:rsidRPr="006524BC">
        <w:t>.</w:t>
      </w:r>
    </w:p>
    <w:p w14:paraId="57E2D0EE" w14:textId="2214CBBA" w:rsidR="00F379CA" w:rsidRDefault="005324D0" w:rsidP="00F379CA">
      <w:pPr>
        <w:numPr>
          <w:ilvl w:val="0"/>
          <w:numId w:val="1"/>
        </w:numPr>
        <w:tabs>
          <w:tab w:val="num" w:pos="720"/>
        </w:tabs>
        <w:autoSpaceDE w:val="0"/>
        <w:autoSpaceDN w:val="0"/>
        <w:adjustRightInd w:val="0"/>
        <w:spacing w:before="120" w:after="120"/>
        <w:ind w:left="0"/>
        <w:jc w:val="both"/>
      </w:pPr>
      <w:r>
        <w:t>Con respecto al segundo punto</w:t>
      </w:r>
      <w:r w:rsidR="00F379CA">
        <w:t xml:space="preserve">, </w:t>
      </w:r>
      <w:r w:rsidR="00635538">
        <w:t xml:space="preserve">es claro para este Tribunal que para interpretar adecuadamente la medida de reparación contenida en el párrafo 215, el Tribunal debe necesariamente referirse a la violación </w:t>
      </w:r>
      <w:r w:rsidR="000F2765">
        <w:t>del</w:t>
      </w:r>
      <w:r w:rsidR="00635538">
        <w:t xml:space="preserve"> derecho humano que dio origen a la misma. Al respecto, </w:t>
      </w:r>
      <w:r w:rsidR="00F379CA">
        <w:t xml:space="preserve">ya se indicó que </w:t>
      </w:r>
      <w:r w:rsidR="00F379CA" w:rsidRPr="00F379CA">
        <w:t>la medida dispuesta en el párrafo 215 responde a que Colombia fue encontrada responsable por “una violación a los derechos de circulación y residencia en perjuicio de nueve familiares de Nelson Carvajal que tuvieron que emigrar fuera del territorio colombiano debido a su situación de seguridad”</w:t>
      </w:r>
      <w:r w:rsidR="00F379CA">
        <w:t xml:space="preserve">. </w:t>
      </w:r>
      <w:r w:rsidR="00635538">
        <w:t xml:space="preserve">A su vez, el párrafo 196 </w:t>
      </w:r>
      <w:r w:rsidR="00C528E0">
        <w:t xml:space="preserve">de la Sentencia </w:t>
      </w:r>
      <w:r w:rsidR="00635538">
        <w:t xml:space="preserve">indica con claridad que el Estado </w:t>
      </w:r>
      <w:r w:rsidR="00C528E0">
        <w:t xml:space="preserve">es </w:t>
      </w:r>
      <w:r w:rsidR="00635538">
        <w:t>responsable por una violación al derecho de circulación y residencia contenido en el artículo 22 de la Convención debido a que no proveyó “</w:t>
      </w:r>
      <w:r w:rsidR="00635538" w:rsidRPr="0043341E">
        <w:rPr>
          <w:lang w:val="es-CO"/>
        </w:rPr>
        <w:t xml:space="preserve">las condiciones necesarias para facilitar un retorno voluntario, digno y seguro </w:t>
      </w:r>
      <w:r w:rsidR="00635538" w:rsidRPr="0043341E">
        <w:t>a sus lugares de residencia habitual o un reasentamiento voluntario en otra parte del país</w:t>
      </w:r>
      <w:r w:rsidR="00635538">
        <w:t>, de todos los que tuvieron que salir del territorio colombiano”. Como consecuencia de ello, resulta razonable interpretar que el alcance de la medida de reparación dispuesta en el p</w:t>
      </w:r>
      <w:r w:rsidR="00B16609">
        <w:t>árrafo 2</w:t>
      </w:r>
      <w:r w:rsidR="00635538">
        <w:t xml:space="preserve">15 se refiere a los “lugares de </w:t>
      </w:r>
      <w:r w:rsidR="00635538" w:rsidRPr="0043341E">
        <w:t>residencia habitual o un reasentamiento voluntario en otra parte del país</w:t>
      </w:r>
      <w:r w:rsidR="00635538">
        <w:t>, de todos los que tuvieron que salir del territorio colombiano”.</w:t>
      </w:r>
    </w:p>
    <w:p w14:paraId="510D1E43" w14:textId="4EAA4646" w:rsidR="005324D0" w:rsidRDefault="00A37D5C" w:rsidP="00B605C9">
      <w:pPr>
        <w:numPr>
          <w:ilvl w:val="0"/>
          <w:numId w:val="1"/>
        </w:numPr>
        <w:tabs>
          <w:tab w:val="num" w:pos="720"/>
        </w:tabs>
        <w:autoSpaceDE w:val="0"/>
        <w:autoSpaceDN w:val="0"/>
        <w:adjustRightInd w:val="0"/>
        <w:spacing w:before="120" w:after="120"/>
        <w:ind w:left="0"/>
        <w:jc w:val="both"/>
        <w:rPr>
          <w:rFonts w:eastAsia="Calibri" w:cs="Verdana"/>
          <w:lang w:val="es-CR"/>
        </w:rPr>
      </w:pPr>
      <w:r>
        <w:rPr>
          <w:rFonts w:eastAsia="Calibri" w:cs="Verdana"/>
          <w:lang w:val="es-CR"/>
        </w:rPr>
        <w:t>En lo que concierne</w:t>
      </w:r>
      <w:r w:rsidR="005324D0">
        <w:rPr>
          <w:rFonts w:eastAsia="Calibri" w:cs="Verdana"/>
          <w:lang w:val="es-CR"/>
        </w:rPr>
        <w:t xml:space="preserve"> </w:t>
      </w:r>
      <w:r>
        <w:rPr>
          <w:rFonts w:eastAsia="Calibri" w:cs="Verdana"/>
          <w:lang w:val="es-CR"/>
        </w:rPr>
        <w:t>e</w:t>
      </w:r>
      <w:r w:rsidR="005324D0">
        <w:rPr>
          <w:rFonts w:eastAsia="Calibri" w:cs="Verdana"/>
          <w:lang w:val="es-CR"/>
        </w:rPr>
        <w:t xml:space="preserve">l </w:t>
      </w:r>
      <w:r w:rsidR="005324D0" w:rsidRPr="00B74EF6">
        <w:t>tercer</w:t>
      </w:r>
      <w:r w:rsidR="005324D0">
        <w:rPr>
          <w:rFonts w:eastAsia="Calibri" w:cs="Verdana"/>
          <w:lang w:val="es-CR"/>
        </w:rPr>
        <w:t xml:space="preserve"> punto, </w:t>
      </w:r>
      <w:r w:rsidR="00635538">
        <w:rPr>
          <w:rFonts w:eastAsia="Calibri" w:cs="Verdana"/>
          <w:lang w:val="es-CR"/>
        </w:rPr>
        <w:t xml:space="preserve">la Corte constata que </w:t>
      </w:r>
      <w:r w:rsidR="00B16609">
        <w:rPr>
          <w:rFonts w:eastAsia="Calibri" w:cs="Verdana"/>
          <w:lang w:val="es-CR"/>
        </w:rPr>
        <w:t>el párrafo 215 se refiere concretamente a “</w:t>
      </w:r>
      <w:r w:rsidR="00B16609" w:rsidRPr="0043341E">
        <w:t>los gastos de traslado de los miembros de la familia y la</w:t>
      </w:r>
      <w:r w:rsidR="00B16609">
        <w:t>s eventuales</w:t>
      </w:r>
      <w:r w:rsidR="00B16609" w:rsidRPr="0043341E">
        <w:t xml:space="preserve"> franquicia</w:t>
      </w:r>
      <w:r w:rsidR="00B16609">
        <w:t>s</w:t>
      </w:r>
      <w:r w:rsidR="00B16609" w:rsidRPr="0043341E">
        <w:t xml:space="preserve"> de aduana</w:t>
      </w:r>
      <w:r w:rsidR="00B16609">
        <w:t>” y no así a gastos de reasentamiento u otro tipo de gastos</w:t>
      </w:r>
      <w:r w:rsidR="00D91F50">
        <w:t>, por lo que la formulación de la medida resulta lo suficientemente clara y precisa</w:t>
      </w:r>
      <w:r w:rsidR="00B16609">
        <w:t xml:space="preserve">. Lo anterior, debe entenderse sin perjuicio </w:t>
      </w:r>
      <w:r w:rsidR="00772450">
        <w:t xml:space="preserve">de </w:t>
      </w:r>
      <w:r w:rsidR="00B16609">
        <w:t>los gastos de reasentamiento que pudiesen corresponder de conformidad con lo establecido por el ordenamiento jurídico interno colombiano a las víctimas de desplazamiento forzado</w:t>
      </w:r>
      <w:r w:rsidR="00D91F50">
        <w:t>, cuya ejecución no será supervisada por este Tribunal</w:t>
      </w:r>
      <w:r w:rsidR="00B16609">
        <w:t xml:space="preserve">. </w:t>
      </w:r>
    </w:p>
    <w:p w14:paraId="622D214A" w14:textId="36A5B7B8" w:rsidR="00B74EF6" w:rsidRPr="00B605C9" w:rsidRDefault="00B74EF6" w:rsidP="00B605C9">
      <w:pPr>
        <w:autoSpaceDE w:val="0"/>
        <w:autoSpaceDN w:val="0"/>
        <w:adjustRightInd w:val="0"/>
        <w:spacing w:before="240" w:after="240"/>
        <w:ind w:left="703"/>
        <w:jc w:val="both"/>
        <w:rPr>
          <w:rFonts w:eastAsia="Calibri" w:cs="Verdana"/>
          <w:b/>
          <w:lang w:val="es-CR"/>
        </w:rPr>
      </w:pPr>
      <w:r w:rsidRPr="009240DF">
        <w:rPr>
          <w:rFonts w:eastAsia="Calibri" w:cs="Verdana"/>
          <w:b/>
          <w:lang w:val="es-CR"/>
        </w:rPr>
        <w:lastRenderedPageBreak/>
        <w:t>B.</w:t>
      </w:r>
      <w:r w:rsidR="00B605C9">
        <w:rPr>
          <w:rFonts w:eastAsia="Calibri" w:cs="Verdana"/>
          <w:b/>
          <w:lang w:val="es-CR"/>
        </w:rPr>
        <w:t xml:space="preserve"> </w:t>
      </w:r>
      <w:r w:rsidR="009240DF" w:rsidRPr="009240DF">
        <w:rPr>
          <w:rFonts w:eastAsia="Calibri" w:cs="Verdana"/>
          <w:b/>
          <w:lang w:val="es-CR"/>
        </w:rPr>
        <w:t>Organismos especializados a los que se refiere la orden contenida en el párrafo 217 de la Sentencia</w:t>
      </w:r>
      <w:r w:rsidRPr="009240DF">
        <w:rPr>
          <w:rFonts w:eastAsia="Calibri" w:cs="Verdana"/>
          <w:b/>
          <w:lang w:val="es-CR"/>
        </w:rPr>
        <w:t xml:space="preserve">. </w:t>
      </w:r>
    </w:p>
    <w:p w14:paraId="0FDBEABF" w14:textId="3AE3C1C0" w:rsidR="00B74EF6" w:rsidRPr="000B4E38" w:rsidRDefault="009240DF" w:rsidP="000032D2">
      <w:pPr>
        <w:numPr>
          <w:ilvl w:val="0"/>
          <w:numId w:val="1"/>
        </w:numPr>
        <w:tabs>
          <w:tab w:val="num" w:pos="720"/>
        </w:tabs>
        <w:autoSpaceDE w:val="0"/>
        <w:autoSpaceDN w:val="0"/>
        <w:adjustRightInd w:val="0"/>
        <w:spacing w:before="120" w:after="120"/>
        <w:ind w:left="0"/>
        <w:jc w:val="both"/>
        <w:rPr>
          <w:rFonts w:eastAsia="Calibri" w:cs="Verdana"/>
          <w:lang w:val="es-AR"/>
        </w:rPr>
      </w:pPr>
      <w:r w:rsidRPr="000B4E38">
        <w:rPr>
          <w:rFonts w:eastAsia="Calibri" w:cs="Verdana"/>
          <w:lang w:val="es-CR"/>
        </w:rPr>
        <w:t xml:space="preserve">El </w:t>
      </w:r>
      <w:r w:rsidRPr="00546C74">
        <w:rPr>
          <w:rFonts w:eastAsia="Calibri" w:cs="Verdana"/>
          <w:i/>
          <w:lang w:val="es-CR"/>
        </w:rPr>
        <w:t>Estado</w:t>
      </w:r>
      <w:r w:rsidR="00175449" w:rsidRPr="000B4E38">
        <w:rPr>
          <w:rFonts w:eastAsia="Calibri" w:cs="Verdana"/>
          <w:b/>
          <w:i/>
          <w:lang w:val="es-CR"/>
        </w:rPr>
        <w:t xml:space="preserve"> </w:t>
      </w:r>
      <w:r w:rsidR="00F17346" w:rsidRPr="000B4E38">
        <w:rPr>
          <w:rFonts w:eastAsia="Calibri" w:cs="Verdana"/>
          <w:lang w:val="es-CR"/>
        </w:rPr>
        <w:t xml:space="preserve">planteó dos interrogantes con respecto a la orden contenida en el párrafo 217 de la Sentencia: </w:t>
      </w:r>
      <w:r w:rsidR="00E82A31">
        <w:rPr>
          <w:rFonts w:eastAsia="Calibri" w:cs="Verdana"/>
          <w:lang w:val="es-CR"/>
        </w:rPr>
        <w:t>a</w:t>
      </w:r>
      <w:r w:rsidR="00F17346" w:rsidRPr="000B4E38">
        <w:rPr>
          <w:rFonts w:eastAsia="Calibri" w:cs="Verdana"/>
          <w:lang w:val="es-CR"/>
        </w:rPr>
        <w:t xml:space="preserve">) </w:t>
      </w:r>
      <w:r w:rsidR="00F17346" w:rsidRPr="000B4E38">
        <w:rPr>
          <w:rFonts w:eastAsia="Calibri" w:cs="Verdana"/>
          <w:lang w:val="es-AR"/>
        </w:rPr>
        <w:t xml:space="preserve">¿A qué </w:t>
      </w:r>
      <w:r w:rsidR="00F17346" w:rsidRPr="000032D2">
        <w:t>organismos</w:t>
      </w:r>
      <w:r w:rsidR="00F17346" w:rsidRPr="000B4E38">
        <w:rPr>
          <w:rFonts w:eastAsia="Calibri" w:cs="Verdana"/>
          <w:lang w:val="es-AR"/>
        </w:rPr>
        <w:t xml:space="preserve"> especializados se refiere esta orden?, y </w:t>
      </w:r>
      <w:r w:rsidR="00E82A31">
        <w:rPr>
          <w:rFonts w:eastAsia="Calibri" w:cs="Verdana"/>
          <w:lang w:val="es-AR"/>
        </w:rPr>
        <w:t>b</w:t>
      </w:r>
      <w:r w:rsidR="00F17346" w:rsidRPr="000B4E38">
        <w:rPr>
          <w:rFonts w:eastAsia="Calibri" w:cs="Verdana"/>
          <w:lang w:val="es-AR"/>
        </w:rPr>
        <w:t>) ¿Por cuánto tiempo se deberán remitir estos informes a la Corte IDH?</w:t>
      </w:r>
      <w:r w:rsidR="000B4E38" w:rsidRPr="000B4E38">
        <w:rPr>
          <w:rFonts w:eastAsia="Calibri" w:cs="Verdana"/>
          <w:lang w:val="es-AR"/>
        </w:rPr>
        <w:t xml:space="preserve"> </w:t>
      </w:r>
      <w:r w:rsidRPr="000B4E38">
        <w:rPr>
          <w:rFonts w:eastAsia="Calibri" w:cs="Verdana"/>
          <w:lang w:val="es-AR"/>
        </w:rPr>
        <w:t xml:space="preserve">Los </w:t>
      </w:r>
      <w:r w:rsidRPr="00546C74">
        <w:rPr>
          <w:rFonts w:eastAsia="Calibri" w:cs="Verdana"/>
          <w:i/>
          <w:lang w:val="es-CR"/>
        </w:rPr>
        <w:t>representantes</w:t>
      </w:r>
      <w:r w:rsidR="00F17346" w:rsidRPr="000B4E38">
        <w:rPr>
          <w:rFonts w:eastAsia="Calibri" w:cs="Verdana"/>
          <w:b/>
          <w:lang w:val="es-CR"/>
        </w:rPr>
        <w:t xml:space="preserve"> </w:t>
      </w:r>
      <w:r w:rsidR="00E82A31">
        <w:rPr>
          <w:rFonts w:eastAsia="Calibri" w:cs="Verdana"/>
          <w:lang w:val="es-CR"/>
        </w:rPr>
        <w:t>afirmaron</w:t>
      </w:r>
      <w:r w:rsidR="00E82A31" w:rsidRPr="000B4E38">
        <w:rPr>
          <w:rFonts w:eastAsia="Calibri" w:cs="Verdana"/>
          <w:lang w:val="es-CR"/>
        </w:rPr>
        <w:t xml:space="preserve"> </w:t>
      </w:r>
      <w:r w:rsidR="00F17346" w:rsidRPr="000B4E38">
        <w:rPr>
          <w:rFonts w:eastAsia="Calibri" w:cs="Verdana"/>
          <w:lang w:val="es-CR"/>
        </w:rPr>
        <w:t xml:space="preserve">que coincidían </w:t>
      </w:r>
      <w:r w:rsidR="00F17346" w:rsidRPr="000B4E38">
        <w:rPr>
          <w:rFonts w:eastAsia="Calibri" w:cs="Verdana"/>
          <w:lang w:val="es-AR"/>
        </w:rPr>
        <w:t xml:space="preserve">con el Estado en la necesidad de que se aclare a qué organismos </w:t>
      </w:r>
      <w:r w:rsidR="00F17346" w:rsidRPr="000032D2">
        <w:t>especializados</w:t>
      </w:r>
      <w:r w:rsidR="00F17346" w:rsidRPr="000B4E38">
        <w:rPr>
          <w:rFonts w:eastAsia="Calibri" w:cs="Verdana"/>
          <w:lang w:val="es-AR"/>
        </w:rPr>
        <w:t xml:space="preserve"> de la OEA y Naciones Unidas se refiere en este punto. En relación a la duración de la medida, agregaron que “</w:t>
      </w:r>
      <w:proofErr w:type="gramStart"/>
      <w:r w:rsidR="00F17346" w:rsidRPr="000B4E38">
        <w:rPr>
          <w:rFonts w:eastAsia="Calibri" w:cs="Verdana"/>
          <w:lang w:val="es-AR"/>
        </w:rPr>
        <w:t>resulta[</w:t>
      </w:r>
      <w:proofErr w:type="spellStart"/>
      <w:proofErr w:type="gramEnd"/>
      <w:r w:rsidR="00F17346" w:rsidRPr="000B4E38">
        <w:rPr>
          <w:rFonts w:eastAsia="Calibri" w:cs="Verdana"/>
          <w:lang w:val="es-AR"/>
        </w:rPr>
        <w:t>ba</w:t>
      </w:r>
      <w:proofErr w:type="spellEnd"/>
      <w:r w:rsidR="00F17346" w:rsidRPr="000B4E38">
        <w:rPr>
          <w:rFonts w:eastAsia="Calibri" w:cs="Verdana"/>
          <w:lang w:val="es-AR"/>
        </w:rPr>
        <w:t xml:space="preserve">] lógico que </w:t>
      </w:r>
      <w:r w:rsidR="00404D56">
        <w:rPr>
          <w:rFonts w:eastAsia="Calibri" w:cs="Verdana"/>
          <w:lang w:val="es-AR"/>
        </w:rPr>
        <w:t>[fuera]</w:t>
      </w:r>
      <w:r w:rsidR="00404D56" w:rsidRPr="000B4E38">
        <w:rPr>
          <w:rFonts w:eastAsia="Calibri" w:cs="Verdana"/>
          <w:lang w:val="es-AR"/>
        </w:rPr>
        <w:t xml:space="preserve"> </w:t>
      </w:r>
      <w:r w:rsidR="00F17346" w:rsidRPr="000B4E38">
        <w:rPr>
          <w:rFonts w:eastAsia="Calibri" w:cs="Verdana"/>
          <w:lang w:val="es-AR"/>
        </w:rPr>
        <w:t xml:space="preserve">por lo menos mientras la Corte </w:t>
      </w:r>
      <w:proofErr w:type="spellStart"/>
      <w:r w:rsidR="00404D56" w:rsidRPr="000B4E38">
        <w:rPr>
          <w:rFonts w:eastAsia="Calibri" w:cs="Verdana"/>
          <w:lang w:val="es-AR"/>
        </w:rPr>
        <w:t>mant</w:t>
      </w:r>
      <w:proofErr w:type="spellEnd"/>
      <w:r w:rsidR="00404D56">
        <w:rPr>
          <w:rFonts w:eastAsia="Calibri" w:cs="Verdana"/>
          <w:lang w:val="es-AR"/>
        </w:rPr>
        <w:t>[</w:t>
      </w:r>
      <w:proofErr w:type="spellStart"/>
      <w:r w:rsidR="00404D56">
        <w:rPr>
          <w:rFonts w:eastAsia="Calibri" w:cs="Verdana"/>
          <w:lang w:val="es-AR"/>
        </w:rPr>
        <w:t>uviese</w:t>
      </w:r>
      <w:proofErr w:type="spellEnd"/>
      <w:r w:rsidR="00404D56">
        <w:rPr>
          <w:rFonts w:eastAsia="Calibri" w:cs="Verdana"/>
          <w:lang w:val="es-AR"/>
        </w:rPr>
        <w:t>]</w:t>
      </w:r>
      <w:r w:rsidR="00404D56" w:rsidRPr="000B4E38">
        <w:rPr>
          <w:rFonts w:eastAsia="Calibri" w:cs="Verdana"/>
          <w:lang w:val="es-AR"/>
        </w:rPr>
        <w:t xml:space="preserve"> </w:t>
      </w:r>
      <w:r w:rsidR="00F17346" w:rsidRPr="000B4E38">
        <w:rPr>
          <w:rFonts w:eastAsia="Calibri" w:cs="Verdana"/>
          <w:lang w:val="es-AR"/>
        </w:rPr>
        <w:t xml:space="preserve">abierta la supervisión de las demás medidas de reparación que se </w:t>
      </w:r>
      <w:proofErr w:type="spellStart"/>
      <w:r w:rsidR="00404D56" w:rsidRPr="000B4E38">
        <w:rPr>
          <w:rFonts w:eastAsia="Calibri" w:cs="Verdana"/>
          <w:lang w:val="es-AR"/>
        </w:rPr>
        <w:t>enc</w:t>
      </w:r>
      <w:proofErr w:type="spellEnd"/>
      <w:r w:rsidR="00404D56">
        <w:rPr>
          <w:rFonts w:eastAsia="Calibri" w:cs="Verdana"/>
          <w:lang w:val="es-AR"/>
        </w:rPr>
        <w:t>[</w:t>
      </w:r>
      <w:proofErr w:type="spellStart"/>
      <w:r w:rsidR="00404D56">
        <w:rPr>
          <w:rFonts w:eastAsia="Calibri" w:cs="Verdana"/>
          <w:lang w:val="es-AR"/>
        </w:rPr>
        <w:t>ontrasen</w:t>
      </w:r>
      <w:proofErr w:type="spellEnd"/>
      <w:r w:rsidR="00404D56">
        <w:rPr>
          <w:rFonts w:eastAsia="Calibri" w:cs="Verdana"/>
          <w:lang w:val="es-AR"/>
        </w:rPr>
        <w:t>]</w:t>
      </w:r>
      <w:r w:rsidR="00404D56" w:rsidRPr="000B4E38">
        <w:rPr>
          <w:rFonts w:eastAsia="Calibri" w:cs="Verdana"/>
          <w:lang w:val="es-AR"/>
        </w:rPr>
        <w:t xml:space="preserve"> </w:t>
      </w:r>
      <w:r w:rsidR="00F17346" w:rsidRPr="000B4E38">
        <w:rPr>
          <w:rFonts w:eastAsia="Calibri" w:cs="Verdana"/>
          <w:lang w:val="es-AR"/>
        </w:rPr>
        <w:t xml:space="preserve">pendientes de cumplimiento”. </w:t>
      </w:r>
    </w:p>
    <w:p w14:paraId="142E1753" w14:textId="15508CE1" w:rsidR="009240DF" w:rsidRDefault="009240DF" w:rsidP="000032D2">
      <w:pPr>
        <w:numPr>
          <w:ilvl w:val="0"/>
          <w:numId w:val="1"/>
        </w:numPr>
        <w:tabs>
          <w:tab w:val="num" w:pos="720"/>
        </w:tabs>
        <w:autoSpaceDE w:val="0"/>
        <w:autoSpaceDN w:val="0"/>
        <w:adjustRightInd w:val="0"/>
        <w:spacing w:before="120" w:after="120"/>
        <w:ind w:left="0"/>
        <w:jc w:val="both"/>
        <w:rPr>
          <w:rFonts w:eastAsia="Calibri" w:cs="Verdana"/>
          <w:lang w:val="es-CR"/>
        </w:rPr>
      </w:pPr>
      <w:r>
        <w:rPr>
          <w:rFonts w:eastAsia="Calibri" w:cs="Verdana"/>
          <w:lang w:val="es-CR"/>
        </w:rPr>
        <w:t>La Corte recuerda que la medida contenida en el párrafo 217 de la Sentencia establece que “</w:t>
      </w:r>
      <w:r>
        <w:t xml:space="preserve">este </w:t>
      </w:r>
      <w:r w:rsidRPr="00123BAF">
        <w:rPr>
          <w:rFonts w:eastAsia="Calibri" w:cs="Verdana"/>
          <w:lang w:val="es-AR"/>
        </w:rPr>
        <w:t>Tribunal</w:t>
      </w:r>
      <w:r>
        <w:t xml:space="preserve"> estima necesario ordenar que el Estado remita los informes periódicos que envía a los organismos </w:t>
      </w:r>
      <w:r w:rsidRPr="000032D2">
        <w:rPr>
          <w:rFonts w:eastAsia="Calibri" w:cs="Verdana"/>
          <w:lang w:val="es-AR"/>
        </w:rPr>
        <w:t>especializados</w:t>
      </w:r>
      <w:r>
        <w:t xml:space="preserve"> de la OE</w:t>
      </w:r>
      <w:r w:rsidRPr="00123BAF">
        <w:rPr>
          <w:rFonts w:eastAsia="Calibri" w:cs="Verdana"/>
          <w:lang w:val="es-CR"/>
        </w:rPr>
        <w:t>A</w:t>
      </w:r>
      <w:r>
        <w:t xml:space="preserve"> y de las Naciones Unidas, relacionados con las medidas implementadas para la prevención y protección de las y los periodistas en Colombia, con el propósito de evaluar el cumplimiento de las restantes medidas de reparación dispuestas en esta Sentencia”</w:t>
      </w:r>
      <w:r>
        <w:rPr>
          <w:rFonts w:eastAsia="Calibri" w:cs="Verdana"/>
          <w:lang w:val="es-CR"/>
        </w:rPr>
        <w:t xml:space="preserve">. </w:t>
      </w:r>
    </w:p>
    <w:p w14:paraId="06AFE2E7" w14:textId="09D24B85" w:rsidR="009240DF" w:rsidRDefault="00404D56" w:rsidP="000032D2">
      <w:pPr>
        <w:numPr>
          <w:ilvl w:val="0"/>
          <w:numId w:val="1"/>
        </w:numPr>
        <w:tabs>
          <w:tab w:val="num" w:pos="720"/>
        </w:tabs>
        <w:autoSpaceDE w:val="0"/>
        <w:autoSpaceDN w:val="0"/>
        <w:adjustRightInd w:val="0"/>
        <w:spacing w:before="120" w:after="120"/>
        <w:ind w:left="0"/>
        <w:jc w:val="both"/>
        <w:rPr>
          <w:rFonts w:eastAsia="Calibri" w:cs="Verdana"/>
          <w:lang w:val="es-CR"/>
        </w:rPr>
      </w:pPr>
      <w:r>
        <w:rPr>
          <w:rFonts w:eastAsia="Calibri" w:cs="Verdana"/>
          <w:lang w:val="es-CR"/>
        </w:rPr>
        <w:t>Al respecto</w:t>
      </w:r>
      <w:r w:rsidR="006A3E77">
        <w:rPr>
          <w:rFonts w:eastAsia="Calibri" w:cs="Verdana"/>
          <w:lang w:val="es-CR"/>
        </w:rPr>
        <w:t>, el Tribunal</w:t>
      </w:r>
      <w:r w:rsidR="00B74EF6">
        <w:rPr>
          <w:rFonts w:eastAsia="Calibri" w:cs="Verdana"/>
          <w:lang w:val="es-CR"/>
        </w:rPr>
        <w:t xml:space="preserve"> entiende que dicha medida se refiere a todos aquellos mecanismos ante los cuales el Estado presente informes relacionados con la temática. Dichos órganos incluyen,</w:t>
      </w:r>
      <w:r w:rsidR="00B74EF6" w:rsidRPr="00B74EF6">
        <w:rPr>
          <w:rFonts w:eastAsia="Calibri" w:cs="Verdana"/>
          <w:lang w:val="es-CR"/>
        </w:rPr>
        <w:t xml:space="preserve"> </w:t>
      </w:r>
      <w:r w:rsidR="00B74EF6">
        <w:rPr>
          <w:rFonts w:eastAsia="Calibri" w:cs="Verdana"/>
          <w:lang w:val="es-CR"/>
        </w:rPr>
        <w:t xml:space="preserve">en el caso del sistema de Naciones Unidas, a los órganos </w:t>
      </w:r>
      <w:r w:rsidR="00B74EF6" w:rsidRPr="00B74EF6">
        <w:rPr>
          <w:rFonts w:eastAsia="Calibri" w:cs="Verdana"/>
          <w:lang w:val="es-CR"/>
        </w:rPr>
        <w:t>basados en la Carta de las Naciones Unidas</w:t>
      </w:r>
      <w:r w:rsidR="00B74EF6">
        <w:rPr>
          <w:rFonts w:eastAsia="Calibri" w:cs="Verdana"/>
          <w:lang w:val="es-CR"/>
        </w:rPr>
        <w:t>, a saber: e</w:t>
      </w:r>
      <w:r w:rsidR="00B74EF6" w:rsidRPr="00B74EF6">
        <w:rPr>
          <w:rFonts w:eastAsia="Calibri" w:cs="Verdana"/>
          <w:lang w:val="es-CR"/>
        </w:rPr>
        <w:t>l Consejo de Derechos Humanos</w:t>
      </w:r>
      <w:r w:rsidR="00B74EF6">
        <w:rPr>
          <w:rFonts w:eastAsia="Calibri" w:cs="Verdana"/>
          <w:lang w:val="es-CR"/>
        </w:rPr>
        <w:t xml:space="preserve">, el </w:t>
      </w:r>
      <w:r w:rsidR="00B74EF6" w:rsidRPr="00B74EF6">
        <w:rPr>
          <w:rFonts w:eastAsia="Calibri" w:cs="Verdana"/>
          <w:lang w:val="es-CR"/>
        </w:rPr>
        <w:t>Examen Periódico Universal</w:t>
      </w:r>
      <w:r w:rsidR="00B74EF6">
        <w:rPr>
          <w:rFonts w:eastAsia="Calibri" w:cs="Verdana"/>
          <w:lang w:val="es-CR"/>
        </w:rPr>
        <w:t xml:space="preserve"> y los Procedimientos especiales, así como los órganos de </w:t>
      </w:r>
      <w:r w:rsidR="00B74EF6" w:rsidRPr="000032D2">
        <w:rPr>
          <w:rFonts w:eastAsia="Calibri" w:cs="Verdana"/>
          <w:lang w:val="es-AR"/>
        </w:rPr>
        <w:t>tratados</w:t>
      </w:r>
      <w:r w:rsidR="00B74EF6">
        <w:rPr>
          <w:rFonts w:eastAsia="Calibri" w:cs="Verdana"/>
          <w:lang w:val="es-CR"/>
        </w:rPr>
        <w:t xml:space="preserve">, a saber: </w:t>
      </w:r>
      <w:r w:rsidR="00B74EF6" w:rsidRPr="00B74EF6">
        <w:rPr>
          <w:rFonts w:eastAsia="Calibri" w:cs="Verdana"/>
          <w:lang w:val="es-CR"/>
        </w:rPr>
        <w:t>Co</w:t>
      </w:r>
      <w:r w:rsidR="00B74EF6">
        <w:rPr>
          <w:rFonts w:eastAsia="Calibri" w:cs="Verdana"/>
          <w:lang w:val="es-CR"/>
        </w:rPr>
        <w:t xml:space="preserve">mité de Derechos Humanos (CCPR), </w:t>
      </w:r>
      <w:r w:rsidR="00B74EF6" w:rsidRPr="00B74EF6">
        <w:rPr>
          <w:rFonts w:eastAsia="Calibri" w:cs="Verdana"/>
          <w:lang w:val="es-CR"/>
        </w:rPr>
        <w:t>Comité de Derechos Económicos</w:t>
      </w:r>
      <w:r w:rsidR="00B74EF6">
        <w:rPr>
          <w:rFonts w:eastAsia="Calibri" w:cs="Verdana"/>
          <w:lang w:val="es-CR"/>
        </w:rPr>
        <w:t xml:space="preserve">, Sociales y Culturales (CESCR), </w:t>
      </w:r>
      <w:r w:rsidR="00B74EF6" w:rsidRPr="00B74EF6">
        <w:rPr>
          <w:rFonts w:eastAsia="Calibri" w:cs="Verdana"/>
          <w:lang w:val="es-CR"/>
        </w:rPr>
        <w:t xml:space="preserve">Comité para la Eliminación de </w:t>
      </w:r>
      <w:r w:rsidR="00B74EF6">
        <w:rPr>
          <w:rFonts w:eastAsia="Calibri" w:cs="Verdana"/>
          <w:lang w:val="es-CR"/>
        </w:rPr>
        <w:t xml:space="preserve">la Discriminación Racial (CERD), Comité para la </w:t>
      </w:r>
      <w:r w:rsidR="00B74EF6" w:rsidRPr="00B74EF6">
        <w:rPr>
          <w:rFonts w:eastAsia="Calibri" w:cs="Verdana"/>
          <w:lang w:val="es-CR"/>
        </w:rPr>
        <w:t>Eliminación de la Discrim</w:t>
      </w:r>
      <w:r w:rsidR="00B74EF6">
        <w:rPr>
          <w:rFonts w:eastAsia="Calibri" w:cs="Verdana"/>
          <w:lang w:val="es-CR"/>
        </w:rPr>
        <w:t xml:space="preserve">inación contra la Mujer (CEDAW), </w:t>
      </w:r>
      <w:r w:rsidR="00B74EF6" w:rsidRPr="00B74EF6">
        <w:rPr>
          <w:rFonts w:eastAsia="Calibri" w:cs="Verdana"/>
          <w:lang w:val="es-CR"/>
        </w:rPr>
        <w:t>Comité con</w:t>
      </w:r>
      <w:r w:rsidR="00B74EF6">
        <w:rPr>
          <w:rFonts w:eastAsia="Calibri" w:cs="Verdana"/>
          <w:lang w:val="es-CR"/>
        </w:rPr>
        <w:t xml:space="preserve">tra la Tortura (CAT), </w:t>
      </w:r>
      <w:r w:rsidR="00B74EF6" w:rsidRPr="00B74EF6">
        <w:rPr>
          <w:rFonts w:eastAsia="Calibri" w:cs="Verdana"/>
          <w:lang w:val="es-CR"/>
        </w:rPr>
        <w:t>Subcomité para la</w:t>
      </w:r>
      <w:r w:rsidR="00B74EF6">
        <w:rPr>
          <w:rFonts w:eastAsia="Calibri" w:cs="Verdana"/>
          <w:lang w:val="es-CR"/>
        </w:rPr>
        <w:t xml:space="preserve"> Prevención de la Tortura (SPT), </w:t>
      </w:r>
      <w:r w:rsidR="00B74EF6" w:rsidRPr="00B74EF6">
        <w:rPr>
          <w:rFonts w:eastAsia="Calibri" w:cs="Verdana"/>
          <w:lang w:val="es-CR"/>
        </w:rPr>
        <w:t>Comité</w:t>
      </w:r>
      <w:r w:rsidR="00B74EF6">
        <w:rPr>
          <w:rFonts w:eastAsia="Calibri" w:cs="Verdana"/>
          <w:lang w:val="es-CR"/>
        </w:rPr>
        <w:t xml:space="preserve"> de los Derechos del Niño (CRC), </w:t>
      </w:r>
      <w:r w:rsidR="00B74EF6" w:rsidRPr="00B74EF6">
        <w:rPr>
          <w:rFonts w:eastAsia="Calibri" w:cs="Verdana"/>
          <w:lang w:val="es-CR"/>
        </w:rPr>
        <w:t>Comité para la Protección de los Derechos de todos los Trabajadores Migrat</w:t>
      </w:r>
      <w:r w:rsidR="00B74EF6">
        <w:rPr>
          <w:rFonts w:eastAsia="Calibri" w:cs="Verdana"/>
          <w:lang w:val="es-CR"/>
        </w:rPr>
        <w:t xml:space="preserve">orios y de sus Familiares (CMW), </w:t>
      </w:r>
      <w:r w:rsidR="00B74EF6" w:rsidRPr="00B74EF6">
        <w:rPr>
          <w:rFonts w:eastAsia="Calibri" w:cs="Verdana"/>
          <w:lang w:val="es-CR"/>
        </w:rPr>
        <w:t>Comité sobre los derechos de las p</w:t>
      </w:r>
      <w:r w:rsidR="00B74EF6">
        <w:rPr>
          <w:rFonts w:eastAsia="Calibri" w:cs="Verdana"/>
          <w:lang w:val="es-CR"/>
        </w:rPr>
        <w:t xml:space="preserve">ersonas con discapacidad (CRPD), y </w:t>
      </w:r>
      <w:r w:rsidR="00B74EF6" w:rsidRPr="00B74EF6">
        <w:rPr>
          <w:rFonts w:eastAsia="Calibri" w:cs="Verdana"/>
          <w:lang w:val="es-CR"/>
        </w:rPr>
        <w:t>Comité contra las Desapariciones Forzadas (CED)</w:t>
      </w:r>
      <w:r w:rsidR="00B74EF6">
        <w:rPr>
          <w:rFonts w:eastAsia="Calibri" w:cs="Verdana"/>
          <w:lang w:val="es-CR"/>
        </w:rPr>
        <w:t xml:space="preserve">. </w:t>
      </w:r>
      <w:r w:rsidR="009240DF">
        <w:rPr>
          <w:rFonts w:eastAsia="Calibri" w:cs="Verdana"/>
          <w:lang w:val="es-CR"/>
        </w:rPr>
        <w:t xml:space="preserve">Asimismo, en el caso de los organismos especializados de la OEA, la Corte estima particularmente importante la información que se remita a la Relatoría Especial para la Libertad de Expresión de la Comisión Interamericana, así como cualquier otro informe relacionado con la temática que sea remitido a algún ente de la OEA. </w:t>
      </w:r>
    </w:p>
    <w:p w14:paraId="60D5EA45" w14:textId="63A7E85C" w:rsidR="00B74EF6" w:rsidRPr="00B74EF6" w:rsidRDefault="009240DF" w:rsidP="000032D2">
      <w:pPr>
        <w:numPr>
          <w:ilvl w:val="0"/>
          <w:numId w:val="1"/>
        </w:numPr>
        <w:tabs>
          <w:tab w:val="num" w:pos="720"/>
        </w:tabs>
        <w:autoSpaceDE w:val="0"/>
        <w:autoSpaceDN w:val="0"/>
        <w:adjustRightInd w:val="0"/>
        <w:spacing w:before="120" w:after="120"/>
        <w:ind w:left="0"/>
        <w:jc w:val="both"/>
        <w:rPr>
          <w:rFonts w:eastAsia="Calibri" w:cs="Verdana"/>
          <w:lang w:val="es-CR"/>
        </w:rPr>
      </w:pPr>
      <w:r w:rsidRPr="000032D2">
        <w:t>Finalmente</w:t>
      </w:r>
      <w:r>
        <w:rPr>
          <w:rFonts w:eastAsia="Calibri" w:cs="Verdana"/>
          <w:lang w:val="es-CR"/>
        </w:rPr>
        <w:t xml:space="preserve">, en tanto la sentencia no especifica el tiempo de duración de la medida bajo análisis, </w:t>
      </w:r>
      <w:r w:rsidR="00F17346">
        <w:rPr>
          <w:rFonts w:eastAsia="Calibri" w:cs="Verdana"/>
          <w:lang w:val="es-CR"/>
        </w:rPr>
        <w:t>y toda vez que la medida fue dictada “</w:t>
      </w:r>
      <w:r w:rsidR="00F17346">
        <w:t xml:space="preserve">con el propósito de evaluar el cumplimiento de las restantes medidas de reparación dispuestas en [la] Sentencia”, tal como surge expresamente del párrafo 217 de la misma, el Tribunal concluye que la </w:t>
      </w:r>
      <w:r w:rsidR="001D5073">
        <w:t xml:space="preserve">duración de esta medida se encuentra necesariamente </w:t>
      </w:r>
      <w:r w:rsidR="00C8657D">
        <w:t>ligada</w:t>
      </w:r>
      <w:r w:rsidR="001D5073">
        <w:t xml:space="preserve"> a la duración del proceso de supervisión de </w:t>
      </w:r>
      <w:r w:rsidR="00A25B3F">
        <w:t>la S</w:t>
      </w:r>
      <w:r w:rsidR="001D5073">
        <w:t>entencia</w:t>
      </w:r>
      <w:r>
        <w:rPr>
          <w:rFonts w:eastAsia="Calibri" w:cs="Verdana"/>
          <w:lang w:val="es-CR"/>
        </w:rPr>
        <w:t xml:space="preserve">.  </w:t>
      </w:r>
    </w:p>
    <w:p w14:paraId="29CE7E81" w14:textId="3B89F05B" w:rsidR="00123BAF" w:rsidRPr="000032D2" w:rsidRDefault="00123BAF" w:rsidP="000032D2">
      <w:pPr>
        <w:autoSpaceDE w:val="0"/>
        <w:autoSpaceDN w:val="0"/>
        <w:adjustRightInd w:val="0"/>
        <w:spacing w:before="240" w:after="240"/>
        <w:ind w:left="703"/>
        <w:jc w:val="both"/>
        <w:rPr>
          <w:rFonts w:eastAsia="Calibri" w:cs="Verdana"/>
          <w:b/>
          <w:lang w:val="es-CR"/>
        </w:rPr>
      </w:pPr>
      <w:r w:rsidRPr="00123BAF">
        <w:rPr>
          <w:rFonts w:eastAsia="Calibri" w:cs="Verdana"/>
          <w:b/>
          <w:lang w:val="es-CR"/>
        </w:rPr>
        <w:t>C.</w:t>
      </w:r>
      <w:r w:rsidR="000032D2">
        <w:rPr>
          <w:rFonts w:eastAsia="Calibri" w:cs="Verdana"/>
          <w:b/>
          <w:lang w:val="es-CR"/>
        </w:rPr>
        <w:t xml:space="preserve"> </w:t>
      </w:r>
      <w:r w:rsidRPr="00123BAF">
        <w:rPr>
          <w:rFonts w:eastAsia="Calibri" w:cs="Verdana"/>
          <w:b/>
          <w:lang w:val="es-CR"/>
        </w:rPr>
        <w:t xml:space="preserve">Gastos razonables a cargo del Estado en el marco de la supervisión del cumplimiento de la </w:t>
      </w:r>
      <w:r w:rsidR="00404D56">
        <w:rPr>
          <w:rFonts w:eastAsia="Calibri" w:cs="Verdana"/>
          <w:b/>
          <w:lang w:val="es-CR"/>
        </w:rPr>
        <w:t>S</w:t>
      </w:r>
      <w:r w:rsidRPr="00123BAF">
        <w:rPr>
          <w:rFonts w:eastAsia="Calibri" w:cs="Verdana"/>
          <w:b/>
          <w:lang w:val="es-CR"/>
        </w:rPr>
        <w:t xml:space="preserve">entencia. </w:t>
      </w:r>
    </w:p>
    <w:p w14:paraId="118AA1A8" w14:textId="35D6B238" w:rsidR="00123BAF" w:rsidRPr="00797C21" w:rsidRDefault="00123BAF" w:rsidP="000032D2">
      <w:pPr>
        <w:numPr>
          <w:ilvl w:val="0"/>
          <w:numId w:val="1"/>
        </w:numPr>
        <w:tabs>
          <w:tab w:val="num" w:pos="720"/>
        </w:tabs>
        <w:autoSpaceDE w:val="0"/>
        <w:autoSpaceDN w:val="0"/>
        <w:adjustRightInd w:val="0"/>
        <w:spacing w:before="120" w:after="120"/>
        <w:ind w:left="0"/>
        <w:jc w:val="both"/>
        <w:rPr>
          <w:rFonts w:eastAsia="Calibri" w:cs="Verdana"/>
          <w:lang w:val="es-AR"/>
        </w:rPr>
      </w:pPr>
      <w:r w:rsidRPr="00797C21">
        <w:rPr>
          <w:rFonts w:eastAsia="Calibri" w:cs="Verdana"/>
          <w:lang w:val="es-CR"/>
        </w:rPr>
        <w:t xml:space="preserve">El </w:t>
      </w:r>
      <w:r w:rsidRPr="00546C74">
        <w:rPr>
          <w:rFonts w:eastAsia="Calibri" w:cs="Verdana"/>
          <w:i/>
          <w:lang w:val="es-CR"/>
        </w:rPr>
        <w:t>Estado</w:t>
      </w:r>
      <w:r w:rsidR="00890A85" w:rsidRPr="00797C21">
        <w:rPr>
          <w:rFonts w:eastAsia="Calibri" w:cs="Verdana"/>
          <w:b/>
          <w:i/>
          <w:lang w:val="es-CR"/>
        </w:rPr>
        <w:t xml:space="preserve"> </w:t>
      </w:r>
      <w:r w:rsidR="002D623C">
        <w:rPr>
          <w:rFonts w:eastAsia="Calibri" w:cs="Verdana"/>
          <w:lang w:val="es-CR"/>
        </w:rPr>
        <w:t>indicó</w:t>
      </w:r>
      <w:r w:rsidR="002D623C" w:rsidRPr="00797C21">
        <w:rPr>
          <w:rFonts w:eastAsia="Calibri" w:cs="Verdana"/>
          <w:lang w:val="es-CR"/>
        </w:rPr>
        <w:t xml:space="preserve"> </w:t>
      </w:r>
      <w:r w:rsidR="00F03571" w:rsidRPr="00797C21">
        <w:rPr>
          <w:rFonts w:eastAsia="Calibri" w:cs="Verdana"/>
          <w:lang w:val="es-CR"/>
        </w:rPr>
        <w:t xml:space="preserve">que existía una falta de precisión con respecto a </w:t>
      </w:r>
      <w:r w:rsidR="00F03571" w:rsidRPr="00797C21">
        <w:rPr>
          <w:rFonts w:eastAsia="Calibri" w:cs="Verdana"/>
          <w:lang w:val="es-AR"/>
        </w:rPr>
        <w:t xml:space="preserve">los gastos que deberá cubrir el Estado en la etapa de supervisión del cumplimiento de la Sentencia, en tanto dicha expresión “brinda </w:t>
      </w:r>
      <w:r w:rsidR="00F03571" w:rsidRPr="00797C21">
        <w:rPr>
          <w:rFonts w:eastAsia="Calibri" w:cs="Verdana"/>
          <w:lang w:val="es-CR"/>
        </w:rPr>
        <w:t>pocos</w:t>
      </w:r>
      <w:r w:rsidR="00F03571" w:rsidRPr="00797C21">
        <w:rPr>
          <w:rFonts w:eastAsia="Calibri" w:cs="Verdana"/>
          <w:lang w:val="es-AR"/>
        </w:rPr>
        <w:t xml:space="preserve"> elementos para determinar hasta qué punto el Estado debe correr con los gastos en que incurran los Representantes de </w:t>
      </w:r>
      <w:r w:rsidR="00404D56">
        <w:rPr>
          <w:rFonts w:eastAsia="Calibri" w:cs="Verdana"/>
          <w:lang w:val="es-AR"/>
        </w:rPr>
        <w:t xml:space="preserve">[las] </w:t>
      </w:r>
      <w:r w:rsidR="00F03571" w:rsidRPr="00797C21">
        <w:rPr>
          <w:rFonts w:eastAsia="Calibri" w:cs="Verdana"/>
          <w:lang w:val="es-AR"/>
        </w:rPr>
        <w:t xml:space="preserve">Víctimas, por qué conceptos, y en qué medida puede llegar a </w:t>
      </w:r>
      <w:r w:rsidR="00F03571" w:rsidRPr="00797C21">
        <w:rPr>
          <w:rFonts w:eastAsia="Calibri" w:cs="Verdana"/>
          <w:lang w:val="es-CR"/>
        </w:rPr>
        <w:t>considerarse</w:t>
      </w:r>
      <w:r w:rsidR="00F03571" w:rsidRPr="00797C21">
        <w:rPr>
          <w:rFonts w:eastAsia="Calibri" w:cs="Verdana"/>
          <w:lang w:val="es-AR"/>
        </w:rPr>
        <w:t xml:space="preserve"> un gasto particular como irrazonable”, agregando que “facilitaría el cumplimiento el poder contar con un criterio más claro sobre este punto, que brindara mayor certeza tanto para el Estado como para los Representantes”. </w:t>
      </w:r>
      <w:r w:rsidRPr="00797C21">
        <w:rPr>
          <w:rFonts w:eastAsia="Calibri" w:cs="Verdana"/>
          <w:lang w:val="es-AR"/>
        </w:rPr>
        <w:t xml:space="preserve">Los </w:t>
      </w:r>
      <w:r w:rsidRPr="00546C74">
        <w:rPr>
          <w:rFonts w:eastAsia="Calibri" w:cs="Verdana"/>
          <w:i/>
          <w:lang w:val="es-CR"/>
        </w:rPr>
        <w:t>representantes</w:t>
      </w:r>
      <w:r w:rsidR="00890A85" w:rsidRPr="00797C21">
        <w:rPr>
          <w:rFonts w:eastAsia="Calibri" w:cs="Verdana"/>
          <w:b/>
          <w:i/>
          <w:lang w:val="es-CR"/>
        </w:rPr>
        <w:t xml:space="preserve"> </w:t>
      </w:r>
      <w:r w:rsidR="00F03571" w:rsidRPr="00797C21">
        <w:rPr>
          <w:rFonts w:eastAsia="Calibri" w:cs="Verdana"/>
          <w:lang w:val="es-CR"/>
        </w:rPr>
        <w:t xml:space="preserve">hicieron referencia a lo expresado por este Tribunal en el caso </w:t>
      </w:r>
      <w:r w:rsidR="00F03571" w:rsidRPr="00797C21">
        <w:rPr>
          <w:rFonts w:eastAsia="Calibri" w:cs="Verdana"/>
          <w:i/>
          <w:lang w:val="es-CR"/>
        </w:rPr>
        <w:t>Duque Vs. Colombia</w:t>
      </w:r>
      <w:r w:rsidR="00F03571" w:rsidRPr="00797C21">
        <w:rPr>
          <w:rFonts w:eastAsia="Calibri" w:cs="Verdana"/>
          <w:lang w:val="es-CR"/>
        </w:rPr>
        <w:t>, agregando asimismo que consideraban que dichos gastos incluyen “</w:t>
      </w:r>
      <w:r w:rsidR="00F03571" w:rsidRPr="00797C21">
        <w:rPr>
          <w:rFonts w:eastAsia="Calibri" w:cs="Verdana"/>
          <w:lang w:val="es-AR"/>
        </w:rPr>
        <w:t xml:space="preserve">todos aquellos indispensables para la etapa procesal que refiere el párrafo referido, tales como gastos de desplazamientos y alojamiento para asistir a las </w:t>
      </w:r>
      <w:r w:rsidR="00F03571" w:rsidRPr="00797C21">
        <w:rPr>
          <w:rFonts w:eastAsia="Calibri" w:cs="Verdana"/>
          <w:lang w:val="es-AR"/>
        </w:rPr>
        <w:lastRenderedPageBreak/>
        <w:t xml:space="preserve">audiencias que cite la Corte y cualquier otro desembolso directamente relacionado con el cumplimiento integral de la Sentencia”. </w:t>
      </w:r>
    </w:p>
    <w:p w14:paraId="28103643" w14:textId="6A83BBAB" w:rsidR="005B15F7" w:rsidRDefault="006D6C96" w:rsidP="000032D2">
      <w:pPr>
        <w:numPr>
          <w:ilvl w:val="0"/>
          <w:numId w:val="1"/>
        </w:numPr>
        <w:tabs>
          <w:tab w:val="num" w:pos="720"/>
        </w:tabs>
        <w:autoSpaceDE w:val="0"/>
        <w:autoSpaceDN w:val="0"/>
        <w:adjustRightInd w:val="0"/>
        <w:spacing w:before="120" w:after="120"/>
        <w:ind w:left="0"/>
        <w:jc w:val="both"/>
      </w:pPr>
      <w:r>
        <w:t>E</w:t>
      </w:r>
      <w:r w:rsidR="00123BAF">
        <w:t xml:space="preserve">l párrafo </w:t>
      </w:r>
      <w:r w:rsidR="005B15F7">
        <w:t>231</w:t>
      </w:r>
      <w:r w:rsidR="00123BAF">
        <w:t xml:space="preserve"> de la Sentencia en el presente caso establece: </w:t>
      </w:r>
    </w:p>
    <w:p w14:paraId="31B07F82" w14:textId="188415AD" w:rsidR="00123BAF" w:rsidRDefault="00123BAF" w:rsidP="005B15F7">
      <w:pPr>
        <w:autoSpaceDE w:val="0"/>
        <w:autoSpaceDN w:val="0"/>
        <w:adjustRightInd w:val="0"/>
        <w:ind w:left="850" w:right="619"/>
        <w:jc w:val="both"/>
      </w:pPr>
      <w:r w:rsidRPr="00D27755">
        <w:rPr>
          <w:sz w:val="18"/>
        </w:rPr>
        <w:t xml:space="preserve">La Corte considera que, </w:t>
      </w:r>
      <w:r w:rsidRPr="00D27755">
        <w:rPr>
          <w:rFonts w:eastAsia="Calibri" w:cs="Verdana"/>
          <w:sz w:val="18"/>
          <w:lang w:val="es-CR"/>
        </w:rPr>
        <w:t>en</w:t>
      </w:r>
      <w:r w:rsidRPr="00D27755">
        <w:rPr>
          <w:sz w:val="18"/>
        </w:rPr>
        <w:t xml:space="preserve"> el procedimiento de supervisión del cumplimiento de la […] Sentencia, podrá disponer que el Estado reembolse a la víctima o sus representantes los gastos razonables en que incurran en dicha etapa procesal.</w:t>
      </w:r>
      <w:r>
        <w:t xml:space="preserve"> </w:t>
      </w:r>
    </w:p>
    <w:p w14:paraId="46856130" w14:textId="30F106BC" w:rsidR="00684977" w:rsidRDefault="002D623C" w:rsidP="000032D2">
      <w:pPr>
        <w:numPr>
          <w:ilvl w:val="0"/>
          <w:numId w:val="1"/>
        </w:numPr>
        <w:tabs>
          <w:tab w:val="num" w:pos="720"/>
        </w:tabs>
        <w:autoSpaceDE w:val="0"/>
        <w:autoSpaceDN w:val="0"/>
        <w:adjustRightInd w:val="0"/>
        <w:spacing w:before="120" w:after="120"/>
        <w:ind w:left="0"/>
        <w:jc w:val="both"/>
        <w:rPr>
          <w:rFonts w:eastAsia="Calibri" w:cs="Verdana"/>
          <w:i/>
          <w:lang w:val="es-CR"/>
        </w:rPr>
      </w:pPr>
      <w:r>
        <w:t>El Tribunal estima</w:t>
      </w:r>
      <w:r w:rsidR="00123BAF">
        <w:t xml:space="preserve">, tal como lo ha hecho </w:t>
      </w:r>
      <w:r w:rsidR="00404D56">
        <w:t>anteriormente</w:t>
      </w:r>
      <w:r w:rsidR="00123BAF">
        <w:rPr>
          <w:rStyle w:val="FootnoteReference"/>
        </w:rPr>
        <w:footnoteReference w:id="10"/>
      </w:r>
      <w:r w:rsidR="00123BAF">
        <w:t xml:space="preserve">, que el texto del referido párrafo es lo </w:t>
      </w:r>
      <w:r w:rsidR="00123BAF" w:rsidRPr="000032D2">
        <w:rPr>
          <w:rFonts w:eastAsia="Calibri" w:cs="Verdana"/>
          <w:lang w:val="es-AR"/>
        </w:rPr>
        <w:t>suficientemente</w:t>
      </w:r>
      <w:r w:rsidR="00123BAF">
        <w:t xml:space="preserve"> claro y preciso, pues de la Sentencia se infiere que esos reintegros se refieren a gastos que deben necesariamente estar relacionados con el procedimiento de supervisión de </w:t>
      </w:r>
      <w:r w:rsidR="00123BAF" w:rsidRPr="005B15F7">
        <w:rPr>
          <w:rFonts w:eastAsia="Calibri" w:cs="Verdana"/>
          <w:lang w:val="es-CR"/>
        </w:rPr>
        <w:t>cumplimiento</w:t>
      </w:r>
      <w:r w:rsidR="00123BAF">
        <w:t xml:space="preserve"> de la Sentencia, y que dicha obligación subsiste mientras que el caso se encuentre en esa etapa procesal.</w:t>
      </w:r>
    </w:p>
    <w:p w14:paraId="07DE92D4" w14:textId="6A10E86D" w:rsidR="00EE1D83" w:rsidRPr="000032D2" w:rsidRDefault="00EE1D83" w:rsidP="000032D2">
      <w:pPr>
        <w:autoSpaceDE w:val="0"/>
        <w:autoSpaceDN w:val="0"/>
        <w:adjustRightInd w:val="0"/>
        <w:spacing w:before="240" w:after="240"/>
        <w:ind w:left="703"/>
        <w:jc w:val="both"/>
        <w:rPr>
          <w:rFonts w:eastAsia="Calibri" w:cs="Verdana"/>
          <w:b/>
          <w:lang w:val="es-CR"/>
        </w:rPr>
      </w:pPr>
      <w:r>
        <w:rPr>
          <w:rFonts w:eastAsia="Calibri" w:cs="Verdana"/>
          <w:b/>
          <w:lang w:val="es-CR"/>
        </w:rPr>
        <w:t>D</w:t>
      </w:r>
      <w:r w:rsidRPr="00123BAF">
        <w:rPr>
          <w:rFonts w:eastAsia="Calibri" w:cs="Verdana"/>
          <w:b/>
          <w:lang w:val="es-CR"/>
        </w:rPr>
        <w:t>.</w:t>
      </w:r>
      <w:r w:rsidRPr="000032D2">
        <w:rPr>
          <w:rFonts w:eastAsia="Calibri" w:cs="Verdana"/>
          <w:b/>
          <w:lang w:val="es-CR"/>
        </w:rPr>
        <w:tab/>
      </w:r>
      <w:r>
        <w:rPr>
          <w:rFonts w:eastAsia="Calibri" w:cs="Verdana"/>
          <w:b/>
          <w:lang w:val="es-CR"/>
        </w:rPr>
        <w:t>M</w:t>
      </w:r>
      <w:r w:rsidRPr="00EE1D83">
        <w:rPr>
          <w:rFonts w:eastAsia="Calibri" w:cs="Verdana"/>
          <w:b/>
          <w:lang w:val="es-CR"/>
        </w:rPr>
        <w:t>odalidad de pago de las indemnizaciones por daño material e inmaterial y reintegro de costas y gastos</w:t>
      </w:r>
      <w:r w:rsidRPr="00123BAF">
        <w:rPr>
          <w:rFonts w:eastAsia="Calibri" w:cs="Verdana"/>
          <w:b/>
          <w:lang w:val="es-CR"/>
        </w:rPr>
        <w:t xml:space="preserve">. </w:t>
      </w:r>
    </w:p>
    <w:p w14:paraId="328EA1BB" w14:textId="68E7D01E" w:rsidR="00EE1D83" w:rsidRPr="00797C21" w:rsidRDefault="00EE1D83" w:rsidP="00810B2E">
      <w:pPr>
        <w:numPr>
          <w:ilvl w:val="0"/>
          <w:numId w:val="1"/>
        </w:numPr>
        <w:tabs>
          <w:tab w:val="num" w:pos="720"/>
        </w:tabs>
        <w:autoSpaceDE w:val="0"/>
        <w:autoSpaceDN w:val="0"/>
        <w:adjustRightInd w:val="0"/>
        <w:spacing w:before="120" w:after="120"/>
        <w:ind w:left="0"/>
        <w:jc w:val="both"/>
        <w:rPr>
          <w:rFonts w:eastAsia="Calibri" w:cs="Verdana"/>
          <w:lang w:val="es-AR"/>
        </w:rPr>
      </w:pPr>
      <w:r w:rsidRPr="00797C21">
        <w:rPr>
          <w:rFonts w:eastAsia="Calibri" w:cs="Verdana"/>
          <w:lang w:val="es-CR"/>
        </w:rPr>
        <w:t xml:space="preserve">El </w:t>
      </w:r>
      <w:r w:rsidRPr="00546C74">
        <w:rPr>
          <w:rFonts w:eastAsia="Calibri" w:cs="Verdana"/>
          <w:i/>
          <w:lang w:val="es-CR"/>
        </w:rPr>
        <w:t>Estado</w:t>
      </w:r>
      <w:r w:rsidR="0095143C" w:rsidRPr="00797C21">
        <w:rPr>
          <w:rFonts w:eastAsia="Calibri" w:cs="Verdana"/>
          <w:b/>
          <w:i/>
          <w:lang w:val="es-CR"/>
        </w:rPr>
        <w:t xml:space="preserve"> </w:t>
      </w:r>
      <w:r w:rsidR="002D623C">
        <w:rPr>
          <w:rFonts w:eastAsia="Calibri" w:cs="Verdana"/>
          <w:lang w:val="es-CR"/>
        </w:rPr>
        <w:t>observó</w:t>
      </w:r>
      <w:r w:rsidR="002D623C" w:rsidRPr="00797C21">
        <w:rPr>
          <w:rFonts w:eastAsia="Calibri" w:cs="Verdana"/>
          <w:lang w:val="es-CR"/>
        </w:rPr>
        <w:t xml:space="preserve"> </w:t>
      </w:r>
      <w:r w:rsidR="0095143C" w:rsidRPr="00797C21">
        <w:rPr>
          <w:rFonts w:eastAsia="Calibri" w:cs="Verdana"/>
          <w:lang w:val="es-CR"/>
        </w:rPr>
        <w:t>que surgía la duda con respecto a la posibilidad de que las víctimas den poder “</w:t>
      </w:r>
      <w:r w:rsidR="0095143C" w:rsidRPr="00797C21">
        <w:rPr>
          <w:rFonts w:eastAsia="Calibri" w:cs="Verdana"/>
          <w:lang w:val="es-AR"/>
        </w:rPr>
        <w:t xml:space="preserve">a un abogado, organización o familiar para solicitar el pago de la indemnización, o </w:t>
      </w:r>
      <w:r w:rsidR="00F01D9D" w:rsidRPr="00797C21">
        <w:rPr>
          <w:rFonts w:eastAsia="Calibri" w:cs="Verdana"/>
          <w:lang w:val="es-AR"/>
        </w:rPr>
        <w:t xml:space="preserve">[si] </w:t>
      </w:r>
      <w:r w:rsidR="0095143C" w:rsidRPr="00797C21">
        <w:rPr>
          <w:rFonts w:eastAsia="Calibri" w:cs="Verdana"/>
          <w:lang w:val="es-AR"/>
        </w:rPr>
        <w:t>debe el Estado dar trámite al pago sólo si lo solicita directamente la víctima”</w:t>
      </w:r>
      <w:r w:rsidR="00F01D9D" w:rsidRPr="00797C21">
        <w:rPr>
          <w:rFonts w:eastAsia="Calibri" w:cs="Verdana"/>
          <w:lang w:val="es-AR"/>
        </w:rPr>
        <w:t>, duda que surge en tanto en otros casos la Corte ha establecido expresamente que el pago podría ser efectuado “</w:t>
      </w:r>
      <w:r w:rsidR="00F01D9D" w:rsidRPr="00797C21">
        <w:rPr>
          <w:rFonts w:eastAsia="Calibri" w:cs="Verdana"/>
          <w:bCs/>
          <w:lang w:val="es-AR"/>
        </w:rPr>
        <w:t>directamente a las personas indicadas en la misma o, conforme a lo solicitado por las representantes a quien estas designen para que su cobro mediante instrumento que sea válido en el ordenamiento jurídico Colombiano”.</w:t>
      </w:r>
      <w:r w:rsidR="00F01D9D" w:rsidRPr="00797C21">
        <w:rPr>
          <w:rFonts w:eastAsia="Calibri" w:cs="Verdana"/>
          <w:b/>
          <w:bCs/>
          <w:lang w:val="es-AR"/>
        </w:rPr>
        <w:t xml:space="preserve"> </w:t>
      </w:r>
      <w:r w:rsidRPr="00797C21">
        <w:rPr>
          <w:rFonts w:eastAsia="Calibri" w:cs="Verdana"/>
          <w:lang w:val="es-AR"/>
        </w:rPr>
        <w:t xml:space="preserve">Los </w:t>
      </w:r>
      <w:r w:rsidR="00F01D9D" w:rsidRPr="00546C74">
        <w:rPr>
          <w:rFonts w:eastAsia="Calibri" w:cs="Verdana"/>
          <w:i/>
          <w:lang w:val="es-CR"/>
        </w:rPr>
        <w:t>representantes</w:t>
      </w:r>
      <w:r w:rsidR="00F01D9D" w:rsidRPr="00797C21">
        <w:rPr>
          <w:rFonts w:eastAsia="Calibri" w:cs="Verdana"/>
          <w:lang w:val="es-CR"/>
        </w:rPr>
        <w:t xml:space="preserve">, por su parte, </w:t>
      </w:r>
      <w:r w:rsidR="002D623C">
        <w:rPr>
          <w:rFonts w:eastAsia="Calibri" w:cs="Verdana"/>
          <w:lang w:val="es-CR"/>
        </w:rPr>
        <w:t>sostuvieron</w:t>
      </w:r>
      <w:r w:rsidR="002D623C" w:rsidRPr="00797C21">
        <w:rPr>
          <w:rFonts w:eastAsia="Calibri" w:cs="Verdana"/>
          <w:lang w:val="es-CR"/>
        </w:rPr>
        <w:t xml:space="preserve"> </w:t>
      </w:r>
      <w:r w:rsidR="00F01D9D" w:rsidRPr="00797C21">
        <w:rPr>
          <w:rFonts w:eastAsia="Calibri" w:cs="Verdana"/>
          <w:lang w:val="es-CR"/>
        </w:rPr>
        <w:t>que “</w:t>
      </w:r>
      <w:r w:rsidR="00F01D9D" w:rsidRPr="00797C21">
        <w:rPr>
          <w:rFonts w:eastAsia="Calibri" w:cs="Verdana"/>
          <w:lang w:val="es-AR"/>
        </w:rPr>
        <w:t xml:space="preserve">no [les] queda claro si el Estado se refiere a quién hace la solicitud o si el desembolso puede hacerse a los familiares a través de terceros”, aclarando que en el primer caso, “las organizaciones firmantes siguen representando a las víctimas en todo lo relacionado con el proceso ante la Corte Interamericana, incluyendo la etapa de cumplimiento de la Sentencia”, mientras que en el segundo “siempre que medie un poder específico para ello y debidamente legalizado, debería ser suficiente para proceder al desembolso”. </w:t>
      </w:r>
    </w:p>
    <w:p w14:paraId="59842982" w14:textId="2790B370" w:rsidR="00797C21" w:rsidRPr="00810B2E" w:rsidRDefault="00810B2E" w:rsidP="00810B2E">
      <w:pPr>
        <w:numPr>
          <w:ilvl w:val="0"/>
          <w:numId w:val="1"/>
        </w:numPr>
        <w:tabs>
          <w:tab w:val="num" w:pos="720"/>
        </w:tabs>
        <w:autoSpaceDE w:val="0"/>
        <w:autoSpaceDN w:val="0"/>
        <w:adjustRightInd w:val="0"/>
        <w:spacing w:before="120" w:after="120"/>
        <w:ind w:left="0"/>
        <w:jc w:val="both"/>
        <w:rPr>
          <w:rFonts w:eastAsia="Calibri" w:cs="Verdana"/>
          <w:lang w:val="es-CR"/>
        </w:rPr>
      </w:pPr>
      <w:r>
        <w:rPr>
          <w:rFonts w:eastAsia="Calibri" w:cs="Verdana"/>
          <w:lang w:val="es-CR"/>
        </w:rPr>
        <w:t xml:space="preserve">En cuanto a esta solicitud de interpretación presentada por el Estado, la Corte entiende que si bien el párrafo en cuestión no hace referencia expresa a dicha posibilidad, tampoco se advierte ningún motivo por el cual las víctimas se verían impedidas de conferir un poder de representación para tales efectos, siempre y cuando se cumpla con los requisitos establecidos en la normatividad interna colombiana. </w:t>
      </w:r>
    </w:p>
    <w:p w14:paraId="5E49527B" w14:textId="77777777" w:rsidR="000975BB" w:rsidRPr="00854FDE" w:rsidRDefault="000975BB" w:rsidP="000975BB">
      <w:pPr>
        <w:pStyle w:val="Heading1"/>
        <w:spacing w:beforeLines="40" w:before="96" w:afterLines="40" w:after="96"/>
      </w:pPr>
      <w:r w:rsidRPr="00854FDE">
        <w:t>V</w:t>
      </w:r>
      <w:r w:rsidRPr="00854FDE">
        <w:rPr>
          <w:b w:val="0"/>
          <w:bCs w:val="0"/>
          <w:caps w:val="0"/>
          <w:kern w:val="32"/>
        </w:rPr>
        <w:br/>
      </w:r>
      <w:r w:rsidRPr="00854FDE">
        <w:t>PUNTOS RESOLUTIVOS</w:t>
      </w:r>
    </w:p>
    <w:p w14:paraId="3DEE17EB" w14:textId="77777777" w:rsidR="000975BB" w:rsidRDefault="000975BB" w:rsidP="000032D2">
      <w:pPr>
        <w:numPr>
          <w:ilvl w:val="0"/>
          <w:numId w:val="1"/>
        </w:numPr>
        <w:tabs>
          <w:tab w:val="num" w:pos="720"/>
        </w:tabs>
        <w:autoSpaceDE w:val="0"/>
        <w:autoSpaceDN w:val="0"/>
        <w:adjustRightInd w:val="0"/>
        <w:ind w:left="0"/>
        <w:jc w:val="both"/>
        <w:rPr>
          <w:lang w:val="es-CR"/>
        </w:rPr>
      </w:pPr>
      <w:r w:rsidRPr="00854FDE">
        <w:rPr>
          <w:lang w:val="es-CR"/>
        </w:rPr>
        <w:t>Por tanto,</w:t>
      </w:r>
    </w:p>
    <w:p w14:paraId="2D35CE37" w14:textId="77777777" w:rsidR="000975BB" w:rsidRPr="00854FDE" w:rsidRDefault="000975BB" w:rsidP="000032D2">
      <w:pPr>
        <w:spacing w:before="240" w:after="240"/>
        <w:rPr>
          <w:b/>
          <w:lang w:val="es-CR"/>
        </w:rPr>
      </w:pPr>
      <w:r w:rsidRPr="00854FDE">
        <w:rPr>
          <w:b/>
          <w:lang w:val="es-CR"/>
        </w:rPr>
        <w:t>LA CORTE,</w:t>
      </w:r>
    </w:p>
    <w:p w14:paraId="0434D6E5" w14:textId="77777777" w:rsidR="000975BB" w:rsidRPr="00854FDE" w:rsidRDefault="000975BB" w:rsidP="000032D2">
      <w:pPr>
        <w:autoSpaceDE w:val="0"/>
        <w:autoSpaceDN w:val="0"/>
        <w:adjustRightInd w:val="0"/>
        <w:jc w:val="both"/>
        <w:rPr>
          <w:lang w:val="es-CR"/>
        </w:rPr>
      </w:pPr>
      <w:r w:rsidRPr="00854FDE">
        <w:rPr>
          <w:lang w:val="es-CR"/>
        </w:rPr>
        <w:t>de conformidad con el artículo 67 de la Convención Americana sobre Derechos Humanos y los artículos 31.3 y 68 del Reglamento,</w:t>
      </w:r>
    </w:p>
    <w:p w14:paraId="7A24CA88" w14:textId="77777777" w:rsidR="000975BB" w:rsidRPr="00854FDE" w:rsidRDefault="000975BB" w:rsidP="000032D2">
      <w:pPr>
        <w:spacing w:before="240" w:after="240"/>
        <w:rPr>
          <w:b/>
          <w:lang w:val="es-CR"/>
        </w:rPr>
      </w:pPr>
      <w:r w:rsidRPr="00854FDE">
        <w:rPr>
          <w:b/>
          <w:lang w:val="es-CR"/>
        </w:rPr>
        <w:t>DECIDE:</w:t>
      </w:r>
    </w:p>
    <w:p w14:paraId="707ABE36" w14:textId="29BDDFC8" w:rsidR="000975BB" w:rsidRPr="00854FDE" w:rsidRDefault="000975BB" w:rsidP="004D7274">
      <w:pPr>
        <w:autoSpaceDE w:val="0"/>
        <w:autoSpaceDN w:val="0"/>
        <w:adjustRightInd w:val="0"/>
        <w:spacing w:before="120" w:after="120"/>
        <w:jc w:val="both"/>
        <w:rPr>
          <w:lang w:val="es-CR"/>
        </w:rPr>
      </w:pPr>
      <w:r w:rsidRPr="004D7274">
        <w:t>Por</w:t>
      </w:r>
      <w:r>
        <w:rPr>
          <w:lang w:val="es-CR"/>
        </w:rPr>
        <w:t xml:space="preserve"> </w:t>
      </w:r>
      <w:r w:rsidR="00546C74">
        <w:rPr>
          <w:lang w:val="es-CR"/>
        </w:rPr>
        <w:t>unanimidad</w:t>
      </w:r>
      <w:r>
        <w:rPr>
          <w:lang w:val="es-CR"/>
        </w:rPr>
        <w:t xml:space="preserve">, </w:t>
      </w:r>
    </w:p>
    <w:p w14:paraId="2FE012BB" w14:textId="2027F9C0" w:rsidR="000975BB" w:rsidRDefault="00EE1D83" w:rsidP="000032D2">
      <w:pPr>
        <w:numPr>
          <w:ilvl w:val="0"/>
          <w:numId w:val="12"/>
        </w:numPr>
        <w:tabs>
          <w:tab w:val="clear" w:pos="1427"/>
        </w:tabs>
        <w:autoSpaceDE w:val="0"/>
        <w:autoSpaceDN w:val="0"/>
        <w:adjustRightInd w:val="0"/>
        <w:ind w:left="0"/>
        <w:jc w:val="both"/>
        <w:rPr>
          <w:rFonts w:eastAsia="Times New Roman"/>
          <w:lang w:val="es-CR" w:eastAsia="es-ES"/>
        </w:rPr>
      </w:pPr>
      <w:r>
        <w:rPr>
          <w:rFonts w:eastAsia="Times New Roman"/>
          <w:lang w:val="es-CR" w:eastAsia="es-ES"/>
        </w:rPr>
        <w:t xml:space="preserve">Declarar </w:t>
      </w:r>
      <w:r w:rsidRPr="000032D2">
        <w:rPr>
          <w:rFonts w:eastAsia="Calibri" w:cs="Verdana"/>
          <w:lang w:val="es-AR"/>
        </w:rPr>
        <w:t>admisible</w:t>
      </w:r>
      <w:r>
        <w:rPr>
          <w:rFonts w:eastAsia="Times New Roman"/>
          <w:lang w:val="es-CR" w:eastAsia="es-ES"/>
        </w:rPr>
        <w:t xml:space="preserve"> la</w:t>
      </w:r>
      <w:r w:rsidR="000975BB">
        <w:rPr>
          <w:rFonts w:eastAsia="Times New Roman"/>
          <w:lang w:val="es-CR" w:eastAsia="es-ES"/>
        </w:rPr>
        <w:t xml:space="preserve"> so</w:t>
      </w:r>
      <w:r>
        <w:rPr>
          <w:rFonts w:eastAsia="Times New Roman"/>
          <w:lang w:val="es-CR" w:eastAsia="es-ES"/>
        </w:rPr>
        <w:t>licitud</w:t>
      </w:r>
      <w:r w:rsidR="000975BB" w:rsidRPr="00B378BC">
        <w:rPr>
          <w:rFonts w:eastAsia="Times New Roman"/>
          <w:lang w:val="es-CR" w:eastAsia="es-ES"/>
        </w:rPr>
        <w:t xml:space="preserve"> de interpretación de la Sentencia de fondo, reparaciones y costas, emitida en el caso </w:t>
      </w:r>
      <w:r>
        <w:rPr>
          <w:i/>
          <w:lang w:val="es-CR"/>
        </w:rPr>
        <w:t xml:space="preserve">Carvajal </w:t>
      </w:r>
      <w:proofErr w:type="spellStart"/>
      <w:r>
        <w:rPr>
          <w:i/>
          <w:lang w:val="es-CR"/>
        </w:rPr>
        <w:t>Carvajal</w:t>
      </w:r>
      <w:proofErr w:type="spellEnd"/>
      <w:r>
        <w:rPr>
          <w:i/>
          <w:lang w:val="es-CR"/>
        </w:rPr>
        <w:t xml:space="preserve"> y Otros Vs. Colombia</w:t>
      </w:r>
      <w:r w:rsidR="000975BB" w:rsidRPr="00B378BC">
        <w:rPr>
          <w:rFonts w:eastAsia="Times New Roman"/>
          <w:i/>
          <w:lang w:val="es-CR" w:eastAsia="es-ES"/>
        </w:rPr>
        <w:t>,</w:t>
      </w:r>
      <w:r>
        <w:rPr>
          <w:rFonts w:eastAsia="Times New Roman"/>
          <w:lang w:val="es-CR" w:eastAsia="es-ES"/>
        </w:rPr>
        <w:t xml:space="preserve"> presentada</w:t>
      </w:r>
      <w:r w:rsidR="000975BB" w:rsidRPr="00B378BC">
        <w:rPr>
          <w:rFonts w:eastAsia="Times New Roman"/>
          <w:lang w:val="es-CR" w:eastAsia="es-ES"/>
        </w:rPr>
        <w:t xml:space="preserve"> por el Estado</w:t>
      </w:r>
      <w:r w:rsidR="000975BB">
        <w:rPr>
          <w:rFonts w:eastAsia="Times New Roman"/>
          <w:lang w:val="es-CR" w:eastAsia="es-ES"/>
        </w:rPr>
        <w:t>.</w:t>
      </w:r>
    </w:p>
    <w:p w14:paraId="423B662D" w14:textId="77777777" w:rsidR="000975BB" w:rsidRDefault="000975BB" w:rsidP="000975BB">
      <w:pPr>
        <w:tabs>
          <w:tab w:val="left" w:pos="567"/>
        </w:tabs>
        <w:spacing w:beforeLines="40" w:before="96" w:afterLines="40" w:after="96"/>
        <w:contextualSpacing/>
        <w:rPr>
          <w:rFonts w:eastAsia="Times New Roman"/>
          <w:lang w:val="es-CR" w:eastAsia="es-ES"/>
        </w:rPr>
      </w:pPr>
    </w:p>
    <w:p w14:paraId="7BCBA8CE" w14:textId="38A4EEFA" w:rsidR="000975BB" w:rsidRPr="009C1162" w:rsidRDefault="000975BB" w:rsidP="009C1162">
      <w:pPr>
        <w:numPr>
          <w:ilvl w:val="0"/>
          <w:numId w:val="12"/>
        </w:numPr>
        <w:tabs>
          <w:tab w:val="num" w:pos="720"/>
        </w:tabs>
        <w:autoSpaceDE w:val="0"/>
        <w:autoSpaceDN w:val="0"/>
        <w:adjustRightInd w:val="0"/>
        <w:ind w:left="0"/>
        <w:jc w:val="both"/>
        <w:rPr>
          <w:rFonts w:eastAsia="Times New Roman"/>
          <w:lang w:val="es-CR" w:eastAsia="es-ES"/>
        </w:rPr>
      </w:pPr>
      <w:r>
        <w:rPr>
          <w:rFonts w:eastAsia="Times New Roman"/>
          <w:lang w:val="es-CR" w:eastAsia="es-ES"/>
        </w:rPr>
        <w:t xml:space="preserve">Aclarar por medio de </w:t>
      </w:r>
      <w:r w:rsidR="00EE1D83" w:rsidRPr="000032D2">
        <w:rPr>
          <w:rFonts w:eastAsia="Calibri" w:cs="Verdana"/>
          <w:lang w:val="es-AR"/>
        </w:rPr>
        <w:t>interpretación</w:t>
      </w:r>
      <w:r w:rsidR="00EE1D83" w:rsidRPr="00B378BC">
        <w:rPr>
          <w:rFonts w:eastAsia="Times New Roman"/>
          <w:lang w:val="es-CR" w:eastAsia="es-ES"/>
        </w:rPr>
        <w:t xml:space="preserve"> la Sentencia de fondo, reparaciones y costas, emitida en el caso </w:t>
      </w:r>
      <w:r w:rsidR="00EE1D83">
        <w:rPr>
          <w:i/>
          <w:lang w:val="es-CR"/>
        </w:rPr>
        <w:t xml:space="preserve">Carvajal </w:t>
      </w:r>
      <w:proofErr w:type="spellStart"/>
      <w:r w:rsidR="00EE1D83">
        <w:rPr>
          <w:i/>
          <w:lang w:val="es-CR"/>
        </w:rPr>
        <w:t>Carvajal</w:t>
      </w:r>
      <w:proofErr w:type="spellEnd"/>
      <w:r w:rsidR="00EE1D83">
        <w:rPr>
          <w:i/>
          <w:lang w:val="es-CR"/>
        </w:rPr>
        <w:t xml:space="preserve"> y Otros Vs. Colombia</w:t>
      </w:r>
      <w:r w:rsidRPr="00B378BC">
        <w:rPr>
          <w:rFonts w:eastAsia="Times New Roman"/>
          <w:lang w:val="es-CR" w:eastAsia="es-ES"/>
        </w:rPr>
        <w:t xml:space="preserve">, en los términos de los párrafos </w:t>
      </w:r>
      <w:r w:rsidR="009C1162">
        <w:rPr>
          <w:rFonts w:eastAsia="Times New Roman"/>
          <w:lang w:val="es-CR" w:eastAsia="es-ES"/>
        </w:rPr>
        <w:t xml:space="preserve">14 a 19, 21 a 23, </w:t>
      </w:r>
      <w:r w:rsidR="009C1162" w:rsidRPr="009C1162">
        <w:rPr>
          <w:rFonts w:eastAsia="Times New Roman"/>
          <w:lang w:val="es-CR" w:eastAsia="es-ES"/>
        </w:rPr>
        <w:t>25</w:t>
      </w:r>
      <w:r w:rsidR="009C1162">
        <w:rPr>
          <w:rFonts w:eastAsia="Times New Roman"/>
          <w:lang w:val="es-CR" w:eastAsia="es-ES"/>
        </w:rPr>
        <w:t>,</w:t>
      </w:r>
      <w:r w:rsidR="009C1162" w:rsidRPr="009C1162">
        <w:rPr>
          <w:rFonts w:eastAsia="Times New Roman"/>
          <w:lang w:val="es-CR" w:eastAsia="es-ES"/>
        </w:rPr>
        <w:t xml:space="preserve"> 26, y 28</w:t>
      </w:r>
      <w:r w:rsidRPr="009C1162">
        <w:rPr>
          <w:rFonts w:eastAsia="Times New Roman"/>
          <w:lang w:val="es-CR" w:eastAsia="es-ES"/>
        </w:rPr>
        <w:t xml:space="preserve">. </w:t>
      </w:r>
    </w:p>
    <w:p w14:paraId="4F17EC95" w14:textId="77777777" w:rsidR="000975BB" w:rsidRDefault="000975BB" w:rsidP="000975BB">
      <w:pPr>
        <w:tabs>
          <w:tab w:val="left" w:pos="567"/>
        </w:tabs>
        <w:spacing w:beforeLines="40" w:before="96" w:afterLines="40" w:after="96"/>
        <w:contextualSpacing/>
        <w:rPr>
          <w:rFonts w:eastAsia="Times New Roman"/>
          <w:lang w:val="es-CR" w:eastAsia="es-ES"/>
        </w:rPr>
      </w:pPr>
    </w:p>
    <w:p w14:paraId="55B827B1" w14:textId="72F73131" w:rsidR="000975BB" w:rsidRPr="004D7274" w:rsidRDefault="000975BB" w:rsidP="000032D2">
      <w:pPr>
        <w:numPr>
          <w:ilvl w:val="0"/>
          <w:numId w:val="12"/>
        </w:numPr>
        <w:tabs>
          <w:tab w:val="num" w:pos="720"/>
        </w:tabs>
        <w:autoSpaceDE w:val="0"/>
        <w:autoSpaceDN w:val="0"/>
        <w:adjustRightInd w:val="0"/>
        <w:ind w:left="0"/>
        <w:jc w:val="both"/>
        <w:rPr>
          <w:lang w:val="es-CR"/>
        </w:rPr>
      </w:pPr>
      <w:r w:rsidRPr="00854FDE">
        <w:rPr>
          <w:rFonts w:eastAsia="Batang"/>
          <w:lang w:val="es-CR"/>
        </w:rPr>
        <w:t xml:space="preserve">Disponer que la </w:t>
      </w:r>
      <w:r w:rsidRPr="000032D2">
        <w:rPr>
          <w:rFonts w:eastAsia="Calibri" w:cs="Verdana"/>
          <w:lang w:val="es-AR"/>
        </w:rPr>
        <w:t>Secretaría</w:t>
      </w:r>
      <w:r w:rsidRPr="00854FDE">
        <w:rPr>
          <w:rFonts w:eastAsia="Batang"/>
          <w:lang w:val="es-CR"/>
        </w:rPr>
        <w:t xml:space="preserve"> de la Corte notifique la presente Sentencia </w:t>
      </w:r>
      <w:r w:rsidRPr="00854FDE">
        <w:rPr>
          <w:rFonts w:eastAsia="Times New Roman" w:cs="Arial"/>
          <w:lang w:val="es-CR" w:eastAsia="ko-KR"/>
        </w:rPr>
        <w:t>de interpretación</w:t>
      </w:r>
      <w:r w:rsidRPr="00854FDE">
        <w:rPr>
          <w:rFonts w:eastAsia="Batang"/>
          <w:lang w:val="es-CR"/>
        </w:rPr>
        <w:t xml:space="preserve"> </w:t>
      </w:r>
      <w:r>
        <w:rPr>
          <w:rFonts w:eastAsia="Batang"/>
          <w:lang w:val="es-CR"/>
        </w:rPr>
        <w:t>a la República de Colombia</w:t>
      </w:r>
      <w:r w:rsidR="007E2635">
        <w:rPr>
          <w:rFonts w:eastAsia="Batang"/>
          <w:lang w:val="es-CR"/>
        </w:rPr>
        <w:t>, a la</w:t>
      </w:r>
      <w:r w:rsidRPr="00854FDE">
        <w:rPr>
          <w:rFonts w:eastAsia="Batang"/>
          <w:lang w:val="es-CR"/>
        </w:rPr>
        <w:t>s representantes de las víctimas y a la Comisión Interamericana de Derechos Humanos.</w:t>
      </w:r>
    </w:p>
    <w:p w14:paraId="6AA56A5C" w14:textId="77777777" w:rsidR="004D7274" w:rsidRDefault="004D7274" w:rsidP="004D7274">
      <w:pPr>
        <w:pStyle w:val="ListParagraph"/>
        <w:rPr>
          <w:lang w:val="es-CR"/>
        </w:rPr>
      </w:pPr>
    </w:p>
    <w:p w14:paraId="2B245FB6" w14:textId="4A024059" w:rsidR="000975BB" w:rsidRDefault="000975BB" w:rsidP="000032D2">
      <w:pPr>
        <w:autoSpaceDE w:val="0"/>
        <w:autoSpaceDN w:val="0"/>
        <w:adjustRightInd w:val="0"/>
        <w:spacing w:before="120" w:after="120"/>
        <w:jc w:val="both"/>
      </w:pPr>
      <w:r w:rsidRPr="00854FDE">
        <w:t>Redactada en español, en San José, Costa Rica</w:t>
      </w:r>
      <w:r>
        <w:t>,</w:t>
      </w:r>
      <w:r>
        <w:rPr>
          <w:rFonts w:eastAsia="Times New Roman" w:cs="Verdana"/>
          <w:b/>
          <w:bCs/>
          <w:caps/>
          <w:snapToGrid w:val="0"/>
          <w:lang w:val="es-CR" w:eastAsia="es-ES"/>
        </w:rPr>
        <w:t xml:space="preserve"> </w:t>
      </w:r>
      <w:r w:rsidR="000032D2" w:rsidRPr="000032D2">
        <w:rPr>
          <w:rFonts w:eastAsia="Times New Roman" w:cs="Verdana"/>
          <w:bCs/>
          <w:snapToGrid w:val="0"/>
          <w:lang w:val="es-CR" w:eastAsia="es-ES"/>
        </w:rPr>
        <w:t>el</w:t>
      </w:r>
      <w:r w:rsidR="000032D2">
        <w:rPr>
          <w:rFonts w:eastAsia="Times New Roman" w:cs="Verdana"/>
          <w:b/>
          <w:bCs/>
          <w:snapToGrid w:val="0"/>
          <w:lang w:val="es-CR" w:eastAsia="es-ES"/>
        </w:rPr>
        <w:t xml:space="preserve"> </w:t>
      </w:r>
      <w:r w:rsidR="00546C74">
        <w:t>21</w:t>
      </w:r>
      <w:r w:rsidR="00175449">
        <w:t xml:space="preserve"> de noviembre de 2018</w:t>
      </w:r>
      <w:r>
        <w:t>.</w:t>
      </w:r>
    </w:p>
    <w:p w14:paraId="66EE4BFF" w14:textId="77777777" w:rsidR="004D7274" w:rsidRPr="00854FDE" w:rsidRDefault="004D7274" w:rsidP="000032D2">
      <w:pPr>
        <w:autoSpaceDE w:val="0"/>
        <w:autoSpaceDN w:val="0"/>
        <w:adjustRightInd w:val="0"/>
        <w:spacing w:before="120" w:after="120"/>
        <w:jc w:val="both"/>
      </w:pPr>
    </w:p>
    <w:p w14:paraId="08F9B5C4" w14:textId="77777777" w:rsidR="00D172A7" w:rsidRDefault="00D172A7" w:rsidP="000032D2">
      <w:pPr>
        <w:spacing w:before="120" w:after="120"/>
        <w:jc w:val="both"/>
        <w:rPr>
          <w:lang w:val="es-ES"/>
        </w:rPr>
      </w:pPr>
    </w:p>
    <w:p w14:paraId="6EBEDB9E" w14:textId="77777777" w:rsidR="00D172A7" w:rsidRDefault="00D172A7" w:rsidP="000032D2">
      <w:pPr>
        <w:spacing w:before="120" w:after="120"/>
        <w:jc w:val="both"/>
        <w:rPr>
          <w:lang w:val="es-ES"/>
        </w:rPr>
      </w:pPr>
    </w:p>
    <w:p w14:paraId="2AFC3E2D" w14:textId="77777777" w:rsidR="00D172A7" w:rsidRDefault="00D172A7" w:rsidP="000032D2">
      <w:pPr>
        <w:spacing w:before="120" w:after="120"/>
        <w:jc w:val="both"/>
        <w:rPr>
          <w:lang w:val="es-ES"/>
        </w:rPr>
      </w:pPr>
    </w:p>
    <w:p w14:paraId="29EA0EE7" w14:textId="77777777" w:rsidR="00D172A7" w:rsidRDefault="00D172A7" w:rsidP="000032D2">
      <w:pPr>
        <w:spacing w:before="120" w:after="120"/>
        <w:jc w:val="both"/>
        <w:rPr>
          <w:lang w:val="es-ES"/>
        </w:rPr>
      </w:pPr>
    </w:p>
    <w:p w14:paraId="134A837F" w14:textId="77777777" w:rsidR="00D172A7" w:rsidRDefault="00D172A7" w:rsidP="000032D2">
      <w:pPr>
        <w:spacing w:before="120" w:after="120"/>
        <w:jc w:val="both"/>
        <w:rPr>
          <w:lang w:val="es-ES"/>
        </w:rPr>
      </w:pPr>
    </w:p>
    <w:p w14:paraId="2CA34EDE" w14:textId="77777777" w:rsidR="00D172A7" w:rsidRDefault="00D172A7" w:rsidP="000032D2">
      <w:pPr>
        <w:spacing w:before="120" w:after="120"/>
        <w:jc w:val="both"/>
        <w:rPr>
          <w:lang w:val="es-ES"/>
        </w:rPr>
      </w:pPr>
    </w:p>
    <w:p w14:paraId="1015692D" w14:textId="77777777" w:rsidR="00D172A7" w:rsidRDefault="00D172A7" w:rsidP="000032D2">
      <w:pPr>
        <w:spacing w:before="120" w:after="120"/>
        <w:jc w:val="both"/>
        <w:rPr>
          <w:lang w:val="es-ES"/>
        </w:rPr>
      </w:pPr>
    </w:p>
    <w:p w14:paraId="2070A49D" w14:textId="77777777" w:rsidR="00D172A7" w:rsidRDefault="00D172A7" w:rsidP="000032D2">
      <w:pPr>
        <w:spacing w:before="120" w:after="120"/>
        <w:jc w:val="both"/>
        <w:rPr>
          <w:lang w:val="es-ES"/>
        </w:rPr>
      </w:pPr>
    </w:p>
    <w:p w14:paraId="1C67D688" w14:textId="77777777" w:rsidR="00D172A7" w:rsidRDefault="00D172A7" w:rsidP="000032D2">
      <w:pPr>
        <w:spacing w:before="120" w:after="120"/>
        <w:jc w:val="both"/>
        <w:rPr>
          <w:lang w:val="es-ES"/>
        </w:rPr>
      </w:pPr>
    </w:p>
    <w:p w14:paraId="569DDB6C" w14:textId="77777777" w:rsidR="00D172A7" w:rsidRDefault="00D172A7" w:rsidP="000032D2">
      <w:pPr>
        <w:spacing w:before="120" w:after="120"/>
        <w:jc w:val="both"/>
        <w:rPr>
          <w:lang w:val="es-ES"/>
        </w:rPr>
      </w:pPr>
    </w:p>
    <w:p w14:paraId="00F7AB09" w14:textId="77777777" w:rsidR="00D172A7" w:rsidRDefault="00D172A7" w:rsidP="000032D2">
      <w:pPr>
        <w:spacing w:before="120" w:after="120"/>
        <w:jc w:val="both"/>
        <w:rPr>
          <w:lang w:val="es-ES"/>
        </w:rPr>
      </w:pPr>
    </w:p>
    <w:p w14:paraId="386921DB" w14:textId="77777777" w:rsidR="00D172A7" w:rsidRDefault="00D172A7" w:rsidP="000032D2">
      <w:pPr>
        <w:spacing w:before="120" w:after="120"/>
        <w:jc w:val="both"/>
        <w:rPr>
          <w:lang w:val="es-ES"/>
        </w:rPr>
      </w:pPr>
    </w:p>
    <w:p w14:paraId="3444A122" w14:textId="77777777" w:rsidR="00D172A7" w:rsidRDefault="00D172A7" w:rsidP="000032D2">
      <w:pPr>
        <w:spacing w:before="120" w:after="120"/>
        <w:jc w:val="both"/>
        <w:rPr>
          <w:lang w:val="es-ES"/>
        </w:rPr>
      </w:pPr>
    </w:p>
    <w:p w14:paraId="47E65ABC" w14:textId="77777777" w:rsidR="00D172A7" w:rsidRDefault="00D172A7" w:rsidP="000032D2">
      <w:pPr>
        <w:spacing w:before="120" w:after="120"/>
        <w:jc w:val="both"/>
        <w:rPr>
          <w:lang w:val="es-ES"/>
        </w:rPr>
      </w:pPr>
    </w:p>
    <w:p w14:paraId="6B33BFC7" w14:textId="77777777" w:rsidR="00D172A7" w:rsidRDefault="00D172A7" w:rsidP="000032D2">
      <w:pPr>
        <w:spacing w:before="120" w:after="120"/>
        <w:jc w:val="both"/>
        <w:rPr>
          <w:lang w:val="es-ES"/>
        </w:rPr>
      </w:pPr>
    </w:p>
    <w:p w14:paraId="3B511B32" w14:textId="77777777" w:rsidR="00D172A7" w:rsidRDefault="00D172A7" w:rsidP="000032D2">
      <w:pPr>
        <w:spacing w:before="120" w:after="120"/>
        <w:jc w:val="both"/>
        <w:rPr>
          <w:lang w:val="es-ES"/>
        </w:rPr>
      </w:pPr>
    </w:p>
    <w:p w14:paraId="318D2834" w14:textId="77777777" w:rsidR="00D172A7" w:rsidRDefault="00D172A7" w:rsidP="000032D2">
      <w:pPr>
        <w:spacing w:before="120" w:after="120"/>
        <w:jc w:val="both"/>
        <w:rPr>
          <w:lang w:val="es-ES"/>
        </w:rPr>
      </w:pPr>
    </w:p>
    <w:p w14:paraId="0F4C20F8" w14:textId="77777777" w:rsidR="00D172A7" w:rsidRDefault="00D172A7" w:rsidP="000032D2">
      <w:pPr>
        <w:spacing w:before="120" w:after="120"/>
        <w:jc w:val="both"/>
        <w:rPr>
          <w:lang w:val="es-ES"/>
        </w:rPr>
      </w:pPr>
    </w:p>
    <w:p w14:paraId="769987E8" w14:textId="77777777" w:rsidR="00D172A7" w:rsidRDefault="00D172A7" w:rsidP="000032D2">
      <w:pPr>
        <w:spacing w:before="120" w:after="120"/>
        <w:jc w:val="both"/>
        <w:rPr>
          <w:lang w:val="es-ES"/>
        </w:rPr>
      </w:pPr>
    </w:p>
    <w:p w14:paraId="7AFFC9DC" w14:textId="77777777" w:rsidR="00D172A7" w:rsidRDefault="00D172A7" w:rsidP="000032D2">
      <w:pPr>
        <w:spacing w:before="120" w:after="120"/>
        <w:jc w:val="both"/>
        <w:rPr>
          <w:lang w:val="es-ES"/>
        </w:rPr>
      </w:pPr>
    </w:p>
    <w:p w14:paraId="41F0036B" w14:textId="77777777" w:rsidR="00D172A7" w:rsidRDefault="00D172A7" w:rsidP="000032D2">
      <w:pPr>
        <w:spacing w:before="120" w:after="120"/>
        <w:jc w:val="both"/>
        <w:rPr>
          <w:lang w:val="es-ES"/>
        </w:rPr>
      </w:pPr>
    </w:p>
    <w:p w14:paraId="2FBFFB82" w14:textId="77777777" w:rsidR="00D172A7" w:rsidRDefault="00D172A7" w:rsidP="000032D2">
      <w:pPr>
        <w:spacing w:before="120" w:after="120"/>
        <w:jc w:val="both"/>
        <w:rPr>
          <w:lang w:val="es-ES"/>
        </w:rPr>
      </w:pPr>
    </w:p>
    <w:p w14:paraId="732089AF" w14:textId="77777777" w:rsidR="00D172A7" w:rsidRDefault="00D172A7" w:rsidP="000032D2">
      <w:pPr>
        <w:spacing w:before="120" w:after="120"/>
        <w:jc w:val="both"/>
        <w:rPr>
          <w:lang w:val="es-ES"/>
        </w:rPr>
      </w:pPr>
    </w:p>
    <w:p w14:paraId="424EE826" w14:textId="77777777" w:rsidR="00D172A7" w:rsidRDefault="00D172A7" w:rsidP="000032D2">
      <w:pPr>
        <w:spacing w:before="120" w:after="120"/>
        <w:jc w:val="both"/>
        <w:rPr>
          <w:lang w:val="es-ES"/>
        </w:rPr>
      </w:pPr>
    </w:p>
    <w:p w14:paraId="682CD118" w14:textId="77777777" w:rsidR="00D172A7" w:rsidRDefault="00D172A7" w:rsidP="000032D2">
      <w:pPr>
        <w:spacing w:before="120" w:after="120"/>
        <w:jc w:val="both"/>
        <w:rPr>
          <w:lang w:val="es-ES"/>
        </w:rPr>
      </w:pPr>
    </w:p>
    <w:p w14:paraId="1A5E7703" w14:textId="77777777" w:rsidR="00D172A7" w:rsidRDefault="00D172A7" w:rsidP="000032D2">
      <w:pPr>
        <w:spacing w:before="120" w:after="120"/>
        <w:jc w:val="both"/>
        <w:rPr>
          <w:lang w:val="es-ES"/>
        </w:rPr>
      </w:pPr>
    </w:p>
    <w:p w14:paraId="35087A25" w14:textId="77777777" w:rsidR="00D172A7" w:rsidRDefault="00D172A7" w:rsidP="000032D2">
      <w:pPr>
        <w:spacing w:before="120" w:after="120"/>
        <w:jc w:val="both"/>
        <w:rPr>
          <w:lang w:val="es-ES"/>
        </w:rPr>
      </w:pPr>
    </w:p>
    <w:p w14:paraId="148F7758" w14:textId="413A8D52" w:rsidR="00B16512" w:rsidRPr="00D172A7" w:rsidRDefault="00B16512" w:rsidP="000032D2">
      <w:pPr>
        <w:spacing w:before="120" w:after="120"/>
        <w:jc w:val="both"/>
        <w:rPr>
          <w:lang w:val="pt-BR"/>
        </w:rPr>
      </w:pPr>
      <w:r w:rsidRPr="00D172A7">
        <w:rPr>
          <w:lang w:val="es-ES"/>
        </w:rPr>
        <w:lastRenderedPageBreak/>
        <w:t xml:space="preserve">Corte IDH. </w:t>
      </w:r>
      <w:r w:rsidRPr="00D172A7">
        <w:rPr>
          <w:i/>
          <w:lang w:val="es-ES"/>
        </w:rPr>
        <w:t xml:space="preserve">Caso </w:t>
      </w:r>
      <w:r w:rsidR="00175449" w:rsidRPr="00D172A7">
        <w:rPr>
          <w:i/>
          <w:lang w:val="es-CR"/>
        </w:rPr>
        <w:t xml:space="preserve">Carvajal </w:t>
      </w:r>
      <w:proofErr w:type="spellStart"/>
      <w:r w:rsidR="00175449" w:rsidRPr="00D172A7">
        <w:rPr>
          <w:i/>
          <w:lang w:val="es-CR"/>
        </w:rPr>
        <w:t>Carvajal</w:t>
      </w:r>
      <w:proofErr w:type="spellEnd"/>
      <w:r w:rsidR="00175449" w:rsidRPr="00D172A7">
        <w:rPr>
          <w:i/>
          <w:lang w:val="es-CR"/>
        </w:rPr>
        <w:t xml:space="preserve"> y Otros Vs. Colombia</w:t>
      </w:r>
      <w:r w:rsidRPr="00D172A7">
        <w:rPr>
          <w:lang w:val="es-ES"/>
        </w:rPr>
        <w:t xml:space="preserve">. Interpretación de la Sentencia de </w:t>
      </w:r>
      <w:r w:rsidR="00175449" w:rsidRPr="00D172A7">
        <w:rPr>
          <w:rFonts w:eastAsia="Times New Roman"/>
          <w:lang w:val="es-CR" w:eastAsia="es-ES"/>
        </w:rPr>
        <w:t>Fondo, Reparaciones y Costas</w:t>
      </w:r>
      <w:r w:rsidRPr="00D172A7">
        <w:rPr>
          <w:lang w:val="es-ES"/>
        </w:rPr>
        <w:t xml:space="preserve">. </w:t>
      </w:r>
      <w:r w:rsidRPr="00D172A7">
        <w:rPr>
          <w:lang w:val="pt-BR"/>
        </w:rPr>
        <w:t>Sent</w:t>
      </w:r>
      <w:r w:rsidR="00175449" w:rsidRPr="00D172A7">
        <w:rPr>
          <w:lang w:val="pt-BR"/>
        </w:rPr>
        <w:t xml:space="preserve">encia de </w:t>
      </w:r>
      <w:r w:rsidR="006D6C96" w:rsidRPr="00D172A7">
        <w:rPr>
          <w:lang w:val="pt-BR"/>
        </w:rPr>
        <w:t xml:space="preserve">21 </w:t>
      </w:r>
      <w:r w:rsidR="00175449" w:rsidRPr="00D172A7">
        <w:rPr>
          <w:lang w:val="pt-BR"/>
        </w:rPr>
        <w:t>de noviembre de 2018</w:t>
      </w:r>
      <w:r w:rsidRPr="00D172A7">
        <w:rPr>
          <w:lang w:val="pt-BR"/>
        </w:rPr>
        <w:t xml:space="preserve">. </w:t>
      </w:r>
    </w:p>
    <w:p w14:paraId="3BAD3ADE" w14:textId="77777777" w:rsidR="00541073" w:rsidRPr="00D172A7" w:rsidRDefault="00541073" w:rsidP="00541073">
      <w:pPr>
        <w:jc w:val="center"/>
        <w:rPr>
          <w:highlight w:val="yellow"/>
          <w:lang w:val="pt-BR"/>
        </w:rPr>
      </w:pPr>
    </w:p>
    <w:p w14:paraId="13D7E0DD" w14:textId="77777777" w:rsidR="00D172A7" w:rsidRPr="00D172A7" w:rsidRDefault="00D172A7" w:rsidP="00541073">
      <w:pPr>
        <w:jc w:val="center"/>
        <w:rPr>
          <w:highlight w:val="yellow"/>
          <w:lang w:val="pt-BR"/>
        </w:rPr>
      </w:pPr>
    </w:p>
    <w:p w14:paraId="5BDA2DF0" w14:textId="77777777" w:rsidR="00D172A7" w:rsidRDefault="00D172A7" w:rsidP="00541073">
      <w:pPr>
        <w:jc w:val="center"/>
        <w:rPr>
          <w:highlight w:val="yellow"/>
          <w:lang w:val="pt-BR"/>
        </w:rPr>
      </w:pPr>
    </w:p>
    <w:p w14:paraId="404D7776" w14:textId="77777777" w:rsidR="00E35699" w:rsidRPr="00D172A7" w:rsidRDefault="00E35699" w:rsidP="00541073">
      <w:pPr>
        <w:jc w:val="center"/>
        <w:rPr>
          <w:highlight w:val="yellow"/>
          <w:lang w:val="pt-BR"/>
        </w:rPr>
      </w:pPr>
    </w:p>
    <w:p w14:paraId="5C213E1B" w14:textId="77777777" w:rsidR="00D172A7" w:rsidRPr="00D172A7" w:rsidRDefault="00D172A7" w:rsidP="00541073">
      <w:pPr>
        <w:jc w:val="center"/>
        <w:rPr>
          <w:highlight w:val="yellow"/>
          <w:lang w:val="pt-BR"/>
        </w:rPr>
      </w:pPr>
    </w:p>
    <w:p w14:paraId="02587D8F" w14:textId="77777777" w:rsidR="00D172A7" w:rsidRPr="00D172A7" w:rsidRDefault="00D172A7" w:rsidP="00541073">
      <w:pPr>
        <w:jc w:val="center"/>
        <w:rPr>
          <w:highlight w:val="yellow"/>
          <w:lang w:val="pt-BR"/>
        </w:rPr>
      </w:pPr>
    </w:p>
    <w:p w14:paraId="7FB8343B" w14:textId="77777777" w:rsidR="00541073" w:rsidRPr="00D172A7" w:rsidRDefault="00541073" w:rsidP="00541073">
      <w:pPr>
        <w:jc w:val="center"/>
        <w:rPr>
          <w:lang w:val="pt-BR"/>
        </w:rPr>
      </w:pPr>
      <w:r w:rsidRPr="00D172A7">
        <w:rPr>
          <w:lang w:val="pt-BR"/>
        </w:rPr>
        <w:t xml:space="preserve">  Eduardo Ferrer Mac-Gregor Poisot</w:t>
      </w:r>
    </w:p>
    <w:p w14:paraId="58B8B69D" w14:textId="77777777" w:rsidR="00541073" w:rsidRPr="00D172A7" w:rsidRDefault="00541073" w:rsidP="00541073">
      <w:pPr>
        <w:jc w:val="center"/>
        <w:rPr>
          <w:lang w:val="pt-BR"/>
        </w:rPr>
      </w:pPr>
      <w:r w:rsidRPr="00D172A7">
        <w:rPr>
          <w:lang w:val="pt-BR"/>
        </w:rPr>
        <w:t xml:space="preserve">Presidente </w:t>
      </w:r>
    </w:p>
    <w:p w14:paraId="4142968D" w14:textId="77777777" w:rsidR="00541073" w:rsidRPr="00D172A7" w:rsidRDefault="00541073" w:rsidP="00541073">
      <w:pPr>
        <w:rPr>
          <w:lang w:val="pt-BR"/>
        </w:rPr>
      </w:pPr>
    </w:p>
    <w:p w14:paraId="3296802E" w14:textId="77777777" w:rsidR="00541073" w:rsidRPr="00D172A7" w:rsidRDefault="00541073" w:rsidP="00541073">
      <w:pPr>
        <w:rPr>
          <w:lang w:val="pt-BR"/>
        </w:rPr>
      </w:pPr>
    </w:p>
    <w:p w14:paraId="52C04033" w14:textId="77777777" w:rsidR="00541073" w:rsidRDefault="00541073" w:rsidP="00541073">
      <w:pPr>
        <w:rPr>
          <w:lang w:val="pt-BR"/>
        </w:rPr>
      </w:pPr>
    </w:p>
    <w:p w14:paraId="76ECCE58" w14:textId="77777777" w:rsidR="00E35699" w:rsidRPr="00D172A7" w:rsidRDefault="00E35699" w:rsidP="00541073">
      <w:pPr>
        <w:rPr>
          <w:lang w:val="pt-BR"/>
        </w:rPr>
      </w:pPr>
    </w:p>
    <w:p w14:paraId="346BB60D" w14:textId="77777777" w:rsidR="00541073" w:rsidRPr="00D172A7" w:rsidRDefault="00541073" w:rsidP="00541073">
      <w:pPr>
        <w:rPr>
          <w:lang w:val="pt-BR"/>
        </w:rPr>
      </w:pPr>
    </w:p>
    <w:p w14:paraId="2333DC2D" w14:textId="77777777" w:rsidR="00541073" w:rsidRPr="00D172A7" w:rsidRDefault="00541073" w:rsidP="00541073">
      <w:pPr>
        <w:rPr>
          <w:lang w:val="pt-BR"/>
        </w:rPr>
      </w:pPr>
    </w:p>
    <w:p w14:paraId="179280D1" w14:textId="6D5F53DC" w:rsidR="00541073" w:rsidRPr="00D172A7" w:rsidRDefault="00541073" w:rsidP="00541073">
      <w:pPr>
        <w:rPr>
          <w:lang w:val="pt-BR"/>
        </w:rPr>
      </w:pPr>
      <w:r w:rsidRPr="00D172A7">
        <w:rPr>
          <w:lang w:val="pt-BR"/>
        </w:rPr>
        <w:t>Eduardo Vio Grossi</w:t>
      </w:r>
      <w:r w:rsidRPr="00D172A7">
        <w:rPr>
          <w:lang w:val="pt-BR"/>
        </w:rPr>
        <w:tab/>
      </w:r>
      <w:r w:rsidRPr="00D172A7">
        <w:rPr>
          <w:lang w:val="pt-BR"/>
        </w:rPr>
        <w:tab/>
        <w:t xml:space="preserve">                                                           </w:t>
      </w:r>
      <w:r w:rsidR="004765BB" w:rsidRPr="00D172A7">
        <w:rPr>
          <w:lang w:val="pt-BR"/>
        </w:rPr>
        <w:t>Elizabeth Odio Benito</w:t>
      </w:r>
    </w:p>
    <w:p w14:paraId="6A649CED" w14:textId="7DBA4112" w:rsidR="00541073" w:rsidRPr="00D172A7" w:rsidRDefault="00541073" w:rsidP="00541073">
      <w:pPr>
        <w:rPr>
          <w:lang w:val="pt-BR"/>
        </w:rPr>
      </w:pPr>
    </w:p>
    <w:p w14:paraId="30E5297C" w14:textId="77777777" w:rsidR="00541073" w:rsidRPr="00D172A7" w:rsidRDefault="00541073" w:rsidP="00541073">
      <w:pPr>
        <w:rPr>
          <w:lang w:val="pt-BR"/>
        </w:rPr>
      </w:pPr>
    </w:p>
    <w:p w14:paraId="62753769" w14:textId="77777777" w:rsidR="00541073" w:rsidRDefault="00541073" w:rsidP="00541073">
      <w:pPr>
        <w:rPr>
          <w:lang w:val="pt-BR"/>
        </w:rPr>
      </w:pPr>
    </w:p>
    <w:p w14:paraId="75B4F60F" w14:textId="77777777" w:rsidR="00E35699" w:rsidRPr="00D172A7" w:rsidRDefault="00E35699" w:rsidP="00541073">
      <w:pPr>
        <w:rPr>
          <w:lang w:val="pt-BR"/>
        </w:rPr>
      </w:pPr>
    </w:p>
    <w:p w14:paraId="45DBAE48" w14:textId="77777777" w:rsidR="00541073" w:rsidRPr="00D172A7" w:rsidRDefault="00541073" w:rsidP="00541073">
      <w:pPr>
        <w:rPr>
          <w:lang w:val="pt-BR"/>
        </w:rPr>
      </w:pPr>
    </w:p>
    <w:p w14:paraId="17B9D2A8" w14:textId="77777777" w:rsidR="00541073" w:rsidRPr="00D172A7" w:rsidRDefault="00541073" w:rsidP="00541073">
      <w:pPr>
        <w:rPr>
          <w:lang w:val="pt-BR"/>
        </w:rPr>
      </w:pPr>
    </w:p>
    <w:p w14:paraId="4ED329FB" w14:textId="7EC7567A" w:rsidR="00541073" w:rsidRPr="00D172A7" w:rsidRDefault="00D172A7" w:rsidP="00541073">
      <w:pPr>
        <w:rPr>
          <w:lang w:val="pt-BR"/>
        </w:rPr>
      </w:pPr>
      <w:r w:rsidRPr="00D172A7">
        <w:rPr>
          <w:lang w:val="pt-BR"/>
        </w:rPr>
        <w:t>Eugenio Raúl Zaffaroni</w:t>
      </w:r>
      <w:r w:rsidR="00541073" w:rsidRPr="00D172A7">
        <w:rPr>
          <w:lang w:val="pt-BR"/>
        </w:rPr>
        <w:tab/>
      </w:r>
      <w:r w:rsidR="00541073" w:rsidRPr="00D172A7">
        <w:rPr>
          <w:lang w:val="pt-BR"/>
        </w:rPr>
        <w:tab/>
      </w:r>
      <w:r w:rsidR="00541073" w:rsidRPr="00D172A7">
        <w:rPr>
          <w:lang w:val="pt-BR"/>
        </w:rPr>
        <w:tab/>
        <w:t xml:space="preserve">  </w:t>
      </w:r>
      <w:r w:rsidR="004765BB" w:rsidRPr="00D172A7">
        <w:rPr>
          <w:lang w:val="pt-BR"/>
        </w:rPr>
        <w:tab/>
      </w:r>
      <w:r w:rsidR="004765BB" w:rsidRPr="00D172A7">
        <w:rPr>
          <w:lang w:val="pt-BR"/>
        </w:rPr>
        <w:tab/>
      </w:r>
      <w:r w:rsidR="004765BB" w:rsidRPr="00D172A7">
        <w:rPr>
          <w:lang w:val="pt-BR"/>
        </w:rPr>
        <w:tab/>
      </w:r>
      <w:r w:rsidR="00541073" w:rsidRPr="00D172A7">
        <w:rPr>
          <w:lang w:val="pt-BR"/>
        </w:rPr>
        <w:t xml:space="preserve">         </w:t>
      </w:r>
      <w:r w:rsidR="00E35699">
        <w:rPr>
          <w:lang w:val="pt-BR"/>
        </w:rPr>
        <w:tab/>
        <w:t xml:space="preserve">      L. Patricio Pazmiño Freire</w:t>
      </w:r>
      <w:r w:rsidR="00541073" w:rsidRPr="00D172A7">
        <w:rPr>
          <w:lang w:val="pt-BR"/>
        </w:rPr>
        <w:t xml:space="preserve"> </w:t>
      </w:r>
    </w:p>
    <w:p w14:paraId="15FE6FCE" w14:textId="4D9E262E" w:rsidR="00541073" w:rsidRPr="00D172A7" w:rsidRDefault="00541073" w:rsidP="00541073">
      <w:pPr>
        <w:rPr>
          <w:lang w:val="pt-BR"/>
        </w:rPr>
      </w:pPr>
    </w:p>
    <w:p w14:paraId="5D1401B5" w14:textId="43E83C8C" w:rsidR="00541073" w:rsidRPr="00D172A7" w:rsidRDefault="00541073" w:rsidP="00541073">
      <w:pPr>
        <w:rPr>
          <w:lang w:val="pt-BR"/>
        </w:rPr>
      </w:pPr>
    </w:p>
    <w:p w14:paraId="63926EB8" w14:textId="77777777" w:rsidR="00541073" w:rsidRDefault="00541073" w:rsidP="00541073">
      <w:pPr>
        <w:rPr>
          <w:lang w:val="pt-BR"/>
        </w:rPr>
      </w:pPr>
    </w:p>
    <w:p w14:paraId="3A509376" w14:textId="77777777" w:rsidR="00E35699" w:rsidRPr="00D172A7" w:rsidRDefault="00E35699" w:rsidP="00541073">
      <w:pPr>
        <w:rPr>
          <w:lang w:val="pt-BR"/>
        </w:rPr>
      </w:pPr>
    </w:p>
    <w:p w14:paraId="03AE6D40" w14:textId="77777777" w:rsidR="00541073" w:rsidRPr="00D172A7" w:rsidRDefault="00541073" w:rsidP="00541073">
      <w:pPr>
        <w:rPr>
          <w:lang w:val="pt-BR"/>
        </w:rPr>
      </w:pPr>
    </w:p>
    <w:p w14:paraId="55A1F303" w14:textId="77777777" w:rsidR="00541073" w:rsidRPr="00D172A7" w:rsidRDefault="00541073" w:rsidP="00541073">
      <w:pPr>
        <w:rPr>
          <w:lang w:val="pt-BR"/>
        </w:rPr>
      </w:pPr>
    </w:p>
    <w:p w14:paraId="6E16573A" w14:textId="77777777" w:rsidR="00541073" w:rsidRPr="00D172A7" w:rsidRDefault="00541073" w:rsidP="00541073">
      <w:pPr>
        <w:jc w:val="center"/>
        <w:rPr>
          <w:lang w:val="pt-BR"/>
        </w:rPr>
      </w:pPr>
      <w:r w:rsidRPr="00D172A7">
        <w:rPr>
          <w:lang w:val="pt-BR"/>
        </w:rPr>
        <w:t>Pablo Saavedra Alessandri</w:t>
      </w:r>
    </w:p>
    <w:p w14:paraId="6A1D32CB" w14:textId="77777777" w:rsidR="00541073" w:rsidRPr="00D172A7" w:rsidRDefault="00541073" w:rsidP="00541073">
      <w:pPr>
        <w:jc w:val="center"/>
      </w:pPr>
      <w:r w:rsidRPr="00D172A7">
        <w:t>Secretario</w:t>
      </w:r>
    </w:p>
    <w:p w14:paraId="7D329725" w14:textId="77777777" w:rsidR="00541073" w:rsidRPr="00D172A7" w:rsidRDefault="00541073" w:rsidP="00541073"/>
    <w:p w14:paraId="18DD5AE2" w14:textId="77777777" w:rsidR="00541073" w:rsidRPr="00D172A7" w:rsidRDefault="00541073" w:rsidP="00541073"/>
    <w:p w14:paraId="7EF44DEA" w14:textId="77777777" w:rsidR="00541073" w:rsidRDefault="00541073" w:rsidP="00541073"/>
    <w:p w14:paraId="7D5E0496" w14:textId="77777777" w:rsidR="00541073" w:rsidRPr="00D172A7" w:rsidRDefault="00541073" w:rsidP="00541073"/>
    <w:p w14:paraId="1AE2F4FE" w14:textId="77777777" w:rsidR="00541073" w:rsidRPr="00D172A7" w:rsidRDefault="00541073" w:rsidP="00541073"/>
    <w:p w14:paraId="0FDD698D" w14:textId="77777777" w:rsidR="00541073" w:rsidRPr="00D172A7" w:rsidRDefault="00541073" w:rsidP="00541073">
      <w:r w:rsidRPr="00D172A7">
        <w:t>Comuníquese y ejecútese,</w:t>
      </w:r>
    </w:p>
    <w:p w14:paraId="3C26FF52" w14:textId="77777777" w:rsidR="00541073" w:rsidRPr="00D172A7" w:rsidRDefault="00541073" w:rsidP="00541073"/>
    <w:p w14:paraId="3F1DB000" w14:textId="77777777" w:rsidR="00541073" w:rsidRPr="00D172A7" w:rsidRDefault="00541073" w:rsidP="00541073"/>
    <w:p w14:paraId="70F5C737" w14:textId="77777777" w:rsidR="00541073" w:rsidRPr="00D172A7" w:rsidRDefault="00541073" w:rsidP="00541073"/>
    <w:p w14:paraId="1FE8734E" w14:textId="77777777" w:rsidR="00541073" w:rsidRPr="00D172A7" w:rsidRDefault="00541073" w:rsidP="00541073"/>
    <w:p w14:paraId="339C4796" w14:textId="77777777" w:rsidR="00541073" w:rsidRPr="00D172A7" w:rsidRDefault="00541073" w:rsidP="00541073">
      <w:pPr>
        <w:rPr>
          <w:lang w:val="es-CR"/>
        </w:rPr>
      </w:pPr>
    </w:p>
    <w:p w14:paraId="758DE6ED" w14:textId="77777777" w:rsidR="00E35699" w:rsidRPr="00E35699" w:rsidRDefault="00E35699" w:rsidP="00E35699">
      <w:pPr>
        <w:ind w:left="5664"/>
        <w:jc w:val="center"/>
        <w:rPr>
          <w:lang w:val="pt-BR"/>
        </w:rPr>
      </w:pPr>
      <w:r w:rsidRPr="00E35699">
        <w:rPr>
          <w:lang w:val="pt-BR"/>
        </w:rPr>
        <w:t>Eduardo Ferrer Mac-Gregor Poisot</w:t>
      </w:r>
    </w:p>
    <w:p w14:paraId="5594DF86" w14:textId="5FE10F3A" w:rsidR="00541073" w:rsidRPr="00D172A7" w:rsidRDefault="00E35699" w:rsidP="00E35699">
      <w:pPr>
        <w:ind w:left="5664"/>
        <w:jc w:val="center"/>
      </w:pPr>
      <w:r w:rsidRPr="00E35699">
        <w:rPr>
          <w:lang w:val="pt-BR"/>
        </w:rPr>
        <w:t>Presidente</w:t>
      </w:r>
    </w:p>
    <w:p w14:paraId="4B500034" w14:textId="77777777" w:rsidR="00541073" w:rsidRPr="00D172A7" w:rsidRDefault="00541073" w:rsidP="00541073"/>
    <w:p w14:paraId="5724B3A4" w14:textId="77777777" w:rsidR="00541073" w:rsidRDefault="00541073" w:rsidP="00541073"/>
    <w:p w14:paraId="4F1FBB20" w14:textId="77777777" w:rsidR="00E35699" w:rsidRDefault="00E35699" w:rsidP="00541073"/>
    <w:p w14:paraId="0F5A9B70" w14:textId="77777777" w:rsidR="00E35699" w:rsidRPr="00D172A7" w:rsidRDefault="00E35699" w:rsidP="00541073"/>
    <w:p w14:paraId="360C71DF" w14:textId="77777777" w:rsidR="00541073" w:rsidRPr="00D172A7" w:rsidRDefault="00541073" w:rsidP="00541073"/>
    <w:p w14:paraId="167942F1" w14:textId="77777777" w:rsidR="00541073" w:rsidRPr="00D172A7" w:rsidRDefault="00541073" w:rsidP="00541073">
      <w:r w:rsidRPr="00D172A7">
        <w:t>Pablo Saavedra Alessandri</w:t>
      </w:r>
    </w:p>
    <w:p w14:paraId="4509E39A" w14:textId="77777777" w:rsidR="00541073" w:rsidRPr="00D172A7" w:rsidRDefault="00541073" w:rsidP="00541073">
      <w:pPr>
        <w:rPr>
          <w:lang w:val="es-CR"/>
        </w:rPr>
      </w:pPr>
      <w:r w:rsidRPr="00D172A7">
        <w:tab/>
        <w:t>Secretario</w:t>
      </w:r>
    </w:p>
    <w:sectPr w:rsidR="00541073" w:rsidRPr="00D172A7" w:rsidSect="00D27755">
      <w:headerReference w:type="even" r:id="rId9"/>
      <w:headerReference w:type="default" r:id="rId10"/>
      <w:pgSz w:w="12240" w:h="15840" w:code="1"/>
      <w:pgMar w:top="1440" w:right="1080" w:bottom="1440" w:left="1080" w:header="706" w:footer="706" w:gutter="0"/>
      <w:pgNumType w:start="1"/>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61E912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DE545D" w14:textId="77777777" w:rsidR="009050F9" w:rsidRDefault="009050F9" w:rsidP="000975BB">
      <w:r>
        <w:separator/>
      </w:r>
    </w:p>
  </w:endnote>
  <w:endnote w:type="continuationSeparator" w:id="0">
    <w:p w14:paraId="624CA4AA" w14:textId="77777777" w:rsidR="009050F9" w:rsidRDefault="009050F9" w:rsidP="000975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G Times">
    <w:charset w:val="00"/>
    <w:family w:val="roman"/>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921409" w14:textId="77777777" w:rsidR="009050F9" w:rsidRDefault="009050F9" w:rsidP="000975BB">
      <w:r>
        <w:separator/>
      </w:r>
    </w:p>
  </w:footnote>
  <w:footnote w:type="continuationSeparator" w:id="0">
    <w:p w14:paraId="3BE2BA22" w14:textId="77777777" w:rsidR="009050F9" w:rsidRDefault="009050F9" w:rsidP="000975BB">
      <w:r>
        <w:continuationSeparator/>
      </w:r>
    </w:p>
  </w:footnote>
  <w:footnote w:id="1">
    <w:p w14:paraId="71B1C22A" w14:textId="2B96E0E0" w:rsidR="000975BB" w:rsidRDefault="000975BB" w:rsidP="008856E2">
      <w:pPr>
        <w:pStyle w:val="FootnoteText"/>
        <w:spacing w:before="120" w:after="120"/>
        <w:rPr>
          <w:szCs w:val="16"/>
          <w:lang w:val="es-CR"/>
        </w:rPr>
      </w:pPr>
      <w:r>
        <w:rPr>
          <w:rStyle w:val="FootnoteReference"/>
          <w:szCs w:val="16"/>
        </w:rPr>
        <w:sym w:font="Symbol" w:char="F02A"/>
      </w:r>
      <w:r w:rsidR="000A5CDB">
        <w:rPr>
          <w:szCs w:val="16"/>
        </w:rPr>
        <w:t xml:space="preserve"> </w:t>
      </w:r>
      <w:r>
        <w:rPr>
          <w:szCs w:val="16"/>
        </w:rPr>
        <w:t xml:space="preserve"> </w:t>
      </w:r>
      <w:r w:rsidR="008856E2">
        <w:rPr>
          <w:szCs w:val="16"/>
        </w:rPr>
        <w:tab/>
      </w:r>
      <w:r w:rsidR="00DA0F23" w:rsidRPr="00DA0F23">
        <w:rPr>
          <w:szCs w:val="16"/>
        </w:rPr>
        <w:t xml:space="preserve">El Juez Humberto Antonio Sierra Porto, de nacionalidad colombiana, no participó en la deliberación de la presente Sentencia, de conformidad con lo dispuesto en los artículos 19.2 del Estatuto y </w:t>
      </w:r>
      <w:r w:rsidR="00DA0F23">
        <w:rPr>
          <w:szCs w:val="16"/>
        </w:rPr>
        <w:t>19.1 del Reglamento de la Corte</w:t>
      </w:r>
      <w:r w:rsidRPr="00A95B12">
        <w:rPr>
          <w:szCs w:val="16"/>
          <w:lang w:val="es-CR"/>
        </w:rPr>
        <w:t>.</w:t>
      </w:r>
    </w:p>
  </w:footnote>
  <w:footnote w:id="2">
    <w:p w14:paraId="4B72AB4F" w14:textId="77777777" w:rsidR="000975BB" w:rsidRDefault="000975BB" w:rsidP="008856E2">
      <w:pPr>
        <w:pStyle w:val="FootnoteText"/>
        <w:spacing w:before="120" w:after="120"/>
        <w:rPr>
          <w:szCs w:val="16"/>
          <w:lang w:val="es-CR"/>
        </w:rPr>
      </w:pPr>
    </w:p>
  </w:footnote>
  <w:footnote w:id="3">
    <w:p w14:paraId="71B4E2B5" w14:textId="5CE2B586" w:rsidR="00404D56" w:rsidRPr="00880F18" w:rsidRDefault="00404D56" w:rsidP="00404D56">
      <w:pPr>
        <w:pStyle w:val="FootnoteText"/>
        <w:spacing w:before="120" w:after="120"/>
      </w:pPr>
      <w:r w:rsidRPr="00941CC7">
        <w:rPr>
          <w:rStyle w:val="FootnoteReference"/>
        </w:rPr>
        <w:footnoteRef/>
      </w:r>
      <w:r w:rsidRPr="00941CC7">
        <w:t xml:space="preserve"> </w:t>
      </w:r>
      <w:r w:rsidRPr="00941CC7">
        <w:tab/>
        <w:t xml:space="preserve">Los representantes de las víctimas que suscribieron ese escrito son Ricardo </w:t>
      </w:r>
      <w:proofErr w:type="spellStart"/>
      <w:r w:rsidRPr="00941CC7">
        <w:t>Trotti</w:t>
      </w:r>
      <w:proofErr w:type="spellEnd"/>
      <w:r w:rsidRPr="00941CC7">
        <w:t xml:space="preserve"> de la Sociedad Interamericana de Prensa y Angelita </w:t>
      </w:r>
      <w:proofErr w:type="spellStart"/>
      <w:r w:rsidRPr="00941CC7">
        <w:t>Baeyens</w:t>
      </w:r>
      <w:proofErr w:type="spellEnd"/>
      <w:r w:rsidRPr="00941CC7">
        <w:t xml:space="preserve"> del Robert F. Kennedy Human </w:t>
      </w:r>
      <w:proofErr w:type="spellStart"/>
      <w:r w:rsidRPr="00941CC7">
        <w:t>Rights</w:t>
      </w:r>
      <w:proofErr w:type="spellEnd"/>
      <w:r w:rsidR="00C03C0D">
        <w:t>.</w:t>
      </w:r>
    </w:p>
  </w:footnote>
  <w:footnote w:id="4">
    <w:p w14:paraId="19CB186D" w14:textId="77777777" w:rsidR="000975BB" w:rsidRPr="00A67FC7" w:rsidRDefault="000975BB" w:rsidP="008856E2">
      <w:pPr>
        <w:spacing w:before="120" w:after="120"/>
        <w:jc w:val="both"/>
        <w:rPr>
          <w:sz w:val="16"/>
          <w:szCs w:val="16"/>
          <w:lang w:val="es-CR"/>
        </w:rPr>
      </w:pPr>
      <w:r w:rsidRPr="00A67FC7">
        <w:rPr>
          <w:rStyle w:val="FootnoteReference"/>
          <w:sz w:val="16"/>
          <w:szCs w:val="16"/>
        </w:rPr>
        <w:footnoteRef/>
      </w:r>
      <w:r w:rsidRPr="00A67FC7">
        <w:rPr>
          <w:sz w:val="16"/>
          <w:szCs w:val="16"/>
        </w:rPr>
        <w:t xml:space="preserve"> </w:t>
      </w:r>
      <w:r w:rsidRPr="00A67FC7">
        <w:rPr>
          <w:sz w:val="16"/>
          <w:szCs w:val="16"/>
        </w:rPr>
        <w:tab/>
      </w:r>
      <w:r w:rsidRPr="00A67FC7">
        <w:rPr>
          <w:sz w:val="16"/>
          <w:szCs w:val="16"/>
          <w:lang w:val="es-CR"/>
        </w:rPr>
        <w:t>Dicho artículo dispone, en lo pertinente: “1.</w:t>
      </w:r>
      <w:r>
        <w:rPr>
          <w:sz w:val="16"/>
          <w:szCs w:val="16"/>
          <w:lang w:val="es-CR"/>
        </w:rPr>
        <w:t xml:space="preserve"> </w:t>
      </w:r>
      <w:r w:rsidRPr="00A67FC7">
        <w:rPr>
          <w:sz w:val="16"/>
          <w:szCs w:val="16"/>
          <w:lang w:val="es-CR"/>
        </w:rPr>
        <w:t>La solicitud de interpretación a que se refiere el artículo 67 de la Convención podrá promoverse en relación con las sentencias de excepciones preliminares, fondo o reparaciones y costas y se presentará en la Secretaría de la Corte indicándose en ella, con precisión, las cuestiones relativas al sentido o alcance de la sentencia cuya interpretación se pida. […] 4.</w:t>
      </w:r>
      <w:r>
        <w:rPr>
          <w:sz w:val="16"/>
          <w:szCs w:val="16"/>
          <w:lang w:val="es-CR"/>
        </w:rPr>
        <w:t xml:space="preserve"> </w:t>
      </w:r>
      <w:r w:rsidRPr="00A67FC7">
        <w:rPr>
          <w:sz w:val="16"/>
          <w:szCs w:val="16"/>
          <w:lang w:val="es-CR"/>
        </w:rPr>
        <w:t>La solicitud de interpretación no suspenderá la ejecución de la sentencia. 5.</w:t>
      </w:r>
      <w:r>
        <w:rPr>
          <w:sz w:val="16"/>
          <w:szCs w:val="16"/>
          <w:lang w:val="es-CR"/>
        </w:rPr>
        <w:t xml:space="preserve"> </w:t>
      </w:r>
      <w:r w:rsidRPr="00A67FC7">
        <w:rPr>
          <w:sz w:val="16"/>
          <w:szCs w:val="16"/>
          <w:lang w:val="es-CR"/>
        </w:rPr>
        <w:t>La Corte determinará el procedimiento que se seguirá y resolverá mediante una sentencia</w:t>
      </w:r>
      <w:r>
        <w:rPr>
          <w:sz w:val="16"/>
          <w:szCs w:val="16"/>
          <w:lang w:val="es-CR"/>
        </w:rPr>
        <w:t>”</w:t>
      </w:r>
      <w:r w:rsidRPr="00A67FC7">
        <w:rPr>
          <w:sz w:val="16"/>
          <w:szCs w:val="16"/>
          <w:lang w:val="es-CR"/>
        </w:rPr>
        <w:t>.</w:t>
      </w:r>
    </w:p>
  </w:footnote>
  <w:footnote w:id="5">
    <w:p w14:paraId="2CA23768" w14:textId="515C8BBD" w:rsidR="009436D3" w:rsidRPr="007911B7" w:rsidRDefault="009436D3" w:rsidP="008856E2">
      <w:pPr>
        <w:pStyle w:val="FootnoteText"/>
        <w:spacing w:before="120" w:after="120"/>
      </w:pPr>
      <w:r>
        <w:rPr>
          <w:rStyle w:val="FootnoteReference"/>
        </w:rPr>
        <w:footnoteRef/>
      </w:r>
      <w:r>
        <w:t xml:space="preserve"> </w:t>
      </w:r>
      <w:r>
        <w:tab/>
      </w:r>
      <w:r w:rsidRPr="00FF47FF">
        <w:rPr>
          <w:szCs w:val="16"/>
        </w:rPr>
        <w:t>Para la contabilización de este plazo se tomó en cuenta el Acuerdo de Corte 1/14</w:t>
      </w:r>
      <w:r w:rsidR="002E7493">
        <w:rPr>
          <w:szCs w:val="16"/>
        </w:rPr>
        <w:t xml:space="preserve"> titulad</w:t>
      </w:r>
      <w:r w:rsidR="00404D56">
        <w:rPr>
          <w:szCs w:val="16"/>
        </w:rPr>
        <w:t>o</w:t>
      </w:r>
      <w:r w:rsidR="002E7493">
        <w:rPr>
          <w:szCs w:val="16"/>
        </w:rPr>
        <w:t xml:space="preserve"> </w:t>
      </w:r>
      <w:r w:rsidRPr="00FF47FF">
        <w:rPr>
          <w:szCs w:val="16"/>
        </w:rPr>
        <w:t xml:space="preserve">“Precisiones sobre el Cómputo de Plazos”. </w:t>
      </w:r>
    </w:p>
  </w:footnote>
  <w:footnote w:id="6">
    <w:p w14:paraId="05ABE3A4" w14:textId="05DCD116" w:rsidR="000975BB" w:rsidRPr="001D431D" w:rsidRDefault="000975BB" w:rsidP="008856E2">
      <w:pPr>
        <w:pStyle w:val="FootnoteText"/>
        <w:spacing w:before="120" w:after="120"/>
        <w:rPr>
          <w:szCs w:val="16"/>
          <w:lang w:val="es-CO"/>
        </w:rPr>
      </w:pPr>
      <w:r w:rsidRPr="00FF47FF">
        <w:rPr>
          <w:rStyle w:val="FootnoteReference"/>
          <w:szCs w:val="16"/>
          <w:lang w:val="es-CO"/>
        </w:rPr>
        <w:footnoteRef/>
      </w:r>
      <w:r w:rsidRPr="00FF47FF">
        <w:rPr>
          <w:szCs w:val="16"/>
          <w:lang w:val="es-CO"/>
        </w:rPr>
        <w:t xml:space="preserve"> </w:t>
      </w:r>
      <w:r w:rsidRPr="00FF47FF">
        <w:rPr>
          <w:szCs w:val="16"/>
          <w:lang w:val="es-CO"/>
        </w:rPr>
        <w:tab/>
      </w:r>
      <w:r w:rsidRPr="00FF47FF">
        <w:rPr>
          <w:i/>
          <w:szCs w:val="16"/>
          <w:lang w:val="es-CO"/>
        </w:rPr>
        <w:t xml:space="preserve">Cfr. </w:t>
      </w:r>
      <w:r w:rsidRPr="00FF47FF">
        <w:rPr>
          <w:i/>
          <w:szCs w:val="16"/>
        </w:rPr>
        <w:t xml:space="preserve">Caso Loayza Tamayo Vs. Perú. Interpretación de la Sentencia de Fondo. </w:t>
      </w:r>
      <w:r w:rsidRPr="00FF47FF">
        <w:rPr>
          <w:szCs w:val="16"/>
        </w:rPr>
        <w:t>Resolución de la Corte de 8 de marzo de 1998. Serie C No. 47</w:t>
      </w:r>
      <w:r w:rsidRPr="000C495D">
        <w:rPr>
          <w:szCs w:val="16"/>
          <w:lang w:val="es-CO"/>
        </w:rPr>
        <w:t>, párr. 16,</w:t>
      </w:r>
      <w:r w:rsidR="00CA34B2" w:rsidRPr="00CA34B2">
        <w:rPr>
          <w:i/>
          <w:szCs w:val="16"/>
          <w:lang w:val="es-CO"/>
        </w:rPr>
        <w:t xml:space="preserve"> </w:t>
      </w:r>
      <w:r w:rsidR="00CA34B2" w:rsidRPr="000032D2">
        <w:rPr>
          <w:szCs w:val="16"/>
          <w:lang w:val="es-CO"/>
        </w:rPr>
        <w:t>y</w:t>
      </w:r>
      <w:r w:rsidR="00524403" w:rsidRPr="000032D2">
        <w:rPr>
          <w:i/>
          <w:szCs w:val="16"/>
          <w:lang w:val="es-CO"/>
        </w:rPr>
        <w:t xml:space="preserve"> </w:t>
      </w:r>
      <w:r w:rsidR="001840DE" w:rsidRPr="001840DE">
        <w:rPr>
          <w:rStyle w:val="Strong"/>
          <w:b w:val="0"/>
          <w:i/>
          <w:color w:val="000000"/>
          <w:szCs w:val="16"/>
          <w:lang w:val="es-MX"/>
        </w:rPr>
        <w:t xml:space="preserve">Caso Gutiérrez Hernández y otros Vs. Guatemala. </w:t>
      </w:r>
      <w:r w:rsidR="001840DE" w:rsidRPr="00D27755">
        <w:rPr>
          <w:rStyle w:val="Strong"/>
          <w:b w:val="0"/>
          <w:color w:val="000000"/>
          <w:szCs w:val="16"/>
          <w:lang w:val="es-MX"/>
        </w:rPr>
        <w:t>Interpretación de la Sentencia de Excepciones Preliminares, Fondo, Reparaciones y Costas. Sentencia de 22 de agosto de 2018. Serie C No. 357</w:t>
      </w:r>
      <w:r w:rsidR="00A13DCC" w:rsidRPr="000032D2">
        <w:rPr>
          <w:rStyle w:val="Strong"/>
          <w:b w:val="0"/>
          <w:color w:val="000000"/>
          <w:szCs w:val="16"/>
          <w:lang w:val="es-MX"/>
        </w:rPr>
        <w:t>, párr</w:t>
      </w:r>
      <w:r w:rsidR="00CA34B2" w:rsidRPr="000032D2">
        <w:rPr>
          <w:rStyle w:val="Strong"/>
          <w:b w:val="0"/>
          <w:color w:val="000000"/>
          <w:szCs w:val="16"/>
          <w:lang w:val="es-MX"/>
        </w:rPr>
        <w:t xml:space="preserve">. </w:t>
      </w:r>
      <w:r w:rsidR="001840DE">
        <w:rPr>
          <w:rStyle w:val="Strong"/>
          <w:b w:val="0"/>
          <w:color w:val="000000"/>
          <w:szCs w:val="16"/>
          <w:lang w:val="es-MX"/>
        </w:rPr>
        <w:t>10</w:t>
      </w:r>
      <w:r w:rsidR="00A13DCC" w:rsidRPr="000032D2">
        <w:rPr>
          <w:rStyle w:val="Strong"/>
          <w:b w:val="0"/>
          <w:color w:val="000000"/>
          <w:szCs w:val="16"/>
          <w:lang w:val="es-MX"/>
        </w:rPr>
        <w:t>.</w:t>
      </w:r>
    </w:p>
  </w:footnote>
  <w:footnote w:id="7">
    <w:p w14:paraId="777C3225" w14:textId="1964DB48" w:rsidR="00226553" w:rsidRPr="00A61A6F" w:rsidRDefault="000975BB" w:rsidP="008856E2">
      <w:pPr>
        <w:spacing w:before="120" w:after="120"/>
        <w:jc w:val="both"/>
        <w:rPr>
          <w:rStyle w:val="Strong"/>
          <w:b w:val="0"/>
          <w:color w:val="000000"/>
          <w:sz w:val="16"/>
          <w:szCs w:val="16"/>
          <w:shd w:val="clear" w:color="auto" w:fill="FFFFFF"/>
          <w:lang w:val="es-MX"/>
        </w:rPr>
      </w:pPr>
      <w:r w:rsidRPr="00A61A6F">
        <w:rPr>
          <w:rStyle w:val="FootnoteReference"/>
          <w:sz w:val="16"/>
          <w:szCs w:val="16"/>
          <w:lang w:val="es-CO"/>
        </w:rPr>
        <w:footnoteRef/>
      </w:r>
      <w:r w:rsidRPr="00A61A6F">
        <w:rPr>
          <w:sz w:val="16"/>
          <w:szCs w:val="16"/>
          <w:lang w:val="es-CO"/>
        </w:rPr>
        <w:t xml:space="preserve"> </w:t>
      </w:r>
      <w:r w:rsidRPr="00A61A6F">
        <w:rPr>
          <w:sz w:val="16"/>
          <w:szCs w:val="16"/>
          <w:lang w:val="es-CO"/>
        </w:rPr>
        <w:tab/>
      </w:r>
      <w:r w:rsidRPr="00A61A6F">
        <w:rPr>
          <w:i/>
          <w:sz w:val="16"/>
          <w:szCs w:val="16"/>
          <w:lang w:val="es-CO"/>
        </w:rPr>
        <w:t xml:space="preserve">Cfr. Caso Loayza Tamayo Vs. Perú. </w:t>
      </w:r>
      <w:r w:rsidRPr="00A61A6F">
        <w:rPr>
          <w:i/>
          <w:sz w:val="16"/>
          <w:szCs w:val="16"/>
        </w:rPr>
        <w:t xml:space="preserve">Interpretación de la Sentencia de Fondo, </w:t>
      </w:r>
      <w:r w:rsidRPr="00A61A6F">
        <w:rPr>
          <w:sz w:val="16"/>
          <w:szCs w:val="16"/>
          <w:lang w:val="es-CO"/>
        </w:rPr>
        <w:t xml:space="preserve">párr. 12, </w:t>
      </w:r>
      <w:r w:rsidR="00F472AA" w:rsidRPr="00A61A6F">
        <w:rPr>
          <w:sz w:val="16"/>
          <w:szCs w:val="16"/>
          <w:lang w:val="es-CO"/>
        </w:rPr>
        <w:t>y</w:t>
      </w:r>
      <w:r w:rsidR="00226553" w:rsidRPr="00A61A6F">
        <w:rPr>
          <w:sz w:val="16"/>
          <w:szCs w:val="16"/>
          <w:lang w:val="es-CO"/>
        </w:rPr>
        <w:t xml:space="preserve"> </w:t>
      </w:r>
      <w:r w:rsidR="00A61A6F" w:rsidRPr="00D27755">
        <w:rPr>
          <w:rStyle w:val="Strong"/>
          <w:b w:val="0"/>
          <w:i/>
          <w:color w:val="000000"/>
          <w:sz w:val="16"/>
          <w:szCs w:val="16"/>
          <w:lang w:val="es-MX"/>
        </w:rPr>
        <w:t xml:space="preserve">Caso Gutiérrez Hernández y otros Vs. Guatemala. </w:t>
      </w:r>
      <w:r w:rsidR="00A61A6F" w:rsidRPr="00D27755">
        <w:rPr>
          <w:rStyle w:val="Strong"/>
          <w:b w:val="0"/>
          <w:color w:val="000000"/>
          <w:sz w:val="16"/>
          <w:szCs w:val="16"/>
          <w:lang w:val="es-MX"/>
        </w:rPr>
        <w:t>Interpretación de la Sentencia de Excepciones Preliminares, Fondo, Reparaciones y Costas</w:t>
      </w:r>
      <w:r w:rsidR="00524403" w:rsidRPr="00A61A6F">
        <w:rPr>
          <w:rStyle w:val="Strong"/>
          <w:b w:val="0"/>
          <w:color w:val="000000"/>
          <w:sz w:val="16"/>
          <w:szCs w:val="16"/>
          <w:lang w:val="es-MX"/>
        </w:rPr>
        <w:t xml:space="preserve">, </w:t>
      </w:r>
      <w:r w:rsidR="00A13DCC" w:rsidRPr="00A61A6F">
        <w:rPr>
          <w:rStyle w:val="Strong"/>
          <w:b w:val="0"/>
          <w:color w:val="000000"/>
          <w:sz w:val="16"/>
          <w:szCs w:val="16"/>
          <w:lang w:val="es-MX"/>
        </w:rPr>
        <w:t xml:space="preserve">párr. </w:t>
      </w:r>
      <w:r w:rsidR="00A61A6F">
        <w:rPr>
          <w:rStyle w:val="Strong"/>
          <w:b w:val="0"/>
          <w:color w:val="000000"/>
          <w:sz w:val="16"/>
          <w:szCs w:val="16"/>
          <w:lang w:val="es-MX"/>
        </w:rPr>
        <w:t>10</w:t>
      </w:r>
      <w:r w:rsidR="00CE024B" w:rsidRPr="00A61A6F">
        <w:rPr>
          <w:rStyle w:val="Strong"/>
          <w:b w:val="0"/>
          <w:color w:val="000000"/>
          <w:sz w:val="16"/>
          <w:szCs w:val="16"/>
          <w:lang w:val="es-MX"/>
        </w:rPr>
        <w:t>.</w:t>
      </w:r>
    </w:p>
    <w:p w14:paraId="2E48C0AE" w14:textId="38FCAD45" w:rsidR="000975BB" w:rsidRPr="001D431D" w:rsidRDefault="000975BB" w:rsidP="008856E2">
      <w:pPr>
        <w:pStyle w:val="FootnoteText"/>
        <w:spacing w:before="120" w:after="120"/>
        <w:rPr>
          <w:szCs w:val="16"/>
          <w:lang w:val="es-CO"/>
        </w:rPr>
      </w:pPr>
    </w:p>
  </w:footnote>
  <w:footnote w:id="8">
    <w:p w14:paraId="544EC825" w14:textId="09AB7CEE" w:rsidR="006524BC" w:rsidRPr="00C605A3" w:rsidRDefault="006524BC" w:rsidP="008856E2">
      <w:pPr>
        <w:pStyle w:val="FootnoteText"/>
        <w:spacing w:before="120" w:after="120"/>
        <w:rPr>
          <w:szCs w:val="16"/>
          <w:lang w:val="es-CO"/>
        </w:rPr>
      </w:pPr>
      <w:r w:rsidRPr="00C605A3">
        <w:rPr>
          <w:rStyle w:val="FootnoteReference"/>
          <w:szCs w:val="16"/>
        </w:rPr>
        <w:footnoteRef/>
      </w:r>
      <w:r w:rsidRPr="00C605A3">
        <w:rPr>
          <w:szCs w:val="16"/>
        </w:rPr>
        <w:t xml:space="preserve"> </w:t>
      </w:r>
      <w:r w:rsidR="00546C74">
        <w:rPr>
          <w:szCs w:val="16"/>
        </w:rPr>
        <w:tab/>
      </w:r>
      <w:r w:rsidRPr="00C605A3">
        <w:rPr>
          <w:i/>
          <w:szCs w:val="16"/>
        </w:rPr>
        <w:t>Cfr</w:t>
      </w:r>
      <w:r w:rsidRPr="00C605A3">
        <w:rPr>
          <w:szCs w:val="16"/>
        </w:rPr>
        <w:t xml:space="preserve">. </w:t>
      </w:r>
      <w:r w:rsidRPr="00C605A3">
        <w:rPr>
          <w:i/>
          <w:szCs w:val="16"/>
        </w:rPr>
        <w:t>Caso Loayza Tamayo Vs. Perú. Interpretación de la Sentencia de Fond</w:t>
      </w:r>
      <w:r w:rsidRPr="00C605A3">
        <w:rPr>
          <w:szCs w:val="16"/>
        </w:rPr>
        <w:t>o, párr. 16</w:t>
      </w:r>
      <w:r w:rsidRPr="00C605A3">
        <w:rPr>
          <w:szCs w:val="16"/>
          <w:lang w:val="es-CO"/>
        </w:rPr>
        <w:t>,</w:t>
      </w:r>
      <w:r w:rsidRPr="00C605A3">
        <w:rPr>
          <w:szCs w:val="16"/>
        </w:rPr>
        <w:t xml:space="preserve"> y </w:t>
      </w:r>
      <w:r w:rsidR="00617AC5" w:rsidRPr="00617AC5">
        <w:rPr>
          <w:i/>
          <w:szCs w:val="16"/>
        </w:rPr>
        <w:t xml:space="preserve">Caso </w:t>
      </w:r>
      <w:proofErr w:type="spellStart"/>
      <w:r w:rsidR="00617AC5" w:rsidRPr="00617AC5">
        <w:rPr>
          <w:i/>
          <w:szCs w:val="16"/>
        </w:rPr>
        <w:t>Quispialaya</w:t>
      </w:r>
      <w:proofErr w:type="spellEnd"/>
      <w:r w:rsidR="00617AC5" w:rsidRPr="00617AC5">
        <w:rPr>
          <w:i/>
          <w:szCs w:val="16"/>
        </w:rPr>
        <w:t xml:space="preserve"> </w:t>
      </w:r>
      <w:proofErr w:type="spellStart"/>
      <w:r w:rsidR="00617AC5" w:rsidRPr="00617AC5">
        <w:rPr>
          <w:i/>
          <w:szCs w:val="16"/>
        </w:rPr>
        <w:t>Vilcapoma</w:t>
      </w:r>
      <w:proofErr w:type="spellEnd"/>
      <w:r w:rsidR="00617AC5" w:rsidRPr="00617AC5">
        <w:rPr>
          <w:i/>
          <w:szCs w:val="16"/>
        </w:rPr>
        <w:t xml:space="preserve"> Vs. Perú. </w:t>
      </w:r>
      <w:r w:rsidR="00617AC5" w:rsidRPr="00D27755">
        <w:rPr>
          <w:szCs w:val="16"/>
        </w:rPr>
        <w:t>Interpretación de la Sentencia de Excepciones Preliminares, Fondo, Reparaciones y Costas. Sentencia de 21 de noviembre de 2016. Serie C No. 320</w:t>
      </w:r>
      <w:r w:rsidR="00617AC5">
        <w:rPr>
          <w:szCs w:val="16"/>
        </w:rPr>
        <w:t xml:space="preserve">, </w:t>
      </w:r>
      <w:proofErr w:type="spellStart"/>
      <w:r w:rsidR="00617AC5">
        <w:rPr>
          <w:szCs w:val="16"/>
        </w:rPr>
        <w:t>párr</w:t>
      </w:r>
      <w:proofErr w:type="spellEnd"/>
      <w:r w:rsidRPr="00617AC5">
        <w:rPr>
          <w:szCs w:val="16"/>
          <w:lang w:val="es-CO"/>
        </w:rPr>
        <w:t>.</w:t>
      </w:r>
      <w:r w:rsidRPr="00C605A3">
        <w:rPr>
          <w:szCs w:val="16"/>
          <w:lang w:val="es-CO"/>
        </w:rPr>
        <w:t xml:space="preserve"> 2</w:t>
      </w:r>
      <w:r w:rsidR="00617AC5">
        <w:rPr>
          <w:szCs w:val="16"/>
          <w:lang w:val="es-CO"/>
        </w:rPr>
        <w:t>1</w:t>
      </w:r>
      <w:r w:rsidRPr="00C605A3">
        <w:rPr>
          <w:szCs w:val="16"/>
          <w:lang w:val="es-CO"/>
        </w:rPr>
        <w:t>.</w:t>
      </w:r>
    </w:p>
  </w:footnote>
  <w:footnote w:id="9">
    <w:p w14:paraId="7F169D2D" w14:textId="30DBC0DB" w:rsidR="006524BC" w:rsidRPr="00C605A3" w:rsidRDefault="006524BC" w:rsidP="008856E2">
      <w:pPr>
        <w:spacing w:before="120" w:after="120"/>
        <w:jc w:val="both"/>
        <w:rPr>
          <w:sz w:val="16"/>
          <w:szCs w:val="16"/>
        </w:rPr>
      </w:pPr>
      <w:r w:rsidRPr="00C605A3">
        <w:rPr>
          <w:rStyle w:val="FootnoteReference"/>
          <w:sz w:val="16"/>
          <w:szCs w:val="16"/>
        </w:rPr>
        <w:footnoteRef/>
      </w:r>
      <w:r w:rsidRPr="00C605A3">
        <w:rPr>
          <w:sz w:val="16"/>
          <w:szCs w:val="16"/>
        </w:rPr>
        <w:t xml:space="preserve"> </w:t>
      </w:r>
      <w:r w:rsidR="00546C74">
        <w:rPr>
          <w:sz w:val="16"/>
          <w:szCs w:val="16"/>
        </w:rPr>
        <w:tab/>
      </w:r>
      <w:r w:rsidRPr="00C605A3">
        <w:rPr>
          <w:i/>
          <w:sz w:val="16"/>
          <w:szCs w:val="16"/>
        </w:rPr>
        <w:t>Cfr</w:t>
      </w:r>
      <w:r w:rsidRPr="00C605A3">
        <w:rPr>
          <w:sz w:val="16"/>
          <w:szCs w:val="16"/>
        </w:rPr>
        <w:t xml:space="preserve">. </w:t>
      </w:r>
      <w:r w:rsidR="00546C74" w:rsidRPr="008856E2">
        <w:rPr>
          <w:i/>
          <w:sz w:val="16"/>
          <w:szCs w:val="16"/>
        </w:rPr>
        <w:t xml:space="preserve">Caso </w:t>
      </w:r>
      <w:proofErr w:type="spellStart"/>
      <w:r w:rsidR="00546C74" w:rsidRPr="008856E2">
        <w:rPr>
          <w:i/>
          <w:sz w:val="16"/>
          <w:szCs w:val="16"/>
        </w:rPr>
        <w:t>Escher</w:t>
      </w:r>
      <w:proofErr w:type="spellEnd"/>
      <w:r w:rsidR="00546C74" w:rsidRPr="008856E2">
        <w:rPr>
          <w:i/>
          <w:sz w:val="16"/>
          <w:szCs w:val="16"/>
        </w:rPr>
        <w:t xml:space="preserve"> y otros Vs. Brasil. Interpretación de la Sentencia de Excepciones Preliminares, Fondo, Reparaciones y Costas</w:t>
      </w:r>
      <w:r w:rsidR="00546C74" w:rsidRPr="008856E2">
        <w:rPr>
          <w:sz w:val="16"/>
          <w:szCs w:val="16"/>
        </w:rPr>
        <w:t>. Sentencia de 20 de noviembre de 2009. Serie C No. 208, párr. 11</w:t>
      </w:r>
      <w:r w:rsidRPr="008856E2">
        <w:rPr>
          <w:sz w:val="16"/>
          <w:szCs w:val="16"/>
        </w:rPr>
        <w:t>,</w:t>
      </w:r>
      <w:r w:rsidRPr="008856E2">
        <w:rPr>
          <w:i/>
          <w:sz w:val="16"/>
          <w:szCs w:val="16"/>
        </w:rPr>
        <w:t xml:space="preserve"> y</w:t>
      </w:r>
      <w:r w:rsidRPr="00C605A3">
        <w:rPr>
          <w:rFonts w:cs="Arial"/>
          <w:sz w:val="16"/>
          <w:szCs w:val="16"/>
        </w:rPr>
        <w:t xml:space="preserve"> </w:t>
      </w:r>
      <w:r w:rsidRPr="00C605A3">
        <w:rPr>
          <w:i/>
          <w:sz w:val="16"/>
          <w:szCs w:val="16"/>
        </w:rPr>
        <w:t xml:space="preserve">Caso </w:t>
      </w:r>
      <w:r w:rsidRPr="00C605A3">
        <w:rPr>
          <w:bCs/>
          <w:i/>
          <w:sz w:val="16"/>
          <w:szCs w:val="16"/>
        </w:rPr>
        <w:t>Argüelles</w:t>
      </w:r>
      <w:r w:rsidRPr="00C605A3">
        <w:rPr>
          <w:i/>
          <w:sz w:val="16"/>
          <w:szCs w:val="16"/>
        </w:rPr>
        <w:t xml:space="preserve"> y otros Vs. Argentina. </w:t>
      </w:r>
      <w:r w:rsidRPr="00C605A3">
        <w:rPr>
          <w:i/>
          <w:sz w:val="16"/>
          <w:szCs w:val="16"/>
          <w:lang w:val="es-CO"/>
        </w:rPr>
        <w:t>Interpretación de la Sentencia de Excepción Preliminar, Fondo, Reparaciones y Costas,</w:t>
      </w:r>
      <w:r w:rsidRPr="00C605A3">
        <w:rPr>
          <w:sz w:val="16"/>
          <w:szCs w:val="16"/>
          <w:lang w:val="es-CO"/>
        </w:rPr>
        <w:t xml:space="preserve"> </w:t>
      </w:r>
      <w:r w:rsidR="00617AC5" w:rsidRPr="00617AC5">
        <w:rPr>
          <w:sz w:val="16"/>
          <w:szCs w:val="16"/>
          <w:lang w:val="es-CO"/>
        </w:rPr>
        <w:t>Sentencia de 23 de junio de 2015. Serie C No. 294</w:t>
      </w:r>
      <w:r w:rsidR="00617AC5">
        <w:rPr>
          <w:sz w:val="16"/>
          <w:szCs w:val="16"/>
          <w:lang w:val="es-CO"/>
        </w:rPr>
        <w:t>,</w:t>
      </w:r>
      <w:r w:rsidR="00617AC5" w:rsidRPr="00617AC5">
        <w:rPr>
          <w:sz w:val="16"/>
          <w:szCs w:val="16"/>
          <w:lang w:val="es-CO"/>
        </w:rPr>
        <w:t xml:space="preserve"> </w:t>
      </w:r>
      <w:r w:rsidRPr="00C605A3">
        <w:rPr>
          <w:sz w:val="16"/>
          <w:szCs w:val="16"/>
          <w:lang w:val="es-CO"/>
        </w:rPr>
        <w:t xml:space="preserve">párr. 21. </w:t>
      </w:r>
    </w:p>
  </w:footnote>
  <w:footnote w:id="10">
    <w:p w14:paraId="591195D2" w14:textId="3E3C39B1" w:rsidR="00123BAF" w:rsidRPr="00123BAF" w:rsidRDefault="00123BAF" w:rsidP="008856E2">
      <w:pPr>
        <w:pStyle w:val="FootnoteText"/>
        <w:spacing w:before="120" w:after="120"/>
        <w:rPr>
          <w:i/>
        </w:rPr>
      </w:pPr>
      <w:r>
        <w:rPr>
          <w:rStyle w:val="FootnoteReference"/>
        </w:rPr>
        <w:footnoteRef/>
      </w:r>
      <w:r>
        <w:t xml:space="preserve"> </w:t>
      </w:r>
      <w:r>
        <w:tab/>
      </w:r>
      <w:r>
        <w:rPr>
          <w:i/>
        </w:rPr>
        <w:t>Cfr. Caso Duque Vs. Colombia. Interpretación de la Sentencia de Excepciones Preliminares, Fondo, Reparac</w:t>
      </w:r>
      <w:r w:rsidRPr="00123BAF">
        <w:rPr>
          <w:i/>
        </w:rPr>
        <w:t>iones y Costas</w:t>
      </w:r>
      <w:r>
        <w:t>. Sentencia de 21 de noviembre de 2016. Serie C No. 322, párr.</w:t>
      </w:r>
      <w:r>
        <w:rPr>
          <w:i/>
        </w:rPr>
        <w:t xml:space="preserve"> </w:t>
      </w:r>
      <w:r>
        <w:t xml:space="preserve">16.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35C968" w14:textId="77777777" w:rsidR="00CF2975" w:rsidRDefault="000D7741" w:rsidP="00B946D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57C86FA" w14:textId="77777777" w:rsidR="00CF2975" w:rsidRDefault="007E28B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A9D7EE" w14:textId="291A5931" w:rsidR="00CF2975" w:rsidRDefault="000D7741">
    <w:pPr>
      <w:pStyle w:val="Header"/>
      <w:jc w:val="center"/>
    </w:pPr>
    <w:r>
      <w:fldChar w:fldCharType="begin"/>
    </w:r>
    <w:r>
      <w:instrText xml:space="preserve"> PAGE   \* MERGEFORMAT </w:instrText>
    </w:r>
    <w:r>
      <w:fldChar w:fldCharType="separate"/>
    </w:r>
    <w:r w:rsidR="007E28BB">
      <w:rPr>
        <w:noProof/>
      </w:rPr>
      <w:t>9</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029AD"/>
    <w:multiLevelType w:val="hybridMultilevel"/>
    <w:tmpl w:val="2D244914"/>
    <w:lvl w:ilvl="0" w:tplc="FF84FE22">
      <w:start w:val="2"/>
      <w:numFmt w:val="upperLetter"/>
      <w:lvlText w:val="%1."/>
      <w:lvlJc w:val="left"/>
      <w:pPr>
        <w:ind w:left="360" w:hanging="360"/>
      </w:pPr>
      <w:rPr>
        <w:rFonts w:hint="default"/>
        <w:b/>
        <w:i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nsid w:val="2BB750D4"/>
    <w:multiLevelType w:val="hybridMultilevel"/>
    <w:tmpl w:val="9B1AAE56"/>
    <w:lvl w:ilvl="0" w:tplc="FFFFFFFF">
      <w:start w:val="1"/>
      <w:numFmt w:val="upperLetter"/>
      <w:pStyle w:val="Heading9"/>
      <w:lvlText w:val="%1)"/>
      <w:lvlJc w:val="left"/>
      <w:pPr>
        <w:tabs>
          <w:tab w:val="num" w:pos="1080"/>
        </w:tabs>
        <w:ind w:left="1080" w:hanging="360"/>
      </w:pPr>
      <w:rPr>
        <w:rFonts w:ascii="Garamond" w:hAnsi="Garamond" w:hint="default"/>
        <w:b w:val="0"/>
        <w:i/>
        <w:sz w:val="24"/>
      </w:rPr>
    </w:lvl>
    <w:lvl w:ilvl="1" w:tplc="FFFFFFFF">
      <w:numFmt w:val="none"/>
      <w:lvlText w:val=""/>
      <w:lvlJc w:val="left"/>
      <w:pPr>
        <w:tabs>
          <w:tab w:val="num" w:pos="360"/>
        </w:tabs>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
    <w:nsid w:val="399E3040"/>
    <w:multiLevelType w:val="hybridMultilevel"/>
    <w:tmpl w:val="81C620F4"/>
    <w:lvl w:ilvl="0" w:tplc="D286F064">
      <w:start w:val="4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3F381A43"/>
    <w:multiLevelType w:val="hybridMultilevel"/>
    <w:tmpl w:val="CE3438E2"/>
    <w:lvl w:ilvl="0" w:tplc="814A79EE">
      <w:start w:val="300"/>
      <w:numFmt w:val="decimal"/>
      <w:lvlText w:val="%1."/>
      <w:lvlJc w:val="left"/>
      <w:pPr>
        <w:ind w:left="735" w:hanging="375"/>
      </w:pPr>
      <w:rPr>
        <w:rFonts w:ascii="Verdana" w:hAnsi="Verdana" w:hint="default"/>
        <w:b w:val="0"/>
        <w:i w:val="0"/>
        <w:strike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1661E19"/>
    <w:multiLevelType w:val="hybridMultilevel"/>
    <w:tmpl w:val="1EC616AC"/>
    <w:lvl w:ilvl="0" w:tplc="1270C540">
      <w:start w:val="1"/>
      <w:numFmt w:val="decimal"/>
      <w:lvlText w:val="%1."/>
      <w:lvlJc w:val="left"/>
      <w:pPr>
        <w:tabs>
          <w:tab w:val="num" w:pos="1427"/>
        </w:tabs>
        <w:ind w:left="180" w:firstLine="0"/>
      </w:pPr>
      <w:rPr>
        <w:rFonts w:ascii="Verdana" w:eastAsia="Times" w:hAnsi="Verdana" w:cs="Times New Roman"/>
        <w:b w:val="0"/>
        <w:i w:val="0"/>
        <w:strike w:val="0"/>
        <w:color w:val="auto"/>
        <w:sz w:val="20"/>
        <w:lang w:val="es-CR"/>
      </w:rPr>
    </w:lvl>
    <w:lvl w:ilvl="1" w:tplc="91ECB87E">
      <w:start w:val="1"/>
      <w:numFmt w:val="lowerLetter"/>
      <w:lvlText w:val="%2)"/>
      <w:lvlJc w:val="left"/>
      <w:pPr>
        <w:tabs>
          <w:tab w:val="num" w:pos="1080"/>
        </w:tabs>
        <w:ind w:left="1080" w:hanging="360"/>
      </w:pPr>
      <w:rPr>
        <w:rFonts w:hint="default"/>
        <w:b w:val="0"/>
        <w:i w:val="0"/>
        <w:sz w:val="20"/>
      </w:rPr>
    </w:lvl>
    <w:lvl w:ilvl="2" w:tplc="001B0409">
      <w:start w:val="1"/>
      <w:numFmt w:val="lowerRoman"/>
      <w:lvlText w:val="%3."/>
      <w:lvlJc w:val="right"/>
      <w:pPr>
        <w:tabs>
          <w:tab w:val="num" w:pos="2160"/>
        </w:tabs>
        <w:ind w:left="2160" w:hanging="180"/>
      </w:pPr>
    </w:lvl>
    <w:lvl w:ilvl="3" w:tplc="547EED0C">
      <w:start w:val="1"/>
      <w:numFmt w:val="upperLetter"/>
      <w:lvlText w:val="%4."/>
      <w:lvlJc w:val="left"/>
      <w:pPr>
        <w:ind w:left="2880" w:hanging="360"/>
      </w:pPr>
      <w:rPr>
        <w:rFonts w:hint="default"/>
      </w:r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5">
    <w:nsid w:val="46FC6219"/>
    <w:multiLevelType w:val="hybridMultilevel"/>
    <w:tmpl w:val="24D42AA4"/>
    <w:lvl w:ilvl="0" w:tplc="2EB2F07E">
      <w:start w:val="1"/>
      <w:numFmt w:val="upperLetter"/>
      <w:pStyle w:val="Heading3"/>
      <w:lvlText w:val="%1."/>
      <w:lvlJc w:val="left"/>
      <w:pPr>
        <w:ind w:left="1644" w:hanging="360"/>
      </w:pPr>
    </w:lvl>
    <w:lvl w:ilvl="1" w:tplc="04090019">
      <w:start w:val="1"/>
      <w:numFmt w:val="lowerLetter"/>
      <w:lvlText w:val="%2."/>
      <w:lvlJc w:val="left"/>
      <w:pPr>
        <w:ind w:left="2364" w:hanging="360"/>
      </w:pPr>
    </w:lvl>
    <w:lvl w:ilvl="2" w:tplc="0409001B">
      <w:start w:val="1"/>
      <w:numFmt w:val="lowerRoman"/>
      <w:lvlText w:val="%3."/>
      <w:lvlJc w:val="right"/>
      <w:pPr>
        <w:ind w:left="3084" w:hanging="180"/>
      </w:pPr>
    </w:lvl>
    <w:lvl w:ilvl="3" w:tplc="04090015">
      <w:start w:val="1"/>
      <w:numFmt w:val="upperLetter"/>
      <w:lvlText w:val="%4."/>
      <w:lvlJc w:val="left"/>
      <w:pPr>
        <w:ind w:left="3804" w:hanging="360"/>
      </w:pPr>
    </w:lvl>
    <w:lvl w:ilvl="4" w:tplc="04090019" w:tentative="1">
      <w:start w:val="1"/>
      <w:numFmt w:val="lowerLetter"/>
      <w:lvlText w:val="%5."/>
      <w:lvlJc w:val="left"/>
      <w:pPr>
        <w:ind w:left="4524" w:hanging="360"/>
      </w:pPr>
    </w:lvl>
    <w:lvl w:ilvl="5" w:tplc="0409001B" w:tentative="1">
      <w:start w:val="1"/>
      <w:numFmt w:val="lowerRoman"/>
      <w:lvlText w:val="%6."/>
      <w:lvlJc w:val="right"/>
      <w:pPr>
        <w:ind w:left="5244" w:hanging="180"/>
      </w:pPr>
    </w:lvl>
    <w:lvl w:ilvl="6" w:tplc="0409000F" w:tentative="1">
      <w:start w:val="1"/>
      <w:numFmt w:val="decimal"/>
      <w:lvlText w:val="%7."/>
      <w:lvlJc w:val="left"/>
      <w:pPr>
        <w:ind w:left="5964" w:hanging="360"/>
      </w:pPr>
    </w:lvl>
    <w:lvl w:ilvl="7" w:tplc="04090019" w:tentative="1">
      <w:start w:val="1"/>
      <w:numFmt w:val="lowerLetter"/>
      <w:lvlText w:val="%8."/>
      <w:lvlJc w:val="left"/>
      <w:pPr>
        <w:ind w:left="6684" w:hanging="360"/>
      </w:pPr>
    </w:lvl>
    <w:lvl w:ilvl="8" w:tplc="0409001B" w:tentative="1">
      <w:start w:val="1"/>
      <w:numFmt w:val="lowerRoman"/>
      <w:lvlText w:val="%9."/>
      <w:lvlJc w:val="right"/>
      <w:pPr>
        <w:ind w:left="7404" w:hanging="180"/>
      </w:pPr>
    </w:lvl>
  </w:abstractNum>
  <w:abstractNum w:abstractNumId="6">
    <w:nsid w:val="4C5469CD"/>
    <w:multiLevelType w:val="hybridMultilevel"/>
    <w:tmpl w:val="D7FED382"/>
    <w:lvl w:ilvl="0" w:tplc="264CB88E">
      <w:start w:val="1"/>
      <w:numFmt w:val="decimal"/>
      <w:lvlText w:val="%1."/>
      <w:lvlJc w:val="left"/>
      <w:pPr>
        <w:ind w:left="720" w:hanging="360"/>
      </w:pPr>
      <w:rPr>
        <w:rFonts w:ascii="Verdana" w:eastAsia="Calibri" w:hAnsi="Verdana" w:cs="Times New Roman" w:hint="default"/>
        <w:b w:val="0"/>
        <w:i w:val="0"/>
        <w:strike w:val="0"/>
        <w:color w:val="auto"/>
        <w:sz w:val="20"/>
        <w:szCs w:val="20"/>
      </w:rPr>
    </w:lvl>
    <w:lvl w:ilvl="1" w:tplc="9B3E45F0">
      <w:start w:val="1"/>
      <w:numFmt w:val="lowerLetter"/>
      <w:pStyle w:val="Estilo4"/>
      <w:lvlText w:val="%2)"/>
      <w:lvlJc w:val="left"/>
      <w:pPr>
        <w:ind w:left="1440" w:hanging="360"/>
      </w:pPr>
      <w:rPr>
        <w:rFonts w:ascii="Verdana" w:hAnsi="Verdana" w:cs="Times New Roman" w:hint="default"/>
        <w:b w:val="0"/>
        <w:i/>
        <w:caps w:val="0"/>
        <w:strike w:val="0"/>
        <w:dstrike w:val="0"/>
        <w:vanish w:val="0"/>
        <w:color w:val="auto"/>
        <w:sz w:val="20"/>
        <w:vertAlign w:val="baseline"/>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3BE3EEA"/>
    <w:multiLevelType w:val="hybridMultilevel"/>
    <w:tmpl w:val="DD02519A"/>
    <w:lvl w:ilvl="0" w:tplc="140A0001">
      <w:start w:val="1"/>
      <w:numFmt w:val="bullet"/>
      <w:lvlText w:val=""/>
      <w:lvlJc w:val="left"/>
      <w:pPr>
        <w:tabs>
          <w:tab w:val="num" w:pos="720"/>
        </w:tabs>
        <w:ind w:left="720" w:hanging="360"/>
      </w:pPr>
      <w:rPr>
        <w:rFonts w:ascii="Symbol" w:hAnsi="Symbol" w:hint="default"/>
      </w:rPr>
    </w:lvl>
    <w:lvl w:ilvl="1" w:tplc="140A0003">
      <w:start w:val="1"/>
      <w:numFmt w:val="lowerRoman"/>
      <w:lvlText w:val="%2."/>
      <w:lvlJc w:val="right"/>
      <w:pPr>
        <w:tabs>
          <w:tab w:val="num" w:pos="1440"/>
        </w:tabs>
        <w:ind w:left="1440" w:hanging="360"/>
      </w:pPr>
      <w:rPr>
        <w:rFonts w:hint="default"/>
      </w:rPr>
    </w:lvl>
    <w:lvl w:ilvl="2" w:tplc="9A486304">
      <w:start w:val="2"/>
      <w:numFmt w:val="upperLetter"/>
      <w:lvlText w:val="%3."/>
      <w:lvlJc w:val="left"/>
      <w:pPr>
        <w:ind w:left="2160" w:hanging="360"/>
      </w:pPr>
      <w:rPr>
        <w:rFonts w:hint="default"/>
      </w:rPr>
    </w:lvl>
    <w:lvl w:ilvl="3" w:tplc="140A0001" w:tentative="1">
      <w:start w:val="1"/>
      <w:numFmt w:val="bullet"/>
      <w:lvlText w:val=""/>
      <w:lvlJc w:val="left"/>
      <w:pPr>
        <w:tabs>
          <w:tab w:val="num" w:pos="2880"/>
        </w:tabs>
        <w:ind w:left="2880" w:hanging="360"/>
      </w:pPr>
      <w:rPr>
        <w:rFonts w:ascii="Symbol" w:hAnsi="Symbol" w:hint="default"/>
      </w:rPr>
    </w:lvl>
    <w:lvl w:ilvl="4" w:tplc="140A0003" w:tentative="1">
      <w:start w:val="1"/>
      <w:numFmt w:val="bullet"/>
      <w:lvlText w:val="o"/>
      <w:lvlJc w:val="left"/>
      <w:pPr>
        <w:tabs>
          <w:tab w:val="num" w:pos="3600"/>
        </w:tabs>
        <w:ind w:left="3600" w:hanging="360"/>
      </w:pPr>
      <w:rPr>
        <w:rFonts w:ascii="Courier New" w:hAnsi="Courier New" w:cs="Courier New" w:hint="default"/>
      </w:rPr>
    </w:lvl>
    <w:lvl w:ilvl="5" w:tplc="140A0005" w:tentative="1">
      <w:start w:val="1"/>
      <w:numFmt w:val="bullet"/>
      <w:lvlText w:val=""/>
      <w:lvlJc w:val="left"/>
      <w:pPr>
        <w:tabs>
          <w:tab w:val="num" w:pos="4320"/>
        </w:tabs>
        <w:ind w:left="4320" w:hanging="360"/>
      </w:pPr>
      <w:rPr>
        <w:rFonts w:ascii="Wingdings" w:hAnsi="Wingdings" w:hint="default"/>
      </w:rPr>
    </w:lvl>
    <w:lvl w:ilvl="6" w:tplc="140A0001" w:tentative="1">
      <w:start w:val="1"/>
      <w:numFmt w:val="bullet"/>
      <w:lvlText w:val=""/>
      <w:lvlJc w:val="left"/>
      <w:pPr>
        <w:tabs>
          <w:tab w:val="num" w:pos="5040"/>
        </w:tabs>
        <w:ind w:left="5040" w:hanging="360"/>
      </w:pPr>
      <w:rPr>
        <w:rFonts w:ascii="Symbol" w:hAnsi="Symbol" w:hint="default"/>
      </w:rPr>
    </w:lvl>
    <w:lvl w:ilvl="7" w:tplc="140A0003" w:tentative="1">
      <w:start w:val="1"/>
      <w:numFmt w:val="bullet"/>
      <w:lvlText w:val="o"/>
      <w:lvlJc w:val="left"/>
      <w:pPr>
        <w:tabs>
          <w:tab w:val="num" w:pos="5760"/>
        </w:tabs>
        <w:ind w:left="5760" w:hanging="360"/>
      </w:pPr>
      <w:rPr>
        <w:rFonts w:ascii="Courier New" w:hAnsi="Courier New" w:cs="Courier New" w:hint="default"/>
      </w:rPr>
    </w:lvl>
    <w:lvl w:ilvl="8" w:tplc="140A0005" w:tentative="1">
      <w:start w:val="1"/>
      <w:numFmt w:val="bullet"/>
      <w:lvlText w:val=""/>
      <w:lvlJc w:val="left"/>
      <w:pPr>
        <w:tabs>
          <w:tab w:val="num" w:pos="6480"/>
        </w:tabs>
        <w:ind w:left="6480" w:hanging="360"/>
      </w:pPr>
      <w:rPr>
        <w:rFonts w:ascii="Wingdings" w:hAnsi="Wingdings" w:hint="default"/>
      </w:rPr>
    </w:lvl>
  </w:abstractNum>
  <w:abstractNum w:abstractNumId="8">
    <w:nsid w:val="75BA2721"/>
    <w:multiLevelType w:val="hybridMultilevel"/>
    <w:tmpl w:val="9780A1F0"/>
    <w:lvl w:ilvl="0" w:tplc="1E9ED476">
      <w:start w:val="41"/>
      <w:numFmt w:val="decimal"/>
      <w:lvlText w:val="%1."/>
      <w:lvlJc w:val="left"/>
      <w:pPr>
        <w:ind w:left="36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A2D7446"/>
    <w:multiLevelType w:val="hybridMultilevel"/>
    <w:tmpl w:val="4CF26930"/>
    <w:lvl w:ilvl="0" w:tplc="1270C540">
      <w:start w:val="1"/>
      <w:numFmt w:val="decimal"/>
      <w:lvlText w:val="%1."/>
      <w:lvlJc w:val="left"/>
      <w:pPr>
        <w:tabs>
          <w:tab w:val="num" w:pos="1247"/>
        </w:tabs>
        <w:ind w:left="0" w:firstLine="0"/>
      </w:pPr>
      <w:rPr>
        <w:rFonts w:ascii="Verdana" w:eastAsia="Times" w:hAnsi="Verdana" w:cs="Times New Roman"/>
        <w:b w:val="0"/>
        <w:i w:val="0"/>
        <w:strike w:val="0"/>
        <w:color w:val="auto"/>
        <w:sz w:val="20"/>
        <w:lang w:val="es-CR"/>
      </w:rPr>
    </w:lvl>
    <w:lvl w:ilvl="1" w:tplc="91ECB87E">
      <w:start w:val="1"/>
      <w:numFmt w:val="lowerLetter"/>
      <w:lvlText w:val="%2)"/>
      <w:lvlJc w:val="left"/>
      <w:pPr>
        <w:tabs>
          <w:tab w:val="num" w:pos="1080"/>
        </w:tabs>
        <w:ind w:left="1080" w:hanging="360"/>
      </w:pPr>
      <w:rPr>
        <w:rFonts w:hint="default"/>
        <w:b w:val="0"/>
        <w:i w:val="0"/>
        <w:sz w:val="20"/>
      </w:rPr>
    </w:lvl>
    <w:lvl w:ilvl="2" w:tplc="001B0409">
      <w:start w:val="1"/>
      <w:numFmt w:val="lowerRoman"/>
      <w:lvlText w:val="%3."/>
      <w:lvlJc w:val="right"/>
      <w:pPr>
        <w:tabs>
          <w:tab w:val="num" w:pos="2160"/>
        </w:tabs>
        <w:ind w:left="2160" w:hanging="180"/>
      </w:pPr>
    </w:lvl>
    <w:lvl w:ilvl="3" w:tplc="547EED0C">
      <w:start w:val="1"/>
      <w:numFmt w:val="upperLetter"/>
      <w:lvlText w:val="%4."/>
      <w:lvlJc w:val="left"/>
      <w:pPr>
        <w:ind w:left="2880" w:hanging="360"/>
      </w:pPr>
      <w:rPr>
        <w:rFonts w:hint="default"/>
      </w:r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0">
    <w:nsid w:val="7CE64D32"/>
    <w:multiLevelType w:val="hybridMultilevel"/>
    <w:tmpl w:val="1EC616AC"/>
    <w:lvl w:ilvl="0" w:tplc="1270C540">
      <w:start w:val="1"/>
      <w:numFmt w:val="decimal"/>
      <w:lvlText w:val="%1."/>
      <w:lvlJc w:val="left"/>
      <w:pPr>
        <w:tabs>
          <w:tab w:val="num" w:pos="1427"/>
        </w:tabs>
        <w:ind w:left="180" w:firstLine="0"/>
      </w:pPr>
      <w:rPr>
        <w:rFonts w:ascii="Verdana" w:eastAsia="Times" w:hAnsi="Verdana" w:cs="Times New Roman"/>
        <w:b w:val="0"/>
        <w:i w:val="0"/>
        <w:strike w:val="0"/>
        <w:color w:val="auto"/>
        <w:sz w:val="20"/>
        <w:lang w:val="es-CR"/>
      </w:rPr>
    </w:lvl>
    <w:lvl w:ilvl="1" w:tplc="91ECB87E">
      <w:start w:val="1"/>
      <w:numFmt w:val="lowerLetter"/>
      <w:lvlText w:val="%2)"/>
      <w:lvlJc w:val="left"/>
      <w:pPr>
        <w:tabs>
          <w:tab w:val="num" w:pos="1080"/>
        </w:tabs>
        <w:ind w:left="1080" w:hanging="360"/>
      </w:pPr>
      <w:rPr>
        <w:rFonts w:hint="default"/>
        <w:b w:val="0"/>
        <w:i w:val="0"/>
        <w:sz w:val="20"/>
      </w:rPr>
    </w:lvl>
    <w:lvl w:ilvl="2" w:tplc="001B0409">
      <w:start w:val="1"/>
      <w:numFmt w:val="lowerRoman"/>
      <w:lvlText w:val="%3."/>
      <w:lvlJc w:val="right"/>
      <w:pPr>
        <w:tabs>
          <w:tab w:val="num" w:pos="2160"/>
        </w:tabs>
        <w:ind w:left="2160" w:hanging="180"/>
      </w:pPr>
    </w:lvl>
    <w:lvl w:ilvl="3" w:tplc="547EED0C">
      <w:start w:val="1"/>
      <w:numFmt w:val="upperLetter"/>
      <w:lvlText w:val="%4."/>
      <w:lvlJc w:val="left"/>
      <w:pPr>
        <w:ind w:left="2880" w:hanging="360"/>
      </w:pPr>
      <w:rPr>
        <w:rFonts w:hint="default"/>
      </w:r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1">
    <w:nsid w:val="7CED5669"/>
    <w:multiLevelType w:val="hybridMultilevel"/>
    <w:tmpl w:val="1EC616AC"/>
    <w:lvl w:ilvl="0" w:tplc="1270C540">
      <w:start w:val="1"/>
      <w:numFmt w:val="decimal"/>
      <w:lvlText w:val="%1."/>
      <w:lvlJc w:val="left"/>
      <w:pPr>
        <w:tabs>
          <w:tab w:val="num" w:pos="1427"/>
        </w:tabs>
        <w:ind w:left="180" w:firstLine="0"/>
      </w:pPr>
      <w:rPr>
        <w:rFonts w:ascii="Verdana" w:eastAsia="Times" w:hAnsi="Verdana" w:cs="Times New Roman"/>
        <w:b w:val="0"/>
        <w:i w:val="0"/>
        <w:strike w:val="0"/>
        <w:color w:val="auto"/>
        <w:sz w:val="20"/>
        <w:lang w:val="es-CR"/>
      </w:rPr>
    </w:lvl>
    <w:lvl w:ilvl="1" w:tplc="91ECB87E">
      <w:start w:val="1"/>
      <w:numFmt w:val="lowerLetter"/>
      <w:lvlText w:val="%2)"/>
      <w:lvlJc w:val="left"/>
      <w:pPr>
        <w:tabs>
          <w:tab w:val="num" w:pos="1080"/>
        </w:tabs>
        <w:ind w:left="1080" w:hanging="360"/>
      </w:pPr>
      <w:rPr>
        <w:rFonts w:hint="default"/>
        <w:b w:val="0"/>
        <w:i w:val="0"/>
        <w:sz w:val="20"/>
      </w:rPr>
    </w:lvl>
    <w:lvl w:ilvl="2" w:tplc="001B0409">
      <w:start w:val="1"/>
      <w:numFmt w:val="lowerRoman"/>
      <w:lvlText w:val="%3."/>
      <w:lvlJc w:val="right"/>
      <w:pPr>
        <w:tabs>
          <w:tab w:val="num" w:pos="2160"/>
        </w:tabs>
        <w:ind w:left="2160" w:hanging="180"/>
      </w:pPr>
    </w:lvl>
    <w:lvl w:ilvl="3" w:tplc="547EED0C">
      <w:start w:val="1"/>
      <w:numFmt w:val="upperLetter"/>
      <w:lvlText w:val="%4."/>
      <w:lvlJc w:val="left"/>
      <w:pPr>
        <w:ind w:left="2880" w:hanging="360"/>
      </w:pPr>
      <w:rPr>
        <w:rFonts w:hint="default"/>
      </w:r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10"/>
  </w:num>
  <w:num w:numId="2">
    <w:abstractNumId w:val="1"/>
  </w:num>
  <w:num w:numId="3">
    <w:abstractNumId w:val="5"/>
  </w:num>
  <w:num w:numId="4">
    <w:abstractNumId w:val="9"/>
  </w:num>
  <w:num w:numId="5">
    <w:abstractNumId w:val="6"/>
  </w:num>
  <w:num w:numId="6">
    <w:abstractNumId w:val="0"/>
  </w:num>
  <w:num w:numId="7">
    <w:abstractNumId w:val="8"/>
  </w:num>
  <w:num w:numId="8">
    <w:abstractNumId w:val="2"/>
  </w:num>
  <w:num w:numId="9">
    <w:abstractNumId w:val="7"/>
  </w:num>
  <w:num w:numId="10">
    <w:abstractNumId w:val="3"/>
  </w:num>
  <w:num w:numId="11">
    <w:abstractNumId w:val="11"/>
  </w:num>
  <w:num w:numId="12">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valeria rodriguez gutierrez">
    <w15:presenceInfo w15:providerId="Windows Live" w15:userId="b80abe0d9276b92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75BB"/>
    <w:rsid w:val="000032D2"/>
    <w:rsid w:val="00012B5E"/>
    <w:rsid w:val="00024590"/>
    <w:rsid w:val="0004542B"/>
    <w:rsid w:val="00047B8D"/>
    <w:rsid w:val="000661DA"/>
    <w:rsid w:val="000714FA"/>
    <w:rsid w:val="00086F7A"/>
    <w:rsid w:val="000975BB"/>
    <w:rsid w:val="000A5CDB"/>
    <w:rsid w:val="000B4E38"/>
    <w:rsid w:val="000D7741"/>
    <w:rsid w:val="000F2765"/>
    <w:rsid w:val="000F3416"/>
    <w:rsid w:val="000F439B"/>
    <w:rsid w:val="00123588"/>
    <w:rsid w:val="00123BAF"/>
    <w:rsid w:val="00175449"/>
    <w:rsid w:val="001840DE"/>
    <w:rsid w:val="001A468B"/>
    <w:rsid w:val="001C2605"/>
    <w:rsid w:val="001D5073"/>
    <w:rsid w:val="001F02B8"/>
    <w:rsid w:val="00205A26"/>
    <w:rsid w:val="00206019"/>
    <w:rsid w:val="00225714"/>
    <w:rsid w:val="00226553"/>
    <w:rsid w:val="00235723"/>
    <w:rsid w:val="0025459F"/>
    <w:rsid w:val="00275F25"/>
    <w:rsid w:val="002808DA"/>
    <w:rsid w:val="002D623C"/>
    <w:rsid w:val="002E7493"/>
    <w:rsid w:val="002F3966"/>
    <w:rsid w:val="00316111"/>
    <w:rsid w:val="0033570D"/>
    <w:rsid w:val="00342DEF"/>
    <w:rsid w:val="003621CD"/>
    <w:rsid w:val="00364167"/>
    <w:rsid w:val="00386A3D"/>
    <w:rsid w:val="003B3B4E"/>
    <w:rsid w:val="003E677B"/>
    <w:rsid w:val="00404D56"/>
    <w:rsid w:val="00412D57"/>
    <w:rsid w:val="00432DC7"/>
    <w:rsid w:val="00437F95"/>
    <w:rsid w:val="00451B7F"/>
    <w:rsid w:val="004521D3"/>
    <w:rsid w:val="004708CD"/>
    <w:rsid w:val="004714FF"/>
    <w:rsid w:val="004765BB"/>
    <w:rsid w:val="00476C3B"/>
    <w:rsid w:val="00482D2D"/>
    <w:rsid w:val="00485043"/>
    <w:rsid w:val="00492DF3"/>
    <w:rsid w:val="004A3A36"/>
    <w:rsid w:val="004B1267"/>
    <w:rsid w:val="004D06F3"/>
    <w:rsid w:val="004D7274"/>
    <w:rsid w:val="004E6BE1"/>
    <w:rsid w:val="004F50D1"/>
    <w:rsid w:val="00501977"/>
    <w:rsid w:val="00514AA6"/>
    <w:rsid w:val="0051536E"/>
    <w:rsid w:val="00524403"/>
    <w:rsid w:val="005324D0"/>
    <w:rsid w:val="00541073"/>
    <w:rsid w:val="00546C74"/>
    <w:rsid w:val="00580302"/>
    <w:rsid w:val="00594D48"/>
    <w:rsid w:val="005A125F"/>
    <w:rsid w:val="005A1F82"/>
    <w:rsid w:val="005B15F7"/>
    <w:rsid w:val="005D5BD1"/>
    <w:rsid w:val="005E61D4"/>
    <w:rsid w:val="005E7553"/>
    <w:rsid w:val="006025CA"/>
    <w:rsid w:val="00604026"/>
    <w:rsid w:val="0061624A"/>
    <w:rsid w:val="00617AC5"/>
    <w:rsid w:val="006237D8"/>
    <w:rsid w:val="00635538"/>
    <w:rsid w:val="00635BD5"/>
    <w:rsid w:val="006421FF"/>
    <w:rsid w:val="00644440"/>
    <w:rsid w:val="006524BC"/>
    <w:rsid w:val="006646AB"/>
    <w:rsid w:val="00684977"/>
    <w:rsid w:val="00685317"/>
    <w:rsid w:val="00694320"/>
    <w:rsid w:val="006A16C5"/>
    <w:rsid w:val="006A3E77"/>
    <w:rsid w:val="006A40BC"/>
    <w:rsid w:val="006A72C6"/>
    <w:rsid w:val="006D6C96"/>
    <w:rsid w:val="006D7A04"/>
    <w:rsid w:val="00727E7A"/>
    <w:rsid w:val="00733C5B"/>
    <w:rsid w:val="0076100F"/>
    <w:rsid w:val="00772450"/>
    <w:rsid w:val="00784645"/>
    <w:rsid w:val="00797C21"/>
    <w:rsid w:val="007A3F57"/>
    <w:rsid w:val="007B0B0A"/>
    <w:rsid w:val="007C01D5"/>
    <w:rsid w:val="007D37AA"/>
    <w:rsid w:val="007E2635"/>
    <w:rsid w:val="007E28BB"/>
    <w:rsid w:val="007F2C77"/>
    <w:rsid w:val="007F681D"/>
    <w:rsid w:val="00810B2E"/>
    <w:rsid w:val="00814F52"/>
    <w:rsid w:val="0082277E"/>
    <w:rsid w:val="00847549"/>
    <w:rsid w:val="00847FBB"/>
    <w:rsid w:val="00850E22"/>
    <w:rsid w:val="00851019"/>
    <w:rsid w:val="008559C3"/>
    <w:rsid w:val="00867717"/>
    <w:rsid w:val="00883F1F"/>
    <w:rsid w:val="008856E2"/>
    <w:rsid w:val="00890A85"/>
    <w:rsid w:val="00895888"/>
    <w:rsid w:val="008D190A"/>
    <w:rsid w:val="009050F9"/>
    <w:rsid w:val="009202E5"/>
    <w:rsid w:val="009240DF"/>
    <w:rsid w:val="00935D69"/>
    <w:rsid w:val="00941CC7"/>
    <w:rsid w:val="009436D3"/>
    <w:rsid w:val="0095143C"/>
    <w:rsid w:val="00996E34"/>
    <w:rsid w:val="009B303C"/>
    <w:rsid w:val="009C1162"/>
    <w:rsid w:val="009C78FF"/>
    <w:rsid w:val="009D4DCC"/>
    <w:rsid w:val="009E4569"/>
    <w:rsid w:val="009F52E2"/>
    <w:rsid w:val="00A11E49"/>
    <w:rsid w:val="00A13DCC"/>
    <w:rsid w:val="00A210E1"/>
    <w:rsid w:val="00A220E4"/>
    <w:rsid w:val="00A25B3F"/>
    <w:rsid w:val="00A37D5C"/>
    <w:rsid w:val="00A5534C"/>
    <w:rsid w:val="00A61A6F"/>
    <w:rsid w:val="00A92013"/>
    <w:rsid w:val="00A97E95"/>
    <w:rsid w:val="00AC6588"/>
    <w:rsid w:val="00AD45EE"/>
    <w:rsid w:val="00AE60B7"/>
    <w:rsid w:val="00B015C8"/>
    <w:rsid w:val="00B1029C"/>
    <w:rsid w:val="00B10DB8"/>
    <w:rsid w:val="00B16512"/>
    <w:rsid w:val="00B16609"/>
    <w:rsid w:val="00B34661"/>
    <w:rsid w:val="00B605C9"/>
    <w:rsid w:val="00B74EF6"/>
    <w:rsid w:val="00B86029"/>
    <w:rsid w:val="00B9273B"/>
    <w:rsid w:val="00BB4CB0"/>
    <w:rsid w:val="00BD55AB"/>
    <w:rsid w:val="00C03C0D"/>
    <w:rsid w:val="00C528E0"/>
    <w:rsid w:val="00C55080"/>
    <w:rsid w:val="00C557C0"/>
    <w:rsid w:val="00C55D99"/>
    <w:rsid w:val="00C56E05"/>
    <w:rsid w:val="00C6634F"/>
    <w:rsid w:val="00C70162"/>
    <w:rsid w:val="00C8657D"/>
    <w:rsid w:val="00CA34B2"/>
    <w:rsid w:val="00CD7B76"/>
    <w:rsid w:val="00CE024B"/>
    <w:rsid w:val="00CE15AE"/>
    <w:rsid w:val="00CF54F0"/>
    <w:rsid w:val="00D04D40"/>
    <w:rsid w:val="00D172A7"/>
    <w:rsid w:val="00D27755"/>
    <w:rsid w:val="00D47021"/>
    <w:rsid w:val="00D57134"/>
    <w:rsid w:val="00D85E88"/>
    <w:rsid w:val="00D91F50"/>
    <w:rsid w:val="00DA0F23"/>
    <w:rsid w:val="00DC4C84"/>
    <w:rsid w:val="00DE62F3"/>
    <w:rsid w:val="00E05F46"/>
    <w:rsid w:val="00E22C50"/>
    <w:rsid w:val="00E24893"/>
    <w:rsid w:val="00E30274"/>
    <w:rsid w:val="00E35699"/>
    <w:rsid w:val="00E45604"/>
    <w:rsid w:val="00E82A31"/>
    <w:rsid w:val="00EB572D"/>
    <w:rsid w:val="00EC54A4"/>
    <w:rsid w:val="00ED2EAD"/>
    <w:rsid w:val="00EE1D83"/>
    <w:rsid w:val="00EF6FBB"/>
    <w:rsid w:val="00F01D9D"/>
    <w:rsid w:val="00F03571"/>
    <w:rsid w:val="00F17346"/>
    <w:rsid w:val="00F379CA"/>
    <w:rsid w:val="00F472AA"/>
    <w:rsid w:val="00F77665"/>
    <w:rsid w:val="00FB7DCB"/>
    <w:rsid w:val="00FD4BD7"/>
    <w:rsid w:val="00FF138F"/>
    <w:rsid w:val="00FF14D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5A30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75BB"/>
    <w:pPr>
      <w:spacing w:after="0" w:line="240" w:lineRule="auto"/>
    </w:pPr>
    <w:rPr>
      <w:rFonts w:ascii="Verdana" w:eastAsia="Times" w:hAnsi="Verdana" w:cs="Times New Roman"/>
      <w:sz w:val="20"/>
      <w:szCs w:val="20"/>
      <w:lang w:val="es-ES_tradnl"/>
    </w:rPr>
  </w:style>
  <w:style w:type="paragraph" w:styleId="Heading1">
    <w:name w:val="heading 1"/>
    <w:basedOn w:val="Heading2"/>
    <w:next w:val="Normal"/>
    <w:link w:val="Heading1Char"/>
    <w:uiPriority w:val="9"/>
    <w:qFormat/>
    <w:rsid w:val="000975BB"/>
    <w:pPr>
      <w:outlineLvl w:val="0"/>
    </w:pPr>
  </w:style>
  <w:style w:type="paragraph" w:styleId="Heading2">
    <w:name w:val="heading 2"/>
    <w:basedOn w:val="Normal"/>
    <w:next w:val="Normal"/>
    <w:link w:val="Heading2Char"/>
    <w:qFormat/>
    <w:rsid w:val="000975BB"/>
    <w:pPr>
      <w:keepNext/>
      <w:jc w:val="center"/>
      <w:outlineLvl w:val="1"/>
    </w:pPr>
    <w:rPr>
      <w:rFonts w:eastAsia="Times New Roman" w:cs="Verdana"/>
      <w:b/>
      <w:bCs/>
      <w:iCs/>
      <w:caps/>
      <w:snapToGrid w:val="0"/>
      <w:lang w:val="es-CR" w:eastAsia="es-ES"/>
    </w:rPr>
  </w:style>
  <w:style w:type="paragraph" w:styleId="Heading3">
    <w:name w:val="heading 3"/>
    <w:basedOn w:val="Normal"/>
    <w:next w:val="Normal"/>
    <w:link w:val="Heading3Char"/>
    <w:uiPriority w:val="9"/>
    <w:qFormat/>
    <w:rsid w:val="000975BB"/>
    <w:pPr>
      <w:numPr>
        <w:numId w:val="3"/>
      </w:numPr>
      <w:jc w:val="both"/>
      <w:outlineLvl w:val="2"/>
    </w:pPr>
    <w:rPr>
      <w:b/>
    </w:rPr>
  </w:style>
  <w:style w:type="paragraph" w:styleId="Heading9">
    <w:name w:val="heading 9"/>
    <w:basedOn w:val="Normal"/>
    <w:next w:val="Normal"/>
    <w:link w:val="Heading9Char"/>
    <w:qFormat/>
    <w:rsid w:val="000975BB"/>
    <w:pPr>
      <w:keepNext/>
      <w:numPr>
        <w:numId w:val="2"/>
      </w:numPr>
      <w:outlineLvl w:val="8"/>
    </w:pPr>
    <w:rPr>
      <w:rFonts w:ascii="Garamond" w:hAnsi="Garamond"/>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975BB"/>
    <w:rPr>
      <w:rFonts w:ascii="Verdana" w:eastAsia="Times New Roman" w:hAnsi="Verdana" w:cs="Verdana"/>
      <w:b/>
      <w:bCs/>
      <w:iCs/>
      <w:caps/>
      <w:snapToGrid w:val="0"/>
      <w:sz w:val="20"/>
      <w:szCs w:val="20"/>
      <w:lang w:val="es-CR" w:eastAsia="es-ES"/>
    </w:rPr>
  </w:style>
  <w:style w:type="character" w:customStyle="1" w:styleId="Heading2Char">
    <w:name w:val="Heading 2 Char"/>
    <w:basedOn w:val="DefaultParagraphFont"/>
    <w:link w:val="Heading2"/>
    <w:rsid w:val="000975BB"/>
    <w:rPr>
      <w:rFonts w:ascii="Verdana" w:eastAsia="Times New Roman" w:hAnsi="Verdana" w:cs="Verdana"/>
      <w:b/>
      <w:bCs/>
      <w:iCs/>
      <w:caps/>
      <w:snapToGrid w:val="0"/>
      <w:sz w:val="20"/>
      <w:szCs w:val="20"/>
      <w:lang w:val="es-CR" w:eastAsia="es-ES"/>
    </w:rPr>
  </w:style>
  <w:style w:type="character" w:customStyle="1" w:styleId="Heading3Char">
    <w:name w:val="Heading 3 Char"/>
    <w:basedOn w:val="DefaultParagraphFont"/>
    <w:link w:val="Heading3"/>
    <w:uiPriority w:val="9"/>
    <w:rsid w:val="000975BB"/>
    <w:rPr>
      <w:rFonts w:ascii="Verdana" w:eastAsia="Times" w:hAnsi="Verdana" w:cs="Times New Roman"/>
      <w:b/>
      <w:sz w:val="20"/>
      <w:szCs w:val="20"/>
      <w:lang w:val="es-ES_tradnl"/>
    </w:rPr>
  </w:style>
  <w:style w:type="character" w:customStyle="1" w:styleId="Heading9Char">
    <w:name w:val="Heading 9 Char"/>
    <w:basedOn w:val="DefaultParagraphFont"/>
    <w:link w:val="Heading9"/>
    <w:rsid w:val="000975BB"/>
    <w:rPr>
      <w:rFonts w:ascii="Garamond" w:eastAsia="Times" w:hAnsi="Garamond" w:cs="Times New Roman"/>
      <w:i/>
      <w:sz w:val="24"/>
      <w:szCs w:val="20"/>
      <w:lang w:val="es-ES_tradnl"/>
    </w:rPr>
  </w:style>
  <w:style w:type="paragraph" w:styleId="FootnoteText">
    <w:name w:val="footnote text"/>
    <w:aliases w:val="Texto nota pie Car1,Footnote Text Char Char Char Char Char Car,Footnote Text Char Char Char Char Car,Footnote reference Car,FA Fu Car,Footnote Text Char Char Char Car,Footnote Text Cha Car,FA Fußnotentext Car,FA Fuﬂnotentext Car,Ca Car,Ca"/>
    <w:basedOn w:val="Normal"/>
    <w:link w:val="FootnoteTextChar"/>
    <w:qFormat/>
    <w:rsid w:val="000975BB"/>
    <w:pPr>
      <w:jc w:val="both"/>
    </w:pPr>
    <w:rPr>
      <w:sz w:val="16"/>
      <w:lang w:eastAsia="x-none"/>
    </w:rPr>
  </w:style>
  <w:style w:type="character" w:customStyle="1" w:styleId="FootnoteTextChar">
    <w:name w:val="Footnote Text Char"/>
    <w:aliases w:val="Texto nota pie Car1 Char,Footnote Text Char Char Char Char Char Car Char,Footnote Text Char Char Char Char Car Char,Footnote reference Car Char,FA Fu Car Char,Footnote Text Char Char Char Car Char,Footnote Text Cha Car Char,Ca Char"/>
    <w:basedOn w:val="DefaultParagraphFont"/>
    <w:link w:val="FootnoteText"/>
    <w:rsid w:val="000975BB"/>
    <w:rPr>
      <w:rFonts w:ascii="Verdana" w:eastAsia="Times" w:hAnsi="Verdana" w:cs="Times New Roman"/>
      <w:sz w:val="16"/>
      <w:szCs w:val="20"/>
      <w:lang w:val="es-ES_tradnl" w:eastAsia="x-none"/>
    </w:rPr>
  </w:style>
  <w:style w:type="character" w:customStyle="1" w:styleId="TextonotapieCar">
    <w:name w:val="Texto nota pie Car"/>
    <w:aliases w:val="FA Fu?notentext Car,C Car"/>
    <w:uiPriority w:val="99"/>
    <w:rsid w:val="000975BB"/>
    <w:rPr>
      <w:rFonts w:ascii="Verdana" w:eastAsia="Times" w:hAnsi="Verdana" w:cs="Times New Roman"/>
      <w:sz w:val="20"/>
      <w:szCs w:val="20"/>
      <w:lang w:val="es-ES_tradnl"/>
    </w:rPr>
  </w:style>
  <w:style w:type="character" w:styleId="FootnoteReference">
    <w:name w:val="footnote reference"/>
    <w:aliases w:val="Texto de nota al pie,Appel note de bas de page,Footnotes refss,Footnote number,referencia nota al pie,BVI fnr,f,4_G,16 Point,Superscript 6 Point,Texto nota al pie,Footnote Reference Char3,Footnote Reference Char1 Char,Ref. de nota al"/>
    <w:uiPriority w:val="99"/>
    <w:qFormat/>
    <w:rsid w:val="000975BB"/>
    <w:rPr>
      <w:vertAlign w:val="superscript"/>
    </w:rPr>
  </w:style>
  <w:style w:type="paragraph" w:styleId="Header">
    <w:name w:val="header"/>
    <w:basedOn w:val="Normal"/>
    <w:link w:val="HeaderChar"/>
    <w:uiPriority w:val="99"/>
    <w:rsid w:val="000975BB"/>
    <w:pPr>
      <w:tabs>
        <w:tab w:val="center" w:pos="4252"/>
        <w:tab w:val="right" w:pos="8504"/>
      </w:tabs>
    </w:pPr>
  </w:style>
  <w:style w:type="character" w:customStyle="1" w:styleId="HeaderChar">
    <w:name w:val="Header Char"/>
    <w:basedOn w:val="DefaultParagraphFont"/>
    <w:link w:val="Header"/>
    <w:uiPriority w:val="99"/>
    <w:rsid w:val="000975BB"/>
    <w:rPr>
      <w:rFonts w:ascii="Verdana" w:eastAsia="Times" w:hAnsi="Verdana" w:cs="Times New Roman"/>
      <w:sz w:val="20"/>
      <w:szCs w:val="20"/>
      <w:lang w:val="es-ES_tradnl"/>
    </w:rPr>
  </w:style>
  <w:style w:type="character" w:styleId="PageNumber">
    <w:name w:val="page number"/>
    <w:basedOn w:val="DefaultParagraphFont"/>
    <w:uiPriority w:val="99"/>
    <w:rsid w:val="000975BB"/>
  </w:style>
  <w:style w:type="paragraph" w:customStyle="1" w:styleId="Prrafodelista2">
    <w:name w:val="Párrafo de lista2"/>
    <w:basedOn w:val="Normal"/>
    <w:uiPriority w:val="34"/>
    <w:qFormat/>
    <w:rsid w:val="000975BB"/>
    <w:pPr>
      <w:ind w:left="720"/>
    </w:pPr>
  </w:style>
  <w:style w:type="character" w:customStyle="1" w:styleId="BodyText2Char">
    <w:name w:val="Body Text 2 Char"/>
    <w:link w:val="BodyText2"/>
    <w:uiPriority w:val="99"/>
    <w:semiHidden/>
    <w:rsid w:val="000975BB"/>
    <w:rPr>
      <w:rFonts w:ascii="Verdana" w:eastAsia="Times" w:hAnsi="Verdana" w:cs="Times New Roman"/>
      <w:sz w:val="20"/>
      <w:szCs w:val="20"/>
      <w:lang w:val="es-ES_tradnl"/>
    </w:rPr>
  </w:style>
  <w:style w:type="paragraph" w:styleId="BodyText2">
    <w:name w:val="Body Text 2"/>
    <w:basedOn w:val="Normal"/>
    <w:link w:val="BodyText2Char"/>
    <w:uiPriority w:val="99"/>
    <w:semiHidden/>
    <w:unhideWhenUsed/>
    <w:rsid w:val="000975BB"/>
    <w:pPr>
      <w:spacing w:after="120" w:line="480" w:lineRule="auto"/>
    </w:pPr>
  </w:style>
  <w:style w:type="character" w:customStyle="1" w:styleId="BodyText2Char1">
    <w:name w:val="Body Text 2 Char1"/>
    <w:basedOn w:val="DefaultParagraphFont"/>
    <w:uiPriority w:val="99"/>
    <w:semiHidden/>
    <w:rsid w:val="000975BB"/>
    <w:rPr>
      <w:rFonts w:ascii="Verdana" w:eastAsia="Times" w:hAnsi="Verdana" w:cs="Times New Roman"/>
      <w:sz w:val="20"/>
      <w:szCs w:val="20"/>
      <w:lang w:val="es-ES_tradnl"/>
    </w:rPr>
  </w:style>
  <w:style w:type="character" w:customStyle="1" w:styleId="FooterChar">
    <w:name w:val="Footer Char"/>
    <w:link w:val="Footer"/>
    <w:uiPriority w:val="99"/>
    <w:rsid w:val="000975BB"/>
    <w:rPr>
      <w:rFonts w:ascii="Verdana" w:eastAsia="Times" w:hAnsi="Verdana" w:cs="Times New Roman"/>
      <w:sz w:val="20"/>
      <w:szCs w:val="20"/>
      <w:lang w:val="es-ES_tradnl"/>
    </w:rPr>
  </w:style>
  <w:style w:type="paragraph" w:styleId="Footer">
    <w:name w:val="footer"/>
    <w:basedOn w:val="Normal"/>
    <w:link w:val="FooterChar"/>
    <w:uiPriority w:val="99"/>
    <w:unhideWhenUsed/>
    <w:rsid w:val="000975BB"/>
    <w:pPr>
      <w:tabs>
        <w:tab w:val="center" w:pos="4680"/>
        <w:tab w:val="right" w:pos="9360"/>
      </w:tabs>
    </w:pPr>
  </w:style>
  <w:style w:type="character" w:customStyle="1" w:styleId="FooterChar1">
    <w:name w:val="Footer Char1"/>
    <w:basedOn w:val="DefaultParagraphFont"/>
    <w:uiPriority w:val="99"/>
    <w:semiHidden/>
    <w:rsid w:val="000975BB"/>
    <w:rPr>
      <w:rFonts w:ascii="Verdana" w:eastAsia="Times" w:hAnsi="Verdana" w:cs="Times New Roman"/>
      <w:sz w:val="20"/>
      <w:szCs w:val="20"/>
      <w:lang w:val="es-ES_tradnl"/>
    </w:rPr>
  </w:style>
  <w:style w:type="character" w:customStyle="1" w:styleId="BalloonTextChar">
    <w:name w:val="Balloon Text Char"/>
    <w:link w:val="BalloonText"/>
    <w:uiPriority w:val="99"/>
    <w:semiHidden/>
    <w:rsid w:val="000975BB"/>
    <w:rPr>
      <w:rFonts w:ascii="Tahoma" w:eastAsia="Times" w:hAnsi="Tahoma" w:cs="Times New Roman"/>
      <w:sz w:val="16"/>
      <w:szCs w:val="16"/>
      <w:lang w:val="es-ES_tradnl"/>
    </w:rPr>
  </w:style>
  <w:style w:type="paragraph" w:styleId="BalloonText">
    <w:name w:val="Balloon Text"/>
    <w:basedOn w:val="Normal"/>
    <w:link w:val="BalloonTextChar"/>
    <w:uiPriority w:val="99"/>
    <w:semiHidden/>
    <w:unhideWhenUsed/>
    <w:rsid w:val="000975BB"/>
    <w:rPr>
      <w:rFonts w:ascii="Tahoma" w:hAnsi="Tahoma"/>
      <w:sz w:val="16"/>
      <w:szCs w:val="16"/>
    </w:rPr>
  </w:style>
  <w:style w:type="character" w:customStyle="1" w:styleId="BalloonTextChar1">
    <w:name w:val="Balloon Text Char1"/>
    <w:basedOn w:val="DefaultParagraphFont"/>
    <w:uiPriority w:val="99"/>
    <w:semiHidden/>
    <w:rsid w:val="000975BB"/>
    <w:rPr>
      <w:rFonts w:ascii="Segoe UI" w:eastAsia="Times" w:hAnsi="Segoe UI" w:cs="Segoe UI"/>
      <w:sz w:val="18"/>
      <w:szCs w:val="18"/>
      <w:lang w:val="es-ES_tradnl"/>
    </w:rPr>
  </w:style>
  <w:style w:type="paragraph" w:styleId="EndnoteText">
    <w:name w:val="endnote text"/>
    <w:basedOn w:val="Normal"/>
    <w:link w:val="EndnoteTextChar"/>
    <w:uiPriority w:val="99"/>
    <w:rsid w:val="000975BB"/>
    <w:pPr>
      <w:widowControl w:val="0"/>
      <w:tabs>
        <w:tab w:val="left" w:pos="720"/>
        <w:tab w:val="left" w:pos="1440"/>
        <w:tab w:val="left" w:pos="2160"/>
        <w:tab w:val="left" w:pos="2880"/>
        <w:tab w:val="left" w:pos="3600"/>
        <w:tab w:val="left" w:pos="4320"/>
        <w:tab w:val="left" w:pos="5760"/>
        <w:tab w:val="left" w:pos="6480"/>
        <w:tab w:val="left" w:pos="7200"/>
        <w:tab w:val="left" w:pos="7920"/>
      </w:tabs>
      <w:jc w:val="both"/>
    </w:pPr>
    <w:rPr>
      <w:rFonts w:ascii="CG Times" w:eastAsia="Times New Roman" w:hAnsi="CG Times"/>
      <w:sz w:val="22"/>
      <w:lang w:val="es-ES"/>
    </w:rPr>
  </w:style>
  <w:style w:type="character" w:customStyle="1" w:styleId="EndnoteTextChar">
    <w:name w:val="Endnote Text Char"/>
    <w:basedOn w:val="DefaultParagraphFont"/>
    <w:link w:val="EndnoteText"/>
    <w:uiPriority w:val="99"/>
    <w:rsid w:val="000975BB"/>
    <w:rPr>
      <w:rFonts w:ascii="CG Times" w:eastAsia="Times New Roman" w:hAnsi="CG Times" w:cs="Times New Roman"/>
      <w:szCs w:val="20"/>
      <w:lang w:val="es-ES"/>
    </w:rPr>
  </w:style>
  <w:style w:type="paragraph" w:customStyle="1" w:styleId="PargrafodaLista">
    <w:name w:val="Parágrafo da Lista"/>
    <w:basedOn w:val="Normal"/>
    <w:qFormat/>
    <w:rsid w:val="000975BB"/>
    <w:pPr>
      <w:ind w:left="708"/>
    </w:pPr>
    <w:rPr>
      <w:rFonts w:eastAsia="Batang" w:cs="Times"/>
      <w:sz w:val="16"/>
      <w:szCs w:val="24"/>
    </w:rPr>
  </w:style>
  <w:style w:type="paragraph" w:customStyle="1" w:styleId="ListParagraph1">
    <w:name w:val="List Paragraph1"/>
    <w:basedOn w:val="Normal"/>
    <w:uiPriority w:val="34"/>
    <w:qFormat/>
    <w:rsid w:val="000975BB"/>
    <w:pPr>
      <w:spacing w:after="200" w:line="276" w:lineRule="auto"/>
      <w:ind w:left="720"/>
      <w:contextualSpacing/>
    </w:pPr>
    <w:rPr>
      <w:rFonts w:ascii="Times New Roman" w:eastAsia="Calibri" w:hAnsi="Times New Roman"/>
      <w:sz w:val="24"/>
      <w:szCs w:val="22"/>
      <w:lang w:val="en-US"/>
    </w:rPr>
  </w:style>
  <w:style w:type="character" w:styleId="Hyperlink">
    <w:name w:val="Hyperlink"/>
    <w:uiPriority w:val="99"/>
    <w:unhideWhenUsed/>
    <w:rsid w:val="000975BB"/>
    <w:rPr>
      <w:color w:val="0000FF"/>
      <w:u w:val="single"/>
    </w:rPr>
  </w:style>
  <w:style w:type="paragraph" w:customStyle="1" w:styleId="Sinespaciado1">
    <w:name w:val="Sin espaciado1"/>
    <w:link w:val="SinespaciadoCar"/>
    <w:uiPriority w:val="1"/>
    <w:qFormat/>
    <w:rsid w:val="000975BB"/>
    <w:pPr>
      <w:spacing w:after="0" w:line="240" w:lineRule="auto"/>
    </w:pPr>
    <w:rPr>
      <w:rFonts w:ascii="Calibri" w:eastAsia="Times New Roman" w:hAnsi="Calibri" w:cs="Times New Roman"/>
      <w:lang w:val="en-US" w:eastAsia="es-CR"/>
    </w:rPr>
  </w:style>
  <w:style w:type="character" w:customStyle="1" w:styleId="SinespaciadoCar">
    <w:name w:val="Sin espaciado Car"/>
    <w:link w:val="Sinespaciado1"/>
    <w:uiPriority w:val="1"/>
    <w:rsid w:val="000975BB"/>
    <w:rPr>
      <w:rFonts w:ascii="Calibri" w:eastAsia="Times New Roman" w:hAnsi="Calibri" w:cs="Times New Roman"/>
      <w:lang w:val="en-US" w:eastAsia="es-CR"/>
    </w:rPr>
  </w:style>
  <w:style w:type="paragraph" w:customStyle="1" w:styleId="Sangradetindependiente2">
    <w:name w:val="Sangría de t. independiente2"/>
    <w:basedOn w:val="Normal"/>
    <w:rsid w:val="000975BB"/>
    <w:pPr>
      <w:spacing w:line="360" w:lineRule="atLeast"/>
    </w:pPr>
    <w:rPr>
      <w:rFonts w:ascii="Arial" w:eastAsia="Times New Roman" w:hAnsi="Arial"/>
      <w:sz w:val="24"/>
    </w:rPr>
  </w:style>
  <w:style w:type="character" w:styleId="Strong">
    <w:name w:val="Strong"/>
    <w:uiPriority w:val="22"/>
    <w:qFormat/>
    <w:rsid w:val="000975BB"/>
    <w:rPr>
      <w:b/>
      <w:bCs/>
    </w:rPr>
  </w:style>
  <w:style w:type="paragraph" w:customStyle="1" w:styleId="Prrafodelista1">
    <w:name w:val="Párrafo de lista1"/>
    <w:basedOn w:val="Normal"/>
    <w:uiPriority w:val="34"/>
    <w:qFormat/>
    <w:rsid w:val="000975BB"/>
    <w:pPr>
      <w:ind w:left="720"/>
    </w:pPr>
  </w:style>
  <w:style w:type="paragraph" w:styleId="NormalWeb">
    <w:name w:val="Normal (Web)"/>
    <w:basedOn w:val="Normal"/>
    <w:uiPriority w:val="99"/>
    <w:unhideWhenUsed/>
    <w:rsid w:val="000975BB"/>
    <w:pPr>
      <w:spacing w:before="100" w:beforeAutospacing="1" w:after="100" w:afterAutospacing="1"/>
      <w:ind w:firstLine="138"/>
      <w:jc w:val="both"/>
    </w:pPr>
    <w:rPr>
      <w:rFonts w:ascii="Arial" w:eastAsia="Times New Roman" w:hAnsi="Arial" w:cs="Arial"/>
      <w:sz w:val="18"/>
      <w:szCs w:val="18"/>
      <w:lang w:val="en-US"/>
    </w:rPr>
  </w:style>
  <w:style w:type="character" w:customStyle="1" w:styleId="Refdenotaalpie1">
    <w:name w:val="Ref. de nota al pie1"/>
    <w:rsid w:val="000975BB"/>
    <w:rPr>
      <w:sz w:val="20"/>
      <w:vertAlign w:val="superscript"/>
    </w:rPr>
  </w:style>
  <w:style w:type="paragraph" w:customStyle="1" w:styleId="profile-textblock">
    <w:name w:val="profile-textblock"/>
    <w:basedOn w:val="Normal"/>
    <w:rsid w:val="000975BB"/>
    <w:pPr>
      <w:spacing w:after="192" w:line="384" w:lineRule="atLeast"/>
      <w:jc w:val="both"/>
    </w:pPr>
    <w:rPr>
      <w:rFonts w:ascii="Georgia" w:eastAsia="Times New Roman" w:hAnsi="Georgia"/>
      <w:sz w:val="12"/>
      <w:szCs w:val="12"/>
      <w:lang w:val="en-US"/>
    </w:rPr>
  </w:style>
  <w:style w:type="paragraph" w:styleId="BodyText">
    <w:name w:val="Body Text"/>
    <w:basedOn w:val="Normal"/>
    <w:link w:val="BodyTextChar"/>
    <w:rsid w:val="000975BB"/>
    <w:pPr>
      <w:jc w:val="both"/>
    </w:pPr>
    <w:rPr>
      <w:rFonts w:ascii="Garamond" w:hAnsi="Garamond"/>
      <w:sz w:val="24"/>
      <w:lang w:eastAsia="es-ES"/>
    </w:rPr>
  </w:style>
  <w:style w:type="character" w:customStyle="1" w:styleId="BodyTextChar">
    <w:name w:val="Body Text Char"/>
    <w:basedOn w:val="DefaultParagraphFont"/>
    <w:link w:val="BodyText"/>
    <w:rsid w:val="000975BB"/>
    <w:rPr>
      <w:rFonts w:ascii="Garamond" w:eastAsia="Times" w:hAnsi="Garamond" w:cs="Times New Roman"/>
      <w:sz w:val="24"/>
      <w:szCs w:val="20"/>
      <w:lang w:val="es-ES_tradnl" w:eastAsia="es-ES"/>
    </w:rPr>
  </w:style>
  <w:style w:type="character" w:customStyle="1" w:styleId="apple-style-span">
    <w:name w:val="apple-style-span"/>
    <w:basedOn w:val="DefaultParagraphFont"/>
    <w:rsid w:val="000975BB"/>
  </w:style>
  <w:style w:type="character" w:customStyle="1" w:styleId="CommentTextChar">
    <w:name w:val="Comment Text Char"/>
    <w:link w:val="CommentText"/>
    <w:uiPriority w:val="99"/>
    <w:semiHidden/>
    <w:rsid w:val="000975BB"/>
    <w:rPr>
      <w:rFonts w:ascii="Verdana" w:eastAsia="Times" w:hAnsi="Verdana" w:cs="Times New Roman"/>
      <w:sz w:val="20"/>
      <w:szCs w:val="20"/>
      <w:lang w:val="es-ES_tradnl"/>
    </w:rPr>
  </w:style>
  <w:style w:type="paragraph" w:styleId="CommentText">
    <w:name w:val="annotation text"/>
    <w:basedOn w:val="Normal"/>
    <w:link w:val="CommentTextChar"/>
    <w:uiPriority w:val="99"/>
    <w:semiHidden/>
    <w:unhideWhenUsed/>
    <w:rsid w:val="000975BB"/>
  </w:style>
  <w:style w:type="character" w:customStyle="1" w:styleId="CommentTextChar1">
    <w:name w:val="Comment Text Char1"/>
    <w:basedOn w:val="DefaultParagraphFont"/>
    <w:uiPriority w:val="99"/>
    <w:semiHidden/>
    <w:rsid w:val="000975BB"/>
    <w:rPr>
      <w:rFonts w:ascii="Verdana" w:eastAsia="Times" w:hAnsi="Verdana" w:cs="Times New Roman"/>
      <w:sz w:val="20"/>
      <w:szCs w:val="20"/>
      <w:lang w:val="es-ES_tradnl"/>
    </w:rPr>
  </w:style>
  <w:style w:type="character" w:customStyle="1" w:styleId="CommentSubjectChar">
    <w:name w:val="Comment Subject Char"/>
    <w:aliases w:val=" Car2 Char"/>
    <w:link w:val="CommentSubject"/>
    <w:uiPriority w:val="99"/>
    <w:semiHidden/>
    <w:rsid w:val="000975BB"/>
    <w:rPr>
      <w:rFonts w:ascii="Verdana" w:eastAsia="Times" w:hAnsi="Verdana" w:cs="Times New Roman"/>
      <w:b/>
      <w:bCs/>
      <w:sz w:val="20"/>
      <w:szCs w:val="20"/>
      <w:lang w:val="es-ES_tradnl"/>
    </w:rPr>
  </w:style>
  <w:style w:type="paragraph" w:styleId="CommentSubject">
    <w:name w:val="annotation subject"/>
    <w:aliases w:val=" Car2"/>
    <w:basedOn w:val="CommentText"/>
    <w:next w:val="CommentText"/>
    <w:link w:val="CommentSubjectChar"/>
    <w:uiPriority w:val="99"/>
    <w:semiHidden/>
    <w:unhideWhenUsed/>
    <w:rsid w:val="000975BB"/>
    <w:rPr>
      <w:b/>
      <w:bCs/>
    </w:rPr>
  </w:style>
  <w:style w:type="character" w:customStyle="1" w:styleId="CommentSubjectChar1">
    <w:name w:val="Comment Subject Char1"/>
    <w:basedOn w:val="CommentTextChar1"/>
    <w:uiPriority w:val="99"/>
    <w:semiHidden/>
    <w:rsid w:val="000975BB"/>
    <w:rPr>
      <w:rFonts w:ascii="Verdana" w:eastAsia="Times" w:hAnsi="Verdana" w:cs="Times New Roman"/>
      <w:b/>
      <w:bCs/>
      <w:sz w:val="20"/>
      <w:szCs w:val="20"/>
      <w:lang w:val="es-ES_tradnl"/>
    </w:rPr>
  </w:style>
  <w:style w:type="character" w:styleId="FollowedHyperlink">
    <w:name w:val="FollowedHyperlink"/>
    <w:rsid w:val="000975BB"/>
    <w:rPr>
      <w:color w:val="800080"/>
      <w:u w:val="single"/>
    </w:rPr>
  </w:style>
  <w:style w:type="character" w:customStyle="1" w:styleId="CarCar">
    <w:name w:val="Car Car"/>
    <w:rsid w:val="000975BB"/>
    <w:rPr>
      <w:rFonts w:ascii="Verdana" w:eastAsia="Times" w:hAnsi="Verdana" w:cs="Times New Roman"/>
      <w:sz w:val="20"/>
      <w:szCs w:val="20"/>
      <w:lang w:val="es-ES_tradnl"/>
    </w:rPr>
  </w:style>
  <w:style w:type="paragraph" w:styleId="BlockText">
    <w:name w:val="Block Text"/>
    <w:basedOn w:val="Normal"/>
    <w:rsid w:val="000975BB"/>
    <w:pPr>
      <w:tabs>
        <w:tab w:val="left" w:pos="360"/>
        <w:tab w:val="left" w:pos="540"/>
        <w:tab w:val="num" w:pos="900"/>
        <w:tab w:val="left" w:pos="1260"/>
      </w:tabs>
      <w:ind w:left="1440" w:right="720"/>
      <w:jc w:val="both"/>
    </w:pPr>
    <w:rPr>
      <w:sz w:val="18"/>
    </w:rPr>
  </w:style>
  <w:style w:type="character" w:customStyle="1" w:styleId="apple-converted-space">
    <w:name w:val="apple-converted-space"/>
    <w:basedOn w:val="DefaultParagraphFont"/>
    <w:rsid w:val="000975BB"/>
  </w:style>
  <w:style w:type="character" w:customStyle="1" w:styleId="FootnoteRef">
    <w:name w:val="Footnote Ref"/>
    <w:rsid w:val="000975BB"/>
    <w:rPr>
      <w:vertAlign w:val="superscript"/>
    </w:rPr>
  </w:style>
  <w:style w:type="character" w:customStyle="1" w:styleId="ju-005fpara--char">
    <w:name w:val="ju-005fpara--char"/>
    <w:basedOn w:val="DefaultParagraphFont"/>
    <w:rsid w:val="000975BB"/>
  </w:style>
  <w:style w:type="character" w:customStyle="1" w:styleId="normal--char">
    <w:name w:val="normal--char"/>
    <w:basedOn w:val="DefaultParagraphFont"/>
    <w:rsid w:val="000975BB"/>
  </w:style>
  <w:style w:type="paragraph" w:customStyle="1" w:styleId="Body1">
    <w:name w:val="Body 1"/>
    <w:uiPriority w:val="99"/>
    <w:rsid w:val="000975BB"/>
    <w:pPr>
      <w:spacing w:after="0" w:line="240" w:lineRule="auto"/>
      <w:outlineLvl w:val="0"/>
    </w:pPr>
    <w:rPr>
      <w:rFonts w:ascii="Times New Roman" w:eastAsia="SimSun" w:hAnsi="Times New Roman" w:cs="Times New Roman"/>
      <w:color w:val="000000"/>
      <w:sz w:val="24"/>
      <w:szCs w:val="20"/>
      <w:lang w:val="en-US"/>
    </w:rPr>
  </w:style>
  <w:style w:type="character" w:customStyle="1" w:styleId="MediumGrid1-Accent2Char">
    <w:name w:val="Medium Grid 1 - Accent 2 Char"/>
    <w:aliases w:val="Footnote Char,Colorful List - Accent 11 Char,List Paragraph2 Char"/>
    <w:link w:val="MediumGrid1-Accent2"/>
    <w:uiPriority w:val="99"/>
    <w:rsid w:val="000975BB"/>
    <w:rPr>
      <w:rFonts w:ascii="Verdana" w:eastAsia="Batang" w:hAnsi="Verdana" w:cs="Times New Roman"/>
      <w:sz w:val="20"/>
      <w:szCs w:val="24"/>
      <w:lang w:val="es-ES_tradnl"/>
    </w:rPr>
  </w:style>
  <w:style w:type="character" w:customStyle="1" w:styleId="FootnoteTextCharCharCar">
    <w:name w:val="Footnote Text Char Char Car"/>
    <w:rsid w:val="000975BB"/>
    <w:rPr>
      <w:rFonts w:ascii="Verdana" w:eastAsia="Times" w:hAnsi="Verdana" w:cs="Times New Roman"/>
      <w:sz w:val="16"/>
      <w:szCs w:val="20"/>
      <w:lang w:val="es-ES_tradnl"/>
    </w:rPr>
  </w:style>
  <w:style w:type="character" w:customStyle="1" w:styleId="TextonotapieCarCar">
    <w:name w:val="Texto nota pie Car Car"/>
    <w:rsid w:val="000975BB"/>
    <w:rPr>
      <w:rFonts w:ascii="Verdana" w:eastAsia="Times" w:hAnsi="Verdana"/>
      <w:sz w:val="16"/>
      <w:lang w:val="es-ES_tradnl"/>
    </w:rPr>
  </w:style>
  <w:style w:type="character" w:customStyle="1" w:styleId="ListParagraphChar1">
    <w:name w:val="List Paragraph Char1"/>
    <w:uiPriority w:val="99"/>
    <w:rsid w:val="000975BB"/>
    <w:rPr>
      <w:rFonts w:ascii="Verdana" w:eastAsia="Times New Roman" w:hAnsi="Verdana"/>
      <w:lang w:val="es-ES_tradnl" w:eastAsia="en-US"/>
    </w:rPr>
  </w:style>
  <w:style w:type="character" w:customStyle="1" w:styleId="DocumentMapChar">
    <w:name w:val="Document Map Char"/>
    <w:link w:val="DocumentMap"/>
    <w:uiPriority w:val="99"/>
    <w:semiHidden/>
    <w:rsid w:val="000975BB"/>
    <w:rPr>
      <w:rFonts w:ascii="Tahoma" w:eastAsia="Times" w:hAnsi="Tahoma" w:cs="Tahoma"/>
      <w:sz w:val="16"/>
      <w:szCs w:val="16"/>
      <w:lang w:val="es-ES_tradnl"/>
    </w:rPr>
  </w:style>
  <w:style w:type="paragraph" w:styleId="DocumentMap">
    <w:name w:val="Document Map"/>
    <w:basedOn w:val="Normal"/>
    <w:link w:val="DocumentMapChar"/>
    <w:uiPriority w:val="99"/>
    <w:semiHidden/>
    <w:unhideWhenUsed/>
    <w:rsid w:val="000975BB"/>
    <w:rPr>
      <w:rFonts w:ascii="Tahoma" w:hAnsi="Tahoma" w:cs="Tahoma"/>
      <w:sz w:val="16"/>
      <w:szCs w:val="16"/>
    </w:rPr>
  </w:style>
  <w:style w:type="character" w:customStyle="1" w:styleId="DocumentMapChar1">
    <w:name w:val="Document Map Char1"/>
    <w:basedOn w:val="DefaultParagraphFont"/>
    <w:uiPriority w:val="99"/>
    <w:semiHidden/>
    <w:rsid w:val="000975BB"/>
    <w:rPr>
      <w:rFonts w:ascii="Segoe UI" w:eastAsia="Times" w:hAnsi="Segoe UI" w:cs="Segoe UI"/>
      <w:sz w:val="16"/>
      <w:szCs w:val="16"/>
      <w:lang w:val="es-ES_tradnl"/>
    </w:rPr>
  </w:style>
  <w:style w:type="paragraph" w:customStyle="1" w:styleId="Default">
    <w:name w:val="Default"/>
    <w:rsid w:val="000975BB"/>
    <w:pPr>
      <w:autoSpaceDE w:val="0"/>
      <w:autoSpaceDN w:val="0"/>
      <w:adjustRightInd w:val="0"/>
      <w:spacing w:after="0" w:line="240" w:lineRule="auto"/>
    </w:pPr>
    <w:rPr>
      <w:rFonts w:ascii="Verdana" w:eastAsia="Cambria" w:hAnsi="Verdana" w:cs="Verdana"/>
      <w:color w:val="000000"/>
      <w:sz w:val="24"/>
      <w:szCs w:val="24"/>
      <w:lang w:val="es-CR" w:eastAsia="es-CR"/>
    </w:rPr>
  </w:style>
  <w:style w:type="paragraph" w:customStyle="1" w:styleId="citaindirecta">
    <w:name w:val="cita indirecta"/>
    <w:basedOn w:val="Normal"/>
    <w:rsid w:val="000975BB"/>
    <w:pPr>
      <w:ind w:left="708"/>
      <w:jc w:val="both"/>
    </w:pPr>
    <w:rPr>
      <w:rFonts w:eastAsia="Times New Roman"/>
    </w:rPr>
  </w:style>
  <w:style w:type="character" w:styleId="CommentReference">
    <w:name w:val="annotation reference"/>
    <w:uiPriority w:val="99"/>
    <w:semiHidden/>
    <w:unhideWhenUsed/>
    <w:rsid w:val="000975BB"/>
    <w:rPr>
      <w:sz w:val="16"/>
      <w:szCs w:val="16"/>
    </w:rPr>
  </w:style>
  <w:style w:type="paragraph" w:customStyle="1" w:styleId="Estilo4">
    <w:name w:val="Estilo4"/>
    <w:qFormat/>
    <w:rsid w:val="000975BB"/>
    <w:pPr>
      <w:numPr>
        <w:ilvl w:val="1"/>
        <w:numId w:val="5"/>
      </w:numPr>
      <w:spacing w:after="120"/>
      <w:ind w:left="0" w:firstLine="357"/>
      <w:jc w:val="both"/>
    </w:pPr>
    <w:rPr>
      <w:rFonts w:eastAsia="Times New Roman"/>
      <w:spacing w:val="-2"/>
      <w:szCs w:val="20"/>
      <w:lang w:val="es-CR"/>
    </w:rPr>
  </w:style>
  <w:style w:type="character" w:customStyle="1" w:styleId="sb8d990e2">
    <w:name w:val="sb8d990e2"/>
    <w:basedOn w:val="DefaultParagraphFont"/>
    <w:rsid w:val="000975BB"/>
  </w:style>
  <w:style w:type="character" w:styleId="LineNumber">
    <w:name w:val="line number"/>
    <w:uiPriority w:val="99"/>
    <w:semiHidden/>
    <w:unhideWhenUsed/>
    <w:rsid w:val="000975BB"/>
  </w:style>
  <w:style w:type="table" w:styleId="MediumGrid1-Accent2">
    <w:name w:val="Medium Grid 1 Accent 2"/>
    <w:basedOn w:val="TableNormal"/>
    <w:link w:val="MediumGrid1-Accent2Char"/>
    <w:uiPriority w:val="99"/>
    <w:semiHidden/>
    <w:unhideWhenUsed/>
    <w:rsid w:val="000975BB"/>
    <w:pPr>
      <w:spacing w:after="0" w:line="240" w:lineRule="auto"/>
    </w:pPr>
    <w:rPr>
      <w:rFonts w:ascii="Verdana" w:eastAsia="Batang" w:hAnsi="Verdana" w:cs="Times New Roman"/>
      <w:sz w:val="20"/>
      <w:szCs w:val="24"/>
      <w:lang w:val="es-ES_tradnl"/>
    </w:r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lastRow">
      <w:tblPr/>
      <w:tcPr>
        <w:tcBorders>
          <w:top w:val="single" w:sz="18" w:space="0" w:color="F19D64" w:themeColor="accent2" w:themeTint="BF"/>
        </w:tcBorders>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paragraph" w:styleId="ListParagraph">
    <w:name w:val="List Paragraph"/>
    <w:basedOn w:val="Normal"/>
    <w:uiPriority w:val="34"/>
    <w:qFormat/>
    <w:rsid w:val="00514AA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75BB"/>
    <w:pPr>
      <w:spacing w:after="0" w:line="240" w:lineRule="auto"/>
    </w:pPr>
    <w:rPr>
      <w:rFonts w:ascii="Verdana" w:eastAsia="Times" w:hAnsi="Verdana" w:cs="Times New Roman"/>
      <w:sz w:val="20"/>
      <w:szCs w:val="20"/>
      <w:lang w:val="es-ES_tradnl"/>
    </w:rPr>
  </w:style>
  <w:style w:type="paragraph" w:styleId="Heading1">
    <w:name w:val="heading 1"/>
    <w:basedOn w:val="Heading2"/>
    <w:next w:val="Normal"/>
    <w:link w:val="Heading1Char"/>
    <w:uiPriority w:val="9"/>
    <w:qFormat/>
    <w:rsid w:val="000975BB"/>
    <w:pPr>
      <w:outlineLvl w:val="0"/>
    </w:pPr>
  </w:style>
  <w:style w:type="paragraph" w:styleId="Heading2">
    <w:name w:val="heading 2"/>
    <w:basedOn w:val="Normal"/>
    <w:next w:val="Normal"/>
    <w:link w:val="Heading2Char"/>
    <w:qFormat/>
    <w:rsid w:val="000975BB"/>
    <w:pPr>
      <w:keepNext/>
      <w:jc w:val="center"/>
      <w:outlineLvl w:val="1"/>
    </w:pPr>
    <w:rPr>
      <w:rFonts w:eastAsia="Times New Roman" w:cs="Verdana"/>
      <w:b/>
      <w:bCs/>
      <w:iCs/>
      <w:caps/>
      <w:snapToGrid w:val="0"/>
      <w:lang w:val="es-CR" w:eastAsia="es-ES"/>
    </w:rPr>
  </w:style>
  <w:style w:type="paragraph" w:styleId="Heading3">
    <w:name w:val="heading 3"/>
    <w:basedOn w:val="Normal"/>
    <w:next w:val="Normal"/>
    <w:link w:val="Heading3Char"/>
    <w:uiPriority w:val="9"/>
    <w:qFormat/>
    <w:rsid w:val="000975BB"/>
    <w:pPr>
      <w:numPr>
        <w:numId w:val="3"/>
      </w:numPr>
      <w:jc w:val="both"/>
      <w:outlineLvl w:val="2"/>
    </w:pPr>
    <w:rPr>
      <w:b/>
    </w:rPr>
  </w:style>
  <w:style w:type="paragraph" w:styleId="Heading9">
    <w:name w:val="heading 9"/>
    <w:basedOn w:val="Normal"/>
    <w:next w:val="Normal"/>
    <w:link w:val="Heading9Char"/>
    <w:qFormat/>
    <w:rsid w:val="000975BB"/>
    <w:pPr>
      <w:keepNext/>
      <w:numPr>
        <w:numId w:val="2"/>
      </w:numPr>
      <w:outlineLvl w:val="8"/>
    </w:pPr>
    <w:rPr>
      <w:rFonts w:ascii="Garamond" w:hAnsi="Garamond"/>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975BB"/>
    <w:rPr>
      <w:rFonts w:ascii="Verdana" w:eastAsia="Times New Roman" w:hAnsi="Verdana" w:cs="Verdana"/>
      <w:b/>
      <w:bCs/>
      <w:iCs/>
      <w:caps/>
      <w:snapToGrid w:val="0"/>
      <w:sz w:val="20"/>
      <w:szCs w:val="20"/>
      <w:lang w:val="es-CR" w:eastAsia="es-ES"/>
    </w:rPr>
  </w:style>
  <w:style w:type="character" w:customStyle="1" w:styleId="Heading2Char">
    <w:name w:val="Heading 2 Char"/>
    <w:basedOn w:val="DefaultParagraphFont"/>
    <w:link w:val="Heading2"/>
    <w:rsid w:val="000975BB"/>
    <w:rPr>
      <w:rFonts w:ascii="Verdana" w:eastAsia="Times New Roman" w:hAnsi="Verdana" w:cs="Verdana"/>
      <w:b/>
      <w:bCs/>
      <w:iCs/>
      <w:caps/>
      <w:snapToGrid w:val="0"/>
      <w:sz w:val="20"/>
      <w:szCs w:val="20"/>
      <w:lang w:val="es-CR" w:eastAsia="es-ES"/>
    </w:rPr>
  </w:style>
  <w:style w:type="character" w:customStyle="1" w:styleId="Heading3Char">
    <w:name w:val="Heading 3 Char"/>
    <w:basedOn w:val="DefaultParagraphFont"/>
    <w:link w:val="Heading3"/>
    <w:uiPriority w:val="9"/>
    <w:rsid w:val="000975BB"/>
    <w:rPr>
      <w:rFonts w:ascii="Verdana" w:eastAsia="Times" w:hAnsi="Verdana" w:cs="Times New Roman"/>
      <w:b/>
      <w:sz w:val="20"/>
      <w:szCs w:val="20"/>
      <w:lang w:val="es-ES_tradnl"/>
    </w:rPr>
  </w:style>
  <w:style w:type="character" w:customStyle="1" w:styleId="Heading9Char">
    <w:name w:val="Heading 9 Char"/>
    <w:basedOn w:val="DefaultParagraphFont"/>
    <w:link w:val="Heading9"/>
    <w:rsid w:val="000975BB"/>
    <w:rPr>
      <w:rFonts w:ascii="Garamond" w:eastAsia="Times" w:hAnsi="Garamond" w:cs="Times New Roman"/>
      <w:i/>
      <w:sz w:val="24"/>
      <w:szCs w:val="20"/>
      <w:lang w:val="es-ES_tradnl"/>
    </w:rPr>
  </w:style>
  <w:style w:type="paragraph" w:styleId="FootnoteText">
    <w:name w:val="footnote text"/>
    <w:aliases w:val="Texto nota pie Car1,Footnote Text Char Char Char Char Char Car,Footnote Text Char Char Char Char Car,Footnote reference Car,FA Fu Car,Footnote Text Char Char Char Car,Footnote Text Cha Car,FA Fußnotentext Car,FA Fuﬂnotentext Car,Ca Car,Ca"/>
    <w:basedOn w:val="Normal"/>
    <w:link w:val="FootnoteTextChar"/>
    <w:qFormat/>
    <w:rsid w:val="000975BB"/>
    <w:pPr>
      <w:jc w:val="both"/>
    </w:pPr>
    <w:rPr>
      <w:sz w:val="16"/>
      <w:lang w:eastAsia="x-none"/>
    </w:rPr>
  </w:style>
  <w:style w:type="character" w:customStyle="1" w:styleId="FootnoteTextChar">
    <w:name w:val="Footnote Text Char"/>
    <w:aliases w:val="Texto nota pie Car1 Char,Footnote Text Char Char Char Char Char Car Char,Footnote Text Char Char Char Char Car Char,Footnote reference Car Char,FA Fu Car Char,Footnote Text Char Char Char Car Char,Footnote Text Cha Car Char,Ca Char"/>
    <w:basedOn w:val="DefaultParagraphFont"/>
    <w:link w:val="FootnoteText"/>
    <w:rsid w:val="000975BB"/>
    <w:rPr>
      <w:rFonts w:ascii="Verdana" w:eastAsia="Times" w:hAnsi="Verdana" w:cs="Times New Roman"/>
      <w:sz w:val="16"/>
      <w:szCs w:val="20"/>
      <w:lang w:val="es-ES_tradnl" w:eastAsia="x-none"/>
    </w:rPr>
  </w:style>
  <w:style w:type="character" w:customStyle="1" w:styleId="TextonotapieCar">
    <w:name w:val="Texto nota pie Car"/>
    <w:aliases w:val="FA Fu?notentext Car,C Car"/>
    <w:uiPriority w:val="99"/>
    <w:rsid w:val="000975BB"/>
    <w:rPr>
      <w:rFonts w:ascii="Verdana" w:eastAsia="Times" w:hAnsi="Verdana" w:cs="Times New Roman"/>
      <w:sz w:val="20"/>
      <w:szCs w:val="20"/>
      <w:lang w:val="es-ES_tradnl"/>
    </w:rPr>
  </w:style>
  <w:style w:type="character" w:styleId="FootnoteReference">
    <w:name w:val="footnote reference"/>
    <w:aliases w:val="Texto de nota al pie,Appel note de bas de page,Footnotes refss,Footnote number,referencia nota al pie,BVI fnr,f,4_G,16 Point,Superscript 6 Point,Texto nota al pie,Footnote Reference Char3,Footnote Reference Char1 Char,Ref. de nota al"/>
    <w:uiPriority w:val="99"/>
    <w:qFormat/>
    <w:rsid w:val="000975BB"/>
    <w:rPr>
      <w:vertAlign w:val="superscript"/>
    </w:rPr>
  </w:style>
  <w:style w:type="paragraph" w:styleId="Header">
    <w:name w:val="header"/>
    <w:basedOn w:val="Normal"/>
    <w:link w:val="HeaderChar"/>
    <w:uiPriority w:val="99"/>
    <w:rsid w:val="000975BB"/>
    <w:pPr>
      <w:tabs>
        <w:tab w:val="center" w:pos="4252"/>
        <w:tab w:val="right" w:pos="8504"/>
      </w:tabs>
    </w:pPr>
  </w:style>
  <w:style w:type="character" w:customStyle="1" w:styleId="HeaderChar">
    <w:name w:val="Header Char"/>
    <w:basedOn w:val="DefaultParagraphFont"/>
    <w:link w:val="Header"/>
    <w:uiPriority w:val="99"/>
    <w:rsid w:val="000975BB"/>
    <w:rPr>
      <w:rFonts w:ascii="Verdana" w:eastAsia="Times" w:hAnsi="Verdana" w:cs="Times New Roman"/>
      <w:sz w:val="20"/>
      <w:szCs w:val="20"/>
      <w:lang w:val="es-ES_tradnl"/>
    </w:rPr>
  </w:style>
  <w:style w:type="character" w:styleId="PageNumber">
    <w:name w:val="page number"/>
    <w:basedOn w:val="DefaultParagraphFont"/>
    <w:uiPriority w:val="99"/>
    <w:rsid w:val="000975BB"/>
  </w:style>
  <w:style w:type="paragraph" w:customStyle="1" w:styleId="Prrafodelista2">
    <w:name w:val="Párrafo de lista2"/>
    <w:basedOn w:val="Normal"/>
    <w:uiPriority w:val="34"/>
    <w:qFormat/>
    <w:rsid w:val="000975BB"/>
    <w:pPr>
      <w:ind w:left="720"/>
    </w:pPr>
  </w:style>
  <w:style w:type="character" w:customStyle="1" w:styleId="BodyText2Char">
    <w:name w:val="Body Text 2 Char"/>
    <w:link w:val="BodyText2"/>
    <w:uiPriority w:val="99"/>
    <w:semiHidden/>
    <w:rsid w:val="000975BB"/>
    <w:rPr>
      <w:rFonts w:ascii="Verdana" w:eastAsia="Times" w:hAnsi="Verdana" w:cs="Times New Roman"/>
      <w:sz w:val="20"/>
      <w:szCs w:val="20"/>
      <w:lang w:val="es-ES_tradnl"/>
    </w:rPr>
  </w:style>
  <w:style w:type="paragraph" w:styleId="BodyText2">
    <w:name w:val="Body Text 2"/>
    <w:basedOn w:val="Normal"/>
    <w:link w:val="BodyText2Char"/>
    <w:uiPriority w:val="99"/>
    <w:semiHidden/>
    <w:unhideWhenUsed/>
    <w:rsid w:val="000975BB"/>
    <w:pPr>
      <w:spacing w:after="120" w:line="480" w:lineRule="auto"/>
    </w:pPr>
  </w:style>
  <w:style w:type="character" w:customStyle="1" w:styleId="BodyText2Char1">
    <w:name w:val="Body Text 2 Char1"/>
    <w:basedOn w:val="DefaultParagraphFont"/>
    <w:uiPriority w:val="99"/>
    <w:semiHidden/>
    <w:rsid w:val="000975BB"/>
    <w:rPr>
      <w:rFonts w:ascii="Verdana" w:eastAsia="Times" w:hAnsi="Verdana" w:cs="Times New Roman"/>
      <w:sz w:val="20"/>
      <w:szCs w:val="20"/>
      <w:lang w:val="es-ES_tradnl"/>
    </w:rPr>
  </w:style>
  <w:style w:type="character" w:customStyle="1" w:styleId="FooterChar">
    <w:name w:val="Footer Char"/>
    <w:link w:val="Footer"/>
    <w:uiPriority w:val="99"/>
    <w:rsid w:val="000975BB"/>
    <w:rPr>
      <w:rFonts w:ascii="Verdana" w:eastAsia="Times" w:hAnsi="Verdana" w:cs="Times New Roman"/>
      <w:sz w:val="20"/>
      <w:szCs w:val="20"/>
      <w:lang w:val="es-ES_tradnl"/>
    </w:rPr>
  </w:style>
  <w:style w:type="paragraph" w:styleId="Footer">
    <w:name w:val="footer"/>
    <w:basedOn w:val="Normal"/>
    <w:link w:val="FooterChar"/>
    <w:uiPriority w:val="99"/>
    <w:unhideWhenUsed/>
    <w:rsid w:val="000975BB"/>
    <w:pPr>
      <w:tabs>
        <w:tab w:val="center" w:pos="4680"/>
        <w:tab w:val="right" w:pos="9360"/>
      </w:tabs>
    </w:pPr>
  </w:style>
  <w:style w:type="character" w:customStyle="1" w:styleId="FooterChar1">
    <w:name w:val="Footer Char1"/>
    <w:basedOn w:val="DefaultParagraphFont"/>
    <w:uiPriority w:val="99"/>
    <w:semiHidden/>
    <w:rsid w:val="000975BB"/>
    <w:rPr>
      <w:rFonts w:ascii="Verdana" w:eastAsia="Times" w:hAnsi="Verdana" w:cs="Times New Roman"/>
      <w:sz w:val="20"/>
      <w:szCs w:val="20"/>
      <w:lang w:val="es-ES_tradnl"/>
    </w:rPr>
  </w:style>
  <w:style w:type="character" w:customStyle="1" w:styleId="BalloonTextChar">
    <w:name w:val="Balloon Text Char"/>
    <w:link w:val="BalloonText"/>
    <w:uiPriority w:val="99"/>
    <w:semiHidden/>
    <w:rsid w:val="000975BB"/>
    <w:rPr>
      <w:rFonts w:ascii="Tahoma" w:eastAsia="Times" w:hAnsi="Tahoma" w:cs="Times New Roman"/>
      <w:sz w:val="16"/>
      <w:szCs w:val="16"/>
      <w:lang w:val="es-ES_tradnl"/>
    </w:rPr>
  </w:style>
  <w:style w:type="paragraph" w:styleId="BalloonText">
    <w:name w:val="Balloon Text"/>
    <w:basedOn w:val="Normal"/>
    <w:link w:val="BalloonTextChar"/>
    <w:uiPriority w:val="99"/>
    <w:semiHidden/>
    <w:unhideWhenUsed/>
    <w:rsid w:val="000975BB"/>
    <w:rPr>
      <w:rFonts w:ascii="Tahoma" w:hAnsi="Tahoma"/>
      <w:sz w:val="16"/>
      <w:szCs w:val="16"/>
    </w:rPr>
  </w:style>
  <w:style w:type="character" w:customStyle="1" w:styleId="BalloonTextChar1">
    <w:name w:val="Balloon Text Char1"/>
    <w:basedOn w:val="DefaultParagraphFont"/>
    <w:uiPriority w:val="99"/>
    <w:semiHidden/>
    <w:rsid w:val="000975BB"/>
    <w:rPr>
      <w:rFonts w:ascii="Segoe UI" w:eastAsia="Times" w:hAnsi="Segoe UI" w:cs="Segoe UI"/>
      <w:sz w:val="18"/>
      <w:szCs w:val="18"/>
      <w:lang w:val="es-ES_tradnl"/>
    </w:rPr>
  </w:style>
  <w:style w:type="paragraph" w:styleId="EndnoteText">
    <w:name w:val="endnote text"/>
    <w:basedOn w:val="Normal"/>
    <w:link w:val="EndnoteTextChar"/>
    <w:uiPriority w:val="99"/>
    <w:rsid w:val="000975BB"/>
    <w:pPr>
      <w:widowControl w:val="0"/>
      <w:tabs>
        <w:tab w:val="left" w:pos="720"/>
        <w:tab w:val="left" w:pos="1440"/>
        <w:tab w:val="left" w:pos="2160"/>
        <w:tab w:val="left" w:pos="2880"/>
        <w:tab w:val="left" w:pos="3600"/>
        <w:tab w:val="left" w:pos="4320"/>
        <w:tab w:val="left" w:pos="5760"/>
        <w:tab w:val="left" w:pos="6480"/>
        <w:tab w:val="left" w:pos="7200"/>
        <w:tab w:val="left" w:pos="7920"/>
      </w:tabs>
      <w:jc w:val="both"/>
    </w:pPr>
    <w:rPr>
      <w:rFonts w:ascii="CG Times" w:eastAsia="Times New Roman" w:hAnsi="CG Times"/>
      <w:sz w:val="22"/>
      <w:lang w:val="es-ES"/>
    </w:rPr>
  </w:style>
  <w:style w:type="character" w:customStyle="1" w:styleId="EndnoteTextChar">
    <w:name w:val="Endnote Text Char"/>
    <w:basedOn w:val="DefaultParagraphFont"/>
    <w:link w:val="EndnoteText"/>
    <w:uiPriority w:val="99"/>
    <w:rsid w:val="000975BB"/>
    <w:rPr>
      <w:rFonts w:ascii="CG Times" w:eastAsia="Times New Roman" w:hAnsi="CG Times" w:cs="Times New Roman"/>
      <w:szCs w:val="20"/>
      <w:lang w:val="es-ES"/>
    </w:rPr>
  </w:style>
  <w:style w:type="paragraph" w:customStyle="1" w:styleId="PargrafodaLista">
    <w:name w:val="Parágrafo da Lista"/>
    <w:basedOn w:val="Normal"/>
    <w:qFormat/>
    <w:rsid w:val="000975BB"/>
    <w:pPr>
      <w:ind w:left="708"/>
    </w:pPr>
    <w:rPr>
      <w:rFonts w:eastAsia="Batang" w:cs="Times"/>
      <w:sz w:val="16"/>
      <w:szCs w:val="24"/>
    </w:rPr>
  </w:style>
  <w:style w:type="paragraph" w:customStyle="1" w:styleId="ListParagraph1">
    <w:name w:val="List Paragraph1"/>
    <w:basedOn w:val="Normal"/>
    <w:uiPriority w:val="34"/>
    <w:qFormat/>
    <w:rsid w:val="000975BB"/>
    <w:pPr>
      <w:spacing w:after="200" w:line="276" w:lineRule="auto"/>
      <w:ind w:left="720"/>
      <w:contextualSpacing/>
    </w:pPr>
    <w:rPr>
      <w:rFonts w:ascii="Times New Roman" w:eastAsia="Calibri" w:hAnsi="Times New Roman"/>
      <w:sz w:val="24"/>
      <w:szCs w:val="22"/>
      <w:lang w:val="en-US"/>
    </w:rPr>
  </w:style>
  <w:style w:type="character" w:styleId="Hyperlink">
    <w:name w:val="Hyperlink"/>
    <w:uiPriority w:val="99"/>
    <w:unhideWhenUsed/>
    <w:rsid w:val="000975BB"/>
    <w:rPr>
      <w:color w:val="0000FF"/>
      <w:u w:val="single"/>
    </w:rPr>
  </w:style>
  <w:style w:type="paragraph" w:customStyle="1" w:styleId="Sinespaciado1">
    <w:name w:val="Sin espaciado1"/>
    <w:link w:val="SinespaciadoCar"/>
    <w:uiPriority w:val="1"/>
    <w:qFormat/>
    <w:rsid w:val="000975BB"/>
    <w:pPr>
      <w:spacing w:after="0" w:line="240" w:lineRule="auto"/>
    </w:pPr>
    <w:rPr>
      <w:rFonts w:ascii="Calibri" w:eastAsia="Times New Roman" w:hAnsi="Calibri" w:cs="Times New Roman"/>
      <w:lang w:val="en-US" w:eastAsia="es-CR"/>
    </w:rPr>
  </w:style>
  <w:style w:type="character" w:customStyle="1" w:styleId="SinespaciadoCar">
    <w:name w:val="Sin espaciado Car"/>
    <w:link w:val="Sinespaciado1"/>
    <w:uiPriority w:val="1"/>
    <w:rsid w:val="000975BB"/>
    <w:rPr>
      <w:rFonts w:ascii="Calibri" w:eastAsia="Times New Roman" w:hAnsi="Calibri" w:cs="Times New Roman"/>
      <w:lang w:val="en-US" w:eastAsia="es-CR"/>
    </w:rPr>
  </w:style>
  <w:style w:type="paragraph" w:customStyle="1" w:styleId="Sangradetindependiente2">
    <w:name w:val="Sangría de t. independiente2"/>
    <w:basedOn w:val="Normal"/>
    <w:rsid w:val="000975BB"/>
    <w:pPr>
      <w:spacing w:line="360" w:lineRule="atLeast"/>
    </w:pPr>
    <w:rPr>
      <w:rFonts w:ascii="Arial" w:eastAsia="Times New Roman" w:hAnsi="Arial"/>
      <w:sz w:val="24"/>
    </w:rPr>
  </w:style>
  <w:style w:type="character" w:styleId="Strong">
    <w:name w:val="Strong"/>
    <w:uiPriority w:val="22"/>
    <w:qFormat/>
    <w:rsid w:val="000975BB"/>
    <w:rPr>
      <w:b/>
      <w:bCs/>
    </w:rPr>
  </w:style>
  <w:style w:type="paragraph" w:customStyle="1" w:styleId="Prrafodelista1">
    <w:name w:val="Párrafo de lista1"/>
    <w:basedOn w:val="Normal"/>
    <w:uiPriority w:val="34"/>
    <w:qFormat/>
    <w:rsid w:val="000975BB"/>
    <w:pPr>
      <w:ind w:left="720"/>
    </w:pPr>
  </w:style>
  <w:style w:type="paragraph" w:styleId="NormalWeb">
    <w:name w:val="Normal (Web)"/>
    <w:basedOn w:val="Normal"/>
    <w:uiPriority w:val="99"/>
    <w:unhideWhenUsed/>
    <w:rsid w:val="000975BB"/>
    <w:pPr>
      <w:spacing w:before="100" w:beforeAutospacing="1" w:after="100" w:afterAutospacing="1"/>
      <w:ind w:firstLine="138"/>
      <w:jc w:val="both"/>
    </w:pPr>
    <w:rPr>
      <w:rFonts w:ascii="Arial" w:eastAsia="Times New Roman" w:hAnsi="Arial" w:cs="Arial"/>
      <w:sz w:val="18"/>
      <w:szCs w:val="18"/>
      <w:lang w:val="en-US"/>
    </w:rPr>
  </w:style>
  <w:style w:type="character" w:customStyle="1" w:styleId="Refdenotaalpie1">
    <w:name w:val="Ref. de nota al pie1"/>
    <w:rsid w:val="000975BB"/>
    <w:rPr>
      <w:sz w:val="20"/>
      <w:vertAlign w:val="superscript"/>
    </w:rPr>
  </w:style>
  <w:style w:type="paragraph" w:customStyle="1" w:styleId="profile-textblock">
    <w:name w:val="profile-textblock"/>
    <w:basedOn w:val="Normal"/>
    <w:rsid w:val="000975BB"/>
    <w:pPr>
      <w:spacing w:after="192" w:line="384" w:lineRule="atLeast"/>
      <w:jc w:val="both"/>
    </w:pPr>
    <w:rPr>
      <w:rFonts w:ascii="Georgia" w:eastAsia="Times New Roman" w:hAnsi="Georgia"/>
      <w:sz w:val="12"/>
      <w:szCs w:val="12"/>
      <w:lang w:val="en-US"/>
    </w:rPr>
  </w:style>
  <w:style w:type="paragraph" w:styleId="BodyText">
    <w:name w:val="Body Text"/>
    <w:basedOn w:val="Normal"/>
    <w:link w:val="BodyTextChar"/>
    <w:rsid w:val="000975BB"/>
    <w:pPr>
      <w:jc w:val="both"/>
    </w:pPr>
    <w:rPr>
      <w:rFonts w:ascii="Garamond" w:hAnsi="Garamond"/>
      <w:sz w:val="24"/>
      <w:lang w:eastAsia="es-ES"/>
    </w:rPr>
  </w:style>
  <w:style w:type="character" w:customStyle="1" w:styleId="BodyTextChar">
    <w:name w:val="Body Text Char"/>
    <w:basedOn w:val="DefaultParagraphFont"/>
    <w:link w:val="BodyText"/>
    <w:rsid w:val="000975BB"/>
    <w:rPr>
      <w:rFonts w:ascii="Garamond" w:eastAsia="Times" w:hAnsi="Garamond" w:cs="Times New Roman"/>
      <w:sz w:val="24"/>
      <w:szCs w:val="20"/>
      <w:lang w:val="es-ES_tradnl" w:eastAsia="es-ES"/>
    </w:rPr>
  </w:style>
  <w:style w:type="character" w:customStyle="1" w:styleId="apple-style-span">
    <w:name w:val="apple-style-span"/>
    <w:basedOn w:val="DefaultParagraphFont"/>
    <w:rsid w:val="000975BB"/>
  </w:style>
  <w:style w:type="character" w:customStyle="1" w:styleId="CommentTextChar">
    <w:name w:val="Comment Text Char"/>
    <w:link w:val="CommentText"/>
    <w:uiPriority w:val="99"/>
    <w:semiHidden/>
    <w:rsid w:val="000975BB"/>
    <w:rPr>
      <w:rFonts w:ascii="Verdana" w:eastAsia="Times" w:hAnsi="Verdana" w:cs="Times New Roman"/>
      <w:sz w:val="20"/>
      <w:szCs w:val="20"/>
      <w:lang w:val="es-ES_tradnl"/>
    </w:rPr>
  </w:style>
  <w:style w:type="paragraph" w:styleId="CommentText">
    <w:name w:val="annotation text"/>
    <w:basedOn w:val="Normal"/>
    <w:link w:val="CommentTextChar"/>
    <w:uiPriority w:val="99"/>
    <w:semiHidden/>
    <w:unhideWhenUsed/>
    <w:rsid w:val="000975BB"/>
  </w:style>
  <w:style w:type="character" w:customStyle="1" w:styleId="CommentTextChar1">
    <w:name w:val="Comment Text Char1"/>
    <w:basedOn w:val="DefaultParagraphFont"/>
    <w:uiPriority w:val="99"/>
    <w:semiHidden/>
    <w:rsid w:val="000975BB"/>
    <w:rPr>
      <w:rFonts w:ascii="Verdana" w:eastAsia="Times" w:hAnsi="Verdana" w:cs="Times New Roman"/>
      <w:sz w:val="20"/>
      <w:szCs w:val="20"/>
      <w:lang w:val="es-ES_tradnl"/>
    </w:rPr>
  </w:style>
  <w:style w:type="character" w:customStyle="1" w:styleId="CommentSubjectChar">
    <w:name w:val="Comment Subject Char"/>
    <w:aliases w:val=" Car2 Char"/>
    <w:link w:val="CommentSubject"/>
    <w:uiPriority w:val="99"/>
    <w:semiHidden/>
    <w:rsid w:val="000975BB"/>
    <w:rPr>
      <w:rFonts w:ascii="Verdana" w:eastAsia="Times" w:hAnsi="Verdana" w:cs="Times New Roman"/>
      <w:b/>
      <w:bCs/>
      <w:sz w:val="20"/>
      <w:szCs w:val="20"/>
      <w:lang w:val="es-ES_tradnl"/>
    </w:rPr>
  </w:style>
  <w:style w:type="paragraph" w:styleId="CommentSubject">
    <w:name w:val="annotation subject"/>
    <w:aliases w:val=" Car2"/>
    <w:basedOn w:val="CommentText"/>
    <w:next w:val="CommentText"/>
    <w:link w:val="CommentSubjectChar"/>
    <w:uiPriority w:val="99"/>
    <w:semiHidden/>
    <w:unhideWhenUsed/>
    <w:rsid w:val="000975BB"/>
    <w:rPr>
      <w:b/>
      <w:bCs/>
    </w:rPr>
  </w:style>
  <w:style w:type="character" w:customStyle="1" w:styleId="CommentSubjectChar1">
    <w:name w:val="Comment Subject Char1"/>
    <w:basedOn w:val="CommentTextChar1"/>
    <w:uiPriority w:val="99"/>
    <w:semiHidden/>
    <w:rsid w:val="000975BB"/>
    <w:rPr>
      <w:rFonts w:ascii="Verdana" w:eastAsia="Times" w:hAnsi="Verdana" w:cs="Times New Roman"/>
      <w:b/>
      <w:bCs/>
      <w:sz w:val="20"/>
      <w:szCs w:val="20"/>
      <w:lang w:val="es-ES_tradnl"/>
    </w:rPr>
  </w:style>
  <w:style w:type="character" w:styleId="FollowedHyperlink">
    <w:name w:val="FollowedHyperlink"/>
    <w:rsid w:val="000975BB"/>
    <w:rPr>
      <w:color w:val="800080"/>
      <w:u w:val="single"/>
    </w:rPr>
  </w:style>
  <w:style w:type="character" w:customStyle="1" w:styleId="CarCar">
    <w:name w:val="Car Car"/>
    <w:rsid w:val="000975BB"/>
    <w:rPr>
      <w:rFonts w:ascii="Verdana" w:eastAsia="Times" w:hAnsi="Verdana" w:cs="Times New Roman"/>
      <w:sz w:val="20"/>
      <w:szCs w:val="20"/>
      <w:lang w:val="es-ES_tradnl"/>
    </w:rPr>
  </w:style>
  <w:style w:type="paragraph" w:styleId="BlockText">
    <w:name w:val="Block Text"/>
    <w:basedOn w:val="Normal"/>
    <w:rsid w:val="000975BB"/>
    <w:pPr>
      <w:tabs>
        <w:tab w:val="left" w:pos="360"/>
        <w:tab w:val="left" w:pos="540"/>
        <w:tab w:val="num" w:pos="900"/>
        <w:tab w:val="left" w:pos="1260"/>
      </w:tabs>
      <w:ind w:left="1440" w:right="720"/>
      <w:jc w:val="both"/>
    </w:pPr>
    <w:rPr>
      <w:sz w:val="18"/>
    </w:rPr>
  </w:style>
  <w:style w:type="character" w:customStyle="1" w:styleId="apple-converted-space">
    <w:name w:val="apple-converted-space"/>
    <w:basedOn w:val="DefaultParagraphFont"/>
    <w:rsid w:val="000975BB"/>
  </w:style>
  <w:style w:type="character" w:customStyle="1" w:styleId="FootnoteRef">
    <w:name w:val="Footnote Ref"/>
    <w:rsid w:val="000975BB"/>
    <w:rPr>
      <w:vertAlign w:val="superscript"/>
    </w:rPr>
  </w:style>
  <w:style w:type="character" w:customStyle="1" w:styleId="ju-005fpara--char">
    <w:name w:val="ju-005fpara--char"/>
    <w:basedOn w:val="DefaultParagraphFont"/>
    <w:rsid w:val="000975BB"/>
  </w:style>
  <w:style w:type="character" w:customStyle="1" w:styleId="normal--char">
    <w:name w:val="normal--char"/>
    <w:basedOn w:val="DefaultParagraphFont"/>
    <w:rsid w:val="000975BB"/>
  </w:style>
  <w:style w:type="paragraph" w:customStyle="1" w:styleId="Body1">
    <w:name w:val="Body 1"/>
    <w:uiPriority w:val="99"/>
    <w:rsid w:val="000975BB"/>
    <w:pPr>
      <w:spacing w:after="0" w:line="240" w:lineRule="auto"/>
      <w:outlineLvl w:val="0"/>
    </w:pPr>
    <w:rPr>
      <w:rFonts w:ascii="Times New Roman" w:eastAsia="SimSun" w:hAnsi="Times New Roman" w:cs="Times New Roman"/>
      <w:color w:val="000000"/>
      <w:sz w:val="24"/>
      <w:szCs w:val="20"/>
      <w:lang w:val="en-US"/>
    </w:rPr>
  </w:style>
  <w:style w:type="character" w:customStyle="1" w:styleId="MediumGrid1-Accent2Char">
    <w:name w:val="Medium Grid 1 - Accent 2 Char"/>
    <w:aliases w:val="Footnote Char,Colorful List - Accent 11 Char,List Paragraph2 Char"/>
    <w:link w:val="MediumGrid1-Accent2"/>
    <w:uiPriority w:val="99"/>
    <w:rsid w:val="000975BB"/>
    <w:rPr>
      <w:rFonts w:ascii="Verdana" w:eastAsia="Batang" w:hAnsi="Verdana" w:cs="Times New Roman"/>
      <w:sz w:val="20"/>
      <w:szCs w:val="24"/>
      <w:lang w:val="es-ES_tradnl"/>
    </w:rPr>
  </w:style>
  <w:style w:type="character" w:customStyle="1" w:styleId="FootnoteTextCharCharCar">
    <w:name w:val="Footnote Text Char Char Car"/>
    <w:rsid w:val="000975BB"/>
    <w:rPr>
      <w:rFonts w:ascii="Verdana" w:eastAsia="Times" w:hAnsi="Verdana" w:cs="Times New Roman"/>
      <w:sz w:val="16"/>
      <w:szCs w:val="20"/>
      <w:lang w:val="es-ES_tradnl"/>
    </w:rPr>
  </w:style>
  <w:style w:type="character" w:customStyle="1" w:styleId="TextonotapieCarCar">
    <w:name w:val="Texto nota pie Car Car"/>
    <w:rsid w:val="000975BB"/>
    <w:rPr>
      <w:rFonts w:ascii="Verdana" w:eastAsia="Times" w:hAnsi="Verdana"/>
      <w:sz w:val="16"/>
      <w:lang w:val="es-ES_tradnl"/>
    </w:rPr>
  </w:style>
  <w:style w:type="character" w:customStyle="1" w:styleId="ListParagraphChar1">
    <w:name w:val="List Paragraph Char1"/>
    <w:uiPriority w:val="99"/>
    <w:rsid w:val="000975BB"/>
    <w:rPr>
      <w:rFonts w:ascii="Verdana" w:eastAsia="Times New Roman" w:hAnsi="Verdana"/>
      <w:lang w:val="es-ES_tradnl" w:eastAsia="en-US"/>
    </w:rPr>
  </w:style>
  <w:style w:type="character" w:customStyle="1" w:styleId="DocumentMapChar">
    <w:name w:val="Document Map Char"/>
    <w:link w:val="DocumentMap"/>
    <w:uiPriority w:val="99"/>
    <w:semiHidden/>
    <w:rsid w:val="000975BB"/>
    <w:rPr>
      <w:rFonts w:ascii="Tahoma" w:eastAsia="Times" w:hAnsi="Tahoma" w:cs="Tahoma"/>
      <w:sz w:val="16"/>
      <w:szCs w:val="16"/>
      <w:lang w:val="es-ES_tradnl"/>
    </w:rPr>
  </w:style>
  <w:style w:type="paragraph" w:styleId="DocumentMap">
    <w:name w:val="Document Map"/>
    <w:basedOn w:val="Normal"/>
    <w:link w:val="DocumentMapChar"/>
    <w:uiPriority w:val="99"/>
    <w:semiHidden/>
    <w:unhideWhenUsed/>
    <w:rsid w:val="000975BB"/>
    <w:rPr>
      <w:rFonts w:ascii="Tahoma" w:hAnsi="Tahoma" w:cs="Tahoma"/>
      <w:sz w:val="16"/>
      <w:szCs w:val="16"/>
    </w:rPr>
  </w:style>
  <w:style w:type="character" w:customStyle="1" w:styleId="DocumentMapChar1">
    <w:name w:val="Document Map Char1"/>
    <w:basedOn w:val="DefaultParagraphFont"/>
    <w:uiPriority w:val="99"/>
    <w:semiHidden/>
    <w:rsid w:val="000975BB"/>
    <w:rPr>
      <w:rFonts w:ascii="Segoe UI" w:eastAsia="Times" w:hAnsi="Segoe UI" w:cs="Segoe UI"/>
      <w:sz w:val="16"/>
      <w:szCs w:val="16"/>
      <w:lang w:val="es-ES_tradnl"/>
    </w:rPr>
  </w:style>
  <w:style w:type="paragraph" w:customStyle="1" w:styleId="Default">
    <w:name w:val="Default"/>
    <w:rsid w:val="000975BB"/>
    <w:pPr>
      <w:autoSpaceDE w:val="0"/>
      <w:autoSpaceDN w:val="0"/>
      <w:adjustRightInd w:val="0"/>
      <w:spacing w:after="0" w:line="240" w:lineRule="auto"/>
    </w:pPr>
    <w:rPr>
      <w:rFonts w:ascii="Verdana" w:eastAsia="Cambria" w:hAnsi="Verdana" w:cs="Verdana"/>
      <w:color w:val="000000"/>
      <w:sz w:val="24"/>
      <w:szCs w:val="24"/>
      <w:lang w:val="es-CR" w:eastAsia="es-CR"/>
    </w:rPr>
  </w:style>
  <w:style w:type="paragraph" w:customStyle="1" w:styleId="citaindirecta">
    <w:name w:val="cita indirecta"/>
    <w:basedOn w:val="Normal"/>
    <w:rsid w:val="000975BB"/>
    <w:pPr>
      <w:ind w:left="708"/>
      <w:jc w:val="both"/>
    </w:pPr>
    <w:rPr>
      <w:rFonts w:eastAsia="Times New Roman"/>
    </w:rPr>
  </w:style>
  <w:style w:type="character" w:styleId="CommentReference">
    <w:name w:val="annotation reference"/>
    <w:uiPriority w:val="99"/>
    <w:semiHidden/>
    <w:unhideWhenUsed/>
    <w:rsid w:val="000975BB"/>
    <w:rPr>
      <w:sz w:val="16"/>
      <w:szCs w:val="16"/>
    </w:rPr>
  </w:style>
  <w:style w:type="paragraph" w:customStyle="1" w:styleId="Estilo4">
    <w:name w:val="Estilo4"/>
    <w:qFormat/>
    <w:rsid w:val="000975BB"/>
    <w:pPr>
      <w:numPr>
        <w:ilvl w:val="1"/>
        <w:numId w:val="5"/>
      </w:numPr>
      <w:spacing w:after="120"/>
      <w:ind w:left="0" w:firstLine="357"/>
      <w:jc w:val="both"/>
    </w:pPr>
    <w:rPr>
      <w:rFonts w:eastAsia="Times New Roman"/>
      <w:spacing w:val="-2"/>
      <w:szCs w:val="20"/>
      <w:lang w:val="es-CR"/>
    </w:rPr>
  </w:style>
  <w:style w:type="character" w:customStyle="1" w:styleId="sb8d990e2">
    <w:name w:val="sb8d990e2"/>
    <w:basedOn w:val="DefaultParagraphFont"/>
    <w:rsid w:val="000975BB"/>
  </w:style>
  <w:style w:type="character" w:styleId="LineNumber">
    <w:name w:val="line number"/>
    <w:uiPriority w:val="99"/>
    <w:semiHidden/>
    <w:unhideWhenUsed/>
    <w:rsid w:val="000975BB"/>
  </w:style>
  <w:style w:type="table" w:styleId="MediumGrid1-Accent2">
    <w:name w:val="Medium Grid 1 Accent 2"/>
    <w:basedOn w:val="TableNormal"/>
    <w:link w:val="MediumGrid1-Accent2Char"/>
    <w:uiPriority w:val="99"/>
    <w:semiHidden/>
    <w:unhideWhenUsed/>
    <w:rsid w:val="000975BB"/>
    <w:pPr>
      <w:spacing w:after="0" w:line="240" w:lineRule="auto"/>
    </w:pPr>
    <w:rPr>
      <w:rFonts w:ascii="Verdana" w:eastAsia="Batang" w:hAnsi="Verdana" w:cs="Times New Roman"/>
      <w:sz w:val="20"/>
      <w:szCs w:val="24"/>
      <w:lang w:val="es-ES_tradnl"/>
    </w:r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lastRow">
      <w:tblPr/>
      <w:tcPr>
        <w:tcBorders>
          <w:top w:val="single" w:sz="18" w:space="0" w:color="F19D64" w:themeColor="accent2" w:themeTint="BF"/>
        </w:tcBorders>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paragraph" w:styleId="ListParagraph">
    <w:name w:val="List Paragraph"/>
    <w:basedOn w:val="Normal"/>
    <w:uiPriority w:val="34"/>
    <w:qFormat/>
    <w:rsid w:val="00514A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615198">
      <w:bodyDiv w:val="1"/>
      <w:marLeft w:val="0"/>
      <w:marRight w:val="0"/>
      <w:marTop w:val="0"/>
      <w:marBottom w:val="0"/>
      <w:divBdr>
        <w:top w:val="none" w:sz="0" w:space="0" w:color="auto"/>
        <w:left w:val="none" w:sz="0" w:space="0" w:color="auto"/>
        <w:bottom w:val="none" w:sz="0" w:space="0" w:color="auto"/>
        <w:right w:val="none" w:sz="0" w:space="0" w:color="auto"/>
      </w:divBdr>
    </w:div>
    <w:div w:id="562641276">
      <w:bodyDiv w:val="1"/>
      <w:marLeft w:val="0"/>
      <w:marRight w:val="0"/>
      <w:marTop w:val="0"/>
      <w:marBottom w:val="0"/>
      <w:divBdr>
        <w:top w:val="none" w:sz="0" w:space="0" w:color="auto"/>
        <w:left w:val="none" w:sz="0" w:space="0" w:color="auto"/>
        <w:bottom w:val="none" w:sz="0" w:space="0" w:color="auto"/>
        <w:right w:val="none" w:sz="0" w:space="0" w:color="auto"/>
      </w:divBdr>
    </w:div>
    <w:div w:id="909462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4E669E-439A-4A59-817F-37FB2355E4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3366</Words>
  <Characters>19189</Characters>
  <Application>Microsoft Office Word</Application>
  <DocSecurity>4</DocSecurity>
  <Lines>159</Lines>
  <Paragraphs>45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22510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Corte IDH</dc:creator>
  <cp:lastModifiedBy>Patricia Calderon</cp:lastModifiedBy>
  <cp:revision>3</cp:revision>
  <cp:lastPrinted>2018-11-29T20:02:00Z</cp:lastPrinted>
  <dcterms:created xsi:type="dcterms:W3CDTF">2018-11-29T20:02:00Z</dcterms:created>
  <dcterms:modified xsi:type="dcterms:W3CDTF">2018-11-29T20:05:00Z</dcterms:modified>
</cp:coreProperties>
</file>