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51E7A" w14:textId="77777777" w:rsidR="009403BF" w:rsidRPr="00532C3B" w:rsidRDefault="006206E5" w:rsidP="004C6F25">
      <w:pPr>
        <w:pStyle w:val="Footnotes"/>
        <w:rPr>
          <w:rFonts w:eastAsia="MS Mincho"/>
          <w:sz w:val="20"/>
          <w:szCs w:val="20"/>
        </w:rPr>
      </w:pPr>
      <w:bookmarkStart w:id="0" w:name="_GoBack"/>
      <w:bookmarkEnd w:id="0"/>
      <w:r w:rsidRPr="00532C3B">
        <w:rPr>
          <w:rFonts w:eastAsia="MS Mincho"/>
          <w:sz w:val="20"/>
          <w:szCs w:val="20"/>
        </w:rPr>
        <w:t xml:space="preserve"> </w:t>
      </w:r>
    </w:p>
    <w:p w14:paraId="267F0E61" w14:textId="77777777" w:rsidR="009403BF" w:rsidRPr="00E50B09" w:rsidRDefault="009403BF" w:rsidP="00491B00">
      <w:pPr>
        <w:pStyle w:val="Title"/>
        <w:ind w:left="-142" w:right="-4"/>
        <w:rPr>
          <w:rFonts w:eastAsia="MS Mincho"/>
          <w:b w:val="0"/>
        </w:rPr>
      </w:pPr>
    </w:p>
    <w:p w14:paraId="735773D4" w14:textId="77777777" w:rsidR="009403BF" w:rsidRPr="00E50B09" w:rsidRDefault="009403BF" w:rsidP="00491B00">
      <w:pPr>
        <w:pStyle w:val="Title"/>
        <w:ind w:left="-142" w:right="-4"/>
        <w:rPr>
          <w:rFonts w:eastAsia="MS Mincho"/>
          <w:b w:val="0"/>
        </w:rPr>
      </w:pPr>
    </w:p>
    <w:p w14:paraId="7D038EFD" w14:textId="77777777" w:rsidR="009403BF" w:rsidRPr="00E50B09" w:rsidRDefault="009403BF" w:rsidP="00491B00">
      <w:pPr>
        <w:pStyle w:val="Title"/>
        <w:ind w:left="-142" w:right="-4"/>
        <w:rPr>
          <w:rFonts w:eastAsia="MS Mincho"/>
          <w:b w:val="0"/>
        </w:rPr>
      </w:pPr>
    </w:p>
    <w:p w14:paraId="0C916D3C" w14:textId="77777777" w:rsidR="009403BF" w:rsidRPr="00E50B09" w:rsidRDefault="009403BF" w:rsidP="00491B00">
      <w:pPr>
        <w:pStyle w:val="Title"/>
        <w:ind w:left="-142" w:right="-4"/>
        <w:rPr>
          <w:rFonts w:eastAsia="MS Mincho"/>
          <w:b w:val="0"/>
        </w:rPr>
      </w:pPr>
    </w:p>
    <w:p w14:paraId="42184ADF" w14:textId="77777777" w:rsidR="009403BF" w:rsidRPr="00E50B09" w:rsidRDefault="009403BF" w:rsidP="00491B00">
      <w:pPr>
        <w:pStyle w:val="Title"/>
        <w:ind w:left="-142" w:right="-4"/>
        <w:rPr>
          <w:rFonts w:eastAsia="MS Mincho"/>
          <w:b w:val="0"/>
        </w:rPr>
      </w:pPr>
    </w:p>
    <w:p w14:paraId="38FD3011" w14:textId="77777777" w:rsidR="009403BF" w:rsidRPr="00532C3B" w:rsidRDefault="009403BF" w:rsidP="00491B00">
      <w:pPr>
        <w:pStyle w:val="Title"/>
        <w:ind w:left="-142" w:right="-4"/>
        <w:rPr>
          <w:rFonts w:eastAsia="MS Mincho"/>
        </w:rPr>
      </w:pPr>
      <w:r w:rsidRPr="00532C3B">
        <w:rPr>
          <w:rFonts w:eastAsia="MS Mincho"/>
        </w:rPr>
        <w:t>CORTE INTERAMERICANA DE DERECHOS HUMANOS</w:t>
      </w:r>
    </w:p>
    <w:p w14:paraId="6429DAF5" w14:textId="77777777" w:rsidR="009403BF" w:rsidRPr="00E50B09" w:rsidRDefault="009403BF" w:rsidP="00491B00">
      <w:pPr>
        <w:pStyle w:val="Title"/>
        <w:ind w:left="-142" w:right="-4"/>
        <w:rPr>
          <w:rFonts w:eastAsia="MS Mincho"/>
          <w:b w:val="0"/>
        </w:rPr>
      </w:pPr>
    </w:p>
    <w:p w14:paraId="34C1E097" w14:textId="77777777" w:rsidR="009403BF" w:rsidRPr="00E50B09" w:rsidRDefault="009403BF" w:rsidP="00491B00">
      <w:pPr>
        <w:pStyle w:val="Title"/>
        <w:tabs>
          <w:tab w:val="left" w:pos="7501"/>
        </w:tabs>
        <w:ind w:left="-142" w:right="-4"/>
        <w:rPr>
          <w:rFonts w:eastAsia="MS Mincho"/>
          <w:b w:val="0"/>
        </w:rPr>
      </w:pPr>
    </w:p>
    <w:p w14:paraId="0CD1D6CD" w14:textId="77777777" w:rsidR="009403BF" w:rsidRPr="00E50B09" w:rsidRDefault="009403BF" w:rsidP="00491B00">
      <w:pPr>
        <w:pStyle w:val="Title"/>
        <w:ind w:left="-142" w:right="-4"/>
        <w:rPr>
          <w:rFonts w:eastAsia="MS Mincho"/>
          <w:b w:val="0"/>
        </w:rPr>
      </w:pPr>
    </w:p>
    <w:p w14:paraId="138F2A52" w14:textId="07554EFB" w:rsidR="009403BF" w:rsidRPr="00532C3B" w:rsidRDefault="006717B6" w:rsidP="00491B00">
      <w:pPr>
        <w:spacing w:after="120"/>
        <w:ind w:right="-4"/>
        <w:jc w:val="center"/>
        <w:rPr>
          <w:rFonts w:cs="Verdana Bold"/>
          <w:b/>
          <w:bCs/>
          <w:i/>
          <w:caps/>
          <w:szCs w:val="20"/>
        </w:rPr>
      </w:pPr>
      <w:r w:rsidRPr="00532C3B">
        <w:rPr>
          <w:rFonts w:cs="Verdana Bold"/>
          <w:b/>
          <w:bCs/>
          <w:i/>
          <w:caps/>
          <w:szCs w:val="20"/>
        </w:rPr>
        <w:t xml:space="preserve">CASO </w:t>
      </w:r>
      <w:r w:rsidR="00FA45CF" w:rsidRPr="00532C3B">
        <w:rPr>
          <w:rFonts w:cs="Verdana Bold"/>
          <w:b/>
          <w:bCs/>
          <w:i/>
          <w:caps/>
          <w:szCs w:val="20"/>
        </w:rPr>
        <w:t xml:space="preserve">TRUEBA ARCINIEGA Y OTROS VS. </w:t>
      </w:r>
      <w:r w:rsidR="00146A25">
        <w:rPr>
          <w:rFonts w:cs="Verdana Bold"/>
          <w:b/>
          <w:bCs/>
          <w:i/>
          <w:caps/>
          <w:szCs w:val="20"/>
        </w:rPr>
        <w:t>México</w:t>
      </w:r>
    </w:p>
    <w:p w14:paraId="76574688" w14:textId="77777777" w:rsidR="009403BF" w:rsidRPr="00E50B09" w:rsidRDefault="009403BF" w:rsidP="00491B00">
      <w:pPr>
        <w:pStyle w:val="Title"/>
        <w:ind w:left="-142" w:right="-4"/>
        <w:rPr>
          <w:rFonts w:eastAsia="MS Mincho"/>
          <w:b w:val="0"/>
          <w:lang w:val="es-ES"/>
        </w:rPr>
      </w:pPr>
    </w:p>
    <w:p w14:paraId="0D39B8D5" w14:textId="77777777" w:rsidR="009403BF" w:rsidRPr="00E50B09" w:rsidRDefault="009403BF" w:rsidP="00491B00">
      <w:pPr>
        <w:pStyle w:val="Title"/>
        <w:ind w:left="-142" w:right="-4"/>
        <w:rPr>
          <w:rFonts w:eastAsia="MS Mincho"/>
          <w:b w:val="0"/>
        </w:rPr>
      </w:pPr>
    </w:p>
    <w:p w14:paraId="69510CF1" w14:textId="26085A21" w:rsidR="006717B6" w:rsidRPr="00532C3B" w:rsidRDefault="006717B6" w:rsidP="006717B6">
      <w:pPr>
        <w:pStyle w:val="Title"/>
        <w:ind w:left="-142" w:right="-4"/>
        <w:rPr>
          <w:rFonts w:eastAsia="MS Mincho"/>
        </w:rPr>
      </w:pPr>
      <w:r w:rsidRPr="00532C3B">
        <w:rPr>
          <w:rFonts w:eastAsia="MS Mincho"/>
        </w:rPr>
        <w:t xml:space="preserve">SENTENCIA DE </w:t>
      </w:r>
      <w:r w:rsidR="00BA7B3D" w:rsidRPr="0027156A">
        <w:rPr>
          <w:rFonts w:eastAsia="MS Mincho"/>
        </w:rPr>
        <w:t>27</w:t>
      </w:r>
      <w:r w:rsidR="00ED41E6" w:rsidRPr="00532C3B">
        <w:rPr>
          <w:rFonts w:eastAsia="MS Mincho"/>
        </w:rPr>
        <w:t xml:space="preserve"> </w:t>
      </w:r>
      <w:r w:rsidRPr="00532C3B">
        <w:rPr>
          <w:rFonts w:eastAsia="MS Mincho"/>
        </w:rPr>
        <w:t xml:space="preserve">DE </w:t>
      </w:r>
      <w:r w:rsidR="00FA45CF" w:rsidRPr="00532C3B">
        <w:rPr>
          <w:rFonts w:eastAsia="MS Mincho"/>
        </w:rPr>
        <w:t>NOVIEMBRE</w:t>
      </w:r>
      <w:r w:rsidRPr="00532C3B">
        <w:rPr>
          <w:rFonts w:eastAsia="MS Mincho"/>
        </w:rPr>
        <w:t xml:space="preserve"> DE 2018</w:t>
      </w:r>
    </w:p>
    <w:p w14:paraId="7A748CBB" w14:textId="4A884878" w:rsidR="009403BF" w:rsidRPr="00E50B09" w:rsidRDefault="009403BF" w:rsidP="00491B00">
      <w:pPr>
        <w:pStyle w:val="Title"/>
        <w:ind w:left="-142" w:right="-4"/>
        <w:rPr>
          <w:rFonts w:eastAsia="MS Mincho"/>
          <w:b w:val="0"/>
        </w:rPr>
      </w:pPr>
    </w:p>
    <w:p w14:paraId="6447DB77" w14:textId="77777777" w:rsidR="009569E6" w:rsidRPr="00E50B09" w:rsidRDefault="009569E6" w:rsidP="00491B00">
      <w:pPr>
        <w:pStyle w:val="Title"/>
        <w:ind w:left="-142" w:right="-4"/>
        <w:rPr>
          <w:rFonts w:eastAsia="MS Mincho"/>
          <w:b w:val="0"/>
        </w:rPr>
      </w:pPr>
    </w:p>
    <w:p w14:paraId="34E0E0D4" w14:textId="77777777" w:rsidR="009403BF" w:rsidRPr="00532C3B" w:rsidRDefault="009403BF" w:rsidP="00491B00">
      <w:pPr>
        <w:ind w:left="-142" w:right="-4"/>
        <w:rPr>
          <w:szCs w:val="20"/>
        </w:rPr>
      </w:pPr>
    </w:p>
    <w:p w14:paraId="321DF005" w14:textId="77777777" w:rsidR="009403BF" w:rsidRPr="00532C3B" w:rsidRDefault="009403BF" w:rsidP="00491B00">
      <w:pPr>
        <w:ind w:left="-142" w:right="-4"/>
        <w:rPr>
          <w:szCs w:val="20"/>
        </w:rPr>
      </w:pPr>
    </w:p>
    <w:p w14:paraId="418DC2D6" w14:textId="77777777" w:rsidR="009403BF" w:rsidRPr="00532C3B" w:rsidRDefault="009403BF" w:rsidP="00491B00">
      <w:pPr>
        <w:ind w:left="-142" w:right="-4"/>
        <w:rPr>
          <w:szCs w:val="20"/>
        </w:rPr>
      </w:pPr>
    </w:p>
    <w:p w14:paraId="76786F78" w14:textId="40AA9828" w:rsidR="008F1678" w:rsidRPr="00532C3B" w:rsidRDefault="009403BF" w:rsidP="008F1678">
      <w:pPr>
        <w:rPr>
          <w:i/>
          <w:szCs w:val="20"/>
        </w:rPr>
      </w:pPr>
      <w:r w:rsidRPr="00532C3B">
        <w:rPr>
          <w:szCs w:val="20"/>
        </w:rPr>
        <w:t xml:space="preserve">En el </w:t>
      </w:r>
      <w:r w:rsidR="006717B6" w:rsidRPr="00532C3B">
        <w:rPr>
          <w:i/>
          <w:szCs w:val="20"/>
        </w:rPr>
        <w:t xml:space="preserve">Caso </w:t>
      </w:r>
      <w:r w:rsidR="00FA45CF" w:rsidRPr="00532C3B">
        <w:rPr>
          <w:i/>
          <w:szCs w:val="20"/>
        </w:rPr>
        <w:t>Trueba Arciniega</w:t>
      </w:r>
      <w:r w:rsidR="0038493D" w:rsidRPr="00532C3B">
        <w:rPr>
          <w:i/>
          <w:szCs w:val="20"/>
        </w:rPr>
        <w:t xml:space="preserve"> y </w:t>
      </w:r>
      <w:r w:rsidR="00FA45CF" w:rsidRPr="00532C3B">
        <w:rPr>
          <w:i/>
          <w:szCs w:val="20"/>
        </w:rPr>
        <w:t>o</w:t>
      </w:r>
      <w:r w:rsidR="0038493D" w:rsidRPr="00532C3B">
        <w:rPr>
          <w:i/>
          <w:szCs w:val="20"/>
        </w:rPr>
        <w:t>tros</w:t>
      </w:r>
      <w:r w:rsidR="004B605F" w:rsidRPr="00532C3B">
        <w:rPr>
          <w:i/>
          <w:szCs w:val="20"/>
        </w:rPr>
        <w:t>,</w:t>
      </w:r>
    </w:p>
    <w:p w14:paraId="055945BC" w14:textId="77777777" w:rsidR="009403BF" w:rsidRPr="00532C3B" w:rsidRDefault="009403BF" w:rsidP="00491B00">
      <w:pPr>
        <w:ind w:right="-4"/>
        <w:rPr>
          <w:szCs w:val="20"/>
        </w:rPr>
      </w:pPr>
    </w:p>
    <w:p w14:paraId="4CD4E994" w14:textId="77777777" w:rsidR="009403BF" w:rsidRPr="00532C3B" w:rsidRDefault="009403BF" w:rsidP="00491B00">
      <w:pPr>
        <w:ind w:left="-142" w:right="-4"/>
        <w:rPr>
          <w:szCs w:val="20"/>
        </w:rPr>
      </w:pPr>
    </w:p>
    <w:p w14:paraId="1F11BA05" w14:textId="39A4C262" w:rsidR="009403BF" w:rsidRPr="00532C3B" w:rsidRDefault="009403BF" w:rsidP="00491B00">
      <w:pPr>
        <w:ind w:right="-4"/>
        <w:rPr>
          <w:szCs w:val="20"/>
        </w:rPr>
      </w:pPr>
      <w:proofErr w:type="gramStart"/>
      <w:r w:rsidRPr="00532C3B">
        <w:rPr>
          <w:szCs w:val="20"/>
        </w:rPr>
        <w:t>la</w:t>
      </w:r>
      <w:proofErr w:type="gramEnd"/>
      <w:r w:rsidRPr="00532C3B">
        <w:rPr>
          <w:szCs w:val="20"/>
        </w:rPr>
        <w:t xml:space="preserve"> Corte Interamericana de Derechos Humanos (en adelante “la Corte Interamericana”, “la Corte” o “el Tribunal”), integrada por los siguientes Jueces</w:t>
      </w:r>
      <w:r w:rsidR="00FE57C2" w:rsidRPr="00532C3B">
        <w:rPr>
          <w:rStyle w:val="FootnoteReference"/>
        </w:rPr>
        <w:footnoteReference w:id="1"/>
      </w:r>
      <w:r w:rsidRPr="00532C3B">
        <w:rPr>
          <w:szCs w:val="20"/>
        </w:rPr>
        <w:t>:</w:t>
      </w:r>
    </w:p>
    <w:p w14:paraId="061A10D6" w14:textId="77777777" w:rsidR="009403BF" w:rsidRPr="00532C3B" w:rsidRDefault="009403BF" w:rsidP="00491B00">
      <w:pPr>
        <w:ind w:right="-4"/>
        <w:rPr>
          <w:szCs w:val="20"/>
        </w:rPr>
      </w:pPr>
    </w:p>
    <w:p w14:paraId="462399FB" w14:textId="5B63C499" w:rsidR="0038493D" w:rsidRPr="00532C3B" w:rsidRDefault="0038493D" w:rsidP="0038493D">
      <w:pPr>
        <w:rPr>
          <w:szCs w:val="20"/>
          <w:lang w:val="es-ES"/>
        </w:rPr>
      </w:pPr>
      <w:r w:rsidRPr="00532C3B">
        <w:rPr>
          <w:szCs w:val="20"/>
          <w:lang w:val="es-ES"/>
        </w:rPr>
        <w:t xml:space="preserve">Eduardo Vio Grossi, </w:t>
      </w:r>
      <w:r w:rsidR="00FE57C2" w:rsidRPr="00532C3B">
        <w:rPr>
          <w:szCs w:val="20"/>
          <w:lang w:val="es-ES"/>
        </w:rPr>
        <w:t>Presidente en ejercicio</w:t>
      </w:r>
      <w:r w:rsidRPr="00532C3B">
        <w:rPr>
          <w:szCs w:val="20"/>
          <w:lang w:val="es-ES"/>
        </w:rPr>
        <w:t>;</w:t>
      </w:r>
    </w:p>
    <w:p w14:paraId="0729D29D" w14:textId="77777777" w:rsidR="0038493D" w:rsidRPr="00532C3B" w:rsidRDefault="0038493D" w:rsidP="0038493D">
      <w:pPr>
        <w:rPr>
          <w:szCs w:val="20"/>
          <w:lang w:val="es-ES"/>
        </w:rPr>
      </w:pPr>
      <w:r w:rsidRPr="00532C3B">
        <w:rPr>
          <w:szCs w:val="20"/>
          <w:lang w:val="es-ES"/>
        </w:rPr>
        <w:t>Humberto Antonio Sierra Porto, Juez;</w:t>
      </w:r>
    </w:p>
    <w:p w14:paraId="08B33FE0" w14:textId="5FA62B72" w:rsidR="00FA45CF" w:rsidRPr="00532C3B" w:rsidRDefault="00FA45CF" w:rsidP="0038493D">
      <w:pPr>
        <w:rPr>
          <w:szCs w:val="20"/>
          <w:lang w:val="es-ES"/>
        </w:rPr>
      </w:pPr>
      <w:r w:rsidRPr="00532C3B">
        <w:rPr>
          <w:szCs w:val="20"/>
          <w:lang w:val="es-ES"/>
        </w:rPr>
        <w:t>Elizabeth Odio Benito, Jueza;</w:t>
      </w:r>
    </w:p>
    <w:p w14:paraId="33E0B891" w14:textId="77777777" w:rsidR="0038493D" w:rsidRPr="00532C3B" w:rsidRDefault="0038493D" w:rsidP="0038493D">
      <w:pPr>
        <w:rPr>
          <w:szCs w:val="20"/>
          <w:lang w:val="es-ES"/>
        </w:rPr>
      </w:pPr>
      <w:r w:rsidRPr="00532C3B">
        <w:rPr>
          <w:szCs w:val="20"/>
          <w:lang w:val="es-ES"/>
        </w:rPr>
        <w:t>Eugenio Raúl Zaffaroni, Juez;</w:t>
      </w:r>
    </w:p>
    <w:p w14:paraId="5ED6FE4F" w14:textId="4F1566F8" w:rsidR="0038493D" w:rsidRPr="00532C3B" w:rsidRDefault="0038493D" w:rsidP="0038493D">
      <w:pPr>
        <w:rPr>
          <w:szCs w:val="20"/>
          <w:lang w:val="es-ES"/>
        </w:rPr>
      </w:pPr>
      <w:r w:rsidRPr="00532C3B">
        <w:rPr>
          <w:szCs w:val="20"/>
          <w:lang w:val="es-ES"/>
        </w:rPr>
        <w:t xml:space="preserve">L. Patricio Pazmiño Freire, Juez, y </w:t>
      </w:r>
    </w:p>
    <w:p w14:paraId="771D145A" w14:textId="77777777" w:rsidR="009403BF" w:rsidRPr="00532C3B" w:rsidRDefault="009403BF" w:rsidP="00491B00">
      <w:pPr>
        <w:pStyle w:val="citaindirecta"/>
        <w:ind w:right="-4"/>
        <w:rPr>
          <w:lang w:val="es-ES"/>
        </w:rPr>
      </w:pPr>
    </w:p>
    <w:p w14:paraId="4CD49D9B" w14:textId="3885A458" w:rsidR="009403BF" w:rsidRPr="00532C3B" w:rsidRDefault="009403BF" w:rsidP="00491B00">
      <w:pPr>
        <w:ind w:right="-4"/>
        <w:rPr>
          <w:szCs w:val="20"/>
        </w:rPr>
      </w:pPr>
      <w:proofErr w:type="gramStart"/>
      <w:r w:rsidRPr="00532C3B">
        <w:rPr>
          <w:szCs w:val="20"/>
        </w:rPr>
        <w:t>presente</w:t>
      </w:r>
      <w:proofErr w:type="gramEnd"/>
      <w:r w:rsidRPr="00532C3B">
        <w:rPr>
          <w:szCs w:val="20"/>
        </w:rPr>
        <w:t>, además,</w:t>
      </w:r>
    </w:p>
    <w:p w14:paraId="13AF3341" w14:textId="77777777" w:rsidR="009403BF" w:rsidRPr="00532C3B" w:rsidRDefault="009403BF" w:rsidP="00491B00">
      <w:pPr>
        <w:ind w:right="-4"/>
        <w:rPr>
          <w:szCs w:val="20"/>
        </w:rPr>
      </w:pPr>
    </w:p>
    <w:p w14:paraId="23558375" w14:textId="742501C1" w:rsidR="009403BF" w:rsidRPr="00532C3B" w:rsidRDefault="009403BF" w:rsidP="00E707CD">
      <w:pPr>
        <w:ind w:right="-4" w:firstLine="708"/>
        <w:rPr>
          <w:szCs w:val="20"/>
        </w:rPr>
      </w:pPr>
      <w:r w:rsidRPr="00532C3B">
        <w:rPr>
          <w:szCs w:val="20"/>
        </w:rPr>
        <w:t>Pablo Sa</w:t>
      </w:r>
      <w:r w:rsidR="00E707CD">
        <w:rPr>
          <w:szCs w:val="20"/>
        </w:rPr>
        <w:t>avedra Alessandri, Secretario,</w:t>
      </w:r>
    </w:p>
    <w:p w14:paraId="22A0E929" w14:textId="77777777" w:rsidR="009403BF" w:rsidRPr="00532C3B" w:rsidRDefault="009403BF" w:rsidP="00491B00">
      <w:pPr>
        <w:ind w:right="-4"/>
        <w:rPr>
          <w:szCs w:val="20"/>
        </w:rPr>
      </w:pPr>
    </w:p>
    <w:p w14:paraId="121D9294" w14:textId="6523274B" w:rsidR="009403BF" w:rsidRPr="00532C3B" w:rsidRDefault="009403BF" w:rsidP="00491B00">
      <w:pPr>
        <w:ind w:right="-4"/>
        <w:rPr>
          <w:szCs w:val="20"/>
        </w:rPr>
      </w:pPr>
      <w:proofErr w:type="gramStart"/>
      <w:r w:rsidRPr="00532C3B">
        <w:rPr>
          <w:szCs w:val="20"/>
        </w:rPr>
        <w:t>de</w:t>
      </w:r>
      <w:proofErr w:type="gramEnd"/>
      <w:r w:rsidRPr="00532C3B">
        <w:rPr>
          <w:szCs w:val="20"/>
        </w:rPr>
        <w:t xml:space="preserve"> conformidad con los artículos 62.3 y 63.1 de la Convención Americana sobre Derechos Humanos (en adelante, “la Convención Americana” o “la Convención”) y con los artículos 31, 32, </w:t>
      </w:r>
      <w:r w:rsidR="00F65C5D" w:rsidRPr="00532C3B">
        <w:rPr>
          <w:szCs w:val="20"/>
        </w:rPr>
        <w:t xml:space="preserve">63, </w:t>
      </w:r>
      <w:r w:rsidRPr="00532C3B">
        <w:rPr>
          <w:szCs w:val="20"/>
        </w:rPr>
        <w:t>65 y 67 del Reglamento de la Corte (en adelante también “el Reglamento”), dicta la presente Sentencia.</w:t>
      </w:r>
      <w:r w:rsidR="003B1D4E" w:rsidRPr="00532C3B">
        <w:rPr>
          <w:szCs w:val="20"/>
        </w:rPr>
        <w:t xml:space="preserve"> </w:t>
      </w:r>
    </w:p>
    <w:p w14:paraId="138CF296" w14:textId="77777777" w:rsidR="009403BF" w:rsidRPr="00532C3B" w:rsidRDefault="009403BF" w:rsidP="00491B00">
      <w:pPr>
        <w:ind w:right="-4"/>
        <w:rPr>
          <w:szCs w:val="20"/>
        </w:rPr>
      </w:pPr>
      <w:r w:rsidRPr="00532C3B">
        <w:rPr>
          <w:szCs w:val="20"/>
        </w:rPr>
        <w:br w:type="page"/>
      </w:r>
    </w:p>
    <w:p w14:paraId="21432E86" w14:textId="317B1978" w:rsidR="008F1678" w:rsidRPr="00532C3B" w:rsidRDefault="006717B6" w:rsidP="001E6219">
      <w:pPr>
        <w:jc w:val="center"/>
        <w:rPr>
          <w:rFonts w:cs="Verdana Bold"/>
          <w:b/>
          <w:bCs/>
          <w:i/>
          <w:caps/>
          <w:szCs w:val="20"/>
        </w:rPr>
      </w:pPr>
      <w:r w:rsidRPr="00532C3B">
        <w:rPr>
          <w:rFonts w:cs="Verdana Bold"/>
          <w:b/>
          <w:bCs/>
          <w:i/>
          <w:caps/>
          <w:szCs w:val="20"/>
        </w:rPr>
        <w:lastRenderedPageBreak/>
        <w:t xml:space="preserve">CASO </w:t>
      </w:r>
      <w:r w:rsidR="00FA0779" w:rsidRPr="00532C3B">
        <w:rPr>
          <w:rFonts w:cs="Verdana Bold"/>
          <w:b/>
          <w:bCs/>
          <w:i/>
          <w:caps/>
          <w:szCs w:val="20"/>
        </w:rPr>
        <w:t>Trueba Arciniega</w:t>
      </w:r>
      <w:r w:rsidR="003B1D4E" w:rsidRPr="00532C3B">
        <w:rPr>
          <w:rFonts w:cs="Verdana Bold"/>
          <w:b/>
          <w:bCs/>
          <w:i/>
          <w:caps/>
          <w:szCs w:val="20"/>
        </w:rPr>
        <w:t xml:space="preserve"> Y OTROS VS. </w:t>
      </w:r>
      <w:r w:rsidR="00FC4C26" w:rsidRPr="00532C3B">
        <w:rPr>
          <w:rFonts w:cs="Verdana Bold"/>
          <w:b/>
          <w:bCs/>
          <w:i/>
          <w:caps/>
          <w:szCs w:val="20"/>
        </w:rPr>
        <w:t>ESTADOS UNIDOS MEXICANOS</w:t>
      </w:r>
    </w:p>
    <w:p w14:paraId="16F9F211" w14:textId="77777777" w:rsidR="00A73AFA" w:rsidRPr="00532C3B" w:rsidRDefault="00A73AFA" w:rsidP="001E6219">
      <w:pPr>
        <w:jc w:val="center"/>
        <w:rPr>
          <w:b/>
          <w:smallCaps/>
          <w:szCs w:val="20"/>
          <w:lang w:eastAsia="es-ES"/>
        </w:rPr>
      </w:pPr>
    </w:p>
    <w:p w14:paraId="295C8FD7" w14:textId="77777777" w:rsidR="009403BF" w:rsidRPr="00532C3B" w:rsidRDefault="009403BF" w:rsidP="001E6219">
      <w:pPr>
        <w:pStyle w:val="Title"/>
        <w:ind w:left="-142" w:right="-46"/>
        <w:rPr>
          <w:rFonts w:eastAsia="MS Mincho"/>
        </w:rPr>
      </w:pPr>
      <w:r w:rsidRPr="00532C3B">
        <w:rPr>
          <w:rFonts w:eastAsia="MS Mincho"/>
        </w:rPr>
        <w:t>Tabla de contenido</w:t>
      </w:r>
    </w:p>
    <w:p w14:paraId="0DC82EFA" w14:textId="77777777" w:rsidR="00A73AFA" w:rsidRPr="00532C3B" w:rsidRDefault="00A73AFA" w:rsidP="001E6219">
      <w:pPr>
        <w:pStyle w:val="Title"/>
        <w:ind w:left="-142" w:right="-46"/>
        <w:rPr>
          <w:rFonts w:eastAsia="MS Mincho"/>
        </w:rPr>
      </w:pPr>
    </w:p>
    <w:p w14:paraId="4278B44E" w14:textId="77777777" w:rsidR="00EE1AA3" w:rsidRDefault="0075672C">
      <w:pPr>
        <w:pStyle w:val="TOC1"/>
        <w:rPr>
          <w:rFonts w:asciiTheme="minorHAnsi" w:eastAsiaTheme="minorEastAsia" w:hAnsiTheme="minorHAnsi" w:cstheme="minorBidi"/>
          <w:b w:val="0"/>
          <w:noProof/>
          <w:sz w:val="22"/>
          <w:szCs w:val="22"/>
          <w:lang w:val="es-CR" w:eastAsia="es-CR"/>
        </w:rPr>
      </w:pPr>
      <w:r w:rsidRPr="00532C3B">
        <w:rPr>
          <w:bCs/>
          <w:sz w:val="20"/>
          <w:szCs w:val="20"/>
        </w:rPr>
        <w:fldChar w:fldCharType="begin"/>
      </w:r>
      <w:r w:rsidRPr="00532C3B">
        <w:rPr>
          <w:bCs/>
          <w:sz w:val="20"/>
          <w:szCs w:val="20"/>
        </w:rPr>
        <w:instrText xml:space="preserve"> TOC \o "1-3" \h \z \u </w:instrText>
      </w:r>
      <w:r w:rsidRPr="00532C3B">
        <w:rPr>
          <w:bCs/>
          <w:sz w:val="20"/>
          <w:szCs w:val="20"/>
        </w:rPr>
        <w:fldChar w:fldCharType="separate"/>
      </w:r>
      <w:hyperlink w:anchor="_Toc532214913" w:history="1">
        <w:r w:rsidR="00EE1AA3" w:rsidRPr="00756C8F">
          <w:rPr>
            <w:rStyle w:val="Hyperlink"/>
            <w:noProof/>
          </w:rPr>
          <w:t>I. INTRODUCCIÓN DE LA CAUSA Y OBJETO DE LA CONTROVERSIA</w:t>
        </w:r>
        <w:r w:rsidR="00EE1AA3">
          <w:rPr>
            <w:noProof/>
            <w:webHidden/>
          </w:rPr>
          <w:tab/>
        </w:r>
        <w:r w:rsidR="00EE1AA3">
          <w:rPr>
            <w:noProof/>
            <w:webHidden/>
          </w:rPr>
          <w:fldChar w:fldCharType="begin"/>
        </w:r>
        <w:r w:rsidR="00EE1AA3">
          <w:rPr>
            <w:noProof/>
            <w:webHidden/>
          </w:rPr>
          <w:instrText xml:space="preserve"> PAGEREF _Toc532214913 \h </w:instrText>
        </w:r>
        <w:r w:rsidR="00EE1AA3">
          <w:rPr>
            <w:noProof/>
            <w:webHidden/>
          </w:rPr>
        </w:r>
        <w:r w:rsidR="00EE1AA3">
          <w:rPr>
            <w:noProof/>
            <w:webHidden/>
          </w:rPr>
          <w:fldChar w:fldCharType="separate"/>
        </w:r>
        <w:r w:rsidR="00EE1AA3">
          <w:rPr>
            <w:noProof/>
            <w:webHidden/>
          </w:rPr>
          <w:t>3</w:t>
        </w:r>
        <w:r w:rsidR="00EE1AA3">
          <w:rPr>
            <w:noProof/>
            <w:webHidden/>
          </w:rPr>
          <w:fldChar w:fldCharType="end"/>
        </w:r>
      </w:hyperlink>
    </w:p>
    <w:p w14:paraId="2BA9ED47" w14:textId="77777777" w:rsidR="00EE1AA3" w:rsidRDefault="00427E43">
      <w:pPr>
        <w:pStyle w:val="TOC1"/>
        <w:rPr>
          <w:rFonts w:asciiTheme="minorHAnsi" w:eastAsiaTheme="minorEastAsia" w:hAnsiTheme="minorHAnsi" w:cstheme="minorBidi"/>
          <w:b w:val="0"/>
          <w:noProof/>
          <w:sz w:val="22"/>
          <w:szCs w:val="22"/>
          <w:lang w:val="es-CR" w:eastAsia="es-CR"/>
        </w:rPr>
      </w:pPr>
      <w:hyperlink w:anchor="_Toc532214914" w:history="1">
        <w:r w:rsidR="00EE1AA3" w:rsidRPr="00756C8F">
          <w:rPr>
            <w:rStyle w:val="Hyperlink"/>
            <w:noProof/>
          </w:rPr>
          <w:t>II. PROCEDIMIENTO ANTE LA CORTE</w:t>
        </w:r>
        <w:r w:rsidR="00EE1AA3">
          <w:rPr>
            <w:noProof/>
            <w:webHidden/>
          </w:rPr>
          <w:tab/>
        </w:r>
        <w:r w:rsidR="00EE1AA3">
          <w:rPr>
            <w:noProof/>
            <w:webHidden/>
          </w:rPr>
          <w:fldChar w:fldCharType="begin"/>
        </w:r>
        <w:r w:rsidR="00EE1AA3">
          <w:rPr>
            <w:noProof/>
            <w:webHidden/>
          </w:rPr>
          <w:instrText xml:space="preserve"> PAGEREF _Toc532214914 \h </w:instrText>
        </w:r>
        <w:r w:rsidR="00EE1AA3">
          <w:rPr>
            <w:noProof/>
            <w:webHidden/>
          </w:rPr>
        </w:r>
        <w:r w:rsidR="00EE1AA3">
          <w:rPr>
            <w:noProof/>
            <w:webHidden/>
          </w:rPr>
          <w:fldChar w:fldCharType="separate"/>
        </w:r>
        <w:r w:rsidR="00EE1AA3">
          <w:rPr>
            <w:noProof/>
            <w:webHidden/>
          </w:rPr>
          <w:t>4</w:t>
        </w:r>
        <w:r w:rsidR="00EE1AA3">
          <w:rPr>
            <w:noProof/>
            <w:webHidden/>
          </w:rPr>
          <w:fldChar w:fldCharType="end"/>
        </w:r>
      </w:hyperlink>
    </w:p>
    <w:p w14:paraId="31008793" w14:textId="77777777" w:rsidR="00EE1AA3" w:rsidRDefault="00427E43">
      <w:pPr>
        <w:pStyle w:val="TOC1"/>
        <w:rPr>
          <w:rFonts w:asciiTheme="minorHAnsi" w:eastAsiaTheme="minorEastAsia" w:hAnsiTheme="minorHAnsi" w:cstheme="minorBidi"/>
          <w:b w:val="0"/>
          <w:noProof/>
          <w:sz w:val="22"/>
          <w:szCs w:val="22"/>
          <w:lang w:val="es-CR" w:eastAsia="es-CR"/>
        </w:rPr>
      </w:pPr>
      <w:hyperlink w:anchor="_Toc532214915" w:history="1">
        <w:r w:rsidR="00EE1AA3" w:rsidRPr="00756C8F">
          <w:rPr>
            <w:rStyle w:val="Hyperlink"/>
            <w:noProof/>
          </w:rPr>
          <w:t>III. COMPETENCIA</w:t>
        </w:r>
        <w:r w:rsidR="00EE1AA3">
          <w:rPr>
            <w:noProof/>
            <w:webHidden/>
          </w:rPr>
          <w:tab/>
        </w:r>
        <w:r w:rsidR="00EE1AA3">
          <w:rPr>
            <w:noProof/>
            <w:webHidden/>
          </w:rPr>
          <w:fldChar w:fldCharType="begin"/>
        </w:r>
        <w:r w:rsidR="00EE1AA3">
          <w:rPr>
            <w:noProof/>
            <w:webHidden/>
          </w:rPr>
          <w:instrText xml:space="preserve"> PAGEREF _Toc532214915 \h </w:instrText>
        </w:r>
        <w:r w:rsidR="00EE1AA3">
          <w:rPr>
            <w:noProof/>
            <w:webHidden/>
          </w:rPr>
        </w:r>
        <w:r w:rsidR="00EE1AA3">
          <w:rPr>
            <w:noProof/>
            <w:webHidden/>
          </w:rPr>
          <w:fldChar w:fldCharType="separate"/>
        </w:r>
        <w:r w:rsidR="00EE1AA3">
          <w:rPr>
            <w:noProof/>
            <w:webHidden/>
          </w:rPr>
          <w:t>5</w:t>
        </w:r>
        <w:r w:rsidR="00EE1AA3">
          <w:rPr>
            <w:noProof/>
            <w:webHidden/>
          </w:rPr>
          <w:fldChar w:fldCharType="end"/>
        </w:r>
      </w:hyperlink>
    </w:p>
    <w:p w14:paraId="7C5DD084" w14:textId="77777777" w:rsidR="00EE1AA3" w:rsidRDefault="00427E43">
      <w:pPr>
        <w:pStyle w:val="TOC1"/>
        <w:rPr>
          <w:rFonts w:asciiTheme="minorHAnsi" w:eastAsiaTheme="minorEastAsia" w:hAnsiTheme="minorHAnsi" w:cstheme="minorBidi"/>
          <w:b w:val="0"/>
          <w:noProof/>
          <w:sz w:val="22"/>
          <w:szCs w:val="22"/>
          <w:lang w:val="es-CR" w:eastAsia="es-CR"/>
        </w:rPr>
      </w:pPr>
      <w:hyperlink w:anchor="_Toc532214916" w:history="1">
        <w:r w:rsidR="00EE1AA3" w:rsidRPr="00756C8F">
          <w:rPr>
            <w:rStyle w:val="Hyperlink"/>
            <w:noProof/>
          </w:rPr>
          <w:t>IV. ACUERDO DE SOLUCIÓN AMISTOSA</w:t>
        </w:r>
        <w:r w:rsidR="00EE1AA3">
          <w:rPr>
            <w:noProof/>
            <w:webHidden/>
          </w:rPr>
          <w:tab/>
        </w:r>
        <w:r w:rsidR="00EE1AA3">
          <w:rPr>
            <w:noProof/>
            <w:webHidden/>
          </w:rPr>
          <w:fldChar w:fldCharType="begin"/>
        </w:r>
        <w:r w:rsidR="00EE1AA3">
          <w:rPr>
            <w:noProof/>
            <w:webHidden/>
          </w:rPr>
          <w:instrText xml:space="preserve"> PAGEREF _Toc532214916 \h </w:instrText>
        </w:r>
        <w:r w:rsidR="00EE1AA3">
          <w:rPr>
            <w:noProof/>
            <w:webHidden/>
          </w:rPr>
        </w:r>
        <w:r w:rsidR="00EE1AA3">
          <w:rPr>
            <w:noProof/>
            <w:webHidden/>
          </w:rPr>
          <w:fldChar w:fldCharType="separate"/>
        </w:r>
        <w:r w:rsidR="00EE1AA3">
          <w:rPr>
            <w:noProof/>
            <w:webHidden/>
          </w:rPr>
          <w:t>5</w:t>
        </w:r>
        <w:r w:rsidR="00EE1AA3">
          <w:rPr>
            <w:noProof/>
            <w:webHidden/>
          </w:rPr>
          <w:fldChar w:fldCharType="end"/>
        </w:r>
      </w:hyperlink>
    </w:p>
    <w:p w14:paraId="3615480C" w14:textId="77777777" w:rsidR="00EE1AA3" w:rsidRPr="00356276" w:rsidRDefault="00427E43">
      <w:pPr>
        <w:pStyle w:val="TOC2"/>
        <w:rPr>
          <w:rFonts w:asciiTheme="minorHAnsi" w:eastAsiaTheme="minorEastAsia" w:hAnsiTheme="minorHAnsi" w:cstheme="minorBidi"/>
          <w:b w:val="0"/>
          <w:i w:val="0"/>
          <w:sz w:val="22"/>
          <w:szCs w:val="22"/>
          <w:lang w:val="es-CR" w:eastAsia="es-CR"/>
        </w:rPr>
      </w:pPr>
      <w:hyperlink w:anchor="_Toc532214917" w:history="1">
        <w:r w:rsidR="00EE1AA3" w:rsidRPr="00356276">
          <w:rPr>
            <w:rStyle w:val="Hyperlink"/>
            <w:rFonts w:eastAsiaTheme="minorHAnsi"/>
            <w:b w:val="0"/>
            <w:i w:val="0"/>
            <w:iCs/>
            <w:lang w:val="es-ES"/>
          </w:rPr>
          <w:t>A.</w:t>
        </w:r>
        <w:r w:rsidR="00EE1AA3" w:rsidRPr="00356276">
          <w:rPr>
            <w:rFonts w:asciiTheme="minorHAnsi" w:eastAsiaTheme="minorEastAsia" w:hAnsiTheme="minorHAnsi" w:cstheme="minorBidi"/>
            <w:b w:val="0"/>
            <w:i w:val="0"/>
            <w:sz w:val="22"/>
            <w:szCs w:val="22"/>
            <w:lang w:val="es-CR" w:eastAsia="es-CR"/>
          </w:rPr>
          <w:tab/>
        </w:r>
        <w:r w:rsidR="00EE1AA3" w:rsidRPr="00356276">
          <w:rPr>
            <w:rStyle w:val="Hyperlink"/>
            <w:rFonts w:eastAsiaTheme="minorHAnsi"/>
            <w:b w:val="0"/>
            <w:i w:val="0"/>
            <w:iCs/>
            <w:lang w:val="es-ES"/>
          </w:rPr>
          <w:t>El Acuerdo de solución amistosa</w:t>
        </w:r>
        <w:r w:rsidR="00EE1AA3" w:rsidRPr="00356276">
          <w:rPr>
            <w:b w:val="0"/>
            <w:i w:val="0"/>
            <w:webHidden/>
          </w:rPr>
          <w:tab/>
        </w:r>
        <w:r w:rsidR="00EE1AA3" w:rsidRPr="00356276">
          <w:rPr>
            <w:b w:val="0"/>
            <w:i w:val="0"/>
            <w:webHidden/>
          </w:rPr>
          <w:fldChar w:fldCharType="begin"/>
        </w:r>
        <w:r w:rsidR="00EE1AA3" w:rsidRPr="00356276">
          <w:rPr>
            <w:b w:val="0"/>
            <w:i w:val="0"/>
            <w:webHidden/>
          </w:rPr>
          <w:instrText xml:space="preserve"> PAGEREF _Toc532214917 \h </w:instrText>
        </w:r>
        <w:r w:rsidR="00EE1AA3" w:rsidRPr="00356276">
          <w:rPr>
            <w:b w:val="0"/>
            <w:i w:val="0"/>
            <w:webHidden/>
          </w:rPr>
        </w:r>
        <w:r w:rsidR="00EE1AA3" w:rsidRPr="00356276">
          <w:rPr>
            <w:b w:val="0"/>
            <w:i w:val="0"/>
            <w:webHidden/>
          </w:rPr>
          <w:fldChar w:fldCharType="separate"/>
        </w:r>
        <w:r w:rsidR="00EE1AA3" w:rsidRPr="00356276">
          <w:rPr>
            <w:b w:val="0"/>
            <w:i w:val="0"/>
            <w:webHidden/>
          </w:rPr>
          <w:t>5</w:t>
        </w:r>
        <w:r w:rsidR="00EE1AA3" w:rsidRPr="00356276">
          <w:rPr>
            <w:b w:val="0"/>
            <w:i w:val="0"/>
            <w:webHidden/>
          </w:rPr>
          <w:fldChar w:fldCharType="end"/>
        </w:r>
      </w:hyperlink>
    </w:p>
    <w:p w14:paraId="6979C402" w14:textId="77777777" w:rsidR="00EE1AA3" w:rsidRPr="00356276" w:rsidRDefault="00427E43">
      <w:pPr>
        <w:pStyle w:val="TOC2"/>
        <w:rPr>
          <w:rFonts w:asciiTheme="minorHAnsi" w:eastAsiaTheme="minorEastAsia" w:hAnsiTheme="minorHAnsi" w:cstheme="minorBidi"/>
          <w:b w:val="0"/>
          <w:i w:val="0"/>
          <w:sz w:val="22"/>
          <w:szCs w:val="22"/>
          <w:lang w:val="es-CR" w:eastAsia="es-CR"/>
        </w:rPr>
      </w:pPr>
      <w:hyperlink w:anchor="_Toc532214918" w:history="1">
        <w:r w:rsidR="00EE1AA3" w:rsidRPr="00356276">
          <w:rPr>
            <w:rStyle w:val="Hyperlink"/>
            <w:rFonts w:eastAsiaTheme="minorHAnsi"/>
            <w:b w:val="0"/>
            <w:i w:val="0"/>
            <w:iCs/>
            <w:lang w:val="es-ES"/>
          </w:rPr>
          <w:t>B.</w:t>
        </w:r>
        <w:r w:rsidR="00EE1AA3" w:rsidRPr="00356276">
          <w:rPr>
            <w:rFonts w:asciiTheme="minorHAnsi" w:eastAsiaTheme="minorEastAsia" w:hAnsiTheme="minorHAnsi" w:cstheme="minorBidi"/>
            <w:b w:val="0"/>
            <w:i w:val="0"/>
            <w:sz w:val="22"/>
            <w:szCs w:val="22"/>
            <w:lang w:val="es-CR" w:eastAsia="es-CR"/>
          </w:rPr>
          <w:tab/>
        </w:r>
        <w:r w:rsidR="00EE1AA3" w:rsidRPr="00356276">
          <w:rPr>
            <w:rStyle w:val="Hyperlink"/>
            <w:rFonts w:eastAsiaTheme="minorHAnsi"/>
            <w:b w:val="0"/>
            <w:i w:val="0"/>
            <w:iCs/>
            <w:lang w:val="es-ES"/>
          </w:rPr>
          <w:t>Observaciones de los representantes</w:t>
        </w:r>
        <w:r w:rsidR="00EE1AA3" w:rsidRPr="00356276">
          <w:rPr>
            <w:b w:val="0"/>
            <w:i w:val="0"/>
            <w:webHidden/>
          </w:rPr>
          <w:tab/>
        </w:r>
        <w:r w:rsidR="00EE1AA3" w:rsidRPr="00356276">
          <w:rPr>
            <w:b w:val="0"/>
            <w:i w:val="0"/>
            <w:webHidden/>
          </w:rPr>
          <w:fldChar w:fldCharType="begin"/>
        </w:r>
        <w:r w:rsidR="00EE1AA3" w:rsidRPr="00356276">
          <w:rPr>
            <w:b w:val="0"/>
            <w:i w:val="0"/>
            <w:webHidden/>
          </w:rPr>
          <w:instrText xml:space="preserve"> PAGEREF _Toc532214918 \h </w:instrText>
        </w:r>
        <w:r w:rsidR="00EE1AA3" w:rsidRPr="00356276">
          <w:rPr>
            <w:b w:val="0"/>
            <w:i w:val="0"/>
            <w:webHidden/>
          </w:rPr>
        </w:r>
        <w:r w:rsidR="00EE1AA3" w:rsidRPr="00356276">
          <w:rPr>
            <w:b w:val="0"/>
            <w:i w:val="0"/>
            <w:webHidden/>
          </w:rPr>
          <w:fldChar w:fldCharType="separate"/>
        </w:r>
        <w:r w:rsidR="00EE1AA3" w:rsidRPr="00356276">
          <w:rPr>
            <w:b w:val="0"/>
            <w:i w:val="0"/>
            <w:webHidden/>
          </w:rPr>
          <w:t>5</w:t>
        </w:r>
        <w:r w:rsidR="00EE1AA3" w:rsidRPr="00356276">
          <w:rPr>
            <w:b w:val="0"/>
            <w:i w:val="0"/>
            <w:webHidden/>
          </w:rPr>
          <w:fldChar w:fldCharType="end"/>
        </w:r>
      </w:hyperlink>
    </w:p>
    <w:p w14:paraId="7F615DC9" w14:textId="77777777" w:rsidR="00EE1AA3" w:rsidRPr="00356276" w:rsidRDefault="00427E43">
      <w:pPr>
        <w:pStyle w:val="TOC2"/>
        <w:rPr>
          <w:rFonts w:asciiTheme="minorHAnsi" w:eastAsiaTheme="minorEastAsia" w:hAnsiTheme="minorHAnsi" w:cstheme="minorBidi"/>
          <w:b w:val="0"/>
          <w:i w:val="0"/>
          <w:sz w:val="22"/>
          <w:szCs w:val="22"/>
          <w:lang w:val="es-CR" w:eastAsia="es-CR"/>
        </w:rPr>
      </w:pPr>
      <w:hyperlink w:anchor="_Toc532214919" w:history="1">
        <w:r w:rsidR="00EE1AA3" w:rsidRPr="00356276">
          <w:rPr>
            <w:rStyle w:val="Hyperlink"/>
            <w:rFonts w:eastAsiaTheme="minorHAnsi"/>
            <w:b w:val="0"/>
            <w:i w:val="0"/>
            <w:iCs/>
            <w:lang w:val="es-ES"/>
          </w:rPr>
          <w:t>C.</w:t>
        </w:r>
        <w:r w:rsidR="00EE1AA3" w:rsidRPr="00356276">
          <w:rPr>
            <w:rFonts w:asciiTheme="minorHAnsi" w:eastAsiaTheme="minorEastAsia" w:hAnsiTheme="minorHAnsi" w:cstheme="minorBidi"/>
            <w:b w:val="0"/>
            <w:i w:val="0"/>
            <w:sz w:val="22"/>
            <w:szCs w:val="22"/>
            <w:lang w:val="es-CR" w:eastAsia="es-CR"/>
          </w:rPr>
          <w:tab/>
        </w:r>
        <w:r w:rsidR="00EE1AA3" w:rsidRPr="00356276">
          <w:rPr>
            <w:rStyle w:val="Hyperlink"/>
            <w:rFonts w:eastAsiaTheme="minorHAnsi"/>
            <w:b w:val="0"/>
            <w:i w:val="0"/>
            <w:iCs/>
            <w:lang w:val="es-ES"/>
          </w:rPr>
          <w:t>Observaciones de la Comisión</w:t>
        </w:r>
        <w:r w:rsidR="00EE1AA3" w:rsidRPr="00356276">
          <w:rPr>
            <w:b w:val="0"/>
            <w:i w:val="0"/>
            <w:webHidden/>
          </w:rPr>
          <w:tab/>
        </w:r>
        <w:r w:rsidR="00EE1AA3" w:rsidRPr="00356276">
          <w:rPr>
            <w:b w:val="0"/>
            <w:i w:val="0"/>
            <w:webHidden/>
          </w:rPr>
          <w:fldChar w:fldCharType="begin"/>
        </w:r>
        <w:r w:rsidR="00EE1AA3" w:rsidRPr="00356276">
          <w:rPr>
            <w:b w:val="0"/>
            <w:i w:val="0"/>
            <w:webHidden/>
          </w:rPr>
          <w:instrText xml:space="preserve"> PAGEREF _Toc532214919 \h </w:instrText>
        </w:r>
        <w:r w:rsidR="00EE1AA3" w:rsidRPr="00356276">
          <w:rPr>
            <w:b w:val="0"/>
            <w:i w:val="0"/>
            <w:webHidden/>
          </w:rPr>
        </w:r>
        <w:r w:rsidR="00EE1AA3" w:rsidRPr="00356276">
          <w:rPr>
            <w:b w:val="0"/>
            <w:i w:val="0"/>
            <w:webHidden/>
          </w:rPr>
          <w:fldChar w:fldCharType="separate"/>
        </w:r>
        <w:r w:rsidR="00EE1AA3" w:rsidRPr="00356276">
          <w:rPr>
            <w:b w:val="0"/>
            <w:i w:val="0"/>
            <w:webHidden/>
          </w:rPr>
          <w:t>6</w:t>
        </w:r>
        <w:r w:rsidR="00EE1AA3" w:rsidRPr="00356276">
          <w:rPr>
            <w:b w:val="0"/>
            <w:i w:val="0"/>
            <w:webHidden/>
          </w:rPr>
          <w:fldChar w:fldCharType="end"/>
        </w:r>
      </w:hyperlink>
    </w:p>
    <w:p w14:paraId="5557D8C9" w14:textId="77777777" w:rsidR="00EE1AA3" w:rsidRPr="00356276" w:rsidRDefault="00427E43">
      <w:pPr>
        <w:pStyle w:val="TOC2"/>
        <w:rPr>
          <w:rFonts w:asciiTheme="minorHAnsi" w:eastAsiaTheme="minorEastAsia" w:hAnsiTheme="minorHAnsi" w:cstheme="minorBidi"/>
          <w:b w:val="0"/>
          <w:i w:val="0"/>
          <w:sz w:val="22"/>
          <w:szCs w:val="22"/>
          <w:lang w:val="es-CR" w:eastAsia="es-CR"/>
        </w:rPr>
      </w:pPr>
      <w:hyperlink w:anchor="_Toc532214920" w:history="1">
        <w:r w:rsidR="00EE1AA3" w:rsidRPr="00356276">
          <w:rPr>
            <w:rStyle w:val="Hyperlink"/>
            <w:rFonts w:eastAsiaTheme="minorHAnsi"/>
            <w:b w:val="0"/>
            <w:i w:val="0"/>
            <w:iCs/>
            <w:lang w:val="es-ES"/>
          </w:rPr>
          <w:t>D.</w:t>
        </w:r>
        <w:r w:rsidR="00EE1AA3" w:rsidRPr="00356276">
          <w:rPr>
            <w:rFonts w:asciiTheme="minorHAnsi" w:eastAsiaTheme="minorEastAsia" w:hAnsiTheme="minorHAnsi" w:cstheme="minorBidi"/>
            <w:b w:val="0"/>
            <w:i w:val="0"/>
            <w:sz w:val="22"/>
            <w:szCs w:val="22"/>
            <w:lang w:val="es-CR" w:eastAsia="es-CR"/>
          </w:rPr>
          <w:tab/>
        </w:r>
        <w:r w:rsidR="00EE1AA3" w:rsidRPr="00356276">
          <w:rPr>
            <w:rStyle w:val="Hyperlink"/>
            <w:rFonts w:eastAsiaTheme="minorHAnsi"/>
            <w:b w:val="0"/>
            <w:i w:val="0"/>
            <w:iCs/>
            <w:lang w:val="es-ES"/>
          </w:rPr>
          <w:t>Consideraciones de la Corte</w:t>
        </w:r>
        <w:r w:rsidR="00EE1AA3" w:rsidRPr="00356276">
          <w:rPr>
            <w:b w:val="0"/>
            <w:i w:val="0"/>
            <w:webHidden/>
          </w:rPr>
          <w:tab/>
        </w:r>
        <w:r w:rsidR="00EE1AA3" w:rsidRPr="00356276">
          <w:rPr>
            <w:b w:val="0"/>
            <w:i w:val="0"/>
            <w:webHidden/>
          </w:rPr>
          <w:fldChar w:fldCharType="begin"/>
        </w:r>
        <w:r w:rsidR="00EE1AA3" w:rsidRPr="00356276">
          <w:rPr>
            <w:b w:val="0"/>
            <w:i w:val="0"/>
            <w:webHidden/>
          </w:rPr>
          <w:instrText xml:space="preserve"> PAGEREF _Toc532214920 \h </w:instrText>
        </w:r>
        <w:r w:rsidR="00EE1AA3" w:rsidRPr="00356276">
          <w:rPr>
            <w:b w:val="0"/>
            <w:i w:val="0"/>
            <w:webHidden/>
          </w:rPr>
        </w:r>
        <w:r w:rsidR="00EE1AA3" w:rsidRPr="00356276">
          <w:rPr>
            <w:b w:val="0"/>
            <w:i w:val="0"/>
            <w:webHidden/>
          </w:rPr>
          <w:fldChar w:fldCharType="separate"/>
        </w:r>
        <w:r w:rsidR="00EE1AA3" w:rsidRPr="00356276">
          <w:rPr>
            <w:b w:val="0"/>
            <w:i w:val="0"/>
            <w:webHidden/>
          </w:rPr>
          <w:t>6</w:t>
        </w:r>
        <w:r w:rsidR="00EE1AA3" w:rsidRPr="00356276">
          <w:rPr>
            <w:b w:val="0"/>
            <w:i w:val="0"/>
            <w:webHidden/>
          </w:rPr>
          <w:fldChar w:fldCharType="end"/>
        </w:r>
      </w:hyperlink>
    </w:p>
    <w:p w14:paraId="26247F19" w14:textId="77777777" w:rsidR="00EE1AA3" w:rsidRDefault="00427E43">
      <w:pPr>
        <w:pStyle w:val="TOC1"/>
        <w:rPr>
          <w:rFonts w:asciiTheme="minorHAnsi" w:eastAsiaTheme="minorEastAsia" w:hAnsiTheme="minorHAnsi" w:cstheme="minorBidi"/>
          <w:b w:val="0"/>
          <w:noProof/>
          <w:sz w:val="22"/>
          <w:szCs w:val="22"/>
          <w:lang w:val="es-CR" w:eastAsia="es-CR"/>
        </w:rPr>
      </w:pPr>
      <w:hyperlink w:anchor="_Toc532214921" w:history="1">
        <w:r w:rsidR="00EE1AA3" w:rsidRPr="00756C8F">
          <w:rPr>
            <w:rStyle w:val="Hyperlink"/>
            <w:noProof/>
          </w:rPr>
          <w:t>V. HECHOS</w:t>
        </w:r>
        <w:r w:rsidR="00EE1AA3">
          <w:rPr>
            <w:noProof/>
            <w:webHidden/>
          </w:rPr>
          <w:tab/>
        </w:r>
        <w:r w:rsidR="00EE1AA3">
          <w:rPr>
            <w:noProof/>
            <w:webHidden/>
          </w:rPr>
          <w:fldChar w:fldCharType="begin"/>
        </w:r>
        <w:r w:rsidR="00EE1AA3">
          <w:rPr>
            <w:noProof/>
            <w:webHidden/>
          </w:rPr>
          <w:instrText xml:space="preserve"> PAGEREF _Toc532214921 \h </w:instrText>
        </w:r>
        <w:r w:rsidR="00EE1AA3">
          <w:rPr>
            <w:noProof/>
            <w:webHidden/>
          </w:rPr>
        </w:r>
        <w:r w:rsidR="00EE1AA3">
          <w:rPr>
            <w:noProof/>
            <w:webHidden/>
          </w:rPr>
          <w:fldChar w:fldCharType="separate"/>
        </w:r>
        <w:r w:rsidR="00EE1AA3">
          <w:rPr>
            <w:noProof/>
            <w:webHidden/>
          </w:rPr>
          <w:t>8</w:t>
        </w:r>
        <w:r w:rsidR="00EE1AA3">
          <w:rPr>
            <w:noProof/>
            <w:webHidden/>
          </w:rPr>
          <w:fldChar w:fldCharType="end"/>
        </w:r>
      </w:hyperlink>
    </w:p>
    <w:p w14:paraId="612CA105" w14:textId="77777777" w:rsidR="00EE1AA3" w:rsidRPr="00356276" w:rsidRDefault="00427E43">
      <w:pPr>
        <w:pStyle w:val="TOC2"/>
        <w:rPr>
          <w:rFonts w:asciiTheme="minorHAnsi" w:eastAsiaTheme="minorEastAsia" w:hAnsiTheme="minorHAnsi" w:cstheme="minorBidi"/>
          <w:b w:val="0"/>
          <w:i w:val="0"/>
          <w:sz w:val="22"/>
          <w:szCs w:val="22"/>
          <w:lang w:val="es-CR" w:eastAsia="es-CR"/>
        </w:rPr>
      </w:pPr>
      <w:hyperlink w:anchor="_Toc532214922" w:history="1">
        <w:r w:rsidR="00EE1AA3" w:rsidRPr="00356276">
          <w:rPr>
            <w:rStyle w:val="Hyperlink"/>
            <w:b w:val="0"/>
            <w:i w:val="0"/>
          </w:rPr>
          <w:t>A.</w:t>
        </w:r>
        <w:r w:rsidR="00EE1AA3" w:rsidRPr="00356276">
          <w:rPr>
            <w:rFonts w:asciiTheme="minorHAnsi" w:eastAsiaTheme="minorEastAsia" w:hAnsiTheme="minorHAnsi" w:cstheme="minorBidi"/>
            <w:b w:val="0"/>
            <w:i w:val="0"/>
            <w:sz w:val="22"/>
            <w:szCs w:val="22"/>
            <w:lang w:val="es-CR" w:eastAsia="es-CR"/>
          </w:rPr>
          <w:tab/>
        </w:r>
        <w:r w:rsidR="00EE1AA3" w:rsidRPr="00356276">
          <w:rPr>
            <w:rStyle w:val="Hyperlink"/>
            <w:b w:val="0"/>
            <w:i w:val="0"/>
          </w:rPr>
          <w:t>Situación del municipio de Baborigame en la época de los hechos</w:t>
        </w:r>
        <w:r w:rsidR="00EE1AA3" w:rsidRPr="00356276">
          <w:rPr>
            <w:b w:val="0"/>
            <w:i w:val="0"/>
            <w:webHidden/>
          </w:rPr>
          <w:tab/>
        </w:r>
        <w:r w:rsidR="00EE1AA3" w:rsidRPr="00356276">
          <w:rPr>
            <w:b w:val="0"/>
            <w:i w:val="0"/>
            <w:webHidden/>
          </w:rPr>
          <w:fldChar w:fldCharType="begin"/>
        </w:r>
        <w:r w:rsidR="00EE1AA3" w:rsidRPr="00356276">
          <w:rPr>
            <w:b w:val="0"/>
            <w:i w:val="0"/>
            <w:webHidden/>
          </w:rPr>
          <w:instrText xml:space="preserve"> PAGEREF _Toc532214922 \h </w:instrText>
        </w:r>
        <w:r w:rsidR="00EE1AA3" w:rsidRPr="00356276">
          <w:rPr>
            <w:b w:val="0"/>
            <w:i w:val="0"/>
            <w:webHidden/>
          </w:rPr>
        </w:r>
        <w:r w:rsidR="00EE1AA3" w:rsidRPr="00356276">
          <w:rPr>
            <w:b w:val="0"/>
            <w:i w:val="0"/>
            <w:webHidden/>
          </w:rPr>
          <w:fldChar w:fldCharType="separate"/>
        </w:r>
        <w:r w:rsidR="00EE1AA3" w:rsidRPr="00356276">
          <w:rPr>
            <w:b w:val="0"/>
            <w:i w:val="0"/>
            <w:webHidden/>
          </w:rPr>
          <w:t>8</w:t>
        </w:r>
        <w:r w:rsidR="00EE1AA3" w:rsidRPr="00356276">
          <w:rPr>
            <w:b w:val="0"/>
            <w:i w:val="0"/>
            <w:webHidden/>
          </w:rPr>
          <w:fldChar w:fldCharType="end"/>
        </w:r>
      </w:hyperlink>
    </w:p>
    <w:p w14:paraId="082A2CD7" w14:textId="77777777" w:rsidR="00EE1AA3" w:rsidRPr="00356276" w:rsidRDefault="00427E43">
      <w:pPr>
        <w:pStyle w:val="TOC2"/>
        <w:rPr>
          <w:rFonts w:asciiTheme="minorHAnsi" w:eastAsiaTheme="minorEastAsia" w:hAnsiTheme="minorHAnsi" w:cstheme="minorBidi"/>
          <w:b w:val="0"/>
          <w:i w:val="0"/>
          <w:sz w:val="22"/>
          <w:szCs w:val="22"/>
          <w:lang w:val="es-CR" w:eastAsia="es-CR"/>
        </w:rPr>
      </w:pPr>
      <w:hyperlink w:anchor="_Toc532214923" w:history="1">
        <w:r w:rsidR="00EE1AA3" w:rsidRPr="00356276">
          <w:rPr>
            <w:rStyle w:val="Hyperlink"/>
            <w:b w:val="0"/>
            <w:i w:val="0"/>
          </w:rPr>
          <w:t>B.</w:t>
        </w:r>
        <w:r w:rsidR="00EE1AA3" w:rsidRPr="00356276">
          <w:rPr>
            <w:rFonts w:asciiTheme="minorHAnsi" w:eastAsiaTheme="minorEastAsia" w:hAnsiTheme="minorHAnsi" w:cstheme="minorBidi"/>
            <w:b w:val="0"/>
            <w:i w:val="0"/>
            <w:sz w:val="22"/>
            <w:szCs w:val="22"/>
            <w:lang w:val="es-CR" w:eastAsia="es-CR"/>
          </w:rPr>
          <w:tab/>
        </w:r>
        <w:r w:rsidR="00EE1AA3" w:rsidRPr="00356276">
          <w:rPr>
            <w:rStyle w:val="Hyperlink"/>
            <w:b w:val="0"/>
            <w:i w:val="0"/>
          </w:rPr>
          <w:t>Los hechos ocurridos el 22 de agosto de 1998</w:t>
        </w:r>
        <w:r w:rsidR="00EE1AA3" w:rsidRPr="00356276">
          <w:rPr>
            <w:b w:val="0"/>
            <w:i w:val="0"/>
            <w:webHidden/>
          </w:rPr>
          <w:tab/>
        </w:r>
        <w:r w:rsidR="00EE1AA3" w:rsidRPr="00356276">
          <w:rPr>
            <w:b w:val="0"/>
            <w:i w:val="0"/>
            <w:webHidden/>
          </w:rPr>
          <w:fldChar w:fldCharType="begin"/>
        </w:r>
        <w:r w:rsidR="00EE1AA3" w:rsidRPr="00356276">
          <w:rPr>
            <w:b w:val="0"/>
            <w:i w:val="0"/>
            <w:webHidden/>
          </w:rPr>
          <w:instrText xml:space="preserve"> PAGEREF _Toc532214923 \h </w:instrText>
        </w:r>
        <w:r w:rsidR="00EE1AA3" w:rsidRPr="00356276">
          <w:rPr>
            <w:b w:val="0"/>
            <w:i w:val="0"/>
            <w:webHidden/>
          </w:rPr>
        </w:r>
        <w:r w:rsidR="00EE1AA3" w:rsidRPr="00356276">
          <w:rPr>
            <w:b w:val="0"/>
            <w:i w:val="0"/>
            <w:webHidden/>
          </w:rPr>
          <w:fldChar w:fldCharType="separate"/>
        </w:r>
        <w:r w:rsidR="00EE1AA3" w:rsidRPr="00356276">
          <w:rPr>
            <w:b w:val="0"/>
            <w:i w:val="0"/>
            <w:webHidden/>
          </w:rPr>
          <w:t>9</w:t>
        </w:r>
        <w:r w:rsidR="00EE1AA3" w:rsidRPr="00356276">
          <w:rPr>
            <w:b w:val="0"/>
            <w:i w:val="0"/>
            <w:webHidden/>
          </w:rPr>
          <w:fldChar w:fldCharType="end"/>
        </w:r>
      </w:hyperlink>
    </w:p>
    <w:p w14:paraId="5506D66C" w14:textId="77777777" w:rsidR="00EE1AA3" w:rsidRPr="00356276" w:rsidRDefault="00427E43">
      <w:pPr>
        <w:pStyle w:val="TOC2"/>
        <w:rPr>
          <w:rFonts w:asciiTheme="minorHAnsi" w:eastAsiaTheme="minorEastAsia" w:hAnsiTheme="minorHAnsi" w:cstheme="minorBidi"/>
          <w:b w:val="0"/>
          <w:i w:val="0"/>
          <w:sz w:val="22"/>
          <w:szCs w:val="22"/>
          <w:lang w:val="es-CR" w:eastAsia="es-CR"/>
        </w:rPr>
      </w:pPr>
      <w:hyperlink w:anchor="_Toc532214924" w:history="1">
        <w:r w:rsidR="00EE1AA3" w:rsidRPr="00356276">
          <w:rPr>
            <w:rStyle w:val="Hyperlink"/>
            <w:b w:val="0"/>
            <w:i w:val="0"/>
          </w:rPr>
          <w:t>C.</w:t>
        </w:r>
        <w:r w:rsidR="00EE1AA3" w:rsidRPr="00356276">
          <w:rPr>
            <w:rFonts w:asciiTheme="minorHAnsi" w:eastAsiaTheme="minorEastAsia" w:hAnsiTheme="minorHAnsi" w:cstheme="minorBidi"/>
            <w:b w:val="0"/>
            <w:i w:val="0"/>
            <w:sz w:val="22"/>
            <w:szCs w:val="22"/>
            <w:lang w:val="es-CR" w:eastAsia="es-CR"/>
          </w:rPr>
          <w:tab/>
        </w:r>
        <w:r w:rsidR="00EE1AA3" w:rsidRPr="00356276">
          <w:rPr>
            <w:rStyle w:val="Hyperlink"/>
            <w:b w:val="0"/>
            <w:i w:val="0"/>
          </w:rPr>
          <w:t>Investigación y procedimiento judicial</w:t>
        </w:r>
        <w:r w:rsidR="00EE1AA3" w:rsidRPr="00356276">
          <w:rPr>
            <w:b w:val="0"/>
            <w:i w:val="0"/>
            <w:webHidden/>
          </w:rPr>
          <w:tab/>
        </w:r>
        <w:r w:rsidR="00EE1AA3" w:rsidRPr="00356276">
          <w:rPr>
            <w:b w:val="0"/>
            <w:i w:val="0"/>
            <w:webHidden/>
          </w:rPr>
          <w:fldChar w:fldCharType="begin"/>
        </w:r>
        <w:r w:rsidR="00EE1AA3" w:rsidRPr="00356276">
          <w:rPr>
            <w:b w:val="0"/>
            <w:i w:val="0"/>
            <w:webHidden/>
          </w:rPr>
          <w:instrText xml:space="preserve"> PAGEREF _Toc532214924 \h </w:instrText>
        </w:r>
        <w:r w:rsidR="00EE1AA3" w:rsidRPr="00356276">
          <w:rPr>
            <w:b w:val="0"/>
            <w:i w:val="0"/>
            <w:webHidden/>
          </w:rPr>
        </w:r>
        <w:r w:rsidR="00EE1AA3" w:rsidRPr="00356276">
          <w:rPr>
            <w:b w:val="0"/>
            <w:i w:val="0"/>
            <w:webHidden/>
          </w:rPr>
          <w:fldChar w:fldCharType="separate"/>
        </w:r>
        <w:r w:rsidR="00EE1AA3" w:rsidRPr="00356276">
          <w:rPr>
            <w:b w:val="0"/>
            <w:i w:val="0"/>
            <w:webHidden/>
          </w:rPr>
          <w:t>10</w:t>
        </w:r>
        <w:r w:rsidR="00EE1AA3" w:rsidRPr="00356276">
          <w:rPr>
            <w:b w:val="0"/>
            <w:i w:val="0"/>
            <w:webHidden/>
          </w:rPr>
          <w:fldChar w:fldCharType="end"/>
        </w:r>
      </w:hyperlink>
    </w:p>
    <w:p w14:paraId="025CCE6C" w14:textId="77777777" w:rsidR="00EE1AA3" w:rsidRDefault="00427E43">
      <w:pPr>
        <w:pStyle w:val="TOC1"/>
        <w:rPr>
          <w:rFonts w:asciiTheme="minorHAnsi" w:eastAsiaTheme="minorEastAsia" w:hAnsiTheme="minorHAnsi" w:cstheme="minorBidi"/>
          <w:b w:val="0"/>
          <w:noProof/>
          <w:sz w:val="22"/>
          <w:szCs w:val="22"/>
          <w:lang w:val="es-CR" w:eastAsia="es-CR"/>
        </w:rPr>
      </w:pPr>
      <w:hyperlink w:anchor="_Toc532214925" w:history="1">
        <w:r w:rsidR="00EE1AA3" w:rsidRPr="00756C8F">
          <w:rPr>
            <w:rStyle w:val="Hyperlink"/>
            <w:rFonts w:cs="Arial"/>
            <w:noProof/>
          </w:rPr>
          <w:t xml:space="preserve">VI. </w:t>
        </w:r>
        <w:r w:rsidR="00EE1AA3" w:rsidRPr="00756C8F">
          <w:rPr>
            <w:rStyle w:val="Hyperlink"/>
            <w:noProof/>
          </w:rPr>
          <w:t>HOMOLOGACIÓN DEL ACUERDO DE SOLUCIÓN AMISTOSA</w:t>
        </w:r>
        <w:r w:rsidR="00EE1AA3">
          <w:rPr>
            <w:noProof/>
            <w:webHidden/>
          </w:rPr>
          <w:tab/>
        </w:r>
        <w:r w:rsidR="00EE1AA3">
          <w:rPr>
            <w:noProof/>
            <w:webHidden/>
          </w:rPr>
          <w:fldChar w:fldCharType="begin"/>
        </w:r>
        <w:r w:rsidR="00EE1AA3">
          <w:rPr>
            <w:noProof/>
            <w:webHidden/>
          </w:rPr>
          <w:instrText xml:space="preserve"> PAGEREF _Toc532214925 \h </w:instrText>
        </w:r>
        <w:r w:rsidR="00EE1AA3">
          <w:rPr>
            <w:noProof/>
            <w:webHidden/>
          </w:rPr>
        </w:r>
        <w:r w:rsidR="00EE1AA3">
          <w:rPr>
            <w:noProof/>
            <w:webHidden/>
          </w:rPr>
          <w:fldChar w:fldCharType="separate"/>
        </w:r>
        <w:r w:rsidR="00EE1AA3">
          <w:rPr>
            <w:noProof/>
            <w:webHidden/>
          </w:rPr>
          <w:t>12</w:t>
        </w:r>
        <w:r w:rsidR="00EE1AA3">
          <w:rPr>
            <w:noProof/>
            <w:webHidden/>
          </w:rPr>
          <w:fldChar w:fldCharType="end"/>
        </w:r>
      </w:hyperlink>
    </w:p>
    <w:p w14:paraId="3D67A8E7" w14:textId="77777777" w:rsidR="00EE1AA3" w:rsidRDefault="00427E43">
      <w:pPr>
        <w:pStyle w:val="TOC1"/>
        <w:rPr>
          <w:rFonts w:asciiTheme="minorHAnsi" w:eastAsiaTheme="minorEastAsia" w:hAnsiTheme="minorHAnsi" w:cstheme="minorBidi"/>
          <w:b w:val="0"/>
          <w:noProof/>
          <w:sz w:val="22"/>
          <w:szCs w:val="22"/>
          <w:lang w:val="es-CR" w:eastAsia="es-CR"/>
        </w:rPr>
      </w:pPr>
      <w:hyperlink w:anchor="_Toc532214926" w:history="1">
        <w:r w:rsidR="00EE1AA3" w:rsidRPr="00756C8F">
          <w:rPr>
            <w:rStyle w:val="Hyperlink"/>
            <w:noProof/>
            <w:lang w:val="es-ES"/>
          </w:rPr>
          <w:t xml:space="preserve">VII. REPARACIONES </w:t>
        </w:r>
        <w:r w:rsidR="00EE1AA3" w:rsidRPr="00756C8F">
          <w:rPr>
            <w:rStyle w:val="Hyperlink"/>
            <w:noProof/>
          </w:rPr>
          <w:t>(aplicación del artículo 63.1 de la Convención Americana)</w:t>
        </w:r>
        <w:r w:rsidR="00EE1AA3">
          <w:rPr>
            <w:noProof/>
            <w:webHidden/>
          </w:rPr>
          <w:tab/>
        </w:r>
        <w:r w:rsidR="00EE1AA3">
          <w:rPr>
            <w:noProof/>
            <w:webHidden/>
          </w:rPr>
          <w:fldChar w:fldCharType="begin"/>
        </w:r>
        <w:r w:rsidR="00EE1AA3">
          <w:rPr>
            <w:noProof/>
            <w:webHidden/>
          </w:rPr>
          <w:instrText xml:space="preserve"> PAGEREF _Toc532214926 \h </w:instrText>
        </w:r>
        <w:r w:rsidR="00EE1AA3">
          <w:rPr>
            <w:noProof/>
            <w:webHidden/>
          </w:rPr>
        </w:r>
        <w:r w:rsidR="00EE1AA3">
          <w:rPr>
            <w:noProof/>
            <w:webHidden/>
          </w:rPr>
          <w:fldChar w:fldCharType="separate"/>
        </w:r>
        <w:r w:rsidR="00EE1AA3">
          <w:rPr>
            <w:noProof/>
            <w:webHidden/>
          </w:rPr>
          <w:t>13</w:t>
        </w:r>
        <w:r w:rsidR="00EE1AA3">
          <w:rPr>
            <w:noProof/>
            <w:webHidden/>
          </w:rPr>
          <w:fldChar w:fldCharType="end"/>
        </w:r>
      </w:hyperlink>
    </w:p>
    <w:p w14:paraId="4CC76B14" w14:textId="77777777" w:rsidR="00EE1AA3" w:rsidRPr="00356276" w:rsidRDefault="00427E43">
      <w:pPr>
        <w:pStyle w:val="TOC2"/>
        <w:rPr>
          <w:rFonts w:asciiTheme="minorHAnsi" w:eastAsiaTheme="minorEastAsia" w:hAnsiTheme="minorHAnsi" w:cstheme="minorBidi"/>
          <w:b w:val="0"/>
          <w:i w:val="0"/>
          <w:sz w:val="22"/>
          <w:szCs w:val="22"/>
          <w:lang w:val="es-CR" w:eastAsia="es-CR"/>
        </w:rPr>
      </w:pPr>
      <w:hyperlink w:anchor="_Toc532214927" w:history="1">
        <w:r w:rsidR="00EE1AA3" w:rsidRPr="00356276">
          <w:rPr>
            <w:rStyle w:val="Hyperlink"/>
            <w:b w:val="0"/>
            <w:i w:val="0"/>
          </w:rPr>
          <w:t>A.</w:t>
        </w:r>
        <w:r w:rsidR="00EE1AA3" w:rsidRPr="00356276">
          <w:rPr>
            <w:rFonts w:asciiTheme="minorHAnsi" w:eastAsiaTheme="minorEastAsia" w:hAnsiTheme="minorHAnsi" w:cstheme="minorBidi"/>
            <w:b w:val="0"/>
            <w:i w:val="0"/>
            <w:sz w:val="22"/>
            <w:szCs w:val="22"/>
            <w:lang w:val="es-CR" w:eastAsia="es-CR"/>
          </w:rPr>
          <w:tab/>
        </w:r>
        <w:r w:rsidR="00EE1AA3" w:rsidRPr="00356276">
          <w:rPr>
            <w:rStyle w:val="Hyperlink"/>
            <w:b w:val="0"/>
            <w:i w:val="0"/>
          </w:rPr>
          <w:t>Obligación de investigar</w:t>
        </w:r>
        <w:r w:rsidR="00EE1AA3" w:rsidRPr="00356276">
          <w:rPr>
            <w:b w:val="0"/>
            <w:i w:val="0"/>
            <w:webHidden/>
          </w:rPr>
          <w:tab/>
        </w:r>
        <w:r w:rsidR="00EE1AA3" w:rsidRPr="00356276">
          <w:rPr>
            <w:b w:val="0"/>
            <w:i w:val="0"/>
            <w:webHidden/>
          </w:rPr>
          <w:fldChar w:fldCharType="begin"/>
        </w:r>
        <w:r w:rsidR="00EE1AA3" w:rsidRPr="00356276">
          <w:rPr>
            <w:b w:val="0"/>
            <w:i w:val="0"/>
            <w:webHidden/>
          </w:rPr>
          <w:instrText xml:space="preserve"> PAGEREF _Toc532214927 \h </w:instrText>
        </w:r>
        <w:r w:rsidR="00EE1AA3" w:rsidRPr="00356276">
          <w:rPr>
            <w:b w:val="0"/>
            <w:i w:val="0"/>
            <w:webHidden/>
          </w:rPr>
        </w:r>
        <w:r w:rsidR="00EE1AA3" w:rsidRPr="00356276">
          <w:rPr>
            <w:b w:val="0"/>
            <w:i w:val="0"/>
            <w:webHidden/>
          </w:rPr>
          <w:fldChar w:fldCharType="separate"/>
        </w:r>
        <w:r w:rsidR="00EE1AA3" w:rsidRPr="00356276">
          <w:rPr>
            <w:b w:val="0"/>
            <w:i w:val="0"/>
            <w:webHidden/>
          </w:rPr>
          <w:t>13</w:t>
        </w:r>
        <w:r w:rsidR="00EE1AA3" w:rsidRPr="00356276">
          <w:rPr>
            <w:b w:val="0"/>
            <w:i w:val="0"/>
            <w:webHidden/>
          </w:rPr>
          <w:fldChar w:fldCharType="end"/>
        </w:r>
      </w:hyperlink>
    </w:p>
    <w:p w14:paraId="1963C1D9" w14:textId="77777777" w:rsidR="00EE1AA3" w:rsidRPr="00356276" w:rsidRDefault="00427E43">
      <w:pPr>
        <w:pStyle w:val="TOC2"/>
        <w:rPr>
          <w:rFonts w:asciiTheme="minorHAnsi" w:eastAsiaTheme="minorEastAsia" w:hAnsiTheme="minorHAnsi" w:cstheme="minorBidi"/>
          <w:b w:val="0"/>
          <w:i w:val="0"/>
          <w:sz w:val="22"/>
          <w:szCs w:val="22"/>
          <w:lang w:val="es-CR" w:eastAsia="es-CR"/>
        </w:rPr>
      </w:pPr>
      <w:hyperlink w:anchor="_Toc532214928" w:history="1">
        <w:r w:rsidR="00EE1AA3" w:rsidRPr="00356276">
          <w:rPr>
            <w:rStyle w:val="Hyperlink"/>
            <w:b w:val="0"/>
            <w:i w:val="0"/>
          </w:rPr>
          <w:t>B.</w:t>
        </w:r>
        <w:r w:rsidR="00EE1AA3" w:rsidRPr="00356276">
          <w:rPr>
            <w:rFonts w:asciiTheme="minorHAnsi" w:eastAsiaTheme="minorEastAsia" w:hAnsiTheme="minorHAnsi" w:cstheme="minorBidi"/>
            <w:b w:val="0"/>
            <w:i w:val="0"/>
            <w:sz w:val="22"/>
            <w:szCs w:val="22"/>
            <w:lang w:val="es-CR" w:eastAsia="es-CR"/>
          </w:rPr>
          <w:tab/>
        </w:r>
        <w:r w:rsidR="00EE1AA3" w:rsidRPr="00356276">
          <w:rPr>
            <w:rStyle w:val="Hyperlink"/>
            <w:b w:val="0"/>
            <w:i w:val="0"/>
          </w:rPr>
          <w:t>Medidas de rehabilitación</w:t>
        </w:r>
        <w:r w:rsidR="00EE1AA3" w:rsidRPr="00356276">
          <w:rPr>
            <w:b w:val="0"/>
            <w:i w:val="0"/>
            <w:webHidden/>
          </w:rPr>
          <w:tab/>
        </w:r>
        <w:r w:rsidR="00EE1AA3" w:rsidRPr="00356276">
          <w:rPr>
            <w:b w:val="0"/>
            <w:i w:val="0"/>
            <w:webHidden/>
          </w:rPr>
          <w:fldChar w:fldCharType="begin"/>
        </w:r>
        <w:r w:rsidR="00EE1AA3" w:rsidRPr="00356276">
          <w:rPr>
            <w:b w:val="0"/>
            <w:i w:val="0"/>
            <w:webHidden/>
          </w:rPr>
          <w:instrText xml:space="preserve"> PAGEREF _Toc532214928 \h </w:instrText>
        </w:r>
        <w:r w:rsidR="00EE1AA3" w:rsidRPr="00356276">
          <w:rPr>
            <w:b w:val="0"/>
            <w:i w:val="0"/>
            <w:webHidden/>
          </w:rPr>
        </w:r>
        <w:r w:rsidR="00EE1AA3" w:rsidRPr="00356276">
          <w:rPr>
            <w:b w:val="0"/>
            <w:i w:val="0"/>
            <w:webHidden/>
          </w:rPr>
          <w:fldChar w:fldCharType="separate"/>
        </w:r>
        <w:r w:rsidR="00EE1AA3" w:rsidRPr="00356276">
          <w:rPr>
            <w:b w:val="0"/>
            <w:i w:val="0"/>
            <w:webHidden/>
          </w:rPr>
          <w:t>13</w:t>
        </w:r>
        <w:r w:rsidR="00EE1AA3" w:rsidRPr="00356276">
          <w:rPr>
            <w:b w:val="0"/>
            <w:i w:val="0"/>
            <w:webHidden/>
          </w:rPr>
          <w:fldChar w:fldCharType="end"/>
        </w:r>
      </w:hyperlink>
    </w:p>
    <w:p w14:paraId="231064AC" w14:textId="77777777" w:rsidR="00EE1AA3" w:rsidRPr="00356276" w:rsidRDefault="00427E43">
      <w:pPr>
        <w:pStyle w:val="TOC2"/>
        <w:rPr>
          <w:rFonts w:asciiTheme="minorHAnsi" w:eastAsiaTheme="minorEastAsia" w:hAnsiTheme="minorHAnsi" w:cstheme="minorBidi"/>
          <w:b w:val="0"/>
          <w:i w:val="0"/>
          <w:sz w:val="22"/>
          <w:szCs w:val="22"/>
          <w:lang w:val="es-CR" w:eastAsia="es-CR"/>
        </w:rPr>
      </w:pPr>
      <w:hyperlink w:anchor="_Toc532214929" w:history="1">
        <w:r w:rsidR="00EE1AA3" w:rsidRPr="00356276">
          <w:rPr>
            <w:rStyle w:val="Hyperlink"/>
            <w:b w:val="0"/>
            <w:i w:val="0"/>
          </w:rPr>
          <w:t>C.</w:t>
        </w:r>
        <w:r w:rsidR="00EE1AA3" w:rsidRPr="00356276">
          <w:rPr>
            <w:rFonts w:asciiTheme="minorHAnsi" w:eastAsiaTheme="minorEastAsia" w:hAnsiTheme="minorHAnsi" w:cstheme="minorBidi"/>
            <w:b w:val="0"/>
            <w:i w:val="0"/>
            <w:sz w:val="22"/>
            <w:szCs w:val="22"/>
            <w:lang w:val="es-CR" w:eastAsia="es-CR"/>
          </w:rPr>
          <w:tab/>
        </w:r>
        <w:r w:rsidR="00EE1AA3" w:rsidRPr="00356276">
          <w:rPr>
            <w:rStyle w:val="Hyperlink"/>
            <w:b w:val="0"/>
            <w:i w:val="0"/>
          </w:rPr>
          <w:t>Medidas de satisfacción</w:t>
        </w:r>
        <w:r w:rsidR="00EE1AA3" w:rsidRPr="00356276">
          <w:rPr>
            <w:b w:val="0"/>
            <w:i w:val="0"/>
            <w:webHidden/>
          </w:rPr>
          <w:tab/>
        </w:r>
        <w:r w:rsidR="00EE1AA3" w:rsidRPr="00356276">
          <w:rPr>
            <w:b w:val="0"/>
            <w:i w:val="0"/>
            <w:webHidden/>
          </w:rPr>
          <w:fldChar w:fldCharType="begin"/>
        </w:r>
        <w:r w:rsidR="00EE1AA3" w:rsidRPr="00356276">
          <w:rPr>
            <w:b w:val="0"/>
            <w:i w:val="0"/>
            <w:webHidden/>
          </w:rPr>
          <w:instrText xml:space="preserve"> PAGEREF _Toc532214929 \h </w:instrText>
        </w:r>
        <w:r w:rsidR="00EE1AA3" w:rsidRPr="00356276">
          <w:rPr>
            <w:b w:val="0"/>
            <w:i w:val="0"/>
            <w:webHidden/>
          </w:rPr>
        </w:r>
        <w:r w:rsidR="00EE1AA3" w:rsidRPr="00356276">
          <w:rPr>
            <w:b w:val="0"/>
            <w:i w:val="0"/>
            <w:webHidden/>
          </w:rPr>
          <w:fldChar w:fldCharType="separate"/>
        </w:r>
        <w:r w:rsidR="00EE1AA3" w:rsidRPr="00356276">
          <w:rPr>
            <w:b w:val="0"/>
            <w:i w:val="0"/>
            <w:webHidden/>
          </w:rPr>
          <w:t>14</w:t>
        </w:r>
        <w:r w:rsidR="00EE1AA3" w:rsidRPr="00356276">
          <w:rPr>
            <w:b w:val="0"/>
            <w:i w:val="0"/>
            <w:webHidden/>
          </w:rPr>
          <w:fldChar w:fldCharType="end"/>
        </w:r>
      </w:hyperlink>
    </w:p>
    <w:p w14:paraId="46F2CEDC" w14:textId="77777777" w:rsidR="00EE1AA3" w:rsidRPr="00356276" w:rsidRDefault="00427E43">
      <w:pPr>
        <w:pStyle w:val="TOC2"/>
        <w:rPr>
          <w:rFonts w:asciiTheme="minorHAnsi" w:eastAsiaTheme="minorEastAsia" w:hAnsiTheme="minorHAnsi" w:cstheme="minorBidi"/>
          <w:b w:val="0"/>
          <w:i w:val="0"/>
          <w:sz w:val="22"/>
          <w:szCs w:val="22"/>
          <w:lang w:val="es-CR" w:eastAsia="es-CR"/>
        </w:rPr>
      </w:pPr>
      <w:hyperlink w:anchor="_Toc532214930" w:history="1">
        <w:r w:rsidR="00EE1AA3" w:rsidRPr="00356276">
          <w:rPr>
            <w:rStyle w:val="Hyperlink"/>
            <w:b w:val="0"/>
            <w:i w:val="0"/>
          </w:rPr>
          <w:t>D.</w:t>
        </w:r>
        <w:r w:rsidR="00EE1AA3" w:rsidRPr="00356276">
          <w:rPr>
            <w:rFonts w:asciiTheme="minorHAnsi" w:eastAsiaTheme="minorEastAsia" w:hAnsiTheme="minorHAnsi" w:cstheme="minorBidi"/>
            <w:b w:val="0"/>
            <w:i w:val="0"/>
            <w:sz w:val="22"/>
            <w:szCs w:val="22"/>
            <w:lang w:val="es-CR" w:eastAsia="es-CR"/>
          </w:rPr>
          <w:tab/>
        </w:r>
        <w:r w:rsidR="00EE1AA3" w:rsidRPr="00356276">
          <w:rPr>
            <w:rStyle w:val="Hyperlink"/>
            <w:b w:val="0"/>
            <w:i w:val="0"/>
          </w:rPr>
          <w:t>Garantías de no repetición</w:t>
        </w:r>
        <w:r w:rsidR="00EE1AA3" w:rsidRPr="00356276">
          <w:rPr>
            <w:b w:val="0"/>
            <w:i w:val="0"/>
            <w:webHidden/>
          </w:rPr>
          <w:tab/>
        </w:r>
        <w:r w:rsidR="00EE1AA3" w:rsidRPr="00356276">
          <w:rPr>
            <w:b w:val="0"/>
            <w:i w:val="0"/>
            <w:webHidden/>
          </w:rPr>
          <w:fldChar w:fldCharType="begin"/>
        </w:r>
        <w:r w:rsidR="00EE1AA3" w:rsidRPr="00356276">
          <w:rPr>
            <w:b w:val="0"/>
            <w:i w:val="0"/>
            <w:webHidden/>
          </w:rPr>
          <w:instrText xml:space="preserve"> PAGEREF _Toc532214930 \h </w:instrText>
        </w:r>
        <w:r w:rsidR="00EE1AA3" w:rsidRPr="00356276">
          <w:rPr>
            <w:b w:val="0"/>
            <w:i w:val="0"/>
            <w:webHidden/>
          </w:rPr>
        </w:r>
        <w:r w:rsidR="00EE1AA3" w:rsidRPr="00356276">
          <w:rPr>
            <w:b w:val="0"/>
            <w:i w:val="0"/>
            <w:webHidden/>
          </w:rPr>
          <w:fldChar w:fldCharType="separate"/>
        </w:r>
        <w:r w:rsidR="00EE1AA3" w:rsidRPr="00356276">
          <w:rPr>
            <w:b w:val="0"/>
            <w:i w:val="0"/>
            <w:webHidden/>
          </w:rPr>
          <w:t>16</w:t>
        </w:r>
        <w:r w:rsidR="00EE1AA3" w:rsidRPr="00356276">
          <w:rPr>
            <w:b w:val="0"/>
            <w:i w:val="0"/>
            <w:webHidden/>
          </w:rPr>
          <w:fldChar w:fldCharType="end"/>
        </w:r>
      </w:hyperlink>
    </w:p>
    <w:p w14:paraId="6BF6A67C" w14:textId="77777777" w:rsidR="00EE1AA3" w:rsidRPr="00356276" w:rsidRDefault="00427E43">
      <w:pPr>
        <w:pStyle w:val="TOC2"/>
        <w:rPr>
          <w:rFonts w:asciiTheme="minorHAnsi" w:eastAsiaTheme="minorEastAsia" w:hAnsiTheme="minorHAnsi" w:cstheme="minorBidi"/>
          <w:b w:val="0"/>
          <w:i w:val="0"/>
          <w:sz w:val="22"/>
          <w:szCs w:val="22"/>
          <w:lang w:val="es-CR" w:eastAsia="es-CR"/>
        </w:rPr>
      </w:pPr>
      <w:hyperlink w:anchor="_Toc532214931" w:history="1">
        <w:r w:rsidR="00EE1AA3" w:rsidRPr="00356276">
          <w:rPr>
            <w:rStyle w:val="Hyperlink"/>
            <w:b w:val="0"/>
            <w:i w:val="0"/>
          </w:rPr>
          <w:t>E.</w:t>
        </w:r>
        <w:r w:rsidR="00EE1AA3" w:rsidRPr="00356276">
          <w:rPr>
            <w:rFonts w:asciiTheme="minorHAnsi" w:eastAsiaTheme="minorEastAsia" w:hAnsiTheme="minorHAnsi" w:cstheme="minorBidi"/>
            <w:b w:val="0"/>
            <w:i w:val="0"/>
            <w:sz w:val="22"/>
            <w:szCs w:val="22"/>
            <w:lang w:val="es-CR" w:eastAsia="es-CR"/>
          </w:rPr>
          <w:tab/>
        </w:r>
        <w:r w:rsidR="00EE1AA3" w:rsidRPr="00356276">
          <w:rPr>
            <w:rStyle w:val="Hyperlink"/>
            <w:b w:val="0"/>
            <w:i w:val="0"/>
          </w:rPr>
          <w:t>Indemnizaciones compensatorias</w:t>
        </w:r>
        <w:r w:rsidR="00EE1AA3" w:rsidRPr="00356276">
          <w:rPr>
            <w:b w:val="0"/>
            <w:i w:val="0"/>
            <w:webHidden/>
          </w:rPr>
          <w:tab/>
        </w:r>
        <w:r w:rsidR="00EE1AA3" w:rsidRPr="00356276">
          <w:rPr>
            <w:b w:val="0"/>
            <w:i w:val="0"/>
            <w:webHidden/>
          </w:rPr>
          <w:fldChar w:fldCharType="begin"/>
        </w:r>
        <w:r w:rsidR="00EE1AA3" w:rsidRPr="00356276">
          <w:rPr>
            <w:b w:val="0"/>
            <w:i w:val="0"/>
            <w:webHidden/>
          </w:rPr>
          <w:instrText xml:space="preserve"> PAGEREF _Toc532214931 \h </w:instrText>
        </w:r>
        <w:r w:rsidR="00EE1AA3" w:rsidRPr="00356276">
          <w:rPr>
            <w:b w:val="0"/>
            <w:i w:val="0"/>
            <w:webHidden/>
          </w:rPr>
        </w:r>
        <w:r w:rsidR="00EE1AA3" w:rsidRPr="00356276">
          <w:rPr>
            <w:b w:val="0"/>
            <w:i w:val="0"/>
            <w:webHidden/>
          </w:rPr>
          <w:fldChar w:fldCharType="separate"/>
        </w:r>
        <w:r w:rsidR="00EE1AA3" w:rsidRPr="00356276">
          <w:rPr>
            <w:b w:val="0"/>
            <w:i w:val="0"/>
            <w:webHidden/>
          </w:rPr>
          <w:t>17</w:t>
        </w:r>
        <w:r w:rsidR="00EE1AA3" w:rsidRPr="00356276">
          <w:rPr>
            <w:b w:val="0"/>
            <w:i w:val="0"/>
            <w:webHidden/>
          </w:rPr>
          <w:fldChar w:fldCharType="end"/>
        </w:r>
      </w:hyperlink>
    </w:p>
    <w:p w14:paraId="705DD7B5" w14:textId="77777777" w:rsidR="00EE1AA3" w:rsidRPr="00356276" w:rsidRDefault="00427E43">
      <w:pPr>
        <w:pStyle w:val="TOC2"/>
        <w:rPr>
          <w:rFonts w:asciiTheme="minorHAnsi" w:eastAsiaTheme="minorEastAsia" w:hAnsiTheme="minorHAnsi" w:cstheme="minorBidi"/>
          <w:b w:val="0"/>
          <w:i w:val="0"/>
          <w:sz w:val="22"/>
          <w:szCs w:val="22"/>
          <w:lang w:val="es-CR" w:eastAsia="es-CR"/>
        </w:rPr>
      </w:pPr>
      <w:hyperlink w:anchor="_Toc532214932" w:history="1">
        <w:r w:rsidR="00EE1AA3" w:rsidRPr="00356276">
          <w:rPr>
            <w:rStyle w:val="Hyperlink"/>
            <w:b w:val="0"/>
            <w:i w:val="0"/>
          </w:rPr>
          <w:t>F.</w:t>
        </w:r>
        <w:r w:rsidR="00EE1AA3" w:rsidRPr="00356276">
          <w:rPr>
            <w:rFonts w:asciiTheme="minorHAnsi" w:eastAsiaTheme="minorEastAsia" w:hAnsiTheme="minorHAnsi" w:cstheme="minorBidi"/>
            <w:b w:val="0"/>
            <w:i w:val="0"/>
            <w:sz w:val="22"/>
            <w:szCs w:val="22"/>
            <w:lang w:val="es-CR" w:eastAsia="es-CR"/>
          </w:rPr>
          <w:tab/>
        </w:r>
        <w:r w:rsidR="00EE1AA3" w:rsidRPr="00356276">
          <w:rPr>
            <w:rStyle w:val="Hyperlink"/>
            <w:b w:val="0"/>
            <w:i w:val="0"/>
          </w:rPr>
          <w:t>Pago de gastos</w:t>
        </w:r>
        <w:r w:rsidR="00EE1AA3" w:rsidRPr="00356276">
          <w:rPr>
            <w:b w:val="0"/>
            <w:i w:val="0"/>
            <w:webHidden/>
          </w:rPr>
          <w:tab/>
        </w:r>
        <w:r w:rsidR="00EE1AA3" w:rsidRPr="00356276">
          <w:rPr>
            <w:b w:val="0"/>
            <w:i w:val="0"/>
            <w:webHidden/>
          </w:rPr>
          <w:fldChar w:fldCharType="begin"/>
        </w:r>
        <w:r w:rsidR="00EE1AA3" w:rsidRPr="00356276">
          <w:rPr>
            <w:b w:val="0"/>
            <w:i w:val="0"/>
            <w:webHidden/>
          </w:rPr>
          <w:instrText xml:space="preserve"> PAGEREF _Toc532214932 \h </w:instrText>
        </w:r>
        <w:r w:rsidR="00EE1AA3" w:rsidRPr="00356276">
          <w:rPr>
            <w:b w:val="0"/>
            <w:i w:val="0"/>
            <w:webHidden/>
          </w:rPr>
        </w:r>
        <w:r w:rsidR="00EE1AA3" w:rsidRPr="00356276">
          <w:rPr>
            <w:b w:val="0"/>
            <w:i w:val="0"/>
            <w:webHidden/>
          </w:rPr>
          <w:fldChar w:fldCharType="separate"/>
        </w:r>
        <w:r w:rsidR="00EE1AA3" w:rsidRPr="00356276">
          <w:rPr>
            <w:b w:val="0"/>
            <w:i w:val="0"/>
            <w:webHidden/>
          </w:rPr>
          <w:t>18</w:t>
        </w:r>
        <w:r w:rsidR="00EE1AA3" w:rsidRPr="00356276">
          <w:rPr>
            <w:b w:val="0"/>
            <w:i w:val="0"/>
            <w:webHidden/>
          </w:rPr>
          <w:fldChar w:fldCharType="end"/>
        </w:r>
      </w:hyperlink>
    </w:p>
    <w:p w14:paraId="5B2933E9" w14:textId="77777777" w:rsidR="00EE1AA3" w:rsidRPr="00356276" w:rsidRDefault="00427E43">
      <w:pPr>
        <w:pStyle w:val="TOC2"/>
        <w:rPr>
          <w:rFonts w:asciiTheme="minorHAnsi" w:eastAsiaTheme="minorEastAsia" w:hAnsiTheme="minorHAnsi" w:cstheme="minorBidi"/>
          <w:b w:val="0"/>
          <w:i w:val="0"/>
          <w:sz w:val="22"/>
          <w:szCs w:val="22"/>
          <w:lang w:val="es-CR" w:eastAsia="es-CR"/>
        </w:rPr>
      </w:pPr>
      <w:hyperlink w:anchor="_Toc532214933" w:history="1">
        <w:r w:rsidR="00EE1AA3" w:rsidRPr="00356276">
          <w:rPr>
            <w:rStyle w:val="Hyperlink"/>
            <w:b w:val="0"/>
            <w:i w:val="0"/>
          </w:rPr>
          <w:t>G.</w:t>
        </w:r>
        <w:r w:rsidR="00EE1AA3" w:rsidRPr="00356276">
          <w:rPr>
            <w:rFonts w:asciiTheme="minorHAnsi" w:eastAsiaTheme="minorEastAsia" w:hAnsiTheme="minorHAnsi" w:cstheme="minorBidi"/>
            <w:b w:val="0"/>
            <w:i w:val="0"/>
            <w:sz w:val="22"/>
            <w:szCs w:val="22"/>
            <w:lang w:val="es-CR" w:eastAsia="es-CR"/>
          </w:rPr>
          <w:tab/>
        </w:r>
        <w:r w:rsidR="00EE1AA3" w:rsidRPr="00356276">
          <w:rPr>
            <w:rStyle w:val="Hyperlink"/>
            <w:b w:val="0"/>
            <w:i w:val="0"/>
          </w:rPr>
          <w:t>Supervisión del cumplimiento del Acuerdo</w:t>
        </w:r>
        <w:r w:rsidR="00EE1AA3" w:rsidRPr="00356276">
          <w:rPr>
            <w:b w:val="0"/>
            <w:i w:val="0"/>
            <w:webHidden/>
          </w:rPr>
          <w:tab/>
        </w:r>
        <w:r w:rsidR="00EE1AA3" w:rsidRPr="00356276">
          <w:rPr>
            <w:b w:val="0"/>
            <w:i w:val="0"/>
            <w:webHidden/>
          </w:rPr>
          <w:fldChar w:fldCharType="begin"/>
        </w:r>
        <w:r w:rsidR="00EE1AA3" w:rsidRPr="00356276">
          <w:rPr>
            <w:b w:val="0"/>
            <w:i w:val="0"/>
            <w:webHidden/>
          </w:rPr>
          <w:instrText xml:space="preserve"> PAGEREF _Toc532214933 \h </w:instrText>
        </w:r>
        <w:r w:rsidR="00EE1AA3" w:rsidRPr="00356276">
          <w:rPr>
            <w:b w:val="0"/>
            <w:i w:val="0"/>
            <w:webHidden/>
          </w:rPr>
        </w:r>
        <w:r w:rsidR="00EE1AA3" w:rsidRPr="00356276">
          <w:rPr>
            <w:b w:val="0"/>
            <w:i w:val="0"/>
            <w:webHidden/>
          </w:rPr>
          <w:fldChar w:fldCharType="separate"/>
        </w:r>
        <w:r w:rsidR="00EE1AA3" w:rsidRPr="00356276">
          <w:rPr>
            <w:b w:val="0"/>
            <w:i w:val="0"/>
            <w:webHidden/>
          </w:rPr>
          <w:t>18</w:t>
        </w:r>
        <w:r w:rsidR="00EE1AA3" w:rsidRPr="00356276">
          <w:rPr>
            <w:b w:val="0"/>
            <w:i w:val="0"/>
            <w:webHidden/>
          </w:rPr>
          <w:fldChar w:fldCharType="end"/>
        </w:r>
      </w:hyperlink>
    </w:p>
    <w:p w14:paraId="56B966E8" w14:textId="553F858E" w:rsidR="00EE1AA3" w:rsidRDefault="00427E43">
      <w:pPr>
        <w:pStyle w:val="TOC1"/>
        <w:rPr>
          <w:rFonts w:asciiTheme="minorHAnsi" w:eastAsiaTheme="minorEastAsia" w:hAnsiTheme="minorHAnsi" w:cstheme="minorBidi"/>
          <w:b w:val="0"/>
          <w:noProof/>
          <w:sz w:val="22"/>
          <w:szCs w:val="22"/>
          <w:lang w:val="es-CR" w:eastAsia="es-CR"/>
        </w:rPr>
      </w:pPr>
      <w:hyperlink w:anchor="_Toc532214934" w:history="1">
        <w:r w:rsidR="00EE1AA3" w:rsidRPr="00756C8F">
          <w:rPr>
            <w:rStyle w:val="Hyperlink"/>
            <w:noProof/>
          </w:rPr>
          <w:t>VIII</w:t>
        </w:r>
        <w:r w:rsidR="00EE1AA3">
          <w:rPr>
            <w:rStyle w:val="Hyperlink"/>
            <w:noProof/>
          </w:rPr>
          <w:t>.</w:t>
        </w:r>
        <w:r w:rsidR="00EE1AA3" w:rsidRPr="00756C8F">
          <w:rPr>
            <w:rStyle w:val="Hyperlink"/>
            <w:noProof/>
          </w:rPr>
          <w:t xml:space="preserve"> PUNTOS RESOLUTIVOS</w:t>
        </w:r>
        <w:r w:rsidR="00EE1AA3">
          <w:rPr>
            <w:noProof/>
            <w:webHidden/>
          </w:rPr>
          <w:tab/>
        </w:r>
        <w:r w:rsidR="00EE1AA3">
          <w:rPr>
            <w:noProof/>
            <w:webHidden/>
          </w:rPr>
          <w:fldChar w:fldCharType="begin"/>
        </w:r>
        <w:r w:rsidR="00EE1AA3">
          <w:rPr>
            <w:noProof/>
            <w:webHidden/>
          </w:rPr>
          <w:instrText xml:space="preserve"> PAGEREF _Toc532214934 \h </w:instrText>
        </w:r>
        <w:r w:rsidR="00EE1AA3">
          <w:rPr>
            <w:noProof/>
            <w:webHidden/>
          </w:rPr>
        </w:r>
        <w:r w:rsidR="00EE1AA3">
          <w:rPr>
            <w:noProof/>
            <w:webHidden/>
          </w:rPr>
          <w:fldChar w:fldCharType="separate"/>
        </w:r>
        <w:r w:rsidR="00EE1AA3">
          <w:rPr>
            <w:noProof/>
            <w:webHidden/>
          </w:rPr>
          <w:t>18</w:t>
        </w:r>
        <w:r w:rsidR="00EE1AA3">
          <w:rPr>
            <w:noProof/>
            <w:webHidden/>
          </w:rPr>
          <w:fldChar w:fldCharType="end"/>
        </w:r>
      </w:hyperlink>
    </w:p>
    <w:p w14:paraId="22E184BA" w14:textId="5D511C38" w:rsidR="000F2A6F" w:rsidRPr="00532C3B" w:rsidRDefault="0075672C" w:rsidP="001E6219">
      <w:pPr>
        <w:pStyle w:val="TOCHeading"/>
        <w:tabs>
          <w:tab w:val="right" w:leader="dot" w:pos="8789"/>
        </w:tabs>
        <w:spacing w:before="0" w:line="240" w:lineRule="auto"/>
        <w:ind w:right="-46"/>
        <w:rPr>
          <w:rFonts w:ascii="Verdana" w:eastAsia="Batang" w:hAnsi="Verdana" w:cs="Times"/>
          <w:bCs w:val="0"/>
          <w:noProof/>
          <w:color w:val="auto"/>
          <w:sz w:val="20"/>
          <w:szCs w:val="20"/>
          <w:lang w:val="es-ES_tradnl" w:eastAsia="en-US"/>
        </w:rPr>
      </w:pPr>
      <w:r w:rsidRPr="00532C3B">
        <w:rPr>
          <w:rFonts w:ascii="Verdana" w:eastAsia="Batang" w:hAnsi="Verdana" w:cs="Times"/>
          <w:bCs w:val="0"/>
          <w:noProof/>
          <w:color w:val="auto"/>
          <w:sz w:val="20"/>
          <w:szCs w:val="20"/>
          <w:lang w:val="es-ES_tradnl" w:eastAsia="en-US"/>
        </w:rPr>
        <w:fldChar w:fldCharType="end"/>
      </w:r>
    </w:p>
    <w:p w14:paraId="0BB47F3E" w14:textId="77777777" w:rsidR="000F2A6F" w:rsidRPr="00532C3B" w:rsidRDefault="000F2A6F" w:rsidP="001E6219">
      <w:pPr>
        <w:jc w:val="left"/>
        <w:rPr>
          <w:b/>
          <w:noProof/>
          <w:szCs w:val="20"/>
        </w:rPr>
      </w:pPr>
      <w:r w:rsidRPr="00532C3B">
        <w:rPr>
          <w:bCs/>
          <w:noProof/>
          <w:szCs w:val="20"/>
        </w:rPr>
        <w:br w:type="page"/>
      </w:r>
    </w:p>
    <w:p w14:paraId="40ADA0E6" w14:textId="77777777" w:rsidR="009569E6" w:rsidRDefault="00C6683F" w:rsidP="00236DD1">
      <w:pPr>
        <w:pStyle w:val="Heading1"/>
      </w:pPr>
      <w:bookmarkStart w:id="1" w:name="_Toc369989729"/>
      <w:bookmarkStart w:id="2" w:name="_Toc438132269"/>
      <w:bookmarkStart w:id="3" w:name="_Toc288744729"/>
      <w:bookmarkStart w:id="4" w:name="_Toc486693351"/>
      <w:bookmarkStart w:id="5" w:name="_Toc486842767"/>
      <w:bookmarkStart w:id="6" w:name="_Toc486842905"/>
      <w:bookmarkStart w:id="7" w:name="_Toc532214913"/>
      <w:r w:rsidRPr="00532C3B">
        <w:lastRenderedPageBreak/>
        <w:t>I</w:t>
      </w:r>
      <w:r w:rsidRPr="00532C3B">
        <w:rPr>
          <w:color w:val="FFFFFF" w:themeColor="background1"/>
        </w:rPr>
        <w:t>.</w:t>
      </w:r>
      <w:r w:rsidRPr="00532C3B">
        <w:br/>
      </w:r>
      <w:r w:rsidR="009569E6" w:rsidRPr="00532C3B">
        <w:t>INTRODUCCIÓN DE LA CAUSA Y OBJETO DE LA CONTROVERSIA</w:t>
      </w:r>
      <w:bookmarkEnd w:id="1"/>
      <w:bookmarkEnd w:id="2"/>
      <w:bookmarkEnd w:id="3"/>
      <w:bookmarkEnd w:id="4"/>
      <w:bookmarkEnd w:id="5"/>
      <w:bookmarkEnd w:id="6"/>
      <w:bookmarkEnd w:id="7"/>
    </w:p>
    <w:p w14:paraId="03CF8172" w14:textId="0BB4D775" w:rsidR="00460F22" w:rsidRPr="00532C3B" w:rsidRDefault="003B1D4E" w:rsidP="001E6219">
      <w:pPr>
        <w:pStyle w:val="ListParagraph"/>
        <w:numPr>
          <w:ilvl w:val="0"/>
          <w:numId w:val="2"/>
        </w:numPr>
        <w:ind w:left="0" w:right="-4" w:firstLine="0"/>
        <w:contextualSpacing w:val="0"/>
        <w:rPr>
          <w:szCs w:val="20"/>
        </w:rPr>
      </w:pPr>
      <w:r w:rsidRPr="00532C3B">
        <w:rPr>
          <w:i/>
          <w:szCs w:val="20"/>
        </w:rPr>
        <w:t>El caso sometido a la Corte</w:t>
      </w:r>
      <w:r w:rsidRPr="00532C3B">
        <w:rPr>
          <w:szCs w:val="20"/>
        </w:rPr>
        <w:t xml:space="preserve">.- El </w:t>
      </w:r>
      <w:r w:rsidR="00791DF2" w:rsidRPr="00532C3B">
        <w:rPr>
          <w:szCs w:val="20"/>
        </w:rPr>
        <w:t>28 de abril de 2018</w:t>
      </w:r>
      <w:r w:rsidRPr="00532C3B">
        <w:rPr>
          <w:szCs w:val="20"/>
        </w:rPr>
        <w:t>, de conformidad con lo dispuesto en los artículos 51 y 61 de la Convención Americana y el artículo 35 del Reglamento de la Corte, la Comisión Interamericana de Derechos Humanos (en adelante “la Comisión Interamericana” o “la Comisión”) sometió a la jurisdicció</w:t>
      </w:r>
      <w:r w:rsidR="00791DF2" w:rsidRPr="00532C3B">
        <w:rPr>
          <w:szCs w:val="20"/>
        </w:rPr>
        <w:t>n de la Corte el caso No. 12.659</w:t>
      </w:r>
      <w:r w:rsidRPr="00532C3B">
        <w:rPr>
          <w:szCs w:val="20"/>
        </w:rPr>
        <w:t xml:space="preserve"> “</w:t>
      </w:r>
      <w:r w:rsidR="00791DF2" w:rsidRPr="00532C3B">
        <w:rPr>
          <w:szCs w:val="20"/>
        </w:rPr>
        <w:t>Mirey Trueba Arciniega y otros</w:t>
      </w:r>
      <w:r w:rsidRPr="00532C3B">
        <w:rPr>
          <w:szCs w:val="20"/>
        </w:rPr>
        <w:t xml:space="preserve">” </w:t>
      </w:r>
      <w:r w:rsidR="00791DF2" w:rsidRPr="00532C3B">
        <w:rPr>
          <w:szCs w:val="20"/>
        </w:rPr>
        <w:t xml:space="preserve">respecto </w:t>
      </w:r>
      <w:r w:rsidR="00CD205C">
        <w:rPr>
          <w:szCs w:val="20"/>
        </w:rPr>
        <w:t>de los Estados Unidos Mexicanos</w:t>
      </w:r>
      <w:r w:rsidRPr="00532C3B">
        <w:rPr>
          <w:szCs w:val="20"/>
        </w:rPr>
        <w:t xml:space="preserve"> (en </w:t>
      </w:r>
      <w:r w:rsidR="00791DF2" w:rsidRPr="00532C3B">
        <w:rPr>
          <w:szCs w:val="20"/>
        </w:rPr>
        <w:t>adelante “el Estado” o “México</w:t>
      </w:r>
      <w:r w:rsidRPr="00532C3B">
        <w:rPr>
          <w:szCs w:val="20"/>
        </w:rPr>
        <w:t>”). La Comisión indicó que el c</w:t>
      </w:r>
      <w:r w:rsidR="008F4668">
        <w:rPr>
          <w:szCs w:val="20"/>
        </w:rPr>
        <w:t>aso se relaciona</w:t>
      </w:r>
      <w:r w:rsidRPr="00532C3B">
        <w:rPr>
          <w:szCs w:val="20"/>
        </w:rPr>
        <w:t xml:space="preserve"> con la responsabilidad internacional del Estado por </w:t>
      </w:r>
      <w:r w:rsidR="00460F22" w:rsidRPr="00532C3B">
        <w:rPr>
          <w:szCs w:val="20"/>
        </w:rPr>
        <w:t>la ejecución extrajudicial del joven Mirey Trueba Arciniega el 22 de agosto de 1998 por parte de miembros del Ejército en el estado de Chihuah</w:t>
      </w:r>
      <w:r w:rsidR="00257144">
        <w:rPr>
          <w:szCs w:val="20"/>
        </w:rPr>
        <w:t>u</w:t>
      </w:r>
      <w:r w:rsidR="00460F22" w:rsidRPr="00532C3B">
        <w:rPr>
          <w:szCs w:val="20"/>
        </w:rPr>
        <w:t>a. Sostuvo que este hecho ocurrió en un contexto en el cual el Estado mexicano asignó a sus Fuerzas Armadas labores de orden público, con todos los riesgos que ello implicaba y sin disponer las salvaguardas necesarias en términos de regulación, capacitación, dotación y vigilancia para prevenir privaciones arbitrarias del derecho a la vida como consecuencia del uso de la fuerza por parte de dichos agentes.</w:t>
      </w:r>
      <w:r w:rsidR="00575689" w:rsidRPr="00532C3B">
        <w:rPr>
          <w:szCs w:val="20"/>
        </w:rPr>
        <w:t xml:space="preserve"> Además, la Comisión determinó que el joven Mirey Trueba padeció un sufrimiento físico extremo incompatible con su integridad personal; y que el Estado, a través de sus agentes, no dio una respuesta inmediata a pesar de la gravedad de la situación a fin de buscar ayuda médica lo más pronto posible. A</w:t>
      </w:r>
      <w:r w:rsidR="00B023F0" w:rsidRPr="00532C3B">
        <w:rPr>
          <w:szCs w:val="20"/>
        </w:rPr>
        <w:t>simismo</w:t>
      </w:r>
      <w:r w:rsidR="00575689" w:rsidRPr="00532C3B">
        <w:rPr>
          <w:szCs w:val="20"/>
        </w:rPr>
        <w:t>, indicó que el Estado violó los derechos a las garantías judiciales y protección judicial, debido al uso de la justicia penal militar, así como a la falta de diligencia en la conducción de las investigaciones.</w:t>
      </w:r>
      <w:r w:rsidR="00B023F0" w:rsidRPr="00532C3B">
        <w:rPr>
          <w:szCs w:val="20"/>
        </w:rPr>
        <w:t xml:space="preserve"> Por último, la Comisión determinó</w:t>
      </w:r>
      <w:r w:rsidR="00C53E9E" w:rsidRPr="00532C3B">
        <w:rPr>
          <w:szCs w:val="20"/>
        </w:rPr>
        <w:t xml:space="preserve"> que el Estado violó el derecho a la integridad personal de los familiares de Mirey Trueba</w:t>
      </w:r>
      <w:r w:rsidR="00C53E9E" w:rsidRPr="00532C3B">
        <w:rPr>
          <w:rStyle w:val="FootnoteReference"/>
        </w:rPr>
        <w:footnoteReference w:id="2"/>
      </w:r>
      <w:r w:rsidR="00C53E9E" w:rsidRPr="00532C3B">
        <w:rPr>
          <w:szCs w:val="20"/>
        </w:rPr>
        <w:t>.</w:t>
      </w:r>
    </w:p>
    <w:p w14:paraId="08160CCD" w14:textId="77777777" w:rsidR="00A73AFA" w:rsidRPr="00532C3B" w:rsidRDefault="00A73AFA" w:rsidP="001E6219">
      <w:pPr>
        <w:pStyle w:val="ListParagraph"/>
        <w:ind w:left="0" w:right="-4"/>
        <w:contextualSpacing w:val="0"/>
        <w:rPr>
          <w:szCs w:val="20"/>
        </w:rPr>
      </w:pPr>
    </w:p>
    <w:p w14:paraId="55A02593" w14:textId="77777777" w:rsidR="00070CFE" w:rsidRPr="00532C3B" w:rsidRDefault="006F5C6B" w:rsidP="001E6219">
      <w:pPr>
        <w:pStyle w:val="ListParagraph"/>
        <w:numPr>
          <w:ilvl w:val="0"/>
          <w:numId w:val="2"/>
        </w:numPr>
        <w:ind w:left="0" w:right="-4" w:firstLine="0"/>
        <w:contextualSpacing w:val="0"/>
        <w:rPr>
          <w:szCs w:val="20"/>
        </w:rPr>
      </w:pPr>
      <w:bookmarkStart w:id="8" w:name="_Ref363651855"/>
      <w:r w:rsidRPr="00532C3B">
        <w:rPr>
          <w:i/>
          <w:szCs w:val="20"/>
        </w:rPr>
        <w:t xml:space="preserve">Trámite ante la Comisión. </w:t>
      </w:r>
      <w:r w:rsidRPr="00532C3B">
        <w:rPr>
          <w:szCs w:val="20"/>
        </w:rPr>
        <w:t>– El trámite ante la Comisión fue el siguiente:</w:t>
      </w:r>
      <w:bookmarkEnd w:id="8"/>
    </w:p>
    <w:p w14:paraId="04F6722A" w14:textId="77777777" w:rsidR="00A73AFA" w:rsidRPr="00532C3B" w:rsidRDefault="00A73AFA" w:rsidP="001E6219">
      <w:pPr>
        <w:pStyle w:val="ListParagraph"/>
        <w:ind w:left="0" w:right="-4"/>
        <w:contextualSpacing w:val="0"/>
        <w:rPr>
          <w:szCs w:val="20"/>
        </w:rPr>
      </w:pPr>
    </w:p>
    <w:p w14:paraId="7BCE54C9" w14:textId="6BF7C153" w:rsidR="006F5C6B" w:rsidRPr="00532C3B" w:rsidRDefault="006F5C6B" w:rsidP="001E6219">
      <w:pPr>
        <w:pStyle w:val="ListParagraph"/>
        <w:numPr>
          <w:ilvl w:val="1"/>
          <w:numId w:val="1"/>
        </w:numPr>
        <w:ind w:left="284" w:right="-6" w:firstLine="0"/>
        <w:contextualSpacing w:val="0"/>
        <w:rPr>
          <w:szCs w:val="20"/>
        </w:rPr>
      </w:pPr>
      <w:r w:rsidRPr="00532C3B">
        <w:rPr>
          <w:i/>
          <w:szCs w:val="20"/>
        </w:rPr>
        <w:t xml:space="preserve">Petición. </w:t>
      </w:r>
      <w:r w:rsidR="005938AA" w:rsidRPr="00532C3B">
        <w:rPr>
          <w:i/>
          <w:szCs w:val="20"/>
        </w:rPr>
        <w:t xml:space="preserve">- </w:t>
      </w:r>
      <w:r w:rsidR="002D321E" w:rsidRPr="00532C3B">
        <w:rPr>
          <w:szCs w:val="20"/>
          <w:lang w:val="es-ES"/>
        </w:rPr>
        <w:t xml:space="preserve">El </w:t>
      </w:r>
      <w:r w:rsidR="00575689" w:rsidRPr="00532C3B">
        <w:rPr>
          <w:szCs w:val="20"/>
          <w:lang w:val="es-ES"/>
        </w:rPr>
        <w:t>2 de agosto de 2001</w:t>
      </w:r>
      <w:r w:rsidR="002D321E" w:rsidRPr="00532C3B">
        <w:rPr>
          <w:szCs w:val="20"/>
          <w:lang w:val="es-ES"/>
        </w:rPr>
        <w:t xml:space="preserve"> la Comisión recibió una petición presentada por </w:t>
      </w:r>
      <w:r w:rsidR="00575689" w:rsidRPr="00532C3B">
        <w:rPr>
          <w:szCs w:val="20"/>
          <w:lang w:val="es-ES"/>
        </w:rPr>
        <w:t>la Comisión de Solidaridad y Defensa de los Derechos Humanos (COSYDDHAC)</w:t>
      </w:r>
      <w:r w:rsidR="002D321E" w:rsidRPr="00532C3B">
        <w:rPr>
          <w:szCs w:val="20"/>
          <w:lang w:val="es-ES"/>
        </w:rPr>
        <w:t xml:space="preserve"> y por el Centro por la Justicia y el Derecho Internacional (CEJIL) (en adelante “los peticionarios”)</w:t>
      </w:r>
      <w:r w:rsidR="002D321E" w:rsidRPr="00532C3B">
        <w:rPr>
          <w:szCs w:val="20"/>
          <w:vertAlign w:val="superscript"/>
          <w:lang w:val="es-ES"/>
        </w:rPr>
        <w:footnoteReference w:id="3"/>
      </w:r>
      <w:r w:rsidR="002F6EE9" w:rsidRPr="00532C3B">
        <w:rPr>
          <w:szCs w:val="20"/>
        </w:rPr>
        <w:t>.</w:t>
      </w:r>
    </w:p>
    <w:p w14:paraId="6289AFB1" w14:textId="77777777" w:rsidR="00A73AFA" w:rsidRPr="00532C3B" w:rsidRDefault="00A73AFA" w:rsidP="001E6219">
      <w:pPr>
        <w:ind w:right="-6"/>
        <w:rPr>
          <w:szCs w:val="20"/>
        </w:rPr>
      </w:pPr>
    </w:p>
    <w:p w14:paraId="3597A1CD" w14:textId="363E151C" w:rsidR="006F5C6B" w:rsidRPr="00532C3B" w:rsidRDefault="002D321E" w:rsidP="001E6219">
      <w:pPr>
        <w:pStyle w:val="ListParagraph"/>
        <w:numPr>
          <w:ilvl w:val="1"/>
          <w:numId w:val="1"/>
        </w:numPr>
        <w:ind w:left="284" w:right="-6" w:firstLine="0"/>
        <w:contextualSpacing w:val="0"/>
        <w:rPr>
          <w:szCs w:val="20"/>
        </w:rPr>
      </w:pPr>
      <w:r w:rsidRPr="00532C3B">
        <w:rPr>
          <w:i/>
          <w:szCs w:val="20"/>
          <w:lang w:val="es-ES"/>
        </w:rPr>
        <w:t>Informe de Admisibilidad.-</w:t>
      </w:r>
      <w:r w:rsidRPr="00532C3B">
        <w:rPr>
          <w:szCs w:val="20"/>
          <w:lang w:val="es-ES"/>
        </w:rPr>
        <w:t xml:space="preserve"> El 24 de </w:t>
      </w:r>
      <w:r w:rsidR="00575689" w:rsidRPr="00532C3B">
        <w:rPr>
          <w:szCs w:val="20"/>
          <w:lang w:val="es-ES"/>
        </w:rPr>
        <w:t>julio de 2008</w:t>
      </w:r>
      <w:r w:rsidRPr="00532C3B">
        <w:rPr>
          <w:szCs w:val="20"/>
          <w:lang w:val="es-ES"/>
        </w:rPr>
        <w:t xml:space="preserve"> la Comisión emitió el</w:t>
      </w:r>
      <w:r w:rsidR="00575689" w:rsidRPr="00532C3B">
        <w:rPr>
          <w:szCs w:val="20"/>
          <w:lang w:val="es-ES"/>
        </w:rPr>
        <w:t xml:space="preserve"> Informe de Admisibilidad No. 48/08</w:t>
      </w:r>
      <w:r w:rsidRPr="00532C3B">
        <w:rPr>
          <w:szCs w:val="20"/>
          <w:vertAlign w:val="superscript"/>
          <w:lang w:val="es-ES"/>
        </w:rPr>
        <w:footnoteReference w:id="4"/>
      </w:r>
      <w:r w:rsidR="006717B6" w:rsidRPr="00532C3B">
        <w:rPr>
          <w:szCs w:val="20"/>
        </w:rPr>
        <w:t>.</w:t>
      </w:r>
    </w:p>
    <w:p w14:paraId="600099F0" w14:textId="77777777" w:rsidR="00A73AFA" w:rsidRPr="00532C3B" w:rsidRDefault="00A73AFA" w:rsidP="001E6219">
      <w:pPr>
        <w:ind w:right="-6"/>
        <w:rPr>
          <w:szCs w:val="20"/>
        </w:rPr>
      </w:pPr>
    </w:p>
    <w:p w14:paraId="6E516C3A" w14:textId="66D8771F" w:rsidR="006717B6" w:rsidRPr="00532C3B" w:rsidRDefault="008E42F4" w:rsidP="001E6219">
      <w:pPr>
        <w:pStyle w:val="ListParagraph"/>
        <w:numPr>
          <w:ilvl w:val="1"/>
          <w:numId w:val="1"/>
        </w:numPr>
        <w:ind w:left="284" w:right="-6" w:firstLine="0"/>
        <w:contextualSpacing w:val="0"/>
        <w:rPr>
          <w:szCs w:val="20"/>
        </w:rPr>
      </w:pPr>
      <w:r w:rsidRPr="00532C3B">
        <w:rPr>
          <w:i/>
          <w:szCs w:val="20"/>
          <w:lang w:val="es-ES"/>
        </w:rPr>
        <w:t>Informe de Fondo</w:t>
      </w:r>
      <w:r w:rsidRPr="00532C3B">
        <w:rPr>
          <w:szCs w:val="20"/>
          <w:lang w:val="es-ES"/>
        </w:rPr>
        <w:t xml:space="preserve">.- El </w:t>
      </w:r>
      <w:r w:rsidR="00016090" w:rsidRPr="00532C3B">
        <w:rPr>
          <w:szCs w:val="20"/>
          <w:lang w:val="es-ES"/>
        </w:rPr>
        <w:t>29 de noviembre de 2016</w:t>
      </w:r>
      <w:r w:rsidRPr="00532C3B">
        <w:rPr>
          <w:szCs w:val="20"/>
          <w:lang w:val="es-ES"/>
        </w:rPr>
        <w:t xml:space="preserve"> la Comisión e</w:t>
      </w:r>
      <w:r w:rsidR="00016090" w:rsidRPr="00532C3B">
        <w:rPr>
          <w:szCs w:val="20"/>
          <w:lang w:val="es-ES"/>
        </w:rPr>
        <w:t>mitió el Informe de Fondo No. 47/16</w:t>
      </w:r>
      <w:r w:rsidRPr="00532C3B">
        <w:rPr>
          <w:szCs w:val="20"/>
          <w:lang w:val="es-ES"/>
        </w:rPr>
        <w:t xml:space="preserve"> (en adelante también “el Inform</w:t>
      </w:r>
      <w:r w:rsidR="00016090" w:rsidRPr="00532C3B">
        <w:rPr>
          <w:szCs w:val="20"/>
          <w:lang w:val="es-ES"/>
        </w:rPr>
        <w:t>e de Fondo” o “el Informe No. 47/16</w:t>
      </w:r>
      <w:r w:rsidRPr="00532C3B">
        <w:rPr>
          <w:szCs w:val="20"/>
          <w:lang w:val="es-MX"/>
        </w:rPr>
        <w:t>”)</w:t>
      </w:r>
      <w:r w:rsidRPr="00532C3B">
        <w:rPr>
          <w:szCs w:val="20"/>
          <w:lang w:val="es-ES"/>
        </w:rPr>
        <w:t xml:space="preserve"> en los términos del artículo 50 de la Convención Americana, en el que llegó a una serie de conclusiones</w:t>
      </w:r>
      <w:r w:rsidRPr="00532C3B">
        <w:rPr>
          <w:rStyle w:val="FootnoteReference"/>
          <w:lang w:val="es-ES"/>
        </w:rPr>
        <w:footnoteReference w:id="5"/>
      </w:r>
      <w:r w:rsidRPr="00532C3B">
        <w:rPr>
          <w:szCs w:val="20"/>
          <w:lang w:val="es-ES"/>
        </w:rPr>
        <w:t xml:space="preserve"> y formuló v</w:t>
      </w:r>
      <w:r w:rsidR="00016090" w:rsidRPr="00532C3B">
        <w:rPr>
          <w:szCs w:val="20"/>
          <w:lang w:val="es-ES"/>
        </w:rPr>
        <w:t>arias recomendaciones a México</w:t>
      </w:r>
      <w:r w:rsidRPr="00532C3B">
        <w:rPr>
          <w:rStyle w:val="FootnoteReference"/>
          <w:lang w:val="es-ES"/>
        </w:rPr>
        <w:footnoteReference w:id="6"/>
      </w:r>
      <w:r w:rsidRPr="00532C3B">
        <w:rPr>
          <w:szCs w:val="20"/>
        </w:rPr>
        <w:t>.</w:t>
      </w:r>
    </w:p>
    <w:p w14:paraId="721835F5" w14:textId="77777777" w:rsidR="00A73AFA" w:rsidRPr="00532C3B" w:rsidRDefault="00A73AFA" w:rsidP="001E6219">
      <w:pPr>
        <w:ind w:right="-6"/>
        <w:rPr>
          <w:szCs w:val="20"/>
        </w:rPr>
      </w:pPr>
    </w:p>
    <w:p w14:paraId="48B40CC1" w14:textId="63A17CC2" w:rsidR="00462072" w:rsidRPr="00532C3B" w:rsidRDefault="008E42F4" w:rsidP="001E6219">
      <w:pPr>
        <w:pStyle w:val="ListParagraph"/>
        <w:numPr>
          <w:ilvl w:val="1"/>
          <w:numId w:val="1"/>
        </w:numPr>
        <w:ind w:left="284" w:right="-6" w:firstLine="0"/>
        <w:contextualSpacing w:val="0"/>
        <w:rPr>
          <w:szCs w:val="20"/>
        </w:rPr>
      </w:pPr>
      <w:r w:rsidRPr="00532C3B">
        <w:rPr>
          <w:i/>
          <w:szCs w:val="20"/>
          <w:lang w:val="es-ES"/>
        </w:rPr>
        <w:t>Notificación</w:t>
      </w:r>
      <w:r w:rsidRPr="00532C3B">
        <w:rPr>
          <w:i/>
          <w:szCs w:val="20"/>
          <w:lang w:val="es-MX"/>
        </w:rPr>
        <w:t xml:space="preserve"> al Estado</w:t>
      </w:r>
      <w:r w:rsidRPr="00532C3B">
        <w:rPr>
          <w:szCs w:val="20"/>
          <w:lang w:val="es-MX"/>
        </w:rPr>
        <w:t>.-</w:t>
      </w:r>
      <w:r w:rsidRPr="00532C3B">
        <w:rPr>
          <w:szCs w:val="20"/>
          <w:lang w:val="es-CR"/>
        </w:rPr>
        <w:t xml:space="preserve"> El Informe de Fondo fue notificado al Estado </w:t>
      </w:r>
      <w:r w:rsidRPr="00532C3B">
        <w:rPr>
          <w:szCs w:val="20"/>
        </w:rPr>
        <w:t xml:space="preserve">el </w:t>
      </w:r>
      <w:r w:rsidR="0076072C" w:rsidRPr="00532C3B">
        <w:rPr>
          <w:szCs w:val="20"/>
        </w:rPr>
        <w:t>28 de diciembre</w:t>
      </w:r>
      <w:r w:rsidRPr="00532C3B">
        <w:rPr>
          <w:szCs w:val="20"/>
        </w:rPr>
        <w:t xml:space="preserve"> de </w:t>
      </w:r>
      <w:r w:rsidR="0076072C" w:rsidRPr="00532C3B">
        <w:rPr>
          <w:szCs w:val="20"/>
        </w:rPr>
        <w:t>2016</w:t>
      </w:r>
      <w:r w:rsidRPr="00532C3B">
        <w:rPr>
          <w:szCs w:val="20"/>
        </w:rPr>
        <w:t xml:space="preserve">, otorgándole un plazo de dos meses para informar sobre el cumplimiento de las recomendaciones. </w:t>
      </w:r>
      <w:r w:rsidR="006C6A42" w:rsidRPr="00532C3B">
        <w:rPr>
          <w:szCs w:val="20"/>
        </w:rPr>
        <w:t>Posteriormente, la Comisión oto</w:t>
      </w:r>
      <w:r w:rsidR="00A73AFA" w:rsidRPr="00532C3B">
        <w:rPr>
          <w:szCs w:val="20"/>
        </w:rPr>
        <w:t>rgó cuatro prórrogas al Estado.</w:t>
      </w:r>
    </w:p>
    <w:p w14:paraId="453C0461" w14:textId="77777777" w:rsidR="00A73AFA" w:rsidRPr="00532C3B" w:rsidRDefault="00A73AFA" w:rsidP="001E6219">
      <w:pPr>
        <w:ind w:right="-6"/>
        <w:rPr>
          <w:szCs w:val="20"/>
        </w:rPr>
      </w:pPr>
    </w:p>
    <w:p w14:paraId="5421FEC8" w14:textId="37DE5AC2" w:rsidR="00A73AFA" w:rsidRPr="00532C3B" w:rsidRDefault="00375DA4" w:rsidP="001E6219">
      <w:pPr>
        <w:pStyle w:val="ListParagraph"/>
        <w:numPr>
          <w:ilvl w:val="0"/>
          <w:numId w:val="2"/>
        </w:numPr>
        <w:ind w:left="0" w:right="-4" w:firstLine="0"/>
        <w:contextualSpacing w:val="0"/>
        <w:rPr>
          <w:szCs w:val="20"/>
        </w:rPr>
      </w:pPr>
      <w:r w:rsidRPr="00532C3B">
        <w:rPr>
          <w:i/>
          <w:szCs w:val="20"/>
        </w:rPr>
        <w:t>Sometimiento a la Corte. –</w:t>
      </w:r>
      <w:r w:rsidR="00FC2B45" w:rsidRPr="00532C3B">
        <w:rPr>
          <w:szCs w:val="20"/>
        </w:rPr>
        <w:t xml:space="preserve"> </w:t>
      </w:r>
      <w:r w:rsidR="008E42F4" w:rsidRPr="00532C3B">
        <w:rPr>
          <w:szCs w:val="20"/>
          <w:lang w:val="es-ES"/>
        </w:rPr>
        <w:t>El 2</w:t>
      </w:r>
      <w:r w:rsidR="00747182" w:rsidRPr="00532C3B">
        <w:rPr>
          <w:szCs w:val="20"/>
          <w:lang w:val="es-ES"/>
        </w:rPr>
        <w:t>8 de abril de 2018</w:t>
      </w:r>
      <w:r w:rsidR="008E42F4" w:rsidRPr="00532C3B">
        <w:rPr>
          <w:szCs w:val="20"/>
          <w:lang w:val="es-ES"/>
        </w:rPr>
        <w:t xml:space="preserve"> la Comisión sometió el caso a la Corte, respecto de la totalidad de los hechos y violaciones de derechos humanos descritos en el Informe de Fond</w:t>
      </w:r>
      <w:r w:rsidR="00747182" w:rsidRPr="00532C3B">
        <w:rPr>
          <w:szCs w:val="20"/>
          <w:lang w:val="es-ES"/>
        </w:rPr>
        <w:t>o No. 47/16</w:t>
      </w:r>
      <w:r w:rsidR="008E42F4" w:rsidRPr="00532C3B">
        <w:rPr>
          <w:szCs w:val="20"/>
          <w:lang w:val="es-ES"/>
        </w:rPr>
        <w:t>. Solicitó a la Corte que declarara la responsabilidad internacional del Estado por las violaciones señaladas en el Informe</w:t>
      </w:r>
      <w:r w:rsidR="005938AA" w:rsidRPr="00532C3B">
        <w:rPr>
          <w:szCs w:val="20"/>
          <w:lang w:val="es-ES"/>
        </w:rPr>
        <w:t xml:space="preserve"> de Fondo</w:t>
      </w:r>
      <w:r w:rsidR="008E42F4" w:rsidRPr="00532C3B">
        <w:rPr>
          <w:szCs w:val="20"/>
          <w:lang w:val="es-ES"/>
        </w:rPr>
        <w:t xml:space="preserve"> y estableciera las medidas de reparación</w:t>
      </w:r>
      <w:r w:rsidR="00747182" w:rsidRPr="00532C3B">
        <w:rPr>
          <w:szCs w:val="20"/>
          <w:lang w:val="es-ES"/>
        </w:rPr>
        <w:t>.</w:t>
      </w:r>
    </w:p>
    <w:p w14:paraId="1AD997DA" w14:textId="77777777" w:rsidR="00473A82" w:rsidRDefault="00C6683F" w:rsidP="00236DD1">
      <w:pPr>
        <w:pStyle w:val="Heading1"/>
        <w:rPr>
          <w:lang w:val="es-ES_tradnl"/>
        </w:rPr>
      </w:pPr>
      <w:bookmarkStart w:id="9" w:name="_Toc359314415"/>
      <w:bookmarkStart w:id="10" w:name="_Toc361671572"/>
      <w:bookmarkStart w:id="11" w:name="_Toc361671992"/>
      <w:bookmarkStart w:id="12" w:name="_Toc361732789"/>
      <w:bookmarkStart w:id="13" w:name="_Toc361732832"/>
      <w:bookmarkStart w:id="14" w:name="_Toc362456863"/>
      <w:bookmarkStart w:id="15" w:name="_Toc365021392"/>
      <w:bookmarkStart w:id="16" w:name="_Toc369076778"/>
      <w:bookmarkStart w:id="17" w:name="_Toc369989362"/>
      <w:bookmarkStart w:id="18" w:name="_Toc369989449"/>
      <w:bookmarkStart w:id="19" w:name="_Toc369989730"/>
      <w:bookmarkStart w:id="20" w:name="_Toc438132270"/>
      <w:bookmarkStart w:id="21" w:name="_Toc311128156"/>
      <w:bookmarkStart w:id="22" w:name="_Toc311128353"/>
      <w:bookmarkStart w:id="23" w:name="_Toc486693352"/>
      <w:bookmarkStart w:id="24" w:name="_Toc486842768"/>
      <w:bookmarkStart w:id="25" w:name="_Toc486842906"/>
      <w:bookmarkStart w:id="26" w:name="_Toc532214914"/>
      <w:r w:rsidRPr="00532C3B">
        <w:rPr>
          <w:lang w:val="es-ES_tradnl"/>
        </w:rPr>
        <w:t>II</w:t>
      </w:r>
      <w:r w:rsidRPr="00532C3B">
        <w:rPr>
          <w:color w:val="FFFFFF" w:themeColor="background1"/>
          <w:lang w:val="es-ES_tradnl"/>
        </w:rPr>
        <w:t>.</w:t>
      </w:r>
      <w:r w:rsidRPr="00532C3B">
        <w:rPr>
          <w:lang w:val="es-ES_tradnl"/>
        </w:rPr>
        <w:br/>
      </w:r>
      <w:r w:rsidR="00473A82" w:rsidRPr="00532C3B">
        <w:rPr>
          <w:lang w:val="es-ES_tradnl"/>
        </w:rPr>
        <w:t>PROCEDIMIENTO ANTE LA CORTE</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3C5F5984" w14:textId="716518DB" w:rsidR="00565BE2" w:rsidRPr="00532C3B" w:rsidRDefault="007E480C" w:rsidP="001E6219">
      <w:pPr>
        <w:pStyle w:val="Estilo1"/>
        <w:numPr>
          <w:ilvl w:val="0"/>
          <w:numId w:val="2"/>
        </w:numPr>
        <w:tabs>
          <w:tab w:val="left" w:pos="0"/>
        </w:tabs>
        <w:spacing w:after="0"/>
        <w:ind w:left="0" w:right="-4" w:firstLine="0"/>
        <w:rPr>
          <w:szCs w:val="20"/>
        </w:rPr>
      </w:pPr>
      <w:r w:rsidRPr="00532C3B">
        <w:rPr>
          <w:szCs w:val="20"/>
        </w:rPr>
        <w:t>Notificación al Estado y los representantes</w:t>
      </w:r>
      <w:r w:rsidRPr="00532C3B">
        <w:rPr>
          <w:szCs w:val="20"/>
          <w:vertAlign w:val="superscript"/>
        </w:rPr>
        <w:footnoteReference w:id="7"/>
      </w:r>
      <w:r w:rsidRPr="00532C3B">
        <w:rPr>
          <w:szCs w:val="20"/>
        </w:rPr>
        <w:t xml:space="preserve">.- </w:t>
      </w:r>
      <w:r w:rsidRPr="00532C3B">
        <w:rPr>
          <w:i w:val="0"/>
          <w:szCs w:val="20"/>
        </w:rPr>
        <w:t xml:space="preserve">El caso fue notificado a </w:t>
      </w:r>
      <w:r w:rsidR="00052F9D" w:rsidRPr="00532C3B">
        <w:rPr>
          <w:i w:val="0"/>
          <w:szCs w:val="20"/>
        </w:rPr>
        <w:t>México</w:t>
      </w:r>
      <w:r w:rsidRPr="00532C3B">
        <w:rPr>
          <w:i w:val="0"/>
          <w:szCs w:val="20"/>
        </w:rPr>
        <w:t xml:space="preserve"> y a los representantes de las presuntas víctimas el </w:t>
      </w:r>
      <w:r w:rsidR="00052F9D" w:rsidRPr="00532C3B">
        <w:rPr>
          <w:i w:val="0"/>
          <w:szCs w:val="20"/>
        </w:rPr>
        <w:t>8 de junio de 2018.</w:t>
      </w:r>
    </w:p>
    <w:p w14:paraId="5D769601" w14:textId="77777777" w:rsidR="00A73AFA" w:rsidRPr="001E6219" w:rsidRDefault="00A73AFA" w:rsidP="001E6219">
      <w:pPr>
        <w:pStyle w:val="Estilo1"/>
        <w:tabs>
          <w:tab w:val="left" w:pos="0"/>
        </w:tabs>
        <w:spacing w:after="0"/>
        <w:ind w:left="0" w:right="-4" w:firstLine="0"/>
        <w:rPr>
          <w:i w:val="0"/>
          <w:szCs w:val="20"/>
        </w:rPr>
      </w:pPr>
    </w:p>
    <w:p w14:paraId="30EA3B64" w14:textId="6A3206B6" w:rsidR="00C501EA" w:rsidRPr="00532C3B" w:rsidRDefault="00C501EA" w:rsidP="001E6219">
      <w:pPr>
        <w:pStyle w:val="Estilo1"/>
        <w:numPr>
          <w:ilvl w:val="0"/>
          <w:numId w:val="2"/>
        </w:numPr>
        <w:tabs>
          <w:tab w:val="left" w:pos="0"/>
        </w:tabs>
        <w:spacing w:after="0"/>
        <w:ind w:left="0" w:right="-4" w:firstLine="0"/>
        <w:rPr>
          <w:i w:val="0"/>
          <w:szCs w:val="20"/>
        </w:rPr>
      </w:pPr>
      <w:r w:rsidRPr="00532C3B">
        <w:rPr>
          <w:szCs w:val="20"/>
        </w:rPr>
        <w:t>Acuerdo de Solución Amistosa.</w:t>
      </w:r>
      <w:r w:rsidR="00EF11B0" w:rsidRPr="00532C3B">
        <w:rPr>
          <w:i w:val="0"/>
          <w:szCs w:val="20"/>
        </w:rPr>
        <w:t xml:space="preserve">- El </w:t>
      </w:r>
      <w:r w:rsidR="006B6E93">
        <w:rPr>
          <w:i w:val="0"/>
          <w:szCs w:val="20"/>
        </w:rPr>
        <w:t>13</w:t>
      </w:r>
      <w:r w:rsidR="00EF11B0" w:rsidRPr="00532C3B">
        <w:rPr>
          <w:i w:val="0"/>
          <w:szCs w:val="20"/>
        </w:rPr>
        <w:t xml:space="preserve"> de </w:t>
      </w:r>
      <w:r w:rsidR="006B6E93">
        <w:rPr>
          <w:i w:val="0"/>
          <w:szCs w:val="20"/>
        </w:rPr>
        <w:t>noviembre</w:t>
      </w:r>
      <w:r w:rsidRPr="00532C3B">
        <w:rPr>
          <w:i w:val="0"/>
          <w:szCs w:val="20"/>
        </w:rPr>
        <w:t xml:space="preserve"> de 2018, la Corte recibió de </w:t>
      </w:r>
      <w:r w:rsidR="00EF11B0" w:rsidRPr="00532C3B">
        <w:rPr>
          <w:i w:val="0"/>
          <w:szCs w:val="20"/>
        </w:rPr>
        <w:t>México</w:t>
      </w:r>
      <w:r w:rsidRPr="00532C3B">
        <w:rPr>
          <w:i w:val="0"/>
          <w:szCs w:val="20"/>
        </w:rPr>
        <w:t xml:space="preserve"> un documento </w:t>
      </w:r>
      <w:r w:rsidR="00B13A6D">
        <w:rPr>
          <w:i w:val="0"/>
          <w:szCs w:val="20"/>
        </w:rPr>
        <w:t xml:space="preserve">fechado el </w:t>
      </w:r>
      <w:r w:rsidR="006B6E93">
        <w:rPr>
          <w:i w:val="0"/>
          <w:szCs w:val="20"/>
        </w:rPr>
        <w:t>19 de octubre de 2018</w:t>
      </w:r>
      <w:r w:rsidRPr="00532C3B">
        <w:rPr>
          <w:i w:val="0"/>
          <w:szCs w:val="20"/>
        </w:rPr>
        <w:t xml:space="preserve"> denominado “</w:t>
      </w:r>
      <w:r w:rsidR="00C5206B" w:rsidRPr="00532C3B">
        <w:rPr>
          <w:i w:val="0"/>
          <w:szCs w:val="20"/>
        </w:rPr>
        <w:t xml:space="preserve">Acuerdo </w:t>
      </w:r>
      <w:r w:rsidR="00D46956" w:rsidRPr="00532C3B">
        <w:rPr>
          <w:i w:val="0"/>
          <w:szCs w:val="20"/>
        </w:rPr>
        <w:t>de solución a</w:t>
      </w:r>
      <w:r w:rsidR="00C5206B" w:rsidRPr="00532C3B">
        <w:rPr>
          <w:i w:val="0"/>
          <w:szCs w:val="20"/>
        </w:rPr>
        <w:t>mistos</w:t>
      </w:r>
      <w:r w:rsidR="00D46956" w:rsidRPr="00532C3B">
        <w:rPr>
          <w:i w:val="0"/>
          <w:szCs w:val="20"/>
        </w:rPr>
        <w:t>a</w:t>
      </w:r>
      <w:r w:rsidR="00C5206B" w:rsidRPr="00532C3B">
        <w:rPr>
          <w:i w:val="0"/>
          <w:szCs w:val="20"/>
        </w:rPr>
        <w:t xml:space="preserve"> </w:t>
      </w:r>
      <w:r w:rsidR="00902745">
        <w:rPr>
          <w:i w:val="0"/>
          <w:szCs w:val="20"/>
        </w:rPr>
        <w:t>y reconocimiento de</w:t>
      </w:r>
      <w:r w:rsidR="00D46956" w:rsidRPr="00532C3B">
        <w:rPr>
          <w:i w:val="0"/>
          <w:szCs w:val="20"/>
        </w:rPr>
        <w:t xml:space="preserve"> responsabilidad del Estado</w:t>
      </w:r>
      <w:r w:rsidR="00EF11B0" w:rsidRPr="00532C3B">
        <w:rPr>
          <w:i w:val="0"/>
          <w:szCs w:val="20"/>
        </w:rPr>
        <w:t xml:space="preserve"> Mexicano</w:t>
      </w:r>
      <w:r w:rsidR="00D46956" w:rsidRPr="00532C3B">
        <w:rPr>
          <w:i w:val="0"/>
          <w:szCs w:val="20"/>
        </w:rPr>
        <w:t xml:space="preserve"> en el Caso </w:t>
      </w:r>
      <w:r w:rsidR="00EF11B0" w:rsidRPr="00532C3B">
        <w:rPr>
          <w:i w:val="0"/>
          <w:szCs w:val="20"/>
        </w:rPr>
        <w:t>12.659.</w:t>
      </w:r>
      <w:r w:rsidR="00C5206B" w:rsidRPr="00532C3B">
        <w:rPr>
          <w:i w:val="0"/>
          <w:szCs w:val="20"/>
        </w:rPr>
        <w:t xml:space="preserve"> </w:t>
      </w:r>
      <w:r w:rsidR="00EF11B0" w:rsidRPr="00532C3B">
        <w:rPr>
          <w:i w:val="0"/>
          <w:szCs w:val="20"/>
        </w:rPr>
        <w:t>Mirey Trueba Arciniega</w:t>
      </w:r>
      <w:r w:rsidR="00C5206B" w:rsidRPr="00532C3B">
        <w:rPr>
          <w:i w:val="0"/>
          <w:szCs w:val="20"/>
        </w:rPr>
        <w:t xml:space="preserve"> </w:t>
      </w:r>
      <w:r w:rsidR="00801ABD" w:rsidRPr="00532C3B">
        <w:rPr>
          <w:i w:val="0"/>
          <w:szCs w:val="20"/>
        </w:rPr>
        <w:t>y</w:t>
      </w:r>
      <w:r w:rsidR="00C5206B" w:rsidRPr="00532C3B">
        <w:rPr>
          <w:i w:val="0"/>
          <w:szCs w:val="20"/>
        </w:rPr>
        <w:t xml:space="preserve"> Familia</w:t>
      </w:r>
      <w:r w:rsidRPr="00532C3B">
        <w:rPr>
          <w:i w:val="0"/>
          <w:szCs w:val="20"/>
        </w:rPr>
        <w:t xml:space="preserve">” (en adelante también el “Acuerdo de arreglo amistoso”, “Acuerdo de solución amistosa” </w:t>
      </w:r>
      <w:r w:rsidR="00EF11B0" w:rsidRPr="00532C3B">
        <w:rPr>
          <w:i w:val="0"/>
          <w:szCs w:val="20"/>
        </w:rPr>
        <w:t>o “el Acuerdo”), suscrito por los</w:t>
      </w:r>
      <w:r w:rsidRPr="00532C3B">
        <w:rPr>
          <w:i w:val="0"/>
          <w:szCs w:val="20"/>
        </w:rPr>
        <w:t xml:space="preserve"> representante</w:t>
      </w:r>
      <w:r w:rsidR="00EF11B0" w:rsidRPr="00532C3B">
        <w:rPr>
          <w:i w:val="0"/>
          <w:szCs w:val="20"/>
        </w:rPr>
        <w:t>s</w:t>
      </w:r>
      <w:r w:rsidRPr="00532C3B">
        <w:rPr>
          <w:i w:val="0"/>
          <w:szCs w:val="20"/>
        </w:rPr>
        <w:t xml:space="preserve"> y el Estado.</w:t>
      </w:r>
    </w:p>
    <w:p w14:paraId="631FD607" w14:textId="77777777" w:rsidR="00A73AFA" w:rsidRPr="00532C3B" w:rsidRDefault="00A73AFA" w:rsidP="001E6219">
      <w:pPr>
        <w:pStyle w:val="Estilo1"/>
        <w:tabs>
          <w:tab w:val="left" w:pos="0"/>
        </w:tabs>
        <w:spacing w:after="0"/>
        <w:ind w:left="0" w:right="-4" w:firstLine="0"/>
        <w:rPr>
          <w:i w:val="0"/>
          <w:szCs w:val="20"/>
        </w:rPr>
      </w:pPr>
    </w:p>
    <w:p w14:paraId="2CCFEF47" w14:textId="351A0932" w:rsidR="00D371D1" w:rsidRPr="00532C3B" w:rsidRDefault="001D44C6" w:rsidP="001E6219">
      <w:pPr>
        <w:pStyle w:val="Estilo1"/>
        <w:numPr>
          <w:ilvl w:val="0"/>
          <w:numId w:val="2"/>
        </w:numPr>
        <w:tabs>
          <w:tab w:val="left" w:pos="0"/>
        </w:tabs>
        <w:spacing w:after="0"/>
        <w:ind w:left="0" w:right="-4" w:firstLine="0"/>
        <w:rPr>
          <w:i w:val="0"/>
          <w:szCs w:val="20"/>
          <w:lang w:val="es-ES"/>
        </w:rPr>
      </w:pPr>
      <w:r w:rsidRPr="00532C3B">
        <w:rPr>
          <w:szCs w:val="20"/>
          <w:lang w:eastAsia="es-ES"/>
        </w:rPr>
        <w:t>Observaciones de la Comisión y de los representantes</w:t>
      </w:r>
      <w:r w:rsidRPr="00532C3B">
        <w:rPr>
          <w:i w:val="0"/>
          <w:szCs w:val="20"/>
          <w:lang w:eastAsia="es-ES"/>
        </w:rPr>
        <w:t xml:space="preserve">.- </w:t>
      </w:r>
      <w:r w:rsidR="00165D30" w:rsidRPr="00532C3B">
        <w:rPr>
          <w:i w:val="0"/>
          <w:szCs w:val="20"/>
          <w:lang w:eastAsia="es-ES"/>
        </w:rPr>
        <w:t xml:space="preserve">Frente a la solicitud de homologación realizada por el Estado del </w:t>
      </w:r>
      <w:r w:rsidR="00165D30" w:rsidRPr="00532C3B">
        <w:rPr>
          <w:i w:val="0"/>
          <w:szCs w:val="20"/>
          <w:lang w:val="es-ES"/>
        </w:rPr>
        <w:t xml:space="preserve">acuerdo de solución amistosa, los representantes </w:t>
      </w:r>
      <w:r w:rsidR="009E4B2F" w:rsidRPr="00532C3B">
        <w:rPr>
          <w:i w:val="0"/>
          <w:szCs w:val="20"/>
          <w:lang w:val="es-ES"/>
        </w:rPr>
        <w:t>y la</w:t>
      </w:r>
      <w:r w:rsidR="00165D30" w:rsidRPr="00532C3B">
        <w:rPr>
          <w:i w:val="0"/>
          <w:szCs w:val="20"/>
          <w:lang w:val="es-ES"/>
        </w:rPr>
        <w:t xml:space="preserve"> Comisión </w:t>
      </w:r>
      <w:r w:rsidR="009E4B2F" w:rsidRPr="00532C3B">
        <w:rPr>
          <w:i w:val="0"/>
          <w:szCs w:val="20"/>
          <w:lang w:val="es-ES"/>
        </w:rPr>
        <w:t xml:space="preserve">presentaron sus observaciones respectivas </w:t>
      </w:r>
      <w:r w:rsidR="00EF11B0" w:rsidRPr="00532C3B">
        <w:rPr>
          <w:i w:val="0"/>
          <w:szCs w:val="20"/>
          <w:lang w:eastAsia="es-ES"/>
        </w:rPr>
        <w:t xml:space="preserve">el </w:t>
      </w:r>
      <w:r w:rsidR="00693017">
        <w:rPr>
          <w:i w:val="0"/>
          <w:szCs w:val="20"/>
          <w:lang w:eastAsia="es-ES"/>
        </w:rPr>
        <w:t>19</w:t>
      </w:r>
      <w:r w:rsidR="00FE4F37" w:rsidRPr="00532C3B">
        <w:rPr>
          <w:i w:val="0"/>
          <w:szCs w:val="20"/>
          <w:lang w:eastAsia="es-ES"/>
        </w:rPr>
        <w:t xml:space="preserve"> </w:t>
      </w:r>
      <w:r w:rsidR="009E4B2F" w:rsidRPr="00532C3B">
        <w:rPr>
          <w:i w:val="0"/>
          <w:szCs w:val="20"/>
          <w:lang w:eastAsia="es-ES"/>
        </w:rPr>
        <w:t xml:space="preserve">de </w:t>
      </w:r>
      <w:r w:rsidR="005938AA" w:rsidRPr="00532C3B">
        <w:rPr>
          <w:i w:val="0"/>
          <w:szCs w:val="20"/>
          <w:lang w:eastAsia="es-ES"/>
        </w:rPr>
        <w:t>noviembre</w:t>
      </w:r>
      <w:r w:rsidR="00FE4F37" w:rsidRPr="00532C3B">
        <w:rPr>
          <w:i w:val="0"/>
          <w:szCs w:val="20"/>
          <w:lang w:eastAsia="es-ES"/>
        </w:rPr>
        <w:t xml:space="preserve"> de 2018</w:t>
      </w:r>
      <w:r w:rsidR="009E4B2F" w:rsidRPr="00532C3B">
        <w:rPr>
          <w:i w:val="0"/>
          <w:szCs w:val="20"/>
          <w:lang w:eastAsia="es-ES"/>
        </w:rPr>
        <w:t>.</w:t>
      </w:r>
    </w:p>
    <w:p w14:paraId="0F4AD2FA" w14:textId="77777777" w:rsidR="00A73AFA" w:rsidRPr="00532C3B" w:rsidRDefault="00A73AFA" w:rsidP="001E6219">
      <w:pPr>
        <w:pStyle w:val="Estilo1"/>
        <w:tabs>
          <w:tab w:val="left" w:pos="0"/>
        </w:tabs>
        <w:spacing w:after="0"/>
        <w:ind w:left="0" w:right="-4" w:firstLine="0"/>
        <w:rPr>
          <w:i w:val="0"/>
          <w:szCs w:val="20"/>
          <w:lang w:val="es-ES"/>
        </w:rPr>
      </w:pPr>
    </w:p>
    <w:p w14:paraId="68046BC2" w14:textId="382A4484" w:rsidR="00903B40" w:rsidRPr="001E6219" w:rsidRDefault="00903B40" w:rsidP="001E6219">
      <w:pPr>
        <w:pStyle w:val="Estilo1"/>
        <w:numPr>
          <w:ilvl w:val="0"/>
          <w:numId w:val="2"/>
        </w:numPr>
        <w:tabs>
          <w:tab w:val="left" w:pos="0"/>
        </w:tabs>
        <w:spacing w:after="0"/>
        <w:ind w:left="0" w:right="-4" w:firstLine="0"/>
        <w:rPr>
          <w:rFonts w:cs="Verdana"/>
          <w:i w:val="0"/>
          <w:szCs w:val="20"/>
          <w:lang w:eastAsia="es-ES"/>
        </w:rPr>
      </w:pPr>
      <w:r w:rsidRPr="00532C3B">
        <w:rPr>
          <w:szCs w:val="20"/>
          <w:lang w:eastAsia="es-CR"/>
        </w:rPr>
        <w:t xml:space="preserve">Deliberación del </w:t>
      </w:r>
      <w:r w:rsidRPr="00532C3B">
        <w:rPr>
          <w:rFonts w:cs="Verdana"/>
          <w:szCs w:val="20"/>
          <w:lang w:eastAsia="es-ES"/>
        </w:rPr>
        <w:t>presente</w:t>
      </w:r>
      <w:r w:rsidR="003E7EF9" w:rsidRPr="00532C3B">
        <w:rPr>
          <w:szCs w:val="20"/>
          <w:lang w:eastAsia="es-CR"/>
        </w:rPr>
        <w:t xml:space="preserve"> caso.- </w:t>
      </w:r>
      <w:r w:rsidR="003565C2" w:rsidRPr="00532C3B">
        <w:rPr>
          <w:i w:val="0"/>
          <w:szCs w:val="20"/>
          <w:lang w:eastAsia="es-CR"/>
        </w:rPr>
        <w:t xml:space="preserve">La Corte inició la deliberación de la presente Sentencia el </w:t>
      </w:r>
      <w:r w:rsidR="00CD205C">
        <w:rPr>
          <w:i w:val="0"/>
          <w:szCs w:val="20"/>
          <w:lang w:eastAsia="es-CR"/>
        </w:rPr>
        <w:t>27</w:t>
      </w:r>
      <w:r w:rsidR="006412D2" w:rsidRPr="00532C3B">
        <w:rPr>
          <w:i w:val="0"/>
          <w:szCs w:val="20"/>
          <w:lang w:eastAsia="es-CR"/>
        </w:rPr>
        <w:t xml:space="preserve"> </w:t>
      </w:r>
      <w:r w:rsidR="003565C2" w:rsidRPr="00532C3B">
        <w:rPr>
          <w:i w:val="0"/>
          <w:szCs w:val="20"/>
          <w:lang w:eastAsia="es-CR"/>
        </w:rPr>
        <w:t xml:space="preserve">de </w:t>
      </w:r>
      <w:r w:rsidR="005938AA" w:rsidRPr="00532C3B">
        <w:rPr>
          <w:i w:val="0"/>
          <w:szCs w:val="20"/>
          <w:lang w:eastAsia="es-CR"/>
        </w:rPr>
        <w:t>noviembre</w:t>
      </w:r>
      <w:r w:rsidR="003565C2" w:rsidRPr="00532C3B">
        <w:rPr>
          <w:i w:val="0"/>
          <w:szCs w:val="20"/>
          <w:lang w:eastAsia="es-CR"/>
        </w:rPr>
        <w:t xml:space="preserve"> de 2018</w:t>
      </w:r>
      <w:r w:rsidR="00057525" w:rsidRPr="00532C3B">
        <w:rPr>
          <w:i w:val="0"/>
          <w:szCs w:val="20"/>
          <w:lang w:eastAsia="es-CR"/>
        </w:rPr>
        <w:t>.</w:t>
      </w:r>
    </w:p>
    <w:p w14:paraId="25F3AD26" w14:textId="7BE8C004" w:rsidR="001E6219" w:rsidRDefault="00907543" w:rsidP="00236DD1">
      <w:pPr>
        <w:pStyle w:val="Heading1"/>
        <w:rPr>
          <w:lang w:val="es-ES_tradnl"/>
        </w:rPr>
      </w:pPr>
      <w:bookmarkStart w:id="27" w:name="_Toc486693353"/>
      <w:bookmarkStart w:id="28" w:name="_Toc486842769"/>
      <w:bookmarkStart w:id="29" w:name="_Toc486842907"/>
      <w:bookmarkStart w:id="30" w:name="_Toc532214915"/>
      <w:r w:rsidRPr="00532C3B">
        <w:rPr>
          <w:lang w:val="es-ES_tradnl"/>
        </w:rPr>
        <w:lastRenderedPageBreak/>
        <w:t>III</w:t>
      </w:r>
      <w:r w:rsidRPr="00532C3B">
        <w:rPr>
          <w:color w:val="FFFFFF" w:themeColor="background1"/>
          <w:lang w:val="es-ES_tradnl"/>
        </w:rPr>
        <w:t>.</w:t>
      </w:r>
      <w:r w:rsidRPr="00532C3B">
        <w:rPr>
          <w:lang w:val="es-ES_tradnl"/>
        </w:rPr>
        <w:br/>
      </w:r>
      <w:r w:rsidR="00206CEA" w:rsidRPr="00532C3B">
        <w:rPr>
          <w:lang w:val="es-ES_tradnl"/>
        </w:rPr>
        <w:t>COMPETENCIA</w:t>
      </w:r>
      <w:bookmarkEnd w:id="27"/>
      <w:bookmarkEnd w:id="28"/>
      <w:bookmarkEnd w:id="29"/>
      <w:bookmarkEnd w:id="30"/>
    </w:p>
    <w:p w14:paraId="76E0E7F0" w14:textId="6632AB8B" w:rsidR="000F1B02" w:rsidRDefault="007E480C" w:rsidP="001E6219">
      <w:pPr>
        <w:pStyle w:val="Estilo1"/>
        <w:numPr>
          <w:ilvl w:val="0"/>
          <w:numId w:val="2"/>
        </w:numPr>
        <w:tabs>
          <w:tab w:val="left" w:pos="0"/>
        </w:tabs>
        <w:spacing w:after="0"/>
        <w:ind w:left="0" w:right="-4" w:firstLine="0"/>
        <w:rPr>
          <w:i w:val="0"/>
          <w:szCs w:val="20"/>
        </w:rPr>
      </w:pPr>
      <w:r w:rsidRPr="00532C3B">
        <w:rPr>
          <w:i w:val="0"/>
          <w:szCs w:val="20"/>
        </w:rPr>
        <w:t xml:space="preserve">La Corte Interamericana es competente para conocer el presente caso, en los términos del artículo 62.3 de la Convención Americana sobre Derechos Humanos, ya que </w:t>
      </w:r>
      <w:r w:rsidR="00FC4C26" w:rsidRPr="00532C3B">
        <w:rPr>
          <w:i w:val="0"/>
          <w:szCs w:val="20"/>
        </w:rPr>
        <w:t>México</w:t>
      </w:r>
      <w:r w:rsidRPr="00532C3B">
        <w:rPr>
          <w:i w:val="0"/>
          <w:szCs w:val="20"/>
        </w:rPr>
        <w:t xml:space="preserve"> es Estado Parte de la Convención desde el </w:t>
      </w:r>
      <w:r w:rsidR="00FC4C26" w:rsidRPr="00532C3B">
        <w:rPr>
          <w:i w:val="0"/>
          <w:szCs w:val="20"/>
        </w:rPr>
        <w:t>24 de marzo de 1981</w:t>
      </w:r>
      <w:r w:rsidRPr="00532C3B">
        <w:rPr>
          <w:i w:val="0"/>
          <w:szCs w:val="20"/>
        </w:rPr>
        <w:t xml:space="preserve"> y reconoció la competencia contenciosa del Tribunal el </w:t>
      </w:r>
      <w:r w:rsidR="00FC4C26" w:rsidRPr="00532C3B">
        <w:rPr>
          <w:i w:val="0"/>
          <w:szCs w:val="20"/>
        </w:rPr>
        <w:t>16 de diciembre de 1998</w:t>
      </w:r>
      <w:r w:rsidR="000F1B02" w:rsidRPr="00532C3B">
        <w:rPr>
          <w:i w:val="0"/>
          <w:szCs w:val="20"/>
        </w:rPr>
        <w:t>.</w:t>
      </w:r>
    </w:p>
    <w:p w14:paraId="41E3F9EA" w14:textId="77777777" w:rsidR="00104683" w:rsidRDefault="00104683" w:rsidP="00236DD1">
      <w:pPr>
        <w:pStyle w:val="Heading1"/>
        <w:rPr>
          <w:caps w:val="0"/>
          <w:lang w:val="es-ES_tradnl"/>
        </w:rPr>
      </w:pPr>
      <w:bookmarkStart w:id="31" w:name="_Toc486693354"/>
      <w:bookmarkStart w:id="32" w:name="_Toc486842770"/>
      <w:bookmarkStart w:id="33" w:name="_Toc486842908"/>
      <w:bookmarkStart w:id="34" w:name="_Toc525713968"/>
      <w:bookmarkStart w:id="35" w:name="_Toc532214916"/>
      <w:bookmarkStart w:id="36" w:name="_Toc438132275"/>
      <w:bookmarkStart w:id="37" w:name="_Toc315133577"/>
      <w:bookmarkStart w:id="38" w:name="_Toc316919762"/>
      <w:bookmarkStart w:id="39" w:name="_Toc329703867"/>
      <w:bookmarkStart w:id="40" w:name="_Toc336638904"/>
      <w:bookmarkStart w:id="41" w:name="_Toc359314424"/>
      <w:bookmarkStart w:id="42" w:name="_Toc361671574"/>
      <w:bookmarkStart w:id="43" w:name="_Toc361671994"/>
      <w:bookmarkStart w:id="44" w:name="_Toc361732791"/>
      <w:bookmarkStart w:id="45" w:name="_Toc361732834"/>
      <w:bookmarkStart w:id="46" w:name="_Toc362456865"/>
      <w:bookmarkStart w:id="47" w:name="_Toc365021394"/>
      <w:bookmarkStart w:id="48" w:name="_Toc369076780"/>
      <w:bookmarkStart w:id="49" w:name="_Toc369989372"/>
      <w:bookmarkStart w:id="50" w:name="_Toc369989459"/>
      <w:bookmarkStart w:id="51" w:name="_Toc369989740"/>
      <w:bookmarkStart w:id="52" w:name="_Toc311128165"/>
      <w:bookmarkStart w:id="53" w:name="_Toc311128362"/>
      <w:bookmarkStart w:id="54" w:name="_Toc442082545"/>
      <w:r w:rsidRPr="00532C3B">
        <w:rPr>
          <w:lang w:val="es-ES_tradnl"/>
        </w:rPr>
        <w:t>IV</w:t>
      </w:r>
      <w:r w:rsidRPr="00532C3B">
        <w:rPr>
          <w:color w:val="FFFFFF" w:themeColor="background1"/>
          <w:lang w:val="es-ES_tradnl"/>
        </w:rPr>
        <w:t>.</w:t>
      </w:r>
      <w:r w:rsidRPr="00532C3B">
        <w:rPr>
          <w:lang w:val="es-ES_tradnl"/>
        </w:rPr>
        <w:br/>
      </w:r>
      <w:bookmarkEnd w:id="31"/>
      <w:bookmarkEnd w:id="32"/>
      <w:bookmarkEnd w:id="33"/>
      <w:r w:rsidRPr="00532C3B">
        <w:rPr>
          <w:caps w:val="0"/>
          <w:lang w:val="es-ES_tradnl"/>
        </w:rPr>
        <w:t>ACUERDO DE SOLUCIÓN AMISTOSA</w:t>
      </w:r>
      <w:bookmarkEnd w:id="34"/>
      <w:bookmarkEnd w:id="35"/>
    </w:p>
    <w:p w14:paraId="61F75162" w14:textId="77777777" w:rsidR="00104683" w:rsidRPr="00532C3B" w:rsidRDefault="00104683" w:rsidP="001E6219">
      <w:pPr>
        <w:pStyle w:val="Heading2"/>
        <w:numPr>
          <w:ilvl w:val="0"/>
          <w:numId w:val="22"/>
        </w:numPr>
        <w:spacing w:before="0"/>
        <w:rPr>
          <w:rFonts w:ascii="Verdana" w:eastAsiaTheme="minorHAnsi" w:hAnsi="Verdana" w:cstheme="minorBidi"/>
          <w:bCs w:val="0"/>
          <w:iCs/>
          <w:color w:val="auto"/>
          <w:sz w:val="20"/>
          <w:szCs w:val="20"/>
          <w:lang w:val="es-ES"/>
        </w:rPr>
      </w:pPr>
      <w:bookmarkStart w:id="55" w:name="_Toc470000703"/>
      <w:bookmarkStart w:id="56" w:name="_Toc525713969"/>
      <w:bookmarkStart w:id="57" w:name="_Toc334223053"/>
      <w:bookmarkStart w:id="58" w:name="_Toc334222796"/>
      <w:bookmarkStart w:id="59" w:name="_Toc334222738"/>
      <w:bookmarkStart w:id="60" w:name="_Toc334221483"/>
      <w:bookmarkStart w:id="61" w:name="_Toc532214917"/>
      <w:r w:rsidRPr="00532C3B">
        <w:rPr>
          <w:rFonts w:ascii="Verdana" w:eastAsiaTheme="minorHAnsi" w:hAnsi="Verdana" w:cstheme="minorBidi"/>
          <w:bCs w:val="0"/>
          <w:iCs/>
          <w:color w:val="auto"/>
          <w:sz w:val="20"/>
          <w:szCs w:val="20"/>
          <w:lang w:val="es-ES"/>
        </w:rPr>
        <w:t xml:space="preserve">El </w:t>
      </w:r>
      <w:bookmarkEnd w:id="55"/>
      <w:r w:rsidRPr="00532C3B">
        <w:rPr>
          <w:rFonts w:ascii="Verdana" w:eastAsiaTheme="minorHAnsi" w:hAnsi="Verdana" w:cstheme="minorBidi"/>
          <w:bCs w:val="0"/>
          <w:iCs/>
          <w:color w:val="auto"/>
          <w:sz w:val="20"/>
          <w:szCs w:val="20"/>
          <w:lang w:val="es-ES"/>
        </w:rPr>
        <w:t>Acuerdo de solución amistosa</w:t>
      </w:r>
      <w:bookmarkEnd w:id="56"/>
      <w:bookmarkEnd w:id="57"/>
      <w:bookmarkEnd w:id="58"/>
      <w:bookmarkEnd w:id="59"/>
      <w:bookmarkEnd w:id="60"/>
      <w:bookmarkEnd w:id="61"/>
    </w:p>
    <w:p w14:paraId="25FFA750" w14:textId="77777777" w:rsidR="00A73AFA" w:rsidRPr="00532C3B" w:rsidRDefault="00A73AFA" w:rsidP="001E6219">
      <w:pPr>
        <w:rPr>
          <w:szCs w:val="20"/>
          <w:lang w:val="es-ES"/>
        </w:rPr>
      </w:pPr>
    </w:p>
    <w:p w14:paraId="67FA1276" w14:textId="172DD9E0" w:rsidR="00104683" w:rsidRPr="00532C3B" w:rsidRDefault="00104683" w:rsidP="001E6219">
      <w:pPr>
        <w:pStyle w:val="Estilo1"/>
        <w:numPr>
          <w:ilvl w:val="0"/>
          <w:numId w:val="2"/>
        </w:numPr>
        <w:tabs>
          <w:tab w:val="left" w:pos="0"/>
        </w:tabs>
        <w:spacing w:after="0"/>
        <w:ind w:left="0" w:right="-4" w:firstLine="0"/>
        <w:rPr>
          <w:bCs/>
          <w:i w:val="0"/>
          <w:szCs w:val="20"/>
        </w:rPr>
      </w:pPr>
      <w:r w:rsidRPr="00532C3B">
        <w:rPr>
          <w:i w:val="0"/>
          <w:szCs w:val="20"/>
        </w:rPr>
        <w:t>En el Acuerdo de Solución Amistosa (en adelante “el Acuerdo”) el Estado reconoció expresamente los hechos probados del Informe de Fondo así como su responsabilidad internacional por la violación de los derechos a la vida e integridad personal (artículos 4.1 y 5.1 de la Convención en relación con los artículos 1.1 y 2 del mismo instrumento) en perjuicio de Mirey Trueba Arciniega, y por la violación a los derechos a las garantías judiciales, a la protección judicial y a la integridad personal (artículos 8.1, 25.1 y 5 de la Convención en relación con el artículo 1.1 del mismo instrumento) en perjuicio de los familiares de Mirey Trueba Arciniega</w:t>
      </w:r>
      <w:r w:rsidRPr="00532C3B">
        <w:rPr>
          <w:i w:val="0"/>
          <w:szCs w:val="20"/>
          <w:vertAlign w:val="superscript"/>
        </w:rPr>
        <w:footnoteReference w:id="8"/>
      </w:r>
      <w:r w:rsidR="00A73AFA" w:rsidRPr="00532C3B">
        <w:rPr>
          <w:i w:val="0"/>
          <w:szCs w:val="20"/>
        </w:rPr>
        <w:t>.</w:t>
      </w:r>
    </w:p>
    <w:p w14:paraId="22D2858D" w14:textId="77777777" w:rsidR="00A73AFA" w:rsidRPr="00532C3B" w:rsidRDefault="00A73AFA" w:rsidP="001E6219">
      <w:pPr>
        <w:pStyle w:val="Estilo1"/>
        <w:tabs>
          <w:tab w:val="left" w:pos="0"/>
        </w:tabs>
        <w:spacing w:after="0"/>
        <w:ind w:left="0" w:right="-4" w:firstLine="0"/>
        <w:rPr>
          <w:bCs/>
          <w:i w:val="0"/>
          <w:szCs w:val="20"/>
        </w:rPr>
      </w:pPr>
    </w:p>
    <w:p w14:paraId="7FA32E5A" w14:textId="404B7485" w:rsidR="00104683" w:rsidRPr="00532C3B" w:rsidRDefault="009F2479" w:rsidP="001E6219">
      <w:pPr>
        <w:pStyle w:val="Estilo1"/>
        <w:numPr>
          <w:ilvl w:val="0"/>
          <w:numId w:val="2"/>
        </w:numPr>
        <w:tabs>
          <w:tab w:val="left" w:pos="0"/>
        </w:tabs>
        <w:spacing w:after="0"/>
        <w:ind w:left="0" w:right="-4" w:firstLine="0"/>
        <w:rPr>
          <w:bCs/>
          <w:i w:val="0"/>
          <w:szCs w:val="20"/>
        </w:rPr>
      </w:pPr>
      <w:r>
        <w:rPr>
          <w:i w:val="0"/>
          <w:szCs w:val="20"/>
        </w:rPr>
        <w:t xml:space="preserve">El Estado: a) expresó </w:t>
      </w:r>
      <w:r w:rsidR="00104683" w:rsidRPr="00532C3B">
        <w:rPr>
          <w:i w:val="0"/>
          <w:szCs w:val="20"/>
        </w:rPr>
        <w:t>su compromiso con el cumplimiento, respeto, promoción y protección de los derechos humanos;</w:t>
      </w:r>
      <w:r>
        <w:rPr>
          <w:i w:val="0"/>
          <w:szCs w:val="20"/>
        </w:rPr>
        <w:t xml:space="preserve"> b)</w:t>
      </w:r>
      <w:r w:rsidR="00104683" w:rsidRPr="00532C3B">
        <w:rPr>
          <w:i w:val="0"/>
          <w:szCs w:val="20"/>
        </w:rPr>
        <w:t xml:space="preserve"> ratificó su disposición para resolver el asunto por la vía amistosa y para cumplir las reparaciones establecidas en el Acuerdo y en la presente Sentencia en el momento procesal oportuno;</w:t>
      </w:r>
      <w:r>
        <w:rPr>
          <w:i w:val="0"/>
          <w:szCs w:val="20"/>
        </w:rPr>
        <w:t xml:space="preserve"> c) manifestó que</w:t>
      </w:r>
      <w:r w:rsidR="00104683" w:rsidRPr="00532C3B">
        <w:rPr>
          <w:i w:val="0"/>
          <w:szCs w:val="20"/>
        </w:rPr>
        <w:t xml:space="preserve"> las autoridades estatales se comprometieron a acatar el Acuerdo mediante un esquema de diálogo e involucramiento de las personas beneficiarias del caso; y </w:t>
      </w:r>
      <w:r>
        <w:rPr>
          <w:i w:val="0"/>
          <w:szCs w:val="20"/>
        </w:rPr>
        <w:t xml:space="preserve">d) </w:t>
      </w:r>
      <w:r w:rsidR="00104683" w:rsidRPr="00532C3B">
        <w:rPr>
          <w:i w:val="0"/>
          <w:szCs w:val="20"/>
        </w:rPr>
        <w:t>manifestó que la Secretaría de Gobernación coordinaría las acciones para el cumplimiento del Acuerdo.</w:t>
      </w:r>
    </w:p>
    <w:p w14:paraId="5A84EA10" w14:textId="77777777" w:rsidR="00A73AFA" w:rsidRPr="00532C3B" w:rsidRDefault="00A73AFA" w:rsidP="001E6219">
      <w:pPr>
        <w:pStyle w:val="Estilo1"/>
        <w:tabs>
          <w:tab w:val="left" w:pos="0"/>
        </w:tabs>
        <w:spacing w:after="0"/>
        <w:ind w:left="0" w:right="-4" w:firstLine="0"/>
        <w:rPr>
          <w:bCs/>
          <w:i w:val="0"/>
          <w:szCs w:val="20"/>
        </w:rPr>
      </w:pPr>
    </w:p>
    <w:p w14:paraId="32362BB5" w14:textId="1AD1E029" w:rsidR="00104683" w:rsidRPr="001E6219" w:rsidRDefault="00104683" w:rsidP="001E6219">
      <w:pPr>
        <w:pStyle w:val="Estilo1"/>
        <w:numPr>
          <w:ilvl w:val="0"/>
          <w:numId w:val="2"/>
        </w:numPr>
        <w:tabs>
          <w:tab w:val="left" w:pos="0"/>
        </w:tabs>
        <w:spacing w:after="0"/>
        <w:ind w:left="0" w:right="-4" w:firstLine="0"/>
        <w:rPr>
          <w:bCs/>
          <w:i w:val="0"/>
          <w:szCs w:val="20"/>
        </w:rPr>
      </w:pPr>
      <w:r w:rsidRPr="00532C3B">
        <w:rPr>
          <w:i w:val="0"/>
          <w:szCs w:val="20"/>
        </w:rPr>
        <w:t>Las partes declararon</w:t>
      </w:r>
      <w:r w:rsidR="009F2479">
        <w:rPr>
          <w:i w:val="0"/>
          <w:szCs w:val="20"/>
        </w:rPr>
        <w:t>: a)</w:t>
      </w:r>
      <w:r w:rsidRPr="00532C3B">
        <w:rPr>
          <w:i w:val="0"/>
          <w:szCs w:val="20"/>
        </w:rPr>
        <w:t xml:space="preserve"> que es su voluntad solucionar por vía amistosa el caso conforme a lo estipulado en el Acuerdo, omitiendo la celebración de una audiencia pública;</w:t>
      </w:r>
      <w:r w:rsidR="009F2479">
        <w:rPr>
          <w:i w:val="0"/>
          <w:szCs w:val="20"/>
        </w:rPr>
        <w:t xml:space="preserve"> b)</w:t>
      </w:r>
      <w:r w:rsidRPr="00532C3B">
        <w:rPr>
          <w:i w:val="0"/>
          <w:szCs w:val="20"/>
        </w:rPr>
        <w:t xml:space="preserve"> que se solicita a la Corte que homologue el acuerdo, defina su procedencia y dé seguimiento en el marco de sus facultades de supervisión del cumplimiento de sentencias; y</w:t>
      </w:r>
      <w:r w:rsidR="009F2479">
        <w:rPr>
          <w:i w:val="0"/>
          <w:szCs w:val="20"/>
        </w:rPr>
        <w:t xml:space="preserve"> c)</w:t>
      </w:r>
      <w:r w:rsidRPr="00532C3B">
        <w:rPr>
          <w:i w:val="0"/>
          <w:szCs w:val="20"/>
        </w:rPr>
        <w:t xml:space="preserve"> que las partes se comprometen a impulsar fórmulas de advenimiento con apego a los estándares interamericanos, para lo cual se ha diseñado un esquema que cumple con los estándares en la materia</w:t>
      </w:r>
      <w:r w:rsidR="009F58FD">
        <w:rPr>
          <w:i w:val="0"/>
          <w:szCs w:val="20"/>
        </w:rPr>
        <w:t>.</w:t>
      </w:r>
      <w:r w:rsidRPr="00532C3B">
        <w:rPr>
          <w:i w:val="0"/>
          <w:szCs w:val="20"/>
        </w:rPr>
        <w:t xml:space="preserve"> En este sentido, las partes acordaron un conjunto de medidas concretas de reparación integral de las víctimas (</w:t>
      </w:r>
      <w:r w:rsidRPr="00532C3B">
        <w:rPr>
          <w:szCs w:val="20"/>
        </w:rPr>
        <w:t xml:space="preserve">infra </w:t>
      </w:r>
      <w:r w:rsidRPr="00532C3B">
        <w:rPr>
          <w:i w:val="0"/>
          <w:szCs w:val="20"/>
        </w:rPr>
        <w:t>párr.</w:t>
      </w:r>
      <w:r w:rsidR="009F2479">
        <w:rPr>
          <w:i w:val="0"/>
          <w:szCs w:val="20"/>
        </w:rPr>
        <w:t xml:space="preserve"> </w:t>
      </w:r>
      <w:r w:rsidR="008C7A5C">
        <w:rPr>
          <w:i w:val="0"/>
          <w:szCs w:val="20"/>
        </w:rPr>
        <w:t>44</w:t>
      </w:r>
      <w:r w:rsidRPr="00532C3B">
        <w:rPr>
          <w:i w:val="0"/>
          <w:szCs w:val="20"/>
        </w:rPr>
        <w:t>).</w:t>
      </w:r>
    </w:p>
    <w:p w14:paraId="6C0BFD78" w14:textId="77777777" w:rsidR="001E6219" w:rsidRPr="00532C3B" w:rsidRDefault="001E6219" w:rsidP="001E6219">
      <w:pPr>
        <w:pStyle w:val="Estilo1"/>
        <w:tabs>
          <w:tab w:val="left" w:pos="0"/>
        </w:tabs>
        <w:spacing w:after="0"/>
        <w:ind w:left="0" w:right="-4" w:firstLine="0"/>
        <w:rPr>
          <w:bCs/>
          <w:i w:val="0"/>
          <w:szCs w:val="20"/>
        </w:rPr>
      </w:pPr>
    </w:p>
    <w:p w14:paraId="63377FB7" w14:textId="77777777" w:rsidR="00104683" w:rsidRPr="00532C3B" w:rsidRDefault="00104683" w:rsidP="001E6219">
      <w:pPr>
        <w:pStyle w:val="Heading2"/>
        <w:numPr>
          <w:ilvl w:val="0"/>
          <w:numId w:val="22"/>
        </w:numPr>
        <w:spacing w:before="0"/>
        <w:rPr>
          <w:rFonts w:ascii="Verdana" w:eastAsiaTheme="minorHAnsi" w:hAnsi="Verdana" w:cstheme="minorBidi"/>
          <w:bCs w:val="0"/>
          <w:iCs/>
          <w:color w:val="auto"/>
          <w:sz w:val="20"/>
          <w:szCs w:val="20"/>
          <w:lang w:val="es-ES"/>
        </w:rPr>
      </w:pPr>
      <w:bookmarkStart w:id="62" w:name="_Toc334221484"/>
      <w:bookmarkStart w:id="63" w:name="_Toc334222739"/>
      <w:bookmarkStart w:id="64" w:name="_Toc334222797"/>
      <w:bookmarkStart w:id="65" w:name="_Toc334223054"/>
      <w:bookmarkStart w:id="66" w:name="_Toc470000704"/>
      <w:bookmarkStart w:id="67" w:name="_Toc525713970"/>
      <w:bookmarkStart w:id="68" w:name="_Toc532214918"/>
      <w:bookmarkStart w:id="69" w:name="_Toc470000706"/>
      <w:bookmarkStart w:id="70" w:name="_Toc334223056"/>
      <w:bookmarkStart w:id="71" w:name="_Toc334222799"/>
      <w:bookmarkStart w:id="72" w:name="_Toc334222741"/>
      <w:bookmarkStart w:id="73" w:name="_Toc334221486"/>
      <w:r w:rsidRPr="00532C3B">
        <w:rPr>
          <w:rFonts w:ascii="Verdana" w:eastAsiaTheme="minorHAnsi" w:hAnsi="Verdana" w:cstheme="minorBidi"/>
          <w:bCs w:val="0"/>
          <w:iCs/>
          <w:color w:val="auto"/>
          <w:sz w:val="20"/>
          <w:szCs w:val="20"/>
          <w:lang w:val="es-ES"/>
        </w:rPr>
        <w:t>Observaciones de los representante</w:t>
      </w:r>
      <w:bookmarkEnd w:id="62"/>
      <w:bookmarkEnd w:id="63"/>
      <w:bookmarkEnd w:id="64"/>
      <w:bookmarkEnd w:id="65"/>
      <w:bookmarkEnd w:id="66"/>
      <w:r w:rsidRPr="00532C3B">
        <w:rPr>
          <w:rFonts w:ascii="Verdana" w:eastAsiaTheme="minorHAnsi" w:hAnsi="Verdana" w:cstheme="minorBidi"/>
          <w:bCs w:val="0"/>
          <w:iCs/>
          <w:color w:val="auto"/>
          <w:sz w:val="20"/>
          <w:szCs w:val="20"/>
          <w:lang w:val="es-ES"/>
        </w:rPr>
        <w:t>s</w:t>
      </w:r>
      <w:bookmarkEnd w:id="67"/>
      <w:bookmarkEnd w:id="68"/>
    </w:p>
    <w:p w14:paraId="3C89FE69" w14:textId="77777777" w:rsidR="00A73AFA" w:rsidRPr="00532C3B" w:rsidRDefault="00A73AFA" w:rsidP="001E6219">
      <w:pPr>
        <w:rPr>
          <w:szCs w:val="20"/>
          <w:lang w:val="es-ES"/>
        </w:rPr>
      </w:pPr>
    </w:p>
    <w:p w14:paraId="632B7BD3" w14:textId="7771A717" w:rsidR="00104683" w:rsidRPr="001E6219" w:rsidRDefault="00104683" w:rsidP="001E6219">
      <w:pPr>
        <w:pStyle w:val="Estilo1"/>
        <w:numPr>
          <w:ilvl w:val="0"/>
          <w:numId w:val="2"/>
        </w:numPr>
        <w:tabs>
          <w:tab w:val="left" w:pos="0"/>
        </w:tabs>
        <w:spacing w:after="0"/>
        <w:ind w:left="0" w:right="-4" w:firstLine="0"/>
        <w:rPr>
          <w:b/>
          <w:bCs/>
          <w:i w:val="0"/>
          <w:szCs w:val="20"/>
        </w:rPr>
      </w:pPr>
      <w:r w:rsidRPr="0086475A">
        <w:rPr>
          <w:i w:val="0"/>
          <w:szCs w:val="20"/>
        </w:rPr>
        <w:t xml:space="preserve">En sus observaciones al Acuerdo, los representantes de las presuntas víctimas confirmaron la suscripción del mismo y solicitaron a este Tribunal que, en aplicación del artículo 63 del Reglamento de la Corte Interamericana, </w:t>
      </w:r>
      <w:r w:rsidR="00E87E8B">
        <w:rPr>
          <w:i w:val="0"/>
          <w:szCs w:val="20"/>
        </w:rPr>
        <w:t>resuelva sobre su procedencia y efectos jurídicos y emita la correspondiente sentencia de homologación</w:t>
      </w:r>
      <w:r w:rsidRPr="0086475A">
        <w:rPr>
          <w:i w:val="0"/>
          <w:szCs w:val="20"/>
        </w:rPr>
        <w:t>.</w:t>
      </w:r>
    </w:p>
    <w:p w14:paraId="548D4EED" w14:textId="77777777" w:rsidR="001E6219" w:rsidRPr="0009052A" w:rsidRDefault="001E6219" w:rsidP="001E6219">
      <w:pPr>
        <w:pStyle w:val="Estilo1"/>
        <w:tabs>
          <w:tab w:val="left" w:pos="0"/>
        </w:tabs>
        <w:spacing w:after="0"/>
        <w:ind w:left="0" w:right="-4" w:firstLine="0"/>
        <w:rPr>
          <w:bCs/>
          <w:i w:val="0"/>
          <w:szCs w:val="20"/>
        </w:rPr>
      </w:pPr>
    </w:p>
    <w:p w14:paraId="6E982208" w14:textId="496FF3AC" w:rsidR="00A73AFA" w:rsidRPr="00532C3B" w:rsidRDefault="00104683" w:rsidP="001E6219">
      <w:pPr>
        <w:pStyle w:val="Heading2"/>
        <w:numPr>
          <w:ilvl w:val="0"/>
          <w:numId w:val="22"/>
        </w:numPr>
        <w:spacing w:before="0"/>
        <w:rPr>
          <w:rFonts w:ascii="Verdana" w:eastAsiaTheme="minorHAnsi" w:hAnsi="Verdana" w:cstheme="minorBidi"/>
          <w:bCs w:val="0"/>
          <w:iCs/>
          <w:color w:val="auto"/>
          <w:sz w:val="20"/>
          <w:szCs w:val="20"/>
          <w:lang w:val="es-ES"/>
        </w:rPr>
      </w:pPr>
      <w:bookmarkStart w:id="74" w:name="_Toc470000705"/>
      <w:bookmarkStart w:id="75" w:name="_Toc334223055"/>
      <w:bookmarkStart w:id="76" w:name="_Toc334222798"/>
      <w:bookmarkStart w:id="77" w:name="_Toc334222740"/>
      <w:bookmarkStart w:id="78" w:name="_Toc334221485"/>
      <w:bookmarkStart w:id="79" w:name="_Toc525713971"/>
      <w:bookmarkStart w:id="80" w:name="_Toc532214919"/>
      <w:r w:rsidRPr="00532C3B">
        <w:rPr>
          <w:rFonts w:ascii="Verdana" w:eastAsiaTheme="minorHAnsi" w:hAnsi="Verdana" w:cstheme="minorBidi"/>
          <w:bCs w:val="0"/>
          <w:iCs/>
          <w:color w:val="auto"/>
          <w:sz w:val="20"/>
          <w:szCs w:val="20"/>
          <w:lang w:val="es-ES"/>
        </w:rPr>
        <w:lastRenderedPageBreak/>
        <w:t>Observaciones de la Comisión</w:t>
      </w:r>
      <w:bookmarkEnd w:id="74"/>
      <w:bookmarkEnd w:id="75"/>
      <w:bookmarkEnd w:id="76"/>
      <w:bookmarkEnd w:id="77"/>
      <w:bookmarkEnd w:id="78"/>
      <w:bookmarkEnd w:id="79"/>
      <w:bookmarkEnd w:id="80"/>
    </w:p>
    <w:p w14:paraId="367C124B" w14:textId="77777777" w:rsidR="00A73AFA" w:rsidRPr="00532C3B" w:rsidRDefault="00A73AFA" w:rsidP="001E6219">
      <w:pPr>
        <w:rPr>
          <w:szCs w:val="20"/>
          <w:lang w:val="es-ES"/>
        </w:rPr>
      </w:pPr>
    </w:p>
    <w:p w14:paraId="53C9F340" w14:textId="53CC4C25" w:rsidR="00104683" w:rsidRPr="001E6219" w:rsidRDefault="00104683" w:rsidP="001E6219">
      <w:pPr>
        <w:pStyle w:val="Estilo1"/>
        <w:numPr>
          <w:ilvl w:val="0"/>
          <w:numId w:val="2"/>
        </w:numPr>
        <w:tabs>
          <w:tab w:val="left" w:pos="0"/>
        </w:tabs>
        <w:spacing w:after="0"/>
        <w:ind w:left="0" w:right="-4" w:firstLine="0"/>
        <w:rPr>
          <w:i w:val="0"/>
          <w:szCs w:val="20"/>
        </w:rPr>
      </w:pPr>
      <w:r w:rsidRPr="00E87E8B">
        <w:rPr>
          <w:i w:val="0"/>
          <w:szCs w:val="20"/>
          <w:lang w:val="es-CR"/>
        </w:rPr>
        <w:t xml:space="preserve">Al </w:t>
      </w:r>
      <w:r w:rsidRPr="00E87E8B">
        <w:rPr>
          <w:i w:val="0"/>
          <w:szCs w:val="20"/>
        </w:rPr>
        <w:t>presentar</w:t>
      </w:r>
      <w:r w:rsidRPr="00E87E8B">
        <w:rPr>
          <w:i w:val="0"/>
          <w:szCs w:val="20"/>
          <w:lang w:val="es-CR"/>
        </w:rPr>
        <w:t xml:space="preserve"> observaciones, la Comisión Interamericana </w:t>
      </w:r>
      <w:r w:rsidR="00E87E8B">
        <w:rPr>
          <w:i w:val="0"/>
          <w:szCs w:val="20"/>
          <w:lang w:val="es-CR"/>
        </w:rPr>
        <w:t>manifestó “su satisfacción por el acuerdo de solución amistosa y reconocimiento de responsabilidad firmado por las partes” y que “valora muy positivamente el reconocimiento de responsabilidad efectuado por el Estado con base en las determinaciones fácticas y jurídicas del informe de fondo de la Comisión Interamericana”</w:t>
      </w:r>
      <w:r w:rsidRPr="00E87E8B">
        <w:rPr>
          <w:i w:val="0"/>
          <w:szCs w:val="20"/>
          <w:lang w:val="es-CR"/>
        </w:rPr>
        <w:t>. Destacó también</w:t>
      </w:r>
      <w:r w:rsidR="00E87E8B">
        <w:rPr>
          <w:i w:val="0"/>
          <w:szCs w:val="20"/>
          <w:lang w:val="es-CR"/>
        </w:rPr>
        <w:t xml:space="preserve"> que “las medidas de reparación acordadas por las partes incorporan los distintos componentes de una reparación integral en los términos de la jurisprudencia de la Corte Interamericana”.</w:t>
      </w:r>
      <w:r w:rsidR="00057E29">
        <w:rPr>
          <w:i w:val="0"/>
          <w:szCs w:val="20"/>
          <w:lang w:val="es-CR"/>
        </w:rPr>
        <w:t xml:space="preserve"> Asimismo, la Comisión reiteró las consideraciones vertidas en la nota de remisión del presente caso, en el sentido que el caso puede permitir </w:t>
      </w:r>
      <w:r w:rsidR="00535F39">
        <w:rPr>
          <w:i w:val="0"/>
          <w:szCs w:val="20"/>
          <w:lang w:val="es-CR"/>
        </w:rPr>
        <w:t xml:space="preserve">a la Corte profundizar en su jurisprudencia sobre el deber de investigar casos de violaciones de derechos humanos cometidos por el uso excesivo de la fuerza por miembros de las fuerzas militares en contextos de asignación de funciones de orden público, y la prohibición de invocar el </w:t>
      </w:r>
      <w:r w:rsidR="00535F39" w:rsidRPr="00137EB5">
        <w:rPr>
          <w:szCs w:val="20"/>
          <w:lang w:val="es-CR"/>
        </w:rPr>
        <w:t>non bis in ídem</w:t>
      </w:r>
      <w:r w:rsidR="00535F39">
        <w:rPr>
          <w:i w:val="0"/>
          <w:szCs w:val="20"/>
          <w:lang w:val="es-CR"/>
        </w:rPr>
        <w:t xml:space="preserve"> para perpetuar situaciones de impunidad </w:t>
      </w:r>
      <w:r w:rsidR="00137EB5">
        <w:rPr>
          <w:i w:val="0"/>
          <w:szCs w:val="20"/>
          <w:lang w:val="es-CR"/>
        </w:rPr>
        <w:t>derivados de la aplicación de la justicia penal militar en casos de violaciones de derechos humanos</w:t>
      </w:r>
      <w:r w:rsidR="00535F39">
        <w:rPr>
          <w:i w:val="0"/>
          <w:szCs w:val="20"/>
          <w:lang w:val="es-CR"/>
        </w:rPr>
        <w:t>. La Comisión solicitó que la Corte tome en cuenta sus observaciones al momento de pronunciarse sobre el Acuerdo.</w:t>
      </w:r>
    </w:p>
    <w:p w14:paraId="4DE572B9" w14:textId="77777777" w:rsidR="001E6219" w:rsidRPr="00E87E8B" w:rsidRDefault="001E6219" w:rsidP="001E6219">
      <w:pPr>
        <w:pStyle w:val="Estilo1"/>
        <w:tabs>
          <w:tab w:val="left" w:pos="0"/>
        </w:tabs>
        <w:spacing w:after="0"/>
        <w:ind w:left="0" w:right="-4" w:firstLine="0"/>
        <w:rPr>
          <w:i w:val="0"/>
          <w:szCs w:val="20"/>
        </w:rPr>
      </w:pPr>
    </w:p>
    <w:p w14:paraId="0585BC4A" w14:textId="77777777" w:rsidR="00104683" w:rsidRPr="00532C3B" w:rsidRDefault="00104683" w:rsidP="001E6219">
      <w:pPr>
        <w:pStyle w:val="Heading2"/>
        <w:numPr>
          <w:ilvl w:val="0"/>
          <w:numId w:val="22"/>
        </w:numPr>
        <w:spacing w:before="0"/>
        <w:rPr>
          <w:rFonts w:ascii="Verdana" w:eastAsiaTheme="minorHAnsi" w:hAnsi="Verdana" w:cstheme="minorBidi"/>
          <w:bCs w:val="0"/>
          <w:iCs/>
          <w:color w:val="auto"/>
          <w:sz w:val="20"/>
          <w:szCs w:val="20"/>
          <w:lang w:val="es-ES"/>
        </w:rPr>
      </w:pPr>
      <w:bookmarkStart w:id="81" w:name="_Toc525713972"/>
      <w:bookmarkStart w:id="82" w:name="_Toc532214920"/>
      <w:r w:rsidRPr="00532C3B">
        <w:rPr>
          <w:rFonts w:ascii="Verdana" w:eastAsiaTheme="minorHAnsi" w:hAnsi="Verdana" w:cstheme="minorBidi"/>
          <w:bCs w:val="0"/>
          <w:iCs/>
          <w:color w:val="auto"/>
          <w:sz w:val="20"/>
          <w:szCs w:val="20"/>
          <w:lang w:val="es-ES"/>
        </w:rPr>
        <w:t>Consideraciones de la Corte</w:t>
      </w:r>
      <w:bookmarkEnd w:id="69"/>
      <w:bookmarkEnd w:id="70"/>
      <w:bookmarkEnd w:id="71"/>
      <w:bookmarkEnd w:id="72"/>
      <w:bookmarkEnd w:id="73"/>
      <w:bookmarkEnd w:id="81"/>
      <w:bookmarkEnd w:id="82"/>
    </w:p>
    <w:p w14:paraId="36622D98" w14:textId="77777777" w:rsidR="00A73AFA" w:rsidRPr="00532C3B" w:rsidRDefault="00A73AFA" w:rsidP="001E6219">
      <w:pPr>
        <w:rPr>
          <w:szCs w:val="20"/>
          <w:lang w:val="es-ES"/>
        </w:rPr>
      </w:pPr>
    </w:p>
    <w:p w14:paraId="769514C8" w14:textId="61B1464D" w:rsidR="00104683" w:rsidRPr="00532C3B" w:rsidRDefault="00104683" w:rsidP="001E6219">
      <w:pPr>
        <w:pStyle w:val="Estilo1"/>
        <w:numPr>
          <w:ilvl w:val="0"/>
          <w:numId w:val="2"/>
        </w:numPr>
        <w:tabs>
          <w:tab w:val="left" w:pos="0"/>
        </w:tabs>
        <w:spacing w:after="0"/>
        <w:ind w:left="0" w:right="-4" w:firstLine="0"/>
        <w:rPr>
          <w:bCs/>
          <w:i w:val="0"/>
          <w:szCs w:val="20"/>
        </w:rPr>
      </w:pPr>
      <w:r w:rsidRPr="00532C3B">
        <w:rPr>
          <w:bCs/>
          <w:i w:val="0"/>
          <w:szCs w:val="20"/>
        </w:rPr>
        <w:t>En ocasiones anteriores, al igual que en este caso, este Tribunal ha tenido oportunidad de examinar y valorar acuerdos de solución amistosa</w:t>
      </w:r>
      <w:r w:rsidRPr="00532C3B">
        <w:rPr>
          <w:bCs/>
          <w:i w:val="0"/>
          <w:szCs w:val="20"/>
          <w:vertAlign w:val="superscript"/>
        </w:rPr>
        <w:footnoteReference w:id="9"/>
      </w:r>
      <w:r w:rsidRPr="00532C3B">
        <w:rPr>
          <w:bCs/>
          <w:i w:val="0"/>
          <w:szCs w:val="20"/>
        </w:rPr>
        <w:t xml:space="preserve">. </w:t>
      </w:r>
      <w:r w:rsidRPr="00532C3B">
        <w:rPr>
          <w:i w:val="0"/>
          <w:szCs w:val="20"/>
        </w:rPr>
        <w:t xml:space="preserve">Sobre ese punto, resulta útil recordar que el artículo 63 del Reglamento de la </w:t>
      </w:r>
      <w:r w:rsidRPr="00532C3B">
        <w:rPr>
          <w:i w:val="0"/>
          <w:szCs w:val="20"/>
          <w:lang w:val="es-CR"/>
        </w:rPr>
        <w:t>Corte</w:t>
      </w:r>
      <w:r w:rsidRPr="00532C3B">
        <w:rPr>
          <w:i w:val="0"/>
          <w:szCs w:val="20"/>
        </w:rPr>
        <w:t xml:space="preserve"> dispone que “</w:t>
      </w:r>
      <w:r w:rsidRPr="00532C3B">
        <w:rPr>
          <w:bCs/>
          <w:i w:val="0"/>
          <w:szCs w:val="20"/>
        </w:rPr>
        <w:t xml:space="preserve">[c]uando la Comisión, las víctimas o presuntas víctimas o sus representantes, el Estado demandado y, en su caso, el Estado demandante, en un caso ante la Corte comunicaren a ésta la existencia de una solución amistosa, de un avenimiento o de otro hecho idóneo para la solución del litigio, la Corte resolverá en el momento procesal </w:t>
      </w:r>
      <w:r w:rsidRPr="00532C3B">
        <w:rPr>
          <w:i w:val="0"/>
          <w:szCs w:val="20"/>
          <w:lang w:val="es-CR"/>
        </w:rPr>
        <w:t>oportuno</w:t>
      </w:r>
      <w:r w:rsidRPr="00532C3B">
        <w:rPr>
          <w:bCs/>
          <w:i w:val="0"/>
          <w:szCs w:val="20"/>
        </w:rPr>
        <w:t xml:space="preserve"> sobre su procedencia y sus efectos jurídicos”. En consecuencia, de conformidad con la norma transcrita, este Tribunal deberá determinar la procedencia y efectos jurídicos del acuerdo de solución amistosa a que arribaron las partes</w:t>
      </w:r>
      <w:r w:rsidRPr="00532C3B">
        <w:rPr>
          <w:bCs/>
          <w:i w:val="0"/>
          <w:szCs w:val="20"/>
          <w:vertAlign w:val="superscript"/>
        </w:rPr>
        <w:footnoteReference w:id="10"/>
      </w:r>
      <w:r w:rsidRPr="00532C3B">
        <w:rPr>
          <w:bCs/>
          <w:i w:val="0"/>
          <w:szCs w:val="20"/>
        </w:rPr>
        <w:t>.</w:t>
      </w:r>
    </w:p>
    <w:p w14:paraId="6C853815" w14:textId="77777777" w:rsidR="00A73AFA" w:rsidRPr="00532C3B" w:rsidRDefault="00A73AFA" w:rsidP="001E6219">
      <w:pPr>
        <w:pStyle w:val="Estilo1"/>
        <w:tabs>
          <w:tab w:val="left" w:pos="0"/>
        </w:tabs>
        <w:spacing w:after="0"/>
        <w:ind w:left="0" w:right="-4" w:firstLine="0"/>
        <w:rPr>
          <w:bCs/>
          <w:i w:val="0"/>
          <w:szCs w:val="20"/>
        </w:rPr>
      </w:pPr>
    </w:p>
    <w:p w14:paraId="504B3BCF" w14:textId="723348EB" w:rsidR="00104683" w:rsidRPr="00532C3B" w:rsidRDefault="00104683" w:rsidP="001E6219">
      <w:pPr>
        <w:pStyle w:val="Estilo1"/>
        <w:numPr>
          <w:ilvl w:val="0"/>
          <w:numId w:val="2"/>
        </w:numPr>
        <w:tabs>
          <w:tab w:val="left" w:pos="0"/>
        </w:tabs>
        <w:spacing w:after="0"/>
        <w:ind w:left="0" w:right="-4" w:firstLine="0"/>
        <w:rPr>
          <w:bCs/>
          <w:i w:val="0"/>
          <w:szCs w:val="20"/>
        </w:rPr>
      </w:pPr>
      <w:r w:rsidRPr="00532C3B">
        <w:rPr>
          <w:bCs/>
          <w:i w:val="0"/>
          <w:szCs w:val="20"/>
        </w:rPr>
        <w:t xml:space="preserve">El Tribunal recuerda asimismo que, según se desprende del </w:t>
      </w:r>
      <w:r w:rsidR="00B13A6D" w:rsidRPr="00532C3B">
        <w:rPr>
          <w:bCs/>
          <w:i w:val="0"/>
          <w:szCs w:val="20"/>
        </w:rPr>
        <w:t xml:space="preserve">citado </w:t>
      </w:r>
      <w:r w:rsidRPr="00532C3B">
        <w:rPr>
          <w:bCs/>
          <w:i w:val="0"/>
          <w:szCs w:val="20"/>
        </w:rPr>
        <w:t>artículo 63, es posible que en el trámite ante este Tribunal las partes alcancen acuerdos amistosos, cuya procedencia debe ser evaluada por la Corte. Arribar a este tipo de solución puede propiciar una más pronta y efectiva reparación de las víctimas del caso. Asimismo, puede contribuir con los fines del sistema interamericano de protección de los derechos humanos, especialmente con el propósito de encontrar soluciones justas a los problemas particulares y estructurales del caso</w:t>
      </w:r>
      <w:r w:rsidRPr="00532C3B">
        <w:rPr>
          <w:bCs/>
          <w:i w:val="0"/>
          <w:szCs w:val="20"/>
          <w:vertAlign w:val="superscript"/>
        </w:rPr>
        <w:footnoteReference w:id="11"/>
      </w:r>
      <w:r w:rsidRPr="00532C3B">
        <w:rPr>
          <w:bCs/>
          <w:i w:val="0"/>
          <w:szCs w:val="20"/>
        </w:rPr>
        <w:t>.</w:t>
      </w:r>
    </w:p>
    <w:p w14:paraId="6D2C72F1" w14:textId="77777777" w:rsidR="00A73AFA" w:rsidRPr="00532C3B" w:rsidRDefault="00A73AFA" w:rsidP="001E6219">
      <w:pPr>
        <w:pStyle w:val="Estilo1"/>
        <w:tabs>
          <w:tab w:val="left" w:pos="0"/>
        </w:tabs>
        <w:spacing w:after="0"/>
        <w:ind w:left="0" w:right="-4" w:firstLine="0"/>
        <w:rPr>
          <w:bCs/>
          <w:i w:val="0"/>
          <w:szCs w:val="20"/>
        </w:rPr>
      </w:pPr>
    </w:p>
    <w:p w14:paraId="7142577A" w14:textId="3785D9F3" w:rsidR="00104683" w:rsidRPr="00532C3B" w:rsidRDefault="00104683" w:rsidP="001E6219">
      <w:pPr>
        <w:pStyle w:val="Estilo1"/>
        <w:numPr>
          <w:ilvl w:val="0"/>
          <w:numId w:val="2"/>
        </w:numPr>
        <w:tabs>
          <w:tab w:val="left" w:pos="0"/>
        </w:tabs>
        <w:spacing w:after="0"/>
        <w:ind w:left="0" w:right="-4" w:firstLine="0"/>
        <w:rPr>
          <w:rFonts w:eastAsia="Times"/>
          <w:i w:val="0"/>
          <w:szCs w:val="20"/>
          <w:lang w:val="es-CR"/>
        </w:rPr>
      </w:pPr>
      <w:r w:rsidRPr="00532C3B">
        <w:rPr>
          <w:i w:val="0"/>
          <w:szCs w:val="20"/>
        </w:rPr>
        <w:t xml:space="preserve">Además esta Corte observa que de conformidad con dicho artículo, así como del artículo </w:t>
      </w:r>
      <w:r w:rsidRPr="00532C3B">
        <w:rPr>
          <w:i w:val="0"/>
          <w:szCs w:val="20"/>
          <w:lang w:val="es-CR"/>
        </w:rPr>
        <w:t xml:space="preserve">64 </w:t>
      </w:r>
      <w:r w:rsidRPr="00532C3B">
        <w:rPr>
          <w:i w:val="0"/>
          <w:szCs w:val="20"/>
        </w:rPr>
        <w:t>del Reglamento</w:t>
      </w:r>
      <w:r w:rsidR="00B13A6D" w:rsidRPr="00532C3B">
        <w:rPr>
          <w:rStyle w:val="FootnoteReference"/>
          <w:i w:val="0"/>
          <w:lang w:val="es-CR"/>
        </w:rPr>
        <w:footnoteReference w:id="12"/>
      </w:r>
      <w:r w:rsidRPr="00532C3B">
        <w:rPr>
          <w:i w:val="0"/>
          <w:szCs w:val="20"/>
        </w:rPr>
        <w:t xml:space="preserve">, </w:t>
      </w:r>
      <w:r w:rsidRPr="00532C3B">
        <w:rPr>
          <w:i w:val="0"/>
          <w:szCs w:val="20"/>
          <w:lang w:val="es-CR"/>
        </w:rPr>
        <w:t xml:space="preserve">y en ejercicio de sus poderes de tutela judicial internacional de </w:t>
      </w:r>
      <w:r w:rsidRPr="00532C3B">
        <w:rPr>
          <w:i w:val="0"/>
          <w:szCs w:val="20"/>
          <w:lang w:val="es-CR"/>
        </w:rPr>
        <w:lastRenderedPageBreak/>
        <w:t xml:space="preserve">derechos humanos, cuestión de orden público internacional que trasciende la voluntad de las partes, </w:t>
      </w:r>
      <w:r w:rsidR="00B13A6D">
        <w:rPr>
          <w:i w:val="0"/>
          <w:szCs w:val="20"/>
          <w:lang w:val="es-CR"/>
        </w:rPr>
        <w:t xml:space="preserve">le </w:t>
      </w:r>
      <w:r w:rsidRPr="00532C3B">
        <w:rPr>
          <w:i w:val="0"/>
          <w:szCs w:val="20"/>
          <w:lang w:val="es-CR"/>
        </w:rPr>
        <w:t>incumbe velar porque los acuerdos de solución amistosa resulten aceptables para los fines que busca cumplir el sistema interamericano. En esta tarea no se limita únicamente a tomar nota de dicho acuerdo, o a verificar que estén dadas sus condiciones formales, sino que los debe confrontar con la naturaleza y gravedad de las violaciones alegadas, las exigencias e interés de la justicia, las circunstancias particulares del caso concreto y la actitud y posición de las partes</w:t>
      </w:r>
      <w:r w:rsidR="00162FA4">
        <w:rPr>
          <w:rStyle w:val="FootnoteReference"/>
          <w:i w:val="0"/>
          <w:lang w:val="es-CR"/>
        </w:rPr>
        <w:footnoteReference w:id="13"/>
      </w:r>
      <w:r w:rsidRPr="00532C3B">
        <w:rPr>
          <w:i w:val="0"/>
          <w:szCs w:val="20"/>
          <w:lang w:val="es-CR"/>
        </w:rPr>
        <w:t>. En tal sentido, el acuerdo no puede tener por consecuencia vulnerar, directa o indirectamente, el objeto y fi</w:t>
      </w:r>
      <w:r w:rsidR="00A73AFA" w:rsidRPr="00532C3B">
        <w:rPr>
          <w:i w:val="0"/>
          <w:szCs w:val="20"/>
          <w:lang w:val="es-CR"/>
        </w:rPr>
        <w:t>n de la Convención Americana.</w:t>
      </w:r>
    </w:p>
    <w:p w14:paraId="7FC32179" w14:textId="77777777" w:rsidR="00A73AFA" w:rsidRPr="00532C3B" w:rsidRDefault="00A73AFA" w:rsidP="001E6219">
      <w:pPr>
        <w:pStyle w:val="Estilo1"/>
        <w:tabs>
          <w:tab w:val="left" w:pos="0"/>
        </w:tabs>
        <w:spacing w:after="0"/>
        <w:ind w:left="0" w:right="-4" w:firstLine="0"/>
        <w:rPr>
          <w:rFonts w:eastAsia="Times"/>
          <w:i w:val="0"/>
          <w:szCs w:val="20"/>
          <w:lang w:val="es-CR"/>
        </w:rPr>
      </w:pPr>
    </w:p>
    <w:p w14:paraId="1922D703" w14:textId="77777777" w:rsidR="00104683" w:rsidRPr="00532C3B" w:rsidRDefault="00104683" w:rsidP="001E6219">
      <w:pPr>
        <w:pStyle w:val="Estilo1"/>
        <w:numPr>
          <w:ilvl w:val="0"/>
          <w:numId w:val="2"/>
        </w:numPr>
        <w:tabs>
          <w:tab w:val="left" w:pos="0"/>
        </w:tabs>
        <w:spacing w:after="0"/>
        <w:ind w:left="0" w:right="-4" w:firstLine="0"/>
        <w:rPr>
          <w:rFonts w:eastAsia="Times"/>
          <w:i w:val="0"/>
          <w:szCs w:val="20"/>
          <w:lang w:val="es-CR"/>
        </w:rPr>
      </w:pPr>
      <w:r w:rsidRPr="00532C3B">
        <w:rPr>
          <w:rFonts w:eastAsia="Times"/>
          <w:i w:val="0"/>
          <w:szCs w:val="20"/>
          <w:lang w:val="es-CR"/>
        </w:rPr>
        <w:t>Para estos efectos, el Tribunal debe analizar la situación planteada en cada caso concreto, procediendo a constatar que el acuerdo, el cual puede ser presentado ante la Corte en cualquier etapa del procedimiento contencioso, se encuentra firmado por las partes. Luego de dar traslado a las partes y a la Comisión y recabar, en su caso, sus respectivas observaciones, la Corte deberá verificar que se encuentren dados los requisitos formales y materiales para proceder a homologar el acuerdo mediante sentencia.</w:t>
      </w:r>
    </w:p>
    <w:p w14:paraId="581C3E5C" w14:textId="77777777" w:rsidR="00A73AFA" w:rsidRPr="00532C3B" w:rsidRDefault="00A73AFA" w:rsidP="001E6219">
      <w:pPr>
        <w:pStyle w:val="Estilo1"/>
        <w:tabs>
          <w:tab w:val="left" w:pos="0"/>
        </w:tabs>
        <w:spacing w:after="0"/>
        <w:ind w:left="0" w:right="-4" w:firstLine="0"/>
        <w:rPr>
          <w:rFonts w:eastAsia="Times"/>
          <w:i w:val="0"/>
          <w:szCs w:val="20"/>
          <w:lang w:val="es-CR"/>
        </w:rPr>
      </w:pPr>
    </w:p>
    <w:p w14:paraId="689F52F2" w14:textId="22998220" w:rsidR="00104683" w:rsidRPr="00532C3B" w:rsidRDefault="00104683" w:rsidP="001E6219">
      <w:pPr>
        <w:pStyle w:val="Estilo1"/>
        <w:numPr>
          <w:ilvl w:val="0"/>
          <w:numId w:val="2"/>
        </w:numPr>
        <w:tabs>
          <w:tab w:val="left" w:pos="0"/>
        </w:tabs>
        <w:spacing w:after="0"/>
        <w:ind w:left="0" w:right="-4" w:firstLine="0"/>
        <w:rPr>
          <w:bCs/>
          <w:i w:val="0"/>
          <w:szCs w:val="20"/>
          <w:lang w:val="es-CR"/>
        </w:rPr>
      </w:pPr>
      <w:r w:rsidRPr="00532C3B">
        <w:rPr>
          <w:bCs/>
          <w:i w:val="0"/>
          <w:szCs w:val="20"/>
          <w:lang w:val="es-CR"/>
        </w:rPr>
        <w:t xml:space="preserve">La Corte constata que el Acuerdo presentado contempla </w:t>
      </w:r>
      <w:r w:rsidRPr="00532C3B">
        <w:rPr>
          <w:bCs/>
          <w:i w:val="0"/>
          <w:szCs w:val="20"/>
          <w:lang w:val="es-ES"/>
        </w:rPr>
        <w:t>una solución entre las partes de la controversia planteada en cuanto a los hechos</w:t>
      </w:r>
      <w:r w:rsidRPr="00532C3B">
        <w:rPr>
          <w:bCs/>
          <w:i w:val="0"/>
          <w:szCs w:val="20"/>
          <w:lang w:val="es-CR"/>
        </w:rPr>
        <w:t xml:space="preserve"> y la determinación de violaciones de derechos humanos, al tenor de las establecidas en el Informe de Fondo, así como de las medidas de reparación. </w:t>
      </w:r>
      <w:r w:rsidRPr="00532C3B">
        <w:rPr>
          <w:bCs/>
          <w:i w:val="0"/>
          <w:szCs w:val="20"/>
          <w:lang w:val="es-ES"/>
        </w:rPr>
        <w:t>El Tribunal entiende que, por la forma en que el Estado formuló su r</w:t>
      </w:r>
      <w:r w:rsidR="00E179ED">
        <w:rPr>
          <w:bCs/>
          <w:i w:val="0"/>
          <w:szCs w:val="20"/>
          <w:lang w:val="es-ES"/>
        </w:rPr>
        <w:t>econocimiento de responsabilidad</w:t>
      </w:r>
      <w:r w:rsidRPr="00532C3B">
        <w:rPr>
          <w:bCs/>
          <w:i w:val="0"/>
          <w:szCs w:val="20"/>
          <w:lang w:val="es-ES"/>
        </w:rPr>
        <w:t xml:space="preserve">, el mismo comprende también </w:t>
      </w:r>
      <w:r w:rsidRPr="00532C3B">
        <w:rPr>
          <w:bCs/>
          <w:i w:val="0"/>
          <w:szCs w:val="20"/>
          <w:lang w:val="es-CR"/>
        </w:rPr>
        <w:t>las consideraciones de derecho que llevaron a dicho órgano a concluir que se produjeron esas violaciones en perjuicio de las víctimas de este caso.</w:t>
      </w:r>
    </w:p>
    <w:p w14:paraId="2292B86D" w14:textId="77777777" w:rsidR="00A73AFA" w:rsidRPr="00532C3B" w:rsidRDefault="00A73AFA" w:rsidP="001E6219">
      <w:pPr>
        <w:pStyle w:val="Estilo1"/>
        <w:tabs>
          <w:tab w:val="left" w:pos="0"/>
        </w:tabs>
        <w:spacing w:after="0"/>
        <w:ind w:left="0" w:right="-4" w:firstLine="0"/>
        <w:rPr>
          <w:bCs/>
          <w:i w:val="0"/>
          <w:szCs w:val="20"/>
          <w:lang w:val="es-CR"/>
        </w:rPr>
      </w:pPr>
    </w:p>
    <w:p w14:paraId="433E0B58" w14:textId="7AF39026" w:rsidR="00104683" w:rsidRPr="00532C3B" w:rsidRDefault="00104683" w:rsidP="001E6219">
      <w:pPr>
        <w:pStyle w:val="Estilo1"/>
        <w:numPr>
          <w:ilvl w:val="0"/>
          <w:numId w:val="2"/>
        </w:numPr>
        <w:tabs>
          <w:tab w:val="left" w:pos="0"/>
        </w:tabs>
        <w:spacing w:after="0"/>
        <w:ind w:left="0" w:right="-4" w:firstLine="0"/>
        <w:rPr>
          <w:bCs/>
          <w:i w:val="0"/>
          <w:szCs w:val="20"/>
        </w:rPr>
      </w:pPr>
      <w:r w:rsidRPr="00532C3B">
        <w:rPr>
          <w:bCs/>
          <w:i w:val="0"/>
          <w:szCs w:val="20"/>
        </w:rPr>
        <w:t xml:space="preserve">Además, la Corte destaca la voluntad de las partes </w:t>
      </w:r>
      <w:r w:rsidR="00DD65F5">
        <w:rPr>
          <w:bCs/>
          <w:i w:val="0"/>
          <w:szCs w:val="20"/>
        </w:rPr>
        <w:t xml:space="preserve">de </w:t>
      </w:r>
      <w:r w:rsidRPr="00532C3B">
        <w:rPr>
          <w:bCs/>
          <w:i w:val="0"/>
          <w:szCs w:val="20"/>
        </w:rPr>
        <w:t xml:space="preserve">alcanzar una solución a la controversia del presente caso y particularmente resalta el momento procesal en que lo hicieron. En efecto, </w:t>
      </w:r>
      <w:r w:rsidR="00DD65F5">
        <w:rPr>
          <w:bCs/>
          <w:i w:val="0"/>
          <w:szCs w:val="20"/>
        </w:rPr>
        <w:t xml:space="preserve">en </w:t>
      </w:r>
      <w:r w:rsidRPr="00532C3B">
        <w:rPr>
          <w:bCs/>
          <w:i w:val="0"/>
          <w:szCs w:val="20"/>
        </w:rPr>
        <w:t xml:space="preserve">este caso se produjo </w:t>
      </w:r>
      <w:r w:rsidRPr="00CD205C">
        <w:rPr>
          <w:bCs/>
          <w:i w:val="0"/>
          <w:szCs w:val="20"/>
        </w:rPr>
        <w:t>con anterioridad a que</w:t>
      </w:r>
      <w:r w:rsidR="00564B76" w:rsidRPr="00CD205C">
        <w:rPr>
          <w:bCs/>
          <w:i w:val="0"/>
          <w:szCs w:val="20"/>
        </w:rPr>
        <w:t xml:space="preserve"> los representantes presentaran su escrito de solicitudes, argumentos y pruebas y </w:t>
      </w:r>
      <w:r w:rsidRPr="00CD205C">
        <w:rPr>
          <w:bCs/>
          <w:i w:val="0"/>
          <w:szCs w:val="20"/>
        </w:rPr>
        <w:t>el Estado su escrito de contestación.</w:t>
      </w:r>
      <w:r w:rsidRPr="00532C3B">
        <w:rPr>
          <w:bCs/>
          <w:i w:val="0"/>
          <w:szCs w:val="20"/>
        </w:rPr>
        <w:t xml:space="preserve"> Ello permite a este Tribunal </w:t>
      </w:r>
      <w:r w:rsidR="00DD65F5">
        <w:rPr>
          <w:bCs/>
          <w:i w:val="0"/>
          <w:szCs w:val="20"/>
        </w:rPr>
        <w:t xml:space="preserve">emitir </w:t>
      </w:r>
      <w:r w:rsidRPr="00532C3B">
        <w:rPr>
          <w:bCs/>
          <w:i w:val="0"/>
          <w:szCs w:val="20"/>
        </w:rPr>
        <w:t>una sentencia de forma más pronta que si se hubiere llevado a término el proceso internacional. De esta</w:t>
      </w:r>
      <w:r w:rsidR="00DD65F5">
        <w:rPr>
          <w:bCs/>
          <w:i w:val="0"/>
          <w:szCs w:val="20"/>
        </w:rPr>
        <w:t xml:space="preserve"> manera</w:t>
      </w:r>
      <w:r w:rsidRPr="00532C3B">
        <w:rPr>
          <w:bCs/>
          <w:i w:val="0"/>
          <w:szCs w:val="20"/>
        </w:rPr>
        <w:t>, la controversia en el proceso concluyó sin necesidad de efectuar una audiencia pública y sin que se llevara a cabo la etapa del procedimiento final escrito</w:t>
      </w:r>
      <w:r w:rsidR="00162FA4" w:rsidRPr="00532C3B">
        <w:rPr>
          <w:bCs/>
          <w:i w:val="0"/>
          <w:szCs w:val="20"/>
          <w:vertAlign w:val="superscript"/>
        </w:rPr>
        <w:footnoteReference w:id="14"/>
      </w:r>
      <w:r w:rsidRPr="00532C3B">
        <w:rPr>
          <w:bCs/>
          <w:i w:val="0"/>
          <w:szCs w:val="20"/>
        </w:rPr>
        <w:t>.</w:t>
      </w:r>
    </w:p>
    <w:p w14:paraId="2EA963F5" w14:textId="77777777" w:rsidR="00A73AFA" w:rsidRPr="00532C3B" w:rsidRDefault="00A73AFA" w:rsidP="001E6219">
      <w:pPr>
        <w:pStyle w:val="Estilo1"/>
        <w:tabs>
          <w:tab w:val="left" w:pos="0"/>
        </w:tabs>
        <w:spacing w:after="0"/>
        <w:ind w:left="0" w:right="-4" w:firstLine="0"/>
        <w:rPr>
          <w:bCs/>
          <w:i w:val="0"/>
          <w:szCs w:val="20"/>
        </w:rPr>
      </w:pPr>
    </w:p>
    <w:p w14:paraId="66CEB500" w14:textId="414EC6E8" w:rsidR="00ED0FC0" w:rsidRPr="00ED0FC0" w:rsidRDefault="00104683" w:rsidP="00ED0FC0">
      <w:pPr>
        <w:pStyle w:val="Estilo1"/>
        <w:numPr>
          <w:ilvl w:val="0"/>
          <w:numId w:val="2"/>
        </w:numPr>
        <w:tabs>
          <w:tab w:val="left" w:pos="0"/>
        </w:tabs>
        <w:spacing w:after="0"/>
        <w:ind w:left="0" w:right="-4" w:firstLine="0"/>
        <w:rPr>
          <w:bCs/>
          <w:i w:val="0"/>
          <w:szCs w:val="20"/>
        </w:rPr>
      </w:pPr>
      <w:r w:rsidRPr="00532C3B">
        <w:rPr>
          <w:bCs/>
          <w:i w:val="0"/>
          <w:szCs w:val="20"/>
        </w:rPr>
        <w:t xml:space="preserve">De conformidad con los términos en que fue suscrito el Acuerdo, este Tribunal considera que ha cesado la </w:t>
      </w:r>
      <w:r w:rsidRPr="00532C3B">
        <w:rPr>
          <w:bCs/>
          <w:i w:val="0"/>
          <w:szCs w:val="20"/>
          <w:lang w:val="es-CR"/>
        </w:rPr>
        <w:t>controversia</w:t>
      </w:r>
      <w:r w:rsidRPr="00532C3B">
        <w:rPr>
          <w:bCs/>
          <w:i w:val="0"/>
          <w:szCs w:val="20"/>
        </w:rPr>
        <w:t xml:space="preserve"> sobre los hechos y los argumentos relativos a las violaciones de los derechos a la vida e integridad personal </w:t>
      </w:r>
      <w:r w:rsidRPr="00532C3B">
        <w:rPr>
          <w:i w:val="0"/>
          <w:szCs w:val="20"/>
          <w:lang w:val="es-CR"/>
        </w:rPr>
        <w:t xml:space="preserve">en perjuicio de </w:t>
      </w:r>
      <w:r w:rsidRPr="00532C3B">
        <w:rPr>
          <w:i w:val="0"/>
          <w:szCs w:val="20"/>
        </w:rPr>
        <w:t>Mirey Trueba Arciniega</w:t>
      </w:r>
      <w:r w:rsidRPr="00532C3B">
        <w:rPr>
          <w:i w:val="0"/>
          <w:szCs w:val="20"/>
          <w:lang w:val="es-CR"/>
        </w:rPr>
        <w:t>, y de los derechos a la integridad personal, garantías judiciales y protección judicial en perjuicio de sus familiares</w:t>
      </w:r>
      <w:r w:rsidRPr="00532C3B">
        <w:rPr>
          <w:bCs/>
          <w:i w:val="0"/>
          <w:szCs w:val="20"/>
        </w:rPr>
        <w:t xml:space="preserve">. </w:t>
      </w:r>
      <w:r w:rsidR="00564B76">
        <w:rPr>
          <w:bCs/>
          <w:i w:val="0"/>
          <w:szCs w:val="20"/>
        </w:rPr>
        <w:t>L</w:t>
      </w:r>
      <w:r w:rsidRPr="00532C3B">
        <w:rPr>
          <w:bCs/>
          <w:i w:val="0"/>
          <w:szCs w:val="20"/>
        </w:rPr>
        <w:t>o anterior hace que no sea pertinente que se realice una determinación propia de hechos y consecuencias jurídicas</w:t>
      </w:r>
      <w:r w:rsidR="00564B76">
        <w:rPr>
          <w:bCs/>
          <w:i w:val="0"/>
          <w:szCs w:val="20"/>
        </w:rPr>
        <w:t xml:space="preserve"> </w:t>
      </w:r>
      <w:r w:rsidR="00564B76" w:rsidRPr="00CD205C">
        <w:rPr>
          <w:bCs/>
          <w:i w:val="0"/>
          <w:szCs w:val="20"/>
        </w:rPr>
        <w:t>como se haría en caso de que existiera controversia en relación con los hechos o el derecho aplicable. Sin embargo,</w:t>
      </w:r>
      <w:r w:rsidRPr="00532C3B">
        <w:rPr>
          <w:bCs/>
          <w:i w:val="0"/>
          <w:szCs w:val="20"/>
        </w:rPr>
        <w:t xml:space="preserve"> en aras de asegurar una mejor comprensión del caso, la Corte estima necesario efectuar un resumen de hechos y antecedentes pertinentes con base en los contenidos en el Informe </w:t>
      </w:r>
      <w:r w:rsidR="00DD65F5">
        <w:rPr>
          <w:bCs/>
          <w:i w:val="0"/>
          <w:szCs w:val="20"/>
        </w:rPr>
        <w:t xml:space="preserve">de Fondo </w:t>
      </w:r>
      <w:r w:rsidRPr="00532C3B">
        <w:rPr>
          <w:bCs/>
          <w:i w:val="0"/>
          <w:szCs w:val="20"/>
        </w:rPr>
        <w:t>No. 47/16 (</w:t>
      </w:r>
      <w:r w:rsidRPr="00162FA4">
        <w:rPr>
          <w:bCs/>
          <w:szCs w:val="20"/>
        </w:rPr>
        <w:t>infra</w:t>
      </w:r>
      <w:r w:rsidR="00162FA4" w:rsidRPr="00162FA4">
        <w:rPr>
          <w:bCs/>
          <w:i w:val="0"/>
          <w:szCs w:val="20"/>
        </w:rPr>
        <w:t xml:space="preserve"> Capítulo </w:t>
      </w:r>
      <w:r w:rsidR="00162FA4">
        <w:rPr>
          <w:bCs/>
          <w:i w:val="0"/>
          <w:szCs w:val="20"/>
        </w:rPr>
        <w:t>V</w:t>
      </w:r>
      <w:r w:rsidRPr="00532C3B">
        <w:rPr>
          <w:bCs/>
          <w:i w:val="0"/>
          <w:szCs w:val="20"/>
        </w:rPr>
        <w:t xml:space="preserve">). </w:t>
      </w:r>
      <w:r w:rsidRPr="00532C3B">
        <w:rPr>
          <w:i w:val="0"/>
          <w:szCs w:val="20"/>
          <w:lang w:val="es-CR"/>
        </w:rPr>
        <w:t>Posteriormente, se analizará el acuerdo a fin de determinar la procedencia de su homologación (</w:t>
      </w:r>
      <w:r w:rsidRPr="00162FA4">
        <w:rPr>
          <w:szCs w:val="20"/>
          <w:lang w:val="es-CR"/>
        </w:rPr>
        <w:t>infra</w:t>
      </w:r>
      <w:r w:rsidR="00162FA4" w:rsidRPr="00162FA4">
        <w:rPr>
          <w:i w:val="0"/>
          <w:szCs w:val="20"/>
          <w:lang w:val="es-CR"/>
        </w:rPr>
        <w:t xml:space="preserve"> Capítulo</w:t>
      </w:r>
      <w:r w:rsidR="00162FA4">
        <w:rPr>
          <w:i w:val="0"/>
          <w:szCs w:val="20"/>
          <w:lang w:val="es-CR"/>
        </w:rPr>
        <w:t xml:space="preserve"> VI</w:t>
      </w:r>
      <w:r w:rsidRPr="00532C3B">
        <w:rPr>
          <w:i w:val="0"/>
          <w:szCs w:val="20"/>
          <w:lang w:val="es-CR"/>
        </w:rPr>
        <w:t>).</w:t>
      </w:r>
    </w:p>
    <w:p w14:paraId="58443DE4" w14:textId="77777777" w:rsidR="00ED0FC0" w:rsidRPr="00ED0FC0" w:rsidRDefault="00ED0FC0" w:rsidP="00ED0FC0">
      <w:pPr>
        <w:rPr>
          <w:bCs/>
          <w:szCs w:val="20"/>
        </w:rPr>
      </w:pPr>
    </w:p>
    <w:p w14:paraId="27F0D801" w14:textId="3BAF3504" w:rsidR="00A73AFA" w:rsidRPr="00CD205C" w:rsidRDefault="00ED0FC0" w:rsidP="00ED0FC0">
      <w:pPr>
        <w:pStyle w:val="Estilo1"/>
        <w:numPr>
          <w:ilvl w:val="0"/>
          <w:numId w:val="2"/>
        </w:numPr>
        <w:tabs>
          <w:tab w:val="left" w:pos="0"/>
        </w:tabs>
        <w:spacing w:after="0"/>
        <w:ind w:left="0" w:right="-4" w:firstLine="0"/>
        <w:rPr>
          <w:bCs/>
          <w:i w:val="0"/>
          <w:szCs w:val="20"/>
        </w:rPr>
      </w:pPr>
      <w:r w:rsidRPr="00CD205C">
        <w:rPr>
          <w:bCs/>
          <w:i w:val="0"/>
          <w:szCs w:val="20"/>
        </w:rPr>
        <w:lastRenderedPageBreak/>
        <w:t xml:space="preserve">Sin perjuicio de lo anterior, </w:t>
      </w:r>
      <w:r w:rsidRPr="00CD205C">
        <w:rPr>
          <w:i w:val="0"/>
          <w:szCs w:val="20"/>
        </w:rPr>
        <w:t>l</w:t>
      </w:r>
      <w:r w:rsidRPr="00CD205C">
        <w:rPr>
          <w:i w:val="0"/>
          <w:lang w:val="es-CR"/>
        </w:rPr>
        <w:t xml:space="preserve">a Corte recuerda que </w:t>
      </w:r>
      <w:r w:rsidRPr="00CD205C">
        <w:rPr>
          <w:i w:val="0"/>
        </w:rPr>
        <w:t xml:space="preserve">el mantenimiento del orden público interno y la seguridad ciudadana </w:t>
      </w:r>
      <w:r w:rsidRPr="00CD205C">
        <w:rPr>
          <w:i w:val="0"/>
          <w:lang w:val="es-CR"/>
        </w:rPr>
        <w:t xml:space="preserve">debe estar primariamente reservada a los cuerpos </w:t>
      </w:r>
      <w:r w:rsidRPr="00CD205C">
        <w:rPr>
          <w:i w:val="0"/>
        </w:rPr>
        <w:t xml:space="preserve">policiales </w:t>
      </w:r>
      <w:r w:rsidRPr="00CD205C">
        <w:rPr>
          <w:i w:val="0"/>
          <w:lang w:val="es-CR"/>
        </w:rPr>
        <w:t>civiles</w:t>
      </w:r>
      <w:r w:rsidRPr="00CD205C">
        <w:rPr>
          <w:i w:val="0"/>
        </w:rPr>
        <w:t>.</w:t>
      </w:r>
      <w:r w:rsidRPr="00CD205C">
        <w:rPr>
          <w:i w:val="0"/>
          <w:lang w:val="es-CR"/>
        </w:rPr>
        <w:t xml:space="preserve"> No obstante</w:t>
      </w:r>
      <w:r w:rsidR="00F670EC" w:rsidRPr="00CD205C">
        <w:rPr>
          <w:i w:val="0"/>
          <w:lang w:val="es-CR"/>
        </w:rPr>
        <w:t>, la participación de las Fuerzas A</w:t>
      </w:r>
      <w:r w:rsidRPr="00CD205C">
        <w:rPr>
          <w:i w:val="0"/>
          <w:lang w:val="es-CR"/>
        </w:rPr>
        <w:t xml:space="preserve">rmadas en tareas de seguridad </w:t>
      </w:r>
      <w:r w:rsidRPr="00CD205C">
        <w:rPr>
          <w:rFonts w:cs="Arial"/>
          <w:i w:val="0"/>
          <w:szCs w:val="20"/>
          <w:lang w:val="es-CR"/>
        </w:rPr>
        <w:t>debe</w:t>
      </w:r>
      <w:r w:rsidRPr="00CD205C">
        <w:rPr>
          <w:i w:val="0"/>
          <w:lang w:val="es-CR"/>
        </w:rPr>
        <w:t xml:space="preserve"> ser extraordinaria</w:t>
      </w:r>
      <w:r w:rsidR="00F670EC" w:rsidRPr="00CD205C">
        <w:rPr>
          <w:i w:val="0"/>
          <w:lang w:val="es-CR"/>
        </w:rPr>
        <w:t xml:space="preserve"> o excepcional</w:t>
      </w:r>
      <w:r w:rsidRPr="00CD205C">
        <w:rPr>
          <w:i w:val="0"/>
          <w:lang w:val="es-CR"/>
        </w:rPr>
        <w:t xml:space="preserve">, pues </w:t>
      </w:r>
      <w:r w:rsidR="00191B2F" w:rsidRPr="00CD205C">
        <w:rPr>
          <w:i w:val="0"/>
          <w:lang w:val="es-CR"/>
        </w:rPr>
        <w:t xml:space="preserve">su presencia e intervención </w:t>
      </w:r>
      <w:r w:rsidRPr="00CD205C">
        <w:rPr>
          <w:i w:val="0"/>
          <w:lang w:val="es-CR"/>
        </w:rPr>
        <w:t>en actividades de seguridad pública, puede implicar un riesgo para los derechos humanos</w:t>
      </w:r>
      <w:r w:rsidRPr="00CD205C">
        <w:rPr>
          <w:rStyle w:val="FootnoteReference"/>
          <w:i w:val="0"/>
          <w:lang w:val="es-CR"/>
        </w:rPr>
        <w:footnoteReference w:id="15"/>
      </w:r>
      <w:r w:rsidRPr="00CD205C">
        <w:rPr>
          <w:i w:val="0"/>
          <w:lang w:val="es-CR"/>
        </w:rPr>
        <w:t xml:space="preserve">. En ese sentido, el Tribunal recuerda que es deber del Estado vigilar que sus cuerpos de seguridad, a quienes les está atribuido el uso de la fuerza legítima, respeten </w:t>
      </w:r>
      <w:r w:rsidR="00F670EC" w:rsidRPr="00CD205C">
        <w:rPr>
          <w:i w:val="0"/>
          <w:lang w:val="es-CR"/>
        </w:rPr>
        <w:t>los derechos humanos</w:t>
      </w:r>
      <w:r w:rsidRPr="00CD205C">
        <w:rPr>
          <w:i w:val="0"/>
          <w:lang w:val="es-CR"/>
        </w:rPr>
        <w:t xml:space="preserve"> de quienes se encuentren sujetos a su jurisdicción</w:t>
      </w:r>
      <w:r w:rsidR="00F670EC" w:rsidRPr="00CD205C">
        <w:rPr>
          <w:i w:val="0"/>
          <w:lang w:val="es-CR"/>
        </w:rPr>
        <w:t>, y de conformidad con los estándares establecidos por esta Corte</w:t>
      </w:r>
      <w:r w:rsidRPr="00CD205C">
        <w:rPr>
          <w:rStyle w:val="FootnoteReference"/>
          <w:i w:val="0"/>
          <w:lang w:val="es-CR"/>
        </w:rPr>
        <w:footnoteReference w:id="16"/>
      </w:r>
      <w:r w:rsidRPr="00CD205C">
        <w:rPr>
          <w:i w:val="0"/>
          <w:lang w:val="es-CR"/>
        </w:rPr>
        <w:t>. Esto implica el uso restrictivo de armas letales</w:t>
      </w:r>
      <w:r w:rsidR="00F670EC" w:rsidRPr="00CD205C">
        <w:rPr>
          <w:i w:val="0"/>
          <w:lang w:val="es-CR"/>
        </w:rPr>
        <w:t xml:space="preserve"> así como el uso proporcional de la fuerza</w:t>
      </w:r>
      <w:r w:rsidRPr="00CD205C">
        <w:rPr>
          <w:i w:val="0"/>
          <w:lang w:val="es-CR"/>
        </w:rPr>
        <w:t xml:space="preserve"> </w:t>
      </w:r>
      <w:r w:rsidR="00F670EC" w:rsidRPr="00CD205C">
        <w:rPr>
          <w:i w:val="0"/>
          <w:lang w:val="es-CR"/>
        </w:rPr>
        <w:t>en aquellos casos donde sea necesario</w:t>
      </w:r>
      <w:r w:rsidRPr="00CD205C">
        <w:rPr>
          <w:rStyle w:val="FootnoteReference"/>
          <w:i w:val="0"/>
          <w:lang w:val="es-CR"/>
        </w:rPr>
        <w:footnoteReference w:id="17"/>
      </w:r>
      <w:r w:rsidRPr="00CD205C">
        <w:rPr>
          <w:i w:val="0"/>
          <w:lang w:val="es-CR"/>
        </w:rPr>
        <w:t>.</w:t>
      </w:r>
    </w:p>
    <w:p w14:paraId="62EB8378" w14:textId="77777777" w:rsidR="00ED0FC0" w:rsidRPr="00ED0FC0" w:rsidRDefault="00ED0FC0" w:rsidP="00ED0FC0">
      <w:pPr>
        <w:widowControl w:val="0"/>
        <w:tabs>
          <w:tab w:val="left" w:pos="567"/>
        </w:tabs>
        <w:autoSpaceDE w:val="0"/>
        <w:autoSpaceDN w:val="0"/>
        <w:adjustRightInd w:val="0"/>
        <w:textAlignment w:val="baseline"/>
        <w:rPr>
          <w:lang w:val="es-CR"/>
        </w:rPr>
      </w:pPr>
    </w:p>
    <w:p w14:paraId="202E7A7A" w14:textId="29107CF2" w:rsidR="00104683" w:rsidRPr="001E6219" w:rsidRDefault="00104683" w:rsidP="001E6219">
      <w:pPr>
        <w:pStyle w:val="Estilo1"/>
        <w:numPr>
          <w:ilvl w:val="0"/>
          <w:numId w:val="2"/>
        </w:numPr>
        <w:tabs>
          <w:tab w:val="left" w:pos="0"/>
        </w:tabs>
        <w:spacing w:after="0"/>
        <w:ind w:left="0" w:right="-4" w:firstLine="0"/>
        <w:rPr>
          <w:i w:val="0"/>
          <w:szCs w:val="20"/>
        </w:rPr>
      </w:pPr>
      <w:r w:rsidRPr="00532C3B">
        <w:rPr>
          <w:bCs/>
          <w:i w:val="0"/>
          <w:szCs w:val="20"/>
          <w:lang w:val="es-ES"/>
        </w:rPr>
        <w:t>L</w:t>
      </w:r>
      <w:r w:rsidRPr="00532C3B">
        <w:rPr>
          <w:bCs/>
          <w:i w:val="0"/>
          <w:szCs w:val="20"/>
        </w:rPr>
        <w:t>a Corte valora positivamente la voluntad del Estado mexicano de reparar de manera integral los daños ocasionados a las víctimas por las violaciones producidas en el presente caso y evitar que se repitan tales violaciones. Respecto de las medidas de reparación descritas en el acuerdo convenido por el Estado, las víctimas y sus representantes, la Corte las analizará con el fin de determinar la procedencia de su homologación, y en su caso, su alcance y formas de ejecución (</w:t>
      </w:r>
      <w:r w:rsidRPr="00F90C57">
        <w:rPr>
          <w:bCs/>
          <w:szCs w:val="20"/>
        </w:rPr>
        <w:t>infra</w:t>
      </w:r>
      <w:r w:rsidR="00F90C57" w:rsidRPr="00F90C57">
        <w:rPr>
          <w:bCs/>
          <w:i w:val="0"/>
          <w:szCs w:val="20"/>
        </w:rPr>
        <w:t xml:space="preserve"> Capítulo </w:t>
      </w:r>
      <w:r w:rsidR="00F90C57">
        <w:rPr>
          <w:bCs/>
          <w:i w:val="0"/>
          <w:szCs w:val="20"/>
        </w:rPr>
        <w:t>VII</w:t>
      </w:r>
      <w:r w:rsidRPr="00532C3B">
        <w:rPr>
          <w:bCs/>
          <w:i w:val="0"/>
          <w:szCs w:val="20"/>
        </w:rPr>
        <w:t>).</w:t>
      </w:r>
    </w:p>
    <w:p w14:paraId="321D5AAF" w14:textId="77777777" w:rsidR="00104683" w:rsidRDefault="00104683" w:rsidP="00236DD1">
      <w:pPr>
        <w:pStyle w:val="Heading1"/>
      </w:pPr>
      <w:bookmarkStart w:id="83" w:name="_Toc438132279"/>
      <w:bookmarkStart w:id="84" w:name="_Toc442082546"/>
      <w:bookmarkStart w:id="85" w:name="_Toc486693364"/>
      <w:bookmarkStart w:id="86" w:name="_Toc486842780"/>
      <w:bookmarkStart w:id="87" w:name="_Toc486842918"/>
      <w:bookmarkStart w:id="88" w:name="_Toc525713973"/>
      <w:bookmarkStart w:id="89" w:name="_Toc532214921"/>
      <w:bookmarkStart w:id="90" w:name="_Toc438132294"/>
      <w:bookmarkStart w:id="91" w:name="_Toc442082547"/>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532C3B">
        <w:t>V</w:t>
      </w:r>
      <w:r w:rsidRPr="00532C3B">
        <w:rPr>
          <w:color w:val="FFFFFF" w:themeColor="background1"/>
        </w:rPr>
        <w:t>.</w:t>
      </w:r>
      <w:r w:rsidRPr="00532C3B">
        <w:br/>
        <w:t>HECHOS</w:t>
      </w:r>
      <w:bookmarkEnd w:id="83"/>
      <w:bookmarkEnd w:id="84"/>
      <w:bookmarkEnd w:id="85"/>
      <w:bookmarkEnd w:id="86"/>
      <w:bookmarkEnd w:id="87"/>
      <w:bookmarkEnd w:id="88"/>
      <w:bookmarkEnd w:id="89"/>
    </w:p>
    <w:bookmarkEnd w:id="90"/>
    <w:bookmarkEnd w:id="91"/>
    <w:p w14:paraId="671B1919" w14:textId="4C719497" w:rsidR="0049110D" w:rsidRDefault="0049110D" w:rsidP="001E6219">
      <w:pPr>
        <w:pStyle w:val="Estilo1"/>
        <w:numPr>
          <w:ilvl w:val="0"/>
          <w:numId w:val="2"/>
        </w:numPr>
        <w:tabs>
          <w:tab w:val="left" w:pos="0"/>
        </w:tabs>
        <w:spacing w:after="0"/>
        <w:ind w:left="0" w:right="-4" w:firstLine="0"/>
        <w:rPr>
          <w:i w:val="0"/>
          <w:szCs w:val="20"/>
          <w:lang w:val="es-CR"/>
        </w:rPr>
      </w:pPr>
      <w:r w:rsidRPr="00532C3B">
        <w:rPr>
          <w:i w:val="0"/>
          <w:szCs w:val="20"/>
          <w:lang w:val="es-CR"/>
        </w:rPr>
        <w:t>El Acuerdo establece que “las partes acuerdan que los hechos que conforman la base factual del presente [Acuerdo] y, por ende, del reconocimiento de la responsabilidad del [Estado mexicano], son aquellos hechos probados determinados por la [CIDH] en su [Informe de Fondo N° 47/16], aprobado el 29 de noviembre de 2016”</w:t>
      </w:r>
      <w:r w:rsidRPr="00532C3B">
        <w:rPr>
          <w:rStyle w:val="FootnoteReference"/>
          <w:i w:val="0"/>
          <w:lang w:val="es-CR"/>
        </w:rPr>
        <w:footnoteReference w:id="18"/>
      </w:r>
      <w:r w:rsidRPr="00532C3B">
        <w:rPr>
          <w:i w:val="0"/>
          <w:szCs w:val="20"/>
          <w:lang w:val="es-CR"/>
        </w:rPr>
        <w:t xml:space="preserve">. En consecuencia, tomando en cuenta lo anterior, el Tribunal se referirá sucintamente a los hechos que configuraron las violaciones en el presente caso </w:t>
      </w:r>
      <w:r w:rsidR="007C3009">
        <w:rPr>
          <w:i w:val="0"/>
          <w:szCs w:val="20"/>
          <w:lang w:val="es-CR"/>
        </w:rPr>
        <w:t xml:space="preserve">narrados </w:t>
      </w:r>
      <w:r w:rsidRPr="00532C3B">
        <w:rPr>
          <w:i w:val="0"/>
          <w:szCs w:val="20"/>
          <w:lang w:val="es-CR"/>
        </w:rPr>
        <w:t>en el “Capítulo IV. Hechos Probados” del Informe de Fondo.</w:t>
      </w:r>
    </w:p>
    <w:p w14:paraId="57D86501" w14:textId="77777777" w:rsidR="001E6219" w:rsidRPr="00532C3B" w:rsidRDefault="001E6219" w:rsidP="001E6219">
      <w:pPr>
        <w:pStyle w:val="Estilo1"/>
        <w:tabs>
          <w:tab w:val="left" w:pos="0"/>
        </w:tabs>
        <w:spacing w:after="0"/>
        <w:ind w:left="0" w:right="-4" w:firstLine="0"/>
        <w:rPr>
          <w:i w:val="0"/>
          <w:szCs w:val="20"/>
          <w:lang w:val="es-CR"/>
        </w:rPr>
      </w:pPr>
    </w:p>
    <w:p w14:paraId="08F8098F" w14:textId="77777777" w:rsidR="0049110D" w:rsidRPr="00862F96" w:rsidRDefault="0049110D" w:rsidP="001E6219">
      <w:pPr>
        <w:pStyle w:val="Heading2"/>
        <w:numPr>
          <w:ilvl w:val="0"/>
          <w:numId w:val="23"/>
        </w:numPr>
        <w:spacing w:before="0"/>
        <w:rPr>
          <w:rFonts w:ascii="Verdana" w:hAnsi="Verdana"/>
          <w:b w:val="0"/>
          <w:color w:val="auto"/>
          <w:sz w:val="20"/>
          <w:szCs w:val="20"/>
        </w:rPr>
      </w:pPr>
      <w:bookmarkStart w:id="92" w:name="_Toc532214922"/>
      <w:r w:rsidRPr="00862F96">
        <w:rPr>
          <w:rFonts w:ascii="Verdana" w:hAnsi="Verdana"/>
          <w:color w:val="auto"/>
          <w:sz w:val="20"/>
          <w:szCs w:val="20"/>
        </w:rPr>
        <w:t>Situación del municipio de Baborigame en la época de los hechos</w:t>
      </w:r>
      <w:bookmarkEnd w:id="92"/>
    </w:p>
    <w:p w14:paraId="2E935E09" w14:textId="77777777" w:rsidR="0049110D" w:rsidRPr="001E6219" w:rsidRDefault="0049110D" w:rsidP="001E6219">
      <w:pPr>
        <w:pStyle w:val="ListParagraph"/>
        <w:tabs>
          <w:tab w:val="left" w:pos="567"/>
        </w:tabs>
        <w:autoSpaceDE w:val="0"/>
        <w:autoSpaceDN w:val="0"/>
        <w:adjustRightInd w:val="0"/>
        <w:ind w:left="0"/>
        <w:contextualSpacing w:val="0"/>
        <w:outlineLvl w:val="1"/>
        <w:rPr>
          <w:szCs w:val="20"/>
        </w:rPr>
      </w:pPr>
    </w:p>
    <w:p w14:paraId="668B43C1" w14:textId="222F6628" w:rsidR="0049110D" w:rsidRPr="00532C3B" w:rsidRDefault="0049110D" w:rsidP="001E6219">
      <w:pPr>
        <w:pStyle w:val="Estilo1"/>
        <w:numPr>
          <w:ilvl w:val="0"/>
          <w:numId w:val="2"/>
        </w:numPr>
        <w:tabs>
          <w:tab w:val="left" w:pos="0"/>
        </w:tabs>
        <w:spacing w:after="0"/>
        <w:ind w:left="0" w:right="-4" w:firstLine="0"/>
        <w:rPr>
          <w:i w:val="0"/>
          <w:szCs w:val="20"/>
          <w:lang w:val="es-CR"/>
        </w:rPr>
      </w:pPr>
      <w:r w:rsidRPr="00532C3B">
        <w:rPr>
          <w:i w:val="0"/>
          <w:szCs w:val="20"/>
          <w:lang w:val="es-CR"/>
        </w:rPr>
        <w:t xml:space="preserve">El Estado </w:t>
      </w:r>
      <w:r w:rsidRPr="00CD205C">
        <w:rPr>
          <w:i w:val="0"/>
          <w:szCs w:val="20"/>
          <w:lang w:val="es-CR"/>
        </w:rPr>
        <w:t xml:space="preserve">reconoció </w:t>
      </w:r>
      <w:r w:rsidR="00ED0FC0" w:rsidRPr="00CD205C">
        <w:rPr>
          <w:i w:val="0"/>
          <w:szCs w:val="20"/>
          <w:lang w:val="es-CR"/>
        </w:rPr>
        <w:t>que se ha incrementado la presencia del ejército en el municipio de Baborigame</w:t>
      </w:r>
      <w:r w:rsidRPr="00532C3B">
        <w:rPr>
          <w:i w:val="0"/>
          <w:szCs w:val="20"/>
          <w:lang w:val="es-CR"/>
        </w:rPr>
        <w:t xml:space="preserve"> y explicó que en la década de 1990 estableció un puesto de mando militar debido a la violencia derivada del narcotráfico. El Estado manifestó que, en la época de los hechos del caso, la base de mando militar estaba a cargo del teniente coronel de infanter</w:t>
      </w:r>
      <w:r w:rsidR="00F90C57">
        <w:rPr>
          <w:i w:val="0"/>
          <w:szCs w:val="20"/>
          <w:lang w:val="es-CR"/>
        </w:rPr>
        <w:t>ía Luis Raúl Morales Rodríguez.</w:t>
      </w:r>
    </w:p>
    <w:p w14:paraId="07B31DB5" w14:textId="77777777" w:rsidR="0049110D" w:rsidRPr="00532C3B" w:rsidRDefault="0049110D" w:rsidP="001E6219">
      <w:pPr>
        <w:pStyle w:val="Estilo1"/>
        <w:tabs>
          <w:tab w:val="left" w:pos="0"/>
        </w:tabs>
        <w:spacing w:after="0"/>
        <w:ind w:left="0" w:right="-4" w:firstLine="0"/>
        <w:rPr>
          <w:i w:val="0"/>
          <w:szCs w:val="20"/>
          <w:lang w:val="es-CR"/>
        </w:rPr>
      </w:pPr>
    </w:p>
    <w:p w14:paraId="7D874D04" w14:textId="29626FBD" w:rsidR="0049110D" w:rsidRPr="00532C3B" w:rsidRDefault="0049110D" w:rsidP="001E6219">
      <w:pPr>
        <w:pStyle w:val="Estilo1"/>
        <w:numPr>
          <w:ilvl w:val="0"/>
          <w:numId w:val="2"/>
        </w:numPr>
        <w:tabs>
          <w:tab w:val="left" w:pos="0"/>
        </w:tabs>
        <w:spacing w:after="0"/>
        <w:ind w:left="0" w:right="-4" w:firstLine="0"/>
        <w:rPr>
          <w:i w:val="0"/>
          <w:szCs w:val="20"/>
          <w:lang w:val="es-CR"/>
        </w:rPr>
      </w:pPr>
      <w:r w:rsidRPr="00532C3B">
        <w:rPr>
          <w:i w:val="0"/>
          <w:szCs w:val="20"/>
          <w:lang w:val="es-CR"/>
        </w:rPr>
        <w:lastRenderedPageBreak/>
        <w:t>La Comisión tomó nota de hechos violentos ocurridos en perjuicio de la población de Baborigame por parte de militares. La Comisión destacó sucesos</w:t>
      </w:r>
      <w:r w:rsidR="00D81DDA">
        <w:rPr>
          <w:i w:val="0"/>
          <w:szCs w:val="20"/>
          <w:lang w:val="es-CR"/>
        </w:rPr>
        <w:t>,</w:t>
      </w:r>
      <w:r w:rsidRPr="00532C3B">
        <w:rPr>
          <w:i w:val="0"/>
          <w:szCs w:val="20"/>
          <w:lang w:val="es-CR"/>
        </w:rPr>
        <w:t xml:space="preserve"> </w:t>
      </w:r>
      <w:r w:rsidR="007C3009">
        <w:rPr>
          <w:i w:val="0"/>
          <w:szCs w:val="20"/>
          <w:lang w:val="es-CR"/>
        </w:rPr>
        <w:t xml:space="preserve">entre ellos </w:t>
      </w:r>
      <w:r w:rsidRPr="00532C3B">
        <w:rPr>
          <w:i w:val="0"/>
          <w:szCs w:val="20"/>
          <w:lang w:val="es-CR"/>
        </w:rPr>
        <w:t xml:space="preserve">la quema de </w:t>
      </w:r>
      <w:r w:rsidR="007C3009">
        <w:rPr>
          <w:i w:val="0"/>
          <w:szCs w:val="20"/>
          <w:lang w:val="es-CR"/>
        </w:rPr>
        <w:t xml:space="preserve">una </w:t>
      </w:r>
      <w:r w:rsidRPr="00532C3B">
        <w:rPr>
          <w:i w:val="0"/>
          <w:szCs w:val="20"/>
          <w:lang w:val="es-CR"/>
        </w:rPr>
        <w:t>casa y ejecución de cinco civiles en 1992</w:t>
      </w:r>
      <w:r w:rsidRPr="00532C3B">
        <w:rPr>
          <w:rStyle w:val="FootnoteReference"/>
          <w:i w:val="0"/>
          <w:lang w:val="es-CR"/>
        </w:rPr>
        <w:footnoteReference w:id="19"/>
      </w:r>
      <w:r w:rsidRPr="00532C3B">
        <w:rPr>
          <w:i w:val="0"/>
          <w:szCs w:val="20"/>
          <w:lang w:val="es-CR"/>
        </w:rPr>
        <w:t>, la detención y presunta tortura y ejecución de un civil en 1996</w:t>
      </w:r>
      <w:r w:rsidRPr="00532C3B">
        <w:rPr>
          <w:rStyle w:val="FootnoteReference"/>
          <w:i w:val="0"/>
          <w:lang w:val="es-CR"/>
        </w:rPr>
        <w:footnoteReference w:id="20"/>
      </w:r>
      <w:r w:rsidRPr="00532C3B">
        <w:rPr>
          <w:i w:val="0"/>
          <w:szCs w:val="20"/>
          <w:lang w:val="es-CR"/>
        </w:rPr>
        <w:t xml:space="preserve"> y las presuntas ejecuciones de tres civiles en 1998, 1999 y 2000, respectivamente</w:t>
      </w:r>
      <w:r w:rsidRPr="00532C3B">
        <w:rPr>
          <w:rStyle w:val="FootnoteReference"/>
          <w:i w:val="0"/>
          <w:lang w:val="es-CR"/>
        </w:rPr>
        <w:footnoteReference w:id="21"/>
      </w:r>
      <w:r w:rsidR="00F90C57">
        <w:rPr>
          <w:i w:val="0"/>
          <w:szCs w:val="20"/>
          <w:lang w:val="es-CR"/>
        </w:rPr>
        <w:t>.</w:t>
      </w:r>
    </w:p>
    <w:p w14:paraId="4AA28F5C" w14:textId="77777777" w:rsidR="0049110D" w:rsidRPr="00532C3B" w:rsidRDefault="0049110D" w:rsidP="001E6219">
      <w:pPr>
        <w:pStyle w:val="Estilo1"/>
        <w:tabs>
          <w:tab w:val="left" w:pos="0"/>
        </w:tabs>
        <w:spacing w:after="0"/>
        <w:ind w:left="0" w:right="-4" w:firstLine="0"/>
        <w:rPr>
          <w:i w:val="0"/>
          <w:szCs w:val="20"/>
          <w:lang w:val="es-CR"/>
        </w:rPr>
      </w:pPr>
    </w:p>
    <w:p w14:paraId="59628E78" w14:textId="59F1F696" w:rsidR="0049110D" w:rsidRPr="00D81DDA" w:rsidRDefault="0049110D" w:rsidP="001E6219">
      <w:pPr>
        <w:pStyle w:val="Estilo1"/>
        <w:numPr>
          <w:ilvl w:val="0"/>
          <w:numId w:val="2"/>
        </w:numPr>
        <w:tabs>
          <w:tab w:val="left" w:pos="0"/>
        </w:tabs>
        <w:spacing w:after="0"/>
        <w:ind w:left="0" w:right="-4" w:firstLine="0"/>
        <w:rPr>
          <w:i w:val="0"/>
          <w:strike/>
          <w:szCs w:val="20"/>
          <w:lang w:val="es-CR"/>
        </w:rPr>
      </w:pPr>
      <w:r w:rsidRPr="00532C3B">
        <w:rPr>
          <w:i w:val="0"/>
          <w:szCs w:val="20"/>
          <w:lang w:val="es-CR"/>
        </w:rPr>
        <w:t xml:space="preserve">El 20 de agosto de 1998, dos días antes de los hechos del caso, 400 militares llegaron a Baborigame </w:t>
      </w:r>
      <w:r w:rsidR="007C3009">
        <w:rPr>
          <w:i w:val="0"/>
          <w:szCs w:val="20"/>
          <w:lang w:val="es-CR"/>
        </w:rPr>
        <w:t xml:space="preserve">con el </w:t>
      </w:r>
      <w:r w:rsidRPr="00532C3B">
        <w:rPr>
          <w:i w:val="0"/>
          <w:szCs w:val="20"/>
          <w:lang w:val="es-CR"/>
        </w:rPr>
        <w:t>fin de combatir el narcotráfico</w:t>
      </w:r>
      <w:r w:rsidR="00F90C57" w:rsidRPr="00532C3B">
        <w:rPr>
          <w:rStyle w:val="FootnoteReference"/>
          <w:i w:val="0"/>
          <w:lang w:val="es-CR"/>
        </w:rPr>
        <w:footnoteReference w:id="22"/>
      </w:r>
      <w:r w:rsidR="00F90C57">
        <w:rPr>
          <w:i w:val="0"/>
          <w:szCs w:val="20"/>
          <w:lang w:val="es-CR"/>
        </w:rPr>
        <w:t>.</w:t>
      </w:r>
    </w:p>
    <w:p w14:paraId="677D88D4" w14:textId="77777777" w:rsidR="00D81DDA" w:rsidRPr="00E179ED" w:rsidRDefault="00D81DDA" w:rsidP="00D81DDA">
      <w:pPr>
        <w:pStyle w:val="Estilo1"/>
        <w:tabs>
          <w:tab w:val="left" w:pos="0"/>
        </w:tabs>
        <w:spacing w:after="0"/>
        <w:ind w:left="0" w:right="-4" w:firstLine="0"/>
        <w:rPr>
          <w:i w:val="0"/>
          <w:strike/>
          <w:szCs w:val="20"/>
          <w:lang w:val="es-CR"/>
        </w:rPr>
      </w:pPr>
    </w:p>
    <w:p w14:paraId="6B8DF9D9" w14:textId="77777777" w:rsidR="0049110D" w:rsidRPr="00862F96" w:rsidRDefault="0049110D" w:rsidP="001E6219">
      <w:pPr>
        <w:pStyle w:val="Heading2"/>
        <w:numPr>
          <w:ilvl w:val="0"/>
          <w:numId w:val="23"/>
        </w:numPr>
        <w:spacing w:before="0"/>
        <w:rPr>
          <w:rFonts w:ascii="Verdana" w:hAnsi="Verdana"/>
          <w:b w:val="0"/>
          <w:sz w:val="20"/>
          <w:szCs w:val="20"/>
        </w:rPr>
      </w:pPr>
      <w:bookmarkStart w:id="93" w:name="_Toc532214923"/>
      <w:r w:rsidRPr="00862F96">
        <w:rPr>
          <w:rFonts w:ascii="Verdana" w:hAnsi="Verdana"/>
          <w:color w:val="auto"/>
          <w:sz w:val="20"/>
          <w:szCs w:val="20"/>
        </w:rPr>
        <w:t>Los hechos ocurridos el 22 de agosto de 1998</w:t>
      </w:r>
      <w:bookmarkEnd w:id="93"/>
    </w:p>
    <w:p w14:paraId="40B6EDD2" w14:textId="77777777" w:rsidR="0049110D" w:rsidRPr="00532C3B" w:rsidRDefault="0049110D" w:rsidP="001E6219">
      <w:pPr>
        <w:pStyle w:val="ListParagraph"/>
        <w:tabs>
          <w:tab w:val="left" w:pos="567"/>
        </w:tabs>
        <w:autoSpaceDE w:val="0"/>
        <w:autoSpaceDN w:val="0"/>
        <w:adjustRightInd w:val="0"/>
        <w:ind w:left="0"/>
        <w:contextualSpacing w:val="0"/>
        <w:outlineLvl w:val="1"/>
        <w:rPr>
          <w:b/>
          <w:i/>
          <w:szCs w:val="20"/>
        </w:rPr>
      </w:pPr>
    </w:p>
    <w:p w14:paraId="44CE7206" w14:textId="21DF8369" w:rsidR="0049110D" w:rsidRPr="00532C3B" w:rsidRDefault="0049110D" w:rsidP="001E6219">
      <w:pPr>
        <w:pStyle w:val="Estilo1"/>
        <w:numPr>
          <w:ilvl w:val="0"/>
          <w:numId w:val="2"/>
        </w:numPr>
        <w:tabs>
          <w:tab w:val="left" w:pos="0"/>
        </w:tabs>
        <w:spacing w:after="0"/>
        <w:ind w:left="0" w:right="-4" w:firstLine="0"/>
        <w:rPr>
          <w:i w:val="0"/>
          <w:szCs w:val="20"/>
          <w:lang w:val="es-CR"/>
        </w:rPr>
      </w:pPr>
      <w:bookmarkStart w:id="94" w:name="_Toc486693371"/>
      <w:bookmarkStart w:id="95" w:name="_Toc486842787"/>
      <w:bookmarkStart w:id="96" w:name="_Toc486842925"/>
      <w:r w:rsidRPr="00532C3B">
        <w:rPr>
          <w:i w:val="0"/>
          <w:szCs w:val="20"/>
          <w:lang w:val="es-CR"/>
        </w:rPr>
        <w:t>Mirey Trueba nació en Baborigame, municipio de Guadalupe y Calvo, estado de Chihuahua. En la época de los hechos trabajaba en el rancho de su familia, la cual estaba conformada por: i) su padre José Tomás Trueba Loera</w:t>
      </w:r>
      <w:r w:rsidRPr="00532C3B">
        <w:rPr>
          <w:rStyle w:val="FootnoteReference"/>
          <w:i w:val="0"/>
          <w:lang w:val="es-CR"/>
        </w:rPr>
        <w:footnoteReference w:id="23"/>
      </w:r>
      <w:r w:rsidRPr="00532C3B">
        <w:rPr>
          <w:i w:val="0"/>
          <w:szCs w:val="20"/>
          <w:lang w:val="es-CR"/>
        </w:rPr>
        <w:t>; ii) su madre Micaela Arciniega Cevallos</w:t>
      </w:r>
      <w:r w:rsidRPr="00532C3B">
        <w:rPr>
          <w:rStyle w:val="FootnoteReference"/>
          <w:i w:val="0"/>
          <w:lang w:val="es-CR"/>
        </w:rPr>
        <w:footnoteReference w:id="24"/>
      </w:r>
      <w:r w:rsidRPr="00532C3B">
        <w:rPr>
          <w:i w:val="0"/>
          <w:szCs w:val="20"/>
          <w:lang w:val="es-CR"/>
        </w:rPr>
        <w:t>; iii) sus hermanos Vidal (fallecido), Elías, Tomás, Eleazar, Eduardo (fallecido) y Samuel, todo</w:t>
      </w:r>
      <w:r w:rsidR="00F90C57">
        <w:rPr>
          <w:i w:val="0"/>
          <w:szCs w:val="20"/>
          <w:lang w:val="es-CR"/>
        </w:rPr>
        <w:t>s de apellido Trueba Arciniega.</w:t>
      </w:r>
    </w:p>
    <w:p w14:paraId="3EF916C3" w14:textId="77777777" w:rsidR="0049110D" w:rsidRPr="00532C3B" w:rsidRDefault="0049110D" w:rsidP="001E6219">
      <w:pPr>
        <w:pStyle w:val="Estilo1"/>
        <w:tabs>
          <w:tab w:val="left" w:pos="0"/>
        </w:tabs>
        <w:spacing w:after="0"/>
        <w:ind w:left="0" w:right="-4" w:firstLine="0"/>
        <w:rPr>
          <w:i w:val="0"/>
          <w:szCs w:val="20"/>
          <w:lang w:val="es-CR"/>
        </w:rPr>
      </w:pPr>
    </w:p>
    <w:p w14:paraId="74EB14B9" w14:textId="706D1689" w:rsidR="0049110D" w:rsidRPr="00532C3B" w:rsidRDefault="0049110D" w:rsidP="001E6219">
      <w:pPr>
        <w:pStyle w:val="Estilo1"/>
        <w:numPr>
          <w:ilvl w:val="0"/>
          <w:numId w:val="2"/>
        </w:numPr>
        <w:tabs>
          <w:tab w:val="left" w:pos="0"/>
        </w:tabs>
        <w:spacing w:after="0"/>
        <w:ind w:left="0" w:right="-4" w:firstLine="0"/>
        <w:rPr>
          <w:i w:val="0"/>
          <w:szCs w:val="20"/>
          <w:lang w:val="es-CR"/>
        </w:rPr>
      </w:pPr>
      <w:r w:rsidRPr="00532C3B">
        <w:rPr>
          <w:i w:val="0"/>
          <w:szCs w:val="20"/>
          <w:lang w:val="es-CR"/>
        </w:rPr>
        <w:t>El 22 de agosto de 1998, Mirey Trueba Arciniega de 20 años de edad, se encontraba en un vehículo junto con su hermano Vidal Trueba Arciniega y su amigo Jorge Jiménez. El vehículo circulaba por una calle principal en Baborigame cuando un carro militar se ac</w:t>
      </w:r>
      <w:r w:rsidR="00F90C57">
        <w:rPr>
          <w:i w:val="0"/>
          <w:szCs w:val="20"/>
          <w:lang w:val="es-CR"/>
        </w:rPr>
        <w:t>ercó y pidió que se detuvieran.</w:t>
      </w:r>
    </w:p>
    <w:p w14:paraId="7986EDE5" w14:textId="77777777" w:rsidR="0049110D" w:rsidRPr="00532C3B" w:rsidRDefault="0049110D" w:rsidP="001E6219">
      <w:pPr>
        <w:pStyle w:val="Estilo1"/>
        <w:tabs>
          <w:tab w:val="left" w:pos="0"/>
        </w:tabs>
        <w:spacing w:after="0"/>
        <w:ind w:left="0" w:right="-4" w:firstLine="0"/>
        <w:rPr>
          <w:i w:val="0"/>
          <w:szCs w:val="20"/>
          <w:lang w:val="es-CR"/>
        </w:rPr>
      </w:pPr>
    </w:p>
    <w:p w14:paraId="48617196" w14:textId="76A451B5" w:rsidR="0049110D" w:rsidRPr="00532C3B" w:rsidRDefault="0049110D" w:rsidP="001E6219">
      <w:pPr>
        <w:pStyle w:val="Estilo1"/>
        <w:numPr>
          <w:ilvl w:val="0"/>
          <w:numId w:val="2"/>
        </w:numPr>
        <w:tabs>
          <w:tab w:val="left" w:pos="0"/>
        </w:tabs>
        <w:spacing w:after="0"/>
        <w:ind w:left="0" w:right="-4" w:firstLine="0"/>
        <w:rPr>
          <w:i w:val="0"/>
          <w:szCs w:val="20"/>
          <w:lang w:val="es-CR"/>
        </w:rPr>
      </w:pPr>
      <w:r w:rsidRPr="00532C3B">
        <w:rPr>
          <w:i w:val="0"/>
          <w:szCs w:val="20"/>
          <w:lang w:val="es-CR"/>
        </w:rPr>
        <w:t>De las declaraciones de Jorge Jiménez, quien se encontraba manejando el vehículo, se desprende que cuando detuvo el vehículo Mirey se asustó, baj</w:t>
      </w:r>
      <w:r w:rsidR="007C3009">
        <w:rPr>
          <w:i w:val="0"/>
          <w:szCs w:val="20"/>
          <w:lang w:val="es-CR"/>
        </w:rPr>
        <w:t>ó</w:t>
      </w:r>
      <w:r w:rsidRPr="00532C3B">
        <w:rPr>
          <w:i w:val="0"/>
          <w:szCs w:val="20"/>
          <w:lang w:val="es-CR"/>
        </w:rPr>
        <w:t xml:space="preserve"> y corri</w:t>
      </w:r>
      <w:r w:rsidR="007C3009">
        <w:rPr>
          <w:i w:val="0"/>
          <w:szCs w:val="20"/>
          <w:lang w:val="es-CR"/>
        </w:rPr>
        <w:t>ó</w:t>
      </w:r>
      <w:r w:rsidRPr="00532C3B">
        <w:rPr>
          <w:i w:val="0"/>
          <w:szCs w:val="20"/>
          <w:lang w:val="es-CR"/>
        </w:rPr>
        <w:t xml:space="preserve"> por atrás, </w:t>
      </w:r>
      <w:r w:rsidR="007C3009">
        <w:rPr>
          <w:i w:val="0"/>
          <w:szCs w:val="20"/>
          <w:lang w:val="es-CR"/>
        </w:rPr>
        <w:t xml:space="preserve">y un comandante </w:t>
      </w:r>
      <w:r w:rsidRPr="00532C3B">
        <w:rPr>
          <w:i w:val="0"/>
          <w:szCs w:val="20"/>
          <w:lang w:val="es-CR"/>
        </w:rPr>
        <w:t>dispar</w:t>
      </w:r>
      <w:r w:rsidR="007C3009">
        <w:rPr>
          <w:i w:val="0"/>
          <w:szCs w:val="20"/>
          <w:lang w:val="es-CR"/>
        </w:rPr>
        <w:t>ó</w:t>
      </w:r>
      <w:r w:rsidRPr="00532C3B">
        <w:rPr>
          <w:i w:val="0"/>
          <w:szCs w:val="20"/>
          <w:lang w:val="es-CR"/>
        </w:rPr>
        <w:t xml:space="preserve"> en diez o doce ocasiones</w:t>
      </w:r>
      <w:r w:rsidRPr="00532C3B">
        <w:rPr>
          <w:rStyle w:val="FootnoteReference"/>
          <w:i w:val="0"/>
          <w:lang w:val="es-CR"/>
        </w:rPr>
        <w:footnoteReference w:id="25"/>
      </w:r>
      <w:r w:rsidRPr="00532C3B">
        <w:rPr>
          <w:i w:val="0"/>
          <w:szCs w:val="20"/>
          <w:lang w:val="es-CR"/>
        </w:rPr>
        <w:t>. El hermano de Mirey, Vidal Trueba Arciniega, declaró que “al parecer tuvo miedo Mirey de los soldados, saliendo por el lado de atrás (…) y cuando pasó un puentesito (sic) de madera (…) un oficial militar (…) sacó un arma de fuego y comenzó a dispararle (…)”</w:t>
      </w:r>
      <w:r w:rsidRPr="00532C3B">
        <w:rPr>
          <w:rStyle w:val="FootnoteReference"/>
          <w:i w:val="0"/>
          <w:lang w:val="es-CR"/>
        </w:rPr>
        <w:footnoteReference w:id="26"/>
      </w:r>
      <w:r w:rsidR="00F90C57">
        <w:rPr>
          <w:i w:val="0"/>
          <w:szCs w:val="20"/>
          <w:lang w:val="es-CR"/>
        </w:rPr>
        <w:t>.</w:t>
      </w:r>
    </w:p>
    <w:p w14:paraId="5D4F6A05" w14:textId="77777777" w:rsidR="0049110D" w:rsidRPr="00532C3B" w:rsidRDefault="0049110D" w:rsidP="001E6219">
      <w:pPr>
        <w:pStyle w:val="Estilo1"/>
        <w:tabs>
          <w:tab w:val="left" w:pos="0"/>
        </w:tabs>
        <w:spacing w:after="0"/>
        <w:ind w:left="0" w:right="-4" w:firstLine="0"/>
        <w:rPr>
          <w:i w:val="0"/>
          <w:szCs w:val="20"/>
          <w:lang w:val="es-CR"/>
        </w:rPr>
      </w:pPr>
    </w:p>
    <w:p w14:paraId="4AA33C8C" w14:textId="2A434EC8" w:rsidR="0049110D" w:rsidRPr="00532C3B" w:rsidRDefault="0049110D" w:rsidP="001E6219">
      <w:pPr>
        <w:pStyle w:val="Estilo1"/>
        <w:numPr>
          <w:ilvl w:val="0"/>
          <w:numId w:val="2"/>
        </w:numPr>
        <w:tabs>
          <w:tab w:val="left" w:pos="0"/>
        </w:tabs>
        <w:spacing w:after="0"/>
        <w:ind w:left="0" w:right="-4" w:firstLine="0"/>
        <w:rPr>
          <w:i w:val="0"/>
          <w:szCs w:val="20"/>
          <w:lang w:val="es-CR"/>
        </w:rPr>
      </w:pPr>
      <w:r w:rsidRPr="00532C3B">
        <w:rPr>
          <w:i w:val="0"/>
          <w:szCs w:val="20"/>
          <w:lang w:val="es-CR"/>
        </w:rPr>
        <w:t>El Estado sostuvo que conforme a las investigaciones realizadas por las autoridades internas se determinó que las autoridades militares tenía</w:t>
      </w:r>
      <w:r w:rsidR="00666EDD">
        <w:rPr>
          <w:i w:val="0"/>
          <w:szCs w:val="20"/>
          <w:lang w:val="es-CR"/>
        </w:rPr>
        <w:t>n</w:t>
      </w:r>
      <w:r w:rsidRPr="00532C3B">
        <w:rPr>
          <w:i w:val="0"/>
          <w:szCs w:val="20"/>
          <w:lang w:val="es-CR"/>
        </w:rPr>
        <w:t xml:space="preserve"> la intención de revisar la camioneta “Pick Up”. Que al detenerse la camioneta bajaron tres civiles y a uno de ellos se </w:t>
      </w:r>
      <w:r w:rsidRPr="00532C3B">
        <w:rPr>
          <w:i w:val="0"/>
          <w:szCs w:val="20"/>
          <w:lang w:val="es-CR"/>
        </w:rPr>
        <w:lastRenderedPageBreak/>
        <w:t>le cayó “al parecer un arma” la cual recogió, y con la que caminó apresuradamente para alejarse del lugar al tiempo que expresaba “no me sigan que disparo” por lo que el teniente coronel de infantería Luis Raúl Morales Rodríguez accionó su arma de fuego</w:t>
      </w:r>
      <w:r w:rsidRPr="00532C3B">
        <w:rPr>
          <w:rStyle w:val="FootnoteReference"/>
          <w:i w:val="0"/>
          <w:lang w:val="es-CR"/>
        </w:rPr>
        <w:footnoteReference w:id="27"/>
      </w:r>
      <w:r w:rsidR="00F90C57">
        <w:rPr>
          <w:i w:val="0"/>
          <w:szCs w:val="20"/>
          <w:lang w:val="es-CR"/>
        </w:rPr>
        <w:t>.</w:t>
      </w:r>
    </w:p>
    <w:p w14:paraId="7356B4ED" w14:textId="77777777" w:rsidR="0049110D" w:rsidRPr="00532C3B" w:rsidRDefault="0049110D" w:rsidP="001E6219">
      <w:pPr>
        <w:pStyle w:val="Estilo1"/>
        <w:tabs>
          <w:tab w:val="left" w:pos="0"/>
        </w:tabs>
        <w:spacing w:after="0"/>
        <w:ind w:left="0" w:right="-4" w:firstLine="0"/>
        <w:rPr>
          <w:i w:val="0"/>
          <w:szCs w:val="20"/>
          <w:lang w:val="es-CR"/>
        </w:rPr>
      </w:pPr>
    </w:p>
    <w:p w14:paraId="6067E1C8" w14:textId="77777777" w:rsidR="0049110D" w:rsidRPr="00532C3B" w:rsidRDefault="0049110D" w:rsidP="001E6219">
      <w:pPr>
        <w:pStyle w:val="Estilo1"/>
        <w:numPr>
          <w:ilvl w:val="0"/>
          <w:numId w:val="2"/>
        </w:numPr>
        <w:tabs>
          <w:tab w:val="left" w:pos="0"/>
        </w:tabs>
        <w:spacing w:after="0"/>
        <w:ind w:left="0" w:right="-4" w:firstLine="0"/>
        <w:rPr>
          <w:i w:val="0"/>
          <w:szCs w:val="20"/>
          <w:lang w:val="es-CR"/>
        </w:rPr>
      </w:pPr>
      <w:r w:rsidRPr="00532C3B">
        <w:rPr>
          <w:i w:val="0"/>
          <w:szCs w:val="20"/>
          <w:lang w:val="es-CR"/>
        </w:rPr>
        <w:t>El Estado señaló que en el marco de dichas investigaciones se determinó que el militar que disparó nunca tuvo a la vista a Mirey Trueba, por lo que los disparos no se dirigieron a un blanco. De esta forma, el Estado sostuvo que el teniente Morales “disparó sin punto específico hacia donde huía Trueba (…) con la intención de amedrentarlo e impedir que escapara”</w:t>
      </w:r>
      <w:r w:rsidRPr="00532C3B">
        <w:rPr>
          <w:rStyle w:val="FootnoteReference"/>
          <w:i w:val="0"/>
          <w:lang w:val="es-CR"/>
        </w:rPr>
        <w:footnoteReference w:id="28"/>
      </w:r>
      <w:r w:rsidRPr="00532C3B">
        <w:rPr>
          <w:i w:val="0"/>
          <w:szCs w:val="20"/>
          <w:lang w:val="es-CR"/>
        </w:rPr>
        <w:t>. Añadió que “la oscuridad del momento hizo suponer a los militares que el señor Trueba (…) había logrado huir, por lo que determinaron darle alcance inmediatamente, encontrándolo herido de gravedad”</w:t>
      </w:r>
      <w:r w:rsidRPr="00532C3B">
        <w:rPr>
          <w:rStyle w:val="FootnoteReference"/>
          <w:i w:val="0"/>
          <w:lang w:val="es-CR"/>
        </w:rPr>
        <w:footnoteReference w:id="29"/>
      </w:r>
      <w:r w:rsidRPr="00532C3B">
        <w:rPr>
          <w:i w:val="0"/>
          <w:szCs w:val="20"/>
          <w:lang w:val="es-CR"/>
        </w:rPr>
        <w:t>.</w:t>
      </w:r>
    </w:p>
    <w:p w14:paraId="0C4D8EE6" w14:textId="77777777" w:rsidR="0049110D" w:rsidRPr="00532C3B" w:rsidRDefault="0049110D" w:rsidP="001E6219">
      <w:pPr>
        <w:pStyle w:val="Estilo1"/>
        <w:tabs>
          <w:tab w:val="left" w:pos="0"/>
        </w:tabs>
        <w:spacing w:after="0"/>
        <w:ind w:left="0" w:right="-4" w:firstLine="0"/>
        <w:rPr>
          <w:i w:val="0"/>
          <w:szCs w:val="20"/>
          <w:lang w:val="es-CR"/>
        </w:rPr>
      </w:pPr>
    </w:p>
    <w:p w14:paraId="166FCDD9" w14:textId="3897A11C" w:rsidR="0049110D" w:rsidRPr="00532C3B" w:rsidRDefault="0049110D" w:rsidP="001E6219">
      <w:pPr>
        <w:pStyle w:val="Estilo1"/>
        <w:numPr>
          <w:ilvl w:val="0"/>
          <w:numId w:val="2"/>
        </w:numPr>
        <w:tabs>
          <w:tab w:val="left" w:pos="0"/>
        </w:tabs>
        <w:spacing w:after="0"/>
        <w:ind w:left="0" w:right="-4" w:firstLine="0"/>
        <w:rPr>
          <w:i w:val="0"/>
          <w:szCs w:val="20"/>
          <w:lang w:val="es-CR"/>
        </w:rPr>
      </w:pPr>
      <w:r w:rsidRPr="00532C3B">
        <w:rPr>
          <w:i w:val="0"/>
          <w:szCs w:val="20"/>
          <w:lang w:val="es-CR"/>
        </w:rPr>
        <w:t>Vidal Trueba Arciniega y Jorge Jiménez señalaron que los soldados no hicieron nada para auxiliar a Mirey Trueba Arciniega una vez que lo hallaron herido. Manifestaron que fueron golpeados y no les fue permitido auxiliar a Mirey, quien estaba desangrándose</w:t>
      </w:r>
      <w:r w:rsidRPr="00532C3B">
        <w:rPr>
          <w:rStyle w:val="FootnoteReference"/>
          <w:i w:val="0"/>
          <w:lang w:val="es-CR"/>
        </w:rPr>
        <w:footnoteReference w:id="30"/>
      </w:r>
      <w:r w:rsidR="00F90C57">
        <w:rPr>
          <w:i w:val="0"/>
          <w:szCs w:val="20"/>
          <w:lang w:val="es-CR"/>
        </w:rPr>
        <w:t>.</w:t>
      </w:r>
    </w:p>
    <w:p w14:paraId="5A38AB76" w14:textId="77777777" w:rsidR="0049110D" w:rsidRPr="001E6219" w:rsidRDefault="0049110D" w:rsidP="001E6219">
      <w:pPr>
        <w:rPr>
          <w:szCs w:val="20"/>
          <w:lang w:val="es-CR"/>
        </w:rPr>
      </w:pPr>
    </w:p>
    <w:p w14:paraId="4B16BF75" w14:textId="336374CC" w:rsidR="0049110D" w:rsidRDefault="0049110D" w:rsidP="001E6219">
      <w:pPr>
        <w:pStyle w:val="Estilo1"/>
        <w:numPr>
          <w:ilvl w:val="0"/>
          <w:numId w:val="2"/>
        </w:numPr>
        <w:tabs>
          <w:tab w:val="left" w:pos="0"/>
        </w:tabs>
        <w:spacing w:after="0"/>
        <w:ind w:left="0" w:right="-4" w:firstLine="0"/>
        <w:rPr>
          <w:i w:val="0"/>
          <w:szCs w:val="20"/>
          <w:lang w:val="es-CR"/>
        </w:rPr>
      </w:pPr>
      <w:r w:rsidRPr="00532C3B">
        <w:rPr>
          <w:i w:val="0"/>
          <w:szCs w:val="20"/>
          <w:lang w:val="es-CR"/>
        </w:rPr>
        <w:t>Mirey Trueba Arciniega fue trasladado a una Clínica del Ejido, y según declaraciones del médico Efrén Royval Simentral, llevaba tres horas sin vida a causa de una herida en la arteria femoral</w:t>
      </w:r>
      <w:r w:rsidRPr="00532C3B">
        <w:rPr>
          <w:rStyle w:val="FootnoteReference"/>
          <w:i w:val="0"/>
          <w:lang w:val="es-CR"/>
        </w:rPr>
        <w:footnoteReference w:id="31"/>
      </w:r>
      <w:r w:rsidRPr="00532C3B">
        <w:rPr>
          <w:i w:val="0"/>
          <w:szCs w:val="20"/>
          <w:lang w:val="es-CR"/>
        </w:rPr>
        <w:t>. En el mismo sentido, el Estado indicó que el señor Trueba falleció durante su traslado hacia la Clínica</w:t>
      </w:r>
      <w:r w:rsidRPr="00532C3B">
        <w:rPr>
          <w:rStyle w:val="FootnoteReference"/>
          <w:i w:val="0"/>
          <w:lang w:val="es-CR"/>
        </w:rPr>
        <w:footnoteReference w:id="32"/>
      </w:r>
      <w:r w:rsidRPr="00532C3B">
        <w:rPr>
          <w:i w:val="0"/>
          <w:szCs w:val="20"/>
          <w:lang w:val="es-CR"/>
        </w:rPr>
        <w:t>.</w:t>
      </w:r>
    </w:p>
    <w:p w14:paraId="49DA2368" w14:textId="77777777" w:rsidR="001E6219" w:rsidRPr="00532C3B" w:rsidRDefault="001E6219" w:rsidP="001E6219">
      <w:pPr>
        <w:pStyle w:val="Estilo1"/>
        <w:tabs>
          <w:tab w:val="left" w:pos="0"/>
        </w:tabs>
        <w:spacing w:after="0"/>
        <w:ind w:left="0" w:right="-4" w:firstLine="0"/>
        <w:rPr>
          <w:i w:val="0"/>
          <w:szCs w:val="20"/>
          <w:lang w:val="es-CR"/>
        </w:rPr>
      </w:pPr>
    </w:p>
    <w:p w14:paraId="3AAAFA54" w14:textId="77777777" w:rsidR="0049110D" w:rsidRPr="00862F96" w:rsidRDefault="0049110D" w:rsidP="001E6219">
      <w:pPr>
        <w:pStyle w:val="Heading2"/>
        <w:numPr>
          <w:ilvl w:val="0"/>
          <w:numId w:val="23"/>
        </w:numPr>
        <w:spacing w:before="0"/>
        <w:rPr>
          <w:rFonts w:ascii="Verdana" w:hAnsi="Verdana"/>
          <w:b w:val="0"/>
          <w:color w:val="auto"/>
          <w:sz w:val="20"/>
          <w:szCs w:val="20"/>
        </w:rPr>
      </w:pPr>
      <w:bookmarkStart w:id="97" w:name="_Toc525713976"/>
      <w:bookmarkStart w:id="98" w:name="_Toc532214924"/>
      <w:bookmarkEnd w:id="94"/>
      <w:bookmarkEnd w:id="95"/>
      <w:bookmarkEnd w:id="96"/>
      <w:r w:rsidRPr="00862F96">
        <w:rPr>
          <w:rFonts w:ascii="Verdana" w:hAnsi="Verdana"/>
          <w:color w:val="auto"/>
          <w:sz w:val="20"/>
          <w:szCs w:val="20"/>
        </w:rPr>
        <w:t>Investigación y procedimiento judicial</w:t>
      </w:r>
      <w:bookmarkEnd w:id="97"/>
      <w:bookmarkEnd w:id="98"/>
    </w:p>
    <w:p w14:paraId="4C523A69" w14:textId="77777777" w:rsidR="0049110D" w:rsidRPr="001E6219" w:rsidRDefault="0049110D" w:rsidP="001E6219">
      <w:pPr>
        <w:pStyle w:val="ListParagraph"/>
        <w:tabs>
          <w:tab w:val="left" w:pos="567"/>
        </w:tabs>
        <w:autoSpaceDE w:val="0"/>
        <w:autoSpaceDN w:val="0"/>
        <w:adjustRightInd w:val="0"/>
        <w:ind w:left="0"/>
        <w:contextualSpacing w:val="0"/>
        <w:outlineLvl w:val="1"/>
        <w:rPr>
          <w:szCs w:val="20"/>
        </w:rPr>
      </w:pPr>
    </w:p>
    <w:p w14:paraId="0997BC71" w14:textId="01D43F1A" w:rsidR="0049110D" w:rsidRPr="00532C3B" w:rsidRDefault="0049110D" w:rsidP="001E6219">
      <w:pPr>
        <w:pStyle w:val="Estilo1"/>
        <w:numPr>
          <w:ilvl w:val="0"/>
          <w:numId w:val="2"/>
        </w:numPr>
        <w:tabs>
          <w:tab w:val="left" w:pos="0"/>
        </w:tabs>
        <w:spacing w:after="0"/>
        <w:ind w:left="0" w:right="-4" w:firstLine="0"/>
        <w:rPr>
          <w:i w:val="0"/>
          <w:szCs w:val="20"/>
          <w:lang w:val="es-ES"/>
        </w:rPr>
      </w:pPr>
      <w:r w:rsidRPr="00532C3B">
        <w:rPr>
          <w:i w:val="0"/>
          <w:szCs w:val="20"/>
          <w:lang w:val="es-CR"/>
        </w:rPr>
        <w:t>El</w:t>
      </w:r>
      <w:r w:rsidRPr="00532C3B">
        <w:rPr>
          <w:i w:val="0"/>
          <w:szCs w:val="20"/>
          <w:lang w:val="es-ES"/>
        </w:rPr>
        <w:t xml:space="preserve"> 22 de agosto de 1998 el señor Tomás Trueba Loera, padre de Mirey Trueba Arciniega, presentó una denuncia ante el Ministerio Público de Baborigame</w:t>
      </w:r>
      <w:r w:rsidR="00535670">
        <w:rPr>
          <w:i w:val="0"/>
          <w:szCs w:val="20"/>
          <w:lang w:val="es-ES"/>
        </w:rPr>
        <w:t>, Chihuahua</w:t>
      </w:r>
      <w:r w:rsidRPr="00532C3B">
        <w:rPr>
          <w:i w:val="0"/>
          <w:szCs w:val="20"/>
          <w:lang w:val="es-ES"/>
        </w:rPr>
        <w:t>. El mismo día inició la averiguación previa No. 23/98</w:t>
      </w:r>
      <w:r w:rsidRPr="00532C3B">
        <w:rPr>
          <w:rStyle w:val="FootnoteReference"/>
          <w:i w:val="0"/>
          <w:lang w:val="es-ES"/>
        </w:rPr>
        <w:footnoteReference w:id="33"/>
      </w:r>
      <w:r w:rsidRPr="00532C3B">
        <w:rPr>
          <w:i w:val="0"/>
          <w:szCs w:val="20"/>
          <w:lang w:val="es-ES"/>
        </w:rPr>
        <w:t>. El Subagente del Ministerio Público realizó la inspección ocular del cuerpo del señor Trueba y determinó la presencia de una herida con arma de fuego</w:t>
      </w:r>
      <w:r w:rsidRPr="00532C3B">
        <w:rPr>
          <w:rStyle w:val="FootnoteReference"/>
          <w:i w:val="0"/>
          <w:lang w:val="es-ES"/>
        </w:rPr>
        <w:footnoteReference w:id="34"/>
      </w:r>
      <w:r w:rsidRPr="00532C3B">
        <w:rPr>
          <w:i w:val="0"/>
          <w:szCs w:val="20"/>
          <w:lang w:val="es-ES"/>
        </w:rPr>
        <w:t>. El Ministerio Público también realizó una inspección ocular en el lugar de los hechos, donde se encontraron once casquillos de arma de fuego, y tomaron las declaraciones de Vidal Trueba y Jorge Jiménez</w:t>
      </w:r>
      <w:r w:rsidRPr="00532C3B">
        <w:rPr>
          <w:rStyle w:val="FootnoteReference"/>
          <w:i w:val="0"/>
          <w:lang w:val="es-ES"/>
        </w:rPr>
        <w:footnoteReference w:id="35"/>
      </w:r>
      <w:r w:rsidRPr="00532C3B">
        <w:rPr>
          <w:i w:val="0"/>
          <w:szCs w:val="20"/>
          <w:lang w:val="es-ES"/>
        </w:rPr>
        <w:t xml:space="preserve">. </w:t>
      </w:r>
      <w:r w:rsidR="00535670">
        <w:rPr>
          <w:i w:val="0"/>
          <w:szCs w:val="20"/>
          <w:lang w:val="es-ES"/>
        </w:rPr>
        <w:t xml:space="preserve">Los peticionarios agregaron que el capitán Job Edilberto García declaró que “se percató que el herido no tenía arma alguna, y </w:t>
      </w:r>
      <w:r w:rsidR="00535670">
        <w:rPr>
          <w:i w:val="0"/>
          <w:szCs w:val="20"/>
          <w:lang w:val="es-ES"/>
        </w:rPr>
        <w:lastRenderedPageBreak/>
        <w:t>asimismo, en las inmediaciones del lugar no se encontró ninguna (sic) arma”</w:t>
      </w:r>
      <w:r w:rsidR="00535670">
        <w:rPr>
          <w:rStyle w:val="FootnoteReference"/>
          <w:i w:val="0"/>
          <w:lang w:val="es-ES"/>
        </w:rPr>
        <w:footnoteReference w:id="36"/>
      </w:r>
      <w:r w:rsidR="00535670">
        <w:rPr>
          <w:i w:val="0"/>
          <w:szCs w:val="20"/>
          <w:lang w:val="es-ES"/>
        </w:rPr>
        <w:t xml:space="preserve">. </w:t>
      </w:r>
      <w:r w:rsidRPr="00532C3B">
        <w:rPr>
          <w:i w:val="0"/>
          <w:szCs w:val="20"/>
          <w:lang w:val="es-ES"/>
        </w:rPr>
        <w:t>El Ministerio Público también acudió a tomar la declaración del teniente coronel Luis Raúl Morales Rodríguez, presunto responsable de realizar los disparos</w:t>
      </w:r>
      <w:r w:rsidRPr="00532C3B">
        <w:rPr>
          <w:rStyle w:val="FootnoteReference"/>
          <w:i w:val="0"/>
          <w:lang w:val="es-ES"/>
        </w:rPr>
        <w:footnoteReference w:id="37"/>
      </w:r>
      <w:r w:rsidRPr="00532C3B">
        <w:rPr>
          <w:i w:val="0"/>
          <w:szCs w:val="20"/>
          <w:lang w:val="es-ES"/>
        </w:rPr>
        <w:t>. Dicha persona había sido puesta a disposición del Ministerio Público Militar, en donde se inició una averiguación previa en dicha jurisdicción</w:t>
      </w:r>
      <w:r w:rsidRPr="00532C3B">
        <w:rPr>
          <w:rStyle w:val="FootnoteReference"/>
          <w:i w:val="0"/>
          <w:lang w:val="es-ES"/>
        </w:rPr>
        <w:footnoteReference w:id="38"/>
      </w:r>
      <w:r w:rsidRPr="00532C3B">
        <w:rPr>
          <w:i w:val="0"/>
          <w:szCs w:val="20"/>
          <w:lang w:val="es-ES"/>
        </w:rPr>
        <w:t>.</w:t>
      </w:r>
    </w:p>
    <w:p w14:paraId="1D24FCEA" w14:textId="77777777" w:rsidR="0049110D" w:rsidRPr="00532C3B" w:rsidRDefault="0049110D" w:rsidP="001E6219">
      <w:pPr>
        <w:pStyle w:val="Estilo1"/>
        <w:tabs>
          <w:tab w:val="left" w:pos="0"/>
        </w:tabs>
        <w:spacing w:after="0"/>
        <w:ind w:left="0" w:right="-4" w:firstLine="0"/>
        <w:rPr>
          <w:i w:val="0"/>
          <w:szCs w:val="20"/>
          <w:lang w:val="es-ES"/>
        </w:rPr>
      </w:pPr>
    </w:p>
    <w:p w14:paraId="2F0769E3" w14:textId="2F65FC3D" w:rsidR="0049110D" w:rsidRPr="00532C3B" w:rsidRDefault="0049110D" w:rsidP="001E6219">
      <w:pPr>
        <w:pStyle w:val="Estilo1"/>
        <w:numPr>
          <w:ilvl w:val="0"/>
          <w:numId w:val="2"/>
        </w:numPr>
        <w:tabs>
          <w:tab w:val="left" w:pos="0"/>
        </w:tabs>
        <w:spacing w:after="0"/>
        <w:ind w:left="0" w:right="-4" w:firstLine="0"/>
        <w:rPr>
          <w:i w:val="0"/>
          <w:szCs w:val="20"/>
          <w:lang w:val="es-ES"/>
        </w:rPr>
      </w:pPr>
      <w:r w:rsidRPr="00532C3B">
        <w:rPr>
          <w:i w:val="0"/>
          <w:szCs w:val="20"/>
          <w:lang w:val="es-ES"/>
        </w:rPr>
        <w:t>El 24 de agosto de 1998 el Ministerio Público Militar resolvió ejercer la acción penal en contra del teniente coronel Luis Raúl Morales Rodríguez como probable responsable del delito de homicidio conforme a los artículos 192 y 193 del Código Penal para el estado de Chihuahua, en relación con el artículo 57 del Código de Justicia Militar</w:t>
      </w:r>
      <w:r w:rsidRPr="00532C3B">
        <w:rPr>
          <w:rStyle w:val="FootnoteReference"/>
          <w:i w:val="0"/>
          <w:lang w:val="es-ES"/>
        </w:rPr>
        <w:footnoteReference w:id="39"/>
      </w:r>
      <w:r w:rsidRPr="00532C3B">
        <w:rPr>
          <w:i w:val="0"/>
          <w:szCs w:val="20"/>
          <w:lang w:val="es-ES"/>
        </w:rPr>
        <w:t>. El 30 de agosto de 1998 el Ministerio Público de la jurisdicción ordinaria declinó la competencia del caso y trasladó el expediente al Juez Militar adscrito a la Tercera Región Militar en Mazatlán Sinaloa con fundamento en el artículo 57 del Código de Justicia Militar. El mismo día, dicho juez inició la causa penal no. 3979/98 y dictó auto de formal prisión en contra del señor Luis Raúl Morales Rodríguez</w:t>
      </w:r>
      <w:r w:rsidRPr="00532C3B">
        <w:rPr>
          <w:rStyle w:val="FootnoteReference"/>
          <w:i w:val="0"/>
          <w:lang w:val="es-ES"/>
        </w:rPr>
        <w:footnoteReference w:id="40"/>
      </w:r>
      <w:r w:rsidR="00535670">
        <w:rPr>
          <w:i w:val="0"/>
          <w:szCs w:val="20"/>
          <w:lang w:val="es-ES"/>
        </w:rPr>
        <w:t>.</w:t>
      </w:r>
    </w:p>
    <w:p w14:paraId="4A75EAE0" w14:textId="77777777" w:rsidR="0049110D" w:rsidRPr="00532C3B" w:rsidRDefault="0049110D" w:rsidP="001E6219">
      <w:pPr>
        <w:pStyle w:val="Estilo1"/>
        <w:tabs>
          <w:tab w:val="left" w:pos="0"/>
        </w:tabs>
        <w:spacing w:after="0"/>
        <w:ind w:left="0" w:right="-4" w:firstLine="0"/>
        <w:rPr>
          <w:i w:val="0"/>
          <w:szCs w:val="20"/>
          <w:lang w:val="es-ES"/>
        </w:rPr>
      </w:pPr>
    </w:p>
    <w:p w14:paraId="28C0832B" w14:textId="7E447E2B" w:rsidR="0049110D" w:rsidRPr="00532C3B" w:rsidRDefault="0049110D" w:rsidP="001E6219">
      <w:pPr>
        <w:pStyle w:val="Estilo1"/>
        <w:numPr>
          <w:ilvl w:val="0"/>
          <w:numId w:val="2"/>
        </w:numPr>
        <w:tabs>
          <w:tab w:val="left" w:pos="0"/>
        </w:tabs>
        <w:spacing w:after="0"/>
        <w:ind w:left="0" w:right="-4" w:firstLine="0"/>
        <w:rPr>
          <w:i w:val="0"/>
          <w:szCs w:val="20"/>
          <w:lang w:val="es-ES"/>
        </w:rPr>
      </w:pPr>
      <w:r w:rsidRPr="00532C3B">
        <w:rPr>
          <w:i w:val="0"/>
          <w:szCs w:val="20"/>
          <w:lang w:val="es-ES"/>
        </w:rPr>
        <w:t>El 2 de septiembre de 1998 Tomás Trueba solicitó la intervención de la Comisión Nacional de Derechos Humanos (en adelante “CNDH”) para la investigación de los hechos</w:t>
      </w:r>
      <w:r w:rsidRPr="00532C3B">
        <w:rPr>
          <w:rStyle w:val="FootnoteReference"/>
          <w:i w:val="0"/>
          <w:lang w:val="es-ES"/>
        </w:rPr>
        <w:footnoteReference w:id="41"/>
      </w:r>
      <w:r w:rsidRPr="00532C3B">
        <w:rPr>
          <w:i w:val="0"/>
          <w:szCs w:val="20"/>
          <w:lang w:val="es-ES"/>
        </w:rPr>
        <w:t>. El 30 de noviembre de 1998, la CNDH indicó que la situación era de naturaleza jurisdiccional y correspondía a la jurisdicción penal resolver la culpabilidad del presunto culpable</w:t>
      </w:r>
      <w:r w:rsidRPr="00532C3B">
        <w:rPr>
          <w:rStyle w:val="FootnoteReference"/>
          <w:i w:val="0"/>
          <w:lang w:val="es-ES"/>
        </w:rPr>
        <w:footnoteReference w:id="42"/>
      </w:r>
      <w:r w:rsidRPr="00532C3B">
        <w:rPr>
          <w:i w:val="0"/>
          <w:szCs w:val="20"/>
          <w:lang w:val="es-ES"/>
        </w:rPr>
        <w:t>. Los peticionarios hicieron notar que desde el inicio del proceso en la jurisdicción penal militar les fue negado a los familiares del señor Mirey Trueba Arciniega el acceso a información sobre el estado de la causa, aunado a que el juzgado donde se tramitó la causa se encontraba a treinta horas de su lugar de residencia</w:t>
      </w:r>
      <w:r w:rsidRPr="00532C3B">
        <w:rPr>
          <w:rStyle w:val="FootnoteReference"/>
          <w:i w:val="0"/>
          <w:lang w:val="es-ES"/>
        </w:rPr>
        <w:footnoteReference w:id="43"/>
      </w:r>
      <w:r w:rsidR="00535670">
        <w:rPr>
          <w:i w:val="0"/>
          <w:szCs w:val="20"/>
          <w:lang w:val="es-ES"/>
        </w:rPr>
        <w:t>.</w:t>
      </w:r>
    </w:p>
    <w:p w14:paraId="7C74E2C2" w14:textId="77777777" w:rsidR="0049110D" w:rsidRPr="00532C3B" w:rsidRDefault="0049110D" w:rsidP="001E6219">
      <w:pPr>
        <w:pStyle w:val="Estilo1"/>
        <w:tabs>
          <w:tab w:val="left" w:pos="0"/>
        </w:tabs>
        <w:spacing w:after="0"/>
        <w:ind w:left="0" w:right="-4" w:firstLine="0"/>
        <w:rPr>
          <w:i w:val="0"/>
          <w:szCs w:val="20"/>
          <w:lang w:val="es-ES"/>
        </w:rPr>
      </w:pPr>
    </w:p>
    <w:p w14:paraId="2B2C1A06" w14:textId="49A5D98A" w:rsidR="0049110D" w:rsidRPr="00532C3B" w:rsidRDefault="0049110D" w:rsidP="001E6219">
      <w:pPr>
        <w:pStyle w:val="Estilo1"/>
        <w:numPr>
          <w:ilvl w:val="0"/>
          <w:numId w:val="2"/>
        </w:numPr>
        <w:tabs>
          <w:tab w:val="left" w:pos="0"/>
        </w:tabs>
        <w:spacing w:after="0"/>
        <w:ind w:left="0" w:right="-4" w:firstLine="0"/>
        <w:rPr>
          <w:i w:val="0"/>
          <w:szCs w:val="20"/>
          <w:lang w:val="es-ES"/>
        </w:rPr>
      </w:pPr>
      <w:r w:rsidRPr="00532C3B">
        <w:rPr>
          <w:i w:val="0"/>
          <w:szCs w:val="20"/>
          <w:lang w:val="es-ES"/>
        </w:rPr>
        <w:t>Frente a las quejas de los representantes de las víctimas, el Ministerio Público Militar rem</w:t>
      </w:r>
      <w:r w:rsidR="001E6219">
        <w:rPr>
          <w:i w:val="0"/>
          <w:szCs w:val="20"/>
          <w:lang w:val="es-ES"/>
        </w:rPr>
        <w:t>itió a los familiares a la CNDH</w:t>
      </w:r>
      <w:r w:rsidR="00535670">
        <w:rPr>
          <w:rStyle w:val="FootnoteReference"/>
          <w:i w:val="0"/>
          <w:lang w:val="es-ES"/>
        </w:rPr>
        <w:footnoteReference w:id="44"/>
      </w:r>
      <w:r w:rsidR="001E6219" w:rsidRPr="001E6219">
        <w:rPr>
          <w:i w:val="0"/>
          <w:szCs w:val="20"/>
          <w:lang w:val="es-ES"/>
        </w:rPr>
        <w:t>.</w:t>
      </w:r>
      <w:r w:rsidRPr="001E6219">
        <w:rPr>
          <w:i w:val="0"/>
          <w:szCs w:val="20"/>
          <w:lang w:val="es-ES"/>
        </w:rPr>
        <w:t xml:space="preserve"> </w:t>
      </w:r>
      <w:r w:rsidRPr="00532C3B">
        <w:rPr>
          <w:i w:val="0"/>
          <w:szCs w:val="20"/>
          <w:lang w:val="es-ES"/>
        </w:rPr>
        <w:t>El 22 de febrero de 2000 el Juez militar que conocía la causa, dictó sentencia condenatoria a Luis Raúl Morales Rodríguez por el delito de homicidio simple intencional en perjuicio de Mirey Trueba Arciniega, imponiendo una pena de ocho años de prisión ordinaria e inhabilitación para reingresar al Ejército por ocho años</w:t>
      </w:r>
      <w:r w:rsidRPr="00532C3B">
        <w:rPr>
          <w:rStyle w:val="FootnoteReference"/>
          <w:i w:val="0"/>
          <w:lang w:val="es-ES"/>
        </w:rPr>
        <w:footnoteReference w:id="45"/>
      </w:r>
      <w:r w:rsidR="00E50B09" w:rsidRPr="00E50B09">
        <w:rPr>
          <w:i w:val="0"/>
          <w:szCs w:val="20"/>
          <w:lang w:val="es-ES"/>
        </w:rPr>
        <w:t>.</w:t>
      </w:r>
    </w:p>
    <w:p w14:paraId="55EF2115" w14:textId="77777777" w:rsidR="0049110D" w:rsidRPr="00532C3B" w:rsidRDefault="0049110D" w:rsidP="001E6219">
      <w:pPr>
        <w:pStyle w:val="Estilo1"/>
        <w:tabs>
          <w:tab w:val="left" w:pos="0"/>
        </w:tabs>
        <w:spacing w:after="0"/>
        <w:ind w:left="0" w:right="-4" w:firstLine="0"/>
        <w:rPr>
          <w:i w:val="0"/>
          <w:szCs w:val="20"/>
          <w:lang w:val="es-ES"/>
        </w:rPr>
      </w:pPr>
    </w:p>
    <w:p w14:paraId="51D518B7" w14:textId="46229FD2" w:rsidR="0049110D" w:rsidRPr="00532C3B" w:rsidRDefault="0049110D" w:rsidP="001E6219">
      <w:pPr>
        <w:pStyle w:val="Estilo1"/>
        <w:numPr>
          <w:ilvl w:val="0"/>
          <w:numId w:val="2"/>
        </w:numPr>
        <w:tabs>
          <w:tab w:val="left" w:pos="0"/>
        </w:tabs>
        <w:spacing w:after="0"/>
        <w:ind w:left="0" w:right="-4" w:firstLine="0"/>
        <w:rPr>
          <w:i w:val="0"/>
          <w:szCs w:val="20"/>
          <w:lang w:val="es-ES"/>
        </w:rPr>
      </w:pPr>
      <w:r w:rsidRPr="00532C3B">
        <w:rPr>
          <w:i w:val="0"/>
          <w:szCs w:val="20"/>
          <w:lang w:val="es-ES"/>
        </w:rPr>
        <w:lastRenderedPageBreak/>
        <w:t>El 19 de enero de 2001 el Supremo Tribunal Militar resolvió el recurso de apelación interpuesto en contra de la sentencia condenatoria. En la sentencia, se condenó al señor Luis Raúl Morales Rodríguez como autor material e involuntario del delito de homicidio culposo por lo que la sentencia se modificó a un año, once meses y quince días de prisión ordinaria. Así, se ordenó la libertad del señor Morales debido a que ya había purgado dicho tiempo en prisión</w:t>
      </w:r>
      <w:r w:rsidRPr="00532C3B">
        <w:rPr>
          <w:rStyle w:val="FootnoteReference"/>
          <w:i w:val="0"/>
          <w:lang w:val="es-ES"/>
        </w:rPr>
        <w:footnoteReference w:id="46"/>
      </w:r>
      <w:r w:rsidRPr="00532C3B">
        <w:rPr>
          <w:i w:val="0"/>
          <w:szCs w:val="20"/>
          <w:lang w:val="es-ES"/>
        </w:rPr>
        <w:t>. El Supremo Tribunal Militar determinó que “(…) la conducta desplegada de parte de (…) Luis Raúl Morales Rodríguez fue sin la intención de causar daño alguno (…) disparó su arma en la forma ya mencionada lo que trajo como resultado la privación de la vida por lo demás imprudencial al civil Mirey Trueba Arciniega”</w:t>
      </w:r>
      <w:r w:rsidRPr="00532C3B">
        <w:rPr>
          <w:rStyle w:val="FootnoteReference"/>
          <w:i w:val="0"/>
          <w:lang w:val="es-ES"/>
        </w:rPr>
        <w:footnoteReference w:id="47"/>
      </w:r>
      <w:r w:rsidRPr="00532C3B">
        <w:rPr>
          <w:i w:val="0"/>
          <w:szCs w:val="20"/>
          <w:lang w:val="es-ES"/>
        </w:rPr>
        <w:t>.</w:t>
      </w:r>
    </w:p>
    <w:p w14:paraId="77220882" w14:textId="77777777" w:rsidR="0049110D" w:rsidRPr="00532C3B" w:rsidRDefault="0049110D" w:rsidP="001E6219">
      <w:pPr>
        <w:pStyle w:val="Estilo1"/>
        <w:tabs>
          <w:tab w:val="left" w:pos="0"/>
        </w:tabs>
        <w:spacing w:after="0"/>
        <w:ind w:left="0" w:right="-4" w:firstLine="0"/>
        <w:rPr>
          <w:i w:val="0"/>
          <w:szCs w:val="20"/>
          <w:lang w:val="es-ES"/>
        </w:rPr>
      </w:pPr>
    </w:p>
    <w:p w14:paraId="6FAD4FDF" w14:textId="101BE302" w:rsidR="0049110D" w:rsidRPr="00532C3B" w:rsidRDefault="0049110D" w:rsidP="001E6219">
      <w:pPr>
        <w:pStyle w:val="Estilo1"/>
        <w:numPr>
          <w:ilvl w:val="0"/>
          <w:numId w:val="2"/>
        </w:numPr>
        <w:tabs>
          <w:tab w:val="left" w:pos="0"/>
        </w:tabs>
        <w:spacing w:after="0"/>
        <w:ind w:left="0" w:right="-4" w:firstLine="0"/>
        <w:rPr>
          <w:i w:val="0"/>
          <w:szCs w:val="20"/>
          <w:lang w:val="es-ES"/>
        </w:rPr>
      </w:pPr>
      <w:r w:rsidRPr="00532C3B">
        <w:rPr>
          <w:i w:val="0"/>
          <w:szCs w:val="20"/>
          <w:lang w:val="es-ES"/>
        </w:rPr>
        <w:t>El 17 de septiembre de 2002 se firmó un convenio entre los representantes de la Secretaría de la Defensa Nacional y José Tomás Trueba Loera en el que se brindó una indemnización por reparación del daño moral y material por la cantidad de $117,822.00 (ciento diecisiete mil ochocientos veintidós pesos 00/100 M.N.). Asimismo, el convenio estableció que el señor Trueba Loera “recibe a su entera satisfacción la cantidad indicada (…) dándose por pagada la indemnización (…) por lo que no se reserva ninguna acción civil presente y futura en contra del Estado (…) sin perjuicio de la responsabilidad penal de los probables responsables que actualmente se encuentren sujetos a proceso penal”</w:t>
      </w:r>
      <w:r w:rsidRPr="00532C3B">
        <w:rPr>
          <w:rStyle w:val="FootnoteReference"/>
          <w:i w:val="0"/>
          <w:lang w:val="es-ES"/>
        </w:rPr>
        <w:footnoteReference w:id="48"/>
      </w:r>
      <w:r w:rsidR="00535670">
        <w:rPr>
          <w:i w:val="0"/>
          <w:szCs w:val="20"/>
          <w:lang w:val="es-ES"/>
        </w:rPr>
        <w:t>.</w:t>
      </w:r>
    </w:p>
    <w:p w14:paraId="66DE0663" w14:textId="77777777" w:rsidR="0049110D" w:rsidRPr="00532C3B" w:rsidRDefault="0049110D" w:rsidP="001E6219">
      <w:pPr>
        <w:pStyle w:val="ListParagraph"/>
        <w:rPr>
          <w:i/>
          <w:szCs w:val="20"/>
          <w:lang w:val="es-ES"/>
        </w:rPr>
      </w:pPr>
    </w:p>
    <w:p w14:paraId="438B83A8" w14:textId="063A46E7" w:rsidR="00104683" w:rsidRDefault="0049110D" w:rsidP="001E6219">
      <w:pPr>
        <w:pStyle w:val="Estilo1"/>
        <w:numPr>
          <w:ilvl w:val="0"/>
          <w:numId w:val="2"/>
        </w:numPr>
        <w:tabs>
          <w:tab w:val="left" w:pos="0"/>
        </w:tabs>
        <w:spacing w:after="0"/>
        <w:ind w:left="0" w:right="-4" w:firstLine="0"/>
        <w:rPr>
          <w:i w:val="0"/>
          <w:szCs w:val="20"/>
          <w:lang w:val="es-ES"/>
        </w:rPr>
      </w:pPr>
      <w:r w:rsidRPr="00532C3B">
        <w:rPr>
          <w:i w:val="0"/>
          <w:szCs w:val="20"/>
          <w:lang w:val="es-ES"/>
        </w:rPr>
        <w:t>La sentencia del Supremo Tribunal Militar de 19 de enero de 2001 quedó en firme</w:t>
      </w:r>
      <w:r w:rsidRPr="00532C3B">
        <w:rPr>
          <w:rStyle w:val="FootnoteReference"/>
          <w:i w:val="0"/>
          <w:lang w:val="es-ES"/>
        </w:rPr>
        <w:footnoteReference w:id="49"/>
      </w:r>
      <w:r w:rsidRPr="00532C3B">
        <w:rPr>
          <w:i w:val="0"/>
          <w:szCs w:val="20"/>
          <w:lang w:val="es-ES"/>
        </w:rPr>
        <w:t xml:space="preserve">. La Comisión manifestó que no cuenta con información sobre otras investigaciones relacionadas con la atención médica que pudo recibir </w:t>
      </w:r>
      <w:r w:rsidR="00535670">
        <w:rPr>
          <w:i w:val="0"/>
          <w:szCs w:val="20"/>
          <w:lang w:val="es-ES"/>
        </w:rPr>
        <w:t>el señor Mirey Trueba Arciniega</w:t>
      </w:r>
      <w:r w:rsidRPr="00532C3B">
        <w:rPr>
          <w:i w:val="0"/>
          <w:szCs w:val="20"/>
          <w:lang w:val="es-ES"/>
        </w:rPr>
        <w:t>.</w:t>
      </w:r>
    </w:p>
    <w:p w14:paraId="60181D38" w14:textId="12A1CEB2" w:rsidR="00104683" w:rsidRDefault="00162FA4" w:rsidP="00236DD1">
      <w:pPr>
        <w:pStyle w:val="Heading1"/>
      </w:pPr>
      <w:bookmarkStart w:id="99" w:name="_Toc486693391"/>
      <w:bookmarkStart w:id="100" w:name="_Toc486842811"/>
      <w:bookmarkStart w:id="101" w:name="_Toc486842945"/>
      <w:bookmarkStart w:id="102" w:name="_Toc525713986"/>
      <w:bookmarkStart w:id="103" w:name="_Toc532214925"/>
      <w:r>
        <w:rPr>
          <w:rFonts w:cs="Arial"/>
          <w:caps w:val="0"/>
        </w:rPr>
        <w:t>VI</w:t>
      </w:r>
      <w:r w:rsidR="00104683" w:rsidRPr="00532C3B">
        <w:rPr>
          <w:rFonts w:cs="Arial"/>
          <w:caps w:val="0"/>
          <w:color w:val="FFFFFF" w:themeColor="background1"/>
        </w:rPr>
        <w:t>.</w:t>
      </w:r>
      <w:r w:rsidR="00104683" w:rsidRPr="00532C3B">
        <w:rPr>
          <w:rFonts w:cs="Arial"/>
          <w:caps w:val="0"/>
        </w:rPr>
        <w:br/>
      </w:r>
      <w:bookmarkStart w:id="104" w:name="_Toc470000720"/>
      <w:bookmarkEnd w:id="99"/>
      <w:bookmarkEnd w:id="100"/>
      <w:bookmarkEnd w:id="101"/>
      <w:r w:rsidR="00104683" w:rsidRPr="00532C3B">
        <w:t>HOMOLOGACIÓN</w:t>
      </w:r>
      <w:bookmarkEnd w:id="104"/>
      <w:r w:rsidR="00104683" w:rsidRPr="00532C3B">
        <w:t xml:space="preserve"> DEL ACUERDO DE SOLUCIÓN AMISTOSA</w:t>
      </w:r>
      <w:bookmarkEnd w:id="102"/>
      <w:bookmarkEnd w:id="103"/>
    </w:p>
    <w:p w14:paraId="1825DBDE" w14:textId="1606617A" w:rsidR="00104683" w:rsidRPr="00532C3B" w:rsidRDefault="00104683" w:rsidP="001E6219">
      <w:pPr>
        <w:pStyle w:val="Estilo1"/>
        <w:numPr>
          <w:ilvl w:val="0"/>
          <w:numId w:val="2"/>
        </w:numPr>
        <w:tabs>
          <w:tab w:val="left" w:pos="0"/>
        </w:tabs>
        <w:spacing w:after="0"/>
        <w:ind w:left="0" w:right="-4" w:firstLine="0"/>
        <w:rPr>
          <w:i w:val="0"/>
          <w:szCs w:val="20"/>
          <w:lang w:val="es-ES"/>
        </w:rPr>
      </w:pPr>
      <w:r w:rsidRPr="00532C3B">
        <w:rPr>
          <w:i w:val="0"/>
          <w:szCs w:val="20"/>
          <w:lang w:val="es-ES"/>
        </w:rPr>
        <w:t>Como ya se ha adelantado, los términos del Acuerdo incluyen un reconocimiento efectuado por el Estado respecto de las violaciones a los derechos humanos indicadas por la Comisión Interamericana en el Informe de Fondo (</w:t>
      </w:r>
      <w:r w:rsidRPr="00AD20EE">
        <w:rPr>
          <w:szCs w:val="20"/>
          <w:lang w:val="es-ES"/>
        </w:rPr>
        <w:t>supra</w:t>
      </w:r>
      <w:r w:rsidR="00AD20EE">
        <w:rPr>
          <w:i w:val="0"/>
          <w:szCs w:val="20"/>
          <w:lang w:val="es-ES"/>
        </w:rPr>
        <w:t xml:space="preserve"> párr. </w:t>
      </w:r>
      <w:r w:rsidR="00956F8B">
        <w:rPr>
          <w:i w:val="0"/>
          <w:szCs w:val="20"/>
          <w:lang w:val="es-ES"/>
        </w:rPr>
        <w:t>18</w:t>
      </w:r>
      <w:r w:rsidRPr="00532C3B">
        <w:rPr>
          <w:i w:val="0"/>
          <w:szCs w:val="20"/>
          <w:lang w:val="es-ES"/>
        </w:rPr>
        <w:t>). En razón de lo anterior, la Corte considera que ha cesado la controversia sobre los hechos (</w:t>
      </w:r>
      <w:r w:rsidRPr="00AD20EE">
        <w:rPr>
          <w:szCs w:val="20"/>
          <w:lang w:val="es-ES"/>
        </w:rPr>
        <w:t>supra</w:t>
      </w:r>
      <w:r w:rsidR="00AD20EE">
        <w:rPr>
          <w:i w:val="0"/>
          <w:szCs w:val="20"/>
          <w:lang w:val="es-ES"/>
        </w:rPr>
        <w:t xml:space="preserve"> párr. 20</w:t>
      </w:r>
      <w:r w:rsidRPr="00532C3B">
        <w:rPr>
          <w:i w:val="0"/>
          <w:szCs w:val="20"/>
          <w:lang w:val="es-ES"/>
        </w:rPr>
        <w:t>). Asimismo, este Tribunal entiende que ha cesado la controversia sobre los argumentos relativos a las violaciones de los derechos consagrados en los artículos 4.1 (derecho a la vida) y 5.1 (derecho a la integridad personal) de la Convención Americana en relación con el artículo 1.1 y 2 del mismo instrumento internacional, en perjuicio de Mirey Trueba Arciniega; y sobre los artículos 5.1 (derecho a la integridad personal), 8.1 y 25.1 (derechos a las garantías judiciales y la protección judicial), de los familiares de Mirey Trueba</w:t>
      </w:r>
      <w:r w:rsidR="009F0E1A">
        <w:rPr>
          <w:rStyle w:val="FootnoteReference"/>
          <w:i w:val="0"/>
          <w:lang w:val="es-ES"/>
        </w:rPr>
        <w:footnoteReference w:id="50"/>
      </w:r>
      <w:r w:rsidRPr="00532C3B">
        <w:rPr>
          <w:i w:val="0"/>
          <w:szCs w:val="20"/>
        </w:rPr>
        <w:t>.</w:t>
      </w:r>
    </w:p>
    <w:p w14:paraId="5CBCE369" w14:textId="77777777" w:rsidR="00A73AFA" w:rsidRPr="00532C3B" w:rsidRDefault="00A73AFA" w:rsidP="001E6219">
      <w:pPr>
        <w:pStyle w:val="Estilo1"/>
        <w:tabs>
          <w:tab w:val="left" w:pos="0"/>
        </w:tabs>
        <w:spacing w:after="0"/>
        <w:ind w:left="0" w:right="-4" w:firstLine="0"/>
        <w:rPr>
          <w:i w:val="0"/>
          <w:szCs w:val="20"/>
          <w:lang w:val="es-ES"/>
        </w:rPr>
      </w:pPr>
    </w:p>
    <w:p w14:paraId="04E74A18" w14:textId="2146D039" w:rsidR="00A73AFA" w:rsidRPr="00532C3B" w:rsidRDefault="00104683" w:rsidP="001E6219">
      <w:pPr>
        <w:pStyle w:val="Estilo1"/>
        <w:numPr>
          <w:ilvl w:val="0"/>
          <w:numId w:val="2"/>
        </w:numPr>
        <w:tabs>
          <w:tab w:val="left" w:pos="0"/>
        </w:tabs>
        <w:spacing w:after="0"/>
        <w:ind w:left="0" w:right="-4" w:firstLine="0"/>
        <w:rPr>
          <w:i w:val="0"/>
          <w:szCs w:val="20"/>
          <w:lang w:val="es-ES"/>
        </w:rPr>
      </w:pPr>
      <w:r w:rsidRPr="00532C3B">
        <w:rPr>
          <w:i w:val="0"/>
          <w:szCs w:val="20"/>
          <w:lang w:val="es-ES"/>
        </w:rPr>
        <w:t xml:space="preserve">La Corte estima que el reconocimiento realizado por el Estado constituye una contribución positiva al desarrollo de este proceso y a la vigencia de los principios que inspiran la Convención Americana. Asimismo, la Comisión Interamericana ha valorado el </w:t>
      </w:r>
      <w:r w:rsidRPr="00532C3B">
        <w:rPr>
          <w:i w:val="0"/>
          <w:szCs w:val="20"/>
          <w:lang w:val="es-ES"/>
        </w:rPr>
        <w:lastRenderedPageBreak/>
        <w:t>Acuerdo alcanzado por las partes, y ha considerado procedente la homologación solicitada (</w:t>
      </w:r>
      <w:r w:rsidRPr="007F07EF">
        <w:rPr>
          <w:szCs w:val="20"/>
          <w:lang w:val="es-ES"/>
        </w:rPr>
        <w:t>supra</w:t>
      </w:r>
      <w:r w:rsidR="007F07EF" w:rsidRPr="007F07EF">
        <w:rPr>
          <w:i w:val="0"/>
          <w:szCs w:val="20"/>
          <w:lang w:val="es-ES"/>
        </w:rPr>
        <w:t xml:space="preserve"> párr. </w:t>
      </w:r>
      <w:r w:rsidR="007F07EF">
        <w:rPr>
          <w:i w:val="0"/>
          <w:szCs w:val="20"/>
          <w:lang w:val="es-ES"/>
        </w:rPr>
        <w:t>13</w:t>
      </w:r>
      <w:r w:rsidRPr="00532C3B">
        <w:rPr>
          <w:i w:val="0"/>
          <w:szCs w:val="20"/>
          <w:lang w:val="es-ES"/>
        </w:rPr>
        <w:t xml:space="preserve">). </w:t>
      </w:r>
      <w:r w:rsidR="004C2465" w:rsidRPr="00532C3B">
        <w:rPr>
          <w:i w:val="0"/>
          <w:szCs w:val="20"/>
          <w:lang w:val="es-ES"/>
        </w:rPr>
        <w:t>Este Tribunal considera que el a</w:t>
      </w:r>
      <w:r w:rsidRPr="00532C3B">
        <w:rPr>
          <w:i w:val="0"/>
          <w:szCs w:val="20"/>
          <w:lang w:val="es-ES"/>
        </w:rPr>
        <w:t xml:space="preserve">cuerdo de solución amistosa cumple con los requisitos de forma y materiales mencionados </w:t>
      </w:r>
      <w:r w:rsidRPr="00532C3B">
        <w:rPr>
          <w:szCs w:val="20"/>
          <w:lang w:val="es-ES"/>
        </w:rPr>
        <w:t>supra</w:t>
      </w:r>
      <w:r w:rsidRPr="00532C3B">
        <w:rPr>
          <w:i w:val="0"/>
          <w:szCs w:val="20"/>
          <w:lang w:val="es-ES"/>
        </w:rPr>
        <w:t xml:space="preserve">, en la medida que el mismo ha sido suscripto por las partes en la controversia, las cuales tuvieron la oportunidad de presentar sus observaciones, que el mismo pone fin a la controversia sobre hechos, derechos y reparaciones, y que su contenido es compatible con el objeto y fin de la Convención. En consecuencia se homologa el Acuerdo alcanzado por las partes </w:t>
      </w:r>
      <w:r w:rsidR="00A73AFA" w:rsidRPr="00532C3B">
        <w:rPr>
          <w:i w:val="0"/>
          <w:szCs w:val="20"/>
          <w:lang w:val="es-ES"/>
        </w:rPr>
        <w:t>mediante la presente Sentencia.</w:t>
      </w:r>
    </w:p>
    <w:p w14:paraId="49C3E001" w14:textId="77777777" w:rsidR="00A73AFA" w:rsidRPr="00532C3B" w:rsidRDefault="00A73AFA" w:rsidP="001E6219">
      <w:pPr>
        <w:pStyle w:val="Estilo1"/>
        <w:tabs>
          <w:tab w:val="left" w:pos="0"/>
        </w:tabs>
        <w:spacing w:after="0"/>
        <w:ind w:left="0" w:right="-4" w:firstLine="0"/>
        <w:rPr>
          <w:i w:val="0"/>
          <w:szCs w:val="20"/>
          <w:lang w:val="es-ES"/>
        </w:rPr>
      </w:pPr>
    </w:p>
    <w:p w14:paraId="1A86CD9A" w14:textId="77777777" w:rsidR="00104683" w:rsidRPr="001E6219" w:rsidRDefault="00104683" w:rsidP="001E6219">
      <w:pPr>
        <w:pStyle w:val="Estilo1"/>
        <w:numPr>
          <w:ilvl w:val="0"/>
          <w:numId w:val="2"/>
        </w:numPr>
        <w:tabs>
          <w:tab w:val="left" w:pos="0"/>
        </w:tabs>
        <w:spacing w:after="0"/>
        <w:ind w:left="0" w:right="-4" w:firstLine="0"/>
        <w:rPr>
          <w:rFonts w:cs="Times New Roman"/>
          <w:i w:val="0"/>
          <w:szCs w:val="20"/>
          <w:lang w:val="es-ES" w:eastAsia="es-ES"/>
        </w:rPr>
      </w:pPr>
      <w:r w:rsidRPr="00532C3B">
        <w:rPr>
          <w:i w:val="0"/>
          <w:szCs w:val="20"/>
          <w:lang w:val="es-ES"/>
        </w:rPr>
        <w:t>Las medidas de reparación acordadas quedan comprendidas en la homologación del Acuerdo. Sin perjuicio de ello, la Corte las analizará con el fin de determinar su alcance y formas de ejecución, a la luz de los criterios fijados en su jurisprudencia y en relación con la naturaleza, objeto y fin de la obligación de reparar integralmente los daños ocasionados a las víctimas</w:t>
      </w:r>
      <w:r w:rsidRPr="00532C3B">
        <w:rPr>
          <w:i w:val="0"/>
          <w:szCs w:val="20"/>
          <w:vertAlign w:val="superscript"/>
          <w:lang w:val="es-ES"/>
        </w:rPr>
        <w:footnoteReference w:id="51"/>
      </w:r>
      <w:r w:rsidRPr="00532C3B">
        <w:rPr>
          <w:i w:val="0"/>
          <w:szCs w:val="20"/>
          <w:lang w:val="es-ES"/>
        </w:rPr>
        <w:t>. Las medidas de reparación acordadas, por lo tanto, deberán ser cumplidas en los términos de la presente Sentencia, conforme se indica seguidamente.</w:t>
      </w:r>
    </w:p>
    <w:p w14:paraId="408A4F8F" w14:textId="3365B8E4" w:rsidR="00104683" w:rsidRDefault="00162FA4" w:rsidP="00236DD1">
      <w:pPr>
        <w:pStyle w:val="Heading1"/>
      </w:pPr>
      <w:bookmarkStart w:id="105" w:name="_Toc442082558"/>
      <w:bookmarkStart w:id="106" w:name="_Toc486693409"/>
      <w:bookmarkStart w:id="107" w:name="_Toc486842829"/>
      <w:bookmarkStart w:id="108" w:name="_Toc486842963"/>
      <w:bookmarkStart w:id="109" w:name="_Toc525713987"/>
      <w:bookmarkStart w:id="110" w:name="_Toc532214926"/>
      <w:r>
        <w:rPr>
          <w:lang w:val="es-ES"/>
        </w:rPr>
        <w:t>VII</w:t>
      </w:r>
      <w:r w:rsidR="00104683" w:rsidRPr="00532C3B">
        <w:rPr>
          <w:color w:val="FFFFFF" w:themeColor="background1"/>
          <w:lang w:val="es-ES"/>
        </w:rPr>
        <w:t>.</w:t>
      </w:r>
      <w:r w:rsidR="00104683" w:rsidRPr="00532C3B">
        <w:rPr>
          <w:lang w:val="es-ES"/>
        </w:rPr>
        <w:br/>
        <w:t>REPARACIONES</w:t>
      </w:r>
      <w:bookmarkStart w:id="111" w:name="_Toc442082559"/>
      <w:bookmarkEnd w:id="105"/>
      <w:r w:rsidR="00104683" w:rsidRPr="00532C3B">
        <w:rPr>
          <w:lang w:val="es-ES"/>
        </w:rPr>
        <w:br/>
      </w:r>
      <w:r w:rsidR="00104683" w:rsidRPr="00532C3B">
        <w:t>(</w:t>
      </w:r>
      <w:r w:rsidR="00104683" w:rsidRPr="00532C3B">
        <w:rPr>
          <w:caps w:val="0"/>
        </w:rPr>
        <w:t>aplicación del artículo 63.1 de la Convención Americana</w:t>
      </w:r>
      <w:r w:rsidR="00104683" w:rsidRPr="00532C3B">
        <w:t>)</w:t>
      </w:r>
      <w:bookmarkEnd w:id="106"/>
      <w:bookmarkEnd w:id="107"/>
      <w:bookmarkEnd w:id="108"/>
      <w:bookmarkEnd w:id="109"/>
      <w:bookmarkEnd w:id="110"/>
      <w:bookmarkEnd w:id="111"/>
    </w:p>
    <w:p w14:paraId="6AC1EA65" w14:textId="20DC25A8" w:rsidR="00A73AFA" w:rsidRDefault="00104683" w:rsidP="001E6219">
      <w:pPr>
        <w:pStyle w:val="Estilo1"/>
        <w:numPr>
          <w:ilvl w:val="0"/>
          <w:numId w:val="2"/>
        </w:numPr>
        <w:tabs>
          <w:tab w:val="left" w:pos="0"/>
        </w:tabs>
        <w:spacing w:after="0"/>
        <w:ind w:left="0" w:right="-4" w:firstLine="0"/>
        <w:rPr>
          <w:i w:val="0"/>
          <w:szCs w:val="20"/>
          <w:lang w:bidi="en-US"/>
        </w:rPr>
      </w:pPr>
      <w:r w:rsidRPr="00532C3B">
        <w:rPr>
          <w:i w:val="0"/>
          <w:szCs w:val="20"/>
          <w:lang w:val="es-CR"/>
        </w:rPr>
        <w:t>En el Acuerdo de solución amistosa, el Estado y los representantes acordaron la reparación integral de las víctimas mediante una serie de medidas respecto de las cuales solicitaron su homologación y supervisión de cumplimiento</w:t>
      </w:r>
      <w:r w:rsidRPr="00532C3B">
        <w:rPr>
          <w:i w:val="0"/>
          <w:szCs w:val="20"/>
          <w:lang w:bidi="en-US"/>
        </w:rPr>
        <w:t>. A continuación se detallan las distintas medidas de reparación que fueron establecidas por las partes en el acuerdo de solución amistosa</w:t>
      </w:r>
      <w:r w:rsidR="003074C7">
        <w:rPr>
          <w:rStyle w:val="FootnoteReference"/>
          <w:i w:val="0"/>
          <w:lang w:bidi="en-US"/>
        </w:rPr>
        <w:footnoteReference w:id="52"/>
      </w:r>
      <w:r w:rsidRPr="00532C3B">
        <w:rPr>
          <w:i w:val="0"/>
          <w:szCs w:val="20"/>
          <w:lang w:bidi="en-US"/>
        </w:rPr>
        <w:t>.</w:t>
      </w:r>
    </w:p>
    <w:p w14:paraId="76CEE1BB" w14:textId="77777777" w:rsidR="001E6219" w:rsidRPr="00532C3B" w:rsidRDefault="001E6219" w:rsidP="001E6219">
      <w:pPr>
        <w:pStyle w:val="Estilo1"/>
        <w:tabs>
          <w:tab w:val="left" w:pos="0"/>
        </w:tabs>
        <w:spacing w:after="0"/>
        <w:ind w:left="0" w:right="-4" w:firstLine="0"/>
        <w:rPr>
          <w:i w:val="0"/>
          <w:szCs w:val="20"/>
          <w:lang w:bidi="en-US"/>
        </w:rPr>
      </w:pPr>
    </w:p>
    <w:p w14:paraId="0FC200A4" w14:textId="77777777" w:rsidR="00FE610C" w:rsidRPr="00807D53" w:rsidRDefault="00FE610C" w:rsidP="001E6219">
      <w:pPr>
        <w:pStyle w:val="Heading2"/>
        <w:numPr>
          <w:ilvl w:val="0"/>
          <w:numId w:val="24"/>
        </w:numPr>
        <w:spacing w:before="0"/>
        <w:rPr>
          <w:rFonts w:ascii="Verdana" w:hAnsi="Verdana" w:cs="Tahoma"/>
          <w:color w:val="auto"/>
          <w:sz w:val="20"/>
          <w:szCs w:val="20"/>
          <w:lang w:eastAsia="x-none"/>
        </w:rPr>
      </w:pPr>
      <w:bookmarkStart w:id="112" w:name="_Toc532214927"/>
      <w:r w:rsidRPr="00807D53">
        <w:rPr>
          <w:rFonts w:ascii="Verdana" w:hAnsi="Verdana" w:cs="Tahoma"/>
          <w:color w:val="auto"/>
          <w:sz w:val="20"/>
          <w:szCs w:val="20"/>
          <w:lang w:eastAsia="x-none"/>
        </w:rPr>
        <w:t>Obligación de investigar</w:t>
      </w:r>
      <w:bookmarkEnd w:id="112"/>
    </w:p>
    <w:p w14:paraId="209F555E" w14:textId="77777777" w:rsidR="00FE610C" w:rsidRPr="00532C3B" w:rsidRDefault="00FE610C" w:rsidP="001E6219">
      <w:pPr>
        <w:rPr>
          <w:szCs w:val="20"/>
          <w:lang w:eastAsia="x-none"/>
        </w:rPr>
      </w:pPr>
    </w:p>
    <w:p w14:paraId="1B9ABD0F" w14:textId="77777777" w:rsidR="00FE610C" w:rsidRPr="00532C3B" w:rsidRDefault="00FE610C" w:rsidP="001E6219">
      <w:pPr>
        <w:pStyle w:val="ListParagraph"/>
        <w:numPr>
          <w:ilvl w:val="0"/>
          <w:numId w:val="2"/>
        </w:numPr>
        <w:ind w:left="0" w:right="4" w:firstLine="0"/>
        <w:rPr>
          <w:rFonts w:cs="Arial"/>
          <w:szCs w:val="20"/>
        </w:rPr>
      </w:pPr>
      <w:r w:rsidRPr="00532C3B">
        <w:rPr>
          <w:szCs w:val="20"/>
          <w:lang w:val="es-ES"/>
        </w:rPr>
        <w:t>En el Acuerdo, el Estado mexicano se comprometió a lo siguiente:</w:t>
      </w:r>
    </w:p>
    <w:p w14:paraId="1A53ADFC" w14:textId="77777777" w:rsidR="00FE610C" w:rsidRPr="00532C3B" w:rsidRDefault="00FE610C" w:rsidP="001E6219">
      <w:pPr>
        <w:rPr>
          <w:szCs w:val="20"/>
          <w:lang w:eastAsia="x-none"/>
        </w:rPr>
      </w:pPr>
    </w:p>
    <w:p w14:paraId="1746659B" w14:textId="0A63B800" w:rsidR="00FE610C" w:rsidRPr="00183727" w:rsidRDefault="00FE610C" w:rsidP="001E6219">
      <w:pPr>
        <w:ind w:left="567" w:right="567"/>
        <w:rPr>
          <w:rFonts w:cs="Arial"/>
          <w:sz w:val="18"/>
          <w:szCs w:val="20"/>
        </w:rPr>
      </w:pPr>
      <w:r w:rsidRPr="00183727">
        <w:rPr>
          <w:rFonts w:cs="Arial"/>
          <w:sz w:val="18"/>
          <w:szCs w:val="20"/>
        </w:rPr>
        <w:t>El [Estado mexicano]</w:t>
      </w:r>
      <w:r w:rsidRPr="00183727">
        <w:rPr>
          <w:rFonts w:cs="Arial"/>
          <w:b/>
          <w:sz w:val="18"/>
          <w:szCs w:val="20"/>
        </w:rPr>
        <w:t xml:space="preserve"> </w:t>
      </w:r>
      <w:r w:rsidRPr="00183727">
        <w:rPr>
          <w:rFonts w:cs="Arial"/>
          <w:sz w:val="18"/>
          <w:szCs w:val="20"/>
        </w:rPr>
        <w:t xml:space="preserve">reconoce el derecho de las víctimas de justicia y verdad. Las partes toman nota </w:t>
      </w:r>
      <w:r w:rsidR="00956F8B">
        <w:rPr>
          <w:rFonts w:cs="Arial"/>
          <w:sz w:val="18"/>
          <w:szCs w:val="20"/>
        </w:rPr>
        <w:t xml:space="preserve">de </w:t>
      </w:r>
      <w:r w:rsidRPr="00183727">
        <w:rPr>
          <w:rFonts w:cs="Arial"/>
          <w:sz w:val="18"/>
          <w:szCs w:val="20"/>
        </w:rPr>
        <w:t>que, de conformidad con el marco jurídico vigente al momento de los hechos, al señor Luis Raúl Morales Rodríguez, se le impuso, en sentencia de segunda instancia, una sanción penal consistente en un año once meses y quince días de prisión</w:t>
      </w:r>
      <w:r w:rsidR="00735DFF">
        <w:rPr>
          <w:rFonts w:cs="Arial"/>
          <w:sz w:val="18"/>
          <w:szCs w:val="20"/>
        </w:rPr>
        <w:t xml:space="preserve"> por la muerte del señor Mirey Trueba Arciniega</w:t>
      </w:r>
      <w:r w:rsidRPr="00183727">
        <w:rPr>
          <w:rFonts w:cs="Arial"/>
          <w:sz w:val="18"/>
          <w:szCs w:val="20"/>
        </w:rPr>
        <w:t>.</w:t>
      </w:r>
    </w:p>
    <w:p w14:paraId="02B4A29C" w14:textId="77777777" w:rsidR="00FE610C" w:rsidRPr="00183727" w:rsidRDefault="00FE610C" w:rsidP="001E6219">
      <w:pPr>
        <w:ind w:left="567" w:right="567"/>
        <w:rPr>
          <w:rFonts w:cs="Arial"/>
          <w:sz w:val="18"/>
          <w:szCs w:val="20"/>
        </w:rPr>
      </w:pPr>
    </w:p>
    <w:p w14:paraId="66CEF018" w14:textId="63297080" w:rsidR="00FE610C" w:rsidRDefault="00FE610C" w:rsidP="001E6219">
      <w:pPr>
        <w:ind w:left="567" w:right="567"/>
        <w:rPr>
          <w:rFonts w:cs="Arial"/>
          <w:sz w:val="18"/>
          <w:szCs w:val="20"/>
        </w:rPr>
      </w:pPr>
      <w:r w:rsidRPr="00183727">
        <w:rPr>
          <w:rFonts w:cs="Arial"/>
          <w:sz w:val="18"/>
          <w:szCs w:val="20"/>
        </w:rPr>
        <w:t>En atención a lo anterior, se compromete a realizar una revisión del caso penal a la luz de las circunstancias y criterios de la época, tomando en consideración los estándares interamericanos y con participación de los representantes de las víctimas y presentar la misma a la [Corte IDH] en el plazo de seis (6) meses contados a partir de la firma del [Acuerdo]. En caso de que se detecten irregularidades, el [Estado mexicano] adoptará las medidas que correspondan</w:t>
      </w:r>
      <w:r w:rsidR="00735DFF">
        <w:rPr>
          <w:rFonts w:cs="Arial"/>
          <w:sz w:val="18"/>
          <w:szCs w:val="20"/>
        </w:rPr>
        <w:t xml:space="preserve"> </w:t>
      </w:r>
    </w:p>
    <w:p w14:paraId="3B27F752" w14:textId="77777777" w:rsidR="001E6219" w:rsidRPr="00183727" w:rsidRDefault="001E6219" w:rsidP="001E6219">
      <w:pPr>
        <w:ind w:right="567"/>
        <w:rPr>
          <w:sz w:val="18"/>
          <w:szCs w:val="20"/>
          <w:lang w:eastAsia="x-none"/>
        </w:rPr>
      </w:pPr>
    </w:p>
    <w:p w14:paraId="44146B96" w14:textId="7DECF806" w:rsidR="00104683" w:rsidRPr="000F79D1" w:rsidRDefault="00104683" w:rsidP="001E6219">
      <w:pPr>
        <w:pStyle w:val="Heading2"/>
        <w:numPr>
          <w:ilvl w:val="0"/>
          <w:numId w:val="24"/>
        </w:numPr>
        <w:spacing w:before="0"/>
        <w:rPr>
          <w:rFonts w:ascii="Verdana" w:hAnsi="Verdana" w:cs="Tahoma"/>
          <w:color w:val="auto"/>
          <w:sz w:val="20"/>
          <w:szCs w:val="20"/>
          <w:lang w:eastAsia="x-none"/>
        </w:rPr>
      </w:pPr>
      <w:bookmarkStart w:id="113" w:name="_Toc532214928"/>
      <w:r w:rsidRPr="000F79D1">
        <w:rPr>
          <w:rFonts w:ascii="Verdana" w:hAnsi="Verdana" w:cs="Tahoma"/>
          <w:color w:val="auto"/>
          <w:sz w:val="20"/>
          <w:szCs w:val="20"/>
          <w:lang w:eastAsia="x-none"/>
        </w:rPr>
        <w:t xml:space="preserve">Medidas de </w:t>
      </w:r>
      <w:r w:rsidR="00FE610C">
        <w:rPr>
          <w:rFonts w:ascii="Verdana" w:hAnsi="Verdana" w:cs="Tahoma"/>
          <w:color w:val="auto"/>
          <w:sz w:val="20"/>
          <w:szCs w:val="20"/>
          <w:lang w:eastAsia="x-none"/>
        </w:rPr>
        <w:t>rehabilitación</w:t>
      </w:r>
      <w:bookmarkEnd w:id="113"/>
    </w:p>
    <w:p w14:paraId="072B4D7E" w14:textId="77777777" w:rsidR="00A73AFA" w:rsidRPr="00532C3B" w:rsidRDefault="00A73AFA" w:rsidP="001E6219">
      <w:pPr>
        <w:rPr>
          <w:szCs w:val="20"/>
          <w:lang w:eastAsia="x-none"/>
        </w:rPr>
      </w:pPr>
    </w:p>
    <w:p w14:paraId="3F30BF03" w14:textId="22A54F99" w:rsidR="00FF1EE2" w:rsidRDefault="00104683" w:rsidP="001E6219">
      <w:pPr>
        <w:pStyle w:val="Estilo1"/>
        <w:numPr>
          <w:ilvl w:val="0"/>
          <w:numId w:val="2"/>
        </w:numPr>
        <w:tabs>
          <w:tab w:val="left" w:pos="0"/>
        </w:tabs>
        <w:spacing w:after="0"/>
        <w:ind w:left="0" w:right="-4" w:firstLine="0"/>
        <w:rPr>
          <w:i w:val="0"/>
          <w:szCs w:val="20"/>
          <w:lang w:val="es-ES"/>
        </w:rPr>
      </w:pPr>
      <w:bookmarkStart w:id="114" w:name="_Toc525713989"/>
      <w:r w:rsidRPr="00532C3B">
        <w:rPr>
          <w:i w:val="0"/>
          <w:szCs w:val="20"/>
          <w:lang w:val="es-ES"/>
        </w:rPr>
        <w:t>En el Acuerdo, el Estado mexicano</w:t>
      </w:r>
      <w:r w:rsidR="00A73AFA" w:rsidRPr="00532C3B">
        <w:rPr>
          <w:i w:val="0"/>
          <w:szCs w:val="20"/>
          <w:lang w:val="es-ES"/>
        </w:rPr>
        <w:t xml:space="preserve"> se comprometió a lo siguiente:</w:t>
      </w:r>
    </w:p>
    <w:p w14:paraId="2E03AAB3" w14:textId="77777777" w:rsidR="00FF1EE2" w:rsidRDefault="00FF1EE2" w:rsidP="001E6219">
      <w:pPr>
        <w:pStyle w:val="Estilo1"/>
        <w:tabs>
          <w:tab w:val="left" w:pos="0"/>
        </w:tabs>
        <w:spacing w:after="0"/>
        <w:ind w:left="0" w:right="-4" w:firstLine="0"/>
        <w:rPr>
          <w:i w:val="0"/>
          <w:szCs w:val="20"/>
          <w:lang w:val="es-ES"/>
        </w:rPr>
      </w:pPr>
    </w:p>
    <w:p w14:paraId="0F884B69" w14:textId="08B8E83A" w:rsidR="00104683" w:rsidRPr="00CD33EA" w:rsidRDefault="00956F8B" w:rsidP="001E6219">
      <w:pPr>
        <w:pStyle w:val="Estilo1"/>
        <w:numPr>
          <w:ilvl w:val="0"/>
          <w:numId w:val="25"/>
        </w:numPr>
        <w:tabs>
          <w:tab w:val="left" w:pos="0"/>
        </w:tabs>
        <w:spacing w:after="0"/>
        <w:ind w:left="567" w:right="-4" w:hanging="11"/>
        <w:rPr>
          <w:b/>
          <w:i w:val="0"/>
          <w:sz w:val="18"/>
          <w:szCs w:val="18"/>
          <w:lang w:val="es-ES"/>
        </w:rPr>
      </w:pPr>
      <w:r>
        <w:rPr>
          <w:sz w:val="18"/>
          <w:szCs w:val="18"/>
          <w:lang w:val="es-ES"/>
        </w:rPr>
        <w:t>Atención médica</w:t>
      </w:r>
    </w:p>
    <w:p w14:paraId="73B7A620" w14:textId="77777777" w:rsidR="00A73AFA" w:rsidRPr="00532C3B" w:rsidRDefault="00A73AFA" w:rsidP="001E6219">
      <w:pPr>
        <w:rPr>
          <w:szCs w:val="20"/>
        </w:rPr>
      </w:pPr>
    </w:p>
    <w:bookmarkEnd w:id="114"/>
    <w:p w14:paraId="7AC1B416" w14:textId="2F7745BC" w:rsidR="00104683" w:rsidRPr="000F79D1" w:rsidRDefault="00104683" w:rsidP="001E6219">
      <w:pPr>
        <w:pStyle w:val="Estilo1"/>
        <w:tabs>
          <w:tab w:val="left" w:pos="0"/>
        </w:tabs>
        <w:spacing w:after="0"/>
        <w:ind w:left="567" w:right="567" w:firstLine="0"/>
        <w:rPr>
          <w:i w:val="0"/>
          <w:sz w:val="18"/>
          <w:szCs w:val="20"/>
          <w:lang w:val="es-ES"/>
        </w:rPr>
      </w:pPr>
      <w:r w:rsidRPr="000F79D1">
        <w:rPr>
          <w:i w:val="0"/>
          <w:sz w:val="18"/>
          <w:szCs w:val="20"/>
          <w:lang w:val="es-ES"/>
        </w:rPr>
        <w:t>El [Estado mexicano] continuará proporcionando de forma permanente, la atención médica y psicológica que requieran las víctimas, en instituciones de salud especializadas a través del Seguro Popular proporcionando y bajo la coordinación de la Secretaría de Salud del Estado de Chihuahua, en los términos planteados en la hoja de ruta de atención médica integral elaborada por el [Estado mexicano] y aportada en el proceso seguido ante la CIDH</w:t>
      </w:r>
      <w:r w:rsidR="00735DFF">
        <w:rPr>
          <w:i w:val="0"/>
          <w:sz w:val="18"/>
          <w:szCs w:val="20"/>
          <w:lang w:val="es-ES"/>
        </w:rPr>
        <w:t>, anexada al presente [Acuerdo]</w:t>
      </w:r>
      <w:r w:rsidRPr="000F79D1">
        <w:rPr>
          <w:i w:val="0"/>
          <w:sz w:val="18"/>
          <w:szCs w:val="20"/>
          <w:lang w:val="es-ES"/>
        </w:rPr>
        <w:t>.</w:t>
      </w:r>
    </w:p>
    <w:p w14:paraId="1932028A" w14:textId="77777777" w:rsidR="00A73AFA" w:rsidRPr="000F79D1" w:rsidRDefault="00A73AFA" w:rsidP="001E6219">
      <w:pPr>
        <w:pStyle w:val="Estilo1"/>
        <w:tabs>
          <w:tab w:val="left" w:pos="0"/>
        </w:tabs>
        <w:spacing w:after="0"/>
        <w:ind w:left="567" w:right="567" w:firstLine="0"/>
        <w:rPr>
          <w:i w:val="0"/>
          <w:sz w:val="18"/>
          <w:szCs w:val="20"/>
          <w:lang w:val="es-ES"/>
        </w:rPr>
      </w:pPr>
    </w:p>
    <w:p w14:paraId="7426B1FD" w14:textId="617BEE49" w:rsidR="00104683" w:rsidRPr="000F79D1" w:rsidRDefault="00104683" w:rsidP="001E6219">
      <w:pPr>
        <w:pStyle w:val="Estilo1"/>
        <w:tabs>
          <w:tab w:val="left" w:pos="0"/>
        </w:tabs>
        <w:spacing w:after="0"/>
        <w:ind w:left="567" w:right="567" w:firstLine="0"/>
        <w:rPr>
          <w:i w:val="0"/>
          <w:sz w:val="18"/>
          <w:szCs w:val="20"/>
          <w:lang w:val="es-ES"/>
        </w:rPr>
      </w:pPr>
      <w:r w:rsidRPr="000F79D1">
        <w:rPr>
          <w:i w:val="0"/>
          <w:sz w:val="18"/>
          <w:szCs w:val="20"/>
          <w:lang w:val="es-ES"/>
        </w:rPr>
        <w:t xml:space="preserve">Las víctimas </w:t>
      </w:r>
      <w:r w:rsidR="00087591">
        <w:rPr>
          <w:i w:val="0"/>
          <w:sz w:val="18"/>
          <w:szCs w:val="20"/>
          <w:lang w:val="es-ES"/>
        </w:rPr>
        <w:t xml:space="preserve">[tendrán…] </w:t>
      </w:r>
      <w:r w:rsidRPr="000F79D1">
        <w:rPr>
          <w:i w:val="0"/>
          <w:sz w:val="18"/>
          <w:szCs w:val="20"/>
          <w:lang w:val="es-ES"/>
        </w:rPr>
        <w:t>acceso a todas las intervenciones y atención de enfermedad</w:t>
      </w:r>
      <w:r w:rsidR="00956F8B">
        <w:rPr>
          <w:i w:val="0"/>
          <w:sz w:val="18"/>
          <w:szCs w:val="20"/>
          <w:lang w:val="es-ES"/>
        </w:rPr>
        <w:t>es</w:t>
      </w:r>
      <w:r w:rsidRPr="000F79D1">
        <w:rPr>
          <w:i w:val="0"/>
          <w:sz w:val="18"/>
          <w:szCs w:val="20"/>
          <w:lang w:val="es-ES"/>
        </w:rPr>
        <w:t xml:space="preserve"> y padecimientos, incluidos los de índole psiquiátrica y psicológica. Asimismo, tendrán acceso a los servicios y bienes farmacéuticos requeridos. En caso de que el servicio médico que requieran se brinde en instalaciones fuera de su lugar de residencia, tendrán derecho a que los gastos de traslado y viáticos respectivos</w:t>
      </w:r>
      <w:r w:rsidR="00A65160">
        <w:rPr>
          <w:i w:val="0"/>
          <w:sz w:val="18"/>
          <w:szCs w:val="20"/>
          <w:lang w:val="es-ES"/>
        </w:rPr>
        <w:t xml:space="preserve"> </w:t>
      </w:r>
      <w:r w:rsidRPr="000F79D1">
        <w:rPr>
          <w:i w:val="0"/>
          <w:sz w:val="18"/>
          <w:szCs w:val="20"/>
          <w:lang w:val="es-ES"/>
        </w:rPr>
        <w:t xml:space="preserve"> los erogue el [Estado mexicano]</w:t>
      </w:r>
      <w:r w:rsidR="00A65160">
        <w:rPr>
          <w:i w:val="0"/>
          <w:sz w:val="18"/>
          <w:szCs w:val="20"/>
          <w:lang w:val="es-ES"/>
        </w:rPr>
        <w:t>,</w:t>
      </w:r>
      <w:r w:rsidR="00735DFF">
        <w:rPr>
          <w:i w:val="0"/>
          <w:sz w:val="18"/>
          <w:szCs w:val="20"/>
          <w:lang w:val="es-ES"/>
        </w:rPr>
        <w:t xml:space="preserve"> una vez que se</w:t>
      </w:r>
      <w:r w:rsidR="00956F8B">
        <w:rPr>
          <w:i w:val="0"/>
          <w:sz w:val="18"/>
          <w:szCs w:val="20"/>
          <w:lang w:val="es-ES"/>
        </w:rPr>
        <w:t xml:space="preserve"> formalice su incorporación al R</w:t>
      </w:r>
      <w:r w:rsidR="00735DFF">
        <w:rPr>
          <w:i w:val="0"/>
          <w:sz w:val="18"/>
          <w:szCs w:val="20"/>
          <w:lang w:val="es-ES"/>
        </w:rPr>
        <w:t xml:space="preserve">egistro </w:t>
      </w:r>
      <w:r w:rsidR="00956F8B">
        <w:rPr>
          <w:i w:val="0"/>
          <w:sz w:val="18"/>
          <w:szCs w:val="20"/>
          <w:lang w:val="es-ES"/>
        </w:rPr>
        <w:t>Nacional de V</w:t>
      </w:r>
      <w:r w:rsidR="00735DFF">
        <w:rPr>
          <w:i w:val="0"/>
          <w:sz w:val="18"/>
          <w:szCs w:val="20"/>
          <w:lang w:val="es-ES"/>
        </w:rPr>
        <w:t>íctimas</w:t>
      </w:r>
      <w:r w:rsidRPr="000F79D1">
        <w:rPr>
          <w:i w:val="0"/>
          <w:sz w:val="18"/>
          <w:szCs w:val="20"/>
          <w:lang w:val="es-ES"/>
        </w:rPr>
        <w:t>.</w:t>
      </w:r>
    </w:p>
    <w:p w14:paraId="4EFFCB7F" w14:textId="77777777" w:rsidR="00A73AFA" w:rsidRPr="000F79D1" w:rsidRDefault="00A73AFA" w:rsidP="001E6219">
      <w:pPr>
        <w:pStyle w:val="Estilo1"/>
        <w:tabs>
          <w:tab w:val="left" w:pos="0"/>
        </w:tabs>
        <w:spacing w:after="0"/>
        <w:ind w:left="567" w:right="567" w:firstLine="0"/>
        <w:rPr>
          <w:i w:val="0"/>
          <w:sz w:val="18"/>
          <w:szCs w:val="20"/>
          <w:lang w:val="es-ES"/>
        </w:rPr>
      </w:pPr>
    </w:p>
    <w:p w14:paraId="0B873CCF" w14:textId="77777777" w:rsidR="00104683" w:rsidRPr="000F79D1" w:rsidRDefault="00104683" w:rsidP="001E6219">
      <w:pPr>
        <w:pStyle w:val="Estilo1"/>
        <w:tabs>
          <w:tab w:val="left" w:pos="0"/>
        </w:tabs>
        <w:spacing w:after="0"/>
        <w:ind w:left="567" w:right="567" w:firstLine="0"/>
        <w:rPr>
          <w:i w:val="0"/>
          <w:sz w:val="18"/>
          <w:szCs w:val="20"/>
          <w:lang w:val="es-ES"/>
        </w:rPr>
      </w:pPr>
      <w:r w:rsidRPr="000F79D1">
        <w:rPr>
          <w:i w:val="0"/>
          <w:sz w:val="18"/>
          <w:szCs w:val="20"/>
          <w:lang w:val="es-ES"/>
        </w:rPr>
        <w:t>En caso del tercer nivel de atención, se brindará la atención médica especializada adecuada incluso a través de los Institutos Nacionales de Salud, los Hospitales Federales de Referencia y los Hospitales Regionales de Alta especialidad, según se requiera.</w:t>
      </w:r>
    </w:p>
    <w:p w14:paraId="268A44FC" w14:textId="77777777" w:rsidR="00A73AFA" w:rsidRPr="000F79D1" w:rsidRDefault="00A73AFA" w:rsidP="001E6219">
      <w:pPr>
        <w:pStyle w:val="Estilo1"/>
        <w:tabs>
          <w:tab w:val="left" w:pos="0"/>
        </w:tabs>
        <w:spacing w:after="0"/>
        <w:ind w:left="567" w:right="567" w:firstLine="0"/>
        <w:rPr>
          <w:i w:val="0"/>
          <w:sz w:val="18"/>
          <w:szCs w:val="20"/>
          <w:lang w:val="es-ES"/>
        </w:rPr>
      </w:pPr>
    </w:p>
    <w:p w14:paraId="5E349B74" w14:textId="77777777" w:rsidR="00104683" w:rsidRDefault="00104683" w:rsidP="001E6219">
      <w:pPr>
        <w:pStyle w:val="Estilo1"/>
        <w:tabs>
          <w:tab w:val="left" w:pos="0"/>
        </w:tabs>
        <w:spacing w:after="0"/>
        <w:ind w:left="567" w:right="567" w:firstLine="0"/>
        <w:rPr>
          <w:i w:val="0"/>
          <w:sz w:val="18"/>
          <w:szCs w:val="20"/>
          <w:lang w:val="es-ES"/>
        </w:rPr>
      </w:pPr>
      <w:r w:rsidRPr="000F79D1">
        <w:rPr>
          <w:i w:val="0"/>
          <w:sz w:val="18"/>
          <w:szCs w:val="20"/>
          <w:lang w:val="es-ES"/>
        </w:rPr>
        <w:t>La [UDDH] de la [SEGOB] y la Secretaría de Salud del Estado de Chihuahua gestionarán lo relacionado con esta medida de reparación.</w:t>
      </w:r>
    </w:p>
    <w:p w14:paraId="2D8DD835" w14:textId="77777777" w:rsidR="00FE610C" w:rsidRDefault="00FE610C" w:rsidP="001E6219">
      <w:pPr>
        <w:pStyle w:val="Estilo1"/>
        <w:tabs>
          <w:tab w:val="left" w:pos="0"/>
        </w:tabs>
        <w:spacing w:after="0"/>
        <w:ind w:left="567" w:right="567" w:firstLine="0"/>
        <w:rPr>
          <w:i w:val="0"/>
          <w:sz w:val="18"/>
          <w:szCs w:val="20"/>
          <w:lang w:val="es-ES"/>
        </w:rPr>
      </w:pPr>
    </w:p>
    <w:p w14:paraId="27DA248E" w14:textId="0CB94962" w:rsidR="00FE610C" w:rsidRPr="00FE610C" w:rsidRDefault="00FE610C" w:rsidP="001E6219">
      <w:pPr>
        <w:pStyle w:val="Heading2"/>
        <w:numPr>
          <w:ilvl w:val="0"/>
          <w:numId w:val="24"/>
        </w:numPr>
        <w:spacing w:before="0"/>
        <w:rPr>
          <w:rFonts w:ascii="Verdana" w:hAnsi="Verdana" w:cs="Tahoma"/>
          <w:color w:val="auto"/>
          <w:sz w:val="20"/>
          <w:szCs w:val="20"/>
          <w:lang w:eastAsia="x-none"/>
        </w:rPr>
      </w:pPr>
      <w:bookmarkStart w:id="115" w:name="_Toc532214929"/>
      <w:r w:rsidRPr="00FE610C">
        <w:rPr>
          <w:rFonts w:ascii="Verdana" w:hAnsi="Verdana" w:cs="Tahoma"/>
          <w:color w:val="auto"/>
          <w:sz w:val="20"/>
          <w:szCs w:val="20"/>
          <w:lang w:eastAsia="x-none"/>
        </w:rPr>
        <w:t>Medidas de satisfacción</w:t>
      </w:r>
      <w:bookmarkEnd w:id="115"/>
    </w:p>
    <w:p w14:paraId="2EB35C91" w14:textId="77777777" w:rsidR="00A73AFA" w:rsidRDefault="00A73AFA" w:rsidP="001E6219">
      <w:pPr>
        <w:pStyle w:val="Estilo1"/>
        <w:tabs>
          <w:tab w:val="left" w:pos="0"/>
        </w:tabs>
        <w:spacing w:after="0"/>
        <w:ind w:left="708" w:right="855" w:firstLine="0"/>
        <w:rPr>
          <w:i w:val="0"/>
          <w:szCs w:val="20"/>
          <w:lang w:val="es-ES"/>
        </w:rPr>
      </w:pPr>
    </w:p>
    <w:p w14:paraId="4EC87761" w14:textId="77A86A79" w:rsidR="00720A55" w:rsidRDefault="00720A55" w:rsidP="001E6219">
      <w:pPr>
        <w:pStyle w:val="Estilo1"/>
        <w:numPr>
          <w:ilvl w:val="0"/>
          <w:numId w:val="2"/>
        </w:numPr>
        <w:tabs>
          <w:tab w:val="left" w:pos="0"/>
        </w:tabs>
        <w:spacing w:after="0"/>
        <w:ind w:left="0" w:right="-4" w:firstLine="0"/>
        <w:rPr>
          <w:i w:val="0"/>
          <w:szCs w:val="20"/>
          <w:lang w:val="es-ES"/>
        </w:rPr>
      </w:pPr>
      <w:r w:rsidRPr="00532C3B">
        <w:rPr>
          <w:i w:val="0"/>
          <w:szCs w:val="20"/>
          <w:lang w:val="es-ES"/>
        </w:rPr>
        <w:t>En el Acuerdo, el Estado mexicano se comprometió a lo siguiente:</w:t>
      </w:r>
    </w:p>
    <w:p w14:paraId="69D48293" w14:textId="77777777" w:rsidR="00720A55" w:rsidRPr="00532C3B" w:rsidRDefault="00720A55" w:rsidP="001E6219">
      <w:pPr>
        <w:pStyle w:val="Estilo1"/>
        <w:tabs>
          <w:tab w:val="left" w:pos="0"/>
        </w:tabs>
        <w:spacing w:after="0"/>
        <w:ind w:left="708" w:right="855" w:firstLine="0"/>
        <w:rPr>
          <w:i w:val="0"/>
          <w:szCs w:val="20"/>
          <w:lang w:val="es-ES"/>
        </w:rPr>
      </w:pPr>
    </w:p>
    <w:p w14:paraId="233C8B35" w14:textId="4A45299A" w:rsidR="00104683" w:rsidRPr="00976EF1" w:rsidRDefault="00104683" w:rsidP="001E6219">
      <w:pPr>
        <w:pStyle w:val="Estilo1"/>
        <w:numPr>
          <w:ilvl w:val="0"/>
          <w:numId w:val="27"/>
        </w:numPr>
        <w:tabs>
          <w:tab w:val="left" w:pos="0"/>
        </w:tabs>
        <w:spacing w:after="0"/>
        <w:ind w:left="567" w:right="571" w:hanging="11"/>
        <w:rPr>
          <w:b/>
          <w:i w:val="0"/>
          <w:sz w:val="18"/>
          <w:szCs w:val="18"/>
        </w:rPr>
      </w:pPr>
      <w:r w:rsidRPr="00976EF1">
        <w:rPr>
          <w:sz w:val="18"/>
          <w:szCs w:val="18"/>
          <w:lang w:val="es-ES"/>
        </w:rPr>
        <w:t>Proyecto productivo para el señor</w:t>
      </w:r>
      <w:r w:rsidR="00956F8B">
        <w:rPr>
          <w:sz w:val="18"/>
          <w:szCs w:val="18"/>
          <w:lang w:val="es-ES"/>
        </w:rPr>
        <w:t xml:space="preserve"> Eleazar Heric Trueba Arciniega</w:t>
      </w:r>
    </w:p>
    <w:p w14:paraId="38DB1E49" w14:textId="77777777" w:rsidR="00A73AFA" w:rsidRPr="00FF1EE2" w:rsidRDefault="00A73AFA" w:rsidP="001E6219">
      <w:pPr>
        <w:ind w:left="567" w:hanging="11"/>
        <w:rPr>
          <w:b/>
          <w:szCs w:val="20"/>
        </w:rPr>
      </w:pPr>
    </w:p>
    <w:p w14:paraId="2DB5FB1D" w14:textId="3E1451D6" w:rsidR="00104683" w:rsidRDefault="00BB19F3" w:rsidP="001E6219">
      <w:pPr>
        <w:ind w:left="567" w:right="567" w:hanging="11"/>
        <w:rPr>
          <w:sz w:val="18"/>
          <w:szCs w:val="20"/>
          <w:lang w:val="es-ES"/>
        </w:rPr>
      </w:pPr>
      <w:r>
        <w:rPr>
          <w:sz w:val="18"/>
          <w:szCs w:val="20"/>
          <w:lang w:val="es-ES"/>
        </w:rPr>
        <w:t xml:space="preserve">El [Estado mexicano] a través del Fideicomiso para el Cumplimiento de Obligaciones en Materia de Derechos Humanos que administra la UDDH de la SEGOB, proporcionará al señor Eleazar Heric Trueba Arciniega, un pago único </w:t>
      </w:r>
      <w:r w:rsidR="00E179ED">
        <w:rPr>
          <w:sz w:val="18"/>
          <w:szCs w:val="20"/>
          <w:lang w:val="es-ES"/>
        </w:rPr>
        <w:t>[de una cantidad de dinero acordada por las partes y establecida en el Acuerdo]</w:t>
      </w:r>
      <w:r>
        <w:rPr>
          <w:sz w:val="18"/>
          <w:szCs w:val="20"/>
          <w:lang w:val="es-ES"/>
        </w:rPr>
        <w:t xml:space="preserve"> para que los destine a generar un proyecto productivo de su elección, que le permita tener una actividad productiva lícita. </w:t>
      </w:r>
    </w:p>
    <w:p w14:paraId="05E18E62" w14:textId="77777777" w:rsidR="00BB19F3" w:rsidRDefault="00BB19F3" w:rsidP="001E6219">
      <w:pPr>
        <w:ind w:left="567" w:right="567" w:hanging="11"/>
        <w:rPr>
          <w:sz w:val="18"/>
          <w:szCs w:val="20"/>
          <w:lang w:val="es-ES"/>
        </w:rPr>
      </w:pPr>
    </w:p>
    <w:p w14:paraId="3CEC2842" w14:textId="7C2EC4CA" w:rsidR="00BB19F3" w:rsidRPr="000F79D1" w:rsidRDefault="00BB19F3" w:rsidP="001E6219">
      <w:pPr>
        <w:ind w:left="567" w:right="567" w:hanging="11"/>
        <w:rPr>
          <w:sz w:val="18"/>
          <w:szCs w:val="20"/>
          <w:lang w:val="es-ES"/>
        </w:rPr>
      </w:pPr>
      <w:r>
        <w:rPr>
          <w:sz w:val="18"/>
          <w:szCs w:val="20"/>
          <w:lang w:val="es-ES"/>
        </w:rPr>
        <w:t>El [Estado mexicano] a través de la Unidad para la Defensa de los Derechos Humanos de la Secretaría de Gobernación se compromete a presentar en un plazo que no exceda de 6 meses posteriores a la firma y homologación del presente acuerdo de solución amistosa, ante el Comité del Fideicomiso referido en el párrafo que antecede, dicha propuesta para que, previa autorización, se realice la reserva patrimonial correspondiente y se proceda a la en</w:t>
      </w:r>
      <w:r w:rsidR="00956F8B">
        <w:rPr>
          <w:sz w:val="18"/>
          <w:szCs w:val="20"/>
          <w:lang w:val="es-ES"/>
        </w:rPr>
        <w:t>trega del monto al beneficiario</w:t>
      </w:r>
      <w:r w:rsidRPr="00BB19F3">
        <w:rPr>
          <w:sz w:val="18"/>
          <w:szCs w:val="18"/>
        </w:rPr>
        <w:t>.</w:t>
      </w:r>
    </w:p>
    <w:p w14:paraId="66ED8195" w14:textId="77777777" w:rsidR="00A73AFA" w:rsidRPr="00532C3B" w:rsidRDefault="00A73AFA" w:rsidP="001E6219">
      <w:pPr>
        <w:ind w:left="567" w:right="855" w:hanging="11"/>
        <w:rPr>
          <w:szCs w:val="20"/>
          <w:lang w:val="es-ES"/>
        </w:rPr>
      </w:pPr>
    </w:p>
    <w:p w14:paraId="396F48B9" w14:textId="7D1E1848" w:rsidR="00104683" w:rsidRPr="00976EF1" w:rsidRDefault="00104683" w:rsidP="001E6219">
      <w:pPr>
        <w:pStyle w:val="Estilo1"/>
        <w:numPr>
          <w:ilvl w:val="0"/>
          <w:numId w:val="27"/>
        </w:numPr>
        <w:tabs>
          <w:tab w:val="left" w:pos="0"/>
        </w:tabs>
        <w:spacing w:after="0"/>
        <w:ind w:left="567" w:right="571" w:hanging="11"/>
        <w:rPr>
          <w:b/>
          <w:i w:val="0"/>
          <w:sz w:val="18"/>
          <w:szCs w:val="18"/>
        </w:rPr>
      </w:pPr>
      <w:r w:rsidRPr="00976EF1">
        <w:rPr>
          <w:sz w:val="18"/>
          <w:szCs w:val="18"/>
          <w:lang w:val="es-ES"/>
        </w:rPr>
        <w:t>Entrega de vivienda y entrega de muebles a la señora Micaela Arciniega Cevallos (quien acostumbra también usar indistintamente el nombre de Micaela Arciniega Ceballos) y su hijo Elea</w:t>
      </w:r>
      <w:r w:rsidR="00956F8B">
        <w:rPr>
          <w:sz w:val="18"/>
          <w:szCs w:val="18"/>
          <w:lang w:val="es-ES"/>
        </w:rPr>
        <w:t>zar Heric Trueba Arciniega</w:t>
      </w:r>
    </w:p>
    <w:p w14:paraId="380FC45D" w14:textId="77777777" w:rsidR="00A73AFA" w:rsidRPr="00532C3B" w:rsidRDefault="00A73AFA" w:rsidP="001E6219">
      <w:pPr>
        <w:ind w:left="567" w:hanging="11"/>
        <w:rPr>
          <w:szCs w:val="20"/>
        </w:rPr>
      </w:pPr>
    </w:p>
    <w:p w14:paraId="7D45BC17" w14:textId="742C34BD" w:rsidR="00104683" w:rsidRPr="000F79D1" w:rsidRDefault="00104683" w:rsidP="001E6219">
      <w:pPr>
        <w:ind w:left="567" w:right="567" w:hanging="11"/>
        <w:rPr>
          <w:sz w:val="18"/>
          <w:szCs w:val="20"/>
        </w:rPr>
      </w:pPr>
      <w:r w:rsidRPr="000F79D1">
        <w:rPr>
          <w:sz w:val="18"/>
          <w:szCs w:val="20"/>
        </w:rPr>
        <w:t>El [Estado mexicano]</w:t>
      </w:r>
      <w:r w:rsidR="00BB19F3">
        <w:rPr>
          <w:sz w:val="18"/>
          <w:szCs w:val="20"/>
        </w:rPr>
        <w:t>, previa inscripción de los beneficiarios en el Registro Nacional de Víctimas,</w:t>
      </w:r>
      <w:r w:rsidRPr="000F79D1">
        <w:rPr>
          <w:sz w:val="18"/>
          <w:szCs w:val="20"/>
        </w:rPr>
        <w:t xml:space="preserve"> entregará los recursos para la compra de una vivienda para la señora Micaela Arciniega Cevallos (quien acostumbra también utilizar indistintamente el</w:t>
      </w:r>
      <w:r w:rsidR="00956F8B">
        <w:rPr>
          <w:sz w:val="18"/>
          <w:szCs w:val="20"/>
        </w:rPr>
        <w:t xml:space="preserve"> nombre de Micaela Arciniega Ceb</w:t>
      </w:r>
      <w:r w:rsidRPr="000F79D1">
        <w:rPr>
          <w:sz w:val="18"/>
          <w:szCs w:val="20"/>
        </w:rPr>
        <w:t>allos) y el señor Eleazar Heric Trueba Arciniega a través de la Comisión Ejecutiva de Atención a Víctimas (CEAV), la misma se ubicará en el Barrio Insurgente o en la Colonia Loma Dorada o en el Fraccionamiento Los Moros en la Ciudad de Chihuhua, Estado del mismo nombre.</w:t>
      </w:r>
    </w:p>
    <w:p w14:paraId="774DCB38" w14:textId="77777777" w:rsidR="00104683" w:rsidRPr="000F79D1" w:rsidRDefault="00104683" w:rsidP="001E6219">
      <w:pPr>
        <w:ind w:left="567" w:right="567" w:hanging="11"/>
        <w:rPr>
          <w:sz w:val="18"/>
          <w:szCs w:val="20"/>
        </w:rPr>
      </w:pPr>
    </w:p>
    <w:p w14:paraId="7E7A0FC3" w14:textId="77777777" w:rsidR="00104683" w:rsidRPr="000F79D1" w:rsidRDefault="00104683" w:rsidP="001E6219">
      <w:pPr>
        <w:ind w:left="567" w:right="567" w:hanging="11"/>
        <w:rPr>
          <w:sz w:val="18"/>
          <w:szCs w:val="20"/>
        </w:rPr>
      </w:pPr>
      <w:r w:rsidRPr="000F79D1">
        <w:rPr>
          <w:sz w:val="18"/>
          <w:szCs w:val="20"/>
        </w:rPr>
        <w:t>La vivienda tendrá al menos 4 habitaciones, un salón comedor, una cocina equipada, 2 baños, lavandería y un patio grande. El [Estado mexicano] entregará la vivienda totalmente amueblada.</w:t>
      </w:r>
    </w:p>
    <w:p w14:paraId="2BBBA5C0" w14:textId="77777777" w:rsidR="00104683" w:rsidRPr="000F79D1" w:rsidRDefault="00104683" w:rsidP="001E6219">
      <w:pPr>
        <w:ind w:left="567" w:right="567" w:hanging="11"/>
        <w:rPr>
          <w:sz w:val="18"/>
          <w:szCs w:val="20"/>
        </w:rPr>
      </w:pPr>
    </w:p>
    <w:p w14:paraId="58D27E9B" w14:textId="083DF7EB" w:rsidR="00104683" w:rsidRPr="000F79D1" w:rsidRDefault="00104683" w:rsidP="001E6219">
      <w:pPr>
        <w:ind w:left="567" w:right="567" w:hanging="11"/>
        <w:rPr>
          <w:sz w:val="18"/>
          <w:szCs w:val="20"/>
        </w:rPr>
      </w:pPr>
      <w:r w:rsidRPr="000F79D1">
        <w:rPr>
          <w:sz w:val="18"/>
          <w:szCs w:val="20"/>
        </w:rPr>
        <w:t>Asimismo, el [Estado mexicano] se compromete a realizar la entrega de la vivienda en un plazo de seis (6) meses a partir de la firma del presente [Acuerdo]</w:t>
      </w:r>
      <w:r w:rsidR="00C95100">
        <w:rPr>
          <w:sz w:val="18"/>
          <w:szCs w:val="20"/>
        </w:rPr>
        <w:t xml:space="preserve"> previa obtención del Registro Nacional de Víctimas</w:t>
      </w:r>
      <w:r w:rsidRPr="000F79D1">
        <w:rPr>
          <w:sz w:val="18"/>
          <w:szCs w:val="20"/>
        </w:rPr>
        <w:t>.</w:t>
      </w:r>
    </w:p>
    <w:p w14:paraId="1E4FE191" w14:textId="77777777" w:rsidR="00104683" w:rsidRPr="000F79D1" w:rsidRDefault="00104683" w:rsidP="001E6219">
      <w:pPr>
        <w:ind w:left="567" w:right="567" w:hanging="11"/>
        <w:rPr>
          <w:sz w:val="18"/>
          <w:szCs w:val="20"/>
        </w:rPr>
      </w:pPr>
    </w:p>
    <w:p w14:paraId="798D48AC" w14:textId="7FF952C4" w:rsidR="00104683" w:rsidRPr="000F79D1" w:rsidRDefault="00104683" w:rsidP="001E6219">
      <w:pPr>
        <w:ind w:left="567" w:right="567" w:hanging="11"/>
        <w:rPr>
          <w:sz w:val="18"/>
          <w:szCs w:val="20"/>
        </w:rPr>
      </w:pPr>
      <w:r w:rsidRPr="000F79D1">
        <w:rPr>
          <w:sz w:val="18"/>
          <w:szCs w:val="20"/>
        </w:rPr>
        <w:t>La [UDDH] de la [SEGOB] y la [CEAV]</w:t>
      </w:r>
      <w:r w:rsidR="00C95100">
        <w:rPr>
          <w:sz w:val="18"/>
          <w:szCs w:val="20"/>
        </w:rPr>
        <w:t>,</w:t>
      </w:r>
      <w:r w:rsidRPr="000F79D1">
        <w:rPr>
          <w:sz w:val="18"/>
          <w:szCs w:val="20"/>
        </w:rPr>
        <w:t xml:space="preserve"> gestionarán lo relacionado con esta medida de reparación.</w:t>
      </w:r>
    </w:p>
    <w:p w14:paraId="3C29D5E3" w14:textId="77777777" w:rsidR="00104683" w:rsidRPr="00532C3B" w:rsidRDefault="00104683" w:rsidP="001E6219">
      <w:pPr>
        <w:ind w:left="567" w:right="855" w:hanging="11"/>
        <w:rPr>
          <w:szCs w:val="20"/>
        </w:rPr>
      </w:pPr>
    </w:p>
    <w:p w14:paraId="2BFF326B" w14:textId="0BEB4ED0" w:rsidR="00104683" w:rsidRPr="00976EF1" w:rsidRDefault="00104683" w:rsidP="001E6219">
      <w:pPr>
        <w:pStyle w:val="Estilo1"/>
        <w:numPr>
          <w:ilvl w:val="0"/>
          <w:numId w:val="27"/>
        </w:numPr>
        <w:tabs>
          <w:tab w:val="left" w:pos="0"/>
        </w:tabs>
        <w:spacing w:after="0"/>
        <w:ind w:left="567" w:right="571" w:hanging="11"/>
        <w:rPr>
          <w:sz w:val="18"/>
          <w:szCs w:val="18"/>
        </w:rPr>
      </w:pPr>
      <w:r w:rsidRPr="00976EF1">
        <w:rPr>
          <w:sz w:val="18"/>
          <w:szCs w:val="18"/>
        </w:rPr>
        <w:t xml:space="preserve">Mejoras de mantenimiento a la vivienda del señor José Tomás Trueba Loera </w:t>
      </w:r>
    </w:p>
    <w:p w14:paraId="783DFB40" w14:textId="77777777" w:rsidR="00104683" w:rsidRPr="00532C3B" w:rsidRDefault="00104683" w:rsidP="001E6219">
      <w:pPr>
        <w:ind w:left="567" w:right="855" w:hanging="11"/>
        <w:rPr>
          <w:i/>
          <w:szCs w:val="20"/>
        </w:rPr>
      </w:pPr>
    </w:p>
    <w:p w14:paraId="7CDCB1EB" w14:textId="2733E321" w:rsidR="00104683" w:rsidRPr="000F79D1" w:rsidRDefault="00104683" w:rsidP="001E6219">
      <w:pPr>
        <w:ind w:left="567" w:right="567" w:hanging="11"/>
        <w:rPr>
          <w:sz w:val="18"/>
          <w:szCs w:val="20"/>
        </w:rPr>
      </w:pPr>
      <w:r w:rsidRPr="000F79D1">
        <w:rPr>
          <w:sz w:val="18"/>
          <w:szCs w:val="20"/>
        </w:rPr>
        <w:t xml:space="preserve">El [Estado mexicano] se compromete a </w:t>
      </w:r>
      <w:r w:rsidR="00C95100">
        <w:rPr>
          <w:sz w:val="18"/>
          <w:szCs w:val="20"/>
        </w:rPr>
        <w:t>entregar un monto por única ocasión para que se procedan a realizar las mejoras necesarias en</w:t>
      </w:r>
      <w:r w:rsidRPr="000F79D1">
        <w:rPr>
          <w:sz w:val="18"/>
          <w:szCs w:val="20"/>
        </w:rPr>
        <w:t xml:space="preserve"> la casa del señor Tomás Trueba Loera (quien acostumbra también utilizar indistintamente el nombre de Tomás Trueba Loera), que se ubica en Baborigame, Estado de Chihu</w:t>
      </w:r>
      <w:r w:rsidR="00535F39">
        <w:rPr>
          <w:sz w:val="18"/>
          <w:szCs w:val="20"/>
        </w:rPr>
        <w:t>a</w:t>
      </w:r>
      <w:r w:rsidRPr="000F79D1">
        <w:rPr>
          <w:sz w:val="18"/>
          <w:szCs w:val="20"/>
        </w:rPr>
        <w:t>hua.</w:t>
      </w:r>
    </w:p>
    <w:p w14:paraId="39A28553" w14:textId="77777777" w:rsidR="00104683" w:rsidRPr="000F79D1" w:rsidRDefault="00104683" w:rsidP="001E6219">
      <w:pPr>
        <w:ind w:left="567" w:right="567" w:hanging="11"/>
        <w:rPr>
          <w:sz w:val="18"/>
          <w:szCs w:val="20"/>
        </w:rPr>
      </w:pPr>
    </w:p>
    <w:p w14:paraId="2AE18BDC" w14:textId="6CE12942" w:rsidR="00104683" w:rsidRPr="000F79D1" w:rsidRDefault="00104683" w:rsidP="001E6219">
      <w:pPr>
        <w:ind w:left="567" w:right="567" w:hanging="11"/>
        <w:rPr>
          <w:sz w:val="18"/>
          <w:szCs w:val="20"/>
        </w:rPr>
      </w:pPr>
      <w:r w:rsidRPr="000F79D1">
        <w:rPr>
          <w:sz w:val="18"/>
          <w:szCs w:val="20"/>
        </w:rPr>
        <w:t xml:space="preserve">De acuerdo con dos visitas de inspección a la casa que habita el señor Tomás Trueba Loera, se pudo precisar que la remodelación de la casa requiere una inversión </w:t>
      </w:r>
      <w:r w:rsidR="00E179ED">
        <w:rPr>
          <w:sz w:val="18"/>
          <w:szCs w:val="20"/>
          <w:lang w:val="es-ES"/>
        </w:rPr>
        <w:t>[de una cantidad de dinero acordada por las partes y establecida en el Acuerdo]</w:t>
      </w:r>
      <w:r w:rsidRPr="000F79D1">
        <w:rPr>
          <w:sz w:val="18"/>
          <w:szCs w:val="20"/>
        </w:rPr>
        <w:t>, por lo que dicho monto será entregado al beneficiario a través de la [CEAV]</w:t>
      </w:r>
      <w:r w:rsidR="00C95100">
        <w:rPr>
          <w:sz w:val="18"/>
          <w:szCs w:val="20"/>
        </w:rPr>
        <w:t>, previa obtención de su registro en el Registro Nacional de Víctimas</w:t>
      </w:r>
      <w:r w:rsidRPr="000F79D1">
        <w:rPr>
          <w:sz w:val="18"/>
          <w:szCs w:val="20"/>
        </w:rPr>
        <w:t>.</w:t>
      </w:r>
    </w:p>
    <w:p w14:paraId="29BF2E12" w14:textId="77777777" w:rsidR="00104683" w:rsidRPr="000F79D1" w:rsidRDefault="00104683" w:rsidP="001E6219">
      <w:pPr>
        <w:ind w:left="567" w:right="567" w:hanging="11"/>
        <w:rPr>
          <w:sz w:val="18"/>
          <w:szCs w:val="20"/>
        </w:rPr>
      </w:pPr>
    </w:p>
    <w:p w14:paraId="2ECB7C28" w14:textId="77777777" w:rsidR="00C95100" w:rsidRDefault="00C95100" w:rsidP="001E6219">
      <w:pPr>
        <w:ind w:left="567" w:right="567" w:hanging="11"/>
        <w:rPr>
          <w:sz w:val="18"/>
          <w:szCs w:val="20"/>
        </w:rPr>
      </w:pPr>
      <w:r>
        <w:rPr>
          <w:sz w:val="18"/>
          <w:szCs w:val="20"/>
        </w:rPr>
        <w:t>Asimismo, la representación se compromete a brindar el apoyo que requieran las víctimas para el efectivo proceso de reconstrucción de la vivienda hasta la total ejecución de las mejoras programadas.</w:t>
      </w:r>
    </w:p>
    <w:p w14:paraId="5762EF7D" w14:textId="77777777" w:rsidR="00C95100" w:rsidRDefault="00C95100" w:rsidP="001E6219">
      <w:pPr>
        <w:ind w:left="567" w:right="567" w:hanging="11"/>
        <w:rPr>
          <w:sz w:val="18"/>
          <w:szCs w:val="20"/>
        </w:rPr>
      </w:pPr>
    </w:p>
    <w:p w14:paraId="7962CBB8" w14:textId="3FE9AB8B" w:rsidR="00104683" w:rsidRDefault="00C95100" w:rsidP="001E6219">
      <w:pPr>
        <w:ind w:left="567" w:right="567" w:hanging="11"/>
        <w:rPr>
          <w:sz w:val="18"/>
          <w:szCs w:val="20"/>
        </w:rPr>
      </w:pPr>
      <w:r>
        <w:rPr>
          <w:sz w:val="18"/>
          <w:szCs w:val="20"/>
        </w:rPr>
        <w:t>El [Estado mexicano] se compromete a entregar el recurso para las mejoras en un plazo de seis (6) meses a partir de la firma del presente [Acuerdo], previa obtención del Registro Nacional de Víctimas.</w:t>
      </w:r>
    </w:p>
    <w:p w14:paraId="39886078" w14:textId="77777777" w:rsidR="00C95100" w:rsidRDefault="00C95100" w:rsidP="001E6219">
      <w:pPr>
        <w:ind w:left="567" w:right="567" w:hanging="11"/>
        <w:rPr>
          <w:sz w:val="18"/>
          <w:szCs w:val="20"/>
        </w:rPr>
      </w:pPr>
    </w:p>
    <w:p w14:paraId="1247A167" w14:textId="703AC85B" w:rsidR="00C95100" w:rsidRPr="000F79D1" w:rsidRDefault="00C95100" w:rsidP="001E6219">
      <w:pPr>
        <w:ind w:left="567" w:right="567" w:hanging="11"/>
        <w:rPr>
          <w:sz w:val="18"/>
          <w:szCs w:val="20"/>
        </w:rPr>
      </w:pPr>
      <w:r>
        <w:rPr>
          <w:sz w:val="18"/>
          <w:szCs w:val="20"/>
        </w:rPr>
        <w:t>La [UDDH] de la [SEGOB], la [CEAV] y los representantes, gestionarán lo relacionado con esta medida de reparación.</w:t>
      </w:r>
    </w:p>
    <w:p w14:paraId="5E2E3DAA" w14:textId="77777777" w:rsidR="00104683" w:rsidRPr="00532C3B" w:rsidRDefault="00104683" w:rsidP="001E6219">
      <w:pPr>
        <w:ind w:left="567" w:right="855" w:hanging="11"/>
        <w:rPr>
          <w:szCs w:val="20"/>
        </w:rPr>
      </w:pPr>
    </w:p>
    <w:p w14:paraId="2F008B49" w14:textId="6FC3CD06" w:rsidR="00104683" w:rsidRPr="00853A72" w:rsidRDefault="00104683" w:rsidP="001E6219">
      <w:pPr>
        <w:pStyle w:val="Estilo1"/>
        <w:numPr>
          <w:ilvl w:val="0"/>
          <w:numId w:val="27"/>
        </w:numPr>
        <w:tabs>
          <w:tab w:val="left" w:pos="0"/>
        </w:tabs>
        <w:spacing w:after="0"/>
        <w:ind w:left="567" w:right="-4" w:hanging="11"/>
        <w:rPr>
          <w:sz w:val="18"/>
          <w:szCs w:val="18"/>
        </w:rPr>
      </w:pPr>
      <w:r w:rsidRPr="00853A72">
        <w:rPr>
          <w:sz w:val="18"/>
          <w:szCs w:val="18"/>
        </w:rPr>
        <w:t>Apoyo alimentario</w:t>
      </w:r>
    </w:p>
    <w:p w14:paraId="42EC31E8" w14:textId="77777777" w:rsidR="00104683" w:rsidRPr="00532C3B" w:rsidRDefault="00104683" w:rsidP="001E6219">
      <w:pPr>
        <w:ind w:left="567" w:right="855" w:hanging="11"/>
        <w:rPr>
          <w:szCs w:val="20"/>
        </w:rPr>
      </w:pPr>
    </w:p>
    <w:p w14:paraId="7A436892" w14:textId="77777777" w:rsidR="00104683" w:rsidRPr="000F79D1" w:rsidRDefault="00104683" w:rsidP="001E6219">
      <w:pPr>
        <w:ind w:left="567" w:right="567" w:hanging="11"/>
        <w:rPr>
          <w:sz w:val="18"/>
          <w:szCs w:val="20"/>
        </w:rPr>
      </w:pPr>
      <w:r w:rsidRPr="000F79D1">
        <w:rPr>
          <w:sz w:val="18"/>
          <w:szCs w:val="20"/>
        </w:rPr>
        <w:t xml:space="preserve">El [Estado mexicano] continuará proporcionando una canasta básica mensual hasta diciembre del año 2022 y por un periodo de cinco (5) años, a los padres de Mirey Trueba Arciniega. El [Estado mexicano] garantizará que dicha canasta básica contenga todos los productos señalados en la lista de productos de la canasta básica elaborada por el Instituto Nacional de Estadística y Geografía, misma que debe ser actualizada anualmente. </w:t>
      </w:r>
    </w:p>
    <w:p w14:paraId="070F9A56" w14:textId="77777777" w:rsidR="00104683" w:rsidRPr="000F79D1" w:rsidRDefault="00104683" w:rsidP="001E6219">
      <w:pPr>
        <w:ind w:left="567" w:right="567" w:hanging="11"/>
        <w:rPr>
          <w:sz w:val="18"/>
          <w:szCs w:val="20"/>
        </w:rPr>
      </w:pPr>
    </w:p>
    <w:p w14:paraId="7CA07AEE" w14:textId="27BE1DFF" w:rsidR="00104683" w:rsidRDefault="00104683" w:rsidP="001E6219">
      <w:pPr>
        <w:ind w:left="567" w:right="567" w:hanging="11"/>
        <w:rPr>
          <w:szCs w:val="20"/>
        </w:rPr>
      </w:pPr>
      <w:r w:rsidRPr="000F79D1">
        <w:rPr>
          <w:sz w:val="18"/>
          <w:szCs w:val="20"/>
        </w:rPr>
        <w:t>La [UDDH] de la [SEGOB] y la [CEAV], gestionará lo relacionado con esta medida de reparación</w:t>
      </w:r>
      <w:r w:rsidRPr="00BB19F3">
        <w:rPr>
          <w:sz w:val="18"/>
          <w:szCs w:val="20"/>
        </w:rPr>
        <w:t>.</w:t>
      </w:r>
      <w:r w:rsidRPr="00532C3B">
        <w:rPr>
          <w:szCs w:val="20"/>
        </w:rPr>
        <w:t xml:space="preserve"> </w:t>
      </w:r>
    </w:p>
    <w:p w14:paraId="7C28CE45" w14:textId="77777777" w:rsidR="00C233FA" w:rsidRDefault="00C233FA" w:rsidP="001E6219">
      <w:pPr>
        <w:ind w:left="567" w:right="567" w:hanging="11"/>
        <w:rPr>
          <w:szCs w:val="20"/>
        </w:rPr>
      </w:pPr>
    </w:p>
    <w:p w14:paraId="32C17FBF" w14:textId="3A17F53C" w:rsidR="00C233FA" w:rsidRPr="00853A72" w:rsidRDefault="00C233FA" w:rsidP="001E6219">
      <w:pPr>
        <w:pStyle w:val="Estilo1"/>
        <w:numPr>
          <w:ilvl w:val="0"/>
          <w:numId w:val="27"/>
        </w:numPr>
        <w:tabs>
          <w:tab w:val="left" w:pos="0"/>
        </w:tabs>
        <w:spacing w:after="0"/>
        <w:ind w:left="567" w:right="-4" w:hanging="11"/>
        <w:rPr>
          <w:rFonts w:cs="Arial"/>
          <w:i w:val="0"/>
          <w:sz w:val="18"/>
          <w:szCs w:val="18"/>
        </w:rPr>
      </w:pPr>
      <w:r w:rsidRPr="00853A72">
        <w:rPr>
          <w:rFonts w:cs="Arial"/>
          <w:sz w:val="18"/>
          <w:szCs w:val="18"/>
        </w:rPr>
        <w:t>Acto público de reconocimiento de responsabilidad</w:t>
      </w:r>
    </w:p>
    <w:p w14:paraId="444E9495" w14:textId="77777777" w:rsidR="00C233FA" w:rsidRPr="00532C3B" w:rsidRDefault="00C233FA" w:rsidP="001E6219">
      <w:pPr>
        <w:pStyle w:val="ListParagraph"/>
        <w:ind w:left="567" w:hanging="11"/>
        <w:rPr>
          <w:rFonts w:cs="Arial"/>
          <w:i/>
          <w:szCs w:val="20"/>
        </w:rPr>
      </w:pPr>
    </w:p>
    <w:p w14:paraId="15A6FBF0" w14:textId="77777777" w:rsidR="00C233FA" w:rsidRPr="000F79D1" w:rsidRDefault="00C233FA" w:rsidP="001E6219">
      <w:pPr>
        <w:ind w:left="567" w:right="567" w:hanging="11"/>
        <w:rPr>
          <w:rFonts w:cs="Arial"/>
          <w:sz w:val="18"/>
          <w:szCs w:val="20"/>
        </w:rPr>
      </w:pPr>
      <w:r w:rsidRPr="000F79D1">
        <w:rPr>
          <w:rFonts w:cs="Arial"/>
          <w:sz w:val="18"/>
          <w:szCs w:val="20"/>
        </w:rPr>
        <w:t>Sobre el reconocimiento de la responsabilidad de los hechos, el [Estado mexicano] realizará un acto presidido por el Subsecretario de Derechos Humanos de la [SEGOB]</w:t>
      </w:r>
      <w:r w:rsidRPr="000F79D1">
        <w:rPr>
          <w:rFonts w:cs="Arial"/>
          <w:b/>
          <w:sz w:val="18"/>
          <w:szCs w:val="20"/>
        </w:rPr>
        <w:t>,</w:t>
      </w:r>
      <w:r w:rsidRPr="000F79D1">
        <w:rPr>
          <w:rFonts w:cs="Arial"/>
          <w:sz w:val="18"/>
          <w:szCs w:val="20"/>
        </w:rPr>
        <w:t xml:space="preserve"> el Subsecretario de Asuntos Multilaterales y Derechos Humanos de la SRE y contará con la presencia del personal de la Secretaría de la Defensa Nacional (SEDENA).</w:t>
      </w:r>
    </w:p>
    <w:p w14:paraId="421BD791" w14:textId="77777777" w:rsidR="00C233FA" w:rsidRPr="000F79D1" w:rsidRDefault="00C233FA" w:rsidP="001E6219">
      <w:pPr>
        <w:ind w:left="567" w:right="567" w:hanging="11"/>
        <w:rPr>
          <w:rFonts w:cs="Arial"/>
          <w:sz w:val="18"/>
          <w:szCs w:val="20"/>
        </w:rPr>
      </w:pPr>
    </w:p>
    <w:p w14:paraId="4129A40D" w14:textId="77777777" w:rsidR="00C233FA" w:rsidRPr="000F79D1" w:rsidRDefault="00C233FA" w:rsidP="001E6219">
      <w:pPr>
        <w:ind w:left="567" w:right="567" w:hanging="11"/>
        <w:rPr>
          <w:rFonts w:cs="Arial"/>
          <w:sz w:val="18"/>
          <w:szCs w:val="20"/>
        </w:rPr>
      </w:pPr>
      <w:r w:rsidRPr="000F79D1">
        <w:rPr>
          <w:rFonts w:cs="Arial"/>
          <w:sz w:val="18"/>
          <w:szCs w:val="20"/>
        </w:rPr>
        <w:t>Para el acto de reconocimiento, el [Estado mexicano] elaborará y leerá un texto rubricado, tomando como base los hechos probados por la [CIDH]. Este texto será además publicado en el Diario Oficial de la Federación y en un diario impreso de amplia circulación en el Estado de Chihuahua por una única vez; asimismo, el texto será publicado en la página principal de los sitios de internet de la [SEGOB] y la [SRE] por un plazo de doce (12) meses a partir de la firma del presente [Acuerdo].</w:t>
      </w:r>
    </w:p>
    <w:p w14:paraId="75876069" w14:textId="77777777" w:rsidR="00C233FA" w:rsidRPr="000F79D1" w:rsidRDefault="00C233FA" w:rsidP="001E6219">
      <w:pPr>
        <w:ind w:left="567" w:right="567" w:hanging="11"/>
        <w:rPr>
          <w:rFonts w:cs="Arial"/>
          <w:sz w:val="18"/>
          <w:szCs w:val="20"/>
        </w:rPr>
      </w:pPr>
    </w:p>
    <w:p w14:paraId="658A863E" w14:textId="77777777" w:rsidR="00C233FA" w:rsidRPr="000F79D1" w:rsidRDefault="00C233FA" w:rsidP="001E6219">
      <w:pPr>
        <w:ind w:left="567" w:right="567" w:hanging="11"/>
        <w:rPr>
          <w:rFonts w:cs="Arial"/>
          <w:sz w:val="18"/>
          <w:szCs w:val="20"/>
        </w:rPr>
      </w:pPr>
      <w:r w:rsidRPr="000F79D1">
        <w:rPr>
          <w:rFonts w:cs="Arial"/>
          <w:sz w:val="18"/>
          <w:szCs w:val="20"/>
        </w:rPr>
        <w:lastRenderedPageBreak/>
        <w:t>El texto será elaborado por el Subsecretario de Derechos Humanos de la [SEGOB] y el Subsecretario para Asuntos Multilaterales y Derechos Humanos de la [SER] mediante el cual se reconozca la responsabilidad internacional en la que incurrió el [Estado mexicano]. Antes de hacerlo público, la propuesta de texto será consensuada con las víctimas.</w:t>
      </w:r>
    </w:p>
    <w:p w14:paraId="0E4CDA29" w14:textId="77777777" w:rsidR="00C233FA" w:rsidRPr="000F79D1" w:rsidRDefault="00C233FA" w:rsidP="001E6219">
      <w:pPr>
        <w:ind w:left="567" w:right="567" w:hanging="11"/>
        <w:rPr>
          <w:rFonts w:cs="Arial"/>
          <w:sz w:val="18"/>
          <w:szCs w:val="20"/>
        </w:rPr>
      </w:pPr>
    </w:p>
    <w:p w14:paraId="3559FE02" w14:textId="2DC8080A" w:rsidR="00C233FA" w:rsidRPr="000F79D1" w:rsidRDefault="00C233FA" w:rsidP="001E6219">
      <w:pPr>
        <w:ind w:left="567" w:right="567" w:hanging="11"/>
        <w:rPr>
          <w:rFonts w:cs="Arial"/>
          <w:sz w:val="18"/>
          <w:szCs w:val="20"/>
        </w:rPr>
      </w:pPr>
      <w:r w:rsidRPr="000F79D1">
        <w:rPr>
          <w:rFonts w:cs="Arial"/>
          <w:sz w:val="18"/>
          <w:szCs w:val="20"/>
        </w:rPr>
        <w:t xml:space="preserve">El [Estado mexicano] se compromete a presentar un cronograma para el cumplimiento de esta medida en un plazo de </w:t>
      </w:r>
      <w:r w:rsidR="00C95100">
        <w:rPr>
          <w:rFonts w:cs="Arial"/>
          <w:sz w:val="18"/>
          <w:szCs w:val="20"/>
        </w:rPr>
        <w:t xml:space="preserve">tres (3) meses y a dar cabal </w:t>
      </w:r>
      <w:r w:rsidRPr="000F79D1">
        <w:rPr>
          <w:rFonts w:cs="Arial"/>
          <w:sz w:val="18"/>
          <w:szCs w:val="20"/>
        </w:rPr>
        <w:t>cumplimiento de la misma en un plazo de seis (6) meses, a partir de la firma del presente [Acuerdo].</w:t>
      </w:r>
    </w:p>
    <w:p w14:paraId="58726585" w14:textId="77777777" w:rsidR="00C233FA" w:rsidRPr="000F79D1" w:rsidRDefault="00C233FA" w:rsidP="001E6219">
      <w:pPr>
        <w:ind w:left="567" w:right="567" w:hanging="11"/>
        <w:rPr>
          <w:rFonts w:cs="Arial"/>
          <w:sz w:val="18"/>
          <w:szCs w:val="20"/>
        </w:rPr>
      </w:pPr>
    </w:p>
    <w:p w14:paraId="37AD9481" w14:textId="4B48E1F1" w:rsidR="00C233FA" w:rsidRDefault="00C233FA" w:rsidP="001E6219">
      <w:pPr>
        <w:ind w:left="567" w:right="567" w:hanging="11"/>
        <w:rPr>
          <w:rFonts w:cs="Arial"/>
          <w:sz w:val="18"/>
          <w:szCs w:val="20"/>
        </w:rPr>
      </w:pPr>
      <w:r w:rsidRPr="000F79D1">
        <w:rPr>
          <w:rFonts w:cs="Arial"/>
          <w:sz w:val="18"/>
          <w:szCs w:val="20"/>
        </w:rPr>
        <w:t>La [UDDH]</w:t>
      </w:r>
      <w:r w:rsidRPr="000F79D1">
        <w:rPr>
          <w:rFonts w:cs="Arial"/>
          <w:b/>
          <w:sz w:val="18"/>
          <w:szCs w:val="20"/>
        </w:rPr>
        <w:t xml:space="preserve"> </w:t>
      </w:r>
      <w:r w:rsidRPr="000F79D1">
        <w:rPr>
          <w:rFonts w:cs="Arial"/>
          <w:sz w:val="18"/>
          <w:szCs w:val="20"/>
        </w:rPr>
        <w:t>de la [SEGOB], gestionarán lo relacionado con esta medida de reparación.</w:t>
      </w:r>
    </w:p>
    <w:p w14:paraId="5CD1069B" w14:textId="77777777" w:rsidR="00C233FA" w:rsidRDefault="00C233FA" w:rsidP="001E6219">
      <w:pPr>
        <w:ind w:right="567"/>
        <w:rPr>
          <w:rFonts w:cs="Arial"/>
          <w:sz w:val="18"/>
          <w:szCs w:val="20"/>
        </w:rPr>
      </w:pPr>
    </w:p>
    <w:p w14:paraId="683C5AF5" w14:textId="77777777" w:rsidR="00C233FA" w:rsidRPr="000F79D1" w:rsidRDefault="00C233FA" w:rsidP="001E6219">
      <w:pPr>
        <w:pStyle w:val="Heading2"/>
        <w:numPr>
          <w:ilvl w:val="0"/>
          <w:numId w:val="24"/>
        </w:numPr>
        <w:spacing w:before="0"/>
        <w:rPr>
          <w:rFonts w:ascii="Verdana" w:hAnsi="Verdana" w:cs="Tahoma"/>
          <w:color w:val="auto"/>
          <w:sz w:val="20"/>
          <w:szCs w:val="20"/>
          <w:lang w:eastAsia="x-none"/>
        </w:rPr>
      </w:pPr>
      <w:bookmarkStart w:id="116" w:name="_Toc532214930"/>
      <w:r w:rsidRPr="000F79D1">
        <w:rPr>
          <w:rFonts w:ascii="Verdana" w:hAnsi="Verdana" w:cs="Tahoma"/>
          <w:color w:val="auto"/>
          <w:sz w:val="20"/>
          <w:szCs w:val="20"/>
          <w:lang w:eastAsia="x-none"/>
        </w:rPr>
        <w:t>Garantías de no repetición</w:t>
      </w:r>
      <w:bookmarkEnd w:id="116"/>
    </w:p>
    <w:p w14:paraId="6E7A55CC" w14:textId="77777777" w:rsidR="00C233FA" w:rsidRPr="00532C3B" w:rsidRDefault="00C233FA" w:rsidP="001E6219">
      <w:pPr>
        <w:rPr>
          <w:szCs w:val="20"/>
          <w:lang w:eastAsia="x-none"/>
        </w:rPr>
      </w:pPr>
    </w:p>
    <w:p w14:paraId="663A696B" w14:textId="5918ACD9" w:rsidR="00C233FA" w:rsidRPr="00532C3B" w:rsidRDefault="00C233FA" w:rsidP="001E6219">
      <w:pPr>
        <w:pStyle w:val="ListParagraph"/>
        <w:numPr>
          <w:ilvl w:val="0"/>
          <w:numId w:val="2"/>
        </w:numPr>
        <w:ind w:left="0" w:right="4" w:firstLine="0"/>
        <w:rPr>
          <w:rFonts w:cs="Arial"/>
          <w:szCs w:val="20"/>
        </w:rPr>
      </w:pPr>
      <w:r w:rsidRPr="00532C3B">
        <w:rPr>
          <w:szCs w:val="20"/>
          <w:lang w:val="es-ES"/>
        </w:rPr>
        <w:t>En el Acuerdo, el Estado mexicano se comprometió a lo siguiente:</w:t>
      </w:r>
    </w:p>
    <w:p w14:paraId="69EB26E1" w14:textId="77777777" w:rsidR="00C233FA" w:rsidRPr="00532C3B" w:rsidRDefault="00C233FA" w:rsidP="001E6219">
      <w:pPr>
        <w:rPr>
          <w:szCs w:val="20"/>
        </w:rPr>
      </w:pPr>
    </w:p>
    <w:p w14:paraId="7D3F6CFC" w14:textId="0E1F84FE" w:rsidR="00C233FA" w:rsidRPr="00976EF1" w:rsidRDefault="00C95100" w:rsidP="00C95100">
      <w:pPr>
        <w:pStyle w:val="ListParagraph"/>
        <w:ind w:left="567"/>
        <w:rPr>
          <w:rFonts w:cs="Arial"/>
          <w:i/>
          <w:sz w:val="18"/>
          <w:szCs w:val="18"/>
        </w:rPr>
      </w:pPr>
      <w:r>
        <w:rPr>
          <w:rFonts w:cs="Arial"/>
          <w:i/>
          <w:sz w:val="18"/>
          <w:szCs w:val="18"/>
        </w:rPr>
        <w:t xml:space="preserve">D.1 </w:t>
      </w:r>
      <w:r w:rsidR="00C233FA" w:rsidRPr="00976EF1">
        <w:rPr>
          <w:rFonts w:cs="Arial"/>
          <w:i/>
          <w:sz w:val="18"/>
          <w:szCs w:val="18"/>
        </w:rPr>
        <w:t>Capacitaciones a agentes estatales</w:t>
      </w:r>
    </w:p>
    <w:p w14:paraId="05450B4B" w14:textId="77777777" w:rsidR="00C233FA" w:rsidRPr="00532C3B" w:rsidRDefault="00C233FA" w:rsidP="001E6219">
      <w:pPr>
        <w:ind w:right="855"/>
        <w:rPr>
          <w:rFonts w:cs="Arial"/>
          <w:szCs w:val="20"/>
        </w:rPr>
      </w:pPr>
    </w:p>
    <w:p w14:paraId="44CEE695" w14:textId="77777777" w:rsidR="00C233FA" w:rsidRPr="000F79D1" w:rsidRDefault="00C233FA" w:rsidP="001E6219">
      <w:pPr>
        <w:ind w:left="567" w:right="567"/>
        <w:rPr>
          <w:rFonts w:cs="Arial"/>
          <w:sz w:val="18"/>
          <w:szCs w:val="20"/>
        </w:rPr>
      </w:pPr>
      <w:r w:rsidRPr="000F79D1">
        <w:rPr>
          <w:rFonts w:cs="Arial"/>
          <w:sz w:val="18"/>
          <w:szCs w:val="20"/>
        </w:rPr>
        <w:t>El Estado se compromete a implementar cursos de capacitación a las fuerzas armadas en los siguientes temas:</w:t>
      </w:r>
    </w:p>
    <w:p w14:paraId="5070ADA8" w14:textId="77777777" w:rsidR="00C233FA" w:rsidRPr="000F79D1" w:rsidRDefault="00C233FA" w:rsidP="001E6219">
      <w:pPr>
        <w:ind w:left="708" w:right="855"/>
        <w:rPr>
          <w:rFonts w:cs="Arial"/>
          <w:sz w:val="18"/>
          <w:szCs w:val="20"/>
        </w:rPr>
      </w:pPr>
    </w:p>
    <w:p w14:paraId="0DC2E378" w14:textId="77777777" w:rsidR="00C233FA" w:rsidRPr="000F79D1" w:rsidRDefault="00C233FA" w:rsidP="00962795">
      <w:pPr>
        <w:pStyle w:val="ListParagraph"/>
        <w:numPr>
          <w:ilvl w:val="0"/>
          <w:numId w:val="19"/>
        </w:numPr>
        <w:ind w:left="1418" w:right="855"/>
        <w:rPr>
          <w:rFonts w:cs="Arial"/>
          <w:sz w:val="18"/>
          <w:szCs w:val="20"/>
        </w:rPr>
      </w:pPr>
      <w:r w:rsidRPr="000F79D1">
        <w:rPr>
          <w:rFonts w:cs="Arial"/>
          <w:sz w:val="18"/>
          <w:szCs w:val="20"/>
        </w:rPr>
        <w:t>Estándares sobre el empleo y uso excesivo de la fuerza.</w:t>
      </w:r>
    </w:p>
    <w:p w14:paraId="089D397B" w14:textId="4100801F" w:rsidR="00C233FA" w:rsidRPr="000F79D1" w:rsidRDefault="00C233FA" w:rsidP="00962795">
      <w:pPr>
        <w:pStyle w:val="ListParagraph"/>
        <w:numPr>
          <w:ilvl w:val="0"/>
          <w:numId w:val="19"/>
        </w:numPr>
        <w:ind w:left="1418" w:right="855"/>
        <w:rPr>
          <w:rFonts w:cs="Arial"/>
          <w:sz w:val="18"/>
          <w:szCs w:val="20"/>
        </w:rPr>
      </w:pPr>
      <w:r w:rsidRPr="000F79D1">
        <w:rPr>
          <w:rFonts w:cs="Arial"/>
          <w:sz w:val="18"/>
          <w:szCs w:val="20"/>
        </w:rPr>
        <w:t>Estándares de Derechos Humanos sobre seguridad ciudadana.</w:t>
      </w:r>
    </w:p>
    <w:p w14:paraId="12B2D0B8" w14:textId="77777777" w:rsidR="00C233FA" w:rsidRPr="000F79D1" w:rsidRDefault="00C233FA" w:rsidP="001E6219">
      <w:pPr>
        <w:pStyle w:val="ListParagraph"/>
        <w:ind w:left="1428" w:right="855"/>
        <w:rPr>
          <w:rFonts w:cs="Arial"/>
          <w:sz w:val="18"/>
          <w:szCs w:val="20"/>
        </w:rPr>
      </w:pPr>
    </w:p>
    <w:p w14:paraId="70FDDCB0" w14:textId="77777777" w:rsidR="00C233FA" w:rsidRDefault="00C233FA" w:rsidP="00962795">
      <w:pPr>
        <w:ind w:leftChars="283" w:left="566" w:right="567" w:firstLine="1"/>
        <w:rPr>
          <w:rFonts w:cs="Arial"/>
          <w:sz w:val="18"/>
          <w:szCs w:val="20"/>
        </w:rPr>
      </w:pPr>
      <w:r w:rsidRPr="000F79D1">
        <w:rPr>
          <w:rFonts w:cs="Arial"/>
          <w:sz w:val="18"/>
          <w:szCs w:val="20"/>
        </w:rPr>
        <w:t>Para ello, tomará en consideración los estándares internacionales desarrollados en la materia, en particular los Principios Básicos sobre el Empleo de la Fuerza y de Armas de Fuego por los Funcionarios Encargados de hacer cumplir la Ley de Naciones Unidas.</w:t>
      </w:r>
    </w:p>
    <w:p w14:paraId="56082E78" w14:textId="77777777" w:rsidR="00C233FA" w:rsidRDefault="00C233FA" w:rsidP="00962795">
      <w:pPr>
        <w:ind w:leftChars="283" w:left="566" w:right="567" w:firstLine="567"/>
        <w:rPr>
          <w:rFonts w:cs="Arial"/>
          <w:sz w:val="18"/>
          <w:szCs w:val="20"/>
        </w:rPr>
      </w:pPr>
    </w:p>
    <w:p w14:paraId="12EB860A" w14:textId="77777777" w:rsidR="00C233FA" w:rsidRPr="000F79D1" w:rsidRDefault="00C233FA" w:rsidP="00962795">
      <w:pPr>
        <w:ind w:leftChars="283" w:left="566" w:right="567" w:firstLine="1"/>
        <w:rPr>
          <w:rFonts w:cs="Arial"/>
          <w:sz w:val="18"/>
          <w:szCs w:val="20"/>
        </w:rPr>
      </w:pPr>
      <w:r w:rsidRPr="000F79D1">
        <w:rPr>
          <w:rFonts w:cs="Arial"/>
          <w:sz w:val="18"/>
          <w:szCs w:val="20"/>
        </w:rPr>
        <w:t>Dichos cursos deberán ser impartidos por la [SEDENA] de manera sostenida y permanente.</w:t>
      </w:r>
    </w:p>
    <w:p w14:paraId="7081FC4E" w14:textId="77777777" w:rsidR="00C233FA" w:rsidRPr="000F79D1" w:rsidRDefault="00C233FA" w:rsidP="00962795">
      <w:pPr>
        <w:ind w:leftChars="283" w:left="566" w:right="567" w:firstLine="1"/>
        <w:rPr>
          <w:rFonts w:cs="Arial"/>
          <w:sz w:val="18"/>
          <w:szCs w:val="20"/>
        </w:rPr>
      </w:pPr>
    </w:p>
    <w:p w14:paraId="45B931E6" w14:textId="77777777" w:rsidR="00C233FA" w:rsidRPr="000F79D1" w:rsidRDefault="00C233FA" w:rsidP="00962795">
      <w:pPr>
        <w:ind w:leftChars="283" w:left="566" w:right="567" w:firstLine="1"/>
        <w:rPr>
          <w:rFonts w:cs="Arial"/>
          <w:sz w:val="18"/>
          <w:szCs w:val="20"/>
        </w:rPr>
      </w:pPr>
      <w:r w:rsidRPr="000F79D1">
        <w:rPr>
          <w:rFonts w:cs="Arial"/>
          <w:sz w:val="18"/>
          <w:szCs w:val="20"/>
        </w:rPr>
        <w:t>Asimismo, el [Estado mexicano] se compromete a desarrollar indicadores que permitan evaluar los resultados e impacto de estas capacitaciones.</w:t>
      </w:r>
    </w:p>
    <w:p w14:paraId="6CBC1E3E" w14:textId="77777777" w:rsidR="00C233FA" w:rsidRPr="000F79D1" w:rsidRDefault="00C233FA" w:rsidP="00962795">
      <w:pPr>
        <w:ind w:leftChars="283" w:left="566" w:right="567" w:firstLine="1"/>
        <w:rPr>
          <w:rFonts w:cs="Arial"/>
          <w:sz w:val="18"/>
          <w:szCs w:val="20"/>
        </w:rPr>
      </w:pPr>
    </w:p>
    <w:p w14:paraId="07E11AA0" w14:textId="77777777" w:rsidR="00C233FA" w:rsidRPr="000F79D1" w:rsidRDefault="00C233FA" w:rsidP="00962795">
      <w:pPr>
        <w:ind w:leftChars="283" w:left="566" w:right="567" w:firstLine="1"/>
        <w:rPr>
          <w:rFonts w:cs="Arial"/>
          <w:sz w:val="18"/>
          <w:szCs w:val="20"/>
        </w:rPr>
      </w:pPr>
      <w:r w:rsidRPr="000F79D1">
        <w:rPr>
          <w:rFonts w:cs="Arial"/>
          <w:sz w:val="18"/>
          <w:szCs w:val="20"/>
        </w:rPr>
        <w:t>Respecto de esta medida el [Estado mexicano] se compromete a presentar un cronograma para explicitar cuándo y de qué manera llevará adelante su cumplimiento, así como los indicadores de resultados de las mismas, en un plazo de seis (6) meses a partir de la firma del presente [Acuerdo].</w:t>
      </w:r>
    </w:p>
    <w:p w14:paraId="61C72764" w14:textId="77777777" w:rsidR="00C233FA" w:rsidRPr="000F79D1" w:rsidRDefault="00C233FA" w:rsidP="00962795">
      <w:pPr>
        <w:ind w:leftChars="283" w:left="566" w:right="567" w:firstLine="1"/>
        <w:rPr>
          <w:rFonts w:cs="Arial"/>
          <w:sz w:val="18"/>
          <w:szCs w:val="20"/>
        </w:rPr>
      </w:pPr>
    </w:p>
    <w:p w14:paraId="303F1B2B" w14:textId="77777777" w:rsidR="00C233FA" w:rsidRPr="000F79D1" w:rsidRDefault="00C233FA" w:rsidP="00962795">
      <w:pPr>
        <w:ind w:leftChars="283" w:left="566" w:right="567" w:firstLine="1"/>
        <w:rPr>
          <w:rFonts w:cs="Arial"/>
          <w:sz w:val="18"/>
          <w:szCs w:val="20"/>
        </w:rPr>
      </w:pPr>
      <w:r w:rsidRPr="000F79D1">
        <w:rPr>
          <w:rFonts w:cs="Arial"/>
          <w:sz w:val="18"/>
          <w:szCs w:val="20"/>
        </w:rPr>
        <w:t xml:space="preserve">[Las partes] solicitan que la [Corte IDH] dé seguimiento a esta medida por un periodo de 2 años, en el cual valorará la implementación y resultados de la misma y, en virtud de ello, determinará si resulta necesario mantener la supervisión del cumplimiento sobre esta. </w:t>
      </w:r>
    </w:p>
    <w:p w14:paraId="0002136C" w14:textId="77777777" w:rsidR="00C233FA" w:rsidRPr="000F79D1" w:rsidRDefault="00C233FA" w:rsidP="00962795">
      <w:pPr>
        <w:ind w:leftChars="283" w:left="566" w:right="567" w:firstLine="1"/>
        <w:rPr>
          <w:rFonts w:cs="Arial"/>
          <w:sz w:val="18"/>
          <w:szCs w:val="20"/>
        </w:rPr>
      </w:pPr>
    </w:p>
    <w:p w14:paraId="6AAFBEB2" w14:textId="291DB743" w:rsidR="00C233FA" w:rsidRPr="000F79D1" w:rsidRDefault="00C233FA" w:rsidP="00962795">
      <w:pPr>
        <w:ind w:leftChars="283" w:left="566" w:right="567" w:firstLine="1"/>
        <w:rPr>
          <w:rFonts w:cs="Arial"/>
          <w:sz w:val="18"/>
          <w:szCs w:val="20"/>
        </w:rPr>
      </w:pPr>
      <w:r w:rsidRPr="000F79D1">
        <w:rPr>
          <w:rFonts w:cs="Arial"/>
          <w:sz w:val="18"/>
          <w:szCs w:val="20"/>
        </w:rPr>
        <w:t>La [UDDH] de la [SEGOB] y la [SEDENA] gestionarán lo relacionado con esta medida de reparación.</w:t>
      </w:r>
    </w:p>
    <w:p w14:paraId="73338FCC" w14:textId="77777777" w:rsidR="00C233FA" w:rsidRPr="00532C3B" w:rsidRDefault="00C233FA" w:rsidP="00962795">
      <w:pPr>
        <w:ind w:right="855" w:firstLine="1"/>
        <w:rPr>
          <w:rFonts w:cs="Arial"/>
          <w:szCs w:val="20"/>
        </w:rPr>
      </w:pPr>
    </w:p>
    <w:p w14:paraId="1C208AB6" w14:textId="67D115FF" w:rsidR="00C233FA" w:rsidRPr="00976EF1" w:rsidRDefault="00C95100" w:rsidP="00C95100">
      <w:pPr>
        <w:pStyle w:val="ListParagraph"/>
        <w:ind w:left="567"/>
        <w:rPr>
          <w:rFonts w:cs="Arial"/>
          <w:i/>
          <w:sz w:val="18"/>
          <w:szCs w:val="18"/>
        </w:rPr>
      </w:pPr>
      <w:r>
        <w:rPr>
          <w:rFonts w:cs="Arial"/>
          <w:i/>
          <w:sz w:val="18"/>
          <w:szCs w:val="18"/>
        </w:rPr>
        <w:t xml:space="preserve">D.2. </w:t>
      </w:r>
      <w:r w:rsidR="00C233FA" w:rsidRPr="00976EF1">
        <w:rPr>
          <w:rFonts w:cs="Arial"/>
          <w:i/>
          <w:sz w:val="18"/>
          <w:szCs w:val="18"/>
        </w:rPr>
        <w:t>Fortalecer a las autoridades a cargo de la investigación y el juzgamiento de este tipo de casos.</w:t>
      </w:r>
    </w:p>
    <w:p w14:paraId="27761680" w14:textId="77777777" w:rsidR="00C233FA" w:rsidRPr="00CD33EA" w:rsidRDefault="00C233FA" w:rsidP="001E6219">
      <w:pPr>
        <w:ind w:left="360" w:right="855"/>
        <w:rPr>
          <w:rFonts w:cs="Arial"/>
          <w:szCs w:val="20"/>
        </w:rPr>
      </w:pPr>
    </w:p>
    <w:p w14:paraId="7849F0AE" w14:textId="77777777" w:rsidR="00C233FA" w:rsidRPr="00807D53" w:rsidRDefault="00C233FA" w:rsidP="001E6219">
      <w:pPr>
        <w:ind w:left="567" w:right="567"/>
        <w:rPr>
          <w:rFonts w:cs="Arial"/>
          <w:sz w:val="18"/>
          <w:szCs w:val="20"/>
        </w:rPr>
      </w:pPr>
      <w:r w:rsidRPr="00807D53">
        <w:rPr>
          <w:rFonts w:cs="Arial"/>
          <w:sz w:val="18"/>
          <w:szCs w:val="20"/>
        </w:rPr>
        <w:t>El [Estado mexicano]</w:t>
      </w:r>
      <w:r w:rsidRPr="00807D53">
        <w:rPr>
          <w:rFonts w:cs="Arial"/>
          <w:b/>
          <w:sz w:val="18"/>
          <w:szCs w:val="20"/>
        </w:rPr>
        <w:t xml:space="preserve"> </w:t>
      </w:r>
      <w:r w:rsidRPr="00807D53">
        <w:rPr>
          <w:rFonts w:cs="Arial"/>
          <w:sz w:val="18"/>
          <w:szCs w:val="20"/>
        </w:rPr>
        <w:t>a través de la [PGR], implementará un programa permanente de capacitación para los agentes del Ministerio Público de la Federación, sobre los siguientes temas, que incluyen los estándares desarrollados en el “Informe de Fondo 47/16”, a saber:</w:t>
      </w:r>
    </w:p>
    <w:p w14:paraId="47A34EA7" w14:textId="77777777" w:rsidR="00C233FA" w:rsidRPr="00807D53" w:rsidRDefault="00C233FA" w:rsidP="001E6219">
      <w:pPr>
        <w:ind w:left="708" w:right="855"/>
        <w:rPr>
          <w:rFonts w:cs="Arial"/>
          <w:sz w:val="18"/>
          <w:szCs w:val="20"/>
        </w:rPr>
      </w:pPr>
    </w:p>
    <w:p w14:paraId="5F0D37DB" w14:textId="54ED90AB" w:rsidR="00C233FA" w:rsidRPr="00807D53" w:rsidRDefault="00C233FA" w:rsidP="001E6219">
      <w:pPr>
        <w:pStyle w:val="ListParagraph"/>
        <w:numPr>
          <w:ilvl w:val="0"/>
          <w:numId w:val="20"/>
        </w:numPr>
        <w:ind w:right="855"/>
        <w:rPr>
          <w:rFonts w:cs="Arial"/>
          <w:sz w:val="18"/>
          <w:szCs w:val="20"/>
        </w:rPr>
      </w:pPr>
      <w:r w:rsidRPr="00807D53">
        <w:rPr>
          <w:rFonts w:cs="Arial"/>
          <w:sz w:val="18"/>
          <w:szCs w:val="20"/>
        </w:rPr>
        <w:t>Debida diligencia en las investigaciones por violaciones de derechos humanos cometidas por la</w:t>
      </w:r>
      <w:r w:rsidR="00064014">
        <w:rPr>
          <w:rFonts w:cs="Arial"/>
          <w:sz w:val="18"/>
          <w:szCs w:val="20"/>
        </w:rPr>
        <w:t>s</w:t>
      </w:r>
      <w:r w:rsidRPr="00807D53">
        <w:rPr>
          <w:rFonts w:cs="Arial"/>
          <w:sz w:val="18"/>
          <w:szCs w:val="20"/>
        </w:rPr>
        <w:t xml:space="preserve"> fuerzas de seguridad;</w:t>
      </w:r>
    </w:p>
    <w:p w14:paraId="1924A893" w14:textId="77777777" w:rsidR="00C233FA" w:rsidRPr="00807D53" w:rsidRDefault="00C233FA" w:rsidP="001E6219">
      <w:pPr>
        <w:pStyle w:val="ListParagraph"/>
        <w:numPr>
          <w:ilvl w:val="0"/>
          <w:numId w:val="20"/>
        </w:numPr>
        <w:ind w:right="855"/>
        <w:rPr>
          <w:rFonts w:cs="Arial"/>
          <w:sz w:val="18"/>
          <w:szCs w:val="20"/>
        </w:rPr>
      </w:pPr>
      <w:r w:rsidRPr="00807D53">
        <w:rPr>
          <w:rFonts w:cs="Arial"/>
          <w:sz w:val="18"/>
          <w:szCs w:val="20"/>
        </w:rPr>
        <w:t>Uso excesivo de la fuerza a la luz de los estándares internacionales, y</w:t>
      </w:r>
    </w:p>
    <w:p w14:paraId="2E63C4FA" w14:textId="77777777" w:rsidR="00C233FA" w:rsidRPr="00807D53" w:rsidRDefault="00C233FA" w:rsidP="001E6219">
      <w:pPr>
        <w:pStyle w:val="ListParagraph"/>
        <w:numPr>
          <w:ilvl w:val="0"/>
          <w:numId w:val="20"/>
        </w:numPr>
        <w:ind w:right="855"/>
        <w:rPr>
          <w:rFonts w:cs="Arial"/>
          <w:sz w:val="18"/>
          <w:szCs w:val="20"/>
        </w:rPr>
      </w:pPr>
      <w:r w:rsidRPr="00807D53">
        <w:rPr>
          <w:rFonts w:cs="Arial"/>
          <w:sz w:val="18"/>
          <w:szCs w:val="20"/>
        </w:rPr>
        <w:lastRenderedPageBreak/>
        <w:t>Las garantías procesales para las víctimas de violaciones a derechos humanos.</w:t>
      </w:r>
    </w:p>
    <w:p w14:paraId="44887FCA" w14:textId="77777777" w:rsidR="00C233FA" w:rsidRPr="00807D53" w:rsidRDefault="00C233FA" w:rsidP="001E6219">
      <w:pPr>
        <w:pStyle w:val="ListParagraph"/>
        <w:ind w:right="855"/>
        <w:rPr>
          <w:rFonts w:cs="Arial"/>
          <w:sz w:val="18"/>
          <w:szCs w:val="20"/>
        </w:rPr>
      </w:pPr>
    </w:p>
    <w:p w14:paraId="439B4179" w14:textId="77777777" w:rsidR="00C233FA" w:rsidRPr="00807D53" w:rsidRDefault="00C233FA" w:rsidP="001E6219">
      <w:pPr>
        <w:ind w:left="567" w:right="567"/>
        <w:rPr>
          <w:rFonts w:cs="Arial"/>
          <w:sz w:val="18"/>
          <w:szCs w:val="20"/>
        </w:rPr>
      </w:pPr>
      <w:r w:rsidRPr="00807D53">
        <w:rPr>
          <w:rFonts w:cs="Arial"/>
          <w:sz w:val="18"/>
          <w:szCs w:val="20"/>
        </w:rPr>
        <w:t>[Las partes] solicitan de manera común que la [Corte IDH] dé seguimiento a esta medida por un periodo de 2 años, en el cual valorará la implementación y resultados de la misma y, en virtud de ello, determinará si resulta necesario mantener la supervisión del cumplimiento sobre esta.</w:t>
      </w:r>
    </w:p>
    <w:p w14:paraId="362B97AC" w14:textId="77777777" w:rsidR="00C233FA" w:rsidRPr="00807D53" w:rsidRDefault="00C233FA" w:rsidP="001E6219">
      <w:pPr>
        <w:ind w:left="567" w:right="567"/>
        <w:rPr>
          <w:rFonts w:cs="Arial"/>
          <w:sz w:val="18"/>
          <w:szCs w:val="20"/>
        </w:rPr>
      </w:pPr>
    </w:p>
    <w:p w14:paraId="41667DB9" w14:textId="136296F7" w:rsidR="00C233FA" w:rsidRDefault="00C233FA" w:rsidP="001E6219">
      <w:pPr>
        <w:ind w:left="567" w:right="567"/>
        <w:rPr>
          <w:rFonts w:cs="Arial"/>
          <w:sz w:val="18"/>
          <w:szCs w:val="20"/>
        </w:rPr>
      </w:pPr>
      <w:r w:rsidRPr="00807D53">
        <w:rPr>
          <w:rFonts w:cs="Arial"/>
          <w:sz w:val="18"/>
          <w:szCs w:val="20"/>
        </w:rPr>
        <w:t>El [Estado mexicano] se compromete a presentar un cronograma para explicitar cuándo y de qué manera llevará adelante esta medida, así como las evaluaciones del impacto de la misma, en un plazo de seis (6) meses a partir de la firma del presente [Acuerdo].</w:t>
      </w:r>
    </w:p>
    <w:p w14:paraId="2381DCCD" w14:textId="77777777" w:rsidR="001E6219" w:rsidRPr="00807D53" w:rsidRDefault="001E6219" w:rsidP="001E6219">
      <w:pPr>
        <w:ind w:right="567"/>
        <w:rPr>
          <w:rFonts w:cs="Arial"/>
          <w:sz w:val="18"/>
          <w:szCs w:val="20"/>
        </w:rPr>
      </w:pPr>
    </w:p>
    <w:p w14:paraId="04387904" w14:textId="2DA6EC6B" w:rsidR="00C233FA" w:rsidRDefault="00720A55" w:rsidP="001E6219">
      <w:pPr>
        <w:pStyle w:val="Heading2"/>
        <w:numPr>
          <w:ilvl w:val="0"/>
          <w:numId w:val="24"/>
        </w:numPr>
        <w:spacing w:before="0"/>
        <w:rPr>
          <w:rFonts w:ascii="Verdana" w:hAnsi="Verdana"/>
          <w:color w:val="auto"/>
          <w:sz w:val="20"/>
          <w:szCs w:val="20"/>
        </w:rPr>
      </w:pPr>
      <w:bookmarkStart w:id="117" w:name="_Toc532214931"/>
      <w:r w:rsidRPr="00720A55">
        <w:rPr>
          <w:rFonts w:ascii="Verdana" w:hAnsi="Verdana"/>
          <w:color w:val="auto"/>
          <w:sz w:val="20"/>
          <w:szCs w:val="20"/>
        </w:rPr>
        <w:t>Indemnizaciones compensatorias</w:t>
      </w:r>
      <w:bookmarkEnd w:id="117"/>
    </w:p>
    <w:p w14:paraId="0A4A23D5" w14:textId="77777777" w:rsidR="00090143" w:rsidRDefault="00090143" w:rsidP="001E6219"/>
    <w:p w14:paraId="1A8F4C8C" w14:textId="5BCAA1A3" w:rsidR="00090143" w:rsidRPr="00853A72" w:rsidRDefault="00090143" w:rsidP="001E6219">
      <w:pPr>
        <w:pStyle w:val="ListParagraph"/>
        <w:numPr>
          <w:ilvl w:val="0"/>
          <w:numId w:val="2"/>
        </w:numPr>
        <w:ind w:left="0" w:right="4" w:firstLine="0"/>
      </w:pPr>
      <w:r w:rsidRPr="00853A72">
        <w:rPr>
          <w:szCs w:val="20"/>
          <w:lang w:val="es-ES"/>
        </w:rPr>
        <w:t>En el Acuerdo, el Estado mexicano se comprometió a lo siguiente:</w:t>
      </w:r>
    </w:p>
    <w:p w14:paraId="0AF0B1FE" w14:textId="77777777" w:rsidR="00C233FA" w:rsidRDefault="00C233FA" w:rsidP="001E6219">
      <w:pPr>
        <w:ind w:right="567"/>
        <w:rPr>
          <w:szCs w:val="20"/>
        </w:rPr>
      </w:pPr>
    </w:p>
    <w:p w14:paraId="0B7BA177" w14:textId="08523C0D" w:rsidR="00104683" w:rsidRPr="00976EF1" w:rsidRDefault="00104683" w:rsidP="001E6219">
      <w:pPr>
        <w:pStyle w:val="Estilo1"/>
        <w:numPr>
          <w:ilvl w:val="0"/>
          <w:numId w:val="28"/>
        </w:numPr>
        <w:tabs>
          <w:tab w:val="left" w:pos="0"/>
        </w:tabs>
        <w:spacing w:after="0"/>
        <w:ind w:left="567" w:right="-4" w:firstLine="0"/>
        <w:rPr>
          <w:sz w:val="18"/>
          <w:szCs w:val="18"/>
        </w:rPr>
      </w:pPr>
      <w:r w:rsidRPr="00976EF1">
        <w:rPr>
          <w:sz w:val="18"/>
          <w:szCs w:val="18"/>
        </w:rPr>
        <w:t xml:space="preserve">Reparación económica del daño </w:t>
      </w:r>
    </w:p>
    <w:p w14:paraId="20EE01E3" w14:textId="77777777" w:rsidR="00104683" w:rsidRPr="00532C3B" w:rsidRDefault="00104683" w:rsidP="001E6219">
      <w:pPr>
        <w:ind w:right="855"/>
        <w:rPr>
          <w:szCs w:val="20"/>
        </w:rPr>
      </w:pPr>
    </w:p>
    <w:p w14:paraId="65CB2905" w14:textId="299EF19D" w:rsidR="00104683" w:rsidRPr="000F79D1" w:rsidRDefault="00104683" w:rsidP="001E6219">
      <w:pPr>
        <w:ind w:left="567" w:right="567"/>
        <w:rPr>
          <w:sz w:val="18"/>
          <w:szCs w:val="20"/>
        </w:rPr>
      </w:pPr>
      <w:r w:rsidRPr="000F79D1">
        <w:rPr>
          <w:sz w:val="18"/>
          <w:szCs w:val="20"/>
        </w:rPr>
        <w:t xml:space="preserve">El [Estado mexicano] se comprometió a pagar la suma total por daño moral / inmaterial y lucro cesante </w:t>
      </w:r>
      <w:r w:rsidR="00E179ED">
        <w:rPr>
          <w:sz w:val="18"/>
          <w:szCs w:val="20"/>
          <w:lang w:val="es-ES"/>
        </w:rPr>
        <w:t>[de una cantidad de dinero acordada por las partes y establecida en el Acuerdo]</w:t>
      </w:r>
      <w:r w:rsidRPr="000F79D1">
        <w:rPr>
          <w:sz w:val="18"/>
          <w:szCs w:val="20"/>
        </w:rPr>
        <w:t>, monto que habría sido aprobado por el Comité Técnico del Fideicomiso el 9 de abril de 2018.</w:t>
      </w:r>
    </w:p>
    <w:p w14:paraId="3DF19090" w14:textId="77777777" w:rsidR="00104683" w:rsidRPr="000F79D1" w:rsidRDefault="00104683" w:rsidP="001E6219">
      <w:pPr>
        <w:ind w:left="567" w:right="567"/>
        <w:rPr>
          <w:sz w:val="18"/>
          <w:szCs w:val="20"/>
        </w:rPr>
      </w:pPr>
    </w:p>
    <w:p w14:paraId="7743C5CB" w14:textId="2661335B" w:rsidR="00104683" w:rsidRPr="000F79D1" w:rsidRDefault="00104683" w:rsidP="001E6219">
      <w:pPr>
        <w:ind w:left="567" w:right="567"/>
        <w:rPr>
          <w:sz w:val="18"/>
          <w:szCs w:val="20"/>
        </w:rPr>
      </w:pPr>
      <w:r w:rsidRPr="000F79D1">
        <w:rPr>
          <w:sz w:val="18"/>
          <w:szCs w:val="20"/>
        </w:rPr>
        <w:t xml:space="preserve">Esta suma, correspondería a un total </w:t>
      </w:r>
      <w:r w:rsidR="00E179ED">
        <w:rPr>
          <w:sz w:val="18"/>
          <w:szCs w:val="20"/>
          <w:lang w:val="es-ES"/>
        </w:rPr>
        <w:t>[de una cantidad de dinero acordada por las partes y establecida en el Acuerdo]</w:t>
      </w:r>
      <w:r w:rsidRPr="000F79D1">
        <w:rPr>
          <w:sz w:val="18"/>
          <w:szCs w:val="20"/>
        </w:rPr>
        <w:t xml:space="preserve"> por concepto de lucro cesante a favor de Mirey Trueba Arciniega y </w:t>
      </w:r>
      <w:r w:rsidR="00E179ED">
        <w:rPr>
          <w:sz w:val="18"/>
          <w:szCs w:val="20"/>
          <w:lang w:val="es-ES"/>
        </w:rPr>
        <w:t>[de una cantidad de dinero acordada por las partes y establecida en el Acuerdo]</w:t>
      </w:r>
      <w:r w:rsidRPr="000F79D1">
        <w:rPr>
          <w:sz w:val="18"/>
          <w:szCs w:val="20"/>
        </w:rPr>
        <w:t xml:space="preserve"> por daño moral/inmaterial a favor de Mirey Trueba Arciniega y sus familiares.</w:t>
      </w:r>
    </w:p>
    <w:p w14:paraId="7E07E2A5" w14:textId="77777777" w:rsidR="00104683" w:rsidRPr="000F79D1" w:rsidRDefault="00104683" w:rsidP="001E6219">
      <w:pPr>
        <w:ind w:left="567" w:right="567"/>
        <w:rPr>
          <w:sz w:val="18"/>
          <w:szCs w:val="20"/>
        </w:rPr>
      </w:pPr>
    </w:p>
    <w:p w14:paraId="0F8ED559" w14:textId="2428C623" w:rsidR="00104683" w:rsidRPr="000F79D1" w:rsidRDefault="00104683" w:rsidP="001E6219">
      <w:pPr>
        <w:ind w:left="567" w:right="567"/>
        <w:rPr>
          <w:sz w:val="18"/>
          <w:szCs w:val="20"/>
        </w:rPr>
      </w:pPr>
      <w:r w:rsidRPr="000F79D1">
        <w:rPr>
          <w:sz w:val="18"/>
          <w:szCs w:val="20"/>
        </w:rPr>
        <w:t xml:space="preserve">Tales sumas convertidas a moneda extranjera (dólares estadounidenses) se corresponden con </w:t>
      </w:r>
      <w:r w:rsidR="00E179ED">
        <w:rPr>
          <w:sz w:val="18"/>
          <w:szCs w:val="20"/>
          <w:lang w:val="es-ES"/>
        </w:rPr>
        <w:t xml:space="preserve">[un monto de dinero </w:t>
      </w:r>
      <w:proofErr w:type="gramStart"/>
      <w:r w:rsidR="00E179ED">
        <w:rPr>
          <w:sz w:val="18"/>
          <w:szCs w:val="20"/>
          <w:lang w:val="es-ES"/>
        </w:rPr>
        <w:t>acordada por las partes y establecida</w:t>
      </w:r>
      <w:proofErr w:type="gramEnd"/>
      <w:r w:rsidR="00E179ED">
        <w:rPr>
          <w:sz w:val="18"/>
          <w:szCs w:val="20"/>
          <w:lang w:val="es-ES"/>
        </w:rPr>
        <w:t xml:space="preserve"> en el Acuerdo]</w:t>
      </w:r>
      <w:r w:rsidRPr="000F79D1">
        <w:rPr>
          <w:sz w:val="18"/>
          <w:szCs w:val="20"/>
        </w:rPr>
        <w:t xml:space="preserve">, que serán distribuidos de </w:t>
      </w:r>
      <w:r w:rsidR="00E179ED">
        <w:rPr>
          <w:sz w:val="18"/>
          <w:szCs w:val="20"/>
        </w:rPr>
        <w:t>[la manera acordada por las partes en el acuerdo]</w:t>
      </w:r>
      <w:r w:rsidR="00962795">
        <w:rPr>
          <w:sz w:val="18"/>
          <w:szCs w:val="20"/>
        </w:rPr>
        <w:t>.</w:t>
      </w:r>
    </w:p>
    <w:p w14:paraId="759B5F1E" w14:textId="77777777" w:rsidR="00104683" w:rsidRPr="00532C3B" w:rsidRDefault="00104683" w:rsidP="001E6219">
      <w:pPr>
        <w:ind w:left="708" w:right="855"/>
        <w:rPr>
          <w:szCs w:val="20"/>
        </w:rPr>
      </w:pPr>
    </w:p>
    <w:p w14:paraId="7456F918" w14:textId="12A1C727" w:rsidR="00104683" w:rsidRPr="000F79D1" w:rsidRDefault="00104683" w:rsidP="001E6219">
      <w:pPr>
        <w:ind w:left="567" w:right="567"/>
        <w:rPr>
          <w:sz w:val="18"/>
          <w:szCs w:val="20"/>
        </w:rPr>
      </w:pPr>
      <w:r w:rsidRPr="000F79D1">
        <w:rPr>
          <w:sz w:val="18"/>
          <w:szCs w:val="20"/>
        </w:rPr>
        <w:t>Para efectos de los montos destinados a la víctima principal del c</w:t>
      </w:r>
      <w:r w:rsidR="00E80DB9">
        <w:rPr>
          <w:sz w:val="18"/>
          <w:szCs w:val="20"/>
        </w:rPr>
        <w:t>aso, Mirey Trueba Arciniaga, así</w:t>
      </w:r>
      <w:r w:rsidRPr="000F79D1">
        <w:rPr>
          <w:sz w:val="18"/>
          <w:szCs w:val="20"/>
        </w:rPr>
        <w:t xml:space="preserve"> como para sus hermanos Elías, Tomás Rafael, Samuel y Vidal Trueba Arciniega, y Eduardo Trueba Molina, quienes han fallecido, los mismos serán entregados directamente a sus familiares sobrevivientes.</w:t>
      </w:r>
    </w:p>
    <w:p w14:paraId="479F0228" w14:textId="77777777" w:rsidR="00104683" w:rsidRPr="000F79D1" w:rsidRDefault="00104683" w:rsidP="001E6219">
      <w:pPr>
        <w:ind w:left="567" w:right="567"/>
        <w:rPr>
          <w:sz w:val="18"/>
          <w:szCs w:val="20"/>
        </w:rPr>
      </w:pPr>
    </w:p>
    <w:p w14:paraId="3A229CB6" w14:textId="77777777" w:rsidR="00104683" w:rsidRPr="000F79D1" w:rsidRDefault="00104683" w:rsidP="001E6219">
      <w:pPr>
        <w:ind w:left="567" w:right="567"/>
        <w:rPr>
          <w:sz w:val="18"/>
          <w:szCs w:val="20"/>
        </w:rPr>
      </w:pPr>
      <w:r w:rsidRPr="000F79D1">
        <w:rPr>
          <w:sz w:val="18"/>
          <w:szCs w:val="20"/>
        </w:rPr>
        <w:t xml:space="preserve">Así, en el caso de Vidal Trueba Arciniega, el monto correspondiente será entregado a su esposa e hijos, para lo cual se abrirá una cuenta bancaria en donde se deposite el dinero con el fin de resguardar su seguridad. </w:t>
      </w:r>
    </w:p>
    <w:p w14:paraId="5CE2C656" w14:textId="77777777" w:rsidR="00104683" w:rsidRPr="000F79D1" w:rsidRDefault="00104683" w:rsidP="001E6219">
      <w:pPr>
        <w:ind w:left="567" w:right="567"/>
        <w:rPr>
          <w:sz w:val="18"/>
          <w:szCs w:val="20"/>
        </w:rPr>
      </w:pPr>
    </w:p>
    <w:p w14:paraId="02DFB161" w14:textId="77777777" w:rsidR="00104683" w:rsidRPr="000F79D1" w:rsidRDefault="00104683" w:rsidP="001E6219">
      <w:pPr>
        <w:ind w:left="567" w:right="567"/>
        <w:rPr>
          <w:sz w:val="18"/>
          <w:szCs w:val="20"/>
        </w:rPr>
      </w:pPr>
      <w:r w:rsidRPr="000F79D1">
        <w:rPr>
          <w:sz w:val="18"/>
          <w:szCs w:val="20"/>
        </w:rPr>
        <w:t>En el caso del dinero correspondiente a Mirey Trueba Arciniega y al resto de sus hermanos fallecidos, el monto será entregado a sus padres, los señores Micaela Arciniega Cevallos (quien acostumbra también utilizar indistintamente el nombre de Micaela Arciniega Ceballos), y José Tomás Trueba Loera (quien acostumbra también utilizar indistintamente el nombre de José Tomás Trueva Loera).</w:t>
      </w:r>
    </w:p>
    <w:p w14:paraId="5AA48B70" w14:textId="77777777" w:rsidR="00104683" w:rsidRPr="000F79D1" w:rsidRDefault="00104683" w:rsidP="001E6219">
      <w:pPr>
        <w:ind w:left="567" w:right="567"/>
        <w:rPr>
          <w:sz w:val="18"/>
          <w:szCs w:val="20"/>
        </w:rPr>
      </w:pPr>
    </w:p>
    <w:p w14:paraId="7586202D" w14:textId="77777777" w:rsidR="00104683" w:rsidRPr="000F79D1" w:rsidRDefault="00104683" w:rsidP="001E6219">
      <w:pPr>
        <w:ind w:left="567" w:right="567"/>
        <w:rPr>
          <w:sz w:val="18"/>
          <w:szCs w:val="20"/>
        </w:rPr>
      </w:pPr>
      <w:r w:rsidRPr="000F79D1">
        <w:rPr>
          <w:sz w:val="18"/>
          <w:szCs w:val="20"/>
        </w:rPr>
        <w:t>Con el fin de garantizar la seguridad de los beneficiarios, el [Estado mexicano] se compromete a no divulgar públicamente los montos que se deben pagar.</w:t>
      </w:r>
    </w:p>
    <w:p w14:paraId="358D630C" w14:textId="77777777" w:rsidR="00104683" w:rsidRPr="000F79D1" w:rsidRDefault="00104683" w:rsidP="001E6219">
      <w:pPr>
        <w:ind w:left="567" w:right="567"/>
        <w:rPr>
          <w:sz w:val="18"/>
          <w:szCs w:val="20"/>
        </w:rPr>
      </w:pPr>
    </w:p>
    <w:p w14:paraId="0C1D9137" w14:textId="77777777" w:rsidR="00104683" w:rsidRPr="000F79D1" w:rsidRDefault="00104683" w:rsidP="001E6219">
      <w:pPr>
        <w:ind w:left="567" w:right="567"/>
        <w:rPr>
          <w:sz w:val="18"/>
          <w:szCs w:val="20"/>
        </w:rPr>
      </w:pPr>
      <w:r w:rsidRPr="000F79D1">
        <w:rPr>
          <w:sz w:val="18"/>
          <w:szCs w:val="20"/>
        </w:rPr>
        <w:t>El [Estado mexicano] se compromete a dar cabal cumplimiento de esta medida en un plazo de tres (3) meses a partir de la firma del presente [Acuerdo].</w:t>
      </w:r>
    </w:p>
    <w:p w14:paraId="655893E4" w14:textId="77777777" w:rsidR="00104683" w:rsidRPr="000F79D1" w:rsidRDefault="00104683" w:rsidP="001E6219">
      <w:pPr>
        <w:ind w:left="567" w:right="567"/>
        <w:rPr>
          <w:sz w:val="18"/>
          <w:szCs w:val="20"/>
        </w:rPr>
      </w:pPr>
    </w:p>
    <w:p w14:paraId="122E726A" w14:textId="28E4B1CD" w:rsidR="00104683" w:rsidRDefault="00104683" w:rsidP="001E6219">
      <w:pPr>
        <w:ind w:left="567" w:right="567"/>
        <w:rPr>
          <w:sz w:val="18"/>
          <w:szCs w:val="20"/>
        </w:rPr>
      </w:pPr>
      <w:r w:rsidRPr="000F79D1">
        <w:rPr>
          <w:sz w:val="18"/>
          <w:szCs w:val="20"/>
        </w:rPr>
        <w:t>La [UDDH] de la [SEGOB] gestionará lo relacionado con esta medida de reparación.</w:t>
      </w:r>
    </w:p>
    <w:p w14:paraId="61BD426A" w14:textId="77777777" w:rsidR="001E6219" w:rsidRPr="000F79D1" w:rsidRDefault="001E6219" w:rsidP="001E6219">
      <w:pPr>
        <w:ind w:right="567"/>
        <w:rPr>
          <w:sz w:val="18"/>
          <w:szCs w:val="20"/>
        </w:rPr>
      </w:pPr>
    </w:p>
    <w:p w14:paraId="5CEADE6B" w14:textId="55BEC4D1" w:rsidR="00104683" w:rsidRPr="00807D53" w:rsidRDefault="00720A55" w:rsidP="001E6219">
      <w:pPr>
        <w:pStyle w:val="Heading2"/>
        <w:numPr>
          <w:ilvl w:val="0"/>
          <w:numId w:val="24"/>
        </w:numPr>
        <w:spacing w:before="0"/>
        <w:rPr>
          <w:rFonts w:ascii="Verdana" w:hAnsi="Verdana" w:cs="Tahoma"/>
          <w:color w:val="auto"/>
          <w:sz w:val="20"/>
          <w:szCs w:val="20"/>
          <w:lang w:eastAsia="x-none"/>
        </w:rPr>
      </w:pPr>
      <w:bookmarkStart w:id="118" w:name="_Toc532214932"/>
      <w:r>
        <w:rPr>
          <w:rFonts w:ascii="Verdana" w:hAnsi="Verdana" w:cs="Tahoma"/>
          <w:color w:val="auto"/>
          <w:sz w:val="20"/>
          <w:szCs w:val="20"/>
          <w:lang w:eastAsia="x-none"/>
        </w:rPr>
        <w:t>Pago de g</w:t>
      </w:r>
      <w:r w:rsidR="00104683" w:rsidRPr="00807D53">
        <w:rPr>
          <w:rFonts w:ascii="Verdana" w:hAnsi="Verdana" w:cs="Tahoma"/>
          <w:color w:val="auto"/>
          <w:sz w:val="20"/>
          <w:szCs w:val="20"/>
          <w:lang w:eastAsia="x-none"/>
        </w:rPr>
        <w:t>astos</w:t>
      </w:r>
      <w:bookmarkEnd w:id="118"/>
    </w:p>
    <w:p w14:paraId="3A181D16" w14:textId="77777777" w:rsidR="00A73AFA" w:rsidRPr="00532C3B" w:rsidRDefault="00A73AFA" w:rsidP="001E6219">
      <w:pPr>
        <w:rPr>
          <w:szCs w:val="20"/>
          <w:lang w:eastAsia="x-none"/>
        </w:rPr>
      </w:pPr>
    </w:p>
    <w:p w14:paraId="3963A628" w14:textId="38F13CA2" w:rsidR="00104683" w:rsidRPr="00532C3B" w:rsidRDefault="00104683" w:rsidP="001E6219">
      <w:pPr>
        <w:pStyle w:val="ListParagraph"/>
        <w:numPr>
          <w:ilvl w:val="0"/>
          <w:numId w:val="2"/>
        </w:numPr>
        <w:ind w:left="0" w:right="4" w:firstLine="0"/>
        <w:rPr>
          <w:rFonts w:cs="Arial"/>
          <w:szCs w:val="20"/>
        </w:rPr>
      </w:pPr>
      <w:r w:rsidRPr="00532C3B">
        <w:rPr>
          <w:szCs w:val="20"/>
          <w:lang w:val="es-ES"/>
        </w:rPr>
        <w:t>En el Acuerdo, el Estado mexicano se comprometió a lo siguiente:</w:t>
      </w:r>
    </w:p>
    <w:p w14:paraId="3EEA2CF7" w14:textId="77777777" w:rsidR="00104683" w:rsidRPr="00532C3B" w:rsidRDefault="00104683" w:rsidP="001E6219">
      <w:pPr>
        <w:rPr>
          <w:szCs w:val="20"/>
          <w:lang w:eastAsia="x-none"/>
        </w:rPr>
      </w:pPr>
    </w:p>
    <w:p w14:paraId="38CBD0CE" w14:textId="77777777" w:rsidR="00104683" w:rsidRPr="00807D53" w:rsidRDefault="00104683" w:rsidP="001E6219">
      <w:pPr>
        <w:ind w:left="567" w:right="567"/>
        <w:rPr>
          <w:rFonts w:cs="Arial"/>
          <w:sz w:val="18"/>
          <w:szCs w:val="20"/>
        </w:rPr>
      </w:pPr>
      <w:r w:rsidRPr="00807D53">
        <w:rPr>
          <w:rFonts w:cs="Arial"/>
          <w:sz w:val="18"/>
          <w:szCs w:val="20"/>
        </w:rPr>
        <w:t>Con base en la jurisprudencia del Sistema Interamericano de Protección de los Derechos Humanos, el [Estado mexicano] hará entrega en pesos mexicanos del equivalente a USD$ 5,000.00 (cinco mil dólares americanos) a [COSYDDHAC] y del equivalente a USD $ 5,000.00 (cinco mil dólares americanos) a [CEJIL], montos que comprenden las erogaciones realizadas en la gestión de este caso desde el momento de la muerte de la víctima, el 22 de agosto de 1998 y hasta el trámite ante la Corte IDH. Esta cantidad será pagada en moneda nacional al tipo de cambio vigente, de acuerdo a lo establecido en el Título Sexto, párrafos 10 y 11 de las Reglas de Operación del Fideicomiso para el Cumplimiento de Obligaciones en Materia de Derechos Humanos.</w:t>
      </w:r>
    </w:p>
    <w:p w14:paraId="7E1636D7" w14:textId="77777777" w:rsidR="00104683" w:rsidRPr="00807D53" w:rsidRDefault="00104683" w:rsidP="001E6219">
      <w:pPr>
        <w:ind w:left="567" w:right="567"/>
        <w:rPr>
          <w:rFonts w:cs="Arial"/>
          <w:sz w:val="18"/>
          <w:szCs w:val="20"/>
        </w:rPr>
      </w:pPr>
    </w:p>
    <w:p w14:paraId="3542C54D" w14:textId="3F28063F" w:rsidR="00104683" w:rsidRDefault="00104683" w:rsidP="001E6219">
      <w:pPr>
        <w:ind w:left="567" w:right="567"/>
        <w:rPr>
          <w:rFonts w:cs="Arial"/>
          <w:sz w:val="18"/>
          <w:szCs w:val="20"/>
        </w:rPr>
      </w:pPr>
      <w:r w:rsidRPr="00807D53">
        <w:rPr>
          <w:rFonts w:cs="Arial"/>
          <w:sz w:val="18"/>
          <w:szCs w:val="20"/>
        </w:rPr>
        <w:t>El [Estado mexicano] se compromete a realizar el pago de los gastos en un plazo de seis (6) meses a partir de la firma del presente [Acuerdo].</w:t>
      </w:r>
    </w:p>
    <w:p w14:paraId="46A2E396" w14:textId="77777777" w:rsidR="001E6219" w:rsidRPr="00807D53" w:rsidRDefault="001E6219" w:rsidP="001E6219">
      <w:pPr>
        <w:ind w:right="567"/>
        <w:rPr>
          <w:rFonts w:cs="Arial"/>
          <w:sz w:val="18"/>
          <w:szCs w:val="20"/>
        </w:rPr>
      </w:pPr>
    </w:p>
    <w:p w14:paraId="0F42BF96" w14:textId="1241C873" w:rsidR="00104683" w:rsidRPr="00183727" w:rsidRDefault="009F0E1A" w:rsidP="001E6219">
      <w:pPr>
        <w:pStyle w:val="Heading2"/>
        <w:numPr>
          <w:ilvl w:val="0"/>
          <w:numId w:val="24"/>
        </w:numPr>
        <w:spacing w:before="0"/>
        <w:rPr>
          <w:rFonts w:ascii="Verdana" w:hAnsi="Verdana" w:cs="Tahoma"/>
          <w:color w:val="auto"/>
          <w:sz w:val="20"/>
          <w:szCs w:val="20"/>
          <w:lang w:eastAsia="x-none"/>
        </w:rPr>
      </w:pPr>
      <w:bookmarkStart w:id="119" w:name="_Toc470000732"/>
      <w:bookmarkStart w:id="120" w:name="_Toc525713999"/>
      <w:bookmarkStart w:id="121" w:name="_Toc532214933"/>
      <w:r>
        <w:rPr>
          <w:rFonts w:ascii="Verdana" w:hAnsi="Verdana" w:cs="Tahoma"/>
          <w:color w:val="auto"/>
          <w:sz w:val="20"/>
          <w:szCs w:val="20"/>
          <w:lang w:eastAsia="x-none"/>
        </w:rPr>
        <w:t>S</w:t>
      </w:r>
      <w:r w:rsidR="00104683" w:rsidRPr="00183727">
        <w:rPr>
          <w:rFonts w:ascii="Verdana" w:hAnsi="Verdana" w:cs="Tahoma"/>
          <w:color w:val="auto"/>
          <w:sz w:val="20"/>
          <w:szCs w:val="20"/>
          <w:lang w:eastAsia="x-none"/>
        </w:rPr>
        <w:t>upervisión del cumplimiento del Acuerdo</w:t>
      </w:r>
      <w:bookmarkEnd w:id="119"/>
      <w:bookmarkEnd w:id="120"/>
      <w:bookmarkEnd w:id="121"/>
      <w:r w:rsidR="00104683" w:rsidRPr="00183727">
        <w:rPr>
          <w:rFonts w:ascii="Verdana" w:hAnsi="Verdana" w:cs="Tahoma"/>
          <w:color w:val="auto"/>
          <w:sz w:val="20"/>
          <w:szCs w:val="20"/>
          <w:lang w:eastAsia="x-none"/>
        </w:rPr>
        <w:t xml:space="preserve"> </w:t>
      </w:r>
    </w:p>
    <w:p w14:paraId="24164BD7" w14:textId="77777777" w:rsidR="00A73AFA" w:rsidRPr="00532C3B" w:rsidRDefault="00A73AFA" w:rsidP="001E6219">
      <w:pPr>
        <w:rPr>
          <w:szCs w:val="20"/>
          <w:lang w:eastAsia="x-none"/>
        </w:rPr>
      </w:pPr>
    </w:p>
    <w:p w14:paraId="0ACB7A7F" w14:textId="58A29D09" w:rsidR="00BC74F3" w:rsidRPr="00532C3B" w:rsidRDefault="00842E63" w:rsidP="001E6219">
      <w:pPr>
        <w:pStyle w:val="Estilo1"/>
        <w:numPr>
          <w:ilvl w:val="0"/>
          <w:numId w:val="2"/>
        </w:numPr>
        <w:tabs>
          <w:tab w:val="left" w:pos="0"/>
        </w:tabs>
        <w:spacing w:after="0"/>
        <w:ind w:left="0" w:right="-4" w:firstLine="0"/>
        <w:rPr>
          <w:i w:val="0"/>
          <w:szCs w:val="20"/>
          <w:lang w:val="es-ES"/>
        </w:rPr>
      </w:pPr>
      <w:r w:rsidRPr="00532C3B">
        <w:rPr>
          <w:i w:val="0"/>
          <w:szCs w:val="20"/>
          <w:lang w:val="es-ES"/>
        </w:rPr>
        <w:t xml:space="preserve">Este Tribunal valora positivamente </w:t>
      </w:r>
      <w:r w:rsidRPr="00532C3B">
        <w:rPr>
          <w:i w:val="0"/>
          <w:szCs w:val="20"/>
          <w:lang w:val="pl-PL"/>
        </w:rPr>
        <w:t xml:space="preserve">la voluntad demostrada por el Estado de reparar el daño ocasionado por las violaciones a los derechos humanos </w:t>
      </w:r>
      <w:r w:rsidR="00724975" w:rsidRPr="00532C3B">
        <w:rPr>
          <w:i w:val="0"/>
          <w:szCs w:val="20"/>
          <w:lang w:val="pl-PL"/>
        </w:rPr>
        <w:t>ocurridas en el presente caso, y constata que las medidas acordadas están encaminadas a resarcir los daños de manera integral al prev</w:t>
      </w:r>
      <w:r w:rsidR="00087591">
        <w:rPr>
          <w:i w:val="0"/>
          <w:szCs w:val="20"/>
          <w:lang w:val="pl-PL"/>
        </w:rPr>
        <w:t>e</w:t>
      </w:r>
      <w:r w:rsidR="00724975" w:rsidRPr="00532C3B">
        <w:rPr>
          <w:i w:val="0"/>
          <w:szCs w:val="20"/>
          <w:lang w:val="pl-PL"/>
        </w:rPr>
        <w:t>r compensaciones pecuniarias, medidas de restitución, satisfacción y garantías de no repetición. En razón de ello</w:t>
      </w:r>
      <w:r w:rsidRPr="00532C3B">
        <w:rPr>
          <w:i w:val="0"/>
          <w:szCs w:val="20"/>
          <w:lang w:val="pl-PL"/>
        </w:rPr>
        <w:t xml:space="preserve"> homologa la</w:t>
      </w:r>
      <w:r w:rsidR="00724975" w:rsidRPr="00532C3B">
        <w:rPr>
          <w:i w:val="0"/>
          <w:szCs w:val="20"/>
          <w:lang w:val="pl-PL"/>
        </w:rPr>
        <w:t>s</w:t>
      </w:r>
      <w:r w:rsidRPr="00532C3B">
        <w:rPr>
          <w:i w:val="0"/>
          <w:szCs w:val="20"/>
          <w:lang w:val="pl-PL"/>
        </w:rPr>
        <w:t xml:space="preserve"> medida</w:t>
      </w:r>
      <w:r w:rsidR="00724975" w:rsidRPr="00532C3B">
        <w:rPr>
          <w:i w:val="0"/>
          <w:szCs w:val="20"/>
          <w:lang w:val="pl-PL"/>
        </w:rPr>
        <w:t>s</w:t>
      </w:r>
      <w:r w:rsidRPr="00532C3B">
        <w:rPr>
          <w:i w:val="0"/>
          <w:szCs w:val="20"/>
          <w:lang w:val="pl-PL"/>
        </w:rPr>
        <w:t xml:space="preserve"> </w:t>
      </w:r>
      <w:r w:rsidR="00724975" w:rsidRPr="00532C3B">
        <w:rPr>
          <w:i w:val="0"/>
          <w:szCs w:val="20"/>
          <w:lang w:val="pl-PL"/>
        </w:rPr>
        <w:t xml:space="preserve">de reparación </w:t>
      </w:r>
      <w:r w:rsidRPr="00532C3B">
        <w:rPr>
          <w:i w:val="0"/>
          <w:szCs w:val="20"/>
          <w:lang w:val="pl-PL"/>
        </w:rPr>
        <w:t>en los términos acordados por las partes.</w:t>
      </w:r>
      <w:r w:rsidR="00BC74F3" w:rsidRPr="00532C3B">
        <w:rPr>
          <w:i w:val="0"/>
          <w:szCs w:val="20"/>
          <w:lang w:val="pl-PL"/>
        </w:rPr>
        <w:t xml:space="preserve"> </w:t>
      </w:r>
      <w:r w:rsidR="00104683" w:rsidRPr="00532C3B">
        <w:rPr>
          <w:i w:val="0"/>
          <w:szCs w:val="20"/>
          <w:lang w:val="es-ES"/>
        </w:rPr>
        <w:t xml:space="preserve">En el marco del proceso de supervisión de cumplimiento de la presente Sentencia, la Corte determina que supervisará el cumplimiento de todas las medidas acordadas por las partes. </w:t>
      </w:r>
      <w:r w:rsidR="00724975" w:rsidRPr="00532C3B">
        <w:rPr>
          <w:i w:val="0"/>
          <w:szCs w:val="20"/>
          <w:lang w:val="es-ES"/>
        </w:rPr>
        <w:t xml:space="preserve">En relación con la supervisión de las medidas de satisfacción acordadas por las partes, este Tribunal valorará </w:t>
      </w:r>
      <w:r w:rsidR="00BC74F3" w:rsidRPr="00532C3B">
        <w:rPr>
          <w:i w:val="0"/>
          <w:szCs w:val="20"/>
          <w:lang w:val="es-ES"/>
        </w:rPr>
        <w:t>durante un periodo de dos años el cumplimiento de dichas medida y determinará si es necesario mantenerlas.</w:t>
      </w:r>
    </w:p>
    <w:p w14:paraId="3B4B0F16" w14:textId="77777777" w:rsidR="00BC74F3" w:rsidRPr="00532C3B" w:rsidRDefault="00BC74F3" w:rsidP="001E6219">
      <w:pPr>
        <w:pStyle w:val="ListParagraph"/>
        <w:rPr>
          <w:i/>
          <w:szCs w:val="20"/>
          <w:lang w:val="es-ES"/>
        </w:rPr>
      </w:pPr>
    </w:p>
    <w:p w14:paraId="0EBC8821" w14:textId="3B271F72" w:rsidR="00104683" w:rsidRDefault="00104683" w:rsidP="001E6219">
      <w:pPr>
        <w:pStyle w:val="Estilo1"/>
        <w:numPr>
          <w:ilvl w:val="0"/>
          <w:numId w:val="2"/>
        </w:numPr>
        <w:tabs>
          <w:tab w:val="left" w:pos="0"/>
        </w:tabs>
        <w:spacing w:after="0"/>
        <w:ind w:left="0" w:right="-4" w:firstLine="0"/>
        <w:rPr>
          <w:i w:val="0"/>
          <w:szCs w:val="20"/>
          <w:lang w:val="es-ES"/>
        </w:rPr>
      </w:pPr>
      <w:r w:rsidRPr="00532C3B">
        <w:rPr>
          <w:i w:val="0"/>
          <w:szCs w:val="20"/>
          <w:lang w:val="es-ES"/>
        </w:rPr>
        <w:t>El Acuerdo de arreglo amistoso suscrito entre los representantes a nombre de las víctimas y el Estado ha sido homologado por la presente Sentencia, razón por la cual cualquier controversia o diferencia que se suscite en razón del mismo será́ dilucidada por este Tribunal.</w:t>
      </w:r>
    </w:p>
    <w:p w14:paraId="71BF1B06" w14:textId="368692B4" w:rsidR="00104683" w:rsidRPr="00532C3B" w:rsidRDefault="00162FA4" w:rsidP="00236DD1">
      <w:pPr>
        <w:pStyle w:val="Heading1"/>
      </w:pPr>
      <w:bookmarkStart w:id="122" w:name="_Toc324426965"/>
      <w:bookmarkStart w:id="123" w:name="_Toc525714000"/>
      <w:bookmarkStart w:id="124" w:name="_Toc532214934"/>
      <w:r>
        <w:t>VIII</w:t>
      </w:r>
      <w:r w:rsidR="00104683" w:rsidRPr="00532C3B">
        <w:br/>
        <w:t>PUNTOS RESOLUTIVOS</w:t>
      </w:r>
      <w:bookmarkEnd w:id="122"/>
      <w:bookmarkEnd w:id="123"/>
      <w:bookmarkEnd w:id="124"/>
    </w:p>
    <w:p w14:paraId="4B7CA87E" w14:textId="77777777" w:rsidR="00104683" w:rsidRPr="00532C3B" w:rsidRDefault="00104683" w:rsidP="001E6219">
      <w:pPr>
        <w:pStyle w:val="Estilo1"/>
        <w:numPr>
          <w:ilvl w:val="0"/>
          <w:numId w:val="2"/>
        </w:numPr>
        <w:tabs>
          <w:tab w:val="left" w:pos="0"/>
        </w:tabs>
        <w:spacing w:after="0"/>
        <w:ind w:left="0" w:right="-4" w:firstLine="0"/>
        <w:rPr>
          <w:i w:val="0"/>
          <w:szCs w:val="20"/>
        </w:rPr>
      </w:pPr>
      <w:r w:rsidRPr="00532C3B">
        <w:rPr>
          <w:i w:val="0"/>
          <w:szCs w:val="20"/>
        </w:rPr>
        <w:t>Por tanto,</w:t>
      </w:r>
    </w:p>
    <w:p w14:paraId="1E222CCF" w14:textId="77777777" w:rsidR="00842E63" w:rsidRPr="00532C3B" w:rsidRDefault="00842E63" w:rsidP="001E6219">
      <w:pPr>
        <w:pStyle w:val="Estilo1"/>
        <w:tabs>
          <w:tab w:val="left" w:pos="0"/>
        </w:tabs>
        <w:spacing w:after="0"/>
        <w:ind w:left="0" w:right="-4" w:firstLine="0"/>
        <w:rPr>
          <w:i w:val="0"/>
          <w:szCs w:val="20"/>
        </w:rPr>
      </w:pPr>
    </w:p>
    <w:p w14:paraId="0858D899" w14:textId="77777777" w:rsidR="00104683" w:rsidRPr="00532C3B" w:rsidRDefault="00104683" w:rsidP="001E6219">
      <w:pPr>
        <w:rPr>
          <w:b/>
          <w:szCs w:val="20"/>
        </w:rPr>
      </w:pPr>
      <w:r w:rsidRPr="00532C3B">
        <w:rPr>
          <w:b/>
          <w:szCs w:val="20"/>
        </w:rPr>
        <w:t>LA CORTE</w:t>
      </w:r>
    </w:p>
    <w:p w14:paraId="537A0B7F" w14:textId="77777777" w:rsidR="00104683" w:rsidRPr="00532C3B" w:rsidRDefault="00104683" w:rsidP="001E6219">
      <w:pPr>
        <w:rPr>
          <w:b/>
          <w:szCs w:val="20"/>
        </w:rPr>
      </w:pPr>
    </w:p>
    <w:p w14:paraId="0C17DD88" w14:textId="77777777" w:rsidR="00104683" w:rsidRPr="00532C3B" w:rsidRDefault="00104683" w:rsidP="001E6219">
      <w:pPr>
        <w:rPr>
          <w:b/>
          <w:bCs/>
          <w:szCs w:val="20"/>
        </w:rPr>
      </w:pPr>
      <w:r w:rsidRPr="00532C3B">
        <w:rPr>
          <w:b/>
          <w:bCs/>
          <w:szCs w:val="20"/>
        </w:rPr>
        <w:t>DECIDE,</w:t>
      </w:r>
    </w:p>
    <w:p w14:paraId="0A9A6E72" w14:textId="77777777" w:rsidR="00104683" w:rsidRPr="00532C3B" w:rsidRDefault="00104683" w:rsidP="001E6219">
      <w:pPr>
        <w:rPr>
          <w:b/>
          <w:bCs/>
          <w:szCs w:val="20"/>
        </w:rPr>
      </w:pPr>
    </w:p>
    <w:p w14:paraId="618BBC31" w14:textId="77777777" w:rsidR="00104683" w:rsidRPr="00532C3B" w:rsidRDefault="00104683" w:rsidP="001E6219">
      <w:pPr>
        <w:rPr>
          <w:szCs w:val="20"/>
        </w:rPr>
      </w:pPr>
      <w:proofErr w:type="gramStart"/>
      <w:r w:rsidRPr="00532C3B">
        <w:rPr>
          <w:szCs w:val="20"/>
        </w:rPr>
        <w:t>por</w:t>
      </w:r>
      <w:proofErr w:type="gramEnd"/>
      <w:r w:rsidRPr="00532C3B">
        <w:rPr>
          <w:szCs w:val="20"/>
        </w:rPr>
        <w:t xml:space="preserve"> unanimidad, que:</w:t>
      </w:r>
    </w:p>
    <w:p w14:paraId="3F5E41DE" w14:textId="77777777" w:rsidR="00842E63" w:rsidRPr="00532C3B" w:rsidRDefault="00842E63" w:rsidP="001E6219">
      <w:pPr>
        <w:rPr>
          <w:szCs w:val="20"/>
        </w:rPr>
      </w:pPr>
    </w:p>
    <w:p w14:paraId="48BF8728" w14:textId="7EAA3C25" w:rsidR="00104683" w:rsidRPr="00532C3B" w:rsidRDefault="00104683" w:rsidP="001E6219">
      <w:pPr>
        <w:pStyle w:val="ListParagraph"/>
        <w:numPr>
          <w:ilvl w:val="0"/>
          <w:numId w:val="13"/>
        </w:numPr>
        <w:ind w:left="0" w:firstLine="0"/>
        <w:contextualSpacing w:val="0"/>
        <w:rPr>
          <w:szCs w:val="20"/>
        </w:rPr>
      </w:pPr>
      <w:r w:rsidRPr="00532C3B">
        <w:rPr>
          <w:szCs w:val="20"/>
        </w:rPr>
        <w:t xml:space="preserve">Homologar, en los términos de la presente Sentencia, el acuerdo de solución amistosa suscrito entre el Estado mexicano y los representantes de las víctimas, en los términos del </w:t>
      </w:r>
      <w:r w:rsidRPr="00CD205C">
        <w:rPr>
          <w:szCs w:val="20"/>
        </w:rPr>
        <w:t>Capítul</w:t>
      </w:r>
      <w:r w:rsidR="00A73AFA" w:rsidRPr="00CD205C">
        <w:rPr>
          <w:szCs w:val="20"/>
        </w:rPr>
        <w:t>o VII d</w:t>
      </w:r>
      <w:r w:rsidR="00A73AFA" w:rsidRPr="00532C3B">
        <w:rPr>
          <w:szCs w:val="20"/>
        </w:rPr>
        <w:t>e la presente Sentencia.</w:t>
      </w:r>
    </w:p>
    <w:p w14:paraId="63D25E29" w14:textId="77777777" w:rsidR="00A73AFA" w:rsidRPr="00532C3B" w:rsidRDefault="00A73AFA" w:rsidP="001E6219">
      <w:pPr>
        <w:pStyle w:val="ListParagraph"/>
        <w:ind w:left="0"/>
        <w:contextualSpacing w:val="0"/>
        <w:rPr>
          <w:szCs w:val="20"/>
        </w:rPr>
      </w:pPr>
    </w:p>
    <w:p w14:paraId="76B0DDD3" w14:textId="77777777" w:rsidR="00104683" w:rsidRPr="00532C3B" w:rsidRDefault="00104683" w:rsidP="001E6219">
      <w:pPr>
        <w:pStyle w:val="ListParagraph"/>
        <w:numPr>
          <w:ilvl w:val="0"/>
          <w:numId w:val="13"/>
        </w:numPr>
        <w:ind w:left="0" w:firstLine="0"/>
        <w:rPr>
          <w:szCs w:val="20"/>
        </w:rPr>
      </w:pPr>
      <w:r w:rsidRPr="00532C3B">
        <w:rPr>
          <w:szCs w:val="20"/>
        </w:rPr>
        <w:t>Aceptar el reconocimiento de responsabilidad internacional efectuado por el Estado en dicho Acuerdo.</w:t>
      </w:r>
    </w:p>
    <w:p w14:paraId="7A3ACEC0" w14:textId="77777777" w:rsidR="00104683" w:rsidRPr="00532C3B" w:rsidRDefault="00104683" w:rsidP="001E6219">
      <w:pPr>
        <w:rPr>
          <w:szCs w:val="20"/>
        </w:rPr>
      </w:pPr>
    </w:p>
    <w:p w14:paraId="3D1A998E" w14:textId="77777777" w:rsidR="00104683" w:rsidRPr="00532C3B" w:rsidRDefault="00104683" w:rsidP="001E6219">
      <w:pPr>
        <w:rPr>
          <w:b/>
          <w:bCs/>
          <w:szCs w:val="20"/>
        </w:rPr>
      </w:pPr>
      <w:r w:rsidRPr="00532C3B">
        <w:rPr>
          <w:b/>
          <w:bCs/>
          <w:szCs w:val="20"/>
        </w:rPr>
        <w:t>DECLARA,</w:t>
      </w:r>
    </w:p>
    <w:p w14:paraId="4081B587" w14:textId="77777777" w:rsidR="00104683" w:rsidRPr="00532C3B" w:rsidRDefault="00104683" w:rsidP="001E6219">
      <w:pPr>
        <w:rPr>
          <w:szCs w:val="20"/>
        </w:rPr>
      </w:pPr>
    </w:p>
    <w:p w14:paraId="4B1DC6D2" w14:textId="77777777" w:rsidR="00104683" w:rsidRPr="00532C3B" w:rsidRDefault="00104683" w:rsidP="001E6219">
      <w:pPr>
        <w:rPr>
          <w:szCs w:val="20"/>
        </w:rPr>
      </w:pPr>
      <w:proofErr w:type="gramStart"/>
      <w:r w:rsidRPr="00532C3B">
        <w:rPr>
          <w:szCs w:val="20"/>
        </w:rPr>
        <w:t>por</w:t>
      </w:r>
      <w:proofErr w:type="gramEnd"/>
      <w:r w:rsidRPr="00532C3B">
        <w:rPr>
          <w:szCs w:val="20"/>
        </w:rPr>
        <w:t xml:space="preserve"> unanimidad, que:</w:t>
      </w:r>
    </w:p>
    <w:p w14:paraId="50614AC4" w14:textId="77777777" w:rsidR="00104683" w:rsidRPr="00532C3B" w:rsidRDefault="00104683" w:rsidP="001E6219">
      <w:pPr>
        <w:rPr>
          <w:szCs w:val="20"/>
        </w:rPr>
      </w:pPr>
    </w:p>
    <w:p w14:paraId="3F7E314C" w14:textId="7A8F5073" w:rsidR="00104683" w:rsidRPr="00532C3B" w:rsidRDefault="00E80DB9" w:rsidP="001E6219">
      <w:pPr>
        <w:pStyle w:val="ListParagraph"/>
        <w:numPr>
          <w:ilvl w:val="0"/>
          <w:numId w:val="13"/>
        </w:numPr>
        <w:ind w:left="0" w:firstLine="0"/>
        <w:contextualSpacing w:val="0"/>
        <w:rPr>
          <w:szCs w:val="20"/>
        </w:rPr>
      </w:pPr>
      <w:r>
        <w:rPr>
          <w:szCs w:val="20"/>
        </w:rPr>
        <w:t>E</w:t>
      </w:r>
      <w:r w:rsidR="00104683" w:rsidRPr="00532C3B">
        <w:rPr>
          <w:szCs w:val="20"/>
        </w:rPr>
        <w:t xml:space="preserve">l Estado violó los derechos a la vida y la integridad personal, contenidos en los artículos 4.1 y 5.1 de la Convención Americana sobre Derechos Humanos, en relación con los artículos 1.1 y 2 del mismo instrumento internacional, en perjuicio de </w:t>
      </w:r>
      <w:r w:rsidR="00104683" w:rsidRPr="00532C3B">
        <w:rPr>
          <w:szCs w:val="20"/>
          <w:lang w:val="es-ES"/>
        </w:rPr>
        <w:t>Mirey Trueba Arciniega</w:t>
      </w:r>
      <w:r w:rsidR="00104683" w:rsidRPr="00532C3B">
        <w:rPr>
          <w:szCs w:val="20"/>
        </w:rPr>
        <w:t>.</w:t>
      </w:r>
    </w:p>
    <w:p w14:paraId="19410BFA" w14:textId="77777777" w:rsidR="00A73AFA" w:rsidRPr="00532C3B" w:rsidRDefault="00A73AFA" w:rsidP="001E6219">
      <w:pPr>
        <w:pStyle w:val="ListParagraph"/>
        <w:ind w:left="0"/>
        <w:contextualSpacing w:val="0"/>
        <w:rPr>
          <w:szCs w:val="20"/>
        </w:rPr>
      </w:pPr>
    </w:p>
    <w:p w14:paraId="67360042" w14:textId="58D6B326" w:rsidR="00104683" w:rsidRPr="00532C3B" w:rsidRDefault="00E80DB9" w:rsidP="001E6219">
      <w:pPr>
        <w:pStyle w:val="ListParagraph"/>
        <w:numPr>
          <w:ilvl w:val="0"/>
          <w:numId w:val="13"/>
        </w:numPr>
        <w:ind w:left="0" w:firstLine="0"/>
        <w:contextualSpacing w:val="0"/>
        <w:rPr>
          <w:szCs w:val="20"/>
          <w:lang w:val="es-CR"/>
        </w:rPr>
      </w:pPr>
      <w:r>
        <w:rPr>
          <w:szCs w:val="20"/>
        </w:rPr>
        <w:t>E</w:t>
      </w:r>
      <w:r w:rsidR="00104683" w:rsidRPr="00532C3B">
        <w:rPr>
          <w:szCs w:val="20"/>
        </w:rPr>
        <w:t xml:space="preserve">l Estado violó los derechos a la integridad personal, garantías judiciales y protección judicial, establecidos en los artículos 5.1, 8.1 y 25.1 de la Convención Americana sobre Derechos Humanos, en relación con el artículo 1.1 del mismo instrumento internacional, en perjuicio de los familiares de </w:t>
      </w:r>
      <w:r w:rsidR="00104683" w:rsidRPr="00532C3B">
        <w:rPr>
          <w:szCs w:val="20"/>
          <w:lang w:val="es-ES"/>
        </w:rPr>
        <w:t>Mirey Trueba Arciniega</w:t>
      </w:r>
      <w:r w:rsidR="00104683" w:rsidRPr="00532C3B">
        <w:rPr>
          <w:szCs w:val="20"/>
        </w:rPr>
        <w:t xml:space="preserve">, estos son, </w:t>
      </w:r>
      <w:r w:rsidR="00104683" w:rsidRPr="00532C3B">
        <w:rPr>
          <w:szCs w:val="20"/>
          <w:lang w:val="es-ES"/>
        </w:rPr>
        <w:t xml:space="preserve">su madre </w:t>
      </w:r>
      <w:r w:rsidR="00104683" w:rsidRPr="00532C3B">
        <w:rPr>
          <w:szCs w:val="20"/>
          <w:lang w:val="es-CR"/>
        </w:rPr>
        <w:t>Micaela Arciniega, su padre José Tomás Loera, y sus hermanos Vidal Trueba Arciniega, Elías Trueba Arciniega, Tomás Trueba Arciniega, Eleazar Heric Trueba Arciniega, Eduardo Trueba Molina y Samuel Trueba Arciniega</w:t>
      </w:r>
      <w:r w:rsidR="00104683" w:rsidRPr="00532C3B">
        <w:rPr>
          <w:szCs w:val="20"/>
          <w:lang w:val="es-ES"/>
        </w:rPr>
        <w:t>.</w:t>
      </w:r>
    </w:p>
    <w:p w14:paraId="1DB4C10A" w14:textId="77777777" w:rsidR="00104683" w:rsidRPr="00532C3B" w:rsidRDefault="00104683" w:rsidP="001E6219">
      <w:pPr>
        <w:rPr>
          <w:szCs w:val="20"/>
          <w:lang w:val="es-CR"/>
        </w:rPr>
      </w:pPr>
    </w:p>
    <w:p w14:paraId="3A5E670A" w14:textId="77777777" w:rsidR="00104683" w:rsidRPr="00532C3B" w:rsidRDefault="00104683" w:rsidP="001E6219">
      <w:pPr>
        <w:rPr>
          <w:b/>
          <w:szCs w:val="20"/>
          <w:lang w:val="es-CR"/>
        </w:rPr>
      </w:pPr>
      <w:r w:rsidRPr="00532C3B">
        <w:rPr>
          <w:b/>
          <w:szCs w:val="20"/>
          <w:lang w:val="es-CR"/>
        </w:rPr>
        <w:t>Y DISPONE</w:t>
      </w:r>
    </w:p>
    <w:p w14:paraId="52A3AC45" w14:textId="77777777" w:rsidR="00104683" w:rsidRPr="00532C3B" w:rsidRDefault="00104683" w:rsidP="001E6219">
      <w:pPr>
        <w:rPr>
          <w:b/>
          <w:szCs w:val="20"/>
          <w:lang w:val="es-CR"/>
        </w:rPr>
      </w:pPr>
    </w:p>
    <w:p w14:paraId="6C14B166" w14:textId="77777777" w:rsidR="00104683" w:rsidRPr="00532C3B" w:rsidRDefault="00104683" w:rsidP="001E6219">
      <w:pPr>
        <w:rPr>
          <w:szCs w:val="20"/>
          <w:lang w:val="es-CR"/>
        </w:rPr>
      </w:pPr>
      <w:proofErr w:type="gramStart"/>
      <w:r w:rsidRPr="00532C3B">
        <w:rPr>
          <w:szCs w:val="20"/>
          <w:lang w:val="es-CR"/>
        </w:rPr>
        <w:t>por</w:t>
      </w:r>
      <w:proofErr w:type="gramEnd"/>
      <w:r w:rsidRPr="00532C3B">
        <w:rPr>
          <w:szCs w:val="20"/>
          <w:lang w:val="es-CR"/>
        </w:rPr>
        <w:t xml:space="preserve"> unanimidad, que:</w:t>
      </w:r>
    </w:p>
    <w:p w14:paraId="70E68A31" w14:textId="77777777" w:rsidR="00104683" w:rsidRPr="00532C3B" w:rsidRDefault="00104683" w:rsidP="001E6219">
      <w:pPr>
        <w:rPr>
          <w:szCs w:val="20"/>
          <w:lang w:val="es-CR"/>
        </w:rPr>
      </w:pPr>
    </w:p>
    <w:p w14:paraId="57506878" w14:textId="3DAE574C" w:rsidR="00104683" w:rsidRPr="00532C3B" w:rsidRDefault="00104683" w:rsidP="001E6219">
      <w:pPr>
        <w:pStyle w:val="ListParagraph"/>
        <w:numPr>
          <w:ilvl w:val="0"/>
          <w:numId w:val="13"/>
        </w:numPr>
        <w:ind w:left="0" w:firstLine="0"/>
        <w:contextualSpacing w:val="0"/>
        <w:rPr>
          <w:szCs w:val="20"/>
          <w:lang w:val="es-CR"/>
        </w:rPr>
      </w:pPr>
      <w:r w:rsidRPr="00532C3B">
        <w:rPr>
          <w:szCs w:val="20"/>
          <w:lang w:val="es-CR"/>
        </w:rPr>
        <w:t>Esta Sentencia homologatoria constituye por sí</w:t>
      </w:r>
      <w:r w:rsidR="00A73AFA" w:rsidRPr="00532C3B">
        <w:rPr>
          <w:szCs w:val="20"/>
          <w:lang w:val="es-CR"/>
        </w:rPr>
        <w:t xml:space="preserve"> misma una forma de reparación.</w:t>
      </w:r>
    </w:p>
    <w:p w14:paraId="6457C172" w14:textId="77777777" w:rsidR="00A73AFA" w:rsidRPr="00532C3B" w:rsidRDefault="00A73AFA" w:rsidP="001E6219">
      <w:pPr>
        <w:pStyle w:val="ListParagraph"/>
        <w:ind w:left="0"/>
        <w:contextualSpacing w:val="0"/>
        <w:rPr>
          <w:szCs w:val="20"/>
          <w:lang w:val="es-CR"/>
        </w:rPr>
      </w:pPr>
    </w:p>
    <w:p w14:paraId="42C4A85F" w14:textId="737BB854" w:rsidR="00104683" w:rsidRPr="00532C3B" w:rsidRDefault="00E80DB9" w:rsidP="001E6219">
      <w:pPr>
        <w:pStyle w:val="ListParagraph"/>
        <w:numPr>
          <w:ilvl w:val="0"/>
          <w:numId w:val="13"/>
        </w:numPr>
        <w:ind w:left="0" w:firstLine="0"/>
        <w:contextualSpacing w:val="0"/>
        <w:rPr>
          <w:szCs w:val="20"/>
          <w:lang w:val="es-ES"/>
        </w:rPr>
      </w:pPr>
      <w:r>
        <w:rPr>
          <w:szCs w:val="20"/>
          <w:lang w:val="es-ES"/>
        </w:rPr>
        <w:t>E</w:t>
      </w:r>
      <w:r w:rsidR="00104683" w:rsidRPr="00532C3B">
        <w:rPr>
          <w:szCs w:val="20"/>
          <w:lang w:val="es-ES"/>
        </w:rPr>
        <w:t>l Estado debe:</w:t>
      </w:r>
    </w:p>
    <w:p w14:paraId="2CC231C1" w14:textId="77777777" w:rsidR="00A73AFA" w:rsidRPr="00532C3B" w:rsidRDefault="00A73AFA" w:rsidP="001E6219">
      <w:pPr>
        <w:pStyle w:val="ListParagraph"/>
        <w:ind w:left="0"/>
        <w:contextualSpacing w:val="0"/>
        <w:rPr>
          <w:szCs w:val="20"/>
          <w:lang w:val="es-ES"/>
        </w:rPr>
      </w:pPr>
    </w:p>
    <w:p w14:paraId="0D4DB63C" w14:textId="1C276060" w:rsidR="00E05548" w:rsidRDefault="00104683" w:rsidP="001E6219">
      <w:pPr>
        <w:ind w:left="708"/>
        <w:rPr>
          <w:szCs w:val="20"/>
          <w:lang w:val="es-ES"/>
        </w:rPr>
      </w:pPr>
      <w:r w:rsidRPr="00532C3B">
        <w:rPr>
          <w:szCs w:val="20"/>
          <w:lang w:val="es-ES"/>
        </w:rPr>
        <w:t xml:space="preserve">a) </w:t>
      </w:r>
      <w:r w:rsidR="00E05548" w:rsidRPr="00532C3B">
        <w:rPr>
          <w:szCs w:val="20"/>
          <w:lang w:val="es-ES"/>
        </w:rPr>
        <w:t xml:space="preserve">Realizar una revisión del caso penal a la luz de las circunstancias y criterios de la época, y tomando en consideración los estándares de la época, en los términos señalados en el párrafo </w:t>
      </w:r>
      <w:r w:rsidR="003A6C83">
        <w:rPr>
          <w:szCs w:val="20"/>
          <w:lang w:val="es-ES"/>
        </w:rPr>
        <w:t>45</w:t>
      </w:r>
      <w:r w:rsidR="00E05548" w:rsidRPr="00532C3B">
        <w:rPr>
          <w:szCs w:val="20"/>
          <w:lang w:val="es-ES"/>
        </w:rPr>
        <w:t xml:space="preserve"> de la presente Sentencia</w:t>
      </w:r>
      <w:r w:rsidR="00E05548">
        <w:rPr>
          <w:szCs w:val="20"/>
          <w:lang w:val="es-ES"/>
        </w:rPr>
        <w:t>;</w:t>
      </w:r>
    </w:p>
    <w:p w14:paraId="3CBA7B0C" w14:textId="77777777" w:rsidR="00E05548" w:rsidRDefault="00E05548" w:rsidP="001E6219">
      <w:pPr>
        <w:ind w:left="708"/>
        <w:rPr>
          <w:szCs w:val="20"/>
          <w:lang w:val="es-ES"/>
        </w:rPr>
      </w:pPr>
    </w:p>
    <w:p w14:paraId="77767772" w14:textId="77777777" w:rsidR="003A6C83" w:rsidRDefault="00E05548" w:rsidP="001E6219">
      <w:pPr>
        <w:ind w:left="708"/>
        <w:rPr>
          <w:szCs w:val="20"/>
          <w:lang w:val="es-ES"/>
        </w:rPr>
      </w:pPr>
      <w:r>
        <w:rPr>
          <w:szCs w:val="20"/>
          <w:lang w:val="es-ES"/>
        </w:rPr>
        <w:t xml:space="preserve">b) </w:t>
      </w:r>
      <w:r w:rsidR="00104683" w:rsidRPr="00532C3B">
        <w:rPr>
          <w:szCs w:val="20"/>
          <w:lang w:val="es-ES"/>
        </w:rPr>
        <w:t>Brindar la atención médica</w:t>
      </w:r>
      <w:r w:rsidR="003A6C83">
        <w:rPr>
          <w:szCs w:val="20"/>
          <w:lang w:val="es-ES"/>
        </w:rPr>
        <w:t xml:space="preserve"> y psicológica que requieran las víctimas, en instituciones de salud especializadas</w:t>
      </w:r>
      <w:r w:rsidR="00104683" w:rsidRPr="00532C3B">
        <w:rPr>
          <w:szCs w:val="20"/>
          <w:lang w:val="es-ES"/>
        </w:rPr>
        <w:t>,</w:t>
      </w:r>
      <w:r w:rsidR="003A6C83">
        <w:rPr>
          <w:szCs w:val="20"/>
          <w:lang w:val="es-ES"/>
        </w:rPr>
        <w:t xml:space="preserve"> en los términos señalados en el párrafo 46 de la presente Sentencia;</w:t>
      </w:r>
    </w:p>
    <w:p w14:paraId="6F9316E6" w14:textId="77777777" w:rsidR="003A6C83" w:rsidRDefault="003A6C83" w:rsidP="001E6219">
      <w:pPr>
        <w:ind w:left="708"/>
        <w:rPr>
          <w:szCs w:val="20"/>
          <w:lang w:val="es-ES"/>
        </w:rPr>
      </w:pPr>
    </w:p>
    <w:p w14:paraId="45406E92" w14:textId="3EEFDF37" w:rsidR="003A6C83" w:rsidRDefault="003A6C83" w:rsidP="001E6219">
      <w:pPr>
        <w:ind w:left="708"/>
        <w:rPr>
          <w:szCs w:val="20"/>
          <w:lang w:val="es-ES"/>
        </w:rPr>
      </w:pPr>
      <w:r>
        <w:rPr>
          <w:szCs w:val="20"/>
          <w:lang w:val="es-ES"/>
        </w:rPr>
        <w:t>c) P</w:t>
      </w:r>
      <w:r w:rsidR="00104683" w:rsidRPr="00532C3B">
        <w:rPr>
          <w:szCs w:val="20"/>
          <w:lang w:val="es-ES"/>
        </w:rPr>
        <w:t>roporcionar al señor Eleazar Heric Arciniega</w:t>
      </w:r>
      <w:r>
        <w:rPr>
          <w:szCs w:val="20"/>
          <w:lang w:val="es-ES"/>
        </w:rPr>
        <w:t xml:space="preserve"> los recursos para que los destine a generar un proyecto productivo de su elección</w:t>
      </w:r>
      <w:r w:rsidR="00104683" w:rsidRPr="00532C3B">
        <w:rPr>
          <w:szCs w:val="20"/>
          <w:lang w:val="es-ES"/>
        </w:rPr>
        <w:t xml:space="preserve">, entregar los recursos para la compra de una vivienda a la señora Micaela Arciniega Cevallos, </w:t>
      </w:r>
      <w:r>
        <w:rPr>
          <w:szCs w:val="20"/>
          <w:lang w:val="es-ES"/>
        </w:rPr>
        <w:t xml:space="preserve">y para </w:t>
      </w:r>
      <w:r w:rsidR="00104683" w:rsidRPr="00532C3B">
        <w:rPr>
          <w:szCs w:val="20"/>
          <w:lang w:val="es-ES"/>
        </w:rPr>
        <w:t xml:space="preserve">realizar las mejoras necesarias en la casa del señor Tomás Trueba Loera, proporcionar el apoyo alimentario a los padres de Mirey Trueba Arciniega, </w:t>
      </w:r>
      <w:r>
        <w:rPr>
          <w:szCs w:val="20"/>
          <w:lang w:val="es-ES"/>
        </w:rPr>
        <w:t>y realizar un acto público de responsabilidad, en los términos señalados en el párrafo 47 de la presente Sentencia;</w:t>
      </w:r>
    </w:p>
    <w:p w14:paraId="538FA31E" w14:textId="77777777" w:rsidR="00A73AFA" w:rsidRPr="00532C3B" w:rsidRDefault="00A73AFA" w:rsidP="001E6219">
      <w:pPr>
        <w:ind w:left="708"/>
        <w:rPr>
          <w:szCs w:val="20"/>
          <w:lang w:val="es-ES"/>
        </w:rPr>
      </w:pPr>
    </w:p>
    <w:p w14:paraId="1705C460" w14:textId="5AD35D9E" w:rsidR="00104683" w:rsidRPr="00532C3B" w:rsidRDefault="003A6C83" w:rsidP="001E6219">
      <w:pPr>
        <w:ind w:left="708"/>
        <w:rPr>
          <w:szCs w:val="20"/>
          <w:lang w:val="es-ES"/>
        </w:rPr>
      </w:pPr>
      <w:r>
        <w:rPr>
          <w:szCs w:val="20"/>
          <w:lang w:val="es-ES"/>
        </w:rPr>
        <w:t>d</w:t>
      </w:r>
      <w:r w:rsidR="00104683" w:rsidRPr="00532C3B">
        <w:rPr>
          <w:szCs w:val="20"/>
          <w:lang w:val="es-ES"/>
        </w:rPr>
        <w:t xml:space="preserve">) Implementar cursos de capacitación a las fuerzas armadas y para los agentes del Ministerio Público de la Federación, de conformidad con lo descrito en el párrafo </w:t>
      </w:r>
      <w:r>
        <w:rPr>
          <w:szCs w:val="20"/>
          <w:lang w:val="es-ES"/>
        </w:rPr>
        <w:t>48</w:t>
      </w:r>
      <w:r w:rsidR="00104683" w:rsidRPr="00532C3B">
        <w:rPr>
          <w:szCs w:val="20"/>
          <w:lang w:val="es-ES"/>
        </w:rPr>
        <w:t xml:space="preserve"> de la presente Sentencia;</w:t>
      </w:r>
    </w:p>
    <w:p w14:paraId="198ECF99" w14:textId="77777777" w:rsidR="00A73AFA" w:rsidRDefault="00A73AFA" w:rsidP="001E6219">
      <w:pPr>
        <w:ind w:left="708"/>
        <w:rPr>
          <w:szCs w:val="20"/>
          <w:lang w:val="es-ES"/>
        </w:rPr>
      </w:pPr>
    </w:p>
    <w:p w14:paraId="2CB3D521" w14:textId="29C0C70D" w:rsidR="003A6C83" w:rsidRPr="00532C3B" w:rsidRDefault="003A6C83" w:rsidP="003A6C83">
      <w:pPr>
        <w:ind w:left="708"/>
        <w:rPr>
          <w:szCs w:val="20"/>
          <w:lang w:val="es-ES"/>
        </w:rPr>
      </w:pPr>
      <w:r>
        <w:rPr>
          <w:szCs w:val="20"/>
          <w:lang w:val="es-ES"/>
        </w:rPr>
        <w:t>e) P</w:t>
      </w:r>
      <w:r w:rsidRPr="00532C3B">
        <w:rPr>
          <w:szCs w:val="20"/>
          <w:lang w:val="es-ES"/>
        </w:rPr>
        <w:t>agar las cantidades fijadas por daño moral, daño inmaterial y lucro cesante</w:t>
      </w:r>
      <w:r w:rsidR="00384775">
        <w:rPr>
          <w:szCs w:val="20"/>
          <w:lang w:val="es-ES"/>
        </w:rPr>
        <w:t>, en los términos señalados en el párrafo</w:t>
      </w:r>
      <w:r w:rsidRPr="00532C3B">
        <w:rPr>
          <w:szCs w:val="20"/>
          <w:lang w:val="es-ES"/>
        </w:rPr>
        <w:t xml:space="preserve"> </w:t>
      </w:r>
      <w:r>
        <w:rPr>
          <w:szCs w:val="20"/>
          <w:lang w:val="es-ES"/>
        </w:rPr>
        <w:t>49</w:t>
      </w:r>
      <w:r w:rsidR="004A4E58">
        <w:rPr>
          <w:szCs w:val="20"/>
          <w:lang w:val="es-ES"/>
        </w:rPr>
        <w:t xml:space="preserve"> de la presente Sentencia, y</w:t>
      </w:r>
    </w:p>
    <w:p w14:paraId="474F915B" w14:textId="77777777" w:rsidR="003A6C83" w:rsidRPr="00532C3B" w:rsidRDefault="003A6C83" w:rsidP="001E6219">
      <w:pPr>
        <w:ind w:left="708"/>
        <w:rPr>
          <w:szCs w:val="20"/>
          <w:lang w:val="es-ES"/>
        </w:rPr>
      </w:pPr>
    </w:p>
    <w:p w14:paraId="534B5331" w14:textId="0DB3D3ED" w:rsidR="00104683" w:rsidRPr="00532C3B" w:rsidRDefault="003A6C83" w:rsidP="001E6219">
      <w:pPr>
        <w:ind w:left="708"/>
        <w:rPr>
          <w:szCs w:val="20"/>
          <w:lang w:val="es-ES"/>
        </w:rPr>
      </w:pPr>
      <w:r>
        <w:rPr>
          <w:szCs w:val="20"/>
          <w:lang w:val="es-ES"/>
        </w:rPr>
        <w:t>f</w:t>
      </w:r>
      <w:r w:rsidR="00104683" w:rsidRPr="00532C3B">
        <w:rPr>
          <w:szCs w:val="20"/>
          <w:lang w:val="es-ES"/>
        </w:rPr>
        <w:t>) Pagar las cantidades fijadas por concepto de gastos</w:t>
      </w:r>
      <w:r w:rsidR="00384775" w:rsidRPr="00384775">
        <w:rPr>
          <w:szCs w:val="20"/>
          <w:lang w:val="es-ES"/>
        </w:rPr>
        <w:t xml:space="preserve"> </w:t>
      </w:r>
      <w:r w:rsidR="00384775">
        <w:rPr>
          <w:szCs w:val="20"/>
          <w:lang w:val="es-ES"/>
        </w:rPr>
        <w:t>en los términos señalados en el párrafo 50 de la presente Sentencia</w:t>
      </w:r>
      <w:r w:rsidR="00104683" w:rsidRPr="00532C3B">
        <w:rPr>
          <w:szCs w:val="20"/>
          <w:lang w:val="es-ES"/>
        </w:rPr>
        <w:t>.</w:t>
      </w:r>
    </w:p>
    <w:p w14:paraId="1C822427" w14:textId="77777777" w:rsidR="00E80DB9" w:rsidRPr="00532C3B" w:rsidRDefault="00E80DB9" w:rsidP="001E6219">
      <w:pPr>
        <w:rPr>
          <w:szCs w:val="20"/>
          <w:lang w:val="es-ES"/>
        </w:rPr>
      </w:pPr>
    </w:p>
    <w:p w14:paraId="61712EA2" w14:textId="590A58B9" w:rsidR="00104683" w:rsidRPr="00532C3B" w:rsidRDefault="00104683" w:rsidP="001E6219">
      <w:pPr>
        <w:pStyle w:val="ListParagraph"/>
        <w:numPr>
          <w:ilvl w:val="0"/>
          <w:numId w:val="13"/>
        </w:numPr>
        <w:ind w:left="0" w:firstLine="0"/>
        <w:contextualSpacing w:val="0"/>
        <w:rPr>
          <w:szCs w:val="20"/>
          <w:lang w:val="es-CR"/>
        </w:rPr>
      </w:pPr>
      <w:r w:rsidRPr="00532C3B">
        <w:rPr>
          <w:szCs w:val="20"/>
          <w:lang w:val="es-CR"/>
        </w:rPr>
        <w:t xml:space="preserve">El </w:t>
      </w:r>
      <w:r w:rsidRPr="00532C3B">
        <w:rPr>
          <w:szCs w:val="20"/>
          <w:lang w:val="es-ES"/>
        </w:rPr>
        <w:t>Estado</w:t>
      </w:r>
      <w:r w:rsidRPr="00532C3B">
        <w:rPr>
          <w:szCs w:val="20"/>
          <w:lang w:val="es-CR"/>
        </w:rPr>
        <w:t xml:space="preserve"> debe, dentro del plazo de un año contado a partir de la notificación de esta Sentencia, rendir al Tribunal un informe sobre las medidas adoptadas para cumplir con la misma.</w:t>
      </w:r>
    </w:p>
    <w:p w14:paraId="7AED0EC4" w14:textId="77777777" w:rsidR="00A73AFA" w:rsidRPr="00532C3B" w:rsidRDefault="00A73AFA" w:rsidP="001E6219">
      <w:pPr>
        <w:pStyle w:val="ListParagraph"/>
        <w:ind w:left="0"/>
        <w:contextualSpacing w:val="0"/>
        <w:rPr>
          <w:szCs w:val="20"/>
          <w:lang w:val="es-CR"/>
        </w:rPr>
      </w:pPr>
    </w:p>
    <w:p w14:paraId="4E16F749" w14:textId="77777777" w:rsidR="00104683" w:rsidRPr="00532C3B" w:rsidRDefault="00104683" w:rsidP="001E6219">
      <w:pPr>
        <w:pStyle w:val="ListParagraph"/>
        <w:numPr>
          <w:ilvl w:val="0"/>
          <w:numId w:val="13"/>
        </w:numPr>
        <w:ind w:left="0" w:firstLine="0"/>
        <w:contextualSpacing w:val="0"/>
        <w:rPr>
          <w:szCs w:val="20"/>
          <w:lang w:val="es-CR"/>
        </w:rPr>
      </w:pPr>
      <w:r w:rsidRPr="00532C3B">
        <w:rPr>
          <w:szCs w:val="20"/>
          <w:lang w:val="es-ES"/>
        </w:rPr>
        <w:lastRenderedPageBreak/>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62197DB7" w14:textId="77777777" w:rsidR="00104683" w:rsidRPr="00532C3B" w:rsidRDefault="00104683" w:rsidP="001E6219">
      <w:pPr>
        <w:rPr>
          <w:szCs w:val="20"/>
          <w:lang w:val="es-CR"/>
        </w:rPr>
      </w:pPr>
    </w:p>
    <w:p w14:paraId="06F8B94A" w14:textId="7E779AB7" w:rsidR="00104683" w:rsidRPr="00532C3B" w:rsidRDefault="00104683" w:rsidP="001E6219">
      <w:pPr>
        <w:rPr>
          <w:szCs w:val="20"/>
          <w:lang w:val="es-CR"/>
        </w:rPr>
      </w:pPr>
      <w:r w:rsidRPr="00532C3B">
        <w:rPr>
          <w:szCs w:val="20"/>
          <w:lang w:val="es-CR"/>
        </w:rPr>
        <w:t>Redactada en español en San José, Costa Ri</w:t>
      </w:r>
      <w:r w:rsidR="00CD205C">
        <w:rPr>
          <w:szCs w:val="20"/>
          <w:lang w:val="es-CR"/>
        </w:rPr>
        <w:t>ca, el 27</w:t>
      </w:r>
      <w:r w:rsidRPr="00532C3B">
        <w:rPr>
          <w:szCs w:val="20"/>
          <w:lang w:val="es-CR"/>
        </w:rPr>
        <w:t xml:space="preserve"> de noviembre de 2018.</w:t>
      </w:r>
    </w:p>
    <w:p w14:paraId="7FE36A4A" w14:textId="77777777" w:rsidR="00A73AFA" w:rsidRPr="00532C3B" w:rsidRDefault="00A73AFA" w:rsidP="001E6219">
      <w:pPr>
        <w:rPr>
          <w:szCs w:val="20"/>
          <w:lang w:val="es-CR"/>
        </w:rPr>
      </w:pPr>
    </w:p>
    <w:p w14:paraId="0EE8FD44" w14:textId="1C1EB11B" w:rsidR="00104683" w:rsidRPr="00532C3B" w:rsidRDefault="00104683" w:rsidP="001E6219">
      <w:pPr>
        <w:rPr>
          <w:szCs w:val="20"/>
          <w:lang w:val="pt-BR"/>
        </w:rPr>
      </w:pPr>
      <w:r w:rsidRPr="00532C3B">
        <w:rPr>
          <w:szCs w:val="20"/>
          <w:lang w:val="es-CR"/>
        </w:rPr>
        <w:t>Sentencia. Caso Trueba Arciniega y</w:t>
      </w:r>
      <w:r w:rsidRPr="00532C3B">
        <w:rPr>
          <w:szCs w:val="20"/>
          <w:lang w:val="pt-BR"/>
        </w:rPr>
        <w:t xml:space="preserve"> otros vs. </w:t>
      </w:r>
      <w:r w:rsidR="00CD205C">
        <w:rPr>
          <w:szCs w:val="20"/>
          <w:lang w:val="pt-BR"/>
        </w:rPr>
        <w:t>Estados Unidos Mexicanos</w:t>
      </w:r>
      <w:r w:rsidRPr="00532C3B">
        <w:rPr>
          <w:szCs w:val="20"/>
          <w:lang w:val="pt-BR"/>
        </w:rPr>
        <w:t>.</w:t>
      </w:r>
    </w:p>
    <w:p w14:paraId="2DAAF8A3" w14:textId="0A4A34A4" w:rsidR="009B0EAD" w:rsidRDefault="009B0EAD" w:rsidP="001E6219">
      <w:pPr>
        <w:pStyle w:val="Heading1"/>
        <w:spacing w:before="0" w:after="0"/>
        <w:rPr>
          <w:lang w:val="pt-BR"/>
        </w:rPr>
      </w:pPr>
      <w:r>
        <w:rPr>
          <w:lang w:val="pt-BR"/>
        </w:rPr>
        <w:br w:type="page"/>
      </w:r>
    </w:p>
    <w:p w14:paraId="29AABFAC" w14:textId="77777777" w:rsidR="009B0EAD" w:rsidRPr="00F31649" w:rsidRDefault="009B0EAD" w:rsidP="009B0EAD">
      <w:pPr>
        <w:keepNext/>
        <w:outlineLvl w:val="0"/>
        <w:rPr>
          <w:lang w:val="es-CR"/>
        </w:rPr>
      </w:pPr>
      <w:r w:rsidRPr="00F31649">
        <w:rPr>
          <w:lang w:val="es-ES"/>
        </w:rPr>
        <w:lastRenderedPageBreak/>
        <w:t xml:space="preserve">Corte IDH. </w:t>
      </w:r>
      <w:r w:rsidRPr="00F31649">
        <w:rPr>
          <w:i/>
          <w:lang w:val="es-ES"/>
        </w:rPr>
        <w:t xml:space="preserve">Caso </w:t>
      </w:r>
      <w:r>
        <w:rPr>
          <w:i/>
          <w:lang w:val="es-ES"/>
        </w:rPr>
        <w:t>Trueba Arciniega y otros</w:t>
      </w:r>
      <w:r w:rsidRPr="00F31649">
        <w:rPr>
          <w:i/>
          <w:lang w:val="es-ES"/>
        </w:rPr>
        <w:t xml:space="preserve"> Vs. </w:t>
      </w:r>
      <w:r>
        <w:rPr>
          <w:i/>
          <w:lang w:val="es-ES"/>
        </w:rPr>
        <w:t>México</w:t>
      </w:r>
      <w:r>
        <w:rPr>
          <w:lang w:val="es-ES"/>
        </w:rPr>
        <w:t>. Sentencia de 27</w:t>
      </w:r>
      <w:r w:rsidRPr="00F31649">
        <w:rPr>
          <w:lang w:val="es-ES"/>
        </w:rPr>
        <w:t xml:space="preserve"> de </w:t>
      </w:r>
      <w:r>
        <w:rPr>
          <w:lang w:val="es-ES"/>
        </w:rPr>
        <w:t>noviembre</w:t>
      </w:r>
      <w:r w:rsidRPr="00F31649">
        <w:rPr>
          <w:lang w:val="es-ES"/>
        </w:rPr>
        <w:t xml:space="preserve"> de 2018.</w:t>
      </w:r>
    </w:p>
    <w:p w14:paraId="1687F457" w14:textId="77777777" w:rsidR="009B0EAD" w:rsidRPr="00F31649" w:rsidRDefault="009B0EAD" w:rsidP="009B0EAD">
      <w:pPr>
        <w:jc w:val="center"/>
        <w:rPr>
          <w:lang w:val="es-ES"/>
        </w:rPr>
      </w:pPr>
    </w:p>
    <w:p w14:paraId="78B572B0" w14:textId="77777777" w:rsidR="009B0EAD" w:rsidRPr="00F31649" w:rsidRDefault="009B0EAD" w:rsidP="009B0EAD">
      <w:pPr>
        <w:jc w:val="center"/>
        <w:rPr>
          <w:lang w:val="es-ES"/>
        </w:rPr>
      </w:pPr>
    </w:p>
    <w:p w14:paraId="63FDB5E8" w14:textId="77777777" w:rsidR="009B0EAD" w:rsidRPr="00F31649" w:rsidRDefault="009B0EAD" w:rsidP="009B0EAD">
      <w:pPr>
        <w:rPr>
          <w:lang w:val="es-ES"/>
        </w:rPr>
      </w:pPr>
    </w:p>
    <w:p w14:paraId="17387BBF" w14:textId="77777777" w:rsidR="009B0EAD" w:rsidRPr="00F31649" w:rsidRDefault="009B0EAD" w:rsidP="009B0EAD">
      <w:pPr>
        <w:jc w:val="center"/>
        <w:rPr>
          <w:lang w:val="es-ES"/>
        </w:rPr>
      </w:pPr>
    </w:p>
    <w:p w14:paraId="6CF00887" w14:textId="77777777" w:rsidR="009B0EAD" w:rsidRPr="00F31649" w:rsidRDefault="009B0EAD" w:rsidP="009B0EAD">
      <w:pPr>
        <w:jc w:val="center"/>
        <w:rPr>
          <w:lang w:val="es-ES"/>
        </w:rPr>
      </w:pPr>
    </w:p>
    <w:p w14:paraId="4F842172" w14:textId="77777777" w:rsidR="009B0EAD" w:rsidRPr="00F31649" w:rsidRDefault="009B0EAD" w:rsidP="009B0EAD">
      <w:pPr>
        <w:jc w:val="center"/>
        <w:rPr>
          <w:lang w:val="es-ES"/>
        </w:rPr>
      </w:pPr>
      <w:r w:rsidRPr="00F31649">
        <w:rPr>
          <w:lang w:val="es-ES"/>
        </w:rPr>
        <w:t xml:space="preserve">Eduardo </w:t>
      </w:r>
      <w:r>
        <w:rPr>
          <w:lang w:val="es-ES"/>
        </w:rPr>
        <w:t>Vio Grossi</w:t>
      </w:r>
      <w:r w:rsidRPr="00F31649">
        <w:rPr>
          <w:lang w:val="es-ES"/>
        </w:rPr>
        <w:t xml:space="preserve"> </w:t>
      </w:r>
    </w:p>
    <w:p w14:paraId="1B03FCBD" w14:textId="77777777" w:rsidR="009B0EAD" w:rsidRPr="00F31649" w:rsidRDefault="009B0EAD" w:rsidP="009B0EAD">
      <w:pPr>
        <w:jc w:val="center"/>
        <w:rPr>
          <w:lang w:val="es-ES"/>
        </w:rPr>
      </w:pPr>
      <w:r w:rsidRPr="00F31649">
        <w:rPr>
          <w:lang w:val="es-ES"/>
        </w:rPr>
        <w:t xml:space="preserve">Presidente </w:t>
      </w:r>
      <w:r>
        <w:rPr>
          <w:lang w:val="es-ES"/>
        </w:rPr>
        <w:t>en ejercicio</w:t>
      </w:r>
    </w:p>
    <w:p w14:paraId="0303AED6" w14:textId="77777777" w:rsidR="009B0EAD" w:rsidRPr="00F31649" w:rsidRDefault="009B0EAD" w:rsidP="009B0EAD">
      <w:pPr>
        <w:rPr>
          <w:lang w:val="es-ES"/>
        </w:rPr>
      </w:pPr>
    </w:p>
    <w:p w14:paraId="3F5708DB" w14:textId="77777777" w:rsidR="009B0EAD" w:rsidRPr="00F31649" w:rsidRDefault="009B0EAD" w:rsidP="009B0EAD">
      <w:pPr>
        <w:rPr>
          <w:lang w:val="es-ES"/>
        </w:rPr>
      </w:pPr>
    </w:p>
    <w:p w14:paraId="08FB8D7C" w14:textId="77777777" w:rsidR="009B0EAD" w:rsidRPr="00F31649" w:rsidRDefault="009B0EAD" w:rsidP="009B0EAD">
      <w:pPr>
        <w:rPr>
          <w:lang w:val="es-ES"/>
        </w:rPr>
      </w:pPr>
    </w:p>
    <w:p w14:paraId="356F82F2" w14:textId="77777777" w:rsidR="009B0EAD" w:rsidRPr="00F31649" w:rsidRDefault="009B0EAD" w:rsidP="009B0EAD">
      <w:pPr>
        <w:rPr>
          <w:lang w:val="es-ES"/>
        </w:rPr>
      </w:pPr>
    </w:p>
    <w:p w14:paraId="11FF60E6" w14:textId="77777777" w:rsidR="009B0EAD" w:rsidRPr="00F31649" w:rsidRDefault="009B0EAD" w:rsidP="009B0EAD">
      <w:pPr>
        <w:rPr>
          <w:lang w:val="es-ES"/>
        </w:rPr>
      </w:pPr>
    </w:p>
    <w:p w14:paraId="0D350903" w14:textId="77777777" w:rsidR="009B0EAD" w:rsidRPr="00F31649" w:rsidRDefault="009B0EAD" w:rsidP="009B0EAD">
      <w:pPr>
        <w:rPr>
          <w:lang w:val="es-ES"/>
        </w:rPr>
      </w:pPr>
    </w:p>
    <w:p w14:paraId="46A76712" w14:textId="77777777" w:rsidR="009B0EAD" w:rsidRPr="00F31649" w:rsidRDefault="009B0EAD" w:rsidP="009B0EAD">
      <w:pPr>
        <w:rPr>
          <w:lang w:val="es-ES"/>
        </w:rPr>
      </w:pPr>
      <w:r>
        <w:rPr>
          <w:lang w:val="es-ES"/>
        </w:rPr>
        <w:t>H</w:t>
      </w:r>
      <w:r w:rsidRPr="00F31649">
        <w:rPr>
          <w:lang w:val="es-ES"/>
        </w:rPr>
        <w:t>umberto A. Sierra Porto</w:t>
      </w:r>
      <w:r>
        <w:rPr>
          <w:lang w:val="es-ES"/>
        </w:rPr>
        <w:tab/>
      </w:r>
      <w:r>
        <w:rPr>
          <w:lang w:val="es-ES"/>
        </w:rPr>
        <w:tab/>
      </w:r>
      <w:r>
        <w:rPr>
          <w:lang w:val="es-ES"/>
        </w:rPr>
        <w:tab/>
      </w:r>
      <w:r>
        <w:rPr>
          <w:lang w:val="es-ES"/>
        </w:rPr>
        <w:tab/>
      </w:r>
      <w:r>
        <w:rPr>
          <w:lang w:val="es-ES"/>
        </w:rPr>
        <w:tab/>
      </w:r>
      <w:r>
        <w:rPr>
          <w:lang w:val="es-ES"/>
        </w:rPr>
        <w:tab/>
        <w:t xml:space="preserve">    Elizabeth Odio Benito</w:t>
      </w:r>
    </w:p>
    <w:p w14:paraId="1F29F31C" w14:textId="77777777" w:rsidR="009B0EAD" w:rsidRPr="00F31649" w:rsidRDefault="009B0EAD" w:rsidP="009B0EAD">
      <w:pPr>
        <w:rPr>
          <w:lang w:val="es-ES"/>
        </w:rPr>
      </w:pPr>
    </w:p>
    <w:p w14:paraId="27603D49" w14:textId="77777777" w:rsidR="009B0EAD" w:rsidRPr="00F31649" w:rsidRDefault="009B0EAD" w:rsidP="009B0EAD">
      <w:pPr>
        <w:rPr>
          <w:lang w:val="es-ES"/>
        </w:rPr>
      </w:pPr>
    </w:p>
    <w:p w14:paraId="321BD144" w14:textId="77777777" w:rsidR="009B0EAD" w:rsidRPr="00F31649" w:rsidRDefault="009B0EAD" w:rsidP="009B0EAD">
      <w:pPr>
        <w:rPr>
          <w:lang w:val="es-ES"/>
        </w:rPr>
      </w:pPr>
    </w:p>
    <w:p w14:paraId="7037FCEF" w14:textId="77777777" w:rsidR="009B0EAD" w:rsidRPr="00F31649" w:rsidRDefault="009B0EAD" w:rsidP="009B0EAD">
      <w:pPr>
        <w:rPr>
          <w:lang w:val="es-ES"/>
        </w:rPr>
      </w:pPr>
    </w:p>
    <w:p w14:paraId="2EEF57DC" w14:textId="77777777" w:rsidR="009B0EAD" w:rsidRPr="00F31649" w:rsidRDefault="009B0EAD" w:rsidP="009B0EAD">
      <w:pPr>
        <w:rPr>
          <w:lang w:val="es-ES"/>
        </w:rPr>
      </w:pPr>
    </w:p>
    <w:p w14:paraId="2F0A5024" w14:textId="77777777" w:rsidR="009B0EAD" w:rsidRPr="00F31649" w:rsidRDefault="009B0EAD" w:rsidP="009B0EAD">
      <w:pPr>
        <w:rPr>
          <w:lang w:val="es-ES"/>
        </w:rPr>
      </w:pPr>
    </w:p>
    <w:p w14:paraId="39B137EA" w14:textId="77777777" w:rsidR="009B0EAD" w:rsidRPr="00F31649" w:rsidRDefault="009B0EAD" w:rsidP="009B0EAD">
      <w:pPr>
        <w:jc w:val="center"/>
        <w:rPr>
          <w:lang w:val="es-ES"/>
        </w:rPr>
      </w:pPr>
      <w:r w:rsidRPr="00F31649">
        <w:rPr>
          <w:lang w:val="es-ES"/>
        </w:rPr>
        <w:t>Eugenio Raúl Zaffaroni</w:t>
      </w:r>
      <w:r w:rsidRPr="00F31649">
        <w:rPr>
          <w:lang w:val="es-ES"/>
        </w:rPr>
        <w:tab/>
      </w:r>
      <w:r w:rsidRPr="00F31649">
        <w:rPr>
          <w:lang w:val="es-ES"/>
        </w:rPr>
        <w:tab/>
      </w:r>
      <w:r w:rsidRPr="00F31649">
        <w:rPr>
          <w:lang w:val="es-ES"/>
        </w:rPr>
        <w:tab/>
      </w:r>
      <w:r w:rsidRPr="00F31649">
        <w:rPr>
          <w:lang w:val="es-ES"/>
        </w:rPr>
        <w:tab/>
      </w:r>
      <w:r w:rsidRPr="00F31649">
        <w:rPr>
          <w:lang w:val="es-ES"/>
        </w:rPr>
        <w:tab/>
        <w:t xml:space="preserve">        </w:t>
      </w:r>
      <w:r>
        <w:rPr>
          <w:lang w:val="es-ES"/>
        </w:rPr>
        <w:t xml:space="preserve">L. </w:t>
      </w:r>
      <w:r w:rsidRPr="00F31649">
        <w:rPr>
          <w:lang w:val="es-ES"/>
        </w:rPr>
        <w:t>Patricio Pazmiño Freire</w:t>
      </w:r>
    </w:p>
    <w:p w14:paraId="5EBAE6BF" w14:textId="77777777" w:rsidR="009B0EAD" w:rsidRPr="00F31649" w:rsidRDefault="009B0EAD" w:rsidP="009B0EAD">
      <w:pPr>
        <w:rPr>
          <w:lang w:val="es-ES"/>
        </w:rPr>
      </w:pPr>
    </w:p>
    <w:p w14:paraId="433305F4" w14:textId="77777777" w:rsidR="009B0EAD" w:rsidRPr="00F31649" w:rsidRDefault="009B0EAD" w:rsidP="009B0EAD">
      <w:pPr>
        <w:rPr>
          <w:lang w:val="es-ES"/>
        </w:rPr>
      </w:pPr>
    </w:p>
    <w:p w14:paraId="17782FF2" w14:textId="77777777" w:rsidR="009B0EAD" w:rsidRPr="00F31649" w:rsidRDefault="009B0EAD" w:rsidP="009B0EAD">
      <w:pPr>
        <w:rPr>
          <w:lang w:val="es-ES"/>
        </w:rPr>
      </w:pPr>
    </w:p>
    <w:p w14:paraId="78D40345" w14:textId="77777777" w:rsidR="009B0EAD" w:rsidRPr="00F31649" w:rsidRDefault="009B0EAD" w:rsidP="009B0EAD">
      <w:pPr>
        <w:rPr>
          <w:lang w:val="es-ES"/>
        </w:rPr>
      </w:pPr>
    </w:p>
    <w:p w14:paraId="788E5C48" w14:textId="77777777" w:rsidR="009B0EAD" w:rsidRPr="00F31649" w:rsidRDefault="009B0EAD" w:rsidP="009B0EAD">
      <w:pPr>
        <w:rPr>
          <w:lang w:val="es-CR"/>
        </w:rPr>
      </w:pPr>
    </w:p>
    <w:p w14:paraId="08773DDB" w14:textId="77777777" w:rsidR="009B0EAD" w:rsidRPr="00F31649" w:rsidRDefault="009B0EAD" w:rsidP="009B0EAD">
      <w:pPr>
        <w:rPr>
          <w:lang w:val="es-ES"/>
        </w:rPr>
      </w:pPr>
    </w:p>
    <w:p w14:paraId="618CAC3C" w14:textId="77777777" w:rsidR="009B0EAD" w:rsidRPr="00F31649" w:rsidRDefault="009B0EAD" w:rsidP="009B0EAD">
      <w:pPr>
        <w:jc w:val="center"/>
        <w:rPr>
          <w:lang w:val="es-ES"/>
        </w:rPr>
      </w:pPr>
      <w:r w:rsidRPr="00F31649">
        <w:rPr>
          <w:lang w:val="es-ES"/>
        </w:rPr>
        <w:t>Pablo Saavedra Alessandri</w:t>
      </w:r>
    </w:p>
    <w:p w14:paraId="6CB8640B" w14:textId="77777777" w:rsidR="009B0EAD" w:rsidRPr="00F31649" w:rsidRDefault="009B0EAD" w:rsidP="009B0EAD">
      <w:pPr>
        <w:jc w:val="center"/>
        <w:rPr>
          <w:lang w:val="es-ES"/>
        </w:rPr>
      </w:pPr>
      <w:r w:rsidRPr="00F31649">
        <w:rPr>
          <w:lang w:val="es-ES"/>
        </w:rPr>
        <w:t>Secretario</w:t>
      </w:r>
    </w:p>
    <w:p w14:paraId="78E2E990" w14:textId="77777777" w:rsidR="009B0EAD" w:rsidRPr="00F31649" w:rsidRDefault="009B0EAD" w:rsidP="009B0EAD">
      <w:pPr>
        <w:rPr>
          <w:lang w:val="es-ES"/>
        </w:rPr>
      </w:pPr>
    </w:p>
    <w:p w14:paraId="342724FC" w14:textId="77777777" w:rsidR="009B0EAD" w:rsidRPr="00F31649" w:rsidRDefault="009B0EAD" w:rsidP="009B0EAD">
      <w:pPr>
        <w:pStyle w:val="FootnoteText"/>
        <w:rPr>
          <w:lang w:val="es-ES"/>
        </w:rPr>
      </w:pPr>
    </w:p>
    <w:p w14:paraId="5CC2B222" w14:textId="77777777" w:rsidR="009B0EAD" w:rsidRPr="00F31649" w:rsidRDefault="009B0EAD" w:rsidP="009B0EAD">
      <w:pPr>
        <w:pStyle w:val="FootnoteText"/>
        <w:rPr>
          <w:lang w:val="es-ES"/>
        </w:rPr>
      </w:pPr>
    </w:p>
    <w:p w14:paraId="3438B358" w14:textId="77777777" w:rsidR="009B0EAD" w:rsidRPr="00F31649" w:rsidRDefault="009B0EAD" w:rsidP="009B0EAD">
      <w:pPr>
        <w:pStyle w:val="FootnoteText"/>
        <w:rPr>
          <w:lang w:val="es-ES"/>
        </w:rPr>
      </w:pPr>
    </w:p>
    <w:p w14:paraId="7E450D82" w14:textId="77777777" w:rsidR="009B0EAD" w:rsidRPr="00F31649" w:rsidRDefault="009B0EAD" w:rsidP="009B0EAD">
      <w:pPr>
        <w:pStyle w:val="FootnoteText"/>
        <w:rPr>
          <w:lang w:val="es-ES"/>
        </w:rPr>
      </w:pPr>
    </w:p>
    <w:p w14:paraId="3A242C90" w14:textId="77777777" w:rsidR="009B0EAD" w:rsidRPr="00F31649" w:rsidRDefault="009B0EAD" w:rsidP="009B0EAD">
      <w:pPr>
        <w:rPr>
          <w:lang w:val="es-ES"/>
        </w:rPr>
      </w:pPr>
      <w:r w:rsidRPr="00F31649">
        <w:rPr>
          <w:lang w:val="es-ES"/>
        </w:rPr>
        <w:t>Comuníquese y ejecútese,</w:t>
      </w:r>
    </w:p>
    <w:p w14:paraId="18CE5F37" w14:textId="77777777" w:rsidR="009B0EAD" w:rsidRPr="00F31649" w:rsidRDefault="009B0EAD" w:rsidP="009B0EAD">
      <w:pPr>
        <w:rPr>
          <w:lang w:val="es-ES"/>
        </w:rPr>
      </w:pPr>
    </w:p>
    <w:p w14:paraId="40277EB9" w14:textId="77777777" w:rsidR="009B0EAD" w:rsidRPr="00F31649" w:rsidRDefault="009B0EAD" w:rsidP="009B0EAD">
      <w:pPr>
        <w:rPr>
          <w:lang w:val="es-ES"/>
        </w:rPr>
      </w:pPr>
    </w:p>
    <w:p w14:paraId="46354C75" w14:textId="77777777" w:rsidR="009B0EAD" w:rsidRPr="00F31649" w:rsidRDefault="009B0EAD" w:rsidP="009B0EAD">
      <w:pPr>
        <w:rPr>
          <w:lang w:val="es-ES"/>
        </w:rPr>
      </w:pPr>
    </w:p>
    <w:p w14:paraId="05C308C3" w14:textId="77777777" w:rsidR="009B0EAD" w:rsidRPr="00F31649" w:rsidRDefault="009B0EAD" w:rsidP="009B0EAD">
      <w:pPr>
        <w:rPr>
          <w:lang w:val="es-ES"/>
        </w:rPr>
      </w:pPr>
    </w:p>
    <w:p w14:paraId="2633D5AB" w14:textId="77777777" w:rsidR="009B0EAD" w:rsidRPr="00F31649" w:rsidRDefault="009B0EAD" w:rsidP="009B0EAD">
      <w:pPr>
        <w:rPr>
          <w:lang w:val="es-ES"/>
        </w:rPr>
      </w:pPr>
    </w:p>
    <w:p w14:paraId="2D98B6C5" w14:textId="77777777" w:rsidR="009B0EAD" w:rsidRPr="00F31649" w:rsidRDefault="009B0EAD" w:rsidP="009B0EAD">
      <w:pPr>
        <w:ind w:left="4956"/>
        <w:jc w:val="center"/>
        <w:rPr>
          <w:lang w:val="es-ES"/>
        </w:rPr>
      </w:pPr>
      <w:r w:rsidRPr="00F31649">
        <w:rPr>
          <w:lang w:val="es-ES"/>
        </w:rPr>
        <w:t xml:space="preserve">Eduardo </w:t>
      </w:r>
      <w:r>
        <w:rPr>
          <w:lang w:val="es-ES"/>
        </w:rPr>
        <w:t>Vio Grossi</w:t>
      </w:r>
    </w:p>
    <w:p w14:paraId="56A87F81" w14:textId="77777777" w:rsidR="009B0EAD" w:rsidRPr="00F31649" w:rsidRDefault="009B0EAD" w:rsidP="009B0EAD">
      <w:pPr>
        <w:ind w:left="4956"/>
        <w:jc w:val="center"/>
        <w:rPr>
          <w:lang w:val="es-ES"/>
        </w:rPr>
      </w:pPr>
      <w:r w:rsidRPr="00F31649">
        <w:rPr>
          <w:lang w:val="es-ES"/>
        </w:rPr>
        <w:t>Presidente</w:t>
      </w:r>
      <w:r>
        <w:rPr>
          <w:lang w:val="es-ES"/>
        </w:rPr>
        <w:t xml:space="preserve"> en ejercicio</w:t>
      </w:r>
    </w:p>
    <w:p w14:paraId="19304CD6" w14:textId="77777777" w:rsidR="009B0EAD" w:rsidRPr="00F31649" w:rsidRDefault="009B0EAD" w:rsidP="009B0EAD">
      <w:pPr>
        <w:rPr>
          <w:lang w:val="es-ES"/>
        </w:rPr>
      </w:pPr>
    </w:p>
    <w:p w14:paraId="6D006077" w14:textId="77777777" w:rsidR="009B0EAD" w:rsidRPr="00F31649" w:rsidRDefault="009B0EAD" w:rsidP="009B0EAD">
      <w:pPr>
        <w:rPr>
          <w:lang w:val="es-ES"/>
        </w:rPr>
      </w:pPr>
    </w:p>
    <w:p w14:paraId="4281B44F" w14:textId="77777777" w:rsidR="009B0EAD" w:rsidRPr="00F31649" w:rsidRDefault="009B0EAD" w:rsidP="009B0EAD">
      <w:pPr>
        <w:rPr>
          <w:lang w:val="es-ES"/>
        </w:rPr>
      </w:pPr>
    </w:p>
    <w:p w14:paraId="04EF16F1" w14:textId="77777777" w:rsidR="009B0EAD" w:rsidRPr="00F31649" w:rsidRDefault="009B0EAD" w:rsidP="009B0EAD">
      <w:pPr>
        <w:rPr>
          <w:lang w:val="es-ES"/>
        </w:rPr>
      </w:pPr>
    </w:p>
    <w:p w14:paraId="634FBFAA" w14:textId="77777777" w:rsidR="009B0EAD" w:rsidRPr="00F31649" w:rsidRDefault="009B0EAD" w:rsidP="009B0EAD">
      <w:pPr>
        <w:rPr>
          <w:lang w:val="es-ES"/>
        </w:rPr>
      </w:pPr>
      <w:r w:rsidRPr="00F31649">
        <w:rPr>
          <w:lang w:val="es-ES"/>
        </w:rPr>
        <w:t>Pablo Saavedra Alessandri</w:t>
      </w:r>
    </w:p>
    <w:p w14:paraId="0578CBBB" w14:textId="77777777" w:rsidR="009B0EAD" w:rsidRPr="00F31649" w:rsidRDefault="009B0EAD" w:rsidP="009B0EAD">
      <w:pPr>
        <w:rPr>
          <w:lang w:val="es-CR"/>
        </w:rPr>
      </w:pPr>
      <w:r w:rsidRPr="00F31649">
        <w:rPr>
          <w:lang w:val="es-ES"/>
        </w:rPr>
        <w:tab/>
      </w:r>
      <w:r w:rsidRPr="00F31649">
        <w:rPr>
          <w:lang w:val="es-CR"/>
        </w:rPr>
        <w:t>Secretario</w:t>
      </w:r>
    </w:p>
    <w:p w14:paraId="5BD230E6" w14:textId="77777777" w:rsidR="00E232AB" w:rsidRPr="00532C3B" w:rsidRDefault="00E232AB" w:rsidP="009B0EAD">
      <w:pPr>
        <w:pStyle w:val="Heading1"/>
        <w:spacing w:before="0" w:after="0"/>
        <w:jc w:val="both"/>
        <w:rPr>
          <w:lang w:val="pt-BR"/>
        </w:rPr>
      </w:pPr>
    </w:p>
    <w:sectPr w:rsidR="00E232AB" w:rsidRPr="00532C3B" w:rsidSect="001D3A7D">
      <w:headerReference w:type="default" r:id="rId9"/>
      <w:footerReference w:type="even" r:id="rId10"/>
      <w:footerReference w:type="default" r:id="rId11"/>
      <w:headerReference w:type="first" r:id="rId12"/>
      <w:footnotePr>
        <w:numRestart w:val="eachSect"/>
      </w:footnotePr>
      <w:type w:val="continuous"/>
      <w:pgSz w:w="12240" w:h="15840" w:code="1"/>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E63E6" w14:textId="77777777" w:rsidR="00CF7A9B" w:rsidRDefault="00CF7A9B" w:rsidP="009403BF">
      <w:r>
        <w:separator/>
      </w:r>
    </w:p>
  </w:endnote>
  <w:endnote w:type="continuationSeparator" w:id="0">
    <w:p w14:paraId="45A185F3" w14:textId="77777777" w:rsidR="00CF7A9B" w:rsidRDefault="00CF7A9B" w:rsidP="0094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Italic">
    <w:altName w:val="Arial Unicode MS"/>
    <w:charset w:val="00"/>
    <w:family w:val="roman"/>
    <w:pitch w:val="variable"/>
    <w:sig w:usb0="00000001"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pple Chancery">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Verdana Bold">
    <w:altName w:val="Tahoma"/>
    <w:panose1 w:val="020B0804030504040204"/>
    <w:charset w:val="00"/>
    <w:family w:val="auto"/>
    <w:pitch w:val="variable"/>
    <w:sig w:usb0="00000003" w:usb1="00000000" w:usb2="00000000" w:usb3="00000000" w:csb0="00000001" w:csb1="00000000"/>
  </w:font>
  <w:font w:name="Verdana-Italic">
    <w:altName w:val="Verdana"/>
    <w:panose1 w:val="00000000000000000000"/>
    <w:charset w:val="4D"/>
    <w:family w:val="auto"/>
    <w:notTrueType/>
    <w:pitch w:val="default"/>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0D69" w14:textId="77777777" w:rsidR="00EE1AA3" w:rsidRDefault="00EE1AA3" w:rsidP="00D20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F3F79" w14:textId="77777777" w:rsidR="00EE1AA3" w:rsidRDefault="00EE1AA3" w:rsidP="00D205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135699"/>
      <w:docPartObj>
        <w:docPartGallery w:val="Page Numbers (Bottom of Page)"/>
        <w:docPartUnique/>
      </w:docPartObj>
    </w:sdtPr>
    <w:sdtEndPr>
      <w:rPr>
        <w:noProof/>
      </w:rPr>
    </w:sdtEndPr>
    <w:sdtContent>
      <w:p w14:paraId="2262D679" w14:textId="2E806D37" w:rsidR="00EE1AA3" w:rsidRDefault="00EE1AA3">
        <w:pPr>
          <w:pStyle w:val="Footer"/>
          <w:jc w:val="center"/>
        </w:pPr>
        <w:r>
          <w:fldChar w:fldCharType="begin"/>
        </w:r>
        <w:r>
          <w:instrText xml:space="preserve"> PAGE   \* MERGEFORMAT </w:instrText>
        </w:r>
        <w:r>
          <w:fldChar w:fldCharType="separate"/>
        </w:r>
        <w:r w:rsidR="00427E43">
          <w:rPr>
            <w:noProof/>
          </w:rPr>
          <w:t>21</w:t>
        </w:r>
        <w:r>
          <w:rPr>
            <w:noProof/>
          </w:rPr>
          <w:fldChar w:fldCharType="end"/>
        </w:r>
      </w:p>
    </w:sdtContent>
  </w:sdt>
  <w:p w14:paraId="563DCC8C" w14:textId="77777777" w:rsidR="00EE1AA3" w:rsidRDefault="00EE1AA3" w:rsidP="00D205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8455D" w14:textId="77777777" w:rsidR="00CF7A9B" w:rsidRDefault="00CF7A9B" w:rsidP="009403BF">
      <w:r>
        <w:separator/>
      </w:r>
    </w:p>
  </w:footnote>
  <w:footnote w:type="continuationSeparator" w:id="0">
    <w:p w14:paraId="5E317609" w14:textId="77777777" w:rsidR="00CF7A9B" w:rsidRDefault="00CF7A9B" w:rsidP="009403BF">
      <w:r>
        <w:continuationSeparator/>
      </w:r>
    </w:p>
  </w:footnote>
  <w:footnote w:id="1">
    <w:p w14:paraId="00C1ECAB" w14:textId="5B650174" w:rsidR="00EE1AA3" w:rsidRPr="00862F96" w:rsidRDefault="00EE1AA3">
      <w:pPr>
        <w:pStyle w:val="FootnoteText"/>
        <w:rPr>
          <w:szCs w:val="16"/>
        </w:rPr>
      </w:pPr>
      <w:r w:rsidRPr="00862F96">
        <w:rPr>
          <w:rStyle w:val="FootnoteReference"/>
          <w:szCs w:val="16"/>
        </w:rPr>
        <w:footnoteRef/>
      </w:r>
      <w:r w:rsidRPr="00862F96">
        <w:rPr>
          <w:szCs w:val="16"/>
        </w:rPr>
        <w:t xml:space="preserve"> </w:t>
      </w:r>
      <w:r w:rsidRPr="00862F96">
        <w:rPr>
          <w:szCs w:val="16"/>
        </w:rPr>
        <w:tab/>
        <w:t>El Juez Eduardo Ferrer Mac-Gregor Poisot, de nacionalidad mexicana, no participó en la deliberación de la presente Sentencia, de conformidad con lo dispuesto en los artículos 19.2 del Estatuto y 19.1 del Reglamento de la Corte.</w:t>
      </w:r>
    </w:p>
  </w:footnote>
  <w:footnote w:id="2">
    <w:p w14:paraId="4495082D" w14:textId="41DDABAC" w:rsidR="00EE1AA3" w:rsidRPr="00862F96" w:rsidRDefault="00EE1AA3">
      <w:pPr>
        <w:pStyle w:val="FootnoteText"/>
        <w:rPr>
          <w:szCs w:val="16"/>
        </w:rPr>
      </w:pPr>
      <w:r w:rsidRPr="00862F96">
        <w:rPr>
          <w:rStyle w:val="FootnoteReference"/>
          <w:szCs w:val="16"/>
        </w:rPr>
        <w:footnoteRef/>
      </w:r>
      <w:r w:rsidRPr="00862F96">
        <w:rPr>
          <w:szCs w:val="16"/>
        </w:rPr>
        <w:t xml:space="preserve"> </w:t>
      </w:r>
      <w:r w:rsidRPr="00862F96">
        <w:rPr>
          <w:szCs w:val="16"/>
        </w:rPr>
        <w:tab/>
        <w:t>Los familiares de Mirey Trueba que figuran como presuntas víctimas en el Informe de Fondo son: su padre José Tomás Trueba, su madre Micaela Arciniega y sus hermanos Vidal (fallecido), Elías, Tomás, Eleazar, Eduardo (fallecido) y Samuel, todos de apellido Trueba.</w:t>
      </w:r>
    </w:p>
  </w:footnote>
  <w:footnote w:id="3">
    <w:p w14:paraId="06161F74" w14:textId="1624AB81" w:rsidR="00EE1AA3" w:rsidRPr="00862F96" w:rsidRDefault="00EE1AA3" w:rsidP="002D321E">
      <w:pPr>
        <w:pStyle w:val="FootnoteText"/>
        <w:rPr>
          <w:szCs w:val="16"/>
          <w:lang w:val="es-CR"/>
        </w:rPr>
      </w:pPr>
      <w:r w:rsidRPr="00862F96">
        <w:rPr>
          <w:rStyle w:val="FootnoteReference"/>
          <w:szCs w:val="16"/>
        </w:rPr>
        <w:footnoteRef/>
      </w:r>
      <w:r w:rsidRPr="00862F96">
        <w:rPr>
          <w:szCs w:val="16"/>
        </w:rPr>
        <w:t xml:space="preserve"> </w:t>
      </w:r>
      <w:r w:rsidRPr="00862F96">
        <w:rPr>
          <w:szCs w:val="16"/>
        </w:rPr>
        <w:tab/>
        <w:t>La Comisión le asignó a la petición el No. 515-01.</w:t>
      </w:r>
    </w:p>
  </w:footnote>
  <w:footnote w:id="4">
    <w:p w14:paraId="3CC6FD80" w14:textId="2D8903E0" w:rsidR="00EE1AA3" w:rsidRPr="00862F96" w:rsidRDefault="00EE1AA3" w:rsidP="002D321E">
      <w:pPr>
        <w:pStyle w:val="FootnoteText"/>
        <w:rPr>
          <w:szCs w:val="16"/>
          <w:lang w:val="es-CR"/>
        </w:rPr>
      </w:pPr>
      <w:r w:rsidRPr="00862F96">
        <w:rPr>
          <w:rStyle w:val="FootnoteReference"/>
          <w:szCs w:val="16"/>
        </w:rPr>
        <w:footnoteRef/>
      </w:r>
      <w:r w:rsidRPr="00862F96">
        <w:rPr>
          <w:szCs w:val="16"/>
        </w:rPr>
        <w:t xml:space="preserve"> </w:t>
      </w:r>
      <w:r w:rsidRPr="00862F96">
        <w:rPr>
          <w:szCs w:val="16"/>
        </w:rPr>
        <w:tab/>
      </w:r>
      <w:r w:rsidRPr="00862F96">
        <w:rPr>
          <w:szCs w:val="16"/>
          <w:lang w:val="es-CR"/>
        </w:rPr>
        <w:t>En dicho Informe, la Comisión declaró la admisibilidad de la petición referente al caso de “Mirey Trueba Arciniega y otros”, por la presunta violación de los derechos contenidos en los artículos 2, 4, 5, 8 y 25 de la Convención Americana, en conexión con el artículo 1.1 del mismo instrumento.</w:t>
      </w:r>
    </w:p>
  </w:footnote>
  <w:footnote w:id="5">
    <w:p w14:paraId="4C274DF3" w14:textId="7216C05A" w:rsidR="00EE1AA3" w:rsidRPr="00862F96" w:rsidRDefault="00EE1AA3">
      <w:pPr>
        <w:pStyle w:val="FootnoteText"/>
        <w:rPr>
          <w:szCs w:val="16"/>
          <w:lang w:val="es-MX"/>
        </w:rPr>
      </w:pPr>
      <w:r w:rsidRPr="00862F96">
        <w:rPr>
          <w:rStyle w:val="FootnoteReference"/>
          <w:szCs w:val="16"/>
        </w:rPr>
        <w:footnoteRef/>
      </w:r>
      <w:r w:rsidRPr="00862F96">
        <w:rPr>
          <w:szCs w:val="16"/>
        </w:rPr>
        <w:t xml:space="preserve"> </w:t>
      </w:r>
      <w:r w:rsidRPr="00862F96">
        <w:rPr>
          <w:szCs w:val="16"/>
        </w:rPr>
        <w:tab/>
      </w:r>
      <w:r w:rsidRPr="00862F96">
        <w:rPr>
          <w:szCs w:val="16"/>
          <w:lang w:val="es-MX"/>
        </w:rPr>
        <w:t>Afirmó que México era responsable por i) la violación del derecho a la vida e integridad personal, establecidos en los artículos 4.1 y 5.1 de la Convención Americana, en relación con los artículos 1.1 y 2 del mismo instrumento, en perjuicio de Mirey Trueba; ii) la violación de los derechos a las garantías judiciales y protección judicial establecidos en los artículos 8.1 y 25.1 de la Convención Americana, en relación con los artículos 1.1 y 2 del mismo instrumento, en perjuicio de los familiares de Mirey Trueba, y iii) la violación del derecho a la integridad personal, establecido en el artículo 5 de la Convención Americana, en relación con el artículo 1.1 del mismo instrumento, en perjuicio de los familiares de Mirey Trueba.</w:t>
      </w:r>
    </w:p>
  </w:footnote>
  <w:footnote w:id="6">
    <w:p w14:paraId="45A683C1" w14:textId="1801137D" w:rsidR="00EE1AA3" w:rsidRPr="00862F96" w:rsidRDefault="00EE1AA3" w:rsidP="008E42F4">
      <w:pPr>
        <w:pStyle w:val="FootnoteText"/>
        <w:rPr>
          <w:szCs w:val="16"/>
        </w:rPr>
      </w:pPr>
      <w:r w:rsidRPr="00862F96">
        <w:rPr>
          <w:rStyle w:val="FootnoteReference"/>
          <w:szCs w:val="16"/>
        </w:rPr>
        <w:footnoteRef/>
      </w:r>
      <w:r w:rsidRPr="00862F96">
        <w:rPr>
          <w:szCs w:val="16"/>
        </w:rPr>
        <w:t xml:space="preserve"> </w:t>
      </w:r>
      <w:r w:rsidRPr="00862F96">
        <w:rPr>
          <w:szCs w:val="16"/>
        </w:rPr>
        <w:tab/>
        <w:t xml:space="preserve">Recomendó al Estado: 1. Reparar adecuadamente las violaciones de derechos humanos declaradas en el Informe de Fondo tanto en el aspecto material como moral; 2. Iniciar una investigación efectiva y dentro de un plazo razonable en la jurisdicción penal ordinaria, con el objeto de esclarecer los hechos en forma completa, identificar todas las posibles responsabilidades e imponer las sanciones que correspondan respecto de las violaciones de derechos humanos declaradas en el Informe de Fondo. En tal sentido, el Estado no podrá oponer la aplicación del principio de </w:t>
      </w:r>
      <w:r w:rsidRPr="00862F96">
        <w:rPr>
          <w:i/>
          <w:szCs w:val="16"/>
        </w:rPr>
        <w:t>ne bis in ídem</w:t>
      </w:r>
      <w:r w:rsidRPr="00862F96">
        <w:rPr>
          <w:szCs w:val="16"/>
        </w:rPr>
        <w:t xml:space="preserve"> para no dar cumplimiento a esta obligación, tomando en cuenta que la decisión definitiva a nivel interno fue el resultado de un proceso violatorio de las garantías del juez natural, independencia, imparcialidad y del deber de investigar con debida diligencia, y 3. Disponer las medidas administrativas, disciplinarias o penales correspondientes frente a las acciones u omisiones de los funcionarios estatales que contribuyeron a la denegación de justicia e impunidad en la que se encuentran los hechos del caso; 4. Adoptar medidas de no repetición que incluyan medidas legislativas, administrativas y de cualquier otra índole con la finalidad de: i) limitar el uso de las Fuerzas Armadas en labores de orden público y seguridad ciudadana a situaciones excepcionales y asegurando el estricto cumplimiento de las medidas preventivas de regulación, capacitación, dotación, vigilancia para el uso de la fuerza, conforme a los estándares descritos en el Informe de Fondo, y ii) fortalecer las instituciones a cargo de la investigación y las autoridades judiciales a cargo del enjuiciamiento y sanción de este tipo de casos, a fin de asegurar que ejerzan su función en estricto cumplimiento de los distintos aspectos que componen el deber de debida diligencia, conforme a los estándares descritos en el Informe de Fondo.</w:t>
      </w:r>
    </w:p>
  </w:footnote>
  <w:footnote w:id="7">
    <w:p w14:paraId="58C3BD94" w14:textId="082064EA" w:rsidR="00EE1AA3" w:rsidRPr="00862F96" w:rsidRDefault="00EE1AA3" w:rsidP="007E480C">
      <w:pPr>
        <w:pStyle w:val="FootnoteText"/>
        <w:rPr>
          <w:szCs w:val="16"/>
          <w:lang w:val="es-CR"/>
        </w:rPr>
      </w:pPr>
      <w:r w:rsidRPr="00862F96">
        <w:rPr>
          <w:rStyle w:val="FootnoteReference"/>
          <w:szCs w:val="16"/>
        </w:rPr>
        <w:footnoteRef/>
      </w:r>
      <w:r w:rsidRPr="00862F96">
        <w:rPr>
          <w:szCs w:val="16"/>
        </w:rPr>
        <w:t xml:space="preserve"> </w:t>
      </w:r>
      <w:r w:rsidRPr="00862F96">
        <w:rPr>
          <w:szCs w:val="16"/>
        </w:rPr>
        <w:tab/>
      </w:r>
      <w:r w:rsidRPr="00862F96">
        <w:rPr>
          <w:szCs w:val="16"/>
          <w:lang w:val="es-CR"/>
        </w:rPr>
        <w:t xml:space="preserve">Los representantes de las presuntas víctimas son </w:t>
      </w:r>
      <w:r w:rsidRPr="00862F96">
        <w:rPr>
          <w:szCs w:val="16"/>
          <w:lang w:val="es-ES"/>
        </w:rPr>
        <w:t>la Comisión de Solidaridad y Defensa de los Derechos Humanos (COSYDDHAC) y por el Centro por la Justicia y el Derecho Internacional (CEJIL).</w:t>
      </w:r>
    </w:p>
  </w:footnote>
  <w:footnote w:id="8">
    <w:p w14:paraId="7495B3E7" w14:textId="6B98832F" w:rsidR="00EE1AA3" w:rsidRPr="00862F96" w:rsidRDefault="00EE1AA3" w:rsidP="00104683">
      <w:pPr>
        <w:pStyle w:val="FootnoteText"/>
        <w:rPr>
          <w:szCs w:val="16"/>
          <w:lang w:val="es-CR"/>
        </w:rPr>
      </w:pPr>
      <w:r w:rsidRPr="00862F96">
        <w:rPr>
          <w:rStyle w:val="FootnoteReference"/>
          <w:szCs w:val="16"/>
        </w:rPr>
        <w:footnoteRef/>
      </w:r>
      <w:r w:rsidRPr="00862F96">
        <w:rPr>
          <w:szCs w:val="16"/>
        </w:rPr>
        <w:t xml:space="preserve"> </w:t>
      </w:r>
      <w:r w:rsidRPr="00862F96">
        <w:rPr>
          <w:szCs w:val="16"/>
        </w:rPr>
        <w:tab/>
      </w:r>
      <w:r w:rsidRPr="00862F96">
        <w:rPr>
          <w:szCs w:val="16"/>
          <w:lang w:val="es-CR"/>
        </w:rPr>
        <w:t>En el Acuerdo de Solución Amistosa las partes reconocen como víctimas a las personas determinadas por la Comisión en el Informe de Fondo No. 47/16, a saber</w:t>
      </w:r>
      <w:r w:rsidR="00064014">
        <w:rPr>
          <w:szCs w:val="16"/>
          <w:lang w:val="es-CR"/>
        </w:rPr>
        <w:t>:</w:t>
      </w:r>
      <w:r w:rsidRPr="00862F96">
        <w:rPr>
          <w:szCs w:val="16"/>
          <w:lang w:val="es-CR"/>
        </w:rPr>
        <w:t xml:space="preserve"> Micaela Arciniega, José Tomás Loera, Vidal Trueba Arciniega, Elías Trueba Arciniega, Tomás Trueba Arciniega, Eleazar Heric Trueba Arciniega, Eduardo Trueba Molina y Samuel Trueba Arciniega.</w:t>
      </w:r>
    </w:p>
  </w:footnote>
  <w:footnote w:id="9">
    <w:p w14:paraId="2E239A1B" w14:textId="45474DFD" w:rsidR="00EE1AA3" w:rsidRPr="00862F96" w:rsidRDefault="00EE1AA3" w:rsidP="00104683">
      <w:pPr>
        <w:pStyle w:val="FootnoteText"/>
        <w:rPr>
          <w:szCs w:val="16"/>
          <w:lang w:val="es-CR"/>
        </w:rPr>
      </w:pPr>
      <w:r w:rsidRPr="00862F96">
        <w:rPr>
          <w:rStyle w:val="FootnoteReference"/>
          <w:szCs w:val="16"/>
        </w:rPr>
        <w:footnoteRef/>
      </w:r>
      <w:r w:rsidRPr="00862F96">
        <w:rPr>
          <w:szCs w:val="16"/>
        </w:rPr>
        <w:t xml:space="preserve"> </w:t>
      </w:r>
      <w:r w:rsidRPr="00862F96">
        <w:rPr>
          <w:szCs w:val="16"/>
        </w:rPr>
        <w:tab/>
      </w:r>
      <w:r>
        <w:rPr>
          <w:i/>
          <w:szCs w:val="16"/>
        </w:rPr>
        <w:t xml:space="preserve">Cfr. </w:t>
      </w:r>
      <w:r w:rsidRPr="00862F96">
        <w:rPr>
          <w:bCs/>
          <w:i/>
          <w:szCs w:val="16"/>
          <w:lang w:val="es-CR"/>
        </w:rPr>
        <w:t>Caso Benavides Cevallos Vs. Ecuador. Fondo, Reparaciones y Costas.</w:t>
      </w:r>
      <w:r w:rsidRPr="00862F96">
        <w:rPr>
          <w:bCs/>
          <w:szCs w:val="16"/>
          <w:lang w:val="es-CR"/>
        </w:rPr>
        <w:t xml:space="preserve"> Sentencia de 19 de junio de 1998. Serie C No. 38</w:t>
      </w:r>
      <w:r>
        <w:rPr>
          <w:bCs/>
          <w:szCs w:val="16"/>
          <w:lang w:val="es-CR"/>
        </w:rPr>
        <w:t>,</w:t>
      </w:r>
      <w:r w:rsidRPr="00862F96">
        <w:rPr>
          <w:szCs w:val="16"/>
          <w:lang w:val="es-CR"/>
        </w:rPr>
        <w:t xml:space="preserve"> y </w:t>
      </w:r>
      <w:r w:rsidRPr="00002D1B">
        <w:rPr>
          <w:i/>
          <w:szCs w:val="16"/>
          <w:lang w:val="es-CR"/>
        </w:rPr>
        <w:t xml:space="preserve">Caso Escaleras Mejía y otros Vs. Honduras. Sentencia de 26 de septiembre de 2018. </w:t>
      </w:r>
      <w:r w:rsidRPr="006E1DDE">
        <w:rPr>
          <w:szCs w:val="16"/>
          <w:lang w:val="es-CR"/>
        </w:rPr>
        <w:t>Serie C No. 361</w:t>
      </w:r>
      <w:r w:rsidRPr="00F7021A">
        <w:rPr>
          <w:szCs w:val="16"/>
          <w:lang w:val="es-CR"/>
        </w:rPr>
        <w:t>.</w:t>
      </w:r>
    </w:p>
  </w:footnote>
  <w:footnote w:id="10">
    <w:p w14:paraId="26DBDAF2" w14:textId="6980228E" w:rsidR="00EE1AA3" w:rsidRPr="00862F96" w:rsidRDefault="00EE1AA3" w:rsidP="00104683">
      <w:pPr>
        <w:pStyle w:val="FootnoteText"/>
        <w:rPr>
          <w:szCs w:val="16"/>
          <w:lang w:val="es-CR"/>
        </w:rPr>
      </w:pPr>
      <w:r w:rsidRPr="00862F96">
        <w:rPr>
          <w:rStyle w:val="FootnoteReference"/>
          <w:szCs w:val="16"/>
        </w:rPr>
        <w:footnoteRef/>
      </w:r>
      <w:r w:rsidRPr="00862F96">
        <w:rPr>
          <w:szCs w:val="16"/>
        </w:rPr>
        <w:t xml:space="preserve"> </w:t>
      </w:r>
      <w:r w:rsidRPr="00862F96">
        <w:rPr>
          <w:szCs w:val="16"/>
        </w:rPr>
        <w:tab/>
      </w:r>
      <w:r w:rsidRPr="00862F96">
        <w:rPr>
          <w:i/>
          <w:szCs w:val="16"/>
        </w:rPr>
        <w:t>Cfr.</w:t>
      </w:r>
      <w:r w:rsidRPr="00862F96">
        <w:rPr>
          <w:szCs w:val="16"/>
        </w:rPr>
        <w:t xml:space="preserve"> </w:t>
      </w:r>
      <w:r w:rsidRPr="00735AF3">
        <w:rPr>
          <w:i/>
          <w:szCs w:val="16"/>
          <w:lang w:val="es-CR"/>
        </w:rPr>
        <w:t xml:space="preserve">Caso </w:t>
      </w:r>
      <w:r>
        <w:rPr>
          <w:bCs/>
          <w:i/>
          <w:szCs w:val="16"/>
          <w:lang w:val="es-CR"/>
        </w:rPr>
        <w:t xml:space="preserve">Pacheco Teruel y otros Vs. Honduras. Fondo, Reparaciones y Costas. </w:t>
      </w:r>
      <w:r>
        <w:rPr>
          <w:bCs/>
          <w:szCs w:val="16"/>
          <w:lang w:val="es-CR"/>
        </w:rPr>
        <w:t>Sentencia de 27 de abril de 2012, Serie C No. 241, párr. 18,</w:t>
      </w:r>
      <w:r w:rsidRPr="00F7021A">
        <w:rPr>
          <w:szCs w:val="16"/>
          <w:lang w:val="es-CR"/>
        </w:rPr>
        <w:t xml:space="preserve"> </w:t>
      </w:r>
      <w:r>
        <w:rPr>
          <w:szCs w:val="16"/>
          <w:lang w:val="es-CR"/>
        </w:rPr>
        <w:t xml:space="preserve">y </w:t>
      </w:r>
      <w:r w:rsidRPr="00002D1B">
        <w:rPr>
          <w:i/>
          <w:szCs w:val="16"/>
          <w:lang w:val="es-CR"/>
        </w:rPr>
        <w:t xml:space="preserve">Caso Escaleras Mejía y otros Vs. Honduras. Sentencia de 26 de septiembre de 2018. </w:t>
      </w:r>
      <w:r w:rsidRPr="006E1DDE">
        <w:rPr>
          <w:szCs w:val="16"/>
          <w:lang w:val="es-CR"/>
        </w:rPr>
        <w:t>Serie C No. 361, párr. 15.</w:t>
      </w:r>
    </w:p>
  </w:footnote>
  <w:footnote w:id="11">
    <w:p w14:paraId="3D9A9F66" w14:textId="5FAA79F2" w:rsidR="00EE1AA3" w:rsidRPr="00862F96" w:rsidRDefault="00EE1AA3" w:rsidP="00104683">
      <w:pPr>
        <w:pStyle w:val="FootnoteText"/>
        <w:rPr>
          <w:szCs w:val="16"/>
          <w:lang w:val="es-CR"/>
        </w:rPr>
      </w:pPr>
      <w:r w:rsidRPr="00862F96">
        <w:rPr>
          <w:rStyle w:val="FootnoteReference"/>
          <w:szCs w:val="16"/>
        </w:rPr>
        <w:footnoteRef/>
      </w:r>
      <w:r w:rsidRPr="00862F96">
        <w:rPr>
          <w:szCs w:val="16"/>
        </w:rPr>
        <w:t xml:space="preserve"> </w:t>
      </w:r>
      <w:r w:rsidRPr="00862F96">
        <w:rPr>
          <w:szCs w:val="16"/>
        </w:rPr>
        <w:tab/>
      </w:r>
      <w:r w:rsidRPr="00ED79E9">
        <w:rPr>
          <w:i/>
        </w:rPr>
        <w:t>Cfr.</w:t>
      </w:r>
      <w:r>
        <w:t xml:space="preserve"> </w:t>
      </w:r>
      <w:r w:rsidRPr="00162FA4">
        <w:rPr>
          <w:i/>
        </w:rPr>
        <w:t>Caso Pacheco Teruel y otros Vs. Honduras. Fondo, Reparaciones y Costas.</w:t>
      </w:r>
      <w:r>
        <w:t xml:space="preserve"> Sentencia de 27 de abril de 2012. Serie C No. 241, párr. 19, y</w:t>
      </w:r>
      <w:r>
        <w:rPr>
          <w:i/>
        </w:rPr>
        <w:t xml:space="preserve"> </w:t>
      </w:r>
      <w:r w:rsidRPr="00A30971">
        <w:rPr>
          <w:i/>
          <w:szCs w:val="16"/>
          <w:lang w:val="es-CR"/>
        </w:rPr>
        <w:t xml:space="preserve">Caso Escaleras Mejía y otros Vs. Honduras. Sentencia de 26 de septiembre de 2018. </w:t>
      </w:r>
      <w:r w:rsidRPr="00A30971">
        <w:rPr>
          <w:szCs w:val="16"/>
          <w:lang w:val="es-CR"/>
        </w:rPr>
        <w:t>Serie C No. 361, párr.</w:t>
      </w:r>
      <w:r>
        <w:rPr>
          <w:szCs w:val="16"/>
          <w:lang w:val="es-CR"/>
        </w:rPr>
        <w:t xml:space="preserve"> 16</w:t>
      </w:r>
      <w:r>
        <w:t>.</w:t>
      </w:r>
      <w:r w:rsidRPr="00862F96">
        <w:rPr>
          <w:szCs w:val="16"/>
          <w:lang w:val="es-CR"/>
        </w:rPr>
        <w:t xml:space="preserve"> </w:t>
      </w:r>
    </w:p>
  </w:footnote>
  <w:footnote w:id="12">
    <w:p w14:paraId="64E6ABF5" w14:textId="2D53BDDC" w:rsidR="00EE1AA3" w:rsidRPr="00862F96" w:rsidRDefault="00EE1AA3" w:rsidP="00B13A6D">
      <w:pPr>
        <w:pStyle w:val="FootnoteText"/>
        <w:rPr>
          <w:szCs w:val="16"/>
        </w:rPr>
      </w:pPr>
      <w:r w:rsidRPr="00862F96">
        <w:rPr>
          <w:rStyle w:val="FootnoteReference"/>
          <w:szCs w:val="16"/>
        </w:rPr>
        <w:footnoteRef/>
      </w:r>
      <w:r w:rsidRPr="00862F96">
        <w:rPr>
          <w:szCs w:val="16"/>
        </w:rPr>
        <w:t xml:space="preserve"> </w:t>
      </w:r>
      <w:r w:rsidRPr="00862F96">
        <w:rPr>
          <w:szCs w:val="16"/>
        </w:rPr>
        <w:tab/>
        <w:t>Artículo</w:t>
      </w:r>
      <w:r>
        <w:rPr>
          <w:szCs w:val="16"/>
        </w:rPr>
        <w:t xml:space="preserve"> 64 del Reglamento de la Corte: </w:t>
      </w:r>
      <w:r w:rsidRPr="00862F96">
        <w:rPr>
          <w:szCs w:val="16"/>
        </w:rPr>
        <w:t xml:space="preserve">“Prosecución del examen del caso. La Corte, teniendo en cuenta las responsabilidades que le incumben de proteger los derechos humanos, podrá decidir que prosiga el examen del caso, aun en presencia de los supuestos señalados en los artículos precedentes”. </w:t>
      </w:r>
    </w:p>
  </w:footnote>
  <w:footnote w:id="13">
    <w:p w14:paraId="250711B3" w14:textId="480340DC" w:rsidR="00EE1AA3" w:rsidRPr="00B21896" w:rsidRDefault="00EE1AA3" w:rsidP="00162FA4">
      <w:pPr>
        <w:pStyle w:val="FootnoteText"/>
        <w:rPr>
          <w:szCs w:val="16"/>
          <w:lang w:val="es-CR"/>
        </w:rPr>
      </w:pPr>
      <w:r>
        <w:rPr>
          <w:rStyle w:val="FootnoteReference"/>
        </w:rPr>
        <w:footnoteRef/>
      </w:r>
      <w:r>
        <w:t xml:space="preserve"> </w:t>
      </w:r>
      <w:r>
        <w:tab/>
      </w:r>
      <w:r w:rsidRPr="00AE64C6">
        <w:rPr>
          <w:i/>
        </w:rPr>
        <w:t>Cfr</w:t>
      </w:r>
      <w:r>
        <w:t xml:space="preserve">. </w:t>
      </w:r>
      <w:r w:rsidRPr="00162FA4">
        <w:rPr>
          <w:i/>
        </w:rPr>
        <w:t>Caso Kimel Vs. Argentina. Fondo, Reparaciones y Costas.</w:t>
      </w:r>
      <w:r>
        <w:t xml:space="preserve"> Sentencia de 2 de mayo de 2008. Serie C No. 177, párr. 24, y</w:t>
      </w:r>
      <w:r>
        <w:rPr>
          <w:i/>
        </w:rPr>
        <w:t xml:space="preserve"> </w:t>
      </w:r>
      <w:r w:rsidRPr="00A30971">
        <w:rPr>
          <w:i/>
          <w:szCs w:val="16"/>
          <w:lang w:val="es-CR"/>
        </w:rPr>
        <w:t xml:space="preserve">Caso Escaleras Mejía y otros Vs. Honduras. Sentencia de 26 de septiembre de 2018. </w:t>
      </w:r>
      <w:r w:rsidRPr="00A30971">
        <w:rPr>
          <w:szCs w:val="16"/>
          <w:lang w:val="es-CR"/>
        </w:rPr>
        <w:t>Serie C No. 361, párr.</w:t>
      </w:r>
      <w:r>
        <w:rPr>
          <w:szCs w:val="16"/>
          <w:lang w:val="es-CR"/>
        </w:rPr>
        <w:t xml:space="preserve"> 17</w:t>
      </w:r>
      <w:r>
        <w:t>.</w:t>
      </w:r>
    </w:p>
  </w:footnote>
  <w:footnote w:id="14">
    <w:p w14:paraId="6CEDFC16" w14:textId="3CBF552E" w:rsidR="00EE1AA3" w:rsidRPr="006E1DDE" w:rsidRDefault="00EE1AA3" w:rsidP="00162FA4">
      <w:pPr>
        <w:pStyle w:val="FootnoteText"/>
        <w:rPr>
          <w:szCs w:val="16"/>
          <w:lang w:val="es-CR"/>
        </w:rPr>
      </w:pPr>
      <w:r w:rsidRPr="00862F96">
        <w:rPr>
          <w:rStyle w:val="FootnoteReference"/>
          <w:szCs w:val="16"/>
        </w:rPr>
        <w:footnoteRef/>
      </w:r>
      <w:r w:rsidRPr="00862F96">
        <w:rPr>
          <w:szCs w:val="16"/>
        </w:rPr>
        <w:t xml:space="preserve"> </w:t>
      </w:r>
      <w:r w:rsidRPr="00862F96">
        <w:rPr>
          <w:szCs w:val="16"/>
        </w:rPr>
        <w:tab/>
      </w:r>
      <w:r>
        <w:rPr>
          <w:i/>
          <w:szCs w:val="16"/>
        </w:rPr>
        <w:t xml:space="preserve">Cfr. Caso García Cruz y Sánchez Silvestre Vs. Estados Unidos Mexicanos. Sentencia de 26 de noviembre de 2013. </w:t>
      </w:r>
      <w:r>
        <w:rPr>
          <w:szCs w:val="16"/>
        </w:rPr>
        <w:t>Serie C 273, párr. 19, y</w:t>
      </w:r>
      <w:r w:rsidRPr="00862F96">
        <w:rPr>
          <w:szCs w:val="16"/>
          <w:lang w:val="es-CR"/>
        </w:rPr>
        <w:t xml:space="preserve"> </w:t>
      </w:r>
      <w:r w:rsidRPr="00A30971">
        <w:rPr>
          <w:i/>
          <w:szCs w:val="16"/>
          <w:lang w:val="es-CR"/>
        </w:rPr>
        <w:t xml:space="preserve">Caso Escaleras Mejía y otros Vs. Honduras. Sentencia de 26 de septiembre de 2018. </w:t>
      </w:r>
      <w:r w:rsidRPr="00A30971">
        <w:rPr>
          <w:szCs w:val="16"/>
          <w:lang w:val="es-CR"/>
        </w:rPr>
        <w:t>Serie C No. 361, párr.</w:t>
      </w:r>
      <w:r>
        <w:rPr>
          <w:szCs w:val="16"/>
          <w:lang w:val="es-CR"/>
        </w:rPr>
        <w:t xml:space="preserve"> 20</w:t>
      </w:r>
      <w:r>
        <w:t>.</w:t>
      </w:r>
    </w:p>
  </w:footnote>
  <w:footnote w:id="15">
    <w:p w14:paraId="42859188" w14:textId="2797D517" w:rsidR="00EE1AA3" w:rsidRPr="00487055" w:rsidRDefault="00EE1AA3" w:rsidP="00ED0FC0">
      <w:pPr>
        <w:pStyle w:val="FootnoteText"/>
        <w:spacing w:after="0"/>
        <w:rPr>
          <w:szCs w:val="16"/>
          <w:lang w:val="es-MX"/>
        </w:rPr>
      </w:pPr>
      <w:r w:rsidRPr="00487055">
        <w:rPr>
          <w:rStyle w:val="FootnoteReference"/>
          <w:szCs w:val="16"/>
        </w:rPr>
        <w:footnoteRef/>
      </w:r>
      <w:r w:rsidRPr="00487055">
        <w:rPr>
          <w:szCs w:val="16"/>
        </w:rPr>
        <w:t xml:space="preserve"> </w:t>
      </w:r>
      <w:r w:rsidRPr="00487055">
        <w:rPr>
          <w:szCs w:val="16"/>
        </w:rPr>
        <w:tab/>
      </w:r>
      <w:r w:rsidRPr="00487055">
        <w:rPr>
          <w:i/>
          <w:szCs w:val="16"/>
        </w:rPr>
        <w:t xml:space="preserve">Cfr. </w:t>
      </w:r>
      <w:r w:rsidRPr="00F90C57">
        <w:rPr>
          <w:rStyle w:val="Strong"/>
          <w:b w:val="0"/>
          <w:i/>
          <w:color w:val="000000"/>
          <w:szCs w:val="16"/>
          <w:shd w:val="clear" w:color="auto" w:fill="FFFFFF"/>
        </w:rPr>
        <w:t>Caso Cabrera García y Montiel Flores Vs. México. Excepción Preliminar, Fondo, Reparaciones y Costas</w:t>
      </w:r>
      <w:r w:rsidRPr="00487055">
        <w:rPr>
          <w:rStyle w:val="Strong"/>
          <w:b w:val="0"/>
          <w:color w:val="000000"/>
          <w:szCs w:val="16"/>
          <w:shd w:val="clear" w:color="auto" w:fill="FFFFFF"/>
        </w:rPr>
        <w:t>. Sentencia de 26 de noviembre de 2010. Serie C No. 220., párr</w:t>
      </w:r>
      <w:r>
        <w:rPr>
          <w:rStyle w:val="Strong"/>
          <w:b w:val="0"/>
          <w:color w:val="000000"/>
          <w:szCs w:val="16"/>
          <w:shd w:val="clear" w:color="auto" w:fill="FFFFFF"/>
        </w:rPr>
        <w:t>s</w:t>
      </w:r>
      <w:r w:rsidRPr="00487055">
        <w:rPr>
          <w:rStyle w:val="Strong"/>
          <w:b w:val="0"/>
          <w:color w:val="000000"/>
          <w:szCs w:val="16"/>
          <w:shd w:val="clear" w:color="auto" w:fill="FFFFFF"/>
        </w:rPr>
        <w:t>. 86</w:t>
      </w:r>
      <w:r>
        <w:rPr>
          <w:rStyle w:val="Strong"/>
          <w:b w:val="0"/>
          <w:color w:val="000000"/>
          <w:szCs w:val="16"/>
          <w:shd w:val="clear" w:color="auto" w:fill="FFFFFF"/>
        </w:rPr>
        <w:t xml:space="preserve"> y 87</w:t>
      </w:r>
      <w:r w:rsidRPr="00487055">
        <w:rPr>
          <w:rStyle w:val="Strong"/>
          <w:b w:val="0"/>
          <w:color w:val="000000"/>
          <w:szCs w:val="16"/>
          <w:shd w:val="clear" w:color="auto" w:fill="FFFFFF"/>
        </w:rPr>
        <w:t>.</w:t>
      </w:r>
    </w:p>
  </w:footnote>
  <w:footnote w:id="16">
    <w:p w14:paraId="192CDE95" w14:textId="77777777" w:rsidR="00EE1AA3" w:rsidRPr="006B7EF4" w:rsidRDefault="00EE1AA3" w:rsidP="00ED0FC0">
      <w:pPr>
        <w:pStyle w:val="FootnoteText"/>
        <w:spacing w:after="0"/>
        <w:rPr>
          <w:lang w:val="es-MX"/>
        </w:rPr>
      </w:pPr>
      <w:r>
        <w:rPr>
          <w:rStyle w:val="FootnoteReference"/>
        </w:rPr>
        <w:footnoteRef/>
      </w:r>
      <w:r>
        <w:t xml:space="preserve"> </w:t>
      </w:r>
      <w:r>
        <w:tab/>
      </w:r>
      <w:r w:rsidRPr="006B7EF4">
        <w:rPr>
          <w:i/>
          <w:szCs w:val="16"/>
        </w:rPr>
        <w:t xml:space="preserve">Cfr. </w:t>
      </w:r>
      <w:r w:rsidRPr="006B7EF4">
        <w:rPr>
          <w:rStyle w:val="Strong"/>
          <w:b w:val="0"/>
          <w:i/>
          <w:color w:val="000000"/>
          <w:szCs w:val="16"/>
          <w:shd w:val="clear" w:color="auto" w:fill="FFFFFF"/>
        </w:rPr>
        <w:t>Caso Montero Aranguren y otros (Retén de Catia) Vs. Venezuela. Excepción Preliminar, Fondo, Reparaciones y Costas</w:t>
      </w:r>
      <w:r w:rsidRPr="006B7EF4">
        <w:rPr>
          <w:rStyle w:val="Strong"/>
          <w:b w:val="0"/>
          <w:color w:val="000000"/>
          <w:szCs w:val="16"/>
          <w:shd w:val="clear" w:color="auto" w:fill="FFFFFF"/>
        </w:rPr>
        <w:t xml:space="preserve">. Sentencia de 5 de julio de 2006. Serie C No. 150., párr. 66, y </w:t>
      </w:r>
      <w:r w:rsidRPr="006B7EF4">
        <w:rPr>
          <w:rStyle w:val="Strong"/>
          <w:b w:val="0"/>
          <w:i/>
          <w:color w:val="000000"/>
          <w:szCs w:val="16"/>
          <w:shd w:val="clear" w:color="auto" w:fill="FFFFFF"/>
        </w:rPr>
        <w:t>Caso Nadege Dorzema y otros Vs. República Dominicana. Fondo, Reparaciones y Costas.</w:t>
      </w:r>
      <w:r w:rsidRPr="006B7EF4">
        <w:rPr>
          <w:rStyle w:val="Strong"/>
          <w:b w:val="0"/>
          <w:color w:val="000000"/>
          <w:szCs w:val="16"/>
          <w:shd w:val="clear" w:color="auto" w:fill="FFFFFF"/>
        </w:rPr>
        <w:t xml:space="preserve"> Sentencia de 24 de octubre de 2012. Serie C No. 251, párr. 80.</w:t>
      </w:r>
    </w:p>
  </w:footnote>
  <w:footnote w:id="17">
    <w:p w14:paraId="6963BB3D" w14:textId="119B10F1" w:rsidR="00EE1AA3" w:rsidRPr="00EC3519" w:rsidRDefault="00EE1AA3" w:rsidP="00ED0FC0">
      <w:pPr>
        <w:pStyle w:val="FootnoteText"/>
        <w:spacing w:after="0"/>
        <w:rPr>
          <w:szCs w:val="16"/>
          <w:lang w:val="es-MX"/>
        </w:rPr>
      </w:pPr>
      <w:r w:rsidRPr="00EC3519">
        <w:rPr>
          <w:rStyle w:val="FootnoteReference"/>
          <w:szCs w:val="16"/>
        </w:rPr>
        <w:footnoteRef/>
      </w:r>
      <w:r w:rsidRPr="00EC3519">
        <w:rPr>
          <w:szCs w:val="16"/>
        </w:rPr>
        <w:t xml:space="preserve"> </w:t>
      </w:r>
      <w:r w:rsidRPr="00EC3519">
        <w:rPr>
          <w:szCs w:val="16"/>
        </w:rPr>
        <w:tab/>
      </w:r>
      <w:r w:rsidRPr="00EC3519">
        <w:rPr>
          <w:i/>
          <w:szCs w:val="16"/>
        </w:rPr>
        <w:t>Cfr</w:t>
      </w:r>
      <w:r w:rsidRPr="00EC3519">
        <w:rPr>
          <w:szCs w:val="16"/>
        </w:rPr>
        <w:t xml:space="preserve">. </w:t>
      </w:r>
      <w:r>
        <w:rPr>
          <w:szCs w:val="16"/>
        </w:rPr>
        <w:t xml:space="preserve">ONU, </w:t>
      </w:r>
      <w:r w:rsidRPr="00F90C57">
        <w:rPr>
          <w:i/>
          <w:szCs w:val="16"/>
        </w:rPr>
        <w:t>Principios sobre el empleo de la fuerza y de armas de fuego por los funcionarios encargados de hacer cumplir la ley</w:t>
      </w:r>
      <w:r w:rsidRPr="00EC3519">
        <w:rPr>
          <w:szCs w:val="16"/>
        </w:rPr>
        <w:t xml:space="preserve">, </w:t>
      </w:r>
      <w:r>
        <w:t xml:space="preserve">Octavo Congreso de las Naciones Unidas sobre Prevención del Delito y Tratamiento del Delincuente, La Habana, Cuba del 27 de agosto al 8 de septiembre de 1990, </w:t>
      </w:r>
      <w:r w:rsidRPr="00EC3519">
        <w:rPr>
          <w:szCs w:val="16"/>
        </w:rPr>
        <w:t>Principio No. 2</w:t>
      </w:r>
      <w:r>
        <w:rPr>
          <w:szCs w:val="16"/>
        </w:rPr>
        <w:t>.</w:t>
      </w:r>
      <w:r w:rsidRPr="00EC3519">
        <w:rPr>
          <w:szCs w:val="16"/>
        </w:rPr>
        <w:t>,</w:t>
      </w:r>
      <w:r>
        <w:rPr>
          <w:szCs w:val="16"/>
        </w:rPr>
        <w:t xml:space="preserve"> y,</w:t>
      </w:r>
      <w:r w:rsidRPr="00EC3519">
        <w:rPr>
          <w:szCs w:val="16"/>
        </w:rPr>
        <w:t xml:space="preserve"> </w:t>
      </w:r>
      <w:r w:rsidRPr="00EC3519">
        <w:rPr>
          <w:rStyle w:val="Strong"/>
          <w:b w:val="0"/>
          <w:i/>
          <w:color w:val="000000"/>
          <w:szCs w:val="16"/>
          <w:shd w:val="clear" w:color="auto" w:fill="FFFFFF"/>
        </w:rPr>
        <w:t>Caso Nadege Dorzema y otros Vs. República Dominicana. Fondo, Reparaciones y Costas.</w:t>
      </w:r>
      <w:r w:rsidRPr="00EC3519">
        <w:rPr>
          <w:rStyle w:val="Strong"/>
          <w:b w:val="0"/>
          <w:color w:val="000000"/>
          <w:szCs w:val="16"/>
          <w:shd w:val="clear" w:color="auto" w:fill="FFFFFF"/>
        </w:rPr>
        <w:t xml:space="preserve"> Sentencia de 24 de octubre de 2012. Serie C No. 251, párr. 80.</w:t>
      </w:r>
    </w:p>
  </w:footnote>
  <w:footnote w:id="18">
    <w:p w14:paraId="182720EC" w14:textId="4A4FC315" w:rsidR="00EE1AA3" w:rsidRPr="00862F96" w:rsidRDefault="00EE1AA3" w:rsidP="0049110D">
      <w:pPr>
        <w:pStyle w:val="FootnoteText"/>
        <w:rPr>
          <w:szCs w:val="16"/>
        </w:rPr>
      </w:pPr>
      <w:r w:rsidRPr="00862F96">
        <w:rPr>
          <w:rStyle w:val="FootnoteReference"/>
          <w:szCs w:val="16"/>
        </w:rPr>
        <w:footnoteRef/>
      </w:r>
      <w:r>
        <w:rPr>
          <w:szCs w:val="16"/>
        </w:rPr>
        <w:tab/>
      </w:r>
      <w:r w:rsidRPr="00862F96">
        <w:rPr>
          <w:szCs w:val="16"/>
        </w:rPr>
        <w:t>Acuerdo de solución amistosa y reconocimiento de responsabilidad del Estado mexicano en el caso N° 12.659 Mirey Trueba Arciniega y familia de 28 de agosto de 2018, pág. 4.</w:t>
      </w:r>
    </w:p>
  </w:footnote>
  <w:footnote w:id="19">
    <w:p w14:paraId="3026AC6A" w14:textId="0B416E08" w:rsidR="00EE1AA3" w:rsidRPr="00862F96" w:rsidRDefault="00EE1AA3" w:rsidP="0049110D">
      <w:pPr>
        <w:pStyle w:val="FootnoteText"/>
        <w:rPr>
          <w:szCs w:val="16"/>
          <w:lang w:val="es-MX"/>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862F96">
        <w:rPr>
          <w:szCs w:val="16"/>
          <w:lang w:val="es-ES"/>
        </w:rPr>
        <w:t>Nota de prensa publicada en el Diario Chihuahua el 30 de agosto de 1998, titulada “Morir en la Sierra” (expediente de prueba, folio 8).</w:t>
      </w:r>
    </w:p>
  </w:footnote>
  <w:footnote w:id="20">
    <w:p w14:paraId="56B13E91" w14:textId="794D46F3" w:rsidR="00EE1AA3" w:rsidRPr="00862F96" w:rsidRDefault="00EE1AA3" w:rsidP="0049110D">
      <w:pPr>
        <w:pStyle w:val="FootnoteText"/>
        <w:rPr>
          <w:szCs w:val="16"/>
          <w:lang w:val="es-MX"/>
        </w:rPr>
      </w:pPr>
      <w:r w:rsidRPr="00862F96">
        <w:rPr>
          <w:rStyle w:val="FootnoteReference"/>
          <w:szCs w:val="16"/>
        </w:rPr>
        <w:footnoteRef/>
      </w:r>
      <w:r>
        <w:rPr>
          <w:szCs w:val="16"/>
        </w:rPr>
        <w:tab/>
      </w:r>
      <w:r w:rsidR="00236B2F" w:rsidRPr="00236B2F">
        <w:rPr>
          <w:i/>
          <w:szCs w:val="16"/>
        </w:rPr>
        <w:t>Cfr</w:t>
      </w:r>
      <w:r w:rsidR="00236B2F">
        <w:rPr>
          <w:i/>
          <w:szCs w:val="16"/>
        </w:rPr>
        <w:t>.</w:t>
      </w:r>
      <w:r w:rsidR="00236B2F" w:rsidRPr="00862F96">
        <w:rPr>
          <w:szCs w:val="16"/>
          <w:lang w:val="es-ES"/>
        </w:rPr>
        <w:t xml:space="preserve"> </w:t>
      </w:r>
      <w:r w:rsidRPr="00862F96">
        <w:rPr>
          <w:szCs w:val="16"/>
          <w:lang w:val="es-ES"/>
        </w:rPr>
        <w:t>CIDH, Informe No. 107/00, Caso 11.808, Solución Amis</w:t>
      </w:r>
      <w:r>
        <w:rPr>
          <w:szCs w:val="16"/>
          <w:lang w:val="es-ES"/>
        </w:rPr>
        <w:t>tosa, Valentín Carrillo Saldaña Vs.</w:t>
      </w:r>
      <w:r w:rsidRPr="00862F96">
        <w:rPr>
          <w:szCs w:val="16"/>
          <w:lang w:val="es-ES"/>
        </w:rPr>
        <w:t xml:space="preserve"> México, 4 de diciembre de 2000.</w:t>
      </w:r>
    </w:p>
  </w:footnote>
  <w:footnote w:id="21">
    <w:p w14:paraId="68BA1545" w14:textId="02C3B86E" w:rsidR="00EE1AA3" w:rsidRPr="00862F96" w:rsidRDefault="00EE1AA3" w:rsidP="0049110D">
      <w:pPr>
        <w:pStyle w:val="FootnoteText"/>
        <w:rPr>
          <w:szCs w:val="16"/>
          <w:lang w:val="es-MX"/>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862F96">
        <w:rPr>
          <w:szCs w:val="16"/>
          <w:lang w:val="es-ES"/>
        </w:rPr>
        <w:t>Escrito de petición inicial de fecha 2 de agosto de 2001 suscrito por las peticionarias dirigido a la Comisión</w:t>
      </w:r>
      <w:r w:rsidR="00C459C6">
        <w:rPr>
          <w:szCs w:val="16"/>
          <w:lang w:val="es-ES"/>
        </w:rPr>
        <w:t xml:space="preserve"> IDH</w:t>
      </w:r>
      <w:r w:rsidRPr="00862F96">
        <w:rPr>
          <w:szCs w:val="16"/>
          <w:lang w:val="es-ES"/>
        </w:rPr>
        <w:t xml:space="preserve"> (expediente de prueba, folio 53).</w:t>
      </w:r>
    </w:p>
  </w:footnote>
  <w:footnote w:id="22">
    <w:p w14:paraId="328DCEF4" w14:textId="69D2B90A" w:rsidR="00EE1AA3" w:rsidRPr="00862F96" w:rsidRDefault="00EE1AA3" w:rsidP="00F90C57">
      <w:pPr>
        <w:pStyle w:val="FootnoteText"/>
        <w:rPr>
          <w:szCs w:val="16"/>
          <w:lang w:val="es-MX"/>
        </w:rPr>
      </w:pPr>
      <w:r w:rsidRPr="00862F96">
        <w:rPr>
          <w:rStyle w:val="FootnoteReference"/>
          <w:szCs w:val="16"/>
        </w:rPr>
        <w:footnoteRef/>
      </w:r>
      <w:r>
        <w:rPr>
          <w:szCs w:val="16"/>
          <w:lang w:val="es-ES"/>
        </w:rPr>
        <w:tab/>
      </w:r>
      <w:r w:rsidR="00236B2F" w:rsidRPr="00236B2F">
        <w:rPr>
          <w:i/>
          <w:szCs w:val="16"/>
        </w:rPr>
        <w:t>Cfr.</w:t>
      </w:r>
      <w:r w:rsidR="00236B2F">
        <w:rPr>
          <w:szCs w:val="16"/>
        </w:rPr>
        <w:t xml:space="preserve"> </w:t>
      </w:r>
      <w:r w:rsidRPr="00862F96">
        <w:rPr>
          <w:szCs w:val="16"/>
          <w:lang w:val="es-ES"/>
        </w:rPr>
        <w:t xml:space="preserve">Nota de prensa publicada en el Diario Chihuahua el 30 de agosto de 1998, titulada “Morir en la Sierra” (expediente de prueba, folio </w:t>
      </w:r>
      <w:r>
        <w:rPr>
          <w:szCs w:val="16"/>
          <w:lang w:val="es-ES"/>
        </w:rPr>
        <w:t>7</w:t>
      </w:r>
      <w:r w:rsidRPr="00862F96">
        <w:rPr>
          <w:szCs w:val="16"/>
          <w:lang w:val="es-ES"/>
        </w:rPr>
        <w:t>).</w:t>
      </w:r>
    </w:p>
  </w:footnote>
  <w:footnote w:id="23">
    <w:p w14:paraId="2AC1DE2B" w14:textId="3D4AE84A" w:rsidR="00EE1AA3" w:rsidRPr="00862F96" w:rsidRDefault="00EE1AA3" w:rsidP="0049110D">
      <w:pPr>
        <w:pStyle w:val="FootnoteText"/>
        <w:rPr>
          <w:szCs w:val="16"/>
          <w:lang w:val="es-MX"/>
        </w:rPr>
      </w:pPr>
      <w:r w:rsidRPr="00862F96">
        <w:rPr>
          <w:rStyle w:val="FootnoteReference"/>
          <w:szCs w:val="16"/>
        </w:rPr>
        <w:footnoteRef/>
      </w:r>
      <w:r>
        <w:rPr>
          <w:szCs w:val="16"/>
        </w:rPr>
        <w:tab/>
      </w:r>
      <w:r w:rsidRPr="00862F96">
        <w:rPr>
          <w:szCs w:val="16"/>
          <w:lang w:val="es-MX"/>
        </w:rPr>
        <w:t xml:space="preserve">Tal como consta en al Acuerdo de Solución Amistosa, el señor José Tomás Trueba Loera es llamado de forma indistinta como </w:t>
      </w:r>
      <w:r w:rsidRPr="00862F96">
        <w:rPr>
          <w:rFonts w:cs="Arial"/>
          <w:szCs w:val="16"/>
        </w:rPr>
        <w:t xml:space="preserve">José Tomás Trueba Loera o José Tomás Trueva Loera. </w:t>
      </w:r>
    </w:p>
  </w:footnote>
  <w:footnote w:id="24">
    <w:p w14:paraId="6A74F1FB" w14:textId="037C3AF0" w:rsidR="00EE1AA3" w:rsidRPr="00862F96" w:rsidRDefault="00EE1AA3" w:rsidP="0049110D">
      <w:pPr>
        <w:pStyle w:val="FootnoteText"/>
        <w:rPr>
          <w:szCs w:val="16"/>
          <w:lang w:val="es-MX"/>
        </w:rPr>
      </w:pPr>
      <w:r w:rsidRPr="00862F96">
        <w:rPr>
          <w:rStyle w:val="FootnoteReference"/>
          <w:szCs w:val="16"/>
        </w:rPr>
        <w:footnoteRef/>
      </w:r>
      <w:r>
        <w:rPr>
          <w:szCs w:val="16"/>
        </w:rPr>
        <w:tab/>
      </w:r>
      <w:r w:rsidRPr="00862F96">
        <w:rPr>
          <w:szCs w:val="16"/>
          <w:lang w:val="es-MX"/>
        </w:rPr>
        <w:t xml:space="preserve">Tal como consta en al Acuerdo de Solución Amistosa, la señora Micaela Arciniega es llamada de forma indistinta como </w:t>
      </w:r>
      <w:r w:rsidRPr="00862F96">
        <w:rPr>
          <w:rFonts w:cs="Arial"/>
          <w:szCs w:val="16"/>
        </w:rPr>
        <w:t>Micaela Arciniega Cevallos o Micaela Arciniega Ceballos.</w:t>
      </w:r>
    </w:p>
  </w:footnote>
  <w:footnote w:id="25">
    <w:p w14:paraId="23742CA3" w14:textId="57DB4E08" w:rsidR="00EE1AA3" w:rsidRPr="00862F96" w:rsidRDefault="00EE1AA3" w:rsidP="0049110D">
      <w:pPr>
        <w:pStyle w:val="FootnoteText"/>
        <w:rPr>
          <w:szCs w:val="16"/>
        </w:rPr>
      </w:pPr>
      <w:r w:rsidRPr="00862F96">
        <w:rPr>
          <w:rStyle w:val="FootnoteReference"/>
          <w:szCs w:val="16"/>
        </w:rPr>
        <w:footnoteRef/>
      </w:r>
      <w:r>
        <w:rPr>
          <w:szCs w:val="16"/>
        </w:rPr>
        <w:tab/>
      </w:r>
      <w:r w:rsidRPr="00862F96">
        <w:rPr>
          <w:szCs w:val="16"/>
        </w:rPr>
        <w:t xml:space="preserve">Declaración del señor Jorge Jiménez de 22 de agosto de 1998 rendida ante el Ministerio Público adscrito al poblado de Baborigame del Municipio de Guadalupe y Calvo en el estado de Chihuahua, retomada por la </w:t>
      </w:r>
      <w:r>
        <w:rPr>
          <w:szCs w:val="16"/>
        </w:rPr>
        <w:t>Comisión Nacional de Derechos Humanos</w:t>
      </w:r>
      <w:r w:rsidRPr="00862F96">
        <w:rPr>
          <w:szCs w:val="16"/>
        </w:rPr>
        <w:t xml:space="preserve"> el 30 de noviembre de 1998 en el expediente 98/5007-1 (expediente de prueba, folio 90).</w:t>
      </w:r>
    </w:p>
  </w:footnote>
  <w:footnote w:id="26">
    <w:p w14:paraId="3AE125C2" w14:textId="134D64FF" w:rsidR="00EE1AA3" w:rsidRPr="00862F96" w:rsidRDefault="00EE1AA3" w:rsidP="0049110D">
      <w:pPr>
        <w:pStyle w:val="FootnoteText"/>
        <w:rPr>
          <w:szCs w:val="16"/>
        </w:rPr>
      </w:pPr>
      <w:r w:rsidRPr="00862F96">
        <w:rPr>
          <w:rStyle w:val="FootnoteReference"/>
          <w:szCs w:val="16"/>
        </w:rPr>
        <w:footnoteRef/>
      </w:r>
      <w:r>
        <w:rPr>
          <w:szCs w:val="16"/>
        </w:rPr>
        <w:tab/>
      </w:r>
      <w:r w:rsidRPr="00862F96">
        <w:rPr>
          <w:szCs w:val="16"/>
        </w:rPr>
        <w:t xml:space="preserve">Declaración del señor Vidal Trueba Arciniega de 22 de agosto de 1998 rendida ante el Ministerio Público adscrito al poblado de Baborigame del Municipio de Guadalupe y Calvo en el estado de Chihuahua, retomada por la </w:t>
      </w:r>
      <w:r>
        <w:rPr>
          <w:szCs w:val="16"/>
        </w:rPr>
        <w:t>Comisión Nacional de Derechos Humanos</w:t>
      </w:r>
      <w:r w:rsidRPr="00862F96">
        <w:rPr>
          <w:szCs w:val="16"/>
        </w:rPr>
        <w:t xml:space="preserve"> el 30 de noviembre de 1998 en el expediente 98/5007-1 (expediente de prueba, folio 90).</w:t>
      </w:r>
    </w:p>
  </w:footnote>
  <w:footnote w:id="27">
    <w:p w14:paraId="6A725452" w14:textId="3FF2C5A4" w:rsidR="00EE1AA3" w:rsidRPr="00862F96" w:rsidRDefault="00EE1AA3" w:rsidP="0049110D">
      <w:pPr>
        <w:pStyle w:val="FootnoteText"/>
        <w:rPr>
          <w:szCs w:val="16"/>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22218C">
        <w:rPr>
          <w:szCs w:val="16"/>
        </w:rPr>
        <w:t xml:space="preserve">Escrito de observaciones del Estado al caso 12.659 Mirey Trueba Arciniega de </w:t>
      </w:r>
      <w:r w:rsidRPr="00F90C57">
        <w:rPr>
          <w:szCs w:val="16"/>
        </w:rPr>
        <w:t>23</w:t>
      </w:r>
      <w:r w:rsidRPr="0022218C">
        <w:rPr>
          <w:szCs w:val="16"/>
        </w:rPr>
        <w:t xml:space="preserve"> de </w:t>
      </w:r>
      <w:r w:rsidRPr="00F90C57">
        <w:rPr>
          <w:szCs w:val="16"/>
        </w:rPr>
        <w:t>agosto</w:t>
      </w:r>
      <w:r w:rsidRPr="0022218C">
        <w:rPr>
          <w:szCs w:val="16"/>
        </w:rPr>
        <w:t xml:space="preserve"> de 200</w:t>
      </w:r>
      <w:r w:rsidRPr="00F90C57">
        <w:rPr>
          <w:szCs w:val="16"/>
        </w:rPr>
        <w:t>4</w:t>
      </w:r>
      <w:r w:rsidRPr="0022218C">
        <w:rPr>
          <w:szCs w:val="16"/>
        </w:rPr>
        <w:t xml:space="preserve">, dirigido a la Comisión </w:t>
      </w:r>
      <w:r w:rsidR="00C459C6">
        <w:rPr>
          <w:szCs w:val="16"/>
        </w:rPr>
        <w:t xml:space="preserve">IDH </w:t>
      </w:r>
      <w:r w:rsidRPr="0022218C">
        <w:rPr>
          <w:szCs w:val="16"/>
        </w:rPr>
        <w:t>(expediente de prueba, folio 114)</w:t>
      </w:r>
      <w:r>
        <w:rPr>
          <w:szCs w:val="16"/>
        </w:rPr>
        <w:t>.</w:t>
      </w:r>
    </w:p>
  </w:footnote>
  <w:footnote w:id="28">
    <w:p w14:paraId="3F19CD9E" w14:textId="5F94FD84" w:rsidR="00EE1AA3" w:rsidRPr="00862F96" w:rsidRDefault="00EE1AA3" w:rsidP="0049110D">
      <w:pPr>
        <w:pStyle w:val="FootnoteText"/>
        <w:rPr>
          <w:szCs w:val="16"/>
        </w:rPr>
      </w:pPr>
      <w:r w:rsidRPr="00862F96">
        <w:rPr>
          <w:rStyle w:val="FootnoteReference"/>
          <w:szCs w:val="16"/>
        </w:rPr>
        <w:footnoteRef/>
      </w:r>
      <w:r>
        <w:rPr>
          <w:szCs w:val="16"/>
        </w:rPr>
        <w:t xml:space="preserve"> </w:t>
      </w:r>
      <w:r>
        <w:rPr>
          <w:szCs w:val="16"/>
        </w:rPr>
        <w:tab/>
      </w:r>
      <w:r w:rsidRPr="00862F96">
        <w:rPr>
          <w:szCs w:val="16"/>
        </w:rPr>
        <w:t>Escrito de observaciones del Estado al caso 12.659 Mirey Trueba Arciniega de 19 de junio de 2009, dirigido a la Comisión</w:t>
      </w:r>
      <w:r w:rsidR="00C459C6">
        <w:rPr>
          <w:szCs w:val="16"/>
        </w:rPr>
        <w:t xml:space="preserve"> IDH</w:t>
      </w:r>
      <w:r w:rsidRPr="00862F96">
        <w:rPr>
          <w:szCs w:val="16"/>
        </w:rPr>
        <w:t xml:space="preserve"> (expediente de prueba, folio 16).</w:t>
      </w:r>
    </w:p>
  </w:footnote>
  <w:footnote w:id="29">
    <w:p w14:paraId="5BF1FB97" w14:textId="71CEA218" w:rsidR="00EE1AA3" w:rsidRPr="00862F96" w:rsidRDefault="00EE1AA3" w:rsidP="0049110D">
      <w:pPr>
        <w:pStyle w:val="FootnoteText"/>
        <w:rPr>
          <w:szCs w:val="16"/>
        </w:rPr>
      </w:pPr>
      <w:r w:rsidRPr="00862F96">
        <w:rPr>
          <w:rStyle w:val="FootnoteReference"/>
          <w:szCs w:val="16"/>
        </w:rPr>
        <w:footnoteRef/>
      </w:r>
      <w:r>
        <w:rPr>
          <w:szCs w:val="16"/>
        </w:rPr>
        <w:tab/>
      </w:r>
      <w:r w:rsidRPr="00862F96">
        <w:rPr>
          <w:szCs w:val="16"/>
        </w:rPr>
        <w:t xml:space="preserve">Escrito de observaciones del Estado al caso 12.659 Mirey Trueba Arciniega de 19 de junio de 2009, dirigido a la Comisión </w:t>
      </w:r>
      <w:r w:rsidR="00C459C6">
        <w:rPr>
          <w:szCs w:val="16"/>
        </w:rPr>
        <w:t xml:space="preserve">IDH </w:t>
      </w:r>
      <w:r w:rsidRPr="00862F96">
        <w:rPr>
          <w:szCs w:val="16"/>
        </w:rPr>
        <w:t>(expediente de prueba, folio 16).</w:t>
      </w:r>
    </w:p>
  </w:footnote>
  <w:footnote w:id="30">
    <w:p w14:paraId="6D4DBDD9" w14:textId="37022CEA" w:rsidR="00EE1AA3" w:rsidRPr="00862F96" w:rsidRDefault="00EE1AA3" w:rsidP="0049110D">
      <w:pPr>
        <w:pStyle w:val="FootnoteText"/>
        <w:rPr>
          <w:szCs w:val="16"/>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862F96">
        <w:rPr>
          <w:szCs w:val="16"/>
          <w:lang w:val="es-MX"/>
        </w:rPr>
        <w:t>Declaraciones de Vidal Trueba Arciniega y de Jorge Jiménez García de 22 de agosto de 1998, rendidas ante el agente de Ministerio Público de Baborigame, Chihuahua en el escrito de denuncia de los hechos (expediente de prueba, folio 84).</w:t>
      </w:r>
    </w:p>
  </w:footnote>
  <w:footnote w:id="31">
    <w:p w14:paraId="5A79208C" w14:textId="67D152B8" w:rsidR="00EE1AA3" w:rsidRPr="00862F96" w:rsidRDefault="00EE1AA3" w:rsidP="0049110D">
      <w:pPr>
        <w:pStyle w:val="FootnoteText"/>
        <w:rPr>
          <w:szCs w:val="16"/>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862F96">
        <w:rPr>
          <w:szCs w:val="16"/>
        </w:rPr>
        <w:t xml:space="preserve">Escrito de petición inicial </w:t>
      </w:r>
      <w:r w:rsidRPr="00862F96">
        <w:rPr>
          <w:szCs w:val="16"/>
          <w:lang w:val="es-ES"/>
        </w:rPr>
        <w:t>de fecha 2 de agosto de 2001 suscrito por las petic</w:t>
      </w:r>
      <w:r w:rsidR="00C459C6">
        <w:rPr>
          <w:szCs w:val="16"/>
          <w:lang w:val="es-ES"/>
        </w:rPr>
        <w:t>ionarias dirigido a la Comisión IDH</w:t>
      </w:r>
      <w:r w:rsidRPr="00862F96">
        <w:rPr>
          <w:szCs w:val="16"/>
          <w:lang w:val="es-ES"/>
        </w:rPr>
        <w:t xml:space="preserve"> (expediente de prueba, folio 55)</w:t>
      </w:r>
      <w:r w:rsidRPr="00862F96">
        <w:rPr>
          <w:szCs w:val="16"/>
        </w:rPr>
        <w:t>.</w:t>
      </w:r>
    </w:p>
  </w:footnote>
  <w:footnote w:id="32">
    <w:p w14:paraId="73E2784B" w14:textId="645F4D4F" w:rsidR="00EE1AA3" w:rsidRPr="00862F96" w:rsidRDefault="00EE1AA3" w:rsidP="0049110D">
      <w:pPr>
        <w:pStyle w:val="FootnoteText"/>
        <w:rPr>
          <w:szCs w:val="16"/>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862F96">
        <w:rPr>
          <w:szCs w:val="16"/>
        </w:rPr>
        <w:t xml:space="preserve">Escrito de observaciones del Estado al caso 12.659 Mirey Trueba Arciniega de </w:t>
      </w:r>
      <w:r>
        <w:rPr>
          <w:szCs w:val="16"/>
        </w:rPr>
        <w:t>23</w:t>
      </w:r>
      <w:r w:rsidRPr="00862F96">
        <w:rPr>
          <w:szCs w:val="16"/>
        </w:rPr>
        <w:t xml:space="preserve"> de </w:t>
      </w:r>
      <w:r>
        <w:rPr>
          <w:szCs w:val="16"/>
        </w:rPr>
        <w:t>agosto</w:t>
      </w:r>
      <w:r w:rsidRPr="00862F96">
        <w:rPr>
          <w:szCs w:val="16"/>
        </w:rPr>
        <w:t xml:space="preserve"> de 200</w:t>
      </w:r>
      <w:r>
        <w:rPr>
          <w:szCs w:val="16"/>
        </w:rPr>
        <w:t>4</w:t>
      </w:r>
      <w:r w:rsidRPr="00862F96">
        <w:rPr>
          <w:szCs w:val="16"/>
        </w:rPr>
        <w:t>, dirigido a la Comisión</w:t>
      </w:r>
      <w:r w:rsidR="00C459C6">
        <w:rPr>
          <w:szCs w:val="16"/>
        </w:rPr>
        <w:t xml:space="preserve"> IDH</w:t>
      </w:r>
      <w:r w:rsidRPr="00862F96">
        <w:rPr>
          <w:szCs w:val="16"/>
        </w:rPr>
        <w:t xml:space="preserve"> (expediente de prueba, folio</w:t>
      </w:r>
      <w:r>
        <w:rPr>
          <w:szCs w:val="16"/>
        </w:rPr>
        <w:t>114</w:t>
      </w:r>
      <w:r w:rsidRPr="00862F96">
        <w:rPr>
          <w:szCs w:val="16"/>
        </w:rPr>
        <w:t>).</w:t>
      </w:r>
    </w:p>
  </w:footnote>
  <w:footnote w:id="33">
    <w:p w14:paraId="522DC27E" w14:textId="546BB203" w:rsidR="00EE1AA3" w:rsidRPr="00862F96" w:rsidRDefault="00EE1AA3" w:rsidP="0049110D">
      <w:pPr>
        <w:pStyle w:val="FootnoteText"/>
        <w:rPr>
          <w:szCs w:val="16"/>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862F96">
        <w:rPr>
          <w:szCs w:val="16"/>
        </w:rPr>
        <w:t xml:space="preserve">Escrito de denuncia de 22 de agosto de 1998, suscrito por José Trueba Loera dirigido al agente de </w:t>
      </w:r>
      <w:r w:rsidRPr="00862F96">
        <w:rPr>
          <w:szCs w:val="16"/>
          <w:lang w:val="es-MX"/>
        </w:rPr>
        <w:t>Ministerio Público de Baborigame, Chihuahua (expediente de prueba, folios 84 y 85).</w:t>
      </w:r>
    </w:p>
  </w:footnote>
  <w:footnote w:id="34">
    <w:p w14:paraId="408B2F2B" w14:textId="4298ED7D" w:rsidR="00EE1AA3" w:rsidRPr="00862F96" w:rsidRDefault="00EE1AA3" w:rsidP="0049110D">
      <w:pPr>
        <w:pStyle w:val="FootnoteText"/>
        <w:rPr>
          <w:szCs w:val="16"/>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862F96">
        <w:rPr>
          <w:szCs w:val="16"/>
        </w:rPr>
        <w:t>Informe de 30 de noviembre de 1998 suscrito por la C</w:t>
      </w:r>
      <w:r>
        <w:rPr>
          <w:szCs w:val="16"/>
        </w:rPr>
        <w:t xml:space="preserve">omisión </w:t>
      </w:r>
      <w:r w:rsidRPr="00862F96">
        <w:rPr>
          <w:szCs w:val="16"/>
        </w:rPr>
        <w:t>N</w:t>
      </w:r>
      <w:r>
        <w:rPr>
          <w:szCs w:val="16"/>
        </w:rPr>
        <w:t xml:space="preserve">acional de </w:t>
      </w:r>
      <w:r w:rsidRPr="00862F96">
        <w:rPr>
          <w:szCs w:val="16"/>
        </w:rPr>
        <w:t>D</w:t>
      </w:r>
      <w:r>
        <w:rPr>
          <w:szCs w:val="16"/>
        </w:rPr>
        <w:t xml:space="preserve">erechos </w:t>
      </w:r>
      <w:r w:rsidRPr="00862F96">
        <w:rPr>
          <w:szCs w:val="16"/>
        </w:rPr>
        <w:t>H</w:t>
      </w:r>
      <w:r>
        <w:rPr>
          <w:szCs w:val="16"/>
        </w:rPr>
        <w:t>umanos</w:t>
      </w:r>
      <w:r w:rsidRPr="00862F96">
        <w:rPr>
          <w:szCs w:val="16"/>
        </w:rPr>
        <w:t xml:space="preserve"> en el que remite información en el expediente 98/5007-1 (expediente de prueba, 89).</w:t>
      </w:r>
    </w:p>
  </w:footnote>
  <w:footnote w:id="35">
    <w:p w14:paraId="369D64D4" w14:textId="7FDBAA6D" w:rsidR="00EE1AA3" w:rsidRPr="00862F96" w:rsidRDefault="00EE1AA3" w:rsidP="0049110D">
      <w:pPr>
        <w:pStyle w:val="FootnoteText"/>
        <w:rPr>
          <w:szCs w:val="16"/>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862F96">
        <w:rPr>
          <w:szCs w:val="16"/>
        </w:rPr>
        <w:t>Oficio 2408/98 de 21 de diciembre de 1998, suscrito por la Procuraduría General de Justicia en el estado de Chihuahua y dirigido al Jefe de Departamento de enlace esa institución (expediente de prueba, 181).</w:t>
      </w:r>
    </w:p>
  </w:footnote>
  <w:footnote w:id="36">
    <w:p w14:paraId="5956BC6B" w14:textId="5BFA130A" w:rsidR="00EE1AA3" w:rsidRPr="00535670" w:rsidRDefault="00EE1AA3" w:rsidP="00535670">
      <w:pPr>
        <w:pStyle w:val="FootnoteText"/>
        <w:rPr>
          <w:lang w:val="es-MX"/>
        </w:rPr>
      </w:pPr>
      <w:r>
        <w:rPr>
          <w:rStyle w:val="FootnoteReference"/>
        </w:rPr>
        <w:footnoteRef/>
      </w:r>
      <w:r>
        <w:t xml:space="preserve"> </w:t>
      </w:r>
      <w:r>
        <w:tab/>
        <w:t>Escrito de 6 de octubre de 2008, suscrito por las peticionarias dirigido a la Comisión</w:t>
      </w:r>
      <w:r w:rsidR="00C459C6">
        <w:t xml:space="preserve"> IDH</w:t>
      </w:r>
      <w:r>
        <w:t xml:space="preserve"> (expediente de prueba, folio 153).</w:t>
      </w:r>
    </w:p>
  </w:footnote>
  <w:footnote w:id="37">
    <w:p w14:paraId="4F31FB8C" w14:textId="3FDFA5F3" w:rsidR="00EE1AA3" w:rsidRPr="00862F96" w:rsidRDefault="00EE1AA3" w:rsidP="0049110D">
      <w:pPr>
        <w:pStyle w:val="FootnoteText"/>
        <w:rPr>
          <w:szCs w:val="16"/>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862F96">
        <w:rPr>
          <w:szCs w:val="16"/>
        </w:rPr>
        <w:t>Oficio 2408/98 de 21 de diciembre de 1998, suscrito por la Procuraduría General de Justicia en el estado de Chihuahua y dirigido al Jefe de Departamento de enlace esa institución (expediente de prueba, 182).</w:t>
      </w:r>
    </w:p>
  </w:footnote>
  <w:footnote w:id="38">
    <w:p w14:paraId="4B8BFE3A" w14:textId="01EE4155" w:rsidR="00EE1AA3" w:rsidRPr="00862F96" w:rsidRDefault="00EE1AA3" w:rsidP="0049110D">
      <w:pPr>
        <w:pStyle w:val="FootnoteText"/>
        <w:rPr>
          <w:szCs w:val="16"/>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862F96">
        <w:rPr>
          <w:szCs w:val="16"/>
        </w:rPr>
        <w:t>Oficio 2408/98 de 21 de diciembre de 1998, suscrito por la Procuraduría General de Justicia en el estado de Chihuahua y dirigido al Jefe de Departamento de enlace esa institución (expediente de prueba, 183).</w:t>
      </w:r>
    </w:p>
  </w:footnote>
  <w:footnote w:id="39">
    <w:p w14:paraId="54A4E524" w14:textId="2C4D1C7E" w:rsidR="00EE1AA3" w:rsidRPr="00862F96" w:rsidRDefault="00EE1AA3" w:rsidP="0049110D">
      <w:pPr>
        <w:pStyle w:val="FootnoteText"/>
        <w:rPr>
          <w:szCs w:val="16"/>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862F96">
        <w:rPr>
          <w:szCs w:val="16"/>
        </w:rPr>
        <w:t>Informe de 30 de noviembre de 1998 suscrito por la CNDH en el que remite información en el expediente 98/5007-1 (expediente de prueba, 93).</w:t>
      </w:r>
    </w:p>
  </w:footnote>
  <w:footnote w:id="40">
    <w:p w14:paraId="54F76966" w14:textId="254AD39C" w:rsidR="00EE1AA3" w:rsidRPr="00862F96" w:rsidRDefault="00EE1AA3" w:rsidP="0049110D">
      <w:pPr>
        <w:pStyle w:val="FootnoteText"/>
        <w:rPr>
          <w:szCs w:val="16"/>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862F96">
        <w:rPr>
          <w:szCs w:val="16"/>
        </w:rPr>
        <w:t>Informe de 30 de noviembre de 1998 suscrito por la CNDH en el que remite información en el expediente 98/5007-1 (expediente de prueba, 94).</w:t>
      </w:r>
    </w:p>
  </w:footnote>
  <w:footnote w:id="41">
    <w:p w14:paraId="3293474C" w14:textId="42A4DD3D" w:rsidR="00EE1AA3" w:rsidRPr="00862F96" w:rsidRDefault="00EE1AA3" w:rsidP="0049110D">
      <w:pPr>
        <w:pStyle w:val="FootnoteText"/>
        <w:rPr>
          <w:szCs w:val="16"/>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862F96">
        <w:rPr>
          <w:szCs w:val="16"/>
        </w:rPr>
        <w:t>Informe de 30 de noviembre de 1998 suscrito por la CNDH en el que remite información en el expediente 98/5007-1 (expediente de prueba, 87).</w:t>
      </w:r>
    </w:p>
  </w:footnote>
  <w:footnote w:id="42">
    <w:p w14:paraId="5722EEE6" w14:textId="49C857A2" w:rsidR="00EE1AA3" w:rsidRPr="00862F96" w:rsidRDefault="00EE1AA3" w:rsidP="0049110D">
      <w:pPr>
        <w:pStyle w:val="FootnoteText"/>
        <w:rPr>
          <w:szCs w:val="16"/>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862F96">
        <w:rPr>
          <w:szCs w:val="16"/>
        </w:rPr>
        <w:t>Informe de 30 de noviembre de 1998 suscrito por la CNDH en el que remite información en el expediente 98/5007-1 (expediente de prueba, 94).</w:t>
      </w:r>
    </w:p>
  </w:footnote>
  <w:footnote w:id="43">
    <w:p w14:paraId="7233C18C" w14:textId="379B2229" w:rsidR="00EE1AA3" w:rsidRPr="00862F96" w:rsidRDefault="00EE1AA3" w:rsidP="0049110D">
      <w:pPr>
        <w:pStyle w:val="FootnoteText"/>
        <w:rPr>
          <w:szCs w:val="16"/>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862F96">
        <w:rPr>
          <w:szCs w:val="16"/>
        </w:rPr>
        <w:t xml:space="preserve">Escrito de petición inicial </w:t>
      </w:r>
      <w:r w:rsidRPr="00862F96">
        <w:rPr>
          <w:szCs w:val="16"/>
          <w:lang w:val="es-ES"/>
        </w:rPr>
        <w:t>de fecha 2 de agosto de 2001 suscrito por las petic</w:t>
      </w:r>
      <w:r w:rsidR="00C459C6">
        <w:rPr>
          <w:szCs w:val="16"/>
          <w:lang w:val="es-ES"/>
        </w:rPr>
        <w:t>ionarias dirigido a la Comisión IDH</w:t>
      </w:r>
      <w:r w:rsidRPr="00862F96">
        <w:rPr>
          <w:szCs w:val="16"/>
          <w:lang w:val="es-ES"/>
        </w:rPr>
        <w:t xml:space="preserve"> (expediente de prueba, folios 60 y 62)</w:t>
      </w:r>
      <w:r w:rsidRPr="00862F96">
        <w:rPr>
          <w:szCs w:val="16"/>
        </w:rPr>
        <w:t>.</w:t>
      </w:r>
    </w:p>
  </w:footnote>
  <w:footnote w:id="44">
    <w:p w14:paraId="27CE9AE1" w14:textId="557A6180" w:rsidR="00EE1AA3" w:rsidRPr="00535670" w:rsidRDefault="00EE1AA3" w:rsidP="00535670">
      <w:pPr>
        <w:pStyle w:val="FootnoteText"/>
        <w:rPr>
          <w:lang w:val="es-MX"/>
        </w:rPr>
      </w:pPr>
      <w:r>
        <w:rPr>
          <w:rStyle w:val="FootnoteReference"/>
        </w:rPr>
        <w:footnoteRef/>
      </w:r>
      <w:r>
        <w:t xml:space="preserve"> </w:t>
      </w:r>
      <w:r>
        <w:rPr>
          <w:lang w:val="es-MX"/>
        </w:rPr>
        <w:tab/>
      </w:r>
      <w:r w:rsidR="00236B2F" w:rsidRPr="00236B2F">
        <w:rPr>
          <w:i/>
          <w:szCs w:val="16"/>
        </w:rPr>
        <w:t>Cfr.</w:t>
      </w:r>
      <w:r w:rsidR="00236B2F">
        <w:rPr>
          <w:szCs w:val="16"/>
        </w:rPr>
        <w:t xml:space="preserve"> </w:t>
      </w:r>
      <w:r w:rsidRPr="00862F96">
        <w:rPr>
          <w:szCs w:val="16"/>
        </w:rPr>
        <w:t>Escrito de 24 de agosto de 2004 suscrito por el Estado dirigido a la Comisión</w:t>
      </w:r>
      <w:r w:rsidR="00C459C6">
        <w:rPr>
          <w:szCs w:val="16"/>
        </w:rPr>
        <w:t xml:space="preserve"> IDH</w:t>
      </w:r>
      <w:r w:rsidRPr="00862F96">
        <w:rPr>
          <w:szCs w:val="16"/>
        </w:rPr>
        <w:t xml:space="preserve"> </w:t>
      </w:r>
      <w:r>
        <w:rPr>
          <w:szCs w:val="16"/>
        </w:rPr>
        <w:t>(expediente de prueba, folio 116</w:t>
      </w:r>
      <w:r w:rsidRPr="00862F96">
        <w:rPr>
          <w:szCs w:val="16"/>
        </w:rPr>
        <w:t>).</w:t>
      </w:r>
    </w:p>
  </w:footnote>
  <w:footnote w:id="45">
    <w:p w14:paraId="5E9868B4" w14:textId="52FB46D6" w:rsidR="00EE1AA3" w:rsidRPr="00862F96" w:rsidRDefault="00EE1AA3" w:rsidP="0049110D">
      <w:pPr>
        <w:pStyle w:val="FootnoteText"/>
        <w:rPr>
          <w:szCs w:val="16"/>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862F96">
        <w:rPr>
          <w:szCs w:val="16"/>
        </w:rPr>
        <w:t>Escrito de 24 de agosto de 2004 suscrito por el Estado dirigido a la Comisión</w:t>
      </w:r>
      <w:r w:rsidR="00C459C6">
        <w:rPr>
          <w:szCs w:val="16"/>
        </w:rPr>
        <w:t xml:space="preserve"> IDH</w:t>
      </w:r>
      <w:r w:rsidRPr="00862F96">
        <w:rPr>
          <w:szCs w:val="16"/>
        </w:rPr>
        <w:t xml:space="preserve"> (expediente de prueba, folio 115).</w:t>
      </w:r>
    </w:p>
  </w:footnote>
  <w:footnote w:id="46">
    <w:p w14:paraId="17F598C3" w14:textId="1079E258" w:rsidR="00EE1AA3" w:rsidRPr="00862F96" w:rsidRDefault="00EE1AA3" w:rsidP="0049110D">
      <w:pPr>
        <w:pStyle w:val="FootnoteText"/>
        <w:rPr>
          <w:szCs w:val="16"/>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862F96">
        <w:rPr>
          <w:szCs w:val="16"/>
        </w:rPr>
        <w:t>Escrito de 24 de agosto de 2004 suscrito por el Estado dirigido a la Comisión</w:t>
      </w:r>
      <w:r w:rsidR="00C459C6">
        <w:rPr>
          <w:szCs w:val="16"/>
        </w:rPr>
        <w:t xml:space="preserve"> IDH</w:t>
      </w:r>
      <w:r w:rsidRPr="00862F96">
        <w:rPr>
          <w:szCs w:val="16"/>
        </w:rPr>
        <w:t xml:space="preserve"> (expediente de prueba, folio 125).</w:t>
      </w:r>
    </w:p>
  </w:footnote>
  <w:footnote w:id="47">
    <w:p w14:paraId="43F21C60" w14:textId="2EED01F1" w:rsidR="00EE1AA3" w:rsidRPr="00862F96" w:rsidRDefault="00EE1AA3" w:rsidP="0049110D">
      <w:pPr>
        <w:pStyle w:val="FootnoteText"/>
        <w:rPr>
          <w:szCs w:val="16"/>
        </w:rPr>
      </w:pPr>
      <w:r w:rsidRPr="00862F96">
        <w:rPr>
          <w:rStyle w:val="FootnoteReference"/>
          <w:szCs w:val="16"/>
        </w:rPr>
        <w:footnoteRef/>
      </w:r>
      <w:r>
        <w:rPr>
          <w:szCs w:val="16"/>
        </w:rPr>
        <w:tab/>
      </w:r>
      <w:r w:rsidRPr="00862F96">
        <w:rPr>
          <w:szCs w:val="16"/>
        </w:rPr>
        <w:t>Observaciones del Estado al caso 12.659 Mirey Trueba Arciniega de 19 de junio de 2009, dirigido a la Comisión</w:t>
      </w:r>
      <w:r w:rsidR="00C459C6">
        <w:rPr>
          <w:szCs w:val="16"/>
        </w:rPr>
        <w:t xml:space="preserve"> IDH</w:t>
      </w:r>
      <w:r w:rsidRPr="00862F96">
        <w:rPr>
          <w:szCs w:val="16"/>
        </w:rPr>
        <w:t xml:space="preserve"> (expediente de prueba, folio 26).</w:t>
      </w:r>
    </w:p>
  </w:footnote>
  <w:footnote w:id="48">
    <w:p w14:paraId="3A3756CF" w14:textId="282060EC" w:rsidR="00EE1AA3" w:rsidRPr="00862F96" w:rsidRDefault="00EE1AA3" w:rsidP="0049110D">
      <w:pPr>
        <w:pStyle w:val="FootnoteText"/>
        <w:rPr>
          <w:szCs w:val="16"/>
        </w:rPr>
      </w:pPr>
      <w:r w:rsidRPr="00862F96">
        <w:rPr>
          <w:rStyle w:val="FootnoteReference"/>
          <w:szCs w:val="16"/>
        </w:rPr>
        <w:footnoteRef/>
      </w:r>
      <w:r>
        <w:rPr>
          <w:szCs w:val="16"/>
        </w:rPr>
        <w:tab/>
        <w:t xml:space="preserve">Convenio de 17 de septiembre de 2002 suscrito entre miembros del Estado y el señor José Tomás Trueba </w:t>
      </w:r>
      <w:r w:rsidRPr="00CE0026">
        <w:rPr>
          <w:szCs w:val="16"/>
        </w:rPr>
        <w:t>(expediente de prueba, folios 176 y 177)</w:t>
      </w:r>
      <w:r>
        <w:rPr>
          <w:szCs w:val="16"/>
        </w:rPr>
        <w:t>.</w:t>
      </w:r>
    </w:p>
  </w:footnote>
  <w:footnote w:id="49">
    <w:p w14:paraId="780A050F" w14:textId="55704853" w:rsidR="00EE1AA3" w:rsidRPr="00862F96" w:rsidRDefault="00EE1AA3" w:rsidP="0049110D">
      <w:pPr>
        <w:pStyle w:val="FootnoteText"/>
        <w:rPr>
          <w:szCs w:val="16"/>
        </w:rPr>
      </w:pPr>
      <w:r w:rsidRPr="00862F96">
        <w:rPr>
          <w:rStyle w:val="FootnoteReference"/>
          <w:szCs w:val="16"/>
        </w:rPr>
        <w:footnoteRef/>
      </w:r>
      <w:r>
        <w:rPr>
          <w:szCs w:val="16"/>
        </w:rPr>
        <w:tab/>
      </w:r>
      <w:r w:rsidR="00236B2F" w:rsidRPr="00236B2F">
        <w:rPr>
          <w:i/>
          <w:szCs w:val="16"/>
        </w:rPr>
        <w:t>Cfr.</w:t>
      </w:r>
      <w:r w:rsidR="00236B2F">
        <w:rPr>
          <w:szCs w:val="16"/>
        </w:rPr>
        <w:t xml:space="preserve"> </w:t>
      </w:r>
      <w:r w:rsidRPr="00862F96">
        <w:rPr>
          <w:szCs w:val="16"/>
        </w:rPr>
        <w:t>Escrito de 24 de agosto de 2004 suscrito por el Estado dirigido a la Comisión</w:t>
      </w:r>
      <w:r w:rsidR="00C459C6">
        <w:rPr>
          <w:szCs w:val="16"/>
        </w:rPr>
        <w:t xml:space="preserve"> IDH</w:t>
      </w:r>
      <w:r w:rsidRPr="00862F96">
        <w:rPr>
          <w:szCs w:val="16"/>
        </w:rPr>
        <w:t xml:space="preserve"> (expediente de prueba, folio 149).</w:t>
      </w:r>
    </w:p>
  </w:footnote>
  <w:footnote w:id="50">
    <w:p w14:paraId="6368C757" w14:textId="5F82C9A3" w:rsidR="00EE1AA3" w:rsidRPr="00E179ED" w:rsidRDefault="00EE1AA3">
      <w:pPr>
        <w:pStyle w:val="FootnoteText"/>
        <w:rPr>
          <w:lang w:val="es-ES"/>
        </w:rPr>
      </w:pPr>
      <w:r>
        <w:rPr>
          <w:rStyle w:val="FootnoteReference"/>
        </w:rPr>
        <w:footnoteRef/>
      </w:r>
      <w:r>
        <w:t xml:space="preserve"> </w:t>
      </w:r>
      <w:r>
        <w:tab/>
        <w:t>E</w:t>
      </w:r>
      <w:r w:rsidRPr="009F0E1A">
        <w:t>stos son: su madre Micaela Arciniega, su padre José Tomás Loera, y sus hermanos Vidal Trueba Arciniega, Elías Trueba Arciniega, Tomás Trueba Arciniega, Eleazar Heric Trueba Arciniega, Eduardo Trueba Molina y Samuel Trueba Arciniega</w:t>
      </w:r>
      <w:r>
        <w:t>.</w:t>
      </w:r>
    </w:p>
  </w:footnote>
  <w:footnote w:id="51">
    <w:p w14:paraId="79FCA041" w14:textId="32A18FAA" w:rsidR="00EE1AA3" w:rsidRPr="00862F96" w:rsidRDefault="00EE1AA3" w:rsidP="00104683">
      <w:pPr>
        <w:tabs>
          <w:tab w:val="left" w:pos="720"/>
        </w:tabs>
        <w:ind w:right="4"/>
        <w:rPr>
          <w:sz w:val="16"/>
          <w:szCs w:val="16"/>
          <w:lang w:val="es-CR"/>
        </w:rPr>
      </w:pPr>
      <w:r w:rsidRPr="00862F96">
        <w:rPr>
          <w:rStyle w:val="FootnoteReference"/>
          <w:sz w:val="16"/>
          <w:szCs w:val="16"/>
        </w:rPr>
        <w:footnoteRef/>
      </w:r>
      <w:r w:rsidRPr="00862F96">
        <w:rPr>
          <w:sz w:val="16"/>
          <w:szCs w:val="16"/>
          <w:lang w:val="es-CR"/>
        </w:rPr>
        <w:t xml:space="preserve"> </w:t>
      </w:r>
      <w:r w:rsidRPr="00862F96">
        <w:rPr>
          <w:sz w:val="16"/>
          <w:szCs w:val="16"/>
          <w:lang w:val="es-CR"/>
        </w:rPr>
        <w:tab/>
      </w:r>
      <w:r>
        <w:rPr>
          <w:i/>
          <w:sz w:val="16"/>
          <w:szCs w:val="16"/>
          <w:lang w:val="es-CR"/>
        </w:rPr>
        <w:t xml:space="preserve">Cfr. </w:t>
      </w:r>
      <w:r w:rsidRPr="00862F96">
        <w:rPr>
          <w:bCs/>
          <w:i/>
          <w:sz w:val="16"/>
          <w:szCs w:val="16"/>
          <w:lang w:val="es-CR"/>
        </w:rPr>
        <w:t>Caso Velásquez Rodríguez. Reparaciones y Costas</w:t>
      </w:r>
      <w:r w:rsidRPr="00862F96">
        <w:rPr>
          <w:rFonts w:cs="Verdana-Italic"/>
          <w:iCs/>
          <w:sz w:val="16"/>
          <w:szCs w:val="16"/>
          <w:lang w:val="es-CR" w:bidi="en-US"/>
        </w:rPr>
        <w:t xml:space="preserve">. </w:t>
      </w:r>
      <w:r w:rsidRPr="00862F96">
        <w:rPr>
          <w:rFonts w:eastAsia="Times New Roman"/>
          <w:sz w:val="16"/>
          <w:szCs w:val="16"/>
        </w:rPr>
        <w:t>Sentencia de 21 de julio de 1989. Serie C No. 7,</w:t>
      </w:r>
      <w:r w:rsidRPr="00862F96">
        <w:rPr>
          <w:rFonts w:eastAsia="Times New Roman"/>
          <w:bCs/>
          <w:sz w:val="16"/>
          <w:szCs w:val="16"/>
        </w:rPr>
        <w:t xml:space="preserve"> </w:t>
      </w:r>
      <w:r w:rsidRPr="00862F96">
        <w:rPr>
          <w:sz w:val="16"/>
          <w:szCs w:val="16"/>
          <w:lang w:val="es-CR"/>
        </w:rPr>
        <w:t>párrs.</w:t>
      </w:r>
      <w:r w:rsidRPr="00862F96">
        <w:rPr>
          <w:i/>
          <w:sz w:val="16"/>
          <w:szCs w:val="16"/>
          <w:lang w:val="es-CR"/>
        </w:rPr>
        <w:t xml:space="preserve"> </w:t>
      </w:r>
      <w:r>
        <w:rPr>
          <w:sz w:val="16"/>
          <w:szCs w:val="16"/>
          <w:lang w:val="es-CR"/>
        </w:rPr>
        <w:t xml:space="preserve">25-27; </w:t>
      </w:r>
      <w:r w:rsidRPr="00862F96">
        <w:rPr>
          <w:bCs/>
          <w:i/>
          <w:sz w:val="16"/>
          <w:szCs w:val="16"/>
          <w:lang w:val="es-CR"/>
        </w:rPr>
        <w:t xml:space="preserve">Caso Luna López Vs. Honduras. </w:t>
      </w:r>
      <w:r w:rsidRPr="00862F96">
        <w:rPr>
          <w:rFonts w:eastAsia="Times New Roman"/>
          <w:bCs/>
          <w:i/>
          <w:sz w:val="16"/>
          <w:szCs w:val="16"/>
        </w:rPr>
        <w:t>Fondo, Reparaciones y Costas</w:t>
      </w:r>
      <w:r w:rsidRPr="00862F96">
        <w:rPr>
          <w:rFonts w:eastAsia="Times New Roman"/>
          <w:bCs/>
          <w:sz w:val="16"/>
          <w:szCs w:val="16"/>
        </w:rPr>
        <w:t>. Sentencia de 10 de octubre de 2013. Serie C No. 26</w:t>
      </w:r>
      <w:r>
        <w:rPr>
          <w:rFonts w:eastAsia="Times New Roman"/>
          <w:bCs/>
          <w:sz w:val="16"/>
          <w:szCs w:val="16"/>
        </w:rPr>
        <w:t>9</w:t>
      </w:r>
      <w:r w:rsidRPr="00862F96">
        <w:rPr>
          <w:bCs/>
          <w:i/>
          <w:sz w:val="16"/>
          <w:szCs w:val="16"/>
          <w:lang w:val="es-CR"/>
        </w:rPr>
        <w:t xml:space="preserve">, </w:t>
      </w:r>
      <w:r w:rsidRPr="00862F96">
        <w:rPr>
          <w:sz w:val="16"/>
          <w:szCs w:val="16"/>
          <w:lang w:val="es-CR"/>
        </w:rPr>
        <w:t>párr. 214</w:t>
      </w:r>
      <w:r>
        <w:rPr>
          <w:sz w:val="16"/>
          <w:szCs w:val="16"/>
          <w:lang w:val="es-CR"/>
        </w:rPr>
        <w:t xml:space="preserve">, y </w:t>
      </w:r>
      <w:r w:rsidRPr="00862F96">
        <w:rPr>
          <w:bCs/>
          <w:i/>
          <w:sz w:val="16"/>
          <w:szCs w:val="16"/>
          <w:lang w:val="es-CR"/>
        </w:rPr>
        <w:t>Caso Gómez Murillo y otros Vs. Costa Rica</w:t>
      </w:r>
      <w:r>
        <w:rPr>
          <w:bCs/>
          <w:i/>
          <w:sz w:val="16"/>
          <w:szCs w:val="16"/>
          <w:lang w:val="es-CR"/>
        </w:rPr>
        <w:t xml:space="preserve">. </w:t>
      </w:r>
      <w:r>
        <w:rPr>
          <w:bCs/>
          <w:sz w:val="16"/>
          <w:szCs w:val="16"/>
          <w:lang w:val="es-CR"/>
        </w:rPr>
        <w:t>Sentencia de 29 de noviembre de 2016. Serie C No. 326,</w:t>
      </w:r>
      <w:r w:rsidRPr="00862F96">
        <w:rPr>
          <w:bCs/>
          <w:i/>
          <w:sz w:val="16"/>
          <w:szCs w:val="16"/>
          <w:lang w:val="es-CR"/>
        </w:rPr>
        <w:t xml:space="preserve"> </w:t>
      </w:r>
      <w:r w:rsidRPr="00862F96">
        <w:rPr>
          <w:sz w:val="16"/>
          <w:szCs w:val="16"/>
          <w:lang w:val="es-CR"/>
        </w:rPr>
        <w:t>párr. 49</w:t>
      </w:r>
      <w:r>
        <w:rPr>
          <w:sz w:val="16"/>
          <w:szCs w:val="16"/>
          <w:lang w:val="es-CR"/>
        </w:rPr>
        <w:t>.</w:t>
      </w:r>
    </w:p>
  </w:footnote>
  <w:footnote w:id="52">
    <w:p w14:paraId="40DB29D3" w14:textId="2E850824" w:rsidR="00EE1AA3" w:rsidRPr="003074C7" w:rsidRDefault="00EE1AA3">
      <w:pPr>
        <w:pStyle w:val="FootnoteText"/>
        <w:rPr>
          <w:lang w:val="es-CR"/>
        </w:rPr>
      </w:pPr>
      <w:r>
        <w:rPr>
          <w:rStyle w:val="FootnoteReference"/>
        </w:rPr>
        <w:footnoteRef/>
      </w:r>
      <w:r>
        <w:t xml:space="preserve"> </w:t>
      </w:r>
      <w:r>
        <w:rPr>
          <w:lang w:val="es-CR"/>
        </w:rPr>
        <w:tab/>
        <w:t>Dado que así lo acordaron las partes, la Corte no mencionará las cantidades monetarias que el Estado se comprometió a pagar a los familiares del señor Trueba Arciniega por concepto de reparación.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16D0F" w14:textId="1C10D300" w:rsidR="00EE1AA3" w:rsidRDefault="00EE1AA3" w:rsidP="00683BD0">
    <w:pPr>
      <w:pStyle w:val="Header"/>
      <w:tabs>
        <w:tab w:val="clear" w:pos="4252"/>
        <w:tab w:val="clear" w:pos="8504"/>
        <w:tab w:val="left" w:pos="42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2EE47" w14:textId="1D9307FC" w:rsidR="00EE1AA3" w:rsidRPr="00FA45CF" w:rsidRDefault="00EE1AA3" w:rsidP="00ED3827">
    <w:pPr>
      <w:pStyle w:val="Header"/>
      <w:jc w:val="right"/>
      <w:rPr>
        <w:i/>
        <w:sz w:val="16"/>
        <w:szCs w:val="16"/>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BA37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757E47"/>
    <w:multiLevelType w:val="hybridMultilevel"/>
    <w:tmpl w:val="D730EB0C"/>
    <w:lvl w:ilvl="0" w:tplc="CF325398">
      <w:start w:val="1"/>
      <w:numFmt w:val="decimal"/>
      <w:pStyle w:val="Titre1"/>
      <w:lvlText w:val="%1."/>
      <w:lvlJc w:val="left"/>
      <w:pPr>
        <w:tabs>
          <w:tab w:val="num" w:pos="720"/>
        </w:tabs>
        <w:ind w:firstLine="720"/>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77C654AA">
      <w:start w:val="1"/>
      <w:numFmt w:val="decimal"/>
      <w:lvlText w:val="%3."/>
      <w:lvlJc w:val="left"/>
      <w:pPr>
        <w:tabs>
          <w:tab w:val="num" w:pos="2340"/>
        </w:tabs>
        <w:ind w:left="2340" w:hanging="360"/>
      </w:pPr>
      <w:rPr>
        <w:rFonts w:hint="default"/>
        <w:b/>
        <w:i w:val="0"/>
        <w:sz w:val="22"/>
      </w:rPr>
    </w:lvl>
    <w:lvl w:ilvl="3" w:tplc="00170409">
      <w:start w:val="1"/>
      <w:numFmt w:val="lowerLetter"/>
      <w:lvlText w:val="%4)"/>
      <w:lvlJc w:val="left"/>
      <w:pPr>
        <w:tabs>
          <w:tab w:val="num" w:pos="2880"/>
        </w:tabs>
        <w:ind w:left="288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B67750"/>
    <w:multiLevelType w:val="hybridMultilevel"/>
    <w:tmpl w:val="FA60C478"/>
    <w:lvl w:ilvl="0" w:tplc="300A0019">
      <w:start w:val="1"/>
      <w:numFmt w:val="lowerLetter"/>
      <w:lvlText w:val="%1."/>
      <w:lvlJc w:val="left"/>
      <w:pPr>
        <w:ind w:left="1428" w:hanging="360"/>
      </w:pPr>
      <w:rPr>
        <w:rFonts w:hint="default"/>
        <w:b w:val="0"/>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3">
    <w:nsid w:val="0A7C5FB5"/>
    <w:multiLevelType w:val="hybridMultilevel"/>
    <w:tmpl w:val="D2DE2890"/>
    <w:lvl w:ilvl="0" w:tplc="DFE4B958">
      <w:start w:val="1"/>
      <w:numFmt w:val="decimal"/>
      <w:lvlText w:val="E.%1"/>
      <w:lvlJc w:val="left"/>
      <w:pPr>
        <w:ind w:left="720" w:hanging="360"/>
      </w:pPr>
      <w:rPr>
        <w:rFonts w:hint="default"/>
        <w:b w:val="0"/>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0C4B5E14"/>
    <w:multiLevelType w:val="hybridMultilevel"/>
    <w:tmpl w:val="30C2E5D6"/>
    <w:lvl w:ilvl="0" w:tplc="28CECCE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0EAA3E75"/>
    <w:multiLevelType w:val="hybridMultilevel"/>
    <w:tmpl w:val="30C2E5D6"/>
    <w:lvl w:ilvl="0" w:tplc="28CECCE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136F2E83"/>
    <w:multiLevelType w:val="hybridMultilevel"/>
    <w:tmpl w:val="30467760"/>
    <w:lvl w:ilvl="0" w:tplc="FEAE2600">
      <w:start w:val="1"/>
      <w:numFmt w:val="decimal"/>
      <w:pStyle w:val="Estilo4"/>
      <w:lvlText w:val="%1."/>
      <w:lvlJc w:val="left"/>
      <w:pPr>
        <w:ind w:left="3763" w:hanging="360"/>
      </w:pPr>
      <w:rPr>
        <w:rFonts w:hint="default"/>
        <w:sz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1CB90D0B"/>
    <w:multiLevelType w:val="hybridMultilevel"/>
    <w:tmpl w:val="2C40DFBE"/>
    <w:lvl w:ilvl="0" w:tplc="0C0A0015">
      <w:start w:val="1"/>
      <w:numFmt w:val="upp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5B749D"/>
    <w:multiLevelType w:val="hybridMultilevel"/>
    <w:tmpl w:val="463268F6"/>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03317F"/>
    <w:multiLevelType w:val="hybridMultilevel"/>
    <w:tmpl w:val="921A9058"/>
    <w:lvl w:ilvl="0" w:tplc="BB40138E">
      <w:start w:val="1"/>
      <w:numFmt w:val="decimal"/>
      <w:lvlText w:val="C.%1"/>
      <w:lvlJc w:val="left"/>
      <w:pPr>
        <w:ind w:left="720" w:hanging="360"/>
      </w:pPr>
      <w:rPr>
        <w:rFonts w:hint="default"/>
        <w:b w:val="0"/>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8AD2FA8"/>
    <w:multiLevelType w:val="hybridMultilevel"/>
    <w:tmpl w:val="8EF0F184"/>
    <w:lvl w:ilvl="0" w:tplc="BB40138E">
      <w:start w:val="1"/>
      <w:numFmt w:val="decimal"/>
      <w:lvlText w:val="C.%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1">
    <w:nsid w:val="2F4767F3"/>
    <w:multiLevelType w:val="hybridMultilevel"/>
    <w:tmpl w:val="C45809BC"/>
    <w:lvl w:ilvl="0" w:tplc="EE1A0456">
      <w:start w:val="1"/>
      <w:numFmt w:val="decimal"/>
      <w:pStyle w:val="Estilo5"/>
      <w:lvlText w:val="%1."/>
      <w:lvlJc w:val="left"/>
      <w:pPr>
        <w:ind w:left="450" w:hanging="360"/>
      </w:pPr>
      <w:rPr>
        <w:rFonts w:ascii="Verdana" w:hAnsi="Verdana" w:hint="default"/>
        <w:b w:val="0"/>
        <w:i w:val="0"/>
        <w:strike w:val="0"/>
        <w:color w:val="auto"/>
        <w:sz w:val="20"/>
        <w:szCs w:val="20"/>
        <w:lang w:val="es-MX"/>
      </w:rPr>
    </w:lvl>
    <w:lvl w:ilvl="1" w:tplc="3CA86E32">
      <w:start w:val="1"/>
      <w:numFmt w:val="lowerLetter"/>
      <w:lvlText w:val="%2)"/>
      <w:lvlJc w:val="left"/>
      <w:pPr>
        <w:ind w:left="1620" w:hanging="360"/>
      </w:pPr>
      <w:rPr>
        <w:rFonts w:ascii="Verdana" w:hAnsi="Verdana" w:cs="Times New Roman" w:hint="default"/>
        <w:b w:val="0"/>
        <w:i w:val="0"/>
        <w:caps w:val="0"/>
        <w:strike w:val="0"/>
        <w:dstrike w:val="0"/>
        <w:vanish w:val="0"/>
        <w:color w:val="auto"/>
        <w:sz w:val="20"/>
        <w:vertAlign w:val="baseline"/>
      </w:rPr>
    </w:lvl>
    <w:lvl w:ilvl="2" w:tplc="3F20288C">
      <w:start w:val="1"/>
      <w:numFmt w:val="lowerRoman"/>
      <w:lvlText w:val="%3."/>
      <w:lvlJc w:val="right"/>
      <w:pPr>
        <w:ind w:left="2160" w:hanging="180"/>
      </w:pPr>
      <w:rPr>
        <w:b w:val="0"/>
      </w:rPr>
    </w:lvl>
    <w:lvl w:ilvl="3" w:tplc="140A000F">
      <w:start w:val="1"/>
      <w:numFmt w:val="decimal"/>
      <w:lvlText w:val="%4."/>
      <w:lvlJc w:val="left"/>
      <w:pPr>
        <w:ind w:left="2880" w:hanging="360"/>
      </w:pPr>
    </w:lvl>
    <w:lvl w:ilvl="4" w:tplc="606ED164">
      <w:start w:val="1"/>
      <w:numFmt w:val="lowerLetter"/>
      <w:pStyle w:val="Estilo3"/>
      <w:lvlText w:val="%5)"/>
      <w:lvlJc w:val="left"/>
      <w:pPr>
        <w:ind w:left="3600" w:hanging="360"/>
      </w:pPr>
      <w:rPr>
        <w:rFonts w:hint="default"/>
        <w:b w:val="0"/>
        <w:i w:val="0"/>
      </w:rPr>
    </w:lvl>
    <w:lvl w:ilvl="5" w:tplc="726C26BC">
      <w:start w:val="1"/>
      <w:numFmt w:val="lowerRoman"/>
      <w:pStyle w:val="Estilo8"/>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F6D25D2"/>
    <w:multiLevelType w:val="hybridMultilevel"/>
    <w:tmpl w:val="EA76603E"/>
    <w:lvl w:ilvl="0" w:tplc="7360C0FA">
      <w:start w:val="1"/>
      <w:numFmt w:val="decimal"/>
      <w:lvlText w:val="B.%1"/>
      <w:lvlJc w:val="left"/>
      <w:pPr>
        <w:ind w:left="720" w:hanging="360"/>
      </w:pPr>
      <w:rPr>
        <w:rFonts w:hint="default"/>
        <w:b w:val="0"/>
        <w:i/>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nsid w:val="35E42991"/>
    <w:multiLevelType w:val="hybridMultilevel"/>
    <w:tmpl w:val="739A5B32"/>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145BDF"/>
    <w:multiLevelType w:val="hybridMultilevel"/>
    <w:tmpl w:val="8886ECA2"/>
    <w:lvl w:ilvl="0" w:tplc="C41C0E5C">
      <w:start w:val="1"/>
      <w:numFmt w:val="decimal"/>
      <w:lvlText w:val="%1."/>
      <w:lvlJc w:val="left"/>
      <w:pPr>
        <w:ind w:left="0" w:firstLine="0"/>
      </w:pPr>
      <w:rPr>
        <w:rFonts w:ascii="Verdana" w:hAnsi="Verdana" w:hint="default"/>
        <w:b w:val="0"/>
        <w:i w:val="0"/>
        <w:strike w:val="0"/>
        <w:color w:val="auto"/>
        <w:sz w:val="20"/>
        <w:szCs w:val="20"/>
        <w:lang w:val="es-AR"/>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41244D4B"/>
    <w:multiLevelType w:val="hybridMultilevel"/>
    <w:tmpl w:val="739A5B32"/>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254633F"/>
    <w:multiLevelType w:val="hybridMultilevel"/>
    <w:tmpl w:val="FC9218D8"/>
    <w:lvl w:ilvl="0" w:tplc="832CC7FE">
      <w:start w:val="1"/>
      <w:numFmt w:val="decimal"/>
      <w:lvlText w:val="%1."/>
      <w:lvlJc w:val="left"/>
      <w:pPr>
        <w:ind w:left="502" w:hanging="36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
    <w:nsid w:val="430304A5"/>
    <w:multiLevelType w:val="hybridMultilevel"/>
    <w:tmpl w:val="B642A9B0"/>
    <w:lvl w:ilvl="0" w:tplc="300A0019">
      <w:start w:val="1"/>
      <w:numFmt w:val="lowerLetter"/>
      <w:lvlText w:val="%1."/>
      <w:lvlJc w:val="left"/>
      <w:pPr>
        <w:ind w:left="1428" w:hanging="360"/>
      </w:pPr>
      <w:rPr>
        <w:rFonts w:hint="default"/>
      </w:r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18">
    <w:nsid w:val="492436BE"/>
    <w:multiLevelType w:val="hybridMultilevel"/>
    <w:tmpl w:val="4C5E353A"/>
    <w:lvl w:ilvl="0" w:tplc="4530CD2C">
      <w:start w:val="1"/>
      <w:numFmt w:val="upp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A793B17"/>
    <w:multiLevelType w:val="hybridMultilevel"/>
    <w:tmpl w:val="739A5B32"/>
    <w:lvl w:ilvl="0" w:tplc="DA684398">
      <w:start w:val="1"/>
      <w:numFmt w:val="upperLetter"/>
      <w:lvlText w:val="%1."/>
      <w:lvlJc w:val="left"/>
      <w:pPr>
        <w:ind w:left="90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CD1B5F"/>
    <w:multiLevelType w:val="hybridMultilevel"/>
    <w:tmpl w:val="5138403E"/>
    <w:lvl w:ilvl="0" w:tplc="FED278EE">
      <w:start w:val="1"/>
      <w:numFmt w:val="decimal"/>
      <w:lvlText w:val="%1."/>
      <w:lvlJc w:val="left"/>
      <w:pPr>
        <w:ind w:left="360" w:hanging="360"/>
      </w:pPr>
      <w:rPr>
        <w:rFonts w:ascii="Verdana" w:eastAsia="Batang" w:hAnsi="Verdana" w:cs="Times"/>
        <w:b w:val="0"/>
        <w:i w:val="0"/>
        <w:strike w:val="0"/>
        <w:color w:val="auto"/>
        <w:sz w:val="20"/>
        <w:szCs w:val="20"/>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CD301A9"/>
    <w:multiLevelType w:val="hybridMultilevel"/>
    <w:tmpl w:val="CED2E2B2"/>
    <w:lvl w:ilvl="0" w:tplc="BB40138E">
      <w:start w:val="1"/>
      <w:numFmt w:val="decimal"/>
      <w:lvlText w:val="C.%1"/>
      <w:lvlJc w:val="left"/>
      <w:pPr>
        <w:ind w:left="720" w:hanging="360"/>
      </w:pPr>
      <w:rPr>
        <w:rFonts w:hint="default"/>
        <w:b w:val="0"/>
        <w:i/>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2">
    <w:nsid w:val="4F635E0B"/>
    <w:multiLevelType w:val="hybridMultilevel"/>
    <w:tmpl w:val="FEF22574"/>
    <w:lvl w:ilvl="0" w:tplc="503A1522">
      <w:start w:val="3"/>
      <w:numFmt w:val="upp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23">
    <w:nsid w:val="549F2125"/>
    <w:multiLevelType w:val="hybridMultilevel"/>
    <w:tmpl w:val="976C70FC"/>
    <w:lvl w:ilvl="0" w:tplc="DA684398">
      <w:start w:val="1"/>
      <w:numFmt w:val="upp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76753A80"/>
    <w:multiLevelType w:val="hybridMultilevel"/>
    <w:tmpl w:val="E4EE0356"/>
    <w:lvl w:ilvl="0" w:tplc="16D40AFE">
      <w:start w:val="1"/>
      <w:numFmt w:val="decimal"/>
      <w:lvlText w:val="%1."/>
      <w:lvlJc w:val="left"/>
      <w:pPr>
        <w:ind w:left="0" w:firstLine="0"/>
      </w:pPr>
      <w:rPr>
        <w:rFonts w:ascii="Verdana" w:hAnsi="Verdana" w:hint="default"/>
        <w:b w:val="0"/>
        <w:i w:val="0"/>
        <w:strike w:val="0"/>
        <w:color w:val="auto"/>
        <w:sz w:val="20"/>
        <w:szCs w:val="20"/>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E4620364">
      <w:start w:val="2"/>
      <w:numFmt w:val="upperLetter"/>
      <w:lvlText w:val="%6."/>
      <w:lvlJc w:val="left"/>
      <w:pPr>
        <w:ind w:left="4358" w:hanging="360"/>
      </w:pPr>
      <w:rPr>
        <w:rFonts w:hint="default"/>
      </w:r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5">
    <w:nsid w:val="7708513B"/>
    <w:multiLevelType w:val="hybridMultilevel"/>
    <w:tmpl w:val="585C4904"/>
    <w:lvl w:ilvl="0" w:tplc="7360C0FA">
      <w:start w:val="1"/>
      <w:numFmt w:val="decimal"/>
      <w:lvlText w:val="B.%1"/>
      <w:lvlJc w:val="left"/>
      <w:pPr>
        <w:ind w:left="720" w:hanging="360"/>
      </w:pPr>
      <w:rPr>
        <w:rFonts w:hint="default"/>
        <w:b w:val="0"/>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78EA0AF9"/>
    <w:multiLevelType w:val="hybridMultilevel"/>
    <w:tmpl w:val="4C5E353A"/>
    <w:lvl w:ilvl="0" w:tplc="4530CD2C">
      <w:start w:val="1"/>
      <w:numFmt w:val="upperLetter"/>
      <w:lvlText w:val="%1."/>
      <w:lvlJc w:val="left"/>
      <w:pPr>
        <w:ind w:left="720" w:hanging="360"/>
      </w:pPr>
      <w:rPr>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79354707"/>
    <w:multiLevelType w:val="hybridMultilevel"/>
    <w:tmpl w:val="6922D4F8"/>
    <w:lvl w:ilvl="0" w:tplc="98A461BC">
      <w:start w:val="1"/>
      <w:numFmt w:val="decimal"/>
      <w:lvlText w:val="%1."/>
      <w:lvlJc w:val="left"/>
      <w:pPr>
        <w:ind w:left="825" w:hanging="825"/>
      </w:pPr>
      <w:rPr>
        <w:rFonts w:ascii="Verdana" w:eastAsia="Verdana" w:hAnsi="Verdana" w:cs="Verdana" w:hint="default"/>
        <w:b w:val="0"/>
        <w:i w:val="0"/>
        <w:strike w:val="0"/>
        <w:dstrike w:val="0"/>
        <w:color w:val="auto"/>
        <w:sz w:val="20"/>
        <w:szCs w:val="20"/>
        <w:u w:val="none"/>
        <w:effect w:val="none"/>
        <w:lang w:val="es-MX"/>
      </w:rPr>
    </w:lvl>
    <w:lvl w:ilvl="1" w:tplc="140A001B">
      <w:start w:val="1"/>
      <w:numFmt w:val="lowerRoman"/>
      <w:lvlText w:val="%2."/>
      <w:lvlJc w:val="right"/>
      <w:pPr>
        <w:ind w:left="1440" w:hanging="360"/>
      </w:pPr>
    </w:lvl>
    <w:lvl w:ilvl="2" w:tplc="811CA528">
      <w:start w:val="1"/>
      <w:numFmt w:val="lowerRoman"/>
      <w:lvlText w:val="%3."/>
      <w:lvlJc w:val="right"/>
      <w:pPr>
        <w:ind w:left="1031" w:hanging="180"/>
      </w:pPr>
      <w:rPr>
        <w:rFonts w:ascii="Verdana" w:eastAsia="Batang" w:hAnsi="Verdana" w:cstheme="minorBidi"/>
        <w:i w:val="0"/>
      </w:rPr>
    </w:lvl>
    <w:lvl w:ilvl="3" w:tplc="664CD6A6">
      <w:start w:val="1"/>
      <w:numFmt w:val="decimal"/>
      <w:lvlText w:val="D.7.%4."/>
      <w:lvlJc w:val="left"/>
      <w:pPr>
        <w:ind w:left="2880" w:hanging="360"/>
      </w:pPr>
      <w:rPr>
        <w:lang w:val="es-AR"/>
      </w:r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5B9ABF92">
      <w:start w:val="1"/>
      <w:numFmt w:val="decimal"/>
      <w:lvlText w:val="A.%7."/>
      <w:lvlJc w:val="left"/>
      <w:pPr>
        <w:ind w:left="1778" w:hanging="360"/>
      </w:pPr>
      <w:rPr>
        <w:b w:val="0"/>
        <w:i/>
      </w:r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nsid w:val="7CE64D32"/>
    <w:multiLevelType w:val="hybridMultilevel"/>
    <w:tmpl w:val="E9AAC004"/>
    <w:lvl w:ilvl="0" w:tplc="84C60B70">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ES_tradnl"/>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Heading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num w:numId="1">
    <w:abstractNumId w:val="24"/>
  </w:num>
  <w:num w:numId="2">
    <w:abstractNumId w:val="20"/>
  </w:num>
  <w:num w:numId="3">
    <w:abstractNumId w:val="28"/>
  </w:num>
  <w:num w:numId="4">
    <w:abstractNumId w:val="0"/>
  </w:num>
  <w:num w:numId="5">
    <w:abstractNumId w:val="1"/>
  </w:num>
  <w:num w:numId="6">
    <w:abstractNumId w:val="19"/>
  </w:num>
  <w:num w:numId="7">
    <w:abstractNumId w:val="13"/>
  </w:num>
  <w:num w:numId="8">
    <w:abstractNumId w:val="6"/>
  </w:num>
  <w:num w:numId="9">
    <w:abstractNumId w:val="11"/>
  </w:num>
  <w:num w:numId="10">
    <w:abstractNumId w:val="8"/>
  </w:num>
  <w:num w:numId="11">
    <w:abstractNumId w:val="16"/>
  </w:num>
  <w:num w:numId="12">
    <w:abstractNumId w:val="5"/>
  </w:num>
  <w:num w:numId="13">
    <w:abstractNumId w:val="4"/>
  </w:num>
  <w:num w:numId="14">
    <w:abstractNumId w:val="7"/>
  </w:num>
  <w:num w:numId="15">
    <w:abstractNumId w:val="22"/>
  </w:num>
  <w:num w:numId="16">
    <w:abstractNumId w:val="15"/>
  </w:num>
  <w:num w:numId="17">
    <w:abstractNumId w:val="14"/>
  </w:num>
  <w:num w:numId="18">
    <w:abstractNumId w:val="12"/>
  </w:num>
  <w:num w:numId="19">
    <w:abstractNumId w:val="2"/>
  </w:num>
  <w:num w:numId="20">
    <w:abstractNumId w:val="17"/>
  </w:num>
  <w:num w:numId="21">
    <w:abstractNumId w:val="10"/>
  </w:num>
  <w:num w:numId="22">
    <w:abstractNumId w:val="23"/>
  </w:num>
  <w:num w:numId="23">
    <w:abstractNumId w:val="26"/>
  </w:num>
  <w:num w:numId="24">
    <w:abstractNumId w:val="18"/>
  </w:num>
  <w:num w:numId="25">
    <w:abstractNumId w:val="25"/>
  </w:num>
  <w:num w:numId="26">
    <w:abstractNumId w:val="21"/>
  </w:num>
  <w:num w:numId="27">
    <w:abstractNumId w:val="9"/>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BF"/>
    <w:rsid w:val="00000CA3"/>
    <w:rsid w:val="00001C23"/>
    <w:rsid w:val="00002549"/>
    <w:rsid w:val="00002B7F"/>
    <w:rsid w:val="00002D1B"/>
    <w:rsid w:val="00003067"/>
    <w:rsid w:val="00003416"/>
    <w:rsid w:val="000036E1"/>
    <w:rsid w:val="00005558"/>
    <w:rsid w:val="000055D9"/>
    <w:rsid w:val="00005BD2"/>
    <w:rsid w:val="00005F1C"/>
    <w:rsid w:val="00005F32"/>
    <w:rsid w:val="0000613A"/>
    <w:rsid w:val="000065F7"/>
    <w:rsid w:val="00006D17"/>
    <w:rsid w:val="00007008"/>
    <w:rsid w:val="00007A09"/>
    <w:rsid w:val="00010070"/>
    <w:rsid w:val="00011691"/>
    <w:rsid w:val="00012A01"/>
    <w:rsid w:val="000130DD"/>
    <w:rsid w:val="000144DF"/>
    <w:rsid w:val="000145D8"/>
    <w:rsid w:val="00016090"/>
    <w:rsid w:val="00016503"/>
    <w:rsid w:val="00016F3D"/>
    <w:rsid w:val="00016FAB"/>
    <w:rsid w:val="0002012E"/>
    <w:rsid w:val="00020840"/>
    <w:rsid w:val="00020990"/>
    <w:rsid w:val="00022F63"/>
    <w:rsid w:val="000230DC"/>
    <w:rsid w:val="00025428"/>
    <w:rsid w:val="00025534"/>
    <w:rsid w:val="00025AA4"/>
    <w:rsid w:val="00025AE0"/>
    <w:rsid w:val="00025DBA"/>
    <w:rsid w:val="00030121"/>
    <w:rsid w:val="00032A66"/>
    <w:rsid w:val="00032CDA"/>
    <w:rsid w:val="00032E12"/>
    <w:rsid w:val="00032F33"/>
    <w:rsid w:val="00032FD3"/>
    <w:rsid w:val="0003407D"/>
    <w:rsid w:val="00034284"/>
    <w:rsid w:val="00036161"/>
    <w:rsid w:val="00037198"/>
    <w:rsid w:val="0003773F"/>
    <w:rsid w:val="00037863"/>
    <w:rsid w:val="0003786A"/>
    <w:rsid w:val="00041228"/>
    <w:rsid w:val="0004135A"/>
    <w:rsid w:val="000432AA"/>
    <w:rsid w:val="0004332F"/>
    <w:rsid w:val="000435B3"/>
    <w:rsid w:val="00043C2C"/>
    <w:rsid w:val="00044145"/>
    <w:rsid w:val="000443F8"/>
    <w:rsid w:val="000448C0"/>
    <w:rsid w:val="00044C3D"/>
    <w:rsid w:val="0004584E"/>
    <w:rsid w:val="000461EC"/>
    <w:rsid w:val="00046C7E"/>
    <w:rsid w:val="00046D86"/>
    <w:rsid w:val="00047DDC"/>
    <w:rsid w:val="00050F96"/>
    <w:rsid w:val="00051875"/>
    <w:rsid w:val="00052C1D"/>
    <w:rsid w:val="00052F9D"/>
    <w:rsid w:val="00054110"/>
    <w:rsid w:val="00054512"/>
    <w:rsid w:val="00055116"/>
    <w:rsid w:val="000557DA"/>
    <w:rsid w:val="000559E2"/>
    <w:rsid w:val="00055FC4"/>
    <w:rsid w:val="00056676"/>
    <w:rsid w:val="00056E7A"/>
    <w:rsid w:val="00057525"/>
    <w:rsid w:val="00057E29"/>
    <w:rsid w:val="00060529"/>
    <w:rsid w:val="00060B46"/>
    <w:rsid w:val="00062B79"/>
    <w:rsid w:val="00062D6C"/>
    <w:rsid w:val="00064014"/>
    <w:rsid w:val="000641BF"/>
    <w:rsid w:val="000646E2"/>
    <w:rsid w:val="00066141"/>
    <w:rsid w:val="000669AD"/>
    <w:rsid w:val="00066D30"/>
    <w:rsid w:val="0007026E"/>
    <w:rsid w:val="00070437"/>
    <w:rsid w:val="00070CFE"/>
    <w:rsid w:val="00071170"/>
    <w:rsid w:val="00072094"/>
    <w:rsid w:val="00073120"/>
    <w:rsid w:val="000743F8"/>
    <w:rsid w:val="0007465C"/>
    <w:rsid w:val="000746F6"/>
    <w:rsid w:val="00075271"/>
    <w:rsid w:val="00076548"/>
    <w:rsid w:val="00076D99"/>
    <w:rsid w:val="00077B36"/>
    <w:rsid w:val="00080251"/>
    <w:rsid w:val="00080721"/>
    <w:rsid w:val="000822C6"/>
    <w:rsid w:val="000826BF"/>
    <w:rsid w:val="00082773"/>
    <w:rsid w:val="00083732"/>
    <w:rsid w:val="00083F3D"/>
    <w:rsid w:val="00084823"/>
    <w:rsid w:val="000852DC"/>
    <w:rsid w:val="00085881"/>
    <w:rsid w:val="00085E71"/>
    <w:rsid w:val="0008652E"/>
    <w:rsid w:val="00086C97"/>
    <w:rsid w:val="00086CBA"/>
    <w:rsid w:val="00087591"/>
    <w:rsid w:val="000900E2"/>
    <w:rsid w:val="00090143"/>
    <w:rsid w:val="0009052A"/>
    <w:rsid w:val="00090742"/>
    <w:rsid w:val="000914DC"/>
    <w:rsid w:val="00092439"/>
    <w:rsid w:val="00092CDC"/>
    <w:rsid w:val="00093538"/>
    <w:rsid w:val="00095798"/>
    <w:rsid w:val="0009633C"/>
    <w:rsid w:val="000977D6"/>
    <w:rsid w:val="000A0339"/>
    <w:rsid w:val="000A05C5"/>
    <w:rsid w:val="000A05CF"/>
    <w:rsid w:val="000A144D"/>
    <w:rsid w:val="000A452B"/>
    <w:rsid w:val="000A467C"/>
    <w:rsid w:val="000A5171"/>
    <w:rsid w:val="000A5A9C"/>
    <w:rsid w:val="000A65F1"/>
    <w:rsid w:val="000A6C27"/>
    <w:rsid w:val="000A75AE"/>
    <w:rsid w:val="000B232E"/>
    <w:rsid w:val="000B250F"/>
    <w:rsid w:val="000B3E3D"/>
    <w:rsid w:val="000B40A1"/>
    <w:rsid w:val="000B45D3"/>
    <w:rsid w:val="000B4908"/>
    <w:rsid w:val="000B5E84"/>
    <w:rsid w:val="000B5FEF"/>
    <w:rsid w:val="000B6390"/>
    <w:rsid w:val="000B6B89"/>
    <w:rsid w:val="000C0227"/>
    <w:rsid w:val="000C033A"/>
    <w:rsid w:val="000C077B"/>
    <w:rsid w:val="000C139B"/>
    <w:rsid w:val="000C140A"/>
    <w:rsid w:val="000C2B12"/>
    <w:rsid w:val="000C2C04"/>
    <w:rsid w:val="000C2C61"/>
    <w:rsid w:val="000C300B"/>
    <w:rsid w:val="000C3953"/>
    <w:rsid w:val="000C423D"/>
    <w:rsid w:val="000C5DF6"/>
    <w:rsid w:val="000C705E"/>
    <w:rsid w:val="000C706D"/>
    <w:rsid w:val="000C746D"/>
    <w:rsid w:val="000C77A3"/>
    <w:rsid w:val="000D0410"/>
    <w:rsid w:val="000D0C64"/>
    <w:rsid w:val="000D10AF"/>
    <w:rsid w:val="000D17B0"/>
    <w:rsid w:val="000D2082"/>
    <w:rsid w:val="000D269A"/>
    <w:rsid w:val="000D26DE"/>
    <w:rsid w:val="000D32A0"/>
    <w:rsid w:val="000D4699"/>
    <w:rsid w:val="000D54A6"/>
    <w:rsid w:val="000D567E"/>
    <w:rsid w:val="000D6358"/>
    <w:rsid w:val="000D7098"/>
    <w:rsid w:val="000D7253"/>
    <w:rsid w:val="000D7440"/>
    <w:rsid w:val="000D7AE0"/>
    <w:rsid w:val="000E074A"/>
    <w:rsid w:val="000E0A10"/>
    <w:rsid w:val="000E1306"/>
    <w:rsid w:val="000E168E"/>
    <w:rsid w:val="000E241B"/>
    <w:rsid w:val="000E2C86"/>
    <w:rsid w:val="000E2E3D"/>
    <w:rsid w:val="000E3F85"/>
    <w:rsid w:val="000E4BE3"/>
    <w:rsid w:val="000E4F28"/>
    <w:rsid w:val="000E6359"/>
    <w:rsid w:val="000E6FE1"/>
    <w:rsid w:val="000E7071"/>
    <w:rsid w:val="000E777B"/>
    <w:rsid w:val="000E7C11"/>
    <w:rsid w:val="000E7DBD"/>
    <w:rsid w:val="000F0617"/>
    <w:rsid w:val="000F0C6E"/>
    <w:rsid w:val="000F0E6A"/>
    <w:rsid w:val="000F148C"/>
    <w:rsid w:val="000F16AA"/>
    <w:rsid w:val="000F1B02"/>
    <w:rsid w:val="000F255C"/>
    <w:rsid w:val="000F2A6F"/>
    <w:rsid w:val="000F3365"/>
    <w:rsid w:val="000F3909"/>
    <w:rsid w:val="000F3ADF"/>
    <w:rsid w:val="000F3E4A"/>
    <w:rsid w:val="000F4A30"/>
    <w:rsid w:val="000F4BE4"/>
    <w:rsid w:val="000F4F5F"/>
    <w:rsid w:val="000F5036"/>
    <w:rsid w:val="000F50CA"/>
    <w:rsid w:val="000F57E5"/>
    <w:rsid w:val="000F5CC6"/>
    <w:rsid w:val="000F79C5"/>
    <w:rsid w:val="000F79D1"/>
    <w:rsid w:val="000F7F8E"/>
    <w:rsid w:val="00100947"/>
    <w:rsid w:val="00101134"/>
    <w:rsid w:val="001019D6"/>
    <w:rsid w:val="00101BA8"/>
    <w:rsid w:val="00101CA3"/>
    <w:rsid w:val="001021EC"/>
    <w:rsid w:val="00102673"/>
    <w:rsid w:val="00102BA2"/>
    <w:rsid w:val="00103288"/>
    <w:rsid w:val="001032C0"/>
    <w:rsid w:val="001038C4"/>
    <w:rsid w:val="00103EF5"/>
    <w:rsid w:val="001040F9"/>
    <w:rsid w:val="001041A4"/>
    <w:rsid w:val="00104683"/>
    <w:rsid w:val="00106AB8"/>
    <w:rsid w:val="001077FA"/>
    <w:rsid w:val="001103E1"/>
    <w:rsid w:val="001106A2"/>
    <w:rsid w:val="00111327"/>
    <w:rsid w:val="001122B8"/>
    <w:rsid w:val="00113EE5"/>
    <w:rsid w:val="001144ED"/>
    <w:rsid w:val="00114C59"/>
    <w:rsid w:val="001160D7"/>
    <w:rsid w:val="00116BC1"/>
    <w:rsid w:val="00117636"/>
    <w:rsid w:val="00117E20"/>
    <w:rsid w:val="00117EAB"/>
    <w:rsid w:val="00121526"/>
    <w:rsid w:val="001217F5"/>
    <w:rsid w:val="00121AA8"/>
    <w:rsid w:val="00121CD7"/>
    <w:rsid w:val="00122B1A"/>
    <w:rsid w:val="00123D88"/>
    <w:rsid w:val="001243EC"/>
    <w:rsid w:val="0012486F"/>
    <w:rsid w:val="001261FC"/>
    <w:rsid w:val="001264AE"/>
    <w:rsid w:val="00126676"/>
    <w:rsid w:val="00127BAC"/>
    <w:rsid w:val="00127FD6"/>
    <w:rsid w:val="001303B4"/>
    <w:rsid w:val="001305F6"/>
    <w:rsid w:val="001315F8"/>
    <w:rsid w:val="001318BE"/>
    <w:rsid w:val="0013395D"/>
    <w:rsid w:val="00133E80"/>
    <w:rsid w:val="0013545F"/>
    <w:rsid w:val="0013585D"/>
    <w:rsid w:val="00135DEC"/>
    <w:rsid w:val="00136196"/>
    <w:rsid w:val="0013655E"/>
    <w:rsid w:val="00136662"/>
    <w:rsid w:val="00137554"/>
    <w:rsid w:val="00137802"/>
    <w:rsid w:val="00137EB5"/>
    <w:rsid w:val="00137EC8"/>
    <w:rsid w:val="00142C72"/>
    <w:rsid w:val="001439C4"/>
    <w:rsid w:val="00143FD8"/>
    <w:rsid w:val="00145134"/>
    <w:rsid w:val="00145571"/>
    <w:rsid w:val="0014567B"/>
    <w:rsid w:val="00145EFE"/>
    <w:rsid w:val="00146A25"/>
    <w:rsid w:val="00146E35"/>
    <w:rsid w:val="001503A1"/>
    <w:rsid w:val="00151597"/>
    <w:rsid w:val="001516E8"/>
    <w:rsid w:val="00153153"/>
    <w:rsid w:val="0015348B"/>
    <w:rsid w:val="00153944"/>
    <w:rsid w:val="00153980"/>
    <w:rsid w:val="00153A92"/>
    <w:rsid w:val="00153ED2"/>
    <w:rsid w:val="001545E6"/>
    <w:rsid w:val="00155888"/>
    <w:rsid w:val="00155C71"/>
    <w:rsid w:val="00157A1D"/>
    <w:rsid w:val="00157E64"/>
    <w:rsid w:val="00160563"/>
    <w:rsid w:val="00160575"/>
    <w:rsid w:val="0016141E"/>
    <w:rsid w:val="00162FA4"/>
    <w:rsid w:val="001635F3"/>
    <w:rsid w:val="00163F0E"/>
    <w:rsid w:val="00164580"/>
    <w:rsid w:val="0016495E"/>
    <w:rsid w:val="00165717"/>
    <w:rsid w:val="00165871"/>
    <w:rsid w:val="00165D30"/>
    <w:rsid w:val="00166035"/>
    <w:rsid w:val="00166621"/>
    <w:rsid w:val="0016669F"/>
    <w:rsid w:val="00166B52"/>
    <w:rsid w:val="00166BB2"/>
    <w:rsid w:val="001678F9"/>
    <w:rsid w:val="001701AD"/>
    <w:rsid w:val="001702CA"/>
    <w:rsid w:val="00170947"/>
    <w:rsid w:val="00171D28"/>
    <w:rsid w:val="00171E22"/>
    <w:rsid w:val="00174406"/>
    <w:rsid w:val="001748BB"/>
    <w:rsid w:val="00174F15"/>
    <w:rsid w:val="001756CA"/>
    <w:rsid w:val="0017582F"/>
    <w:rsid w:val="00175FE7"/>
    <w:rsid w:val="00177421"/>
    <w:rsid w:val="00180119"/>
    <w:rsid w:val="001819E9"/>
    <w:rsid w:val="00183727"/>
    <w:rsid w:val="001838FD"/>
    <w:rsid w:val="00183B0C"/>
    <w:rsid w:val="00183C5E"/>
    <w:rsid w:val="00184997"/>
    <w:rsid w:val="00185287"/>
    <w:rsid w:val="00185538"/>
    <w:rsid w:val="00185C92"/>
    <w:rsid w:val="001867CB"/>
    <w:rsid w:val="001868F9"/>
    <w:rsid w:val="00187704"/>
    <w:rsid w:val="001908EF"/>
    <w:rsid w:val="00190E96"/>
    <w:rsid w:val="00191B2F"/>
    <w:rsid w:val="00192165"/>
    <w:rsid w:val="001929E8"/>
    <w:rsid w:val="00192BEC"/>
    <w:rsid w:val="00192CA4"/>
    <w:rsid w:val="00192EF8"/>
    <w:rsid w:val="001934AA"/>
    <w:rsid w:val="001943AC"/>
    <w:rsid w:val="001943BB"/>
    <w:rsid w:val="00194AFE"/>
    <w:rsid w:val="00195A15"/>
    <w:rsid w:val="001A0578"/>
    <w:rsid w:val="001A0BA7"/>
    <w:rsid w:val="001A11C1"/>
    <w:rsid w:val="001A11DF"/>
    <w:rsid w:val="001A17DB"/>
    <w:rsid w:val="001A1E2E"/>
    <w:rsid w:val="001A29FA"/>
    <w:rsid w:val="001A3790"/>
    <w:rsid w:val="001A3D2C"/>
    <w:rsid w:val="001A5AF5"/>
    <w:rsid w:val="001A6156"/>
    <w:rsid w:val="001A674B"/>
    <w:rsid w:val="001A7822"/>
    <w:rsid w:val="001A7B39"/>
    <w:rsid w:val="001B03C9"/>
    <w:rsid w:val="001B099F"/>
    <w:rsid w:val="001B0B0A"/>
    <w:rsid w:val="001B1A45"/>
    <w:rsid w:val="001B41D9"/>
    <w:rsid w:val="001B447D"/>
    <w:rsid w:val="001B45CE"/>
    <w:rsid w:val="001B555D"/>
    <w:rsid w:val="001B5D04"/>
    <w:rsid w:val="001B620A"/>
    <w:rsid w:val="001B7118"/>
    <w:rsid w:val="001B767D"/>
    <w:rsid w:val="001C124C"/>
    <w:rsid w:val="001C202B"/>
    <w:rsid w:val="001C22E9"/>
    <w:rsid w:val="001C2615"/>
    <w:rsid w:val="001C277E"/>
    <w:rsid w:val="001C27DE"/>
    <w:rsid w:val="001C430B"/>
    <w:rsid w:val="001C4CB6"/>
    <w:rsid w:val="001C5C2C"/>
    <w:rsid w:val="001C60B8"/>
    <w:rsid w:val="001C6434"/>
    <w:rsid w:val="001C672D"/>
    <w:rsid w:val="001C6819"/>
    <w:rsid w:val="001C75AC"/>
    <w:rsid w:val="001D0028"/>
    <w:rsid w:val="001D040B"/>
    <w:rsid w:val="001D08E2"/>
    <w:rsid w:val="001D1175"/>
    <w:rsid w:val="001D1CB3"/>
    <w:rsid w:val="001D1E53"/>
    <w:rsid w:val="001D1ED2"/>
    <w:rsid w:val="001D20F2"/>
    <w:rsid w:val="001D26EA"/>
    <w:rsid w:val="001D38CD"/>
    <w:rsid w:val="001D3A7D"/>
    <w:rsid w:val="001D3C55"/>
    <w:rsid w:val="001D44C6"/>
    <w:rsid w:val="001D48D6"/>
    <w:rsid w:val="001D5608"/>
    <w:rsid w:val="001D5743"/>
    <w:rsid w:val="001D5B20"/>
    <w:rsid w:val="001D5F19"/>
    <w:rsid w:val="001D7215"/>
    <w:rsid w:val="001D76AC"/>
    <w:rsid w:val="001E1B63"/>
    <w:rsid w:val="001E1CE0"/>
    <w:rsid w:val="001E23EB"/>
    <w:rsid w:val="001E242E"/>
    <w:rsid w:val="001E2638"/>
    <w:rsid w:val="001E2B43"/>
    <w:rsid w:val="001E2E1E"/>
    <w:rsid w:val="001E604D"/>
    <w:rsid w:val="001E61E2"/>
    <w:rsid w:val="001E6219"/>
    <w:rsid w:val="001E70AE"/>
    <w:rsid w:val="001E75E6"/>
    <w:rsid w:val="001E7A2C"/>
    <w:rsid w:val="001F00B4"/>
    <w:rsid w:val="001F03EE"/>
    <w:rsid w:val="001F2F8B"/>
    <w:rsid w:val="001F3F38"/>
    <w:rsid w:val="001F41E5"/>
    <w:rsid w:val="001F563E"/>
    <w:rsid w:val="001F5FD3"/>
    <w:rsid w:val="001F68EB"/>
    <w:rsid w:val="00200F33"/>
    <w:rsid w:val="0020112A"/>
    <w:rsid w:val="00201533"/>
    <w:rsid w:val="00201BBD"/>
    <w:rsid w:val="00201FA5"/>
    <w:rsid w:val="002029A0"/>
    <w:rsid w:val="00202C52"/>
    <w:rsid w:val="00202D88"/>
    <w:rsid w:val="002032F8"/>
    <w:rsid w:val="002040C8"/>
    <w:rsid w:val="00205318"/>
    <w:rsid w:val="002056D8"/>
    <w:rsid w:val="00205B2A"/>
    <w:rsid w:val="00206883"/>
    <w:rsid w:val="00206B83"/>
    <w:rsid w:val="00206CEA"/>
    <w:rsid w:val="00206D5D"/>
    <w:rsid w:val="00206EDC"/>
    <w:rsid w:val="002070C8"/>
    <w:rsid w:val="002124CA"/>
    <w:rsid w:val="00212AAF"/>
    <w:rsid w:val="00212B78"/>
    <w:rsid w:val="00212BD3"/>
    <w:rsid w:val="00213183"/>
    <w:rsid w:val="002134FA"/>
    <w:rsid w:val="00213BB1"/>
    <w:rsid w:val="002150B4"/>
    <w:rsid w:val="0021535D"/>
    <w:rsid w:val="00215942"/>
    <w:rsid w:val="00215A18"/>
    <w:rsid w:val="002169B4"/>
    <w:rsid w:val="00216D3C"/>
    <w:rsid w:val="002171D3"/>
    <w:rsid w:val="0021731F"/>
    <w:rsid w:val="0021773A"/>
    <w:rsid w:val="002179C2"/>
    <w:rsid w:val="002203AE"/>
    <w:rsid w:val="00221395"/>
    <w:rsid w:val="00222B2F"/>
    <w:rsid w:val="00222C0C"/>
    <w:rsid w:val="002231B3"/>
    <w:rsid w:val="002235BF"/>
    <w:rsid w:val="0022444E"/>
    <w:rsid w:val="002245EB"/>
    <w:rsid w:val="00224EB8"/>
    <w:rsid w:val="002252EC"/>
    <w:rsid w:val="002266A9"/>
    <w:rsid w:val="00226D1C"/>
    <w:rsid w:val="00227D6B"/>
    <w:rsid w:val="00230506"/>
    <w:rsid w:val="00230ACB"/>
    <w:rsid w:val="00230E08"/>
    <w:rsid w:val="0023107E"/>
    <w:rsid w:val="00231C92"/>
    <w:rsid w:val="00232172"/>
    <w:rsid w:val="00232F75"/>
    <w:rsid w:val="002334E2"/>
    <w:rsid w:val="00233800"/>
    <w:rsid w:val="002349D4"/>
    <w:rsid w:val="0023542A"/>
    <w:rsid w:val="00236B2F"/>
    <w:rsid w:val="00236D16"/>
    <w:rsid w:val="00236DD1"/>
    <w:rsid w:val="00236EED"/>
    <w:rsid w:val="00240236"/>
    <w:rsid w:val="002416C7"/>
    <w:rsid w:val="002418B2"/>
    <w:rsid w:val="0024276D"/>
    <w:rsid w:val="00242C7C"/>
    <w:rsid w:val="00242E2A"/>
    <w:rsid w:val="0024300B"/>
    <w:rsid w:val="00243764"/>
    <w:rsid w:val="00244E3C"/>
    <w:rsid w:val="00245ADE"/>
    <w:rsid w:val="00246DFA"/>
    <w:rsid w:val="002475C6"/>
    <w:rsid w:val="002478D5"/>
    <w:rsid w:val="00247B8C"/>
    <w:rsid w:val="002504C3"/>
    <w:rsid w:val="00250639"/>
    <w:rsid w:val="0025076D"/>
    <w:rsid w:val="0025121B"/>
    <w:rsid w:val="0025379B"/>
    <w:rsid w:val="00253FA0"/>
    <w:rsid w:val="0025481A"/>
    <w:rsid w:val="00254D5B"/>
    <w:rsid w:val="00255612"/>
    <w:rsid w:val="00255683"/>
    <w:rsid w:val="0025585C"/>
    <w:rsid w:val="0025585D"/>
    <w:rsid w:val="00256A6E"/>
    <w:rsid w:val="00257144"/>
    <w:rsid w:val="00257AC8"/>
    <w:rsid w:val="00260A2E"/>
    <w:rsid w:val="00261791"/>
    <w:rsid w:val="002618FF"/>
    <w:rsid w:val="00261B6F"/>
    <w:rsid w:val="002621CE"/>
    <w:rsid w:val="00262575"/>
    <w:rsid w:val="002628D7"/>
    <w:rsid w:val="00262A14"/>
    <w:rsid w:val="00263120"/>
    <w:rsid w:val="00263CBD"/>
    <w:rsid w:val="00263F0A"/>
    <w:rsid w:val="00264BE7"/>
    <w:rsid w:val="00264ED1"/>
    <w:rsid w:val="00266053"/>
    <w:rsid w:val="00266E7E"/>
    <w:rsid w:val="00266F4B"/>
    <w:rsid w:val="002711BC"/>
    <w:rsid w:val="0027156A"/>
    <w:rsid w:val="00272654"/>
    <w:rsid w:val="00272903"/>
    <w:rsid w:val="00272FA4"/>
    <w:rsid w:val="00273207"/>
    <w:rsid w:val="002734EE"/>
    <w:rsid w:val="00273B1E"/>
    <w:rsid w:val="00274956"/>
    <w:rsid w:val="00276025"/>
    <w:rsid w:val="0027796A"/>
    <w:rsid w:val="00280232"/>
    <w:rsid w:val="00280268"/>
    <w:rsid w:val="0028060E"/>
    <w:rsid w:val="0028412C"/>
    <w:rsid w:val="0028686F"/>
    <w:rsid w:val="00286DC5"/>
    <w:rsid w:val="00286E0C"/>
    <w:rsid w:val="00287B55"/>
    <w:rsid w:val="00290157"/>
    <w:rsid w:val="002902BF"/>
    <w:rsid w:val="002903EB"/>
    <w:rsid w:val="0029096B"/>
    <w:rsid w:val="00290B08"/>
    <w:rsid w:val="00291205"/>
    <w:rsid w:val="0029127A"/>
    <w:rsid w:val="00291826"/>
    <w:rsid w:val="00291872"/>
    <w:rsid w:val="00291961"/>
    <w:rsid w:val="00291A2D"/>
    <w:rsid w:val="00291ADC"/>
    <w:rsid w:val="0029312B"/>
    <w:rsid w:val="0029366E"/>
    <w:rsid w:val="002946E0"/>
    <w:rsid w:val="00295827"/>
    <w:rsid w:val="002A01F0"/>
    <w:rsid w:val="002A0236"/>
    <w:rsid w:val="002A0F10"/>
    <w:rsid w:val="002A1DCA"/>
    <w:rsid w:val="002A1F21"/>
    <w:rsid w:val="002A2142"/>
    <w:rsid w:val="002A3914"/>
    <w:rsid w:val="002A3A9C"/>
    <w:rsid w:val="002A3CD2"/>
    <w:rsid w:val="002A43A1"/>
    <w:rsid w:val="002A4BA6"/>
    <w:rsid w:val="002A4F01"/>
    <w:rsid w:val="002A509F"/>
    <w:rsid w:val="002A52B6"/>
    <w:rsid w:val="002A5C82"/>
    <w:rsid w:val="002A72E4"/>
    <w:rsid w:val="002A73E7"/>
    <w:rsid w:val="002B0DF3"/>
    <w:rsid w:val="002B18B8"/>
    <w:rsid w:val="002B191D"/>
    <w:rsid w:val="002B1B0A"/>
    <w:rsid w:val="002B2C66"/>
    <w:rsid w:val="002B344C"/>
    <w:rsid w:val="002B3C63"/>
    <w:rsid w:val="002B3FE9"/>
    <w:rsid w:val="002B4346"/>
    <w:rsid w:val="002B4401"/>
    <w:rsid w:val="002B4BAC"/>
    <w:rsid w:val="002B6153"/>
    <w:rsid w:val="002B7642"/>
    <w:rsid w:val="002B76E6"/>
    <w:rsid w:val="002C04BB"/>
    <w:rsid w:val="002C0547"/>
    <w:rsid w:val="002C0741"/>
    <w:rsid w:val="002C359F"/>
    <w:rsid w:val="002C475B"/>
    <w:rsid w:val="002C5314"/>
    <w:rsid w:val="002C6822"/>
    <w:rsid w:val="002C72A7"/>
    <w:rsid w:val="002C7420"/>
    <w:rsid w:val="002D0341"/>
    <w:rsid w:val="002D0C3F"/>
    <w:rsid w:val="002D1733"/>
    <w:rsid w:val="002D20DB"/>
    <w:rsid w:val="002D28D5"/>
    <w:rsid w:val="002D2C05"/>
    <w:rsid w:val="002D2E34"/>
    <w:rsid w:val="002D2FFD"/>
    <w:rsid w:val="002D321E"/>
    <w:rsid w:val="002D49B8"/>
    <w:rsid w:val="002D49C8"/>
    <w:rsid w:val="002D5450"/>
    <w:rsid w:val="002D66B7"/>
    <w:rsid w:val="002D6E2F"/>
    <w:rsid w:val="002E04C6"/>
    <w:rsid w:val="002E135D"/>
    <w:rsid w:val="002E17B2"/>
    <w:rsid w:val="002E17F3"/>
    <w:rsid w:val="002E256A"/>
    <w:rsid w:val="002E3371"/>
    <w:rsid w:val="002E3659"/>
    <w:rsid w:val="002E3827"/>
    <w:rsid w:val="002E3869"/>
    <w:rsid w:val="002E41E9"/>
    <w:rsid w:val="002E748A"/>
    <w:rsid w:val="002E767B"/>
    <w:rsid w:val="002F07C5"/>
    <w:rsid w:val="002F1391"/>
    <w:rsid w:val="002F181D"/>
    <w:rsid w:val="002F2A9F"/>
    <w:rsid w:val="002F3D37"/>
    <w:rsid w:val="002F4088"/>
    <w:rsid w:val="002F508D"/>
    <w:rsid w:val="002F54A6"/>
    <w:rsid w:val="002F694B"/>
    <w:rsid w:val="002F6CC1"/>
    <w:rsid w:val="002F6EE9"/>
    <w:rsid w:val="002F6F21"/>
    <w:rsid w:val="002F7463"/>
    <w:rsid w:val="00301DB2"/>
    <w:rsid w:val="0030406A"/>
    <w:rsid w:val="00304180"/>
    <w:rsid w:val="00304F7D"/>
    <w:rsid w:val="003051F9"/>
    <w:rsid w:val="00305505"/>
    <w:rsid w:val="0030577A"/>
    <w:rsid w:val="00305DE9"/>
    <w:rsid w:val="00307251"/>
    <w:rsid w:val="003074C7"/>
    <w:rsid w:val="00307675"/>
    <w:rsid w:val="00307A02"/>
    <w:rsid w:val="003101F5"/>
    <w:rsid w:val="003108E6"/>
    <w:rsid w:val="003116B9"/>
    <w:rsid w:val="00312B61"/>
    <w:rsid w:val="00313370"/>
    <w:rsid w:val="0031347A"/>
    <w:rsid w:val="00313E44"/>
    <w:rsid w:val="00314455"/>
    <w:rsid w:val="00315D70"/>
    <w:rsid w:val="00315E3F"/>
    <w:rsid w:val="00316125"/>
    <w:rsid w:val="0031685B"/>
    <w:rsid w:val="00316FB6"/>
    <w:rsid w:val="003173BF"/>
    <w:rsid w:val="00320316"/>
    <w:rsid w:val="00320F4A"/>
    <w:rsid w:val="00322E57"/>
    <w:rsid w:val="00322E93"/>
    <w:rsid w:val="00323AB5"/>
    <w:rsid w:val="00324559"/>
    <w:rsid w:val="00325063"/>
    <w:rsid w:val="003264FD"/>
    <w:rsid w:val="00326C2F"/>
    <w:rsid w:val="003278DF"/>
    <w:rsid w:val="00330544"/>
    <w:rsid w:val="00330EE6"/>
    <w:rsid w:val="003312C0"/>
    <w:rsid w:val="00331DF1"/>
    <w:rsid w:val="00333E60"/>
    <w:rsid w:val="00333F8E"/>
    <w:rsid w:val="003344BA"/>
    <w:rsid w:val="00334CFD"/>
    <w:rsid w:val="00336067"/>
    <w:rsid w:val="00336E0E"/>
    <w:rsid w:val="003370AF"/>
    <w:rsid w:val="00337954"/>
    <w:rsid w:val="00340740"/>
    <w:rsid w:val="00340B95"/>
    <w:rsid w:val="003415F6"/>
    <w:rsid w:val="00341E3F"/>
    <w:rsid w:val="003427BB"/>
    <w:rsid w:val="00342C65"/>
    <w:rsid w:val="00344B03"/>
    <w:rsid w:val="00344D60"/>
    <w:rsid w:val="00345132"/>
    <w:rsid w:val="00345625"/>
    <w:rsid w:val="00345B0F"/>
    <w:rsid w:val="00346396"/>
    <w:rsid w:val="00347350"/>
    <w:rsid w:val="00350350"/>
    <w:rsid w:val="00350625"/>
    <w:rsid w:val="0035066F"/>
    <w:rsid w:val="003508E4"/>
    <w:rsid w:val="00350D1A"/>
    <w:rsid w:val="00351911"/>
    <w:rsid w:val="00351BDB"/>
    <w:rsid w:val="00351CA6"/>
    <w:rsid w:val="00351FB4"/>
    <w:rsid w:val="0035242D"/>
    <w:rsid w:val="00352908"/>
    <w:rsid w:val="00352DDF"/>
    <w:rsid w:val="003533B4"/>
    <w:rsid w:val="003540B9"/>
    <w:rsid w:val="00356276"/>
    <w:rsid w:val="003565C2"/>
    <w:rsid w:val="003578F5"/>
    <w:rsid w:val="00357AB3"/>
    <w:rsid w:val="00360534"/>
    <w:rsid w:val="003614DA"/>
    <w:rsid w:val="00361B7B"/>
    <w:rsid w:val="00362215"/>
    <w:rsid w:val="00362F15"/>
    <w:rsid w:val="0036406A"/>
    <w:rsid w:val="00364089"/>
    <w:rsid w:val="00364495"/>
    <w:rsid w:val="00364DDB"/>
    <w:rsid w:val="00364F37"/>
    <w:rsid w:val="00365B84"/>
    <w:rsid w:val="00365E4B"/>
    <w:rsid w:val="0036773B"/>
    <w:rsid w:val="0037036C"/>
    <w:rsid w:val="003708CA"/>
    <w:rsid w:val="00371405"/>
    <w:rsid w:val="003721FE"/>
    <w:rsid w:val="00372DED"/>
    <w:rsid w:val="00373067"/>
    <w:rsid w:val="00375147"/>
    <w:rsid w:val="00375DA4"/>
    <w:rsid w:val="0037614C"/>
    <w:rsid w:val="0037727E"/>
    <w:rsid w:val="0037775C"/>
    <w:rsid w:val="00381E22"/>
    <w:rsid w:val="00383FBE"/>
    <w:rsid w:val="00384775"/>
    <w:rsid w:val="0038493D"/>
    <w:rsid w:val="0038510F"/>
    <w:rsid w:val="003859B5"/>
    <w:rsid w:val="00385E6A"/>
    <w:rsid w:val="003867F8"/>
    <w:rsid w:val="00386808"/>
    <w:rsid w:val="00386891"/>
    <w:rsid w:val="0039222B"/>
    <w:rsid w:val="00392BFE"/>
    <w:rsid w:val="0039376E"/>
    <w:rsid w:val="003939C3"/>
    <w:rsid w:val="003950B4"/>
    <w:rsid w:val="00395885"/>
    <w:rsid w:val="00395B8A"/>
    <w:rsid w:val="00395FEF"/>
    <w:rsid w:val="003961F6"/>
    <w:rsid w:val="00397B4A"/>
    <w:rsid w:val="003A020A"/>
    <w:rsid w:val="003A3069"/>
    <w:rsid w:val="003A31D3"/>
    <w:rsid w:val="003A3A42"/>
    <w:rsid w:val="003A3F1B"/>
    <w:rsid w:val="003A40F6"/>
    <w:rsid w:val="003A4D0E"/>
    <w:rsid w:val="003A5224"/>
    <w:rsid w:val="003A5704"/>
    <w:rsid w:val="003A583B"/>
    <w:rsid w:val="003A5F48"/>
    <w:rsid w:val="003A6B9A"/>
    <w:rsid w:val="003A6C83"/>
    <w:rsid w:val="003A72C7"/>
    <w:rsid w:val="003A75CA"/>
    <w:rsid w:val="003B06C9"/>
    <w:rsid w:val="003B0E10"/>
    <w:rsid w:val="003B0FA3"/>
    <w:rsid w:val="003B12CD"/>
    <w:rsid w:val="003B15FF"/>
    <w:rsid w:val="003B1D4E"/>
    <w:rsid w:val="003B26A8"/>
    <w:rsid w:val="003B319E"/>
    <w:rsid w:val="003B4478"/>
    <w:rsid w:val="003B669E"/>
    <w:rsid w:val="003C0D3F"/>
    <w:rsid w:val="003C165B"/>
    <w:rsid w:val="003C19B4"/>
    <w:rsid w:val="003C1A7B"/>
    <w:rsid w:val="003C2788"/>
    <w:rsid w:val="003C2EC6"/>
    <w:rsid w:val="003C30A5"/>
    <w:rsid w:val="003C614A"/>
    <w:rsid w:val="003C7060"/>
    <w:rsid w:val="003D00FA"/>
    <w:rsid w:val="003D043F"/>
    <w:rsid w:val="003D04D8"/>
    <w:rsid w:val="003D081D"/>
    <w:rsid w:val="003D1FE4"/>
    <w:rsid w:val="003D245A"/>
    <w:rsid w:val="003D2AC2"/>
    <w:rsid w:val="003D2FC1"/>
    <w:rsid w:val="003D40A3"/>
    <w:rsid w:val="003D5096"/>
    <w:rsid w:val="003D5558"/>
    <w:rsid w:val="003D6EB5"/>
    <w:rsid w:val="003E0964"/>
    <w:rsid w:val="003E1168"/>
    <w:rsid w:val="003E14EC"/>
    <w:rsid w:val="003E164A"/>
    <w:rsid w:val="003E291E"/>
    <w:rsid w:val="003E2AD7"/>
    <w:rsid w:val="003E39B8"/>
    <w:rsid w:val="003E40B7"/>
    <w:rsid w:val="003E6084"/>
    <w:rsid w:val="003E60F3"/>
    <w:rsid w:val="003E658B"/>
    <w:rsid w:val="003E700C"/>
    <w:rsid w:val="003E70F3"/>
    <w:rsid w:val="003E71B0"/>
    <w:rsid w:val="003E77AB"/>
    <w:rsid w:val="003E7A1A"/>
    <w:rsid w:val="003E7EF9"/>
    <w:rsid w:val="003F0D33"/>
    <w:rsid w:val="003F12C3"/>
    <w:rsid w:val="003F17C8"/>
    <w:rsid w:val="003F17D0"/>
    <w:rsid w:val="003F1A22"/>
    <w:rsid w:val="003F1ABF"/>
    <w:rsid w:val="003F1E78"/>
    <w:rsid w:val="003F2188"/>
    <w:rsid w:val="003F2994"/>
    <w:rsid w:val="003F3E2C"/>
    <w:rsid w:val="003F4BE9"/>
    <w:rsid w:val="003F4CC7"/>
    <w:rsid w:val="003F5E72"/>
    <w:rsid w:val="003F6B4E"/>
    <w:rsid w:val="003F6B92"/>
    <w:rsid w:val="003F7EED"/>
    <w:rsid w:val="00400409"/>
    <w:rsid w:val="004008EC"/>
    <w:rsid w:val="00400EF0"/>
    <w:rsid w:val="0040127C"/>
    <w:rsid w:val="004012C9"/>
    <w:rsid w:val="004015F2"/>
    <w:rsid w:val="00401CEC"/>
    <w:rsid w:val="00402213"/>
    <w:rsid w:val="00402FDC"/>
    <w:rsid w:val="004045E5"/>
    <w:rsid w:val="0040607E"/>
    <w:rsid w:val="0040685C"/>
    <w:rsid w:val="004079C7"/>
    <w:rsid w:val="00407B3C"/>
    <w:rsid w:val="00407B5B"/>
    <w:rsid w:val="00410127"/>
    <w:rsid w:val="0041038F"/>
    <w:rsid w:val="0041146E"/>
    <w:rsid w:val="00411982"/>
    <w:rsid w:val="00411B29"/>
    <w:rsid w:val="00411D69"/>
    <w:rsid w:val="004142EB"/>
    <w:rsid w:val="004145FD"/>
    <w:rsid w:val="004148A8"/>
    <w:rsid w:val="00415E64"/>
    <w:rsid w:val="0041724F"/>
    <w:rsid w:val="004179D0"/>
    <w:rsid w:val="00417D3F"/>
    <w:rsid w:val="004211D7"/>
    <w:rsid w:val="00421581"/>
    <w:rsid w:val="00421ECF"/>
    <w:rsid w:val="00423944"/>
    <w:rsid w:val="00424286"/>
    <w:rsid w:val="004264B9"/>
    <w:rsid w:val="00426F84"/>
    <w:rsid w:val="004275AF"/>
    <w:rsid w:val="004279CF"/>
    <w:rsid w:val="00427AAE"/>
    <w:rsid w:val="00427E43"/>
    <w:rsid w:val="00431049"/>
    <w:rsid w:val="004313D4"/>
    <w:rsid w:val="004321CC"/>
    <w:rsid w:val="00432529"/>
    <w:rsid w:val="00432FB9"/>
    <w:rsid w:val="00433368"/>
    <w:rsid w:val="0043341E"/>
    <w:rsid w:val="00433C18"/>
    <w:rsid w:val="00434141"/>
    <w:rsid w:val="0043415C"/>
    <w:rsid w:val="00434308"/>
    <w:rsid w:val="00434377"/>
    <w:rsid w:val="00434946"/>
    <w:rsid w:val="00435DFC"/>
    <w:rsid w:val="00436F52"/>
    <w:rsid w:val="004379A9"/>
    <w:rsid w:val="0044173E"/>
    <w:rsid w:val="00441C7D"/>
    <w:rsid w:val="00443295"/>
    <w:rsid w:val="004438F1"/>
    <w:rsid w:val="004439FC"/>
    <w:rsid w:val="00443A0A"/>
    <w:rsid w:val="00443E0A"/>
    <w:rsid w:val="00444346"/>
    <w:rsid w:val="00444905"/>
    <w:rsid w:val="00444A54"/>
    <w:rsid w:val="0044536F"/>
    <w:rsid w:val="00445952"/>
    <w:rsid w:val="0044754C"/>
    <w:rsid w:val="004479B8"/>
    <w:rsid w:val="0045002C"/>
    <w:rsid w:val="0045082E"/>
    <w:rsid w:val="00451AA2"/>
    <w:rsid w:val="00451B28"/>
    <w:rsid w:val="00452C9D"/>
    <w:rsid w:val="004549EF"/>
    <w:rsid w:val="0045543F"/>
    <w:rsid w:val="0045577A"/>
    <w:rsid w:val="00456907"/>
    <w:rsid w:val="00456C27"/>
    <w:rsid w:val="0045747C"/>
    <w:rsid w:val="004606AE"/>
    <w:rsid w:val="00460927"/>
    <w:rsid w:val="00460F22"/>
    <w:rsid w:val="00461110"/>
    <w:rsid w:val="00461118"/>
    <w:rsid w:val="00461480"/>
    <w:rsid w:val="00461BFF"/>
    <w:rsid w:val="00462072"/>
    <w:rsid w:val="00463CD2"/>
    <w:rsid w:val="00464D5A"/>
    <w:rsid w:val="00465649"/>
    <w:rsid w:val="0046594A"/>
    <w:rsid w:val="00465F04"/>
    <w:rsid w:val="00465F6A"/>
    <w:rsid w:val="00465FFB"/>
    <w:rsid w:val="004662A3"/>
    <w:rsid w:val="0046634D"/>
    <w:rsid w:val="00466787"/>
    <w:rsid w:val="00466855"/>
    <w:rsid w:val="0046696A"/>
    <w:rsid w:val="00466D0A"/>
    <w:rsid w:val="00467896"/>
    <w:rsid w:val="0047024B"/>
    <w:rsid w:val="0047025E"/>
    <w:rsid w:val="00470312"/>
    <w:rsid w:val="00470455"/>
    <w:rsid w:val="0047098D"/>
    <w:rsid w:val="004711A5"/>
    <w:rsid w:val="00471B7B"/>
    <w:rsid w:val="00472301"/>
    <w:rsid w:val="004726E7"/>
    <w:rsid w:val="00472A72"/>
    <w:rsid w:val="00473A82"/>
    <w:rsid w:val="00474345"/>
    <w:rsid w:val="004746F7"/>
    <w:rsid w:val="004749E6"/>
    <w:rsid w:val="00475826"/>
    <w:rsid w:val="0047676D"/>
    <w:rsid w:val="00476C00"/>
    <w:rsid w:val="00477FE3"/>
    <w:rsid w:val="00480A2A"/>
    <w:rsid w:val="00481B71"/>
    <w:rsid w:val="00482016"/>
    <w:rsid w:val="004830E4"/>
    <w:rsid w:val="0048321F"/>
    <w:rsid w:val="004839BC"/>
    <w:rsid w:val="0048477A"/>
    <w:rsid w:val="004854FE"/>
    <w:rsid w:val="004856A3"/>
    <w:rsid w:val="004859CB"/>
    <w:rsid w:val="004861F6"/>
    <w:rsid w:val="00486E9B"/>
    <w:rsid w:val="00490068"/>
    <w:rsid w:val="004904C9"/>
    <w:rsid w:val="004909A1"/>
    <w:rsid w:val="00490C4F"/>
    <w:rsid w:val="0049110D"/>
    <w:rsid w:val="00491B00"/>
    <w:rsid w:val="00492D23"/>
    <w:rsid w:val="00492F67"/>
    <w:rsid w:val="0049370A"/>
    <w:rsid w:val="00494BD6"/>
    <w:rsid w:val="00495109"/>
    <w:rsid w:val="00495749"/>
    <w:rsid w:val="00495866"/>
    <w:rsid w:val="00495FB5"/>
    <w:rsid w:val="00496C02"/>
    <w:rsid w:val="00497175"/>
    <w:rsid w:val="0049717E"/>
    <w:rsid w:val="00497906"/>
    <w:rsid w:val="004A06FA"/>
    <w:rsid w:val="004A10E5"/>
    <w:rsid w:val="004A19B9"/>
    <w:rsid w:val="004A3022"/>
    <w:rsid w:val="004A31FD"/>
    <w:rsid w:val="004A33C7"/>
    <w:rsid w:val="004A3B5B"/>
    <w:rsid w:val="004A3DA9"/>
    <w:rsid w:val="004A3E20"/>
    <w:rsid w:val="004A476D"/>
    <w:rsid w:val="004A4E58"/>
    <w:rsid w:val="004A590E"/>
    <w:rsid w:val="004A60F1"/>
    <w:rsid w:val="004A799D"/>
    <w:rsid w:val="004B0114"/>
    <w:rsid w:val="004B0E3F"/>
    <w:rsid w:val="004B14FA"/>
    <w:rsid w:val="004B2040"/>
    <w:rsid w:val="004B2955"/>
    <w:rsid w:val="004B2B2E"/>
    <w:rsid w:val="004B4E4F"/>
    <w:rsid w:val="004B50D0"/>
    <w:rsid w:val="004B605F"/>
    <w:rsid w:val="004B67A9"/>
    <w:rsid w:val="004B7D1E"/>
    <w:rsid w:val="004C14B0"/>
    <w:rsid w:val="004C18B2"/>
    <w:rsid w:val="004C1C13"/>
    <w:rsid w:val="004C23A8"/>
    <w:rsid w:val="004C2465"/>
    <w:rsid w:val="004C35C8"/>
    <w:rsid w:val="004C4C36"/>
    <w:rsid w:val="004C51DF"/>
    <w:rsid w:val="004C5A17"/>
    <w:rsid w:val="004C5C59"/>
    <w:rsid w:val="004C6BE7"/>
    <w:rsid w:val="004C6F25"/>
    <w:rsid w:val="004C7108"/>
    <w:rsid w:val="004D05A8"/>
    <w:rsid w:val="004D05E1"/>
    <w:rsid w:val="004D12CD"/>
    <w:rsid w:val="004D1713"/>
    <w:rsid w:val="004D2544"/>
    <w:rsid w:val="004D3048"/>
    <w:rsid w:val="004D3EE7"/>
    <w:rsid w:val="004D4C07"/>
    <w:rsid w:val="004D4F6B"/>
    <w:rsid w:val="004D556B"/>
    <w:rsid w:val="004D66CA"/>
    <w:rsid w:val="004D6D21"/>
    <w:rsid w:val="004D7D6C"/>
    <w:rsid w:val="004D7F9B"/>
    <w:rsid w:val="004E0161"/>
    <w:rsid w:val="004E037F"/>
    <w:rsid w:val="004E07BD"/>
    <w:rsid w:val="004E0C71"/>
    <w:rsid w:val="004E0E64"/>
    <w:rsid w:val="004E0ECA"/>
    <w:rsid w:val="004E108F"/>
    <w:rsid w:val="004E1F38"/>
    <w:rsid w:val="004E21C9"/>
    <w:rsid w:val="004E21FA"/>
    <w:rsid w:val="004E2945"/>
    <w:rsid w:val="004E2E3D"/>
    <w:rsid w:val="004E406A"/>
    <w:rsid w:val="004E4F0A"/>
    <w:rsid w:val="004E5118"/>
    <w:rsid w:val="004E5C83"/>
    <w:rsid w:val="004E650C"/>
    <w:rsid w:val="004E71F3"/>
    <w:rsid w:val="004E7504"/>
    <w:rsid w:val="004E7B22"/>
    <w:rsid w:val="004E7E1F"/>
    <w:rsid w:val="004F0554"/>
    <w:rsid w:val="004F0A7B"/>
    <w:rsid w:val="004F1523"/>
    <w:rsid w:val="004F2209"/>
    <w:rsid w:val="004F2DE2"/>
    <w:rsid w:val="004F43B9"/>
    <w:rsid w:val="004F6700"/>
    <w:rsid w:val="004F6AEC"/>
    <w:rsid w:val="004F770D"/>
    <w:rsid w:val="004F7813"/>
    <w:rsid w:val="004F7B20"/>
    <w:rsid w:val="0050005B"/>
    <w:rsid w:val="00500859"/>
    <w:rsid w:val="00501246"/>
    <w:rsid w:val="00501AD8"/>
    <w:rsid w:val="0050360E"/>
    <w:rsid w:val="0050475E"/>
    <w:rsid w:val="00504832"/>
    <w:rsid w:val="00504979"/>
    <w:rsid w:val="00504AF0"/>
    <w:rsid w:val="00505289"/>
    <w:rsid w:val="00505CC2"/>
    <w:rsid w:val="005060A7"/>
    <w:rsid w:val="00507348"/>
    <w:rsid w:val="00511415"/>
    <w:rsid w:val="005117D3"/>
    <w:rsid w:val="0051233D"/>
    <w:rsid w:val="00512983"/>
    <w:rsid w:val="00512AE2"/>
    <w:rsid w:val="00513ADE"/>
    <w:rsid w:val="00513F63"/>
    <w:rsid w:val="00515792"/>
    <w:rsid w:val="00516208"/>
    <w:rsid w:val="00516771"/>
    <w:rsid w:val="00516A5B"/>
    <w:rsid w:val="005177CC"/>
    <w:rsid w:val="00520A0E"/>
    <w:rsid w:val="00520E84"/>
    <w:rsid w:val="005217A1"/>
    <w:rsid w:val="0052284A"/>
    <w:rsid w:val="00522FC6"/>
    <w:rsid w:val="00523852"/>
    <w:rsid w:val="00523BA5"/>
    <w:rsid w:val="005244A0"/>
    <w:rsid w:val="00524995"/>
    <w:rsid w:val="0052705D"/>
    <w:rsid w:val="00527322"/>
    <w:rsid w:val="00527F92"/>
    <w:rsid w:val="0053032A"/>
    <w:rsid w:val="00530504"/>
    <w:rsid w:val="00530722"/>
    <w:rsid w:val="0053197B"/>
    <w:rsid w:val="00531A4E"/>
    <w:rsid w:val="00532796"/>
    <w:rsid w:val="00532C3B"/>
    <w:rsid w:val="005335DB"/>
    <w:rsid w:val="005341D1"/>
    <w:rsid w:val="005348BE"/>
    <w:rsid w:val="0053551C"/>
    <w:rsid w:val="0053557D"/>
    <w:rsid w:val="00535670"/>
    <w:rsid w:val="00535F39"/>
    <w:rsid w:val="00536292"/>
    <w:rsid w:val="00536321"/>
    <w:rsid w:val="0053692C"/>
    <w:rsid w:val="00536CA7"/>
    <w:rsid w:val="00536D98"/>
    <w:rsid w:val="00540E34"/>
    <w:rsid w:val="00542755"/>
    <w:rsid w:val="005427F3"/>
    <w:rsid w:val="005452B9"/>
    <w:rsid w:val="00545992"/>
    <w:rsid w:val="00545A4F"/>
    <w:rsid w:val="00546BA2"/>
    <w:rsid w:val="00546DBF"/>
    <w:rsid w:val="00547591"/>
    <w:rsid w:val="00550E4D"/>
    <w:rsid w:val="005518DF"/>
    <w:rsid w:val="00551A9D"/>
    <w:rsid w:val="00551F0E"/>
    <w:rsid w:val="005522F6"/>
    <w:rsid w:val="00552D02"/>
    <w:rsid w:val="00554A78"/>
    <w:rsid w:val="00554B2B"/>
    <w:rsid w:val="00555F3E"/>
    <w:rsid w:val="00560938"/>
    <w:rsid w:val="00563A45"/>
    <w:rsid w:val="00563C01"/>
    <w:rsid w:val="005642D5"/>
    <w:rsid w:val="00564B76"/>
    <w:rsid w:val="00565BE2"/>
    <w:rsid w:val="00565E76"/>
    <w:rsid w:val="0056620D"/>
    <w:rsid w:val="005662A1"/>
    <w:rsid w:val="00566754"/>
    <w:rsid w:val="00567F43"/>
    <w:rsid w:val="005701B9"/>
    <w:rsid w:val="0057032F"/>
    <w:rsid w:val="00570409"/>
    <w:rsid w:val="00572450"/>
    <w:rsid w:val="00572BB3"/>
    <w:rsid w:val="00573498"/>
    <w:rsid w:val="00573E38"/>
    <w:rsid w:val="005741A5"/>
    <w:rsid w:val="00575689"/>
    <w:rsid w:val="0057579D"/>
    <w:rsid w:val="00577335"/>
    <w:rsid w:val="00577749"/>
    <w:rsid w:val="005778A0"/>
    <w:rsid w:val="00580977"/>
    <w:rsid w:val="005817CD"/>
    <w:rsid w:val="00581E1E"/>
    <w:rsid w:val="00581EA9"/>
    <w:rsid w:val="005833E3"/>
    <w:rsid w:val="00583C89"/>
    <w:rsid w:val="00584035"/>
    <w:rsid w:val="0058495E"/>
    <w:rsid w:val="00585372"/>
    <w:rsid w:val="00585B42"/>
    <w:rsid w:val="005866AF"/>
    <w:rsid w:val="00586FE5"/>
    <w:rsid w:val="0058787A"/>
    <w:rsid w:val="00587921"/>
    <w:rsid w:val="005907BE"/>
    <w:rsid w:val="005916E7"/>
    <w:rsid w:val="00591FE6"/>
    <w:rsid w:val="0059248A"/>
    <w:rsid w:val="0059285C"/>
    <w:rsid w:val="005938AA"/>
    <w:rsid w:val="00595353"/>
    <w:rsid w:val="0059578D"/>
    <w:rsid w:val="005957BE"/>
    <w:rsid w:val="005961F1"/>
    <w:rsid w:val="00597C40"/>
    <w:rsid w:val="00597CBA"/>
    <w:rsid w:val="00597D11"/>
    <w:rsid w:val="00597EB1"/>
    <w:rsid w:val="005A0D46"/>
    <w:rsid w:val="005A1DF2"/>
    <w:rsid w:val="005A2ED7"/>
    <w:rsid w:val="005A3912"/>
    <w:rsid w:val="005A4053"/>
    <w:rsid w:val="005A6198"/>
    <w:rsid w:val="005A70CB"/>
    <w:rsid w:val="005B0561"/>
    <w:rsid w:val="005B1092"/>
    <w:rsid w:val="005B28D9"/>
    <w:rsid w:val="005B28E9"/>
    <w:rsid w:val="005B2B66"/>
    <w:rsid w:val="005B31F1"/>
    <w:rsid w:val="005B6D12"/>
    <w:rsid w:val="005C07F8"/>
    <w:rsid w:val="005C34F3"/>
    <w:rsid w:val="005C3D74"/>
    <w:rsid w:val="005C4287"/>
    <w:rsid w:val="005C44DF"/>
    <w:rsid w:val="005C5415"/>
    <w:rsid w:val="005C560C"/>
    <w:rsid w:val="005C5C63"/>
    <w:rsid w:val="005C62C3"/>
    <w:rsid w:val="005C6BB6"/>
    <w:rsid w:val="005C6C57"/>
    <w:rsid w:val="005C726C"/>
    <w:rsid w:val="005C7C83"/>
    <w:rsid w:val="005D04D6"/>
    <w:rsid w:val="005D10EE"/>
    <w:rsid w:val="005D10F2"/>
    <w:rsid w:val="005D1D68"/>
    <w:rsid w:val="005D209E"/>
    <w:rsid w:val="005D20AF"/>
    <w:rsid w:val="005D3941"/>
    <w:rsid w:val="005D4505"/>
    <w:rsid w:val="005D48FB"/>
    <w:rsid w:val="005D52F4"/>
    <w:rsid w:val="005D565E"/>
    <w:rsid w:val="005D5F99"/>
    <w:rsid w:val="005D646C"/>
    <w:rsid w:val="005D6CDD"/>
    <w:rsid w:val="005E01D1"/>
    <w:rsid w:val="005E03CB"/>
    <w:rsid w:val="005E08B1"/>
    <w:rsid w:val="005E096C"/>
    <w:rsid w:val="005E137D"/>
    <w:rsid w:val="005E2FEF"/>
    <w:rsid w:val="005E3097"/>
    <w:rsid w:val="005E3156"/>
    <w:rsid w:val="005E39C9"/>
    <w:rsid w:val="005E3B27"/>
    <w:rsid w:val="005E41DA"/>
    <w:rsid w:val="005E4FA7"/>
    <w:rsid w:val="005E5158"/>
    <w:rsid w:val="005E5D51"/>
    <w:rsid w:val="005E6DD1"/>
    <w:rsid w:val="005E78D9"/>
    <w:rsid w:val="005F04F5"/>
    <w:rsid w:val="005F1FEE"/>
    <w:rsid w:val="005F2E22"/>
    <w:rsid w:val="005F3B5C"/>
    <w:rsid w:val="005F558E"/>
    <w:rsid w:val="005F612E"/>
    <w:rsid w:val="005F62B2"/>
    <w:rsid w:val="005F6D05"/>
    <w:rsid w:val="005F7748"/>
    <w:rsid w:val="005F79DF"/>
    <w:rsid w:val="005F7A26"/>
    <w:rsid w:val="00600DAE"/>
    <w:rsid w:val="006011FC"/>
    <w:rsid w:val="00601DD4"/>
    <w:rsid w:val="00602910"/>
    <w:rsid w:val="00602FF0"/>
    <w:rsid w:val="0060313D"/>
    <w:rsid w:val="00603920"/>
    <w:rsid w:val="006041A0"/>
    <w:rsid w:val="00604264"/>
    <w:rsid w:val="00604429"/>
    <w:rsid w:val="006048A6"/>
    <w:rsid w:val="00604D73"/>
    <w:rsid w:val="00605E3C"/>
    <w:rsid w:val="006061B5"/>
    <w:rsid w:val="006064F9"/>
    <w:rsid w:val="00606589"/>
    <w:rsid w:val="006069AF"/>
    <w:rsid w:val="00606C63"/>
    <w:rsid w:val="0060720C"/>
    <w:rsid w:val="0060794D"/>
    <w:rsid w:val="00607C44"/>
    <w:rsid w:val="00610169"/>
    <w:rsid w:val="0061088A"/>
    <w:rsid w:val="00611551"/>
    <w:rsid w:val="006125B3"/>
    <w:rsid w:val="00615280"/>
    <w:rsid w:val="0061553A"/>
    <w:rsid w:val="00615AA2"/>
    <w:rsid w:val="00616996"/>
    <w:rsid w:val="00620601"/>
    <w:rsid w:val="006206E5"/>
    <w:rsid w:val="00620B33"/>
    <w:rsid w:val="006217E3"/>
    <w:rsid w:val="0062186C"/>
    <w:rsid w:val="006224FD"/>
    <w:rsid w:val="0062270F"/>
    <w:rsid w:val="00622807"/>
    <w:rsid w:val="00622B49"/>
    <w:rsid w:val="00622F45"/>
    <w:rsid w:val="00623134"/>
    <w:rsid w:val="006243DD"/>
    <w:rsid w:val="00625561"/>
    <w:rsid w:val="006256F7"/>
    <w:rsid w:val="00625B1D"/>
    <w:rsid w:val="00627018"/>
    <w:rsid w:val="0063082D"/>
    <w:rsid w:val="00631188"/>
    <w:rsid w:val="006314C4"/>
    <w:rsid w:val="00631581"/>
    <w:rsid w:val="00633BBF"/>
    <w:rsid w:val="0063467D"/>
    <w:rsid w:val="00636CB3"/>
    <w:rsid w:val="00637BED"/>
    <w:rsid w:val="006400E4"/>
    <w:rsid w:val="0064010A"/>
    <w:rsid w:val="006410DA"/>
    <w:rsid w:val="006412D2"/>
    <w:rsid w:val="006414F7"/>
    <w:rsid w:val="006420D4"/>
    <w:rsid w:val="0064273D"/>
    <w:rsid w:val="00642B49"/>
    <w:rsid w:val="00642EA7"/>
    <w:rsid w:val="006432E8"/>
    <w:rsid w:val="0064347D"/>
    <w:rsid w:val="00643DE5"/>
    <w:rsid w:val="00644D3B"/>
    <w:rsid w:val="006450B9"/>
    <w:rsid w:val="006455FC"/>
    <w:rsid w:val="006456E6"/>
    <w:rsid w:val="006458BD"/>
    <w:rsid w:val="00646FB8"/>
    <w:rsid w:val="006472FF"/>
    <w:rsid w:val="006517DB"/>
    <w:rsid w:val="0065182C"/>
    <w:rsid w:val="006526F2"/>
    <w:rsid w:val="006529A7"/>
    <w:rsid w:val="00652C7B"/>
    <w:rsid w:val="006545F9"/>
    <w:rsid w:val="00655329"/>
    <w:rsid w:val="0065583B"/>
    <w:rsid w:val="006558F5"/>
    <w:rsid w:val="00655B06"/>
    <w:rsid w:val="00656F2B"/>
    <w:rsid w:val="00657FC6"/>
    <w:rsid w:val="0066054D"/>
    <w:rsid w:val="006619F6"/>
    <w:rsid w:val="00662284"/>
    <w:rsid w:val="00662819"/>
    <w:rsid w:val="006637A8"/>
    <w:rsid w:val="00663D31"/>
    <w:rsid w:val="00664574"/>
    <w:rsid w:val="00664947"/>
    <w:rsid w:val="00664B98"/>
    <w:rsid w:val="0066506E"/>
    <w:rsid w:val="0066570A"/>
    <w:rsid w:val="00665E81"/>
    <w:rsid w:val="00666ABB"/>
    <w:rsid w:val="00666EDD"/>
    <w:rsid w:val="00667FAC"/>
    <w:rsid w:val="006717B6"/>
    <w:rsid w:val="00671ADF"/>
    <w:rsid w:val="00672A21"/>
    <w:rsid w:val="00672F8E"/>
    <w:rsid w:val="00673785"/>
    <w:rsid w:val="006749AB"/>
    <w:rsid w:val="0067523A"/>
    <w:rsid w:val="00675726"/>
    <w:rsid w:val="006764EB"/>
    <w:rsid w:val="006768FC"/>
    <w:rsid w:val="0067774A"/>
    <w:rsid w:val="0068147E"/>
    <w:rsid w:val="00681D83"/>
    <w:rsid w:val="0068275C"/>
    <w:rsid w:val="00683BD0"/>
    <w:rsid w:val="00684079"/>
    <w:rsid w:val="00684A4A"/>
    <w:rsid w:val="00685490"/>
    <w:rsid w:val="006855A6"/>
    <w:rsid w:val="00686507"/>
    <w:rsid w:val="00686B5B"/>
    <w:rsid w:val="006875AF"/>
    <w:rsid w:val="00687DD5"/>
    <w:rsid w:val="00690739"/>
    <w:rsid w:val="0069104E"/>
    <w:rsid w:val="006911C1"/>
    <w:rsid w:val="006913D0"/>
    <w:rsid w:val="00691600"/>
    <w:rsid w:val="0069210D"/>
    <w:rsid w:val="00693017"/>
    <w:rsid w:val="006938E3"/>
    <w:rsid w:val="0069461A"/>
    <w:rsid w:val="00694AFC"/>
    <w:rsid w:val="00695B6A"/>
    <w:rsid w:val="00695BC6"/>
    <w:rsid w:val="00697C03"/>
    <w:rsid w:val="006A0379"/>
    <w:rsid w:val="006A0555"/>
    <w:rsid w:val="006A180E"/>
    <w:rsid w:val="006A1A8A"/>
    <w:rsid w:val="006A1DE3"/>
    <w:rsid w:val="006A1E6B"/>
    <w:rsid w:val="006A22FC"/>
    <w:rsid w:val="006A2B05"/>
    <w:rsid w:val="006A30B5"/>
    <w:rsid w:val="006A3A80"/>
    <w:rsid w:val="006A3D0D"/>
    <w:rsid w:val="006A3EC7"/>
    <w:rsid w:val="006A3FAD"/>
    <w:rsid w:val="006A40ED"/>
    <w:rsid w:val="006A4E19"/>
    <w:rsid w:val="006A4F6E"/>
    <w:rsid w:val="006A6CEB"/>
    <w:rsid w:val="006A6F6A"/>
    <w:rsid w:val="006A7EA3"/>
    <w:rsid w:val="006B0343"/>
    <w:rsid w:val="006B0AD2"/>
    <w:rsid w:val="006B0FA2"/>
    <w:rsid w:val="006B13C1"/>
    <w:rsid w:val="006B1801"/>
    <w:rsid w:val="006B2F0B"/>
    <w:rsid w:val="006B4433"/>
    <w:rsid w:val="006B45C3"/>
    <w:rsid w:val="006B4FC0"/>
    <w:rsid w:val="006B5554"/>
    <w:rsid w:val="006B60F8"/>
    <w:rsid w:val="006B6574"/>
    <w:rsid w:val="006B68A1"/>
    <w:rsid w:val="006B6E93"/>
    <w:rsid w:val="006C05BC"/>
    <w:rsid w:val="006C10D4"/>
    <w:rsid w:val="006C188B"/>
    <w:rsid w:val="006C27CE"/>
    <w:rsid w:val="006C2AB2"/>
    <w:rsid w:val="006C3841"/>
    <w:rsid w:val="006C397B"/>
    <w:rsid w:val="006C5042"/>
    <w:rsid w:val="006C5A96"/>
    <w:rsid w:val="006C5EA4"/>
    <w:rsid w:val="006C6A42"/>
    <w:rsid w:val="006C72C9"/>
    <w:rsid w:val="006D05FF"/>
    <w:rsid w:val="006D122D"/>
    <w:rsid w:val="006D15CF"/>
    <w:rsid w:val="006D3476"/>
    <w:rsid w:val="006D7B98"/>
    <w:rsid w:val="006E038C"/>
    <w:rsid w:val="006E145C"/>
    <w:rsid w:val="006E186E"/>
    <w:rsid w:val="006E1F1E"/>
    <w:rsid w:val="006E305F"/>
    <w:rsid w:val="006E3A0F"/>
    <w:rsid w:val="006E3D10"/>
    <w:rsid w:val="006E3FE6"/>
    <w:rsid w:val="006E5124"/>
    <w:rsid w:val="006E5B10"/>
    <w:rsid w:val="006E5E78"/>
    <w:rsid w:val="006E619C"/>
    <w:rsid w:val="006F0637"/>
    <w:rsid w:val="006F111F"/>
    <w:rsid w:val="006F11DA"/>
    <w:rsid w:val="006F158A"/>
    <w:rsid w:val="006F2E54"/>
    <w:rsid w:val="006F3076"/>
    <w:rsid w:val="006F3CCF"/>
    <w:rsid w:val="006F43C7"/>
    <w:rsid w:val="006F50EF"/>
    <w:rsid w:val="006F5C6B"/>
    <w:rsid w:val="006F6380"/>
    <w:rsid w:val="006F6836"/>
    <w:rsid w:val="0070043C"/>
    <w:rsid w:val="00701840"/>
    <w:rsid w:val="00701962"/>
    <w:rsid w:val="00701CCD"/>
    <w:rsid w:val="00702057"/>
    <w:rsid w:val="00702F0F"/>
    <w:rsid w:val="007035F8"/>
    <w:rsid w:val="00703DE5"/>
    <w:rsid w:val="00704DBF"/>
    <w:rsid w:val="007057F9"/>
    <w:rsid w:val="007059EA"/>
    <w:rsid w:val="007063F5"/>
    <w:rsid w:val="00706638"/>
    <w:rsid w:val="007078AE"/>
    <w:rsid w:val="00710D61"/>
    <w:rsid w:val="0071196B"/>
    <w:rsid w:val="007120A1"/>
    <w:rsid w:val="00712E98"/>
    <w:rsid w:val="00712F00"/>
    <w:rsid w:val="00713D38"/>
    <w:rsid w:val="007141A3"/>
    <w:rsid w:val="00714C25"/>
    <w:rsid w:val="0071520B"/>
    <w:rsid w:val="007153E9"/>
    <w:rsid w:val="007153FC"/>
    <w:rsid w:val="00715528"/>
    <w:rsid w:val="00715614"/>
    <w:rsid w:val="0071648F"/>
    <w:rsid w:val="0072020C"/>
    <w:rsid w:val="00720A55"/>
    <w:rsid w:val="00720AC8"/>
    <w:rsid w:val="007213BC"/>
    <w:rsid w:val="00721F21"/>
    <w:rsid w:val="00723710"/>
    <w:rsid w:val="007247CA"/>
    <w:rsid w:val="00724975"/>
    <w:rsid w:val="00724E27"/>
    <w:rsid w:val="00725F60"/>
    <w:rsid w:val="0072661C"/>
    <w:rsid w:val="0072683C"/>
    <w:rsid w:val="007279F9"/>
    <w:rsid w:val="00727A2A"/>
    <w:rsid w:val="00730170"/>
    <w:rsid w:val="007315EA"/>
    <w:rsid w:val="007323D5"/>
    <w:rsid w:val="007325A9"/>
    <w:rsid w:val="0073274D"/>
    <w:rsid w:val="007344C8"/>
    <w:rsid w:val="00734600"/>
    <w:rsid w:val="0073473D"/>
    <w:rsid w:val="00734B64"/>
    <w:rsid w:val="00734CC8"/>
    <w:rsid w:val="007350EF"/>
    <w:rsid w:val="007351A5"/>
    <w:rsid w:val="0073536F"/>
    <w:rsid w:val="00735BC0"/>
    <w:rsid w:val="00735DFF"/>
    <w:rsid w:val="00736271"/>
    <w:rsid w:val="00736B13"/>
    <w:rsid w:val="00737195"/>
    <w:rsid w:val="00737A77"/>
    <w:rsid w:val="007408C7"/>
    <w:rsid w:val="00740E32"/>
    <w:rsid w:val="0074178C"/>
    <w:rsid w:val="007423B6"/>
    <w:rsid w:val="007427DB"/>
    <w:rsid w:val="0074314B"/>
    <w:rsid w:val="00743895"/>
    <w:rsid w:val="007438AD"/>
    <w:rsid w:val="00743E8C"/>
    <w:rsid w:val="00744681"/>
    <w:rsid w:val="00744934"/>
    <w:rsid w:val="00744C7C"/>
    <w:rsid w:val="00744D89"/>
    <w:rsid w:val="00745626"/>
    <w:rsid w:val="00745A8D"/>
    <w:rsid w:val="00745D06"/>
    <w:rsid w:val="00746B5C"/>
    <w:rsid w:val="00747182"/>
    <w:rsid w:val="00747B94"/>
    <w:rsid w:val="007505F9"/>
    <w:rsid w:val="00750A0B"/>
    <w:rsid w:val="00750D42"/>
    <w:rsid w:val="00752696"/>
    <w:rsid w:val="00752708"/>
    <w:rsid w:val="0075399D"/>
    <w:rsid w:val="00753CC3"/>
    <w:rsid w:val="007544CB"/>
    <w:rsid w:val="00754E6B"/>
    <w:rsid w:val="0075634E"/>
    <w:rsid w:val="0075672C"/>
    <w:rsid w:val="00760094"/>
    <w:rsid w:val="0076068D"/>
    <w:rsid w:val="0076072C"/>
    <w:rsid w:val="00761843"/>
    <w:rsid w:val="00761A31"/>
    <w:rsid w:val="00761A50"/>
    <w:rsid w:val="00763956"/>
    <w:rsid w:val="007653DC"/>
    <w:rsid w:val="00765825"/>
    <w:rsid w:val="00765C2A"/>
    <w:rsid w:val="007662AC"/>
    <w:rsid w:val="00766517"/>
    <w:rsid w:val="00766BBF"/>
    <w:rsid w:val="00766BF5"/>
    <w:rsid w:val="007673C6"/>
    <w:rsid w:val="00767C7E"/>
    <w:rsid w:val="00770527"/>
    <w:rsid w:val="00771218"/>
    <w:rsid w:val="0077164F"/>
    <w:rsid w:val="00771E5E"/>
    <w:rsid w:val="00771F61"/>
    <w:rsid w:val="007721B7"/>
    <w:rsid w:val="00772269"/>
    <w:rsid w:val="00772329"/>
    <w:rsid w:val="00773012"/>
    <w:rsid w:val="00773222"/>
    <w:rsid w:val="0077355E"/>
    <w:rsid w:val="00774543"/>
    <w:rsid w:val="0077486D"/>
    <w:rsid w:val="00774F69"/>
    <w:rsid w:val="007751F3"/>
    <w:rsid w:val="00776E93"/>
    <w:rsid w:val="007776C5"/>
    <w:rsid w:val="0078010D"/>
    <w:rsid w:val="00780280"/>
    <w:rsid w:val="007802E5"/>
    <w:rsid w:val="00780A2F"/>
    <w:rsid w:val="00780AAF"/>
    <w:rsid w:val="00780F07"/>
    <w:rsid w:val="00780F6C"/>
    <w:rsid w:val="00781101"/>
    <w:rsid w:val="00781598"/>
    <w:rsid w:val="00781844"/>
    <w:rsid w:val="00781D26"/>
    <w:rsid w:val="0078211F"/>
    <w:rsid w:val="0078269F"/>
    <w:rsid w:val="00783076"/>
    <w:rsid w:val="007834A0"/>
    <w:rsid w:val="00783C11"/>
    <w:rsid w:val="00784A1C"/>
    <w:rsid w:val="00784CCE"/>
    <w:rsid w:val="00784F55"/>
    <w:rsid w:val="00785526"/>
    <w:rsid w:val="00785AE5"/>
    <w:rsid w:val="00785DAC"/>
    <w:rsid w:val="00785DF4"/>
    <w:rsid w:val="0078746F"/>
    <w:rsid w:val="0078750B"/>
    <w:rsid w:val="00787796"/>
    <w:rsid w:val="007911A4"/>
    <w:rsid w:val="00791BC0"/>
    <w:rsid w:val="00791DF2"/>
    <w:rsid w:val="007920D8"/>
    <w:rsid w:val="00792149"/>
    <w:rsid w:val="0079219A"/>
    <w:rsid w:val="007922FA"/>
    <w:rsid w:val="00792C55"/>
    <w:rsid w:val="007935EC"/>
    <w:rsid w:val="007946E1"/>
    <w:rsid w:val="00794711"/>
    <w:rsid w:val="0079497F"/>
    <w:rsid w:val="00794C9D"/>
    <w:rsid w:val="0079585B"/>
    <w:rsid w:val="00795A4A"/>
    <w:rsid w:val="00795E42"/>
    <w:rsid w:val="00795E7D"/>
    <w:rsid w:val="007965E0"/>
    <w:rsid w:val="0079700D"/>
    <w:rsid w:val="00797D93"/>
    <w:rsid w:val="007A0995"/>
    <w:rsid w:val="007A0A19"/>
    <w:rsid w:val="007A0D94"/>
    <w:rsid w:val="007A14C2"/>
    <w:rsid w:val="007A198A"/>
    <w:rsid w:val="007A2C1B"/>
    <w:rsid w:val="007A357D"/>
    <w:rsid w:val="007A3C0F"/>
    <w:rsid w:val="007A4AD0"/>
    <w:rsid w:val="007A4AD3"/>
    <w:rsid w:val="007A628D"/>
    <w:rsid w:val="007A6306"/>
    <w:rsid w:val="007A6DA0"/>
    <w:rsid w:val="007B0914"/>
    <w:rsid w:val="007B0E9A"/>
    <w:rsid w:val="007B0F38"/>
    <w:rsid w:val="007B1704"/>
    <w:rsid w:val="007B1993"/>
    <w:rsid w:val="007B22E5"/>
    <w:rsid w:val="007B342C"/>
    <w:rsid w:val="007B3CEC"/>
    <w:rsid w:val="007B6C30"/>
    <w:rsid w:val="007B700A"/>
    <w:rsid w:val="007C024F"/>
    <w:rsid w:val="007C1400"/>
    <w:rsid w:val="007C1D13"/>
    <w:rsid w:val="007C3009"/>
    <w:rsid w:val="007C3D69"/>
    <w:rsid w:val="007C488B"/>
    <w:rsid w:val="007D016B"/>
    <w:rsid w:val="007D05E6"/>
    <w:rsid w:val="007D1432"/>
    <w:rsid w:val="007D2A19"/>
    <w:rsid w:val="007D3D9E"/>
    <w:rsid w:val="007D5A6F"/>
    <w:rsid w:val="007D6CEF"/>
    <w:rsid w:val="007D6CFA"/>
    <w:rsid w:val="007D701C"/>
    <w:rsid w:val="007D7C61"/>
    <w:rsid w:val="007E036F"/>
    <w:rsid w:val="007E118F"/>
    <w:rsid w:val="007E12F7"/>
    <w:rsid w:val="007E144E"/>
    <w:rsid w:val="007E2738"/>
    <w:rsid w:val="007E2DA3"/>
    <w:rsid w:val="007E408A"/>
    <w:rsid w:val="007E480C"/>
    <w:rsid w:val="007E5363"/>
    <w:rsid w:val="007E5DD5"/>
    <w:rsid w:val="007E5F1C"/>
    <w:rsid w:val="007E61B0"/>
    <w:rsid w:val="007E65C6"/>
    <w:rsid w:val="007E6650"/>
    <w:rsid w:val="007E7727"/>
    <w:rsid w:val="007E7B6E"/>
    <w:rsid w:val="007E7F4B"/>
    <w:rsid w:val="007F07EF"/>
    <w:rsid w:val="007F17D6"/>
    <w:rsid w:val="007F2490"/>
    <w:rsid w:val="007F25A4"/>
    <w:rsid w:val="007F31CA"/>
    <w:rsid w:val="007F34E5"/>
    <w:rsid w:val="007F3847"/>
    <w:rsid w:val="007F3E7B"/>
    <w:rsid w:val="007F538C"/>
    <w:rsid w:val="007F56D8"/>
    <w:rsid w:val="007F670C"/>
    <w:rsid w:val="007F6D9E"/>
    <w:rsid w:val="007F76C3"/>
    <w:rsid w:val="007F7AF9"/>
    <w:rsid w:val="007F7C40"/>
    <w:rsid w:val="00800656"/>
    <w:rsid w:val="00800664"/>
    <w:rsid w:val="00800754"/>
    <w:rsid w:val="00801797"/>
    <w:rsid w:val="00801ABD"/>
    <w:rsid w:val="00801B45"/>
    <w:rsid w:val="00801EB6"/>
    <w:rsid w:val="00802063"/>
    <w:rsid w:val="0080206A"/>
    <w:rsid w:val="008023D1"/>
    <w:rsid w:val="00802D3A"/>
    <w:rsid w:val="0080361E"/>
    <w:rsid w:val="008039B1"/>
    <w:rsid w:val="0080515F"/>
    <w:rsid w:val="00805333"/>
    <w:rsid w:val="00805AA0"/>
    <w:rsid w:val="008070ED"/>
    <w:rsid w:val="0080753D"/>
    <w:rsid w:val="00807606"/>
    <w:rsid w:val="00807619"/>
    <w:rsid w:val="00807664"/>
    <w:rsid w:val="00807D53"/>
    <w:rsid w:val="008107E0"/>
    <w:rsid w:val="00810C10"/>
    <w:rsid w:val="00811B13"/>
    <w:rsid w:val="00811F5D"/>
    <w:rsid w:val="008131D4"/>
    <w:rsid w:val="00813D79"/>
    <w:rsid w:val="00814351"/>
    <w:rsid w:val="00814537"/>
    <w:rsid w:val="00814860"/>
    <w:rsid w:val="00814935"/>
    <w:rsid w:val="00814950"/>
    <w:rsid w:val="00814EE3"/>
    <w:rsid w:val="00814FF0"/>
    <w:rsid w:val="008151B4"/>
    <w:rsid w:val="00815ABE"/>
    <w:rsid w:val="008164F2"/>
    <w:rsid w:val="00816C50"/>
    <w:rsid w:val="00816C91"/>
    <w:rsid w:val="00816C98"/>
    <w:rsid w:val="008170AB"/>
    <w:rsid w:val="00817F42"/>
    <w:rsid w:val="00820630"/>
    <w:rsid w:val="008214F8"/>
    <w:rsid w:val="00821BC5"/>
    <w:rsid w:val="00821FAD"/>
    <w:rsid w:val="008225CE"/>
    <w:rsid w:val="0082264A"/>
    <w:rsid w:val="00823B16"/>
    <w:rsid w:val="00823FCA"/>
    <w:rsid w:val="00824276"/>
    <w:rsid w:val="008247C2"/>
    <w:rsid w:val="0082480C"/>
    <w:rsid w:val="00825A69"/>
    <w:rsid w:val="00825D18"/>
    <w:rsid w:val="00826E31"/>
    <w:rsid w:val="00827850"/>
    <w:rsid w:val="00830CB1"/>
    <w:rsid w:val="00830FBD"/>
    <w:rsid w:val="008312FD"/>
    <w:rsid w:val="0083135E"/>
    <w:rsid w:val="00831C09"/>
    <w:rsid w:val="00831C6F"/>
    <w:rsid w:val="00831D77"/>
    <w:rsid w:val="00831FA1"/>
    <w:rsid w:val="00832CD7"/>
    <w:rsid w:val="0083339F"/>
    <w:rsid w:val="008334A5"/>
    <w:rsid w:val="00833EEA"/>
    <w:rsid w:val="00834B63"/>
    <w:rsid w:val="00835166"/>
    <w:rsid w:val="00835362"/>
    <w:rsid w:val="00835701"/>
    <w:rsid w:val="00836C25"/>
    <w:rsid w:val="00840DC3"/>
    <w:rsid w:val="008414AB"/>
    <w:rsid w:val="00841EEA"/>
    <w:rsid w:val="008426FC"/>
    <w:rsid w:val="00842E63"/>
    <w:rsid w:val="0084415F"/>
    <w:rsid w:val="0084476E"/>
    <w:rsid w:val="00845AA0"/>
    <w:rsid w:val="008462E8"/>
    <w:rsid w:val="008465ED"/>
    <w:rsid w:val="0084675F"/>
    <w:rsid w:val="00847954"/>
    <w:rsid w:val="00851006"/>
    <w:rsid w:val="00851CFE"/>
    <w:rsid w:val="008529DF"/>
    <w:rsid w:val="00852F41"/>
    <w:rsid w:val="00853A72"/>
    <w:rsid w:val="00855C36"/>
    <w:rsid w:val="00855EA1"/>
    <w:rsid w:val="008563C2"/>
    <w:rsid w:val="00856590"/>
    <w:rsid w:val="00857C2F"/>
    <w:rsid w:val="00860D18"/>
    <w:rsid w:val="00861837"/>
    <w:rsid w:val="00862F96"/>
    <w:rsid w:val="00863260"/>
    <w:rsid w:val="00863C24"/>
    <w:rsid w:val="00863C93"/>
    <w:rsid w:val="0086475A"/>
    <w:rsid w:val="00864EE7"/>
    <w:rsid w:val="00865156"/>
    <w:rsid w:val="00865B52"/>
    <w:rsid w:val="00865C37"/>
    <w:rsid w:val="0086645A"/>
    <w:rsid w:val="0086684D"/>
    <w:rsid w:val="0086694E"/>
    <w:rsid w:val="00866F2E"/>
    <w:rsid w:val="00867177"/>
    <w:rsid w:val="008677BE"/>
    <w:rsid w:val="00873FAA"/>
    <w:rsid w:val="0087428D"/>
    <w:rsid w:val="00874CA3"/>
    <w:rsid w:val="00874E02"/>
    <w:rsid w:val="008754E7"/>
    <w:rsid w:val="00875ACC"/>
    <w:rsid w:val="008760B7"/>
    <w:rsid w:val="00876722"/>
    <w:rsid w:val="00876C34"/>
    <w:rsid w:val="00880592"/>
    <w:rsid w:val="00881616"/>
    <w:rsid w:val="00881FFE"/>
    <w:rsid w:val="008827EF"/>
    <w:rsid w:val="00882AB2"/>
    <w:rsid w:val="008839EF"/>
    <w:rsid w:val="00885212"/>
    <w:rsid w:val="008852FE"/>
    <w:rsid w:val="00885740"/>
    <w:rsid w:val="00885D2E"/>
    <w:rsid w:val="00885F58"/>
    <w:rsid w:val="00885FCA"/>
    <w:rsid w:val="0088602F"/>
    <w:rsid w:val="00886391"/>
    <w:rsid w:val="00886421"/>
    <w:rsid w:val="008878D1"/>
    <w:rsid w:val="008908AB"/>
    <w:rsid w:val="00890D76"/>
    <w:rsid w:val="008932D8"/>
    <w:rsid w:val="00893FE3"/>
    <w:rsid w:val="0089558F"/>
    <w:rsid w:val="0089696C"/>
    <w:rsid w:val="008975B2"/>
    <w:rsid w:val="00897B40"/>
    <w:rsid w:val="00897BF8"/>
    <w:rsid w:val="00897E7A"/>
    <w:rsid w:val="008A087E"/>
    <w:rsid w:val="008A17FC"/>
    <w:rsid w:val="008A1B9E"/>
    <w:rsid w:val="008A1EC6"/>
    <w:rsid w:val="008A309A"/>
    <w:rsid w:val="008A391B"/>
    <w:rsid w:val="008A5223"/>
    <w:rsid w:val="008A6F3A"/>
    <w:rsid w:val="008A766D"/>
    <w:rsid w:val="008A7675"/>
    <w:rsid w:val="008A77B9"/>
    <w:rsid w:val="008B013F"/>
    <w:rsid w:val="008B033D"/>
    <w:rsid w:val="008B042C"/>
    <w:rsid w:val="008B0763"/>
    <w:rsid w:val="008B20A9"/>
    <w:rsid w:val="008B24FC"/>
    <w:rsid w:val="008B25ED"/>
    <w:rsid w:val="008B3B95"/>
    <w:rsid w:val="008B402A"/>
    <w:rsid w:val="008B4204"/>
    <w:rsid w:val="008B4328"/>
    <w:rsid w:val="008B5208"/>
    <w:rsid w:val="008B547D"/>
    <w:rsid w:val="008B58EB"/>
    <w:rsid w:val="008B7C07"/>
    <w:rsid w:val="008C00C8"/>
    <w:rsid w:val="008C0BC0"/>
    <w:rsid w:val="008C0BCF"/>
    <w:rsid w:val="008C151C"/>
    <w:rsid w:val="008C1536"/>
    <w:rsid w:val="008C1787"/>
    <w:rsid w:val="008C1AD9"/>
    <w:rsid w:val="008C3330"/>
    <w:rsid w:val="008C3DBD"/>
    <w:rsid w:val="008C3E17"/>
    <w:rsid w:val="008C4121"/>
    <w:rsid w:val="008C4344"/>
    <w:rsid w:val="008C4849"/>
    <w:rsid w:val="008C5106"/>
    <w:rsid w:val="008C5C2C"/>
    <w:rsid w:val="008C5C6A"/>
    <w:rsid w:val="008C5DD7"/>
    <w:rsid w:val="008C628E"/>
    <w:rsid w:val="008C66A5"/>
    <w:rsid w:val="008C7A5C"/>
    <w:rsid w:val="008D0BA6"/>
    <w:rsid w:val="008D2524"/>
    <w:rsid w:val="008D253D"/>
    <w:rsid w:val="008D40B7"/>
    <w:rsid w:val="008D4299"/>
    <w:rsid w:val="008D4809"/>
    <w:rsid w:val="008D4D12"/>
    <w:rsid w:val="008D510F"/>
    <w:rsid w:val="008D574A"/>
    <w:rsid w:val="008D5E65"/>
    <w:rsid w:val="008D6275"/>
    <w:rsid w:val="008D6424"/>
    <w:rsid w:val="008D7111"/>
    <w:rsid w:val="008D7CE1"/>
    <w:rsid w:val="008D7D39"/>
    <w:rsid w:val="008E16B9"/>
    <w:rsid w:val="008E28E3"/>
    <w:rsid w:val="008E2CCD"/>
    <w:rsid w:val="008E340A"/>
    <w:rsid w:val="008E42F4"/>
    <w:rsid w:val="008E47D7"/>
    <w:rsid w:val="008E4AB6"/>
    <w:rsid w:val="008E5606"/>
    <w:rsid w:val="008E70E1"/>
    <w:rsid w:val="008E7315"/>
    <w:rsid w:val="008E742F"/>
    <w:rsid w:val="008E7D8D"/>
    <w:rsid w:val="008F0438"/>
    <w:rsid w:val="008F1392"/>
    <w:rsid w:val="008F1678"/>
    <w:rsid w:val="008F1981"/>
    <w:rsid w:val="008F1BD8"/>
    <w:rsid w:val="008F2076"/>
    <w:rsid w:val="008F2240"/>
    <w:rsid w:val="008F2664"/>
    <w:rsid w:val="008F2C81"/>
    <w:rsid w:val="008F2F1B"/>
    <w:rsid w:val="008F4668"/>
    <w:rsid w:val="008F489D"/>
    <w:rsid w:val="008F503E"/>
    <w:rsid w:val="008F6AB3"/>
    <w:rsid w:val="008F6B4E"/>
    <w:rsid w:val="008F6F14"/>
    <w:rsid w:val="008F74BF"/>
    <w:rsid w:val="008F76D0"/>
    <w:rsid w:val="008F7BBD"/>
    <w:rsid w:val="008F7E49"/>
    <w:rsid w:val="008F7F25"/>
    <w:rsid w:val="00900B2C"/>
    <w:rsid w:val="00900EF2"/>
    <w:rsid w:val="009017A5"/>
    <w:rsid w:val="00901A98"/>
    <w:rsid w:val="00902745"/>
    <w:rsid w:val="0090282B"/>
    <w:rsid w:val="00903B40"/>
    <w:rsid w:val="009047C8"/>
    <w:rsid w:val="009047EF"/>
    <w:rsid w:val="0090486A"/>
    <w:rsid w:val="00904CA3"/>
    <w:rsid w:val="009071B9"/>
    <w:rsid w:val="009073BC"/>
    <w:rsid w:val="00907543"/>
    <w:rsid w:val="00907CEC"/>
    <w:rsid w:val="0091023B"/>
    <w:rsid w:val="00910281"/>
    <w:rsid w:val="00911675"/>
    <w:rsid w:val="0091194E"/>
    <w:rsid w:val="00912346"/>
    <w:rsid w:val="009129B8"/>
    <w:rsid w:val="00913F86"/>
    <w:rsid w:val="00914427"/>
    <w:rsid w:val="0091486F"/>
    <w:rsid w:val="00914C69"/>
    <w:rsid w:val="00914D30"/>
    <w:rsid w:val="0091512C"/>
    <w:rsid w:val="00915C64"/>
    <w:rsid w:val="00915E4B"/>
    <w:rsid w:val="00915FA7"/>
    <w:rsid w:val="00916D19"/>
    <w:rsid w:val="00917275"/>
    <w:rsid w:val="009220B0"/>
    <w:rsid w:val="00923049"/>
    <w:rsid w:val="00923CE9"/>
    <w:rsid w:val="00924104"/>
    <w:rsid w:val="009241D7"/>
    <w:rsid w:val="00924239"/>
    <w:rsid w:val="00924532"/>
    <w:rsid w:val="00924AA1"/>
    <w:rsid w:val="00924BE3"/>
    <w:rsid w:val="009258EE"/>
    <w:rsid w:val="00925E9D"/>
    <w:rsid w:val="00926081"/>
    <w:rsid w:val="00926B19"/>
    <w:rsid w:val="0092718D"/>
    <w:rsid w:val="00927C11"/>
    <w:rsid w:val="00927F62"/>
    <w:rsid w:val="0093107F"/>
    <w:rsid w:val="00931936"/>
    <w:rsid w:val="00931CA2"/>
    <w:rsid w:val="00932698"/>
    <w:rsid w:val="00932DBC"/>
    <w:rsid w:val="00932E45"/>
    <w:rsid w:val="00933036"/>
    <w:rsid w:val="00936231"/>
    <w:rsid w:val="009403BF"/>
    <w:rsid w:val="00941517"/>
    <w:rsid w:val="00941859"/>
    <w:rsid w:val="00941F04"/>
    <w:rsid w:val="00942940"/>
    <w:rsid w:val="009437BE"/>
    <w:rsid w:val="00944274"/>
    <w:rsid w:val="009446B4"/>
    <w:rsid w:val="009447B6"/>
    <w:rsid w:val="00944FF0"/>
    <w:rsid w:val="00945641"/>
    <w:rsid w:val="00945B5E"/>
    <w:rsid w:val="00945CE1"/>
    <w:rsid w:val="00946C51"/>
    <w:rsid w:val="00951AC3"/>
    <w:rsid w:val="00952AFE"/>
    <w:rsid w:val="00952E5E"/>
    <w:rsid w:val="00953110"/>
    <w:rsid w:val="009533B7"/>
    <w:rsid w:val="009539B0"/>
    <w:rsid w:val="009545CC"/>
    <w:rsid w:val="00954750"/>
    <w:rsid w:val="00954D0D"/>
    <w:rsid w:val="009561FB"/>
    <w:rsid w:val="00956316"/>
    <w:rsid w:val="009569E6"/>
    <w:rsid w:val="00956F8B"/>
    <w:rsid w:val="0095790B"/>
    <w:rsid w:val="00957B72"/>
    <w:rsid w:val="00960D01"/>
    <w:rsid w:val="00961D89"/>
    <w:rsid w:val="00961ED2"/>
    <w:rsid w:val="00961F31"/>
    <w:rsid w:val="00962795"/>
    <w:rsid w:val="009628CC"/>
    <w:rsid w:val="00962DDD"/>
    <w:rsid w:val="00963180"/>
    <w:rsid w:val="00963F10"/>
    <w:rsid w:val="00965393"/>
    <w:rsid w:val="00965751"/>
    <w:rsid w:val="00966052"/>
    <w:rsid w:val="0097043A"/>
    <w:rsid w:val="009705F3"/>
    <w:rsid w:val="00970BD6"/>
    <w:rsid w:val="00970C49"/>
    <w:rsid w:val="00970DDD"/>
    <w:rsid w:val="00971F0C"/>
    <w:rsid w:val="00972E9E"/>
    <w:rsid w:val="00973C4B"/>
    <w:rsid w:val="009752F1"/>
    <w:rsid w:val="009761AF"/>
    <w:rsid w:val="00976230"/>
    <w:rsid w:val="00976EF1"/>
    <w:rsid w:val="00977E33"/>
    <w:rsid w:val="0098027E"/>
    <w:rsid w:val="009809D6"/>
    <w:rsid w:val="00980F43"/>
    <w:rsid w:val="009828A7"/>
    <w:rsid w:val="00984376"/>
    <w:rsid w:val="00984A8B"/>
    <w:rsid w:val="00984E6C"/>
    <w:rsid w:val="0098649A"/>
    <w:rsid w:val="00990D15"/>
    <w:rsid w:val="009914A3"/>
    <w:rsid w:val="0099161B"/>
    <w:rsid w:val="00991912"/>
    <w:rsid w:val="00992128"/>
    <w:rsid w:val="00992DBF"/>
    <w:rsid w:val="009939CD"/>
    <w:rsid w:val="00996E61"/>
    <w:rsid w:val="009970B7"/>
    <w:rsid w:val="00997555"/>
    <w:rsid w:val="00997CD8"/>
    <w:rsid w:val="009A09EE"/>
    <w:rsid w:val="009A0C75"/>
    <w:rsid w:val="009A0CF3"/>
    <w:rsid w:val="009A100A"/>
    <w:rsid w:val="009A13BB"/>
    <w:rsid w:val="009A1641"/>
    <w:rsid w:val="009A1F10"/>
    <w:rsid w:val="009A225B"/>
    <w:rsid w:val="009A22BA"/>
    <w:rsid w:val="009A2E21"/>
    <w:rsid w:val="009A2F04"/>
    <w:rsid w:val="009A330A"/>
    <w:rsid w:val="009A55E0"/>
    <w:rsid w:val="009A66A9"/>
    <w:rsid w:val="009A6A62"/>
    <w:rsid w:val="009A6E91"/>
    <w:rsid w:val="009A7B2F"/>
    <w:rsid w:val="009B0207"/>
    <w:rsid w:val="009B0EAD"/>
    <w:rsid w:val="009B0FBA"/>
    <w:rsid w:val="009B1623"/>
    <w:rsid w:val="009B187B"/>
    <w:rsid w:val="009B18C1"/>
    <w:rsid w:val="009B1AA4"/>
    <w:rsid w:val="009B1C32"/>
    <w:rsid w:val="009B1F29"/>
    <w:rsid w:val="009B2166"/>
    <w:rsid w:val="009B22FF"/>
    <w:rsid w:val="009B292B"/>
    <w:rsid w:val="009B31C0"/>
    <w:rsid w:val="009B36F3"/>
    <w:rsid w:val="009B4098"/>
    <w:rsid w:val="009B4A33"/>
    <w:rsid w:val="009B4C3A"/>
    <w:rsid w:val="009B4D05"/>
    <w:rsid w:val="009B5709"/>
    <w:rsid w:val="009B5A96"/>
    <w:rsid w:val="009B6B56"/>
    <w:rsid w:val="009B7A82"/>
    <w:rsid w:val="009B7AD6"/>
    <w:rsid w:val="009B7E01"/>
    <w:rsid w:val="009C0022"/>
    <w:rsid w:val="009C0157"/>
    <w:rsid w:val="009C0322"/>
    <w:rsid w:val="009C0D27"/>
    <w:rsid w:val="009C0DA0"/>
    <w:rsid w:val="009C27A1"/>
    <w:rsid w:val="009C3B43"/>
    <w:rsid w:val="009C498F"/>
    <w:rsid w:val="009C5F07"/>
    <w:rsid w:val="009C5FF1"/>
    <w:rsid w:val="009C74B8"/>
    <w:rsid w:val="009D020A"/>
    <w:rsid w:val="009D0B9B"/>
    <w:rsid w:val="009D0E51"/>
    <w:rsid w:val="009D18B6"/>
    <w:rsid w:val="009D1C67"/>
    <w:rsid w:val="009D2785"/>
    <w:rsid w:val="009D280A"/>
    <w:rsid w:val="009D3A13"/>
    <w:rsid w:val="009D3A47"/>
    <w:rsid w:val="009D3B31"/>
    <w:rsid w:val="009D41FA"/>
    <w:rsid w:val="009D4DF6"/>
    <w:rsid w:val="009D539D"/>
    <w:rsid w:val="009D6833"/>
    <w:rsid w:val="009D70EC"/>
    <w:rsid w:val="009D7B9B"/>
    <w:rsid w:val="009D7D13"/>
    <w:rsid w:val="009E0058"/>
    <w:rsid w:val="009E12B5"/>
    <w:rsid w:val="009E292D"/>
    <w:rsid w:val="009E33C9"/>
    <w:rsid w:val="009E3EFD"/>
    <w:rsid w:val="009E4044"/>
    <w:rsid w:val="009E43E8"/>
    <w:rsid w:val="009E4B2F"/>
    <w:rsid w:val="009E4B49"/>
    <w:rsid w:val="009E5140"/>
    <w:rsid w:val="009E550C"/>
    <w:rsid w:val="009E669B"/>
    <w:rsid w:val="009E6ABA"/>
    <w:rsid w:val="009E71BE"/>
    <w:rsid w:val="009E74A7"/>
    <w:rsid w:val="009E7817"/>
    <w:rsid w:val="009F0191"/>
    <w:rsid w:val="009F0E1A"/>
    <w:rsid w:val="009F102A"/>
    <w:rsid w:val="009F21BF"/>
    <w:rsid w:val="009F2479"/>
    <w:rsid w:val="009F32BB"/>
    <w:rsid w:val="009F33CA"/>
    <w:rsid w:val="009F3A51"/>
    <w:rsid w:val="009F3F97"/>
    <w:rsid w:val="009F48E6"/>
    <w:rsid w:val="009F58FD"/>
    <w:rsid w:val="009F5BE3"/>
    <w:rsid w:val="009F5DC1"/>
    <w:rsid w:val="00A0009C"/>
    <w:rsid w:val="00A0013C"/>
    <w:rsid w:val="00A005E7"/>
    <w:rsid w:val="00A008F9"/>
    <w:rsid w:val="00A00AC0"/>
    <w:rsid w:val="00A01A77"/>
    <w:rsid w:val="00A01D67"/>
    <w:rsid w:val="00A01E26"/>
    <w:rsid w:val="00A02ACA"/>
    <w:rsid w:val="00A03433"/>
    <w:rsid w:val="00A0368C"/>
    <w:rsid w:val="00A040F0"/>
    <w:rsid w:val="00A0520B"/>
    <w:rsid w:val="00A05577"/>
    <w:rsid w:val="00A059D9"/>
    <w:rsid w:val="00A069ED"/>
    <w:rsid w:val="00A069F5"/>
    <w:rsid w:val="00A06E7A"/>
    <w:rsid w:val="00A06EFD"/>
    <w:rsid w:val="00A07550"/>
    <w:rsid w:val="00A0769B"/>
    <w:rsid w:val="00A11453"/>
    <w:rsid w:val="00A11D73"/>
    <w:rsid w:val="00A12084"/>
    <w:rsid w:val="00A12851"/>
    <w:rsid w:val="00A12991"/>
    <w:rsid w:val="00A1411C"/>
    <w:rsid w:val="00A15A61"/>
    <w:rsid w:val="00A1634F"/>
    <w:rsid w:val="00A1694B"/>
    <w:rsid w:val="00A16DD9"/>
    <w:rsid w:val="00A17244"/>
    <w:rsid w:val="00A1728A"/>
    <w:rsid w:val="00A17C4C"/>
    <w:rsid w:val="00A17D08"/>
    <w:rsid w:val="00A2042A"/>
    <w:rsid w:val="00A2051D"/>
    <w:rsid w:val="00A20FEF"/>
    <w:rsid w:val="00A21C57"/>
    <w:rsid w:val="00A22B44"/>
    <w:rsid w:val="00A22C2B"/>
    <w:rsid w:val="00A22E92"/>
    <w:rsid w:val="00A24EFE"/>
    <w:rsid w:val="00A2586F"/>
    <w:rsid w:val="00A26284"/>
    <w:rsid w:val="00A2655D"/>
    <w:rsid w:val="00A2739F"/>
    <w:rsid w:val="00A27DE3"/>
    <w:rsid w:val="00A315A7"/>
    <w:rsid w:val="00A3190A"/>
    <w:rsid w:val="00A31AF5"/>
    <w:rsid w:val="00A32F02"/>
    <w:rsid w:val="00A33295"/>
    <w:rsid w:val="00A338C8"/>
    <w:rsid w:val="00A33AE4"/>
    <w:rsid w:val="00A33D1B"/>
    <w:rsid w:val="00A33F28"/>
    <w:rsid w:val="00A346F9"/>
    <w:rsid w:val="00A355DA"/>
    <w:rsid w:val="00A3625A"/>
    <w:rsid w:val="00A4017F"/>
    <w:rsid w:val="00A407D9"/>
    <w:rsid w:val="00A419A1"/>
    <w:rsid w:val="00A419D9"/>
    <w:rsid w:val="00A41ED6"/>
    <w:rsid w:val="00A423B2"/>
    <w:rsid w:val="00A47DC1"/>
    <w:rsid w:val="00A5052A"/>
    <w:rsid w:val="00A50538"/>
    <w:rsid w:val="00A50900"/>
    <w:rsid w:val="00A509A8"/>
    <w:rsid w:val="00A51A31"/>
    <w:rsid w:val="00A51D10"/>
    <w:rsid w:val="00A52AA8"/>
    <w:rsid w:val="00A54BAD"/>
    <w:rsid w:val="00A55915"/>
    <w:rsid w:val="00A55E99"/>
    <w:rsid w:val="00A56307"/>
    <w:rsid w:val="00A56FFB"/>
    <w:rsid w:val="00A5715F"/>
    <w:rsid w:val="00A62234"/>
    <w:rsid w:val="00A62821"/>
    <w:rsid w:val="00A6348C"/>
    <w:rsid w:val="00A63F00"/>
    <w:rsid w:val="00A6482A"/>
    <w:rsid w:val="00A64FAF"/>
    <w:rsid w:val="00A65160"/>
    <w:rsid w:val="00A6521C"/>
    <w:rsid w:val="00A6589F"/>
    <w:rsid w:val="00A66B1B"/>
    <w:rsid w:val="00A6724F"/>
    <w:rsid w:val="00A67C63"/>
    <w:rsid w:val="00A67C9A"/>
    <w:rsid w:val="00A67D3E"/>
    <w:rsid w:val="00A67F5A"/>
    <w:rsid w:val="00A7073A"/>
    <w:rsid w:val="00A70C17"/>
    <w:rsid w:val="00A710C7"/>
    <w:rsid w:val="00A7270F"/>
    <w:rsid w:val="00A72C6F"/>
    <w:rsid w:val="00A730A1"/>
    <w:rsid w:val="00A73AFA"/>
    <w:rsid w:val="00A752A2"/>
    <w:rsid w:val="00A75DB7"/>
    <w:rsid w:val="00A75F11"/>
    <w:rsid w:val="00A75F2D"/>
    <w:rsid w:val="00A769BF"/>
    <w:rsid w:val="00A769D1"/>
    <w:rsid w:val="00A77582"/>
    <w:rsid w:val="00A775FF"/>
    <w:rsid w:val="00A77A7B"/>
    <w:rsid w:val="00A80243"/>
    <w:rsid w:val="00A808D4"/>
    <w:rsid w:val="00A80BC2"/>
    <w:rsid w:val="00A81964"/>
    <w:rsid w:val="00A82EBF"/>
    <w:rsid w:val="00A840C9"/>
    <w:rsid w:val="00A84770"/>
    <w:rsid w:val="00A84D2A"/>
    <w:rsid w:val="00A85262"/>
    <w:rsid w:val="00A85466"/>
    <w:rsid w:val="00A85955"/>
    <w:rsid w:val="00A85A38"/>
    <w:rsid w:val="00A869CA"/>
    <w:rsid w:val="00A86DF9"/>
    <w:rsid w:val="00A871F5"/>
    <w:rsid w:val="00A87E04"/>
    <w:rsid w:val="00A913F7"/>
    <w:rsid w:val="00A91CA6"/>
    <w:rsid w:val="00A92B0F"/>
    <w:rsid w:val="00A932C6"/>
    <w:rsid w:val="00A939EF"/>
    <w:rsid w:val="00A93F2B"/>
    <w:rsid w:val="00A93F44"/>
    <w:rsid w:val="00A94135"/>
    <w:rsid w:val="00A967CE"/>
    <w:rsid w:val="00A97558"/>
    <w:rsid w:val="00A97698"/>
    <w:rsid w:val="00A97B47"/>
    <w:rsid w:val="00AA01ED"/>
    <w:rsid w:val="00AA08DF"/>
    <w:rsid w:val="00AA0921"/>
    <w:rsid w:val="00AA1414"/>
    <w:rsid w:val="00AA1775"/>
    <w:rsid w:val="00AA1CF0"/>
    <w:rsid w:val="00AA2037"/>
    <w:rsid w:val="00AA2307"/>
    <w:rsid w:val="00AA36C6"/>
    <w:rsid w:val="00AA5902"/>
    <w:rsid w:val="00AA5E61"/>
    <w:rsid w:val="00AA6FFC"/>
    <w:rsid w:val="00AB0121"/>
    <w:rsid w:val="00AB03A6"/>
    <w:rsid w:val="00AB0D37"/>
    <w:rsid w:val="00AB0DF6"/>
    <w:rsid w:val="00AB0EEC"/>
    <w:rsid w:val="00AB1406"/>
    <w:rsid w:val="00AB1AE8"/>
    <w:rsid w:val="00AB1CE3"/>
    <w:rsid w:val="00AB6418"/>
    <w:rsid w:val="00AC04F1"/>
    <w:rsid w:val="00AC1151"/>
    <w:rsid w:val="00AC11B0"/>
    <w:rsid w:val="00AC2415"/>
    <w:rsid w:val="00AC3731"/>
    <w:rsid w:val="00AC396E"/>
    <w:rsid w:val="00AC3BBA"/>
    <w:rsid w:val="00AC3DB3"/>
    <w:rsid w:val="00AC3F70"/>
    <w:rsid w:val="00AC4E4D"/>
    <w:rsid w:val="00AC5360"/>
    <w:rsid w:val="00AC5E9F"/>
    <w:rsid w:val="00AC65B5"/>
    <w:rsid w:val="00AC68FB"/>
    <w:rsid w:val="00AD180F"/>
    <w:rsid w:val="00AD1F3E"/>
    <w:rsid w:val="00AD20EE"/>
    <w:rsid w:val="00AD217B"/>
    <w:rsid w:val="00AD21A7"/>
    <w:rsid w:val="00AD21BB"/>
    <w:rsid w:val="00AD2D21"/>
    <w:rsid w:val="00AD30C3"/>
    <w:rsid w:val="00AD48C8"/>
    <w:rsid w:val="00AD53FF"/>
    <w:rsid w:val="00AD5650"/>
    <w:rsid w:val="00AD59A2"/>
    <w:rsid w:val="00AD5FF7"/>
    <w:rsid w:val="00AD6004"/>
    <w:rsid w:val="00AD6339"/>
    <w:rsid w:val="00AD76B8"/>
    <w:rsid w:val="00AD7FDC"/>
    <w:rsid w:val="00AE03EC"/>
    <w:rsid w:val="00AE11F1"/>
    <w:rsid w:val="00AE152B"/>
    <w:rsid w:val="00AE1FDA"/>
    <w:rsid w:val="00AE229C"/>
    <w:rsid w:val="00AE22EB"/>
    <w:rsid w:val="00AE2464"/>
    <w:rsid w:val="00AE25F9"/>
    <w:rsid w:val="00AE33FF"/>
    <w:rsid w:val="00AE3817"/>
    <w:rsid w:val="00AE4A32"/>
    <w:rsid w:val="00AE5008"/>
    <w:rsid w:val="00AE5D1E"/>
    <w:rsid w:val="00AE5E1D"/>
    <w:rsid w:val="00AE613F"/>
    <w:rsid w:val="00AE6AEA"/>
    <w:rsid w:val="00AE6FE1"/>
    <w:rsid w:val="00AE74F4"/>
    <w:rsid w:val="00AE75CC"/>
    <w:rsid w:val="00AE7650"/>
    <w:rsid w:val="00AF038F"/>
    <w:rsid w:val="00AF0671"/>
    <w:rsid w:val="00AF27D4"/>
    <w:rsid w:val="00AF2B1B"/>
    <w:rsid w:val="00AF41D1"/>
    <w:rsid w:val="00AF4870"/>
    <w:rsid w:val="00AF4D41"/>
    <w:rsid w:val="00AF50EF"/>
    <w:rsid w:val="00AF569F"/>
    <w:rsid w:val="00AF5A26"/>
    <w:rsid w:val="00AF653C"/>
    <w:rsid w:val="00AF6FBB"/>
    <w:rsid w:val="00AF784E"/>
    <w:rsid w:val="00B00099"/>
    <w:rsid w:val="00B0017D"/>
    <w:rsid w:val="00B015F6"/>
    <w:rsid w:val="00B023F0"/>
    <w:rsid w:val="00B02FD6"/>
    <w:rsid w:val="00B03442"/>
    <w:rsid w:val="00B038C6"/>
    <w:rsid w:val="00B03DA1"/>
    <w:rsid w:val="00B04247"/>
    <w:rsid w:val="00B0519A"/>
    <w:rsid w:val="00B067F3"/>
    <w:rsid w:val="00B068FD"/>
    <w:rsid w:val="00B07617"/>
    <w:rsid w:val="00B079DE"/>
    <w:rsid w:val="00B07BD5"/>
    <w:rsid w:val="00B10214"/>
    <w:rsid w:val="00B102AD"/>
    <w:rsid w:val="00B10CFC"/>
    <w:rsid w:val="00B10EA3"/>
    <w:rsid w:val="00B10F46"/>
    <w:rsid w:val="00B116C9"/>
    <w:rsid w:val="00B1286D"/>
    <w:rsid w:val="00B131B2"/>
    <w:rsid w:val="00B13A6D"/>
    <w:rsid w:val="00B1491E"/>
    <w:rsid w:val="00B14B78"/>
    <w:rsid w:val="00B14C81"/>
    <w:rsid w:val="00B15896"/>
    <w:rsid w:val="00B165FE"/>
    <w:rsid w:val="00B16AB5"/>
    <w:rsid w:val="00B16DC4"/>
    <w:rsid w:val="00B176AF"/>
    <w:rsid w:val="00B20175"/>
    <w:rsid w:val="00B226B8"/>
    <w:rsid w:val="00B22B89"/>
    <w:rsid w:val="00B24359"/>
    <w:rsid w:val="00B2542A"/>
    <w:rsid w:val="00B266F0"/>
    <w:rsid w:val="00B27173"/>
    <w:rsid w:val="00B271C0"/>
    <w:rsid w:val="00B3121C"/>
    <w:rsid w:val="00B3193B"/>
    <w:rsid w:val="00B31F59"/>
    <w:rsid w:val="00B31F8D"/>
    <w:rsid w:val="00B32679"/>
    <w:rsid w:val="00B333C4"/>
    <w:rsid w:val="00B33F0D"/>
    <w:rsid w:val="00B33F13"/>
    <w:rsid w:val="00B34634"/>
    <w:rsid w:val="00B347C4"/>
    <w:rsid w:val="00B34A80"/>
    <w:rsid w:val="00B34BA1"/>
    <w:rsid w:val="00B3511C"/>
    <w:rsid w:val="00B3559B"/>
    <w:rsid w:val="00B35B29"/>
    <w:rsid w:val="00B35EB2"/>
    <w:rsid w:val="00B36143"/>
    <w:rsid w:val="00B37233"/>
    <w:rsid w:val="00B3736E"/>
    <w:rsid w:val="00B404E8"/>
    <w:rsid w:val="00B40BCE"/>
    <w:rsid w:val="00B410D8"/>
    <w:rsid w:val="00B418B7"/>
    <w:rsid w:val="00B43100"/>
    <w:rsid w:val="00B4377B"/>
    <w:rsid w:val="00B43DC3"/>
    <w:rsid w:val="00B44BEA"/>
    <w:rsid w:val="00B44D91"/>
    <w:rsid w:val="00B456F4"/>
    <w:rsid w:val="00B45DCC"/>
    <w:rsid w:val="00B45F21"/>
    <w:rsid w:val="00B45F6A"/>
    <w:rsid w:val="00B4622E"/>
    <w:rsid w:val="00B478D2"/>
    <w:rsid w:val="00B52999"/>
    <w:rsid w:val="00B5349A"/>
    <w:rsid w:val="00B53A61"/>
    <w:rsid w:val="00B54EAF"/>
    <w:rsid w:val="00B563E8"/>
    <w:rsid w:val="00B569E4"/>
    <w:rsid w:val="00B56A8B"/>
    <w:rsid w:val="00B57DF6"/>
    <w:rsid w:val="00B60065"/>
    <w:rsid w:val="00B60491"/>
    <w:rsid w:val="00B618AB"/>
    <w:rsid w:val="00B61EB8"/>
    <w:rsid w:val="00B63F10"/>
    <w:rsid w:val="00B642B9"/>
    <w:rsid w:val="00B643A1"/>
    <w:rsid w:val="00B71D56"/>
    <w:rsid w:val="00B725C0"/>
    <w:rsid w:val="00B72A63"/>
    <w:rsid w:val="00B72D8B"/>
    <w:rsid w:val="00B73443"/>
    <w:rsid w:val="00B7381A"/>
    <w:rsid w:val="00B74648"/>
    <w:rsid w:val="00B7480A"/>
    <w:rsid w:val="00B74849"/>
    <w:rsid w:val="00B75327"/>
    <w:rsid w:val="00B75C62"/>
    <w:rsid w:val="00B76E47"/>
    <w:rsid w:val="00B7742D"/>
    <w:rsid w:val="00B80FC8"/>
    <w:rsid w:val="00B828DF"/>
    <w:rsid w:val="00B829EA"/>
    <w:rsid w:val="00B83360"/>
    <w:rsid w:val="00B837A6"/>
    <w:rsid w:val="00B83A6E"/>
    <w:rsid w:val="00B83E13"/>
    <w:rsid w:val="00B83F0F"/>
    <w:rsid w:val="00B84BC5"/>
    <w:rsid w:val="00B85F66"/>
    <w:rsid w:val="00B8605D"/>
    <w:rsid w:val="00B86F59"/>
    <w:rsid w:val="00B870E5"/>
    <w:rsid w:val="00B873FA"/>
    <w:rsid w:val="00B87CD5"/>
    <w:rsid w:val="00B9178B"/>
    <w:rsid w:val="00B91A13"/>
    <w:rsid w:val="00B923C0"/>
    <w:rsid w:val="00B9296A"/>
    <w:rsid w:val="00B93C07"/>
    <w:rsid w:val="00B9411F"/>
    <w:rsid w:val="00B94E61"/>
    <w:rsid w:val="00B9517C"/>
    <w:rsid w:val="00B951D8"/>
    <w:rsid w:val="00B95F43"/>
    <w:rsid w:val="00B96063"/>
    <w:rsid w:val="00B96267"/>
    <w:rsid w:val="00B9628B"/>
    <w:rsid w:val="00B96480"/>
    <w:rsid w:val="00B969BD"/>
    <w:rsid w:val="00B96A80"/>
    <w:rsid w:val="00B973B3"/>
    <w:rsid w:val="00BA0979"/>
    <w:rsid w:val="00BA0B2E"/>
    <w:rsid w:val="00BA1386"/>
    <w:rsid w:val="00BA2918"/>
    <w:rsid w:val="00BA3BF0"/>
    <w:rsid w:val="00BA3C69"/>
    <w:rsid w:val="00BA3E53"/>
    <w:rsid w:val="00BA427C"/>
    <w:rsid w:val="00BA4BBD"/>
    <w:rsid w:val="00BA4BD4"/>
    <w:rsid w:val="00BA50D1"/>
    <w:rsid w:val="00BA55DD"/>
    <w:rsid w:val="00BA6103"/>
    <w:rsid w:val="00BA66BA"/>
    <w:rsid w:val="00BA7358"/>
    <w:rsid w:val="00BA7B3D"/>
    <w:rsid w:val="00BA7CF1"/>
    <w:rsid w:val="00BB083C"/>
    <w:rsid w:val="00BB134C"/>
    <w:rsid w:val="00BB1953"/>
    <w:rsid w:val="00BB19F3"/>
    <w:rsid w:val="00BB20DE"/>
    <w:rsid w:val="00BB2BB3"/>
    <w:rsid w:val="00BB3B3F"/>
    <w:rsid w:val="00BB3FCC"/>
    <w:rsid w:val="00BB47D2"/>
    <w:rsid w:val="00BB5125"/>
    <w:rsid w:val="00BB5276"/>
    <w:rsid w:val="00BB6F7D"/>
    <w:rsid w:val="00BB7E9F"/>
    <w:rsid w:val="00BC1502"/>
    <w:rsid w:val="00BC2973"/>
    <w:rsid w:val="00BC3236"/>
    <w:rsid w:val="00BC5A3A"/>
    <w:rsid w:val="00BC5C0E"/>
    <w:rsid w:val="00BC64AE"/>
    <w:rsid w:val="00BC6723"/>
    <w:rsid w:val="00BC6853"/>
    <w:rsid w:val="00BC6B30"/>
    <w:rsid w:val="00BC73E7"/>
    <w:rsid w:val="00BC74F3"/>
    <w:rsid w:val="00BD23BF"/>
    <w:rsid w:val="00BD2CAD"/>
    <w:rsid w:val="00BD3128"/>
    <w:rsid w:val="00BD312A"/>
    <w:rsid w:val="00BD3A54"/>
    <w:rsid w:val="00BD3DE5"/>
    <w:rsid w:val="00BD4D77"/>
    <w:rsid w:val="00BD4DA8"/>
    <w:rsid w:val="00BD4F69"/>
    <w:rsid w:val="00BD53D7"/>
    <w:rsid w:val="00BD5917"/>
    <w:rsid w:val="00BD5DE9"/>
    <w:rsid w:val="00BD6589"/>
    <w:rsid w:val="00BD701E"/>
    <w:rsid w:val="00BD7C1E"/>
    <w:rsid w:val="00BE028B"/>
    <w:rsid w:val="00BE280A"/>
    <w:rsid w:val="00BE2C47"/>
    <w:rsid w:val="00BE3547"/>
    <w:rsid w:val="00BE3EC1"/>
    <w:rsid w:val="00BE55B8"/>
    <w:rsid w:val="00BE5B10"/>
    <w:rsid w:val="00BE5DB4"/>
    <w:rsid w:val="00BE66AF"/>
    <w:rsid w:val="00BE74BE"/>
    <w:rsid w:val="00BE77E4"/>
    <w:rsid w:val="00BE78DC"/>
    <w:rsid w:val="00BE7CD8"/>
    <w:rsid w:val="00BF0135"/>
    <w:rsid w:val="00BF392A"/>
    <w:rsid w:val="00BF448E"/>
    <w:rsid w:val="00BF458F"/>
    <w:rsid w:val="00BF484E"/>
    <w:rsid w:val="00BF4B86"/>
    <w:rsid w:val="00BF51BD"/>
    <w:rsid w:val="00BF5790"/>
    <w:rsid w:val="00BF65A1"/>
    <w:rsid w:val="00BF6B41"/>
    <w:rsid w:val="00BF78D3"/>
    <w:rsid w:val="00BF7BE6"/>
    <w:rsid w:val="00C0018C"/>
    <w:rsid w:val="00C003A0"/>
    <w:rsid w:val="00C00B83"/>
    <w:rsid w:val="00C018C3"/>
    <w:rsid w:val="00C01EE5"/>
    <w:rsid w:val="00C04966"/>
    <w:rsid w:val="00C04B38"/>
    <w:rsid w:val="00C04DD2"/>
    <w:rsid w:val="00C04EBD"/>
    <w:rsid w:val="00C050BC"/>
    <w:rsid w:val="00C0566C"/>
    <w:rsid w:val="00C0571A"/>
    <w:rsid w:val="00C075E0"/>
    <w:rsid w:val="00C07820"/>
    <w:rsid w:val="00C07F03"/>
    <w:rsid w:val="00C1084D"/>
    <w:rsid w:val="00C114B6"/>
    <w:rsid w:val="00C1247E"/>
    <w:rsid w:val="00C12889"/>
    <w:rsid w:val="00C12AF0"/>
    <w:rsid w:val="00C145E3"/>
    <w:rsid w:val="00C15D22"/>
    <w:rsid w:val="00C165BF"/>
    <w:rsid w:val="00C16EC3"/>
    <w:rsid w:val="00C16ED2"/>
    <w:rsid w:val="00C17341"/>
    <w:rsid w:val="00C17A80"/>
    <w:rsid w:val="00C17EED"/>
    <w:rsid w:val="00C203E6"/>
    <w:rsid w:val="00C20785"/>
    <w:rsid w:val="00C208EC"/>
    <w:rsid w:val="00C22BB7"/>
    <w:rsid w:val="00C22E9B"/>
    <w:rsid w:val="00C22EDA"/>
    <w:rsid w:val="00C233FA"/>
    <w:rsid w:val="00C23B76"/>
    <w:rsid w:val="00C25E8C"/>
    <w:rsid w:val="00C26FAA"/>
    <w:rsid w:val="00C304C1"/>
    <w:rsid w:val="00C30500"/>
    <w:rsid w:val="00C31495"/>
    <w:rsid w:val="00C31683"/>
    <w:rsid w:val="00C3168C"/>
    <w:rsid w:val="00C322E2"/>
    <w:rsid w:val="00C327F4"/>
    <w:rsid w:val="00C334AF"/>
    <w:rsid w:val="00C3377F"/>
    <w:rsid w:val="00C34102"/>
    <w:rsid w:val="00C341FE"/>
    <w:rsid w:val="00C34295"/>
    <w:rsid w:val="00C34C31"/>
    <w:rsid w:val="00C35DE9"/>
    <w:rsid w:val="00C36C12"/>
    <w:rsid w:val="00C37628"/>
    <w:rsid w:val="00C37778"/>
    <w:rsid w:val="00C37DCD"/>
    <w:rsid w:val="00C402A0"/>
    <w:rsid w:val="00C405DF"/>
    <w:rsid w:val="00C413F1"/>
    <w:rsid w:val="00C41609"/>
    <w:rsid w:val="00C41B7B"/>
    <w:rsid w:val="00C41FB7"/>
    <w:rsid w:val="00C4255A"/>
    <w:rsid w:val="00C42B45"/>
    <w:rsid w:val="00C43299"/>
    <w:rsid w:val="00C4524C"/>
    <w:rsid w:val="00C459C6"/>
    <w:rsid w:val="00C46001"/>
    <w:rsid w:val="00C479E5"/>
    <w:rsid w:val="00C47DA9"/>
    <w:rsid w:val="00C501EA"/>
    <w:rsid w:val="00C50BF9"/>
    <w:rsid w:val="00C50EFA"/>
    <w:rsid w:val="00C50F72"/>
    <w:rsid w:val="00C50FC2"/>
    <w:rsid w:val="00C5120A"/>
    <w:rsid w:val="00C51AD1"/>
    <w:rsid w:val="00C5206B"/>
    <w:rsid w:val="00C5225B"/>
    <w:rsid w:val="00C53E9E"/>
    <w:rsid w:val="00C5416B"/>
    <w:rsid w:val="00C5505D"/>
    <w:rsid w:val="00C578A5"/>
    <w:rsid w:val="00C603F7"/>
    <w:rsid w:val="00C6077C"/>
    <w:rsid w:val="00C62506"/>
    <w:rsid w:val="00C62828"/>
    <w:rsid w:val="00C63CFA"/>
    <w:rsid w:val="00C64260"/>
    <w:rsid w:val="00C64BC4"/>
    <w:rsid w:val="00C65474"/>
    <w:rsid w:val="00C654F3"/>
    <w:rsid w:val="00C65FB6"/>
    <w:rsid w:val="00C6683F"/>
    <w:rsid w:val="00C66A36"/>
    <w:rsid w:val="00C677B2"/>
    <w:rsid w:val="00C70148"/>
    <w:rsid w:val="00C7051E"/>
    <w:rsid w:val="00C7059F"/>
    <w:rsid w:val="00C70941"/>
    <w:rsid w:val="00C70FBD"/>
    <w:rsid w:val="00C72180"/>
    <w:rsid w:val="00C721CF"/>
    <w:rsid w:val="00C7292C"/>
    <w:rsid w:val="00C735B7"/>
    <w:rsid w:val="00C73FEF"/>
    <w:rsid w:val="00C75058"/>
    <w:rsid w:val="00C76969"/>
    <w:rsid w:val="00C7710E"/>
    <w:rsid w:val="00C7744E"/>
    <w:rsid w:val="00C777E0"/>
    <w:rsid w:val="00C77C30"/>
    <w:rsid w:val="00C80696"/>
    <w:rsid w:val="00C8090D"/>
    <w:rsid w:val="00C80C78"/>
    <w:rsid w:val="00C81D3A"/>
    <w:rsid w:val="00C81DF9"/>
    <w:rsid w:val="00C83114"/>
    <w:rsid w:val="00C83337"/>
    <w:rsid w:val="00C83837"/>
    <w:rsid w:val="00C83BC6"/>
    <w:rsid w:val="00C84154"/>
    <w:rsid w:val="00C841D4"/>
    <w:rsid w:val="00C86117"/>
    <w:rsid w:val="00C86182"/>
    <w:rsid w:val="00C86B69"/>
    <w:rsid w:val="00C878DB"/>
    <w:rsid w:val="00C87DC4"/>
    <w:rsid w:val="00C87EA0"/>
    <w:rsid w:val="00C90160"/>
    <w:rsid w:val="00C90192"/>
    <w:rsid w:val="00C908D5"/>
    <w:rsid w:val="00C9116F"/>
    <w:rsid w:val="00C9147A"/>
    <w:rsid w:val="00C914A1"/>
    <w:rsid w:val="00C91999"/>
    <w:rsid w:val="00C9249E"/>
    <w:rsid w:val="00C92CD9"/>
    <w:rsid w:val="00C92E0C"/>
    <w:rsid w:val="00C93017"/>
    <w:rsid w:val="00C93E61"/>
    <w:rsid w:val="00C95100"/>
    <w:rsid w:val="00C9601F"/>
    <w:rsid w:val="00C967CE"/>
    <w:rsid w:val="00C96CC3"/>
    <w:rsid w:val="00CA0041"/>
    <w:rsid w:val="00CA012B"/>
    <w:rsid w:val="00CA03A7"/>
    <w:rsid w:val="00CA0489"/>
    <w:rsid w:val="00CA12CC"/>
    <w:rsid w:val="00CA2565"/>
    <w:rsid w:val="00CA2671"/>
    <w:rsid w:val="00CA2987"/>
    <w:rsid w:val="00CA303A"/>
    <w:rsid w:val="00CA328B"/>
    <w:rsid w:val="00CA3318"/>
    <w:rsid w:val="00CA3EC4"/>
    <w:rsid w:val="00CA4351"/>
    <w:rsid w:val="00CA45AC"/>
    <w:rsid w:val="00CA70AF"/>
    <w:rsid w:val="00CA716C"/>
    <w:rsid w:val="00CB0686"/>
    <w:rsid w:val="00CB2209"/>
    <w:rsid w:val="00CB2396"/>
    <w:rsid w:val="00CB34A2"/>
    <w:rsid w:val="00CB3C0B"/>
    <w:rsid w:val="00CB3DF5"/>
    <w:rsid w:val="00CB3E6F"/>
    <w:rsid w:val="00CB524B"/>
    <w:rsid w:val="00CB5CC1"/>
    <w:rsid w:val="00CB6876"/>
    <w:rsid w:val="00CB6C61"/>
    <w:rsid w:val="00CB6E08"/>
    <w:rsid w:val="00CB71D6"/>
    <w:rsid w:val="00CC12E1"/>
    <w:rsid w:val="00CC13EE"/>
    <w:rsid w:val="00CC1461"/>
    <w:rsid w:val="00CC2164"/>
    <w:rsid w:val="00CC2519"/>
    <w:rsid w:val="00CC41CE"/>
    <w:rsid w:val="00CC5477"/>
    <w:rsid w:val="00CC5A5D"/>
    <w:rsid w:val="00CC5ED8"/>
    <w:rsid w:val="00CC6608"/>
    <w:rsid w:val="00CC68BC"/>
    <w:rsid w:val="00CC76A3"/>
    <w:rsid w:val="00CC7CD2"/>
    <w:rsid w:val="00CC7DE7"/>
    <w:rsid w:val="00CD0AFE"/>
    <w:rsid w:val="00CD1173"/>
    <w:rsid w:val="00CD1CC2"/>
    <w:rsid w:val="00CD205C"/>
    <w:rsid w:val="00CD218F"/>
    <w:rsid w:val="00CD33EA"/>
    <w:rsid w:val="00CD35AD"/>
    <w:rsid w:val="00CD3695"/>
    <w:rsid w:val="00CD3998"/>
    <w:rsid w:val="00CD3D4C"/>
    <w:rsid w:val="00CD4619"/>
    <w:rsid w:val="00CD4659"/>
    <w:rsid w:val="00CD4A4B"/>
    <w:rsid w:val="00CD5612"/>
    <w:rsid w:val="00CD6479"/>
    <w:rsid w:val="00CD65F6"/>
    <w:rsid w:val="00CD701A"/>
    <w:rsid w:val="00CD7A77"/>
    <w:rsid w:val="00CE0EEC"/>
    <w:rsid w:val="00CE15D1"/>
    <w:rsid w:val="00CE23A1"/>
    <w:rsid w:val="00CE3004"/>
    <w:rsid w:val="00CE48CE"/>
    <w:rsid w:val="00CE4D25"/>
    <w:rsid w:val="00CE4FCD"/>
    <w:rsid w:val="00CE63B0"/>
    <w:rsid w:val="00CE7269"/>
    <w:rsid w:val="00CE7415"/>
    <w:rsid w:val="00CF00EC"/>
    <w:rsid w:val="00CF0CF6"/>
    <w:rsid w:val="00CF0D72"/>
    <w:rsid w:val="00CF1880"/>
    <w:rsid w:val="00CF1A56"/>
    <w:rsid w:val="00CF31FA"/>
    <w:rsid w:val="00CF3425"/>
    <w:rsid w:val="00CF3F20"/>
    <w:rsid w:val="00CF417F"/>
    <w:rsid w:val="00CF4780"/>
    <w:rsid w:val="00CF5BAB"/>
    <w:rsid w:val="00CF5D7A"/>
    <w:rsid w:val="00CF624A"/>
    <w:rsid w:val="00CF64A8"/>
    <w:rsid w:val="00CF6BC4"/>
    <w:rsid w:val="00CF73CB"/>
    <w:rsid w:val="00CF75BF"/>
    <w:rsid w:val="00CF7A9B"/>
    <w:rsid w:val="00D00292"/>
    <w:rsid w:val="00D005D2"/>
    <w:rsid w:val="00D007B4"/>
    <w:rsid w:val="00D01077"/>
    <w:rsid w:val="00D011F5"/>
    <w:rsid w:val="00D02259"/>
    <w:rsid w:val="00D028AA"/>
    <w:rsid w:val="00D03671"/>
    <w:rsid w:val="00D061D3"/>
    <w:rsid w:val="00D071B2"/>
    <w:rsid w:val="00D077E9"/>
    <w:rsid w:val="00D102ED"/>
    <w:rsid w:val="00D11F77"/>
    <w:rsid w:val="00D1388F"/>
    <w:rsid w:val="00D14FEB"/>
    <w:rsid w:val="00D1505B"/>
    <w:rsid w:val="00D158A1"/>
    <w:rsid w:val="00D16294"/>
    <w:rsid w:val="00D16BDE"/>
    <w:rsid w:val="00D16CC7"/>
    <w:rsid w:val="00D175C8"/>
    <w:rsid w:val="00D17766"/>
    <w:rsid w:val="00D177E7"/>
    <w:rsid w:val="00D179EF"/>
    <w:rsid w:val="00D17B11"/>
    <w:rsid w:val="00D2058F"/>
    <w:rsid w:val="00D21BC6"/>
    <w:rsid w:val="00D21ECB"/>
    <w:rsid w:val="00D228D6"/>
    <w:rsid w:val="00D23049"/>
    <w:rsid w:val="00D2383E"/>
    <w:rsid w:val="00D246D0"/>
    <w:rsid w:val="00D25ABE"/>
    <w:rsid w:val="00D26292"/>
    <w:rsid w:val="00D26516"/>
    <w:rsid w:val="00D279CF"/>
    <w:rsid w:val="00D27C0F"/>
    <w:rsid w:val="00D27FF5"/>
    <w:rsid w:val="00D3017F"/>
    <w:rsid w:val="00D3119F"/>
    <w:rsid w:val="00D32AA2"/>
    <w:rsid w:val="00D32DD0"/>
    <w:rsid w:val="00D33F46"/>
    <w:rsid w:val="00D345C7"/>
    <w:rsid w:val="00D34BAC"/>
    <w:rsid w:val="00D35376"/>
    <w:rsid w:val="00D353CD"/>
    <w:rsid w:val="00D358BC"/>
    <w:rsid w:val="00D35D76"/>
    <w:rsid w:val="00D36483"/>
    <w:rsid w:val="00D36E7B"/>
    <w:rsid w:val="00D371D1"/>
    <w:rsid w:val="00D378A0"/>
    <w:rsid w:val="00D401BC"/>
    <w:rsid w:val="00D406F1"/>
    <w:rsid w:val="00D41F14"/>
    <w:rsid w:val="00D42078"/>
    <w:rsid w:val="00D42080"/>
    <w:rsid w:val="00D42BF2"/>
    <w:rsid w:val="00D432A7"/>
    <w:rsid w:val="00D44006"/>
    <w:rsid w:val="00D45809"/>
    <w:rsid w:val="00D46766"/>
    <w:rsid w:val="00D46956"/>
    <w:rsid w:val="00D5000D"/>
    <w:rsid w:val="00D50040"/>
    <w:rsid w:val="00D50583"/>
    <w:rsid w:val="00D50ACB"/>
    <w:rsid w:val="00D50CAE"/>
    <w:rsid w:val="00D50FD8"/>
    <w:rsid w:val="00D51354"/>
    <w:rsid w:val="00D52096"/>
    <w:rsid w:val="00D52B8B"/>
    <w:rsid w:val="00D52D24"/>
    <w:rsid w:val="00D5329E"/>
    <w:rsid w:val="00D53393"/>
    <w:rsid w:val="00D53828"/>
    <w:rsid w:val="00D554FA"/>
    <w:rsid w:val="00D55AC6"/>
    <w:rsid w:val="00D601BF"/>
    <w:rsid w:val="00D61AE5"/>
    <w:rsid w:val="00D63692"/>
    <w:rsid w:val="00D637C1"/>
    <w:rsid w:val="00D637E3"/>
    <w:rsid w:val="00D63A6B"/>
    <w:rsid w:val="00D63DE0"/>
    <w:rsid w:val="00D63DED"/>
    <w:rsid w:val="00D63F73"/>
    <w:rsid w:val="00D64401"/>
    <w:rsid w:val="00D65922"/>
    <w:rsid w:val="00D66FD3"/>
    <w:rsid w:val="00D675D2"/>
    <w:rsid w:val="00D70628"/>
    <w:rsid w:val="00D71024"/>
    <w:rsid w:val="00D7153C"/>
    <w:rsid w:val="00D71C50"/>
    <w:rsid w:val="00D728DB"/>
    <w:rsid w:val="00D733A0"/>
    <w:rsid w:val="00D7393C"/>
    <w:rsid w:val="00D747F2"/>
    <w:rsid w:val="00D75932"/>
    <w:rsid w:val="00D75F6E"/>
    <w:rsid w:val="00D766AA"/>
    <w:rsid w:val="00D7674C"/>
    <w:rsid w:val="00D768E4"/>
    <w:rsid w:val="00D77015"/>
    <w:rsid w:val="00D77144"/>
    <w:rsid w:val="00D775AD"/>
    <w:rsid w:val="00D810D8"/>
    <w:rsid w:val="00D812D1"/>
    <w:rsid w:val="00D81CF7"/>
    <w:rsid w:val="00D81DDA"/>
    <w:rsid w:val="00D8214D"/>
    <w:rsid w:val="00D82993"/>
    <w:rsid w:val="00D82F93"/>
    <w:rsid w:val="00D83AAC"/>
    <w:rsid w:val="00D83B88"/>
    <w:rsid w:val="00D85551"/>
    <w:rsid w:val="00D85E88"/>
    <w:rsid w:val="00D8632C"/>
    <w:rsid w:val="00D87433"/>
    <w:rsid w:val="00D90F92"/>
    <w:rsid w:val="00D910D0"/>
    <w:rsid w:val="00D91495"/>
    <w:rsid w:val="00D9172D"/>
    <w:rsid w:val="00D92075"/>
    <w:rsid w:val="00D92807"/>
    <w:rsid w:val="00D9389E"/>
    <w:rsid w:val="00D9410B"/>
    <w:rsid w:val="00D94253"/>
    <w:rsid w:val="00D9430D"/>
    <w:rsid w:val="00D9490B"/>
    <w:rsid w:val="00D94F5E"/>
    <w:rsid w:val="00D9593A"/>
    <w:rsid w:val="00D95B54"/>
    <w:rsid w:val="00D9625E"/>
    <w:rsid w:val="00D975F9"/>
    <w:rsid w:val="00D97945"/>
    <w:rsid w:val="00D97DF0"/>
    <w:rsid w:val="00DA033B"/>
    <w:rsid w:val="00DA0743"/>
    <w:rsid w:val="00DA0E3B"/>
    <w:rsid w:val="00DA19E7"/>
    <w:rsid w:val="00DA1A61"/>
    <w:rsid w:val="00DA208C"/>
    <w:rsid w:val="00DA317E"/>
    <w:rsid w:val="00DA34D4"/>
    <w:rsid w:val="00DA3E37"/>
    <w:rsid w:val="00DA4996"/>
    <w:rsid w:val="00DA546D"/>
    <w:rsid w:val="00DA5775"/>
    <w:rsid w:val="00DA5B17"/>
    <w:rsid w:val="00DA6E9E"/>
    <w:rsid w:val="00DA6EAE"/>
    <w:rsid w:val="00DA6F9B"/>
    <w:rsid w:val="00DA7366"/>
    <w:rsid w:val="00DA74AF"/>
    <w:rsid w:val="00DB063D"/>
    <w:rsid w:val="00DB086A"/>
    <w:rsid w:val="00DB0AD6"/>
    <w:rsid w:val="00DB1852"/>
    <w:rsid w:val="00DB1E7B"/>
    <w:rsid w:val="00DB3404"/>
    <w:rsid w:val="00DB3F07"/>
    <w:rsid w:val="00DB5A18"/>
    <w:rsid w:val="00DB5B28"/>
    <w:rsid w:val="00DB6489"/>
    <w:rsid w:val="00DB7D0C"/>
    <w:rsid w:val="00DC0962"/>
    <w:rsid w:val="00DC2651"/>
    <w:rsid w:val="00DC2913"/>
    <w:rsid w:val="00DC291D"/>
    <w:rsid w:val="00DC3EAB"/>
    <w:rsid w:val="00DC4207"/>
    <w:rsid w:val="00DC475C"/>
    <w:rsid w:val="00DC4A4C"/>
    <w:rsid w:val="00DC4F5F"/>
    <w:rsid w:val="00DC516D"/>
    <w:rsid w:val="00DC58EE"/>
    <w:rsid w:val="00DC5D1D"/>
    <w:rsid w:val="00DC6971"/>
    <w:rsid w:val="00DC6FB7"/>
    <w:rsid w:val="00DC7A6C"/>
    <w:rsid w:val="00DC7F6B"/>
    <w:rsid w:val="00DD05EA"/>
    <w:rsid w:val="00DD072F"/>
    <w:rsid w:val="00DD1041"/>
    <w:rsid w:val="00DD13DA"/>
    <w:rsid w:val="00DD143C"/>
    <w:rsid w:val="00DD162A"/>
    <w:rsid w:val="00DD1B04"/>
    <w:rsid w:val="00DD32E4"/>
    <w:rsid w:val="00DD3BCB"/>
    <w:rsid w:val="00DD47C6"/>
    <w:rsid w:val="00DD49DF"/>
    <w:rsid w:val="00DD5D68"/>
    <w:rsid w:val="00DD618D"/>
    <w:rsid w:val="00DD65F5"/>
    <w:rsid w:val="00DE0325"/>
    <w:rsid w:val="00DE067D"/>
    <w:rsid w:val="00DE0B5B"/>
    <w:rsid w:val="00DE142B"/>
    <w:rsid w:val="00DE1B4C"/>
    <w:rsid w:val="00DE1E74"/>
    <w:rsid w:val="00DE22B7"/>
    <w:rsid w:val="00DE3817"/>
    <w:rsid w:val="00DE5AAD"/>
    <w:rsid w:val="00DE64B5"/>
    <w:rsid w:val="00DF0CBE"/>
    <w:rsid w:val="00DF16F9"/>
    <w:rsid w:val="00DF1BB0"/>
    <w:rsid w:val="00DF4E8E"/>
    <w:rsid w:val="00DF57C7"/>
    <w:rsid w:val="00DF5D03"/>
    <w:rsid w:val="00DF694B"/>
    <w:rsid w:val="00DF6B7A"/>
    <w:rsid w:val="00DF7648"/>
    <w:rsid w:val="00DF7C47"/>
    <w:rsid w:val="00E00957"/>
    <w:rsid w:val="00E023B2"/>
    <w:rsid w:val="00E02627"/>
    <w:rsid w:val="00E03008"/>
    <w:rsid w:val="00E03526"/>
    <w:rsid w:val="00E03F3D"/>
    <w:rsid w:val="00E0476A"/>
    <w:rsid w:val="00E05548"/>
    <w:rsid w:val="00E05EA8"/>
    <w:rsid w:val="00E065F5"/>
    <w:rsid w:val="00E068CF"/>
    <w:rsid w:val="00E06DD3"/>
    <w:rsid w:val="00E0765F"/>
    <w:rsid w:val="00E078FF"/>
    <w:rsid w:val="00E07F47"/>
    <w:rsid w:val="00E101AE"/>
    <w:rsid w:val="00E11420"/>
    <w:rsid w:val="00E11BD5"/>
    <w:rsid w:val="00E11C71"/>
    <w:rsid w:val="00E12528"/>
    <w:rsid w:val="00E12933"/>
    <w:rsid w:val="00E12E64"/>
    <w:rsid w:val="00E13657"/>
    <w:rsid w:val="00E137CB"/>
    <w:rsid w:val="00E139BB"/>
    <w:rsid w:val="00E150E2"/>
    <w:rsid w:val="00E153A8"/>
    <w:rsid w:val="00E179ED"/>
    <w:rsid w:val="00E207A8"/>
    <w:rsid w:val="00E20D45"/>
    <w:rsid w:val="00E21EF2"/>
    <w:rsid w:val="00E232AB"/>
    <w:rsid w:val="00E2411E"/>
    <w:rsid w:val="00E2413B"/>
    <w:rsid w:val="00E259C0"/>
    <w:rsid w:val="00E270C2"/>
    <w:rsid w:val="00E27184"/>
    <w:rsid w:val="00E2760B"/>
    <w:rsid w:val="00E276CE"/>
    <w:rsid w:val="00E316E4"/>
    <w:rsid w:val="00E31A1E"/>
    <w:rsid w:val="00E31A34"/>
    <w:rsid w:val="00E32601"/>
    <w:rsid w:val="00E32964"/>
    <w:rsid w:val="00E336B7"/>
    <w:rsid w:val="00E3390E"/>
    <w:rsid w:val="00E33A4F"/>
    <w:rsid w:val="00E33CED"/>
    <w:rsid w:val="00E3434A"/>
    <w:rsid w:val="00E34661"/>
    <w:rsid w:val="00E34E62"/>
    <w:rsid w:val="00E35B26"/>
    <w:rsid w:val="00E36AC3"/>
    <w:rsid w:val="00E4047F"/>
    <w:rsid w:val="00E4078C"/>
    <w:rsid w:val="00E40FAB"/>
    <w:rsid w:val="00E41BCF"/>
    <w:rsid w:val="00E41BE4"/>
    <w:rsid w:val="00E41E36"/>
    <w:rsid w:val="00E430CA"/>
    <w:rsid w:val="00E444BC"/>
    <w:rsid w:val="00E46413"/>
    <w:rsid w:val="00E47938"/>
    <w:rsid w:val="00E50B09"/>
    <w:rsid w:val="00E5190D"/>
    <w:rsid w:val="00E52335"/>
    <w:rsid w:val="00E526DC"/>
    <w:rsid w:val="00E534F0"/>
    <w:rsid w:val="00E54802"/>
    <w:rsid w:val="00E54897"/>
    <w:rsid w:val="00E54D32"/>
    <w:rsid w:val="00E55DD0"/>
    <w:rsid w:val="00E55EBF"/>
    <w:rsid w:val="00E56354"/>
    <w:rsid w:val="00E5654D"/>
    <w:rsid w:val="00E56570"/>
    <w:rsid w:val="00E5788A"/>
    <w:rsid w:val="00E5795C"/>
    <w:rsid w:val="00E6006E"/>
    <w:rsid w:val="00E603D6"/>
    <w:rsid w:val="00E6044C"/>
    <w:rsid w:val="00E61495"/>
    <w:rsid w:val="00E61BC6"/>
    <w:rsid w:val="00E61F7E"/>
    <w:rsid w:val="00E62534"/>
    <w:rsid w:val="00E629AD"/>
    <w:rsid w:val="00E62AF5"/>
    <w:rsid w:val="00E632BE"/>
    <w:rsid w:val="00E640C9"/>
    <w:rsid w:val="00E65BBF"/>
    <w:rsid w:val="00E66163"/>
    <w:rsid w:val="00E66C1F"/>
    <w:rsid w:val="00E66FD1"/>
    <w:rsid w:val="00E6759C"/>
    <w:rsid w:val="00E67B6C"/>
    <w:rsid w:val="00E67EDA"/>
    <w:rsid w:val="00E707CD"/>
    <w:rsid w:val="00E70A6C"/>
    <w:rsid w:val="00E710C1"/>
    <w:rsid w:val="00E710D1"/>
    <w:rsid w:val="00E7292A"/>
    <w:rsid w:val="00E72B18"/>
    <w:rsid w:val="00E73024"/>
    <w:rsid w:val="00E73C98"/>
    <w:rsid w:val="00E73F1E"/>
    <w:rsid w:val="00E74502"/>
    <w:rsid w:val="00E74D1E"/>
    <w:rsid w:val="00E75D3F"/>
    <w:rsid w:val="00E76DBA"/>
    <w:rsid w:val="00E80301"/>
    <w:rsid w:val="00E80DB9"/>
    <w:rsid w:val="00E8184F"/>
    <w:rsid w:val="00E81E90"/>
    <w:rsid w:val="00E82561"/>
    <w:rsid w:val="00E829F8"/>
    <w:rsid w:val="00E82D6B"/>
    <w:rsid w:val="00E842FD"/>
    <w:rsid w:val="00E84385"/>
    <w:rsid w:val="00E848DC"/>
    <w:rsid w:val="00E8498D"/>
    <w:rsid w:val="00E87E8B"/>
    <w:rsid w:val="00E90625"/>
    <w:rsid w:val="00E915F8"/>
    <w:rsid w:val="00E9197E"/>
    <w:rsid w:val="00E91C46"/>
    <w:rsid w:val="00E96181"/>
    <w:rsid w:val="00E96245"/>
    <w:rsid w:val="00E9627F"/>
    <w:rsid w:val="00E966B7"/>
    <w:rsid w:val="00E966F2"/>
    <w:rsid w:val="00EA0414"/>
    <w:rsid w:val="00EA20D0"/>
    <w:rsid w:val="00EA256F"/>
    <w:rsid w:val="00EA2F14"/>
    <w:rsid w:val="00EA3123"/>
    <w:rsid w:val="00EA38DF"/>
    <w:rsid w:val="00EA3AC6"/>
    <w:rsid w:val="00EA46FE"/>
    <w:rsid w:val="00EA4803"/>
    <w:rsid w:val="00EA5608"/>
    <w:rsid w:val="00EA734D"/>
    <w:rsid w:val="00EA74A1"/>
    <w:rsid w:val="00EA7AB8"/>
    <w:rsid w:val="00EA7D61"/>
    <w:rsid w:val="00EB0270"/>
    <w:rsid w:val="00EB0404"/>
    <w:rsid w:val="00EB06D1"/>
    <w:rsid w:val="00EB06DD"/>
    <w:rsid w:val="00EB2D39"/>
    <w:rsid w:val="00EB32A8"/>
    <w:rsid w:val="00EB3CF3"/>
    <w:rsid w:val="00EB3F25"/>
    <w:rsid w:val="00EB434B"/>
    <w:rsid w:val="00EB591A"/>
    <w:rsid w:val="00EB5F99"/>
    <w:rsid w:val="00EB720B"/>
    <w:rsid w:val="00EB746F"/>
    <w:rsid w:val="00EB7513"/>
    <w:rsid w:val="00EB7791"/>
    <w:rsid w:val="00EC03B8"/>
    <w:rsid w:val="00EC0647"/>
    <w:rsid w:val="00EC0A51"/>
    <w:rsid w:val="00EC12E5"/>
    <w:rsid w:val="00EC1F3C"/>
    <w:rsid w:val="00EC340D"/>
    <w:rsid w:val="00EC47CE"/>
    <w:rsid w:val="00EC4B23"/>
    <w:rsid w:val="00EC4C4F"/>
    <w:rsid w:val="00EC4D70"/>
    <w:rsid w:val="00EC564C"/>
    <w:rsid w:val="00EC5BD4"/>
    <w:rsid w:val="00EC5D53"/>
    <w:rsid w:val="00EC6104"/>
    <w:rsid w:val="00EC612C"/>
    <w:rsid w:val="00EC70C5"/>
    <w:rsid w:val="00EC7BAC"/>
    <w:rsid w:val="00ED0FC0"/>
    <w:rsid w:val="00ED1EBF"/>
    <w:rsid w:val="00ED2C9E"/>
    <w:rsid w:val="00ED343D"/>
    <w:rsid w:val="00ED3827"/>
    <w:rsid w:val="00ED386F"/>
    <w:rsid w:val="00ED40D2"/>
    <w:rsid w:val="00ED41E6"/>
    <w:rsid w:val="00ED5FEB"/>
    <w:rsid w:val="00ED6906"/>
    <w:rsid w:val="00ED6B49"/>
    <w:rsid w:val="00ED7784"/>
    <w:rsid w:val="00EE052C"/>
    <w:rsid w:val="00EE0555"/>
    <w:rsid w:val="00EE1A2F"/>
    <w:rsid w:val="00EE1A5A"/>
    <w:rsid w:val="00EE1AA3"/>
    <w:rsid w:val="00EE1EBD"/>
    <w:rsid w:val="00EE1EC7"/>
    <w:rsid w:val="00EE2B21"/>
    <w:rsid w:val="00EE2B97"/>
    <w:rsid w:val="00EE2BC2"/>
    <w:rsid w:val="00EE3466"/>
    <w:rsid w:val="00EE3D14"/>
    <w:rsid w:val="00EE40BF"/>
    <w:rsid w:val="00EE4184"/>
    <w:rsid w:val="00EE54C2"/>
    <w:rsid w:val="00EE58E7"/>
    <w:rsid w:val="00EE719C"/>
    <w:rsid w:val="00EE7401"/>
    <w:rsid w:val="00EF0680"/>
    <w:rsid w:val="00EF0FE9"/>
    <w:rsid w:val="00EF11B0"/>
    <w:rsid w:val="00EF137F"/>
    <w:rsid w:val="00EF1EBB"/>
    <w:rsid w:val="00EF2698"/>
    <w:rsid w:val="00EF380B"/>
    <w:rsid w:val="00EF4708"/>
    <w:rsid w:val="00EF4918"/>
    <w:rsid w:val="00EF5CD3"/>
    <w:rsid w:val="00EF6B9E"/>
    <w:rsid w:val="00EF6D4F"/>
    <w:rsid w:val="00EF6F69"/>
    <w:rsid w:val="00EF7029"/>
    <w:rsid w:val="00EF71D1"/>
    <w:rsid w:val="00EF725E"/>
    <w:rsid w:val="00F0042C"/>
    <w:rsid w:val="00F020F8"/>
    <w:rsid w:val="00F036DE"/>
    <w:rsid w:val="00F03890"/>
    <w:rsid w:val="00F03A48"/>
    <w:rsid w:val="00F042E9"/>
    <w:rsid w:val="00F04461"/>
    <w:rsid w:val="00F063D8"/>
    <w:rsid w:val="00F067E8"/>
    <w:rsid w:val="00F077AB"/>
    <w:rsid w:val="00F07F89"/>
    <w:rsid w:val="00F11244"/>
    <w:rsid w:val="00F114E1"/>
    <w:rsid w:val="00F11821"/>
    <w:rsid w:val="00F13213"/>
    <w:rsid w:val="00F160CD"/>
    <w:rsid w:val="00F16850"/>
    <w:rsid w:val="00F17063"/>
    <w:rsid w:val="00F200DB"/>
    <w:rsid w:val="00F20B0A"/>
    <w:rsid w:val="00F21D0F"/>
    <w:rsid w:val="00F22D88"/>
    <w:rsid w:val="00F240C0"/>
    <w:rsid w:val="00F252FD"/>
    <w:rsid w:val="00F258C1"/>
    <w:rsid w:val="00F265B3"/>
    <w:rsid w:val="00F3079A"/>
    <w:rsid w:val="00F30A01"/>
    <w:rsid w:val="00F31348"/>
    <w:rsid w:val="00F315C2"/>
    <w:rsid w:val="00F31683"/>
    <w:rsid w:val="00F32505"/>
    <w:rsid w:val="00F32D8A"/>
    <w:rsid w:val="00F33039"/>
    <w:rsid w:val="00F33DC8"/>
    <w:rsid w:val="00F34B03"/>
    <w:rsid w:val="00F35439"/>
    <w:rsid w:val="00F361C5"/>
    <w:rsid w:val="00F36507"/>
    <w:rsid w:val="00F3674F"/>
    <w:rsid w:val="00F40AFC"/>
    <w:rsid w:val="00F40DD5"/>
    <w:rsid w:val="00F40F6F"/>
    <w:rsid w:val="00F40F86"/>
    <w:rsid w:val="00F42165"/>
    <w:rsid w:val="00F42D9F"/>
    <w:rsid w:val="00F4307E"/>
    <w:rsid w:val="00F433B3"/>
    <w:rsid w:val="00F43695"/>
    <w:rsid w:val="00F4631A"/>
    <w:rsid w:val="00F46A7F"/>
    <w:rsid w:val="00F46FEE"/>
    <w:rsid w:val="00F4754D"/>
    <w:rsid w:val="00F508C6"/>
    <w:rsid w:val="00F512D9"/>
    <w:rsid w:val="00F52488"/>
    <w:rsid w:val="00F5305A"/>
    <w:rsid w:val="00F5433A"/>
    <w:rsid w:val="00F55091"/>
    <w:rsid w:val="00F5551C"/>
    <w:rsid w:val="00F5639D"/>
    <w:rsid w:val="00F56994"/>
    <w:rsid w:val="00F56B2B"/>
    <w:rsid w:val="00F57690"/>
    <w:rsid w:val="00F60A31"/>
    <w:rsid w:val="00F61AD8"/>
    <w:rsid w:val="00F62F81"/>
    <w:rsid w:val="00F63F0B"/>
    <w:rsid w:val="00F656ED"/>
    <w:rsid w:val="00F65C5D"/>
    <w:rsid w:val="00F665FF"/>
    <w:rsid w:val="00F666E3"/>
    <w:rsid w:val="00F670EC"/>
    <w:rsid w:val="00F67286"/>
    <w:rsid w:val="00F70639"/>
    <w:rsid w:val="00F707A7"/>
    <w:rsid w:val="00F70AF9"/>
    <w:rsid w:val="00F70CB0"/>
    <w:rsid w:val="00F71043"/>
    <w:rsid w:val="00F71309"/>
    <w:rsid w:val="00F714EA"/>
    <w:rsid w:val="00F71867"/>
    <w:rsid w:val="00F71A5E"/>
    <w:rsid w:val="00F71EE0"/>
    <w:rsid w:val="00F71FE0"/>
    <w:rsid w:val="00F7226C"/>
    <w:rsid w:val="00F730C1"/>
    <w:rsid w:val="00F73707"/>
    <w:rsid w:val="00F73B56"/>
    <w:rsid w:val="00F76375"/>
    <w:rsid w:val="00F763AF"/>
    <w:rsid w:val="00F76F86"/>
    <w:rsid w:val="00F770CA"/>
    <w:rsid w:val="00F779CA"/>
    <w:rsid w:val="00F80703"/>
    <w:rsid w:val="00F808B9"/>
    <w:rsid w:val="00F80973"/>
    <w:rsid w:val="00F80A98"/>
    <w:rsid w:val="00F80DDB"/>
    <w:rsid w:val="00F82A54"/>
    <w:rsid w:val="00F82B51"/>
    <w:rsid w:val="00F8380D"/>
    <w:rsid w:val="00F83F9D"/>
    <w:rsid w:val="00F85BAC"/>
    <w:rsid w:val="00F85F3F"/>
    <w:rsid w:val="00F8793B"/>
    <w:rsid w:val="00F87A2D"/>
    <w:rsid w:val="00F87B99"/>
    <w:rsid w:val="00F87CE0"/>
    <w:rsid w:val="00F908DE"/>
    <w:rsid w:val="00F90999"/>
    <w:rsid w:val="00F90BC9"/>
    <w:rsid w:val="00F90C57"/>
    <w:rsid w:val="00F91213"/>
    <w:rsid w:val="00F91ACB"/>
    <w:rsid w:val="00F91AE0"/>
    <w:rsid w:val="00F927C6"/>
    <w:rsid w:val="00F927EE"/>
    <w:rsid w:val="00F936AC"/>
    <w:rsid w:val="00F93948"/>
    <w:rsid w:val="00F94F5F"/>
    <w:rsid w:val="00F953BF"/>
    <w:rsid w:val="00F958FB"/>
    <w:rsid w:val="00F97B52"/>
    <w:rsid w:val="00FA062F"/>
    <w:rsid w:val="00FA0779"/>
    <w:rsid w:val="00FA12D1"/>
    <w:rsid w:val="00FA1F95"/>
    <w:rsid w:val="00FA274D"/>
    <w:rsid w:val="00FA290E"/>
    <w:rsid w:val="00FA3E60"/>
    <w:rsid w:val="00FA45CF"/>
    <w:rsid w:val="00FA6849"/>
    <w:rsid w:val="00FA7227"/>
    <w:rsid w:val="00FB04A0"/>
    <w:rsid w:val="00FB0A60"/>
    <w:rsid w:val="00FB0E6E"/>
    <w:rsid w:val="00FB1DEC"/>
    <w:rsid w:val="00FB211C"/>
    <w:rsid w:val="00FB2625"/>
    <w:rsid w:val="00FB3184"/>
    <w:rsid w:val="00FB38CC"/>
    <w:rsid w:val="00FB46B8"/>
    <w:rsid w:val="00FB4AC3"/>
    <w:rsid w:val="00FB58DA"/>
    <w:rsid w:val="00FB5E17"/>
    <w:rsid w:val="00FC0ED9"/>
    <w:rsid w:val="00FC0EFA"/>
    <w:rsid w:val="00FC13DA"/>
    <w:rsid w:val="00FC18A1"/>
    <w:rsid w:val="00FC18D6"/>
    <w:rsid w:val="00FC196B"/>
    <w:rsid w:val="00FC2B45"/>
    <w:rsid w:val="00FC2FEF"/>
    <w:rsid w:val="00FC398E"/>
    <w:rsid w:val="00FC3FA2"/>
    <w:rsid w:val="00FC4197"/>
    <w:rsid w:val="00FC4C26"/>
    <w:rsid w:val="00FC4F5F"/>
    <w:rsid w:val="00FC549D"/>
    <w:rsid w:val="00FC5D50"/>
    <w:rsid w:val="00FC60B4"/>
    <w:rsid w:val="00FC65BF"/>
    <w:rsid w:val="00FC68D8"/>
    <w:rsid w:val="00FC715B"/>
    <w:rsid w:val="00FD12C2"/>
    <w:rsid w:val="00FD224C"/>
    <w:rsid w:val="00FD2ACF"/>
    <w:rsid w:val="00FD32DB"/>
    <w:rsid w:val="00FD439C"/>
    <w:rsid w:val="00FD4A24"/>
    <w:rsid w:val="00FD5394"/>
    <w:rsid w:val="00FD57A5"/>
    <w:rsid w:val="00FD6603"/>
    <w:rsid w:val="00FD701F"/>
    <w:rsid w:val="00FD73A1"/>
    <w:rsid w:val="00FD7735"/>
    <w:rsid w:val="00FD792C"/>
    <w:rsid w:val="00FE0025"/>
    <w:rsid w:val="00FE0085"/>
    <w:rsid w:val="00FE0C9C"/>
    <w:rsid w:val="00FE10A5"/>
    <w:rsid w:val="00FE126B"/>
    <w:rsid w:val="00FE23C9"/>
    <w:rsid w:val="00FE2C86"/>
    <w:rsid w:val="00FE2C99"/>
    <w:rsid w:val="00FE2F24"/>
    <w:rsid w:val="00FE322F"/>
    <w:rsid w:val="00FE348F"/>
    <w:rsid w:val="00FE4F37"/>
    <w:rsid w:val="00FE5193"/>
    <w:rsid w:val="00FE57C2"/>
    <w:rsid w:val="00FE58CF"/>
    <w:rsid w:val="00FE60EF"/>
    <w:rsid w:val="00FE610C"/>
    <w:rsid w:val="00FE63D5"/>
    <w:rsid w:val="00FE6FF5"/>
    <w:rsid w:val="00FE708F"/>
    <w:rsid w:val="00FF009B"/>
    <w:rsid w:val="00FF0633"/>
    <w:rsid w:val="00FF0871"/>
    <w:rsid w:val="00FF08AB"/>
    <w:rsid w:val="00FF0FA3"/>
    <w:rsid w:val="00FF12EE"/>
    <w:rsid w:val="00FF1C07"/>
    <w:rsid w:val="00FF1D4F"/>
    <w:rsid w:val="00FF1EE2"/>
    <w:rsid w:val="00FF2668"/>
    <w:rsid w:val="00FF3C9D"/>
    <w:rsid w:val="00FF468A"/>
    <w:rsid w:val="00FF48AF"/>
    <w:rsid w:val="00FF48B0"/>
    <w:rsid w:val="00FF499E"/>
    <w:rsid w:val="00FF4B7A"/>
    <w:rsid w:val="00FF4E63"/>
    <w:rsid w:val="00FF5690"/>
    <w:rsid w:val="00FF6DB2"/>
    <w:rsid w:val="00FF720E"/>
    <w:rsid w:val="00FF7E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9F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BE"/>
    <w:pPr>
      <w:spacing w:after="0" w:line="240" w:lineRule="auto"/>
      <w:jc w:val="both"/>
    </w:pPr>
    <w:rPr>
      <w:rFonts w:ascii="Verdana" w:eastAsia="Batang" w:hAnsi="Verdana" w:cs="Times"/>
      <w:sz w:val="20"/>
      <w:szCs w:val="24"/>
      <w:lang w:val="es-ES_tradnl"/>
    </w:rPr>
  </w:style>
  <w:style w:type="paragraph" w:styleId="Heading1">
    <w:name w:val="heading 1"/>
    <w:basedOn w:val="Normal"/>
    <w:next w:val="Normal"/>
    <w:link w:val="Heading1Char"/>
    <w:uiPriority w:val="9"/>
    <w:qFormat/>
    <w:rsid w:val="009569E6"/>
    <w:pPr>
      <w:keepNext/>
      <w:keepLines/>
      <w:spacing w:before="360" w:after="3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unhideWhenUsed/>
    <w:qFormat/>
    <w:rsid w:val="00F80D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0DDB"/>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9"/>
    <w:unhideWhenUsed/>
    <w:qFormat/>
    <w:rsid w:val="00F80D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9A2F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9A2F04"/>
    <w:pPr>
      <w:keepNext w:val="0"/>
      <w:keepLines w:val="0"/>
      <w:numPr>
        <w:ilvl w:val="4"/>
        <w:numId w:val="3"/>
      </w:numPr>
      <w:spacing w:before="0"/>
      <w:outlineLvl w:val="5"/>
    </w:pPr>
    <w:rPr>
      <w:rFonts w:ascii="Verdana" w:eastAsia="Times New Roman" w:hAnsi="Verdana" w:cs="Times New Roman"/>
      <w:color w:val="auto"/>
      <w:spacing w:val="-2"/>
      <w:szCs w:val="20"/>
      <w:lang w:eastAsia="es-CR"/>
    </w:rPr>
  </w:style>
  <w:style w:type="paragraph" w:styleId="Heading7">
    <w:name w:val="heading 7"/>
    <w:basedOn w:val="Normal"/>
    <w:next w:val="Normal"/>
    <w:link w:val="Heading7Char"/>
    <w:uiPriority w:val="99"/>
    <w:qFormat/>
    <w:rsid w:val="00BD53D7"/>
    <w:pPr>
      <w:tabs>
        <w:tab w:val="num" w:pos="1296"/>
      </w:tabs>
      <w:spacing w:before="240" w:after="60" w:line="276" w:lineRule="auto"/>
      <w:ind w:left="1296" w:hanging="1296"/>
      <w:jc w:val="left"/>
      <w:outlineLvl w:val="6"/>
    </w:pPr>
    <w:rPr>
      <w:rFonts w:ascii="Times New Roman" w:eastAsia="Times New Roman" w:hAnsi="Times New Roman" w:cs="Times New Roman"/>
      <w:sz w:val="24"/>
      <w:lang w:eastAsia="es-ES"/>
    </w:rPr>
  </w:style>
  <w:style w:type="paragraph" w:styleId="Heading8">
    <w:name w:val="heading 8"/>
    <w:basedOn w:val="Normal"/>
    <w:next w:val="Normal"/>
    <w:link w:val="Heading8Char"/>
    <w:uiPriority w:val="99"/>
    <w:qFormat/>
    <w:rsid w:val="00BD53D7"/>
    <w:pPr>
      <w:tabs>
        <w:tab w:val="num" w:pos="1440"/>
      </w:tabs>
      <w:spacing w:before="240" w:after="60" w:line="276" w:lineRule="auto"/>
      <w:ind w:left="1440" w:hanging="1440"/>
      <w:jc w:val="left"/>
      <w:outlineLvl w:val="7"/>
    </w:pPr>
    <w:rPr>
      <w:rFonts w:ascii="Times New Roman" w:eastAsia="Times New Roman" w:hAnsi="Times New Roman" w:cs="Times New Roman"/>
      <w:i/>
      <w:iCs/>
      <w:sz w:val="24"/>
      <w:lang w:eastAsia="es-ES"/>
    </w:rPr>
  </w:style>
  <w:style w:type="paragraph" w:styleId="Heading9">
    <w:name w:val="heading 9"/>
    <w:basedOn w:val="Normal"/>
    <w:next w:val="Normal"/>
    <w:link w:val="Heading9Char"/>
    <w:uiPriority w:val="99"/>
    <w:qFormat/>
    <w:rsid w:val="00BD53D7"/>
    <w:pPr>
      <w:spacing w:before="240" w:after="60" w:line="276" w:lineRule="auto"/>
      <w:jc w:val="left"/>
      <w:outlineLvl w:val="8"/>
    </w:pPr>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03BF"/>
    <w:pPr>
      <w:jc w:val="center"/>
    </w:pPr>
    <w:rPr>
      <w:rFonts w:eastAsia="Times New Roman" w:cs="Times New Roman"/>
      <w:b/>
      <w:szCs w:val="20"/>
    </w:rPr>
  </w:style>
  <w:style w:type="character" w:customStyle="1" w:styleId="TitleChar">
    <w:name w:val="Title Char"/>
    <w:basedOn w:val="DefaultParagraphFont"/>
    <w:link w:val="Title"/>
    <w:rsid w:val="009403BF"/>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9403BF"/>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9403BF"/>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9403BF"/>
    <w:pPr>
      <w:ind w:left="708"/>
    </w:pPr>
    <w:rPr>
      <w:rFonts w:eastAsia="Times New Roman" w:cs="Times New Roman"/>
      <w:szCs w:val="20"/>
    </w:rPr>
  </w:style>
  <w:style w:type="paragraph" w:styleId="Header">
    <w:name w:val="header"/>
    <w:basedOn w:val="Normal"/>
    <w:link w:val="HeaderChar"/>
    <w:uiPriority w:val="99"/>
    <w:unhideWhenUsed/>
    <w:rsid w:val="009403BF"/>
    <w:pPr>
      <w:tabs>
        <w:tab w:val="center" w:pos="4252"/>
        <w:tab w:val="right" w:pos="8504"/>
      </w:tabs>
    </w:pPr>
  </w:style>
  <w:style w:type="character" w:customStyle="1" w:styleId="HeaderChar">
    <w:name w:val="Header Char"/>
    <w:basedOn w:val="DefaultParagraphFont"/>
    <w:link w:val="Header"/>
    <w:uiPriority w:val="99"/>
    <w:rsid w:val="009403BF"/>
    <w:rPr>
      <w:rFonts w:ascii="Verdana" w:eastAsia="Batang" w:hAnsi="Verdana" w:cs="Times"/>
      <w:noProof/>
      <w:sz w:val="20"/>
      <w:szCs w:val="24"/>
      <w:lang w:val="es-ES_tradnl"/>
    </w:rPr>
  </w:style>
  <w:style w:type="paragraph" w:styleId="Footer">
    <w:name w:val="footer"/>
    <w:basedOn w:val="Normal"/>
    <w:link w:val="FooterChar"/>
    <w:uiPriority w:val="99"/>
    <w:unhideWhenUsed/>
    <w:rsid w:val="009403BF"/>
    <w:pPr>
      <w:tabs>
        <w:tab w:val="center" w:pos="4252"/>
        <w:tab w:val="right" w:pos="8504"/>
      </w:tabs>
    </w:pPr>
  </w:style>
  <w:style w:type="character" w:customStyle="1" w:styleId="FooterChar">
    <w:name w:val="Footer Char"/>
    <w:basedOn w:val="DefaultParagraphFont"/>
    <w:link w:val="Footer"/>
    <w:uiPriority w:val="99"/>
    <w:rsid w:val="009403BF"/>
    <w:rPr>
      <w:rFonts w:ascii="Verdana" w:eastAsia="Batang" w:hAnsi="Verdana" w:cs="Times"/>
      <w:noProof/>
      <w:sz w:val="20"/>
      <w:szCs w:val="24"/>
      <w:lang w:val="es-ES_tradnl"/>
    </w:rPr>
  </w:style>
  <w:style w:type="character" w:styleId="Hyperlink">
    <w:name w:val="Hyperlink"/>
    <w:aliases w:val="Heading 3 caso"/>
    <w:basedOn w:val="DefaultParagraphFont"/>
    <w:uiPriority w:val="99"/>
    <w:unhideWhenUsed/>
    <w:rsid w:val="009403BF"/>
    <w:rPr>
      <w:color w:val="0000FF"/>
      <w:u w:val="single"/>
    </w:rPr>
  </w:style>
  <w:style w:type="paragraph" w:styleId="TOC1">
    <w:name w:val="toc 1"/>
    <w:basedOn w:val="Normal"/>
    <w:next w:val="Normal"/>
    <w:autoRedefine/>
    <w:uiPriority w:val="39"/>
    <w:unhideWhenUsed/>
    <w:rsid w:val="003E0964"/>
    <w:pPr>
      <w:tabs>
        <w:tab w:val="left" w:pos="709"/>
        <w:tab w:val="right" w:leader="dot" w:pos="9072"/>
      </w:tabs>
      <w:spacing w:before="60" w:after="60"/>
      <w:ind w:right="237"/>
    </w:pPr>
    <w:rPr>
      <w:b/>
      <w:sz w:val="18"/>
    </w:rPr>
  </w:style>
  <w:style w:type="character" w:customStyle="1" w:styleId="Heading1Char">
    <w:name w:val="Heading 1 Char"/>
    <w:basedOn w:val="DefaultParagraphFont"/>
    <w:link w:val="Heading1"/>
    <w:uiPriority w:val="9"/>
    <w:rsid w:val="009569E6"/>
    <w:rPr>
      <w:rFonts w:ascii="Verdana" w:eastAsia="Times New Roman" w:hAnsi="Verdana" w:cs="Verdana"/>
      <w:b/>
      <w:bCs/>
      <w:caps/>
      <w:noProof/>
      <w:snapToGrid w:val="0"/>
      <w:sz w:val="20"/>
      <w:szCs w:val="20"/>
      <w:lang w:val="es-CR" w:eastAsia="es-ES"/>
    </w:rPr>
  </w:style>
  <w:style w:type="paragraph" w:styleId="ListParagraph">
    <w:name w:val="List Paragraph"/>
    <w:aliases w:val="Footnote,List Paragraph1,Colorful List - Accent 11,Párrafo de lista1,List Paragraph2,Lista vistosa - Énfasis 11"/>
    <w:basedOn w:val="Normal"/>
    <w:link w:val="ListParagraphChar"/>
    <w:qFormat/>
    <w:rsid w:val="00CA3EC4"/>
    <w:pPr>
      <w:ind w:left="720"/>
      <w:contextualSpacing/>
    </w:p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qFormat/>
    <w:rsid w:val="006F5C6B"/>
    <w:rPr>
      <w:rFonts w:cs="Times New Roman"/>
      <w:szCs w:val="20"/>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FootnoteTextChar1"/>
    <w:uiPriority w:val="99"/>
    <w:unhideWhenUsed/>
    <w:qFormat/>
    <w:rsid w:val="006F5C6B"/>
    <w:pPr>
      <w:spacing w:before="120" w:after="120"/>
    </w:pPr>
    <w:rPr>
      <w:sz w:val="16"/>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DefaultParagraphFont"/>
    <w:uiPriority w:val="99"/>
    <w:qFormat/>
    <w:rsid w:val="006F5C6B"/>
    <w:rPr>
      <w:rFonts w:ascii="Verdana" w:eastAsia="Batang" w:hAnsi="Verdana" w:cs="Times"/>
      <w:noProof/>
      <w:sz w:val="20"/>
      <w:szCs w:val="20"/>
      <w:lang w:val="es-ES_tradnl"/>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link w:val="FootnoteText"/>
    <w:uiPriority w:val="99"/>
    <w:rsid w:val="006F5C6B"/>
    <w:rPr>
      <w:rFonts w:ascii="Verdana" w:eastAsia="Batang" w:hAnsi="Verdana" w:cs="Times"/>
      <w:noProof/>
      <w:sz w:val="16"/>
      <w:szCs w:val="20"/>
      <w:lang w:val="es-ES_tradnl"/>
    </w:rPr>
  </w:style>
  <w:style w:type="character" w:styleId="Strong">
    <w:name w:val="Strong"/>
    <w:basedOn w:val="DefaultParagraphFont"/>
    <w:uiPriority w:val="22"/>
    <w:qFormat/>
    <w:rsid w:val="0003786A"/>
    <w:rPr>
      <w:b/>
      <w:bCs/>
    </w:rPr>
  </w:style>
  <w:style w:type="character" w:customStyle="1" w:styleId="ListParagraphChar">
    <w:name w:val="List Paragraph Char"/>
    <w:aliases w:val="Footnote Char,List Paragraph1 Char,Colorful List - Accent 11 Char,Párrafo de lista1 Char,List Paragraph2 Char,Lista vistosa - Énfasis 11 Char"/>
    <w:basedOn w:val="DefaultParagraphFont"/>
    <w:link w:val="ListParagraph"/>
    <w:locked/>
    <w:rsid w:val="00375DA4"/>
    <w:rPr>
      <w:rFonts w:ascii="Verdana" w:eastAsia="Batang" w:hAnsi="Verdana" w:cs="Times"/>
      <w:noProof/>
      <w:sz w:val="20"/>
      <w:szCs w:val="24"/>
      <w:lang w:val="es-ES_tradnl"/>
    </w:rPr>
  </w:style>
  <w:style w:type="paragraph" w:customStyle="1" w:styleId="Estilo1">
    <w:name w:val="Estilo1"/>
    <w:basedOn w:val="Normal"/>
    <w:link w:val="Estilo1Car"/>
    <w:qFormat/>
    <w:rsid w:val="00375DA4"/>
    <w:pPr>
      <w:spacing w:after="120"/>
      <w:ind w:left="2018" w:right="6" w:hanging="180"/>
    </w:pPr>
    <w:rPr>
      <w:i/>
    </w:rPr>
  </w:style>
  <w:style w:type="character" w:customStyle="1" w:styleId="Estilo1Car">
    <w:name w:val="Estilo1 Car"/>
    <w:basedOn w:val="DefaultParagraphFont"/>
    <w:link w:val="Estilo1"/>
    <w:rsid w:val="00375DA4"/>
    <w:rPr>
      <w:rFonts w:ascii="Verdana" w:eastAsia="Batang" w:hAnsi="Verdana" w:cs="Times"/>
      <w:i/>
      <w:noProof/>
      <w:sz w:val="20"/>
      <w:szCs w:val="24"/>
      <w:lang w:val="es-ES_tradnl"/>
    </w:rPr>
  </w:style>
  <w:style w:type="character" w:customStyle="1" w:styleId="apple-converted-space">
    <w:name w:val="apple-converted-space"/>
    <w:basedOn w:val="DefaultParagraphFont"/>
    <w:rsid w:val="003C30A5"/>
  </w:style>
  <w:style w:type="paragraph" w:styleId="TOCHeading">
    <w:name w:val="TOC Heading"/>
    <w:basedOn w:val="Heading1"/>
    <w:next w:val="Normal"/>
    <w:uiPriority w:val="39"/>
    <w:unhideWhenUsed/>
    <w:qFormat/>
    <w:rsid w:val="00206CEA"/>
    <w:pPr>
      <w:spacing w:before="480" w:after="0" w:line="276" w:lineRule="auto"/>
      <w:jc w:val="left"/>
      <w:outlineLvl w:val="9"/>
    </w:pPr>
    <w:rPr>
      <w:rFonts w:asciiTheme="majorHAnsi" w:eastAsiaTheme="majorEastAsia" w:hAnsiTheme="majorHAnsi" w:cstheme="majorBidi"/>
      <w:caps w:val="0"/>
      <w:snapToGrid/>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206CEA"/>
    <w:rPr>
      <w:rFonts w:ascii="Tahoma" w:hAnsi="Tahoma" w:cs="Tahoma"/>
      <w:sz w:val="16"/>
      <w:szCs w:val="16"/>
    </w:rPr>
  </w:style>
  <w:style w:type="character" w:customStyle="1" w:styleId="BalloonTextChar">
    <w:name w:val="Balloon Text Char"/>
    <w:basedOn w:val="DefaultParagraphFont"/>
    <w:link w:val="BalloonText"/>
    <w:uiPriority w:val="99"/>
    <w:semiHidden/>
    <w:rsid w:val="00206CEA"/>
    <w:rPr>
      <w:rFonts w:ascii="Tahoma" w:eastAsia="Batang" w:hAnsi="Tahoma" w:cs="Tahoma"/>
      <w:noProof/>
      <w:sz w:val="16"/>
      <w:szCs w:val="16"/>
      <w:lang w:val="es-ES_tradnl"/>
    </w:rPr>
  </w:style>
  <w:style w:type="table" w:styleId="TableGrid">
    <w:name w:val="Table Grid"/>
    <w:basedOn w:val="TableNormal"/>
    <w:uiPriority w:val="99"/>
    <w:rsid w:val="007E7F4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1E70AE"/>
    <w:pPr>
      <w:tabs>
        <w:tab w:val="left" w:pos="660"/>
        <w:tab w:val="right" w:leader="dot" w:pos="9072"/>
      </w:tabs>
      <w:spacing w:after="60"/>
      <w:ind w:left="198" w:right="237"/>
    </w:pPr>
    <w:rPr>
      <w:rFonts w:cs="Tahoma"/>
      <w:b/>
      <w:i/>
      <w:noProof/>
      <w:lang w:eastAsia="x-none"/>
    </w:rPr>
  </w:style>
  <w:style w:type="character" w:styleId="CommentReference">
    <w:name w:val="annotation reference"/>
    <w:basedOn w:val="DefaultParagraphFont"/>
    <w:uiPriority w:val="99"/>
    <w:semiHidden/>
    <w:unhideWhenUsed/>
    <w:rsid w:val="00500859"/>
    <w:rPr>
      <w:sz w:val="16"/>
      <w:szCs w:val="16"/>
    </w:rPr>
  </w:style>
  <w:style w:type="paragraph" w:styleId="CommentText">
    <w:name w:val="annotation text"/>
    <w:basedOn w:val="Normal"/>
    <w:link w:val="CommentTextChar"/>
    <w:uiPriority w:val="99"/>
    <w:unhideWhenUsed/>
    <w:rsid w:val="00500859"/>
    <w:rPr>
      <w:szCs w:val="20"/>
    </w:rPr>
  </w:style>
  <w:style w:type="character" w:customStyle="1" w:styleId="CommentTextChar">
    <w:name w:val="Comment Text Char"/>
    <w:basedOn w:val="DefaultParagraphFont"/>
    <w:link w:val="CommentText"/>
    <w:uiPriority w:val="99"/>
    <w:rsid w:val="00500859"/>
    <w:rPr>
      <w:rFonts w:ascii="Verdana" w:eastAsia="Batang" w:hAnsi="Verdana" w:cs="Times"/>
      <w:noProof/>
      <w:sz w:val="20"/>
      <w:szCs w:val="20"/>
      <w:lang w:val="es-ES_tradnl"/>
    </w:rPr>
  </w:style>
  <w:style w:type="paragraph" w:styleId="CommentSubject">
    <w:name w:val="annotation subject"/>
    <w:basedOn w:val="CommentText"/>
    <w:next w:val="CommentText"/>
    <w:link w:val="CommentSubjectChar"/>
    <w:uiPriority w:val="99"/>
    <w:semiHidden/>
    <w:unhideWhenUsed/>
    <w:rsid w:val="00500859"/>
    <w:rPr>
      <w:b/>
      <w:bCs/>
    </w:rPr>
  </w:style>
  <w:style w:type="character" w:customStyle="1" w:styleId="CommentSubjectChar">
    <w:name w:val="Comment Subject Char"/>
    <w:basedOn w:val="CommentTextChar"/>
    <w:link w:val="CommentSubject"/>
    <w:uiPriority w:val="99"/>
    <w:semiHidden/>
    <w:rsid w:val="00500859"/>
    <w:rPr>
      <w:rFonts w:ascii="Verdana" w:eastAsia="Batang" w:hAnsi="Verdana" w:cs="Times"/>
      <w:b/>
      <w:bCs/>
      <w:noProof/>
      <w:sz w:val="20"/>
      <w:szCs w:val="20"/>
      <w:lang w:val="es-ES_tradnl"/>
    </w:rPr>
  </w:style>
  <w:style w:type="paragraph" w:customStyle="1" w:styleId="Footnotes">
    <w:name w:val="**. Footnotes"/>
    <w:basedOn w:val="FootnoteText"/>
    <w:link w:val="FootnotesChar"/>
    <w:autoRedefine/>
    <w:qFormat/>
    <w:rsid w:val="005427F3"/>
    <w:pPr>
      <w:spacing w:before="60" w:after="60"/>
    </w:pPr>
    <w:rPr>
      <w:rFonts w:eastAsia="Times New Roman" w:cs="Palatino-Italic"/>
      <w:iCs/>
      <w:spacing w:val="-4"/>
      <w:szCs w:val="16"/>
      <w:lang w:val="es-ES" w:bidi="en-US"/>
    </w:rPr>
  </w:style>
  <w:style w:type="character" w:customStyle="1" w:styleId="FootnotesChar">
    <w:name w:val="**. Footnotes Char"/>
    <w:basedOn w:val="DefaultParagraphFont"/>
    <w:link w:val="Footnotes"/>
    <w:rsid w:val="005427F3"/>
    <w:rPr>
      <w:rFonts w:ascii="Verdana" w:eastAsia="Times New Roman" w:hAnsi="Verdana" w:cs="Palatino-Italic"/>
      <w:iCs/>
      <w:spacing w:val="-4"/>
      <w:sz w:val="16"/>
      <w:szCs w:val="16"/>
      <w:lang w:bidi="en-US"/>
    </w:rPr>
  </w:style>
  <w:style w:type="character" w:customStyle="1" w:styleId="Heading6Char">
    <w:name w:val="Heading 6 Char"/>
    <w:basedOn w:val="DefaultParagraphFont"/>
    <w:link w:val="Heading6"/>
    <w:uiPriority w:val="9"/>
    <w:rsid w:val="009A2F04"/>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9"/>
    <w:rsid w:val="009A2F04"/>
    <w:rPr>
      <w:rFonts w:asciiTheme="majorHAnsi" w:eastAsiaTheme="majorEastAsia" w:hAnsiTheme="majorHAnsi" w:cstheme="majorBidi"/>
      <w:noProof/>
      <w:color w:val="243F60" w:themeColor="accent1" w:themeShade="7F"/>
      <w:sz w:val="20"/>
      <w:szCs w:val="24"/>
      <w:lang w:val="es-ES_tradnl"/>
    </w:rPr>
  </w:style>
  <w:style w:type="character" w:customStyle="1" w:styleId="Heading2Char">
    <w:name w:val="Heading 2 Char"/>
    <w:basedOn w:val="DefaultParagraphFont"/>
    <w:link w:val="Heading2"/>
    <w:uiPriority w:val="9"/>
    <w:qFormat/>
    <w:rsid w:val="00F80DDB"/>
    <w:rPr>
      <w:rFonts w:asciiTheme="majorHAnsi" w:eastAsiaTheme="majorEastAsia" w:hAnsiTheme="majorHAnsi" w:cstheme="majorBidi"/>
      <w:b/>
      <w:bCs/>
      <w:noProof/>
      <w:color w:val="4F81BD" w:themeColor="accent1"/>
      <w:sz w:val="26"/>
      <w:szCs w:val="26"/>
      <w:lang w:val="es-ES_tradnl"/>
    </w:rPr>
  </w:style>
  <w:style w:type="character" w:customStyle="1" w:styleId="Heading3Char">
    <w:name w:val="Heading 3 Char"/>
    <w:basedOn w:val="DefaultParagraphFont"/>
    <w:link w:val="Heading3"/>
    <w:uiPriority w:val="9"/>
    <w:rsid w:val="00F80DDB"/>
    <w:rPr>
      <w:rFonts w:ascii="Verdana" w:eastAsiaTheme="majorEastAsia" w:hAnsi="Verdana" w:cstheme="majorBidi"/>
      <w:b/>
      <w:bCs/>
      <w:i/>
      <w:sz w:val="20"/>
      <w:szCs w:val="24"/>
      <w:lang w:val="es-ES_tradnl"/>
    </w:rPr>
  </w:style>
  <w:style w:type="character" w:customStyle="1" w:styleId="Heading4Char">
    <w:name w:val="Heading 4 Char"/>
    <w:basedOn w:val="DefaultParagraphFont"/>
    <w:link w:val="Heading4"/>
    <w:uiPriority w:val="99"/>
    <w:rsid w:val="00F80DDB"/>
    <w:rPr>
      <w:rFonts w:asciiTheme="majorHAnsi" w:eastAsiaTheme="majorEastAsia" w:hAnsiTheme="majorHAnsi" w:cstheme="majorBidi"/>
      <w:b/>
      <w:bCs/>
      <w:i/>
      <w:iCs/>
      <w:color w:val="4F81BD" w:themeColor="accent1"/>
      <w:sz w:val="20"/>
      <w:szCs w:val="24"/>
      <w:lang w:val="es-ES_tradnl"/>
    </w:rPr>
  </w:style>
  <w:style w:type="paragraph" w:customStyle="1" w:styleId="2Footnotes">
    <w:name w:val="2. Footnotes"/>
    <w:basedOn w:val="FootnoteText"/>
    <w:link w:val="2FootnotesChar"/>
    <w:autoRedefine/>
    <w:qFormat/>
    <w:rsid w:val="00F80DDB"/>
    <w:rPr>
      <w:rFonts w:eastAsia="Times New Roman" w:cs="Palatino-Italic"/>
      <w:iCs/>
      <w:szCs w:val="18"/>
      <w:lang w:val="es-ES"/>
    </w:rPr>
  </w:style>
  <w:style w:type="character" w:customStyle="1" w:styleId="2FootnotesChar">
    <w:name w:val="2. Footnotes Char"/>
    <w:link w:val="2Footnotes"/>
    <w:rsid w:val="00F80DDB"/>
    <w:rPr>
      <w:rFonts w:ascii="Verdana" w:eastAsia="Times New Roman" w:hAnsi="Verdana" w:cs="Palatino-Italic"/>
      <w:iCs/>
      <w:sz w:val="16"/>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80DDB"/>
    <w:rPr>
      <w:rFonts w:asciiTheme="minorHAnsi" w:eastAsiaTheme="minorHAnsi" w:hAnsiTheme="minorHAnsi" w:cs="Times New Roman"/>
      <w:sz w:val="22"/>
      <w:szCs w:val="20"/>
      <w:vertAlign w:val="superscript"/>
      <w:lang w:val="es-ES"/>
    </w:rPr>
  </w:style>
  <w:style w:type="character" w:customStyle="1" w:styleId="PrrafodeSentenciaChar">
    <w:name w:val="*. Párrafo de Sentencia Char"/>
    <w:link w:val="PrrafodeSentencia"/>
    <w:locked/>
    <w:rsid w:val="00CE4D25"/>
    <w:rPr>
      <w:rFonts w:ascii="Verdana" w:eastAsia="Batang" w:hAnsi="Verdana" w:cs="Arial"/>
      <w:sz w:val="20"/>
      <w:szCs w:val="20"/>
      <w:lang w:val="es-CR" w:eastAsia="es-MX"/>
    </w:rPr>
  </w:style>
  <w:style w:type="paragraph" w:customStyle="1" w:styleId="PrrafodeSentencia">
    <w:name w:val="*. Párrafo de Sentencia"/>
    <w:basedOn w:val="FootnoteText"/>
    <w:link w:val="PrrafodeSentenciaChar"/>
    <w:autoRedefine/>
    <w:qFormat/>
    <w:rsid w:val="00CE4D25"/>
    <w:pPr>
      <w:tabs>
        <w:tab w:val="left" w:pos="720"/>
      </w:tabs>
    </w:pPr>
    <w:rPr>
      <w:rFonts w:cs="Arial"/>
      <w:sz w:val="20"/>
      <w:lang w:val="es-CR" w:eastAsia="es-MX"/>
    </w:rPr>
  </w:style>
  <w:style w:type="character" w:customStyle="1" w:styleId="Smbolodenotaalpie">
    <w:name w:val="Símbolo de nota al pie"/>
    <w:rsid w:val="00577335"/>
    <w:rPr>
      <w:rFonts w:cs="Times New Roman"/>
      <w:szCs w:val="20"/>
      <w:vertAlign w:val="superscript"/>
    </w:rPr>
  </w:style>
  <w:style w:type="character" w:customStyle="1" w:styleId="Heading7Char">
    <w:name w:val="Heading 7 Char"/>
    <w:basedOn w:val="DefaultParagraphFont"/>
    <w:link w:val="Heading7"/>
    <w:uiPriority w:val="99"/>
    <w:rsid w:val="00BD53D7"/>
    <w:rPr>
      <w:rFonts w:ascii="Times New Roman" w:eastAsia="Times New Roman" w:hAnsi="Times New Roman" w:cs="Times New Roman"/>
      <w:sz w:val="24"/>
      <w:szCs w:val="24"/>
      <w:lang w:val="es-ES_tradnl" w:eastAsia="es-ES"/>
    </w:rPr>
  </w:style>
  <w:style w:type="character" w:customStyle="1" w:styleId="Heading8Char">
    <w:name w:val="Heading 8 Char"/>
    <w:basedOn w:val="DefaultParagraphFont"/>
    <w:link w:val="Heading8"/>
    <w:uiPriority w:val="99"/>
    <w:rsid w:val="00BD53D7"/>
    <w:rPr>
      <w:rFonts w:ascii="Times New Roman" w:eastAsia="Times New Roman" w:hAnsi="Times New Roman" w:cs="Times New Roman"/>
      <w:i/>
      <w:iCs/>
      <w:sz w:val="24"/>
      <w:szCs w:val="24"/>
      <w:lang w:val="es-ES_tradnl" w:eastAsia="es-ES"/>
    </w:rPr>
  </w:style>
  <w:style w:type="character" w:customStyle="1" w:styleId="Heading9Char">
    <w:name w:val="Heading 9 Char"/>
    <w:basedOn w:val="DefaultParagraphFont"/>
    <w:link w:val="Heading9"/>
    <w:uiPriority w:val="99"/>
    <w:rsid w:val="00BD53D7"/>
    <w:rPr>
      <w:rFonts w:ascii="Arial" w:eastAsia="Times New Roman" w:hAnsi="Arial" w:cs="Times New Roman"/>
      <w:lang w:val="es-ES_tradnl"/>
    </w:rPr>
  </w:style>
  <w:style w:type="character" w:styleId="LineNumber">
    <w:name w:val="line number"/>
    <w:basedOn w:val="DefaultParagraphFont"/>
    <w:uiPriority w:val="99"/>
    <w:semiHidden/>
    <w:unhideWhenUsed/>
    <w:rsid w:val="00BD53D7"/>
  </w:style>
  <w:style w:type="paragraph" w:styleId="NormalWeb">
    <w:name w:val="Normal (Web)"/>
    <w:aliases w:val="Normal (Web) Char1,Normal (Web) Char Char,Normal (Web) Char1 Char,Normal (Web) Char Char Char"/>
    <w:basedOn w:val="Normal"/>
    <w:uiPriority w:val="99"/>
    <w:rsid w:val="00BD53D7"/>
    <w:pPr>
      <w:spacing w:before="100" w:beforeAutospacing="1" w:after="100" w:afterAutospacing="1" w:line="276" w:lineRule="auto"/>
      <w:jc w:val="left"/>
    </w:pPr>
    <w:rPr>
      <w:rFonts w:ascii="Arial Unicode MS" w:eastAsia="Times New Roman" w:hAnsi="Arial Unicode MS" w:cs="Arial Unicode MS"/>
      <w:sz w:val="16"/>
      <w:szCs w:val="16"/>
      <w:lang w:val="en-US"/>
    </w:rPr>
  </w:style>
  <w:style w:type="paragraph" w:styleId="EndnoteText">
    <w:name w:val="endnote text"/>
    <w:basedOn w:val="Normal"/>
    <w:link w:val="EndnoteTextChar"/>
    <w:uiPriority w:val="99"/>
    <w:semiHidden/>
    <w:rsid w:val="00BD53D7"/>
    <w:pPr>
      <w:widowControl w:val="0"/>
      <w:tabs>
        <w:tab w:val="left" w:pos="720"/>
        <w:tab w:val="left" w:pos="1440"/>
        <w:tab w:val="left" w:pos="2160"/>
        <w:tab w:val="left" w:pos="2880"/>
        <w:tab w:val="left" w:pos="3600"/>
        <w:tab w:val="left" w:pos="4320"/>
        <w:tab w:val="left" w:pos="5760"/>
        <w:tab w:val="left" w:pos="6480"/>
        <w:tab w:val="left" w:pos="7200"/>
        <w:tab w:val="left" w:pos="7920"/>
      </w:tabs>
      <w:spacing w:before="60" w:after="60" w:line="276" w:lineRule="auto"/>
    </w:pPr>
    <w:rPr>
      <w:rFonts w:ascii="CG Times" w:eastAsia="Times New Roman" w:hAnsi="CG Times" w:cs="Times New Roman"/>
      <w:sz w:val="22"/>
      <w:szCs w:val="20"/>
      <w:lang w:val="es-ES"/>
    </w:rPr>
  </w:style>
  <w:style w:type="character" w:customStyle="1" w:styleId="EndnoteTextChar">
    <w:name w:val="Endnote Text Char"/>
    <w:basedOn w:val="DefaultParagraphFont"/>
    <w:link w:val="EndnoteText"/>
    <w:uiPriority w:val="99"/>
    <w:semiHidden/>
    <w:rsid w:val="00BD53D7"/>
    <w:rPr>
      <w:rFonts w:ascii="CG Times" w:eastAsia="Times New Roman" w:hAnsi="CG Times" w:cs="Times New Roman"/>
      <w:szCs w:val="20"/>
    </w:rPr>
  </w:style>
  <w:style w:type="character" w:styleId="PageNumber">
    <w:name w:val="page number"/>
    <w:basedOn w:val="DefaultParagraphFont"/>
    <w:uiPriority w:val="99"/>
    <w:rsid w:val="00BD53D7"/>
    <w:rPr>
      <w:rFonts w:cs="Times New Roman"/>
    </w:rPr>
  </w:style>
  <w:style w:type="paragraph" w:styleId="BodyTextIndent">
    <w:name w:val="Body Text Indent"/>
    <w:basedOn w:val="Normal"/>
    <w:link w:val="BodyTextIndentChar"/>
    <w:uiPriority w:val="99"/>
    <w:rsid w:val="00BD53D7"/>
    <w:pPr>
      <w:spacing w:before="60" w:after="60" w:line="276" w:lineRule="auto"/>
      <w:ind w:left="720"/>
    </w:pPr>
    <w:rPr>
      <w:rFonts w:ascii="Univers" w:eastAsia="Times New Roman" w:hAnsi="Univers" w:cs="Times New Roman"/>
      <w:szCs w:val="20"/>
      <w:lang w:val="es-CL"/>
    </w:rPr>
  </w:style>
  <w:style w:type="character" w:customStyle="1" w:styleId="BodyTextIndentChar">
    <w:name w:val="Body Text Indent Char"/>
    <w:basedOn w:val="DefaultParagraphFont"/>
    <w:link w:val="BodyTextIndent"/>
    <w:uiPriority w:val="99"/>
    <w:rsid w:val="00BD53D7"/>
    <w:rPr>
      <w:rFonts w:ascii="Univers" w:eastAsia="Times New Roman" w:hAnsi="Univers" w:cs="Times New Roman"/>
      <w:sz w:val="20"/>
      <w:szCs w:val="20"/>
      <w:lang w:val="es-CL"/>
    </w:rPr>
  </w:style>
  <w:style w:type="paragraph" w:styleId="BodyText">
    <w:name w:val="Body Text"/>
    <w:basedOn w:val="Normal"/>
    <w:link w:val="BodyTextChar"/>
    <w:uiPriority w:val="99"/>
    <w:rsid w:val="00BD53D7"/>
    <w:pPr>
      <w:spacing w:before="60" w:after="60" w:line="276" w:lineRule="auto"/>
    </w:pPr>
    <w:rPr>
      <w:rFonts w:ascii="Univers" w:eastAsia="Times New Roman" w:hAnsi="Univers" w:cs="Times New Roman"/>
      <w:sz w:val="22"/>
      <w:szCs w:val="20"/>
      <w:lang w:val="es-CL"/>
    </w:rPr>
  </w:style>
  <w:style w:type="character" w:customStyle="1" w:styleId="BodyTextChar">
    <w:name w:val="Body Text Char"/>
    <w:basedOn w:val="DefaultParagraphFont"/>
    <w:link w:val="BodyText"/>
    <w:uiPriority w:val="99"/>
    <w:rsid w:val="00BD53D7"/>
    <w:rPr>
      <w:rFonts w:ascii="Univers" w:eastAsia="Times New Roman" w:hAnsi="Univers" w:cs="Times New Roman"/>
      <w:szCs w:val="20"/>
      <w:lang w:val="es-CL"/>
    </w:rPr>
  </w:style>
  <w:style w:type="paragraph" w:styleId="BodyText2">
    <w:name w:val="Body Text 2"/>
    <w:basedOn w:val="Normal"/>
    <w:link w:val="BodyText2Char"/>
    <w:uiPriority w:val="99"/>
    <w:rsid w:val="00BD53D7"/>
    <w:pPr>
      <w:spacing w:before="60" w:after="120" w:line="480" w:lineRule="auto"/>
      <w:jc w:val="left"/>
    </w:pPr>
    <w:rPr>
      <w:rFonts w:ascii="Times New Roman" w:eastAsia="Times New Roman" w:hAnsi="Times New Roman" w:cs="Times New Roman"/>
      <w:sz w:val="24"/>
    </w:rPr>
  </w:style>
  <w:style w:type="character" w:customStyle="1" w:styleId="BodyText2Char">
    <w:name w:val="Body Text 2 Char"/>
    <w:basedOn w:val="DefaultParagraphFont"/>
    <w:link w:val="BodyText2"/>
    <w:uiPriority w:val="99"/>
    <w:rsid w:val="00BD53D7"/>
    <w:rPr>
      <w:rFonts w:ascii="Times New Roman" w:eastAsia="Times New Roman" w:hAnsi="Times New Roman" w:cs="Times New Roman"/>
      <w:sz w:val="24"/>
      <w:szCs w:val="24"/>
      <w:lang w:val="es-ES_tradnl"/>
    </w:rPr>
  </w:style>
  <w:style w:type="paragraph" w:styleId="BodyTextIndent2">
    <w:name w:val="Body Text Indent 2"/>
    <w:basedOn w:val="Normal"/>
    <w:link w:val="BodyTextIndent2Char"/>
    <w:uiPriority w:val="99"/>
    <w:rsid w:val="00BD53D7"/>
    <w:pPr>
      <w:spacing w:before="60" w:after="120" w:line="480" w:lineRule="auto"/>
      <w:ind w:left="283"/>
      <w:jc w:val="left"/>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BD53D7"/>
    <w:rPr>
      <w:rFonts w:ascii="Times New Roman" w:eastAsia="Times New Roman" w:hAnsi="Times New Roman" w:cs="Times New Roman"/>
      <w:sz w:val="24"/>
      <w:szCs w:val="20"/>
      <w:lang w:val="es-ES_tradnl"/>
    </w:rPr>
  </w:style>
  <w:style w:type="character" w:styleId="Emphasis">
    <w:name w:val="Emphasis"/>
    <w:basedOn w:val="DefaultParagraphFont"/>
    <w:uiPriority w:val="20"/>
    <w:qFormat/>
    <w:rsid w:val="00BD53D7"/>
    <w:rPr>
      <w:rFonts w:cs="Times New Roman"/>
      <w:i/>
      <w:iCs/>
    </w:rPr>
  </w:style>
  <w:style w:type="paragraph" w:styleId="BodyTextIndent3">
    <w:name w:val="Body Text Indent 3"/>
    <w:basedOn w:val="Normal"/>
    <w:link w:val="BodyTextIndent3Char"/>
    <w:uiPriority w:val="99"/>
    <w:rsid w:val="00BD53D7"/>
    <w:pPr>
      <w:spacing w:before="60" w:after="120" w:line="276" w:lineRule="auto"/>
      <w:ind w:left="283"/>
      <w:jc w:val="left"/>
    </w:pPr>
    <w:rPr>
      <w:rFonts w:ascii="Times New Roman" w:eastAsia="Times New Roman" w:hAnsi="Times New Roman" w:cs="Times New Roman"/>
      <w:sz w:val="16"/>
      <w:szCs w:val="16"/>
      <w:lang w:val="es-ES"/>
    </w:rPr>
  </w:style>
  <w:style w:type="character" w:customStyle="1" w:styleId="BodyTextIndent3Char">
    <w:name w:val="Body Text Indent 3 Char"/>
    <w:basedOn w:val="DefaultParagraphFont"/>
    <w:link w:val="BodyTextIndent3"/>
    <w:uiPriority w:val="99"/>
    <w:rsid w:val="00BD53D7"/>
    <w:rPr>
      <w:rFonts w:ascii="Times New Roman" w:eastAsia="Times New Roman" w:hAnsi="Times New Roman" w:cs="Times New Roman"/>
      <w:sz w:val="16"/>
      <w:szCs w:val="16"/>
    </w:rPr>
  </w:style>
  <w:style w:type="paragraph" w:styleId="BodyText3">
    <w:name w:val="Body Text 3"/>
    <w:basedOn w:val="Normal"/>
    <w:link w:val="BodyText3Char"/>
    <w:uiPriority w:val="99"/>
    <w:rsid w:val="00BD53D7"/>
    <w:pPr>
      <w:spacing w:before="60" w:after="120" w:line="276" w:lineRule="auto"/>
      <w:jc w:val="left"/>
    </w:pPr>
    <w:rPr>
      <w:rFonts w:ascii="Times New Roman" w:eastAsia="Times New Roman" w:hAnsi="Times New Roman" w:cs="Times New Roman"/>
      <w:sz w:val="16"/>
      <w:szCs w:val="16"/>
      <w:lang w:val="es-ES"/>
    </w:rPr>
  </w:style>
  <w:style w:type="character" w:customStyle="1" w:styleId="BodyText3Char">
    <w:name w:val="Body Text 3 Char"/>
    <w:basedOn w:val="DefaultParagraphFont"/>
    <w:link w:val="BodyText3"/>
    <w:uiPriority w:val="99"/>
    <w:rsid w:val="00BD53D7"/>
    <w:rPr>
      <w:rFonts w:ascii="Times New Roman" w:eastAsia="Times New Roman" w:hAnsi="Times New Roman" w:cs="Times New Roman"/>
      <w:sz w:val="16"/>
      <w:szCs w:val="16"/>
    </w:rPr>
  </w:style>
  <w:style w:type="character" w:customStyle="1" w:styleId="Smbolodenotaalpie0">
    <w:name w:val="S√mbolo de nota al pie"/>
    <w:uiPriority w:val="99"/>
    <w:rsid w:val="00BD53D7"/>
    <w:rPr>
      <w:vertAlign w:val="superscript"/>
    </w:rPr>
  </w:style>
  <w:style w:type="character" w:customStyle="1" w:styleId="FootnoteCharacters">
    <w:name w:val="Footnote Characters"/>
    <w:basedOn w:val="DefaultParagraphFont"/>
    <w:uiPriority w:val="99"/>
    <w:qFormat/>
    <w:rsid w:val="00BD53D7"/>
    <w:rPr>
      <w:rFonts w:cs="Times New Roman"/>
      <w:vertAlign w:val="superscript"/>
    </w:rPr>
  </w:style>
  <w:style w:type="paragraph" w:customStyle="1" w:styleId="negritamayuscula">
    <w:name w:val="negrita mayuscula"/>
    <w:basedOn w:val="Normal"/>
    <w:uiPriority w:val="99"/>
    <w:rsid w:val="00BD53D7"/>
    <w:pPr>
      <w:widowControl w:val="0"/>
      <w:tabs>
        <w:tab w:val="left" w:pos="1120"/>
      </w:tabs>
      <w:spacing w:before="60" w:after="60" w:line="360" w:lineRule="atLeast"/>
    </w:pPr>
    <w:rPr>
      <w:rFonts w:ascii="Garamond" w:eastAsia="Times New Roman" w:hAnsi="Garamond" w:cs="Times New Roman"/>
      <w:sz w:val="24"/>
      <w:szCs w:val="20"/>
    </w:rPr>
  </w:style>
  <w:style w:type="paragraph" w:customStyle="1" w:styleId="Default">
    <w:name w:val="Default"/>
    <w:rsid w:val="00BD53D7"/>
    <w:pPr>
      <w:autoSpaceDE w:val="0"/>
      <w:autoSpaceDN w:val="0"/>
      <w:adjustRightInd w:val="0"/>
      <w:spacing w:before="60" w:after="0" w:line="240" w:lineRule="auto"/>
    </w:pPr>
    <w:rPr>
      <w:rFonts w:ascii="Arial" w:eastAsia="Times New Roman" w:hAnsi="Arial" w:cs="Arial"/>
      <w:color w:val="000000"/>
      <w:sz w:val="24"/>
      <w:szCs w:val="24"/>
      <w:lang w:val="en-US"/>
    </w:rPr>
  </w:style>
  <w:style w:type="paragraph" w:customStyle="1" w:styleId="newsbody">
    <w:name w:val="news_body"/>
    <w:basedOn w:val="Normal"/>
    <w:uiPriority w:val="99"/>
    <w:rsid w:val="00BD53D7"/>
    <w:pPr>
      <w:spacing w:before="100" w:beforeAutospacing="1" w:after="100" w:afterAutospacing="1" w:line="276" w:lineRule="auto"/>
      <w:jc w:val="left"/>
    </w:pPr>
    <w:rPr>
      <w:rFonts w:eastAsia="Times New Roman" w:cs="Times New Roman"/>
      <w:color w:val="000000"/>
      <w:spacing w:val="3"/>
      <w:sz w:val="18"/>
      <w:szCs w:val="18"/>
      <w:lang w:val="es-ES" w:eastAsia="es-ES"/>
    </w:rPr>
  </w:style>
  <w:style w:type="paragraph" w:customStyle="1" w:styleId="Titre1">
    <w:name w:val="Titre 1"/>
    <w:basedOn w:val="Normal"/>
    <w:uiPriority w:val="99"/>
    <w:rsid w:val="00BD53D7"/>
    <w:pPr>
      <w:numPr>
        <w:numId w:val="5"/>
      </w:numPr>
      <w:tabs>
        <w:tab w:val="num" w:pos="1080"/>
      </w:tabs>
      <w:spacing w:before="60" w:after="60" w:line="276" w:lineRule="auto"/>
      <w:ind w:left="1080" w:hanging="720"/>
      <w:jc w:val="center"/>
    </w:pPr>
    <w:rPr>
      <w:rFonts w:eastAsia="Times New Roman" w:cs="Times New Roman"/>
      <w:b/>
      <w:caps/>
      <w:szCs w:val="20"/>
      <w:lang w:val="es-ES" w:eastAsia="es-ES"/>
    </w:rPr>
  </w:style>
  <w:style w:type="paragraph" w:styleId="ListBullet">
    <w:name w:val="List Bullet"/>
    <w:basedOn w:val="Normal"/>
    <w:uiPriority w:val="99"/>
    <w:rsid w:val="00BD53D7"/>
    <w:pPr>
      <w:numPr>
        <w:numId w:val="4"/>
      </w:numPr>
      <w:tabs>
        <w:tab w:val="clear" w:pos="360"/>
        <w:tab w:val="num" w:pos="780"/>
      </w:tabs>
      <w:spacing w:before="60" w:after="60" w:line="276" w:lineRule="auto"/>
      <w:jc w:val="left"/>
    </w:pPr>
    <w:rPr>
      <w:rFonts w:ascii="Times New Roman" w:eastAsia="Times New Roman" w:hAnsi="Times New Roman" w:cs="Times New Roman"/>
      <w:sz w:val="24"/>
      <w:lang w:val="es-ES"/>
    </w:rPr>
  </w:style>
  <w:style w:type="character" w:customStyle="1" w:styleId="CarCar">
    <w:name w:val="Car Car"/>
    <w:basedOn w:val="DefaultParagraphFont"/>
    <w:uiPriority w:val="99"/>
    <w:rsid w:val="00BD53D7"/>
    <w:rPr>
      <w:rFonts w:cs="Times New Roman"/>
      <w:sz w:val="24"/>
      <w:lang w:val="es-ES" w:eastAsia="en-US"/>
    </w:rPr>
  </w:style>
  <w:style w:type="paragraph" w:styleId="List2">
    <w:name w:val="List 2"/>
    <w:basedOn w:val="Normal"/>
    <w:uiPriority w:val="99"/>
    <w:rsid w:val="00BD53D7"/>
    <w:pPr>
      <w:spacing w:before="60" w:after="60" w:line="276" w:lineRule="auto"/>
      <w:ind w:left="566" w:hanging="283"/>
      <w:jc w:val="left"/>
    </w:pPr>
    <w:rPr>
      <w:rFonts w:ascii="Times New Roman" w:eastAsia="Times New Roman" w:hAnsi="Times New Roman" w:cs="Times New Roman"/>
      <w:sz w:val="28"/>
      <w:szCs w:val="28"/>
      <w:lang w:val="es-ES" w:eastAsia="es-ES"/>
    </w:rPr>
  </w:style>
  <w:style w:type="paragraph" w:styleId="BlockText">
    <w:name w:val="Block Text"/>
    <w:basedOn w:val="Normal"/>
    <w:uiPriority w:val="99"/>
    <w:rsid w:val="00BD53D7"/>
    <w:pPr>
      <w:spacing w:before="60" w:after="60" w:line="360" w:lineRule="auto"/>
      <w:ind w:left="1259" w:right="919"/>
    </w:pPr>
    <w:rPr>
      <w:rFonts w:ascii="Times New Roman" w:eastAsia="Times New Roman" w:hAnsi="Times New Roman" w:cs="Times New Roman"/>
      <w:sz w:val="28"/>
      <w:lang w:val="es-ES" w:eastAsia="es-ES"/>
    </w:rPr>
  </w:style>
  <w:style w:type="paragraph" w:customStyle="1" w:styleId="textoparrafo">
    <w:name w:val="textoparrafo"/>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s-ES" w:eastAsia="es-ES"/>
    </w:rPr>
  </w:style>
  <w:style w:type="paragraph" w:customStyle="1" w:styleId="Prrafodelista1">
    <w:name w:val="P∑rrafo de lista1"/>
    <w:basedOn w:val="Normal"/>
    <w:uiPriority w:val="99"/>
    <w:rsid w:val="00BD53D7"/>
    <w:pPr>
      <w:spacing w:before="60" w:after="60" w:line="276" w:lineRule="auto"/>
      <w:ind w:left="720"/>
      <w:contextualSpacing/>
      <w:jc w:val="left"/>
    </w:pPr>
    <w:rPr>
      <w:rFonts w:ascii="Times New Roman" w:eastAsia="Times New Roman" w:hAnsi="Times New Roman" w:cs="Times New Roman"/>
      <w:sz w:val="24"/>
    </w:rPr>
  </w:style>
  <w:style w:type="paragraph" w:customStyle="1" w:styleId="StyleHeading2LatinTimesNewRomanAsianBatang12ptN">
    <w:name w:val="Style Heading 2 + (Latin) Times New Roman (Asian) Batang 12 pt N..."/>
    <w:basedOn w:val="Heading2"/>
    <w:next w:val="Normal"/>
    <w:uiPriority w:val="99"/>
    <w:rsid w:val="00BD53D7"/>
    <w:pPr>
      <w:numPr>
        <w:ilvl w:val="1"/>
      </w:numPr>
      <w:tabs>
        <w:tab w:val="num" w:pos="576"/>
      </w:tabs>
      <w:spacing w:before="0" w:line="276" w:lineRule="auto"/>
      <w:ind w:left="576" w:hanging="576"/>
    </w:pPr>
    <w:rPr>
      <w:rFonts w:ascii="Times New Roman" w:eastAsia="Batang" w:hAnsi="Times New Roman" w:cs="Times New Roman"/>
      <w:i/>
      <w:color w:val="365F91"/>
      <w:sz w:val="24"/>
      <w:szCs w:val="20"/>
      <w:lang w:eastAsia="es-ES"/>
    </w:rPr>
  </w:style>
  <w:style w:type="character" w:customStyle="1" w:styleId="documentbody">
    <w:name w:val="documentbody"/>
    <w:basedOn w:val="DefaultParagraphFont"/>
    <w:uiPriority w:val="99"/>
    <w:rsid w:val="00BD53D7"/>
    <w:rPr>
      <w:rFonts w:cs="Times New Roman"/>
    </w:rPr>
  </w:style>
  <w:style w:type="paragraph" w:customStyle="1" w:styleId="JuPara">
    <w:name w:val="Ju_Para"/>
    <w:basedOn w:val="Normal"/>
    <w:uiPriority w:val="99"/>
    <w:rsid w:val="00BD53D7"/>
    <w:pPr>
      <w:suppressAutoHyphens/>
      <w:spacing w:before="240" w:after="240" w:line="276" w:lineRule="auto"/>
      <w:ind w:firstLine="284"/>
    </w:pPr>
    <w:rPr>
      <w:rFonts w:ascii="Times New Roman" w:eastAsia="Times New Roman" w:hAnsi="Times New Roman" w:cs="Times New Roman"/>
      <w:sz w:val="24"/>
      <w:szCs w:val="20"/>
      <w:lang w:val="en-GB"/>
    </w:rPr>
  </w:style>
  <w:style w:type="paragraph" w:customStyle="1" w:styleId="Index91">
    <w:name w:val="Index 91"/>
    <w:basedOn w:val="Normal"/>
    <w:uiPriority w:val="99"/>
    <w:rsid w:val="00BD53D7"/>
    <w:pPr>
      <w:spacing w:before="60" w:after="60" w:line="276" w:lineRule="auto"/>
      <w:jc w:val="center"/>
    </w:pPr>
    <w:rPr>
      <w:rFonts w:ascii="Apple Chancery" w:eastAsia="Times New Roman" w:hAnsi="Apple Chancery" w:cs="Times New Roman"/>
      <w:b/>
      <w:sz w:val="24"/>
      <w:szCs w:val="20"/>
      <w:lang w:eastAsia="es-ES"/>
    </w:rPr>
  </w:style>
  <w:style w:type="paragraph" w:customStyle="1" w:styleId="Textoindependiente21">
    <w:name w:val="Texto independiente 21"/>
    <w:basedOn w:val="Normal"/>
    <w:uiPriority w:val="99"/>
    <w:rsid w:val="00BD53D7"/>
    <w:pPr>
      <w:spacing w:before="60" w:after="60" w:line="360" w:lineRule="atLeast"/>
    </w:pPr>
    <w:rPr>
      <w:rFonts w:eastAsia="Times New Roman" w:cs="Times New Roman"/>
      <w:szCs w:val="20"/>
      <w:lang w:eastAsia="es-ES"/>
    </w:rPr>
  </w:style>
  <w:style w:type="character" w:customStyle="1" w:styleId="Refdenotaalpie7">
    <w:name w:val="Ref. de nota al pie7"/>
    <w:uiPriority w:val="99"/>
    <w:rsid w:val="00BD53D7"/>
    <w:rPr>
      <w:vertAlign w:val="superscript"/>
    </w:rPr>
  </w:style>
  <w:style w:type="paragraph" w:styleId="NoSpacing">
    <w:name w:val="No Spacing"/>
    <w:uiPriority w:val="1"/>
    <w:qFormat/>
    <w:rsid w:val="00BD53D7"/>
    <w:pPr>
      <w:spacing w:before="60" w:after="0" w:line="240" w:lineRule="auto"/>
    </w:pPr>
    <w:rPr>
      <w:rFonts w:ascii="Calibri" w:eastAsia="Times New Roman" w:hAnsi="Calibri" w:cs="Times New Roman"/>
    </w:rPr>
  </w:style>
  <w:style w:type="paragraph" w:customStyle="1" w:styleId="Normal6">
    <w:name w:val="Normal+6"/>
    <w:basedOn w:val="Normal"/>
    <w:next w:val="Normal"/>
    <w:uiPriority w:val="99"/>
    <w:rsid w:val="00BD53D7"/>
    <w:pPr>
      <w:autoSpaceDE w:val="0"/>
      <w:autoSpaceDN w:val="0"/>
      <w:adjustRightInd w:val="0"/>
      <w:spacing w:before="60" w:after="60" w:line="276" w:lineRule="auto"/>
      <w:jc w:val="left"/>
    </w:pPr>
    <w:rPr>
      <w:rFonts w:ascii="Times New Roman" w:eastAsia="Times New Roman" w:hAnsi="Times New Roman" w:cs="Times New Roman"/>
      <w:sz w:val="24"/>
      <w:lang w:val="es-ES" w:eastAsia="es-ES"/>
    </w:rPr>
  </w:style>
  <w:style w:type="character" w:customStyle="1" w:styleId="googqs-tidbit1">
    <w:name w:val="goog_qs-tidbit1"/>
    <w:basedOn w:val="DefaultParagraphFont"/>
    <w:uiPriority w:val="99"/>
    <w:rsid w:val="00BD53D7"/>
    <w:rPr>
      <w:rFonts w:cs="Times New Roman"/>
    </w:rPr>
  </w:style>
  <w:style w:type="character" w:customStyle="1" w:styleId="apple-style-span">
    <w:name w:val="apple-style-span"/>
    <w:basedOn w:val="DefaultParagraphFont"/>
    <w:uiPriority w:val="99"/>
    <w:rsid w:val="00BD53D7"/>
    <w:rPr>
      <w:rFonts w:cs="Times New Roman"/>
    </w:rPr>
  </w:style>
  <w:style w:type="character" w:customStyle="1" w:styleId="WW8Num5z1">
    <w:name w:val="WW8Num5z1"/>
    <w:uiPriority w:val="99"/>
    <w:rsid w:val="00BD53D7"/>
    <w:rPr>
      <w:rFonts w:ascii="Courier New" w:hAnsi="Courier New"/>
    </w:rPr>
  </w:style>
  <w:style w:type="character" w:customStyle="1" w:styleId="A10">
    <w:name w:val="A10"/>
    <w:uiPriority w:val="99"/>
    <w:rsid w:val="00BD53D7"/>
    <w:rPr>
      <w:color w:val="000000"/>
      <w:sz w:val="11"/>
    </w:rPr>
  </w:style>
  <w:style w:type="paragraph" w:customStyle="1" w:styleId="MacroText1">
    <w:name w:val="Macro Text1"/>
    <w:basedOn w:val="Normal"/>
    <w:uiPriority w:val="99"/>
    <w:rsid w:val="00BD53D7"/>
    <w:pPr>
      <w:suppressAutoHyphens/>
      <w:spacing w:before="60" w:after="60" w:line="276" w:lineRule="auto"/>
      <w:jc w:val="left"/>
    </w:pPr>
    <w:rPr>
      <w:rFonts w:eastAsia="Times New Roman" w:cs="Times New Roman"/>
      <w:sz w:val="24"/>
      <w:szCs w:val="20"/>
      <w:lang w:eastAsia="ar-SA"/>
    </w:rPr>
  </w:style>
  <w:style w:type="paragraph" w:customStyle="1" w:styleId="ju-005fpara-0020char1-0020char-0020char-0020char-0020char-0020char">
    <w:name w:val="ju-005fpara-0020char1-0020char-0020char-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paragraph" w:customStyle="1" w:styleId="ju-005fpara-0020char-0020char-0020char">
    <w:name w:val="ju-005fpara-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character" w:customStyle="1" w:styleId="ju-005fpara-0020char-0020char-0020char--char">
    <w:name w:val="ju-005fpara-0020char-0020char-0020char--char"/>
    <w:basedOn w:val="DefaultParagraphFont"/>
    <w:uiPriority w:val="99"/>
    <w:rsid w:val="00BD53D7"/>
    <w:rPr>
      <w:rFonts w:cs="Times New Roman"/>
    </w:rPr>
  </w:style>
  <w:style w:type="character" w:styleId="FollowedHyperlink">
    <w:name w:val="FollowedHyperlink"/>
    <w:basedOn w:val="DefaultParagraphFont"/>
    <w:uiPriority w:val="99"/>
    <w:rsid w:val="00BD53D7"/>
    <w:rPr>
      <w:rFonts w:cs="Times New Roman"/>
      <w:color w:val="800080"/>
      <w:u w:val="single"/>
    </w:rPr>
  </w:style>
  <w:style w:type="paragraph" w:customStyle="1" w:styleId="western">
    <w:name w:val="western"/>
    <w:basedOn w:val="Normal"/>
    <w:uiPriority w:val="99"/>
    <w:rsid w:val="00BD53D7"/>
    <w:pPr>
      <w:spacing w:before="100" w:beforeAutospacing="1" w:after="60" w:line="276" w:lineRule="auto"/>
    </w:pPr>
    <w:rPr>
      <w:rFonts w:ascii="Times New Roman" w:eastAsia="Times New Roman" w:hAnsi="Times New Roman" w:cs="Times New Roman"/>
      <w:color w:val="000000"/>
      <w:sz w:val="28"/>
      <w:szCs w:val="28"/>
      <w:lang w:val="en-US"/>
    </w:rPr>
  </w:style>
  <w:style w:type="paragraph" w:customStyle="1" w:styleId="CM124">
    <w:name w:val="CM124"/>
    <w:basedOn w:val="Default"/>
    <w:next w:val="Default"/>
    <w:uiPriority w:val="99"/>
    <w:rsid w:val="00BD53D7"/>
    <w:pPr>
      <w:widowControl w:val="0"/>
    </w:pPr>
    <w:rPr>
      <w:color w:val="auto"/>
    </w:rPr>
  </w:style>
  <w:style w:type="paragraph" w:customStyle="1" w:styleId="CM125">
    <w:name w:val="CM125"/>
    <w:basedOn w:val="Default"/>
    <w:next w:val="Default"/>
    <w:uiPriority w:val="99"/>
    <w:rsid w:val="00BD53D7"/>
    <w:pPr>
      <w:widowControl w:val="0"/>
    </w:pPr>
    <w:rPr>
      <w:color w:val="auto"/>
    </w:rPr>
  </w:style>
  <w:style w:type="paragraph" w:customStyle="1" w:styleId="CM129">
    <w:name w:val="CM129"/>
    <w:basedOn w:val="Default"/>
    <w:next w:val="Default"/>
    <w:uiPriority w:val="99"/>
    <w:rsid w:val="00BD53D7"/>
    <w:pPr>
      <w:widowControl w:val="0"/>
    </w:pPr>
    <w:rPr>
      <w:color w:val="auto"/>
    </w:rPr>
  </w:style>
  <w:style w:type="character" w:styleId="EndnoteReference">
    <w:name w:val="endnote reference"/>
    <w:basedOn w:val="DefaultParagraphFont"/>
    <w:uiPriority w:val="99"/>
    <w:semiHidden/>
    <w:unhideWhenUsed/>
    <w:rsid w:val="00BD53D7"/>
    <w:rPr>
      <w:vertAlign w:val="superscript"/>
    </w:rPr>
  </w:style>
  <w:style w:type="paragraph" w:styleId="Revision">
    <w:name w:val="Revision"/>
    <w:hidden/>
    <w:uiPriority w:val="99"/>
    <w:semiHidden/>
    <w:rsid w:val="00BD53D7"/>
    <w:pPr>
      <w:spacing w:before="60" w:after="0" w:line="240" w:lineRule="auto"/>
    </w:pPr>
    <w:rPr>
      <w:rFonts w:ascii="Times New Roman" w:eastAsia="Times New Roman" w:hAnsi="Times New Roman" w:cs="Times New Roman"/>
      <w:sz w:val="24"/>
      <w:szCs w:val="24"/>
      <w:lang w:val="es-ES_tradnl"/>
    </w:rPr>
  </w:style>
  <w:style w:type="character" w:styleId="PlaceholderText">
    <w:name w:val="Placeholder Text"/>
    <w:basedOn w:val="DefaultParagraphFont"/>
    <w:uiPriority w:val="99"/>
    <w:semiHidden/>
    <w:rsid w:val="00BD53D7"/>
    <w:rPr>
      <w:color w:val="808080"/>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BD53D7"/>
    <w:rPr>
      <w:rFonts w:ascii="Univers" w:hAnsi="Univers" w:cs="Times New Roman"/>
      <w:lang w:val="en-US" w:eastAsia="en-US" w:bidi="ar-SA"/>
    </w:rPr>
  </w:style>
  <w:style w:type="character" w:customStyle="1" w:styleId="FootnoteAnchor">
    <w:name w:val="Footnote Anchor"/>
    <w:rsid w:val="00BD53D7"/>
    <w:rPr>
      <w:vertAlign w:val="superscript"/>
    </w:rPr>
  </w:style>
  <w:style w:type="paragraph" w:styleId="TOC3">
    <w:name w:val="toc 3"/>
    <w:basedOn w:val="Normal"/>
    <w:next w:val="Normal"/>
    <w:autoRedefine/>
    <w:uiPriority w:val="39"/>
    <w:unhideWhenUsed/>
    <w:rsid w:val="003E0964"/>
    <w:pPr>
      <w:tabs>
        <w:tab w:val="right" w:leader="dot" w:pos="9072"/>
      </w:tabs>
      <w:spacing w:after="40"/>
      <w:ind w:left="403" w:right="237"/>
    </w:pPr>
  </w:style>
  <w:style w:type="paragraph" w:customStyle="1" w:styleId="Prrafodelista2">
    <w:name w:val="Párrafo de lista2"/>
    <w:basedOn w:val="Normal"/>
    <w:uiPriority w:val="99"/>
    <w:rsid w:val="006D122D"/>
    <w:pPr>
      <w:ind w:left="720"/>
      <w:jc w:val="left"/>
    </w:pPr>
    <w:rPr>
      <w:rFonts w:eastAsia="MS Mincho" w:cs="Times New Roman"/>
      <w:szCs w:val="20"/>
      <w:lang w:bidi="en-US"/>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DefaultParagraphFont"/>
    <w:uiPriority w:val="99"/>
    <w:qFormat/>
    <w:locked/>
    <w:rsid w:val="000C140A"/>
    <w:rPr>
      <w:rFonts w:ascii="Verdana" w:hAnsi="Verdana"/>
    </w:rPr>
  </w:style>
  <w:style w:type="paragraph" w:styleId="TOC4">
    <w:name w:val="toc 4"/>
    <w:basedOn w:val="Normal"/>
    <w:next w:val="Normal"/>
    <w:autoRedefine/>
    <w:uiPriority w:val="39"/>
    <w:unhideWhenUsed/>
    <w:rsid w:val="00CD3695"/>
    <w:pPr>
      <w:spacing w:after="100"/>
      <w:ind w:left="600"/>
    </w:pPr>
  </w:style>
  <w:style w:type="paragraph" w:customStyle="1" w:styleId="Estilo4">
    <w:name w:val="Estilo4"/>
    <w:basedOn w:val="Normal"/>
    <w:link w:val="Estilo4Car"/>
    <w:qFormat/>
    <w:rsid w:val="00817F42"/>
    <w:pPr>
      <w:numPr>
        <w:numId w:val="8"/>
      </w:numPr>
      <w:spacing w:after="160" w:line="259" w:lineRule="auto"/>
      <w:ind w:left="0" w:firstLine="0"/>
      <w:jc w:val="left"/>
    </w:pPr>
    <w:rPr>
      <w:rFonts w:ascii="Times New Roman" w:eastAsiaTheme="minorHAnsi" w:hAnsi="Times New Roman" w:cs="Times New Roman"/>
      <w:sz w:val="24"/>
      <w:lang w:val="es-UY"/>
    </w:rPr>
  </w:style>
  <w:style w:type="character" w:customStyle="1" w:styleId="Estilo4Car">
    <w:name w:val="Estilo4 Car"/>
    <w:basedOn w:val="DefaultParagraphFont"/>
    <w:link w:val="Estilo4"/>
    <w:rsid w:val="00817F42"/>
    <w:rPr>
      <w:rFonts w:ascii="Times New Roman" w:hAnsi="Times New Roman" w:cs="Times New Roman"/>
      <w:sz w:val="24"/>
      <w:szCs w:val="24"/>
      <w:lang w:val="es-UY"/>
    </w:rPr>
  </w:style>
  <w:style w:type="paragraph" w:customStyle="1" w:styleId="style11">
    <w:name w:val="style11"/>
    <w:basedOn w:val="Normal"/>
    <w:rsid w:val="00817F42"/>
    <w:pPr>
      <w:spacing w:before="192" w:after="192"/>
      <w:ind w:left="120" w:right="144"/>
    </w:pPr>
    <w:rPr>
      <w:rFonts w:ascii="Times New Roman" w:eastAsia="Times New Roman" w:hAnsi="Times New Roman" w:cs="Times New Roman"/>
      <w:sz w:val="24"/>
      <w:lang w:val="es-CR" w:eastAsia="es-CR"/>
    </w:rPr>
  </w:style>
  <w:style w:type="character" w:styleId="BookTitle">
    <w:name w:val="Book Title"/>
    <w:basedOn w:val="DefaultParagraphFont"/>
    <w:uiPriority w:val="33"/>
    <w:qFormat/>
    <w:rsid w:val="00817F42"/>
    <w:rPr>
      <w:b/>
      <w:bCs/>
      <w:smallCaps/>
      <w:spacing w:val="5"/>
    </w:rPr>
  </w:style>
  <w:style w:type="character" w:customStyle="1" w:styleId="UnresolvedMention">
    <w:name w:val="Unresolved Mention"/>
    <w:basedOn w:val="DefaultParagraphFont"/>
    <w:uiPriority w:val="99"/>
    <w:semiHidden/>
    <w:unhideWhenUsed/>
    <w:rsid w:val="00817F42"/>
    <w:rPr>
      <w:color w:val="808080"/>
      <w:shd w:val="clear" w:color="auto" w:fill="E6E6E6"/>
    </w:rPr>
  </w:style>
  <w:style w:type="character" w:customStyle="1" w:styleId="Funotenzeichen">
    <w:name w:val="Fußnotenzeichen"/>
    <w:rsid w:val="001264AE"/>
  </w:style>
  <w:style w:type="paragraph" w:customStyle="1" w:styleId="m307267806122917089estilo5">
    <w:name w:val="m_307267806122917089estilo5"/>
    <w:basedOn w:val="Normal"/>
    <w:rsid w:val="00B36143"/>
    <w:pPr>
      <w:spacing w:before="100" w:beforeAutospacing="1" w:after="100" w:afterAutospacing="1"/>
      <w:jc w:val="left"/>
    </w:pPr>
    <w:rPr>
      <w:rFonts w:ascii="Times New Roman" w:eastAsia="Times New Roman" w:hAnsi="Times New Roman" w:cs="Times New Roman"/>
      <w:sz w:val="24"/>
      <w:lang w:val="es-CR" w:eastAsia="es-CR"/>
    </w:rPr>
  </w:style>
  <w:style w:type="paragraph" w:customStyle="1" w:styleId="Estilo3">
    <w:name w:val="Estilo3"/>
    <w:basedOn w:val="ListParagraph"/>
    <w:qFormat/>
    <w:rsid w:val="00B36143"/>
    <w:pPr>
      <w:numPr>
        <w:ilvl w:val="4"/>
        <w:numId w:val="9"/>
      </w:numPr>
      <w:spacing w:after="120" w:line="216" w:lineRule="auto"/>
      <w:ind w:right="17"/>
      <w:contextualSpacing w:val="0"/>
    </w:pPr>
    <w:rPr>
      <w:rFonts w:eastAsia="Calibri" w:cs="Times New Roman"/>
      <w:spacing w:val="-2"/>
      <w:szCs w:val="20"/>
      <w:lang w:val="es-MX" w:eastAsia="x-none"/>
    </w:rPr>
  </w:style>
  <w:style w:type="paragraph" w:customStyle="1" w:styleId="Estilo5">
    <w:name w:val="Estilo5"/>
    <w:basedOn w:val="ListParagraph"/>
    <w:link w:val="Estilo5Car"/>
    <w:qFormat/>
    <w:rsid w:val="00B36143"/>
    <w:pPr>
      <w:numPr>
        <w:numId w:val="9"/>
      </w:numPr>
      <w:spacing w:after="120" w:line="216" w:lineRule="auto"/>
      <w:ind w:left="0" w:right="18" w:firstLine="0"/>
      <w:contextualSpacing w:val="0"/>
    </w:pPr>
    <w:rPr>
      <w:rFonts w:eastAsia="Calibri" w:cs="Times New Roman"/>
      <w:spacing w:val="-2"/>
      <w:szCs w:val="20"/>
      <w:lang w:val="es-MX" w:eastAsia="x-none"/>
    </w:rPr>
  </w:style>
  <w:style w:type="character" w:customStyle="1" w:styleId="Estilo5Car">
    <w:name w:val="Estilo5 Car"/>
    <w:link w:val="Estilo5"/>
    <w:rsid w:val="00B36143"/>
    <w:rPr>
      <w:rFonts w:ascii="Verdana" w:eastAsia="Calibri" w:hAnsi="Verdana" w:cs="Times New Roman"/>
      <w:spacing w:val="-2"/>
      <w:sz w:val="20"/>
      <w:szCs w:val="20"/>
      <w:lang w:val="es-MX" w:eastAsia="x-none"/>
    </w:rPr>
  </w:style>
  <w:style w:type="paragraph" w:customStyle="1" w:styleId="Estilo8">
    <w:name w:val="Estilo8"/>
    <w:basedOn w:val="Estilo3"/>
    <w:qFormat/>
    <w:rsid w:val="00B36143"/>
    <w:pPr>
      <w:numPr>
        <w:ilvl w:val="5"/>
      </w:numPr>
      <w:ind w:left="1080" w:hanging="358"/>
    </w:pPr>
  </w:style>
  <w:style w:type="character" w:customStyle="1" w:styleId="s6b621b36">
    <w:name w:val="s6b621b36"/>
    <w:basedOn w:val="DefaultParagraphFont"/>
    <w:rsid w:val="008908AB"/>
  </w:style>
  <w:style w:type="paragraph" w:customStyle="1" w:styleId="Estilo2">
    <w:name w:val="Estilo2"/>
    <w:basedOn w:val="Normal"/>
    <w:qFormat/>
    <w:rsid w:val="008908AB"/>
    <w:pPr>
      <w:tabs>
        <w:tab w:val="left" w:pos="567"/>
        <w:tab w:val="left" w:pos="1134"/>
        <w:tab w:val="num" w:pos="4767"/>
      </w:tabs>
      <w:spacing w:after="120"/>
      <w:ind w:firstLine="357"/>
    </w:pPr>
    <w:rPr>
      <w:rFonts w:eastAsia="Calibri" w:cs="Times New Roman"/>
      <w:szCs w:val="20"/>
      <w:lang w:val="es-ES"/>
    </w:rPr>
  </w:style>
  <w:style w:type="paragraph" w:styleId="DocumentMap">
    <w:name w:val="Document Map"/>
    <w:basedOn w:val="Normal"/>
    <w:link w:val="DocumentMapChar"/>
    <w:uiPriority w:val="99"/>
    <w:semiHidden/>
    <w:unhideWhenUsed/>
    <w:rsid w:val="0008652E"/>
    <w:rPr>
      <w:rFonts w:ascii="Lucida Grande" w:hAnsi="Lucida Grande"/>
      <w:sz w:val="24"/>
    </w:rPr>
  </w:style>
  <w:style w:type="character" w:customStyle="1" w:styleId="DocumentMapChar">
    <w:name w:val="Document Map Char"/>
    <w:basedOn w:val="DefaultParagraphFont"/>
    <w:link w:val="DocumentMap"/>
    <w:uiPriority w:val="99"/>
    <w:semiHidden/>
    <w:rsid w:val="0008652E"/>
    <w:rPr>
      <w:rFonts w:ascii="Lucida Grande" w:eastAsia="Batang" w:hAnsi="Lucida Grande" w:cs="Times"/>
      <w:sz w:val="24"/>
      <w:szCs w:val="24"/>
      <w:lang w:val="es-ES_tradnl"/>
    </w:rPr>
  </w:style>
  <w:style w:type="character" w:customStyle="1" w:styleId="Ancladenotaalpie">
    <w:name w:val="Ancla de nota al pie"/>
    <w:rsid w:val="0038493D"/>
    <w:rPr>
      <w:vertAlign w:val="superscript"/>
    </w:rPr>
  </w:style>
  <w:style w:type="character" w:customStyle="1" w:styleId="ListLabel47">
    <w:name w:val="ListLabel 47"/>
    <w:qFormat/>
    <w:rsid w:val="009A6A6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BE"/>
    <w:pPr>
      <w:spacing w:after="0" w:line="240" w:lineRule="auto"/>
      <w:jc w:val="both"/>
    </w:pPr>
    <w:rPr>
      <w:rFonts w:ascii="Verdana" w:eastAsia="Batang" w:hAnsi="Verdana" w:cs="Times"/>
      <w:sz w:val="20"/>
      <w:szCs w:val="24"/>
      <w:lang w:val="es-ES_tradnl"/>
    </w:rPr>
  </w:style>
  <w:style w:type="paragraph" w:styleId="Heading1">
    <w:name w:val="heading 1"/>
    <w:basedOn w:val="Normal"/>
    <w:next w:val="Normal"/>
    <w:link w:val="Heading1Char"/>
    <w:uiPriority w:val="9"/>
    <w:qFormat/>
    <w:rsid w:val="009569E6"/>
    <w:pPr>
      <w:keepNext/>
      <w:keepLines/>
      <w:spacing w:before="360" w:after="3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unhideWhenUsed/>
    <w:qFormat/>
    <w:rsid w:val="00F80D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0DDB"/>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9"/>
    <w:unhideWhenUsed/>
    <w:qFormat/>
    <w:rsid w:val="00F80D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9A2F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9A2F04"/>
    <w:pPr>
      <w:keepNext w:val="0"/>
      <w:keepLines w:val="0"/>
      <w:numPr>
        <w:ilvl w:val="4"/>
        <w:numId w:val="3"/>
      </w:numPr>
      <w:spacing w:before="0"/>
      <w:outlineLvl w:val="5"/>
    </w:pPr>
    <w:rPr>
      <w:rFonts w:ascii="Verdana" w:eastAsia="Times New Roman" w:hAnsi="Verdana" w:cs="Times New Roman"/>
      <w:color w:val="auto"/>
      <w:spacing w:val="-2"/>
      <w:szCs w:val="20"/>
      <w:lang w:eastAsia="es-CR"/>
    </w:rPr>
  </w:style>
  <w:style w:type="paragraph" w:styleId="Heading7">
    <w:name w:val="heading 7"/>
    <w:basedOn w:val="Normal"/>
    <w:next w:val="Normal"/>
    <w:link w:val="Heading7Char"/>
    <w:uiPriority w:val="99"/>
    <w:qFormat/>
    <w:rsid w:val="00BD53D7"/>
    <w:pPr>
      <w:tabs>
        <w:tab w:val="num" w:pos="1296"/>
      </w:tabs>
      <w:spacing w:before="240" w:after="60" w:line="276" w:lineRule="auto"/>
      <w:ind w:left="1296" w:hanging="1296"/>
      <w:jc w:val="left"/>
      <w:outlineLvl w:val="6"/>
    </w:pPr>
    <w:rPr>
      <w:rFonts w:ascii="Times New Roman" w:eastAsia="Times New Roman" w:hAnsi="Times New Roman" w:cs="Times New Roman"/>
      <w:sz w:val="24"/>
      <w:lang w:eastAsia="es-ES"/>
    </w:rPr>
  </w:style>
  <w:style w:type="paragraph" w:styleId="Heading8">
    <w:name w:val="heading 8"/>
    <w:basedOn w:val="Normal"/>
    <w:next w:val="Normal"/>
    <w:link w:val="Heading8Char"/>
    <w:uiPriority w:val="99"/>
    <w:qFormat/>
    <w:rsid w:val="00BD53D7"/>
    <w:pPr>
      <w:tabs>
        <w:tab w:val="num" w:pos="1440"/>
      </w:tabs>
      <w:spacing w:before="240" w:after="60" w:line="276" w:lineRule="auto"/>
      <w:ind w:left="1440" w:hanging="1440"/>
      <w:jc w:val="left"/>
      <w:outlineLvl w:val="7"/>
    </w:pPr>
    <w:rPr>
      <w:rFonts w:ascii="Times New Roman" w:eastAsia="Times New Roman" w:hAnsi="Times New Roman" w:cs="Times New Roman"/>
      <w:i/>
      <w:iCs/>
      <w:sz w:val="24"/>
      <w:lang w:eastAsia="es-ES"/>
    </w:rPr>
  </w:style>
  <w:style w:type="paragraph" w:styleId="Heading9">
    <w:name w:val="heading 9"/>
    <w:basedOn w:val="Normal"/>
    <w:next w:val="Normal"/>
    <w:link w:val="Heading9Char"/>
    <w:uiPriority w:val="99"/>
    <w:qFormat/>
    <w:rsid w:val="00BD53D7"/>
    <w:pPr>
      <w:spacing w:before="240" w:after="60" w:line="276" w:lineRule="auto"/>
      <w:jc w:val="left"/>
      <w:outlineLvl w:val="8"/>
    </w:pPr>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03BF"/>
    <w:pPr>
      <w:jc w:val="center"/>
    </w:pPr>
    <w:rPr>
      <w:rFonts w:eastAsia="Times New Roman" w:cs="Times New Roman"/>
      <w:b/>
      <w:szCs w:val="20"/>
    </w:rPr>
  </w:style>
  <w:style w:type="character" w:customStyle="1" w:styleId="TitleChar">
    <w:name w:val="Title Char"/>
    <w:basedOn w:val="DefaultParagraphFont"/>
    <w:link w:val="Title"/>
    <w:rsid w:val="009403BF"/>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9403BF"/>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9403BF"/>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9403BF"/>
    <w:pPr>
      <w:ind w:left="708"/>
    </w:pPr>
    <w:rPr>
      <w:rFonts w:eastAsia="Times New Roman" w:cs="Times New Roman"/>
      <w:szCs w:val="20"/>
    </w:rPr>
  </w:style>
  <w:style w:type="paragraph" w:styleId="Header">
    <w:name w:val="header"/>
    <w:basedOn w:val="Normal"/>
    <w:link w:val="HeaderChar"/>
    <w:uiPriority w:val="99"/>
    <w:unhideWhenUsed/>
    <w:rsid w:val="009403BF"/>
    <w:pPr>
      <w:tabs>
        <w:tab w:val="center" w:pos="4252"/>
        <w:tab w:val="right" w:pos="8504"/>
      </w:tabs>
    </w:pPr>
  </w:style>
  <w:style w:type="character" w:customStyle="1" w:styleId="HeaderChar">
    <w:name w:val="Header Char"/>
    <w:basedOn w:val="DefaultParagraphFont"/>
    <w:link w:val="Header"/>
    <w:uiPriority w:val="99"/>
    <w:rsid w:val="009403BF"/>
    <w:rPr>
      <w:rFonts w:ascii="Verdana" w:eastAsia="Batang" w:hAnsi="Verdana" w:cs="Times"/>
      <w:noProof/>
      <w:sz w:val="20"/>
      <w:szCs w:val="24"/>
      <w:lang w:val="es-ES_tradnl"/>
    </w:rPr>
  </w:style>
  <w:style w:type="paragraph" w:styleId="Footer">
    <w:name w:val="footer"/>
    <w:basedOn w:val="Normal"/>
    <w:link w:val="FooterChar"/>
    <w:uiPriority w:val="99"/>
    <w:unhideWhenUsed/>
    <w:rsid w:val="009403BF"/>
    <w:pPr>
      <w:tabs>
        <w:tab w:val="center" w:pos="4252"/>
        <w:tab w:val="right" w:pos="8504"/>
      </w:tabs>
    </w:pPr>
  </w:style>
  <w:style w:type="character" w:customStyle="1" w:styleId="FooterChar">
    <w:name w:val="Footer Char"/>
    <w:basedOn w:val="DefaultParagraphFont"/>
    <w:link w:val="Footer"/>
    <w:uiPriority w:val="99"/>
    <w:rsid w:val="009403BF"/>
    <w:rPr>
      <w:rFonts w:ascii="Verdana" w:eastAsia="Batang" w:hAnsi="Verdana" w:cs="Times"/>
      <w:noProof/>
      <w:sz w:val="20"/>
      <w:szCs w:val="24"/>
      <w:lang w:val="es-ES_tradnl"/>
    </w:rPr>
  </w:style>
  <w:style w:type="character" w:styleId="Hyperlink">
    <w:name w:val="Hyperlink"/>
    <w:aliases w:val="Heading 3 caso"/>
    <w:basedOn w:val="DefaultParagraphFont"/>
    <w:uiPriority w:val="99"/>
    <w:unhideWhenUsed/>
    <w:rsid w:val="009403BF"/>
    <w:rPr>
      <w:color w:val="0000FF"/>
      <w:u w:val="single"/>
    </w:rPr>
  </w:style>
  <w:style w:type="paragraph" w:styleId="TOC1">
    <w:name w:val="toc 1"/>
    <w:basedOn w:val="Normal"/>
    <w:next w:val="Normal"/>
    <w:autoRedefine/>
    <w:uiPriority w:val="39"/>
    <w:unhideWhenUsed/>
    <w:rsid w:val="003E0964"/>
    <w:pPr>
      <w:tabs>
        <w:tab w:val="left" w:pos="709"/>
        <w:tab w:val="right" w:leader="dot" w:pos="9072"/>
      </w:tabs>
      <w:spacing w:before="60" w:after="60"/>
      <w:ind w:right="237"/>
    </w:pPr>
    <w:rPr>
      <w:b/>
      <w:sz w:val="18"/>
    </w:rPr>
  </w:style>
  <w:style w:type="character" w:customStyle="1" w:styleId="Heading1Char">
    <w:name w:val="Heading 1 Char"/>
    <w:basedOn w:val="DefaultParagraphFont"/>
    <w:link w:val="Heading1"/>
    <w:uiPriority w:val="9"/>
    <w:rsid w:val="009569E6"/>
    <w:rPr>
      <w:rFonts w:ascii="Verdana" w:eastAsia="Times New Roman" w:hAnsi="Verdana" w:cs="Verdana"/>
      <w:b/>
      <w:bCs/>
      <w:caps/>
      <w:noProof/>
      <w:snapToGrid w:val="0"/>
      <w:sz w:val="20"/>
      <w:szCs w:val="20"/>
      <w:lang w:val="es-CR" w:eastAsia="es-ES"/>
    </w:rPr>
  </w:style>
  <w:style w:type="paragraph" w:styleId="ListParagraph">
    <w:name w:val="List Paragraph"/>
    <w:aliases w:val="Footnote,List Paragraph1,Colorful List - Accent 11,Párrafo de lista1,List Paragraph2,Lista vistosa - Énfasis 11"/>
    <w:basedOn w:val="Normal"/>
    <w:link w:val="ListParagraphChar"/>
    <w:qFormat/>
    <w:rsid w:val="00CA3EC4"/>
    <w:pPr>
      <w:ind w:left="720"/>
      <w:contextualSpacing/>
    </w:p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uiPriority w:val="99"/>
    <w:qFormat/>
    <w:rsid w:val="006F5C6B"/>
    <w:rPr>
      <w:rFonts w:cs="Times New Roman"/>
      <w:szCs w:val="20"/>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FootnoteTextChar1"/>
    <w:uiPriority w:val="99"/>
    <w:unhideWhenUsed/>
    <w:qFormat/>
    <w:rsid w:val="006F5C6B"/>
    <w:pPr>
      <w:spacing w:before="120" w:after="120"/>
    </w:pPr>
    <w:rPr>
      <w:sz w:val="16"/>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DefaultParagraphFont"/>
    <w:uiPriority w:val="99"/>
    <w:qFormat/>
    <w:rsid w:val="006F5C6B"/>
    <w:rPr>
      <w:rFonts w:ascii="Verdana" w:eastAsia="Batang" w:hAnsi="Verdana" w:cs="Times"/>
      <w:noProof/>
      <w:sz w:val="20"/>
      <w:szCs w:val="20"/>
      <w:lang w:val="es-ES_tradnl"/>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link w:val="FootnoteText"/>
    <w:uiPriority w:val="99"/>
    <w:rsid w:val="006F5C6B"/>
    <w:rPr>
      <w:rFonts w:ascii="Verdana" w:eastAsia="Batang" w:hAnsi="Verdana" w:cs="Times"/>
      <w:noProof/>
      <w:sz w:val="16"/>
      <w:szCs w:val="20"/>
      <w:lang w:val="es-ES_tradnl"/>
    </w:rPr>
  </w:style>
  <w:style w:type="character" w:styleId="Strong">
    <w:name w:val="Strong"/>
    <w:basedOn w:val="DefaultParagraphFont"/>
    <w:uiPriority w:val="22"/>
    <w:qFormat/>
    <w:rsid w:val="0003786A"/>
    <w:rPr>
      <w:b/>
      <w:bCs/>
    </w:rPr>
  </w:style>
  <w:style w:type="character" w:customStyle="1" w:styleId="ListParagraphChar">
    <w:name w:val="List Paragraph Char"/>
    <w:aliases w:val="Footnote Char,List Paragraph1 Char,Colorful List - Accent 11 Char,Párrafo de lista1 Char,List Paragraph2 Char,Lista vistosa - Énfasis 11 Char"/>
    <w:basedOn w:val="DefaultParagraphFont"/>
    <w:link w:val="ListParagraph"/>
    <w:locked/>
    <w:rsid w:val="00375DA4"/>
    <w:rPr>
      <w:rFonts w:ascii="Verdana" w:eastAsia="Batang" w:hAnsi="Verdana" w:cs="Times"/>
      <w:noProof/>
      <w:sz w:val="20"/>
      <w:szCs w:val="24"/>
      <w:lang w:val="es-ES_tradnl"/>
    </w:rPr>
  </w:style>
  <w:style w:type="paragraph" w:customStyle="1" w:styleId="Estilo1">
    <w:name w:val="Estilo1"/>
    <w:basedOn w:val="Normal"/>
    <w:link w:val="Estilo1Car"/>
    <w:qFormat/>
    <w:rsid w:val="00375DA4"/>
    <w:pPr>
      <w:spacing w:after="120"/>
      <w:ind w:left="2018" w:right="6" w:hanging="180"/>
    </w:pPr>
    <w:rPr>
      <w:i/>
    </w:rPr>
  </w:style>
  <w:style w:type="character" w:customStyle="1" w:styleId="Estilo1Car">
    <w:name w:val="Estilo1 Car"/>
    <w:basedOn w:val="DefaultParagraphFont"/>
    <w:link w:val="Estilo1"/>
    <w:rsid w:val="00375DA4"/>
    <w:rPr>
      <w:rFonts w:ascii="Verdana" w:eastAsia="Batang" w:hAnsi="Verdana" w:cs="Times"/>
      <w:i/>
      <w:noProof/>
      <w:sz w:val="20"/>
      <w:szCs w:val="24"/>
      <w:lang w:val="es-ES_tradnl"/>
    </w:rPr>
  </w:style>
  <w:style w:type="character" w:customStyle="1" w:styleId="apple-converted-space">
    <w:name w:val="apple-converted-space"/>
    <w:basedOn w:val="DefaultParagraphFont"/>
    <w:rsid w:val="003C30A5"/>
  </w:style>
  <w:style w:type="paragraph" w:styleId="TOCHeading">
    <w:name w:val="TOC Heading"/>
    <w:basedOn w:val="Heading1"/>
    <w:next w:val="Normal"/>
    <w:uiPriority w:val="39"/>
    <w:unhideWhenUsed/>
    <w:qFormat/>
    <w:rsid w:val="00206CEA"/>
    <w:pPr>
      <w:spacing w:before="480" w:after="0" w:line="276" w:lineRule="auto"/>
      <w:jc w:val="left"/>
      <w:outlineLvl w:val="9"/>
    </w:pPr>
    <w:rPr>
      <w:rFonts w:asciiTheme="majorHAnsi" w:eastAsiaTheme="majorEastAsia" w:hAnsiTheme="majorHAnsi" w:cstheme="majorBidi"/>
      <w:caps w:val="0"/>
      <w:snapToGrid/>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206CEA"/>
    <w:rPr>
      <w:rFonts w:ascii="Tahoma" w:hAnsi="Tahoma" w:cs="Tahoma"/>
      <w:sz w:val="16"/>
      <w:szCs w:val="16"/>
    </w:rPr>
  </w:style>
  <w:style w:type="character" w:customStyle="1" w:styleId="BalloonTextChar">
    <w:name w:val="Balloon Text Char"/>
    <w:basedOn w:val="DefaultParagraphFont"/>
    <w:link w:val="BalloonText"/>
    <w:uiPriority w:val="99"/>
    <w:semiHidden/>
    <w:rsid w:val="00206CEA"/>
    <w:rPr>
      <w:rFonts w:ascii="Tahoma" w:eastAsia="Batang" w:hAnsi="Tahoma" w:cs="Tahoma"/>
      <w:noProof/>
      <w:sz w:val="16"/>
      <w:szCs w:val="16"/>
      <w:lang w:val="es-ES_tradnl"/>
    </w:rPr>
  </w:style>
  <w:style w:type="table" w:styleId="TableGrid">
    <w:name w:val="Table Grid"/>
    <w:basedOn w:val="TableNormal"/>
    <w:uiPriority w:val="99"/>
    <w:rsid w:val="007E7F4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1E70AE"/>
    <w:pPr>
      <w:tabs>
        <w:tab w:val="left" w:pos="660"/>
        <w:tab w:val="right" w:leader="dot" w:pos="9072"/>
      </w:tabs>
      <w:spacing w:after="60"/>
      <w:ind w:left="198" w:right="237"/>
    </w:pPr>
    <w:rPr>
      <w:rFonts w:cs="Tahoma"/>
      <w:b/>
      <w:i/>
      <w:noProof/>
      <w:lang w:eastAsia="x-none"/>
    </w:rPr>
  </w:style>
  <w:style w:type="character" w:styleId="CommentReference">
    <w:name w:val="annotation reference"/>
    <w:basedOn w:val="DefaultParagraphFont"/>
    <w:uiPriority w:val="99"/>
    <w:semiHidden/>
    <w:unhideWhenUsed/>
    <w:rsid w:val="00500859"/>
    <w:rPr>
      <w:sz w:val="16"/>
      <w:szCs w:val="16"/>
    </w:rPr>
  </w:style>
  <w:style w:type="paragraph" w:styleId="CommentText">
    <w:name w:val="annotation text"/>
    <w:basedOn w:val="Normal"/>
    <w:link w:val="CommentTextChar"/>
    <w:uiPriority w:val="99"/>
    <w:unhideWhenUsed/>
    <w:rsid w:val="00500859"/>
    <w:rPr>
      <w:szCs w:val="20"/>
    </w:rPr>
  </w:style>
  <w:style w:type="character" w:customStyle="1" w:styleId="CommentTextChar">
    <w:name w:val="Comment Text Char"/>
    <w:basedOn w:val="DefaultParagraphFont"/>
    <w:link w:val="CommentText"/>
    <w:uiPriority w:val="99"/>
    <w:rsid w:val="00500859"/>
    <w:rPr>
      <w:rFonts w:ascii="Verdana" w:eastAsia="Batang" w:hAnsi="Verdana" w:cs="Times"/>
      <w:noProof/>
      <w:sz w:val="20"/>
      <w:szCs w:val="20"/>
      <w:lang w:val="es-ES_tradnl"/>
    </w:rPr>
  </w:style>
  <w:style w:type="paragraph" w:styleId="CommentSubject">
    <w:name w:val="annotation subject"/>
    <w:basedOn w:val="CommentText"/>
    <w:next w:val="CommentText"/>
    <w:link w:val="CommentSubjectChar"/>
    <w:uiPriority w:val="99"/>
    <w:semiHidden/>
    <w:unhideWhenUsed/>
    <w:rsid w:val="00500859"/>
    <w:rPr>
      <w:b/>
      <w:bCs/>
    </w:rPr>
  </w:style>
  <w:style w:type="character" w:customStyle="1" w:styleId="CommentSubjectChar">
    <w:name w:val="Comment Subject Char"/>
    <w:basedOn w:val="CommentTextChar"/>
    <w:link w:val="CommentSubject"/>
    <w:uiPriority w:val="99"/>
    <w:semiHidden/>
    <w:rsid w:val="00500859"/>
    <w:rPr>
      <w:rFonts w:ascii="Verdana" w:eastAsia="Batang" w:hAnsi="Verdana" w:cs="Times"/>
      <w:b/>
      <w:bCs/>
      <w:noProof/>
      <w:sz w:val="20"/>
      <w:szCs w:val="20"/>
      <w:lang w:val="es-ES_tradnl"/>
    </w:rPr>
  </w:style>
  <w:style w:type="paragraph" w:customStyle="1" w:styleId="Footnotes">
    <w:name w:val="**. Footnotes"/>
    <w:basedOn w:val="FootnoteText"/>
    <w:link w:val="FootnotesChar"/>
    <w:autoRedefine/>
    <w:qFormat/>
    <w:rsid w:val="005427F3"/>
    <w:pPr>
      <w:spacing w:before="60" w:after="60"/>
    </w:pPr>
    <w:rPr>
      <w:rFonts w:eastAsia="Times New Roman" w:cs="Palatino-Italic"/>
      <w:iCs/>
      <w:spacing w:val="-4"/>
      <w:szCs w:val="16"/>
      <w:lang w:val="es-ES" w:bidi="en-US"/>
    </w:rPr>
  </w:style>
  <w:style w:type="character" w:customStyle="1" w:styleId="FootnotesChar">
    <w:name w:val="**. Footnotes Char"/>
    <w:basedOn w:val="DefaultParagraphFont"/>
    <w:link w:val="Footnotes"/>
    <w:rsid w:val="005427F3"/>
    <w:rPr>
      <w:rFonts w:ascii="Verdana" w:eastAsia="Times New Roman" w:hAnsi="Verdana" w:cs="Palatino-Italic"/>
      <w:iCs/>
      <w:spacing w:val="-4"/>
      <w:sz w:val="16"/>
      <w:szCs w:val="16"/>
      <w:lang w:bidi="en-US"/>
    </w:rPr>
  </w:style>
  <w:style w:type="character" w:customStyle="1" w:styleId="Heading6Char">
    <w:name w:val="Heading 6 Char"/>
    <w:basedOn w:val="DefaultParagraphFont"/>
    <w:link w:val="Heading6"/>
    <w:uiPriority w:val="9"/>
    <w:rsid w:val="009A2F04"/>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9"/>
    <w:rsid w:val="009A2F04"/>
    <w:rPr>
      <w:rFonts w:asciiTheme="majorHAnsi" w:eastAsiaTheme="majorEastAsia" w:hAnsiTheme="majorHAnsi" w:cstheme="majorBidi"/>
      <w:noProof/>
      <w:color w:val="243F60" w:themeColor="accent1" w:themeShade="7F"/>
      <w:sz w:val="20"/>
      <w:szCs w:val="24"/>
      <w:lang w:val="es-ES_tradnl"/>
    </w:rPr>
  </w:style>
  <w:style w:type="character" w:customStyle="1" w:styleId="Heading2Char">
    <w:name w:val="Heading 2 Char"/>
    <w:basedOn w:val="DefaultParagraphFont"/>
    <w:link w:val="Heading2"/>
    <w:uiPriority w:val="9"/>
    <w:qFormat/>
    <w:rsid w:val="00F80DDB"/>
    <w:rPr>
      <w:rFonts w:asciiTheme="majorHAnsi" w:eastAsiaTheme="majorEastAsia" w:hAnsiTheme="majorHAnsi" w:cstheme="majorBidi"/>
      <w:b/>
      <w:bCs/>
      <w:noProof/>
      <w:color w:val="4F81BD" w:themeColor="accent1"/>
      <w:sz w:val="26"/>
      <w:szCs w:val="26"/>
      <w:lang w:val="es-ES_tradnl"/>
    </w:rPr>
  </w:style>
  <w:style w:type="character" w:customStyle="1" w:styleId="Heading3Char">
    <w:name w:val="Heading 3 Char"/>
    <w:basedOn w:val="DefaultParagraphFont"/>
    <w:link w:val="Heading3"/>
    <w:uiPriority w:val="9"/>
    <w:rsid w:val="00F80DDB"/>
    <w:rPr>
      <w:rFonts w:ascii="Verdana" w:eastAsiaTheme="majorEastAsia" w:hAnsi="Verdana" w:cstheme="majorBidi"/>
      <w:b/>
      <w:bCs/>
      <w:i/>
      <w:sz w:val="20"/>
      <w:szCs w:val="24"/>
      <w:lang w:val="es-ES_tradnl"/>
    </w:rPr>
  </w:style>
  <w:style w:type="character" w:customStyle="1" w:styleId="Heading4Char">
    <w:name w:val="Heading 4 Char"/>
    <w:basedOn w:val="DefaultParagraphFont"/>
    <w:link w:val="Heading4"/>
    <w:uiPriority w:val="99"/>
    <w:rsid w:val="00F80DDB"/>
    <w:rPr>
      <w:rFonts w:asciiTheme="majorHAnsi" w:eastAsiaTheme="majorEastAsia" w:hAnsiTheme="majorHAnsi" w:cstheme="majorBidi"/>
      <w:b/>
      <w:bCs/>
      <w:i/>
      <w:iCs/>
      <w:color w:val="4F81BD" w:themeColor="accent1"/>
      <w:sz w:val="20"/>
      <w:szCs w:val="24"/>
      <w:lang w:val="es-ES_tradnl"/>
    </w:rPr>
  </w:style>
  <w:style w:type="paragraph" w:customStyle="1" w:styleId="2Footnotes">
    <w:name w:val="2. Footnotes"/>
    <w:basedOn w:val="FootnoteText"/>
    <w:link w:val="2FootnotesChar"/>
    <w:autoRedefine/>
    <w:qFormat/>
    <w:rsid w:val="00F80DDB"/>
    <w:rPr>
      <w:rFonts w:eastAsia="Times New Roman" w:cs="Palatino-Italic"/>
      <w:iCs/>
      <w:szCs w:val="18"/>
      <w:lang w:val="es-ES"/>
    </w:rPr>
  </w:style>
  <w:style w:type="character" w:customStyle="1" w:styleId="2FootnotesChar">
    <w:name w:val="2. Footnotes Char"/>
    <w:link w:val="2Footnotes"/>
    <w:rsid w:val="00F80DDB"/>
    <w:rPr>
      <w:rFonts w:ascii="Verdana" w:eastAsia="Times New Roman" w:hAnsi="Verdana" w:cs="Palatino-Italic"/>
      <w:iCs/>
      <w:sz w:val="16"/>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80DDB"/>
    <w:rPr>
      <w:rFonts w:asciiTheme="minorHAnsi" w:eastAsiaTheme="minorHAnsi" w:hAnsiTheme="minorHAnsi" w:cs="Times New Roman"/>
      <w:sz w:val="22"/>
      <w:szCs w:val="20"/>
      <w:vertAlign w:val="superscript"/>
      <w:lang w:val="es-ES"/>
    </w:rPr>
  </w:style>
  <w:style w:type="character" w:customStyle="1" w:styleId="PrrafodeSentenciaChar">
    <w:name w:val="*. Párrafo de Sentencia Char"/>
    <w:link w:val="PrrafodeSentencia"/>
    <w:locked/>
    <w:rsid w:val="00CE4D25"/>
    <w:rPr>
      <w:rFonts w:ascii="Verdana" w:eastAsia="Batang" w:hAnsi="Verdana" w:cs="Arial"/>
      <w:sz w:val="20"/>
      <w:szCs w:val="20"/>
      <w:lang w:val="es-CR" w:eastAsia="es-MX"/>
    </w:rPr>
  </w:style>
  <w:style w:type="paragraph" w:customStyle="1" w:styleId="PrrafodeSentencia">
    <w:name w:val="*. Párrafo de Sentencia"/>
    <w:basedOn w:val="FootnoteText"/>
    <w:link w:val="PrrafodeSentenciaChar"/>
    <w:autoRedefine/>
    <w:qFormat/>
    <w:rsid w:val="00CE4D25"/>
    <w:pPr>
      <w:tabs>
        <w:tab w:val="left" w:pos="720"/>
      </w:tabs>
    </w:pPr>
    <w:rPr>
      <w:rFonts w:cs="Arial"/>
      <w:sz w:val="20"/>
      <w:lang w:val="es-CR" w:eastAsia="es-MX"/>
    </w:rPr>
  </w:style>
  <w:style w:type="character" w:customStyle="1" w:styleId="Smbolodenotaalpie">
    <w:name w:val="Símbolo de nota al pie"/>
    <w:rsid w:val="00577335"/>
    <w:rPr>
      <w:rFonts w:cs="Times New Roman"/>
      <w:szCs w:val="20"/>
      <w:vertAlign w:val="superscript"/>
    </w:rPr>
  </w:style>
  <w:style w:type="character" w:customStyle="1" w:styleId="Heading7Char">
    <w:name w:val="Heading 7 Char"/>
    <w:basedOn w:val="DefaultParagraphFont"/>
    <w:link w:val="Heading7"/>
    <w:uiPriority w:val="99"/>
    <w:rsid w:val="00BD53D7"/>
    <w:rPr>
      <w:rFonts w:ascii="Times New Roman" w:eastAsia="Times New Roman" w:hAnsi="Times New Roman" w:cs="Times New Roman"/>
      <w:sz w:val="24"/>
      <w:szCs w:val="24"/>
      <w:lang w:val="es-ES_tradnl" w:eastAsia="es-ES"/>
    </w:rPr>
  </w:style>
  <w:style w:type="character" w:customStyle="1" w:styleId="Heading8Char">
    <w:name w:val="Heading 8 Char"/>
    <w:basedOn w:val="DefaultParagraphFont"/>
    <w:link w:val="Heading8"/>
    <w:uiPriority w:val="99"/>
    <w:rsid w:val="00BD53D7"/>
    <w:rPr>
      <w:rFonts w:ascii="Times New Roman" w:eastAsia="Times New Roman" w:hAnsi="Times New Roman" w:cs="Times New Roman"/>
      <w:i/>
      <w:iCs/>
      <w:sz w:val="24"/>
      <w:szCs w:val="24"/>
      <w:lang w:val="es-ES_tradnl" w:eastAsia="es-ES"/>
    </w:rPr>
  </w:style>
  <w:style w:type="character" w:customStyle="1" w:styleId="Heading9Char">
    <w:name w:val="Heading 9 Char"/>
    <w:basedOn w:val="DefaultParagraphFont"/>
    <w:link w:val="Heading9"/>
    <w:uiPriority w:val="99"/>
    <w:rsid w:val="00BD53D7"/>
    <w:rPr>
      <w:rFonts w:ascii="Arial" w:eastAsia="Times New Roman" w:hAnsi="Arial" w:cs="Times New Roman"/>
      <w:lang w:val="es-ES_tradnl"/>
    </w:rPr>
  </w:style>
  <w:style w:type="character" w:styleId="LineNumber">
    <w:name w:val="line number"/>
    <w:basedOn w:val="DefaultParagraphFont"/>
    <w:uiPriority w:val="99"/>
    <w:semiHidden/>
    <w:unhideWhenUsed/>
    <w:rsid w:val="00BD53D7"/>
  </w:style>
  <w:style w:type="paragraph" w:styleId="NormalWeb">
    <w:name w:val="Normal (Web)"/>
    <w:aliases w:val="Normal (Web) Char1,Normal (Web) Char Char,Normal (Web) Char1 Char,Normal (Web) Char Char Char"/>
    <w:basedOn w:val="Normal"/>
    <w:uiPriority w:val="99"/>
    <w:rsid w:val="00BD53D7"/>
    <w:pPr>
      <w:spacing w:before="100" w:beforeAutospacing="1" w:after="100" w:afterAutospacing="1" w:line="276" w:lineRule="auto"/>
      <w:jc w:val="left"/>
    </w:pPr>
    <w:rPr>
      <w:rFonts w:ascii="Arial Unicode MS" w:eastAsia="Times New Roman" w:hAnsi="Arial Unicode MS" w:cs="Arial Unicode MS"/>
      <w:sz w:val="16"/>
      <w:szCs w:val="16"/>
      <w:lang w:val="en-US"/>
    </w:rPr>
  </w:style>
  <w:style w:type="paragraph" w:styleId="EndnoteText">
    <w:name w:val="endnote text"/>
    <w:basedOn w:val="Normal"/>
    <w:link w:val="EndnoteTextChar"/>
    <w:uiPriority w:val="99"/>
    <w:semiHidden/>
    <w:rsid w:val="00BD53D7"/>
    <w:pPr>
      <w:widowControl w:val="0"/>
      <w:tabs>
        <w:tab w:val="left" w:pos="720"/>
        <w:tab w:val="left" w:pos="1440"/>
        <w:tab w:val="left" w:pos="2160"/>
        <w:tab w:val="left" w:pos="2880"/>
        <w:tab w:val="left" w:pos="3600"/>
        <w:tab w:val="left" w:pos="4320"/>
        <w:tab w:val="left" w:pos="5760"/>
        <w:tab w:val="left" w:pos="6480"/>
        <w:tab w:val="left" w:pos="7200"/>
        <w:tab w:val="left" w:pos="7920"/>
      </w:tabs>
      <w:spacing w:before="60" w:after="60" w:line="276" w:lineRule="auto"/>
    </w:pPr>
    <w:rPr>
      <w:rFonts w:ascii="CG Times" w:eastAsia="Times New Roman" w:hAnsi="CG Times" w:cs="Times New Roman"/>
      <w:sz w:val="22"/>
      <w:szCs w:val="20"/>
      <w:lang w:val="es-ES"/>
    </w:rPr>
  </w:style>
  <w:style w:type="character" w:customStyle="1" w:styleId="EndnoteTextChar">
    <w:name w:val="Endnote Text Char"/>
    <w:basedOn w:val="DefaultParagraphFont"/>
    <w:link w:val="EndnoteText"/>
    <w:uiPriority w:val="99"/>
    <w:semiHidden/>
    <w:rsid w:val="00BD53D7"/>
    <w:rPr>
      <w:rFonts w:ascii="CG Times" w:eastAsia="Times New Roman" w:hAnsi="CG Times" w:cs="Times New Roman"/>
      <w:szCs w:val="20"/>
    </w:rPr>
  </w:style>
  <w:style w:type="character" w:styleId="PageNumber">
    <w:name w:val="page number"/>
    <w:basedOn w:val="DefaultParagraphFont"/>
    <w:uiPriority w:val="99"/>
    <w:rsid w:val="00BD53D7"/>
    <w:rPr>
      <w:rFonts w:cs="Times New Roman"/>
    </w:rPr>
  </w:style>
  <w:style w:type="paragraph" w:styleId="BodyTextIndent">
    <w:name w:val="Body Text Indent"/>
    <w:basedOn w:val="Normal"/>
    <w:link w:val="BodyTextIndentChar"/>
    <w:uiPriority w:val="99"/>
    <w:rsid w:val="00BD53D7"/>
    <w:pPr>
      <w:spacing w:before="60" w:after="60" w:line="276" w:lineRule="auto"/>
      <w:ind w:left="720"/>
    </w:pPr>
    <w:rPr>
      <w:rFonts w:ascii="Univers" w:eastAsia="Times New Roman" w:hAnsi="Univers" w:cs="Times New Roman"/>
      <w:szCs w:val="20"/>
      <w:lang w:val="es-CL"/>
    </w:rPr>
  </w:style>
  <w:style w:type="character" w:customStyle="1" w:styleId="BodyTextIndentChar">
    <w:name w:val="Body Text Indent Char"/>
    <w:basedOn w:val="DefaultParagraphFont"/>
    <w:link w:val="BodyTextIndent"/>
    <w:uiPriority w:val="99"/>
    <w:rsid w:val="00BD53D7"/>
    <w:rPr>
      <w:rFonts w:ascii="Univers" w:eastAsia="Times New Roman" w:hAnsi="Univers" w:cs="Times New Roman"/>
      <w:sz w:val="20"/>
      <w:szCs w:val="20"/>
      <w:lang w:val="es-CL"/>
    </w:rPr>
  </w:style>
  <w:style w:type="paragraph" w:styleId="BodyText">
    <w:name w:val="Body Text"/>
    <w:basedOn w:val="Normal"/>
    <w:link w:val="BodyTextChar"/>
    <w:uiPriority w:val="99"/>
    <w:rsid w:val="00BD53D7"/>
    <w:pPr>
      <w:spacing w:before="60" w:after="60" w:line="276" w:lineRule="auto"/>
    </w:pPr>
    <w:rPr>
      <w:rFonts w:ascii="Univers" w:eastAsia="Times New Roman" w:hAnsi="Univers" w:cs="Times New Roman"/>
      <w:sz w:val="22"/>
      <w:szCs w:val="20"/>
      <w:lang w:val="es-CL"/>
    </w:rPr>
  </w:style>
  <w:style w:type="character" w:customStyle="1" w:styleId="BodyTextChar">
    <w:name w:val="Body Text Char"/>
    <w:basedOn w:val="DefaultParagraphFont"/>
    <w:link w:val="BodyText"/>
    <w:uiPriority w:val="99"/>
    <w:rsid w:val="00BD53D7"/>
    <w:rPr>
      <w:rFonts w:ascii="Univers" w:eastAsia="Times New Roman" w:hAnsi="Univers" w:cs="Times New Roman"/>
      <w:szCs w:val="20"/>
      <w:lang w:val="es-CL"/>
    </w:rPr>
  </w:style>
  <w:style w:type="paragraph" w:styleId="BodyText2">
    <w:name w:val="Body Text 2"/>
    <w:basedOn w:val="Normal"/>
    <w:link w:val="BodyText2Char"/>
    <w:uiPriority w:val="99"/>
    <w:rsid w:val="00BD53D7"/>
    <w:pPr>
      <w:spacing w:before="60" w:after="120" w:line="480" w:lineRule="auto"/>
      <w:jc w:val="left"/>
    </w:pPr>
    <w:rPr>
      <w:rFonts w:ascii="Times New Roman" w:eastAsia="Times New Roman" w:hAnsi="Times New Roman" w:cs="Times New Roman"/>
      <w:sz w:val="24"/>
    </w:rPr>
  </w:style>
  <w:style w:type="character" w:customStyle="1" w:styleId="BodyText2Char">
    <w:name w:val="Body Text 2 Char"/>
    <w:basedOn w:val="DefaultParagraphFont"/>
    <w:link w:val="BodyText2"/>
    <w:uiPriority w:val="99"/>
    <w:rsid w:val="00BD53D7"/>
    <w:rPr>
      <w:rFonts w:ascii="Times New Roman" w:eastAsia="Times New Roman" w:hAnsi="Times New Roman" w:cs="Times New Roman"/>
      <w:sz w:val="24"/>
      <w:szCs w:val="24"/>
      <w:lang w:val="es-ES_tradnl"/>
    </w:rPr>
  </w:style>
  <w:style w:type="paragraph" w:styleId="BodyTextIndent2">
    <w:name w:val="Body Text Indent 2"/>
    <w:basedOn w:val="Normal"/>
    <w:link w:val="BodyTextIndent2Char"/>
    <w:uiPriority w:val="99"/>
    <w:rsid w:val="00BD53D7"/>
    <w:pPr>
      <w:spacing w:before="60" w:after="120" w:line="480" w:lineRule="auto"/>
      <w:ind w:left="283"/>
      <w:jc w:val="left"/>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BD53D7"/>
    <w:rPr>
      <w:rFonts w:ascii="Times New Roman" w:eastAsia="Times New Roman" w:hAnsi="Times New Roman" w:cs="Times New Roman"/>
      <w:sz w:val="24"/>
      <w:szCs w:val="20"/>
      <w:lang w:val="es-ES_tradnl"/>
    </w:rPr>
  </w:style>
  <w:style w:type="character" w:styleId="Emphasis">
    <w:name w:val="Emphasis"/>
    <w:basedOn w:val="DefaultParagraphFont"/>
    <w:uiPriority w:val="20"/>
    <w:qFormat/>
    <w:rsid w:val="00BD53D7"/>
    <w:rPr>
      <w:rFonts w:cs="Times New Roman"/>
      <w:i/>
      <w:iCs/>
    </w:rPr>
  </w:style>
  <w:style w:type="paragraph" w:styleId="BodyTextIndent3">
    <w:name w:val="Body Text Indent 3"/>
    <w:basedOn w:val="Normal"/>
    <w:link w:val="BodyTextIndent3Char"/>
    <w:uiPriority w:val="99"/>
    <w:rsid w:val="00BD53D7"/>
    <w:pPr>
      <w:spacing w:before="60" w:after="120" w:line="276" w:lineRule="auto"/>
      <w:ind w:left="283"/>
      <w:jc w:val="left"/>
    </w:pPr>
    <w:rPr>
      <w:rFonts w:ascii="Times New Roman" w:eastAsia="Times New Roman" w:hAnsi="Times New Roman" w:cs="Times New Roman"/>
      <w:sz w:val="16"/>
      <w:szCs w:val="16"/>
      <w:lang w:val="es-ES"/>
    </w:rPr>
  </w:style>
  <w:style w:type="character" w:customStyle="1" w:styleId="BodyTextIndent3Char">
    <w:name w:val="Body Text Indent 3 Char"/>
    <w:basedOn w:val="DefaultParagraphFont"/>
    <w:link w:val="BodyTextIndent3"/>
    <w:uiPriority w:val="99"/>
    <w:rsid w:val="00BD53D7"/>
    <w:rPr>
      <w:rFonts w:ascii="Times New Roman" w:eastAsia="Times New Roman" w:hAnsi="Times New Roman" w:cs="Times New Roman"/>
      <w:sz w:val="16"/>
      <w:szCs w:val="16"/>
    </w:rPr>
  </w:style>
  <w:style w:type="paragraph" w:styleId="BodyText3">
    <w:name w:val="Body Text 3"/>
    <w:basedOn w:val="Normal"/>
    <w:link w:val="BodyText3Char"/>
    <w:uiPriority w:val="99"/>
    <w:rsid w:val="00BD53D7"/>
    <w:pPr>
      <w:spacing w:before="60" w:after="120" w:line="276" w:lineRule="auto"/>
      <w:jc w:val="left"/>
    </w:pPr>
    <w:rPr>
      <w:rFonts w:ascii="Times New Roman" w:eastAsia="Times New Roman" w:hAnsi="Times New Roman" w:cs="Times New Roman"/>
      <w:sz w:val="16"/>
      <w:szCs w:val="16"/>
      <w:lang w:val="es-ES"/>
    </w:rPr>
  </w:style>
  <w:style w:type="character" w:customStyle="1" w:styleId="BodyText3Char">
    <w:name w:val="Body Text 3 Char"/>
    <w:basedOn w:val="DefaultParagraphFont"/>
    <w:link w:val="BodyText3"/>
    <w:uiPriority w:val="99"/>
    <w:rsid w:val="00BD53D7"/>
    <w:rPr>
      <w:rFonts w:ascii="Times New Roman" w:eastAsia="Times New Roman" w:hAnsi="Times New Roman" w:cs="Times New Roman"/>
      <w:sz w:val="16"/>
      <w:szCs w:val="16"/>
    </w:rPr>
  </w:style>
  <w:style w:type="character" w:customStyle="1" w:styleId="Smbolodenotaalpie0">
    <w:name w:val="S√mbolo de nota al pie"/>
    <w:uiPriority w:val="99"/>
    <w:rsid w:val="00BD53D7"/>
    <w:rPr>
      <w:vertAlign w:val="superscript"/>
    </w:rPr>
  </w:style>
  <w:style w:type="character" w:customStyle="1" w:styleId="FootnoteCharacters">
    <w:name w:val="Footnote Characters"/>
    <w:basedOn w:val="DefaultParagraphFont"/>
    <w:uiPriority w:val="99"/>
    <w:qFormat/>
    <w:rsid w:val="00BD53D7"/>
    <w:rPr>
      <w:rFonts w:cs="Times New Roman"/>
      <w:vertAlign w:val="superscript"/>
    </w:rPr>
  </w:style>
  <w:style w:type="paragraph" w:customStyle="1" w:styleId="negritamayuscula">
    <w:name w:val="negrita mayuscula"/>
    <w:basedOn w:val="Normal"/>
    <w:uiPriority w:val="99"/>
    <w:rsid w:val="00BD53D7"/>
    <w:pPr>
      <w:widowControl w:val="0"/>
      <w:tabs>
        <w:tab w:val="left" w:pos="1120"/>
      </w:tabs>
      <w:spacing w:before="60" w:after="60" w:line="360" w:lineRule="atLeast"/>
    </w:pPr>
    <w:rPr>
      <w:rFonts w:ascii="Garamond" w:eastAsia="Times New Roman" w:hAnsi="Garamond" w:cs="Times New Roman"/>
      <w:sz w:val="24"/>
      <w:szCs w:val="20"/>
    </w:rPr>
  </w:style>
  <w:style w:type="paragraph" w:customStyle="1" w:styleId="Default">
    <w:name w:val="Default"/>
    <w:rsid w:val="00BD53D7"/>
    <w:pPr>
      <w:autoSpaceDE w:val="0"/>
      <w:autoSpaceDN w:val="0"/>
      <w:adjustRightInd w:val="0"/>
      <w:spacing w:before="60" w:after="0" w:line="240" w:lineRule="auto"/>
    </w:pPr>
    <w:rPr>
      <w:rFonts w:ascii="Arial" w:eastAsia="Times New Roman" w:hAnsi="Arial" w:cs="Arial"/>
      <w:color w:val="000000"/>
      <w:sz w:val="24"/>
      <w:szCs w:val="24"/>
      <w:lang w:val="en-US"/>
    </w:rPr>
  </w:style>
  <w:style w:type="paragraph" w:customStyle="1" w:styleId="newsbody">
    <w:name w:val="news_body"/>
    <w:basedOn w:val="Normal"/>
    <w:uiPriority w:val="99"/>
    <w:rsid w:val="00BD53D7"/>
    <w:pPr>
      <w:spacing w:before="100" w:beforeAutospacing="1" w:after="100" w:afterAutospacing="1" w:line="276" w:lineRule="auto"/>
      <w:jc w:val="left"/>
    </w:pPr>
    <w:rPr>
      <w:rFonts w:eastAsia="Times New Roman" w:cs="Times New Roman"/>
      <w:color w:val="000000"/>
      <w:spacing w:val="3"/>
      <w:sz w:val="18"/>
      <w:szCs w:val="18"/>
      <w:lang w:val="es-ES" w:eastAsia="es-ES"/>
    </w:rPr>
  </w:style>
  <w:style w:type="paragraph" w:customStyle="1" w:styleId="Titre1">
    <w:name w:val="Titre 1"/>
    <w:basedOn w:val="Normal"/>
    <w:uiPriority w:val="99"/>
    <w:rsid w:val="00BD53D7"/>
    <w:pPr>
      <w:numPr>
        <w:numId w:val="5"/>
      </w:numPr>
      <w:tabs>
        <w:tab w:val="num" w:pos="1080"/>
      </w:tabs>
      <w:spacing w:before="60" w:after="60" w:line="276" w:lineRule="auto"/>
      <w:ind w:left="1080" w:hanging="720"/>
      <w:jc w:val="center"/>
    </w:pPr>
    <w:rPr>
      <w:rFonts w:eastAsia="Times New Roman" w:cs="Times New Roman"/>
      <w:b/>
      <w:caps/>
      <w:szCs w:val="20"/>
      <w:lang w:val="es-ES" w:eastAsia="es-ES"/>
    </w:rPr>
  </w:style>
  <w:style w:type="paragraph" w:styleId="ListBullet">
    <w:name w:val="List Bullet"/>
    <w:basedOn w:val="Normal"/>
    <w:uiPriority w:val="99"/>
    <w:rsid w:val="00BD53D7"/>
    <w:pPr>
      <w:numPr>
        <w:numId w:val="4"/>
      </w:numPr>
      <w:tabs>
        <w:tab w:val="clear" w:pos="360"/>
        <w:tab w:val="num" w:pos="780"/>
      </w:tabs>
      <w:spacing w:before="60" w:after="60" w:line="276" w:lineRule="auto"/>
      <w:jc w:val="left"/>
    </w:pPr>
    <w:rPr>
      <w:rFonts w:ascii="Times New Roman" w:eastAsia="Times New Roman" w:hAnsi="Times New Roman" w:cs="Times New Roman"/>
      <w:sz w:val="24"/>
      <w:lang w:val="es-ES"/>
    </w:rPr>
  </w:style>
  <w:style w:type="character" w:customStyle="1" w:styleId="CarCar">
    <w:name w:val="Car Car"/>
    <w:basedOn w:val="DefaultParagraphFont"/>
    <w:uiPriority w:val="99"/>
    <w:rsid w:val="00BD53D7"/>
    <w:rPr>
      <w:rFonts w:cs="Times New Roman"/>
      <w:sz w:val="24"/>
      <w:lang w:val="es-ES" w:eastAsia="en-US"/>
    </w:rPr>
  </w:style>
  <w:style w:type="paragraph" w:styleId="List2">
    <w:name w:val="List 2"/>
    <w:basedOn w:val="Normal"/>
    <w:uiPriority w:val="99"/>
    <w:rsid w:val="00BD53D7"/>
    <w:pPr>
      <w:spacing w:before="60" w:after="60" w:line="276" w:lineRule="auto"/>
      <w:ind w:left="566" w:hanging="283"/>
      <w:jc w:val="left"/>
    </w:pPr>
    <w:rPr>
      <w:rFonts w:ascii="Times New Roman" w:eastAsia="Times New Roman" w:hAnsi="Times New Roman" w:cs="Times New Roman"/>
      <w:sz w:val="28"/>
      <w:szCs w:val="28"/>
      <w:lang w:val="es-ES" w:eastAsia="es-ES"/>
    </w:rPr>
  </w:style>
  <w:style w:type="paragraph" w:styleId="BlockText">
    <w:name w:val="Block Text"/>
    <w:basedOn w:val="Normal"/>
    <w:uiPriority w:val="99"/>
    <w:rsid w:val="00BD53D7"/>
    <w:pPr>
      <w:spacing w:before="60" w:after="60" w:line="360" w:lineRule="auto"/>
      <w:ind w:left="1259" w:right="919"/>
    </w:pPr>
    <w:rPr>
      <w:rFonts w:ascii="Times New Roman" w:eastAsia="Times New Roman" w:hAnsi="Times New Roman" w:cs="Times New Roman"/>
      <w:sz w:val="28"/>
      <w:lang w:val="es-ES" w:eastAsia="es-ES"/>
    </w:rPr>
  </w:style>
  <w:style w:type="paragraph" w:customStyle="1" w:styleId="textoparrafo">
    <w:name w:val="textoparrafo"/>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s-ES" w:eastAsia="es-ES"/>
    </w:rPr>
  </w:style>
  <w:style w:type="paragraph" w:customStyle="1" w:styleId="Prrafodelista1">
    <w:name w:val="P∑rrafo de lista1"/>
    <w:basedOn w:val="Normal"/>
    <w:uiPriority w:val="99"/>
    <w:rsid w:val="00BD53D7"/>
    <w:pPr>
      <w:spacing w:before="60" w:after="60" w:line="276" w:lineRule="auto"/>
      <w:ind w:left="720"/>
      <w:contextualSpacing/>
      <w:jc w:val="left"/>
    </w:pPr>
    <w:rPr>
      <w:rFonts w:ascii="Times New Roman" w:eastAsia="Times New Roman" w:hAnsi="Times New Roman" w:cs="Times New Roman"/>
      <w:sz w:val="24"/>
    </w:rPr>
  </w:style>
  <w:style w:type="paragraph" w:customStyle="1" w:styleId="StyleHeading2LatinTimesNewRomanAsianBatang12ptN">
    <w:name w:val="Style Heading 2 + (Latin) Times New Roman (Asian) Batang 12 pt N..."/>
    <w:basedOn w:val="Heading2"/>
    <w:next w:val="Normal"/>
    <w:uiPriority w:val="99"/>
    <w:rsid w:val="00BD53D7"/>
    <w:pPr>
      <w:numPr>
        <w:ilvl w:val="1"/>
      </w:numPr>
      <w:tabs>
        <w:tab w:val="num" w:pos="576"/>
      </w:tabs>
      <w:spacing w:before="0" w:line="276" w:lineRule="auto"/>
      <w:ind w:left="576" w:hanging="576"/>
    </w:pPr>
    <w:rPr>
      <w:rFonts w:ascii="Times New Roman" w:eastAsia="Batang" w:hAnsi="Times New Roman" w:cs="Times New Roman"/>
      <w:i/>
      <w:color w:val="365F91"/>
      <w:sz w:val="24"/>
      <w:szCs w:val="20"/>
      <w:lang w:eastAsia="es-ES"/>
    </w:rPr>
  </w:style>
  <w:style w:type="character" w:customStyle="1" w:styleId="documentbody">
    <w:name w:val="documentbody"/>
    <w:basedOn w:val="DefaultParagraphFont"/>
    <w:uiPriority w:val="99"/>
    <w:rsid w:val="00BD53D7"/>
    <w:rPr>
      <w:rFonts w:cs="Times New Roman"/>
    </w:rPr>
  </w:style>
  <w:style w:type="paragraph" w:customStyle="1" w:styleId="JuPara">
    <w:name w:val="Ju_Para"/>
    <w:basedOn w:val="Normal"/>
    <w:uiPriority w:val="99"/>
    <w:rsid w:val="00BD53D7"/>
    <w:pPr>
      <w:suppressAutoHyphens/>
      <w:spacing w:before="240" w:after="240" w:line="276" w:lineRule="auto"/>
      <w:ind w:firstLine="284"/>
    </w:pPr>
    <w:rPr>
      <w:rFonts w:ascii="Times New Roman" w:eastAsia="Times New Roman" w:hAnsi="Times New Roman" w:cs="Times New Roman"/>
      <w:sz w:val="24"/>
      <w:szCs w:val="20"/>
      <w:lang w:val="en-GB"/>
    </w:rPr>
  </w:style>
  <w:style w:type="paragraph" w:customStyle="1" w:styleId="Index91">
    <w:name w:val="Index 91"/>
    <w:basedOn w:val="Normal"/>
    <w:uiPriority w:val="99"/>
    <w:rsid w:val="00BD53D7"/>
    <w:pPr>
      <w:spacing w:before="60" w:after="60" w:line="276" w:lineRule="auto"/>
      <w:jc w:val="center"/>
    </w:pPr>
    <w:rPr>
      <w:rFonts w:ascii="Apple Chancery" w:eastAsia="Times New Roman" w:hAnsi="Apple Chancery" w:cs="Times New Roman"/>
      <w:b/>
      <w:sz w:val="24"/>
      <w:szCs w:val="20"/>
      <w:lang w:eastAsia="es-ES"/>
    </w:rPr>
  </w:style>
  <w:style w:type="paragraph" w:customStyle="1" w:styleId="Textoindependiente21">
    <w:name w:val="Texto independiente 21"/>
    <w:basedOn w:val="Normal"/>
    <w:uiPriority w:val="99"/>
    <w:rsid w:val="00BD53D7"/>
    <w:pPr>
      <w:spacing w:before="60" w:after="60" w:line="360" w:lineRule="atLeast"/>
    </w:pPr>
    <w:rPr>
      <w:rFonts w:eastAsia="Times New Roman" w:cs="Times New Roman"/>
      <w:szCs w:val="20"/>
      <w:lang w:eastAsia="es-ES"/>
    </w:rPr>
  </w:style>
  <w:style w:type="character" w:customStyle="1" w:styleId="Refdenotaalpie7">
    <w:name w:val="Ref. de nota al pie7"/>
    <w:uiPriority w:val="99"/>
    <w:rsid w:val="00BD53D7"/>
    <w:rPr>
      <w:vertAlign w:val="superscript"/>
    </w:rPr>
  </w:style>
  <w:style w:type="paragraph" w:styleId="NoSpacing">
    <w:name w:val="No Spacing"/>
    <w:uiPriority w:val="1"/>
    <w:qFormat/>
    <w:rsid w:val="00BD53D7"/>
    <w:pPr>
      <w:spacing w:before="60" w:after="0" w:line="240" w:lineRule="auto"/>
    </w:pPr>
    <w:rPr>
      <w:rFonts w:ascii="Calibri" w:eastAsia="Times New Roman" w:hAnsi="Calibri" w:cs="Times New Roman"/>
    </w:rPr>
  </w:style>
  <w:style w:type="paragraph" w:customStyle="1" w:styleId="Normal6">
    <w:name w:val="Normal+6"/>
    <w:basedOn w:val="Normal"/>
    <w:next w:val="Normal"/>
    <w:uiPriority w:val="99"/>
    <w:rsid w:val="00BD53D7"/>
    <w:pPr>
      <w:autoSpaceDE w:val="0"/>
      <w:autoSpaceDN w:val="0"/>
      <w:adjustRightInd w:val="0"/>
      <w:spacing w:before="60" w:after="60" w:line="276" w:lineRule="auto"/>
      <w:jc w:val="left"/>
    </w:pPr>
    <w:rPr>
      <w:rFonts w:ascii="Times New Roman" w:eastAsia="Times New Roman" w:hAnsi="Times New Roman" w:cs="Times New Roman"/>
      <w:sz w:val="24"/>
      <w:lang w:val="es-ES" w:eastAsia="es-ES"/>
    </w:rPr>
  </w:style>
  <w:style w:type="character" w:customStyle="1" w:styleId="googqs-tidbit1">
    <w:name w:val="goog_qs-tidbit1"/>
    <w:basedOn w:val="DefaultParagraphFont"/>
    <w:uiPriority w:val="99"/>
    <w:rsid w:val="00BD53D7"/>
    <w:rPr>
      <w:rFonts w:cs="Times New Roman"/>
    </w:rPr>
  </w:style>
  <w:style w:type="character" w:customStyle="1" w:styleId="apple-style-span">
    <w:name w:val="apple-style-span"/>
    <w:basedOn w:val="DefaultParagraphFont"/>
    <w:uiPriority w:val="99"/>
    <w:rsid w:val="00BD53D7"/>
    <w:rPr>
      <w:rFonts w:cs="Times New Roman"/>
    </w:rPr>
  </w:style>
  <w:style w:type="character" w:customStyle="1" w:styleId="WW8Num5z1">
    <w:name w:val="WW8Num5z1"/>
    <w:uiPriority w:val="99"/>
    <w:rsid w:val="00BD53D7"/>
    <w:rPr>
      <w:rFonts w:ascii="Courier New" w:hAnsi="Courier New"/>
    </w:rPr>
  </w:style>
  <w:style w:type="character" w:customStyle="1" w:styleId="A10">
    <w:name w:val="A10"/>
    <w:uiPriority w:val="99"/>
    <w:rsid w:val="00BD53D7"/>
    <w:rPr>
      <w:color w:val="000000"/>
      <w:sz w:val="11"/>
    </w:rPr>
  </w:style>
  <w:style w:type="paragraph" w:customStyle="1" w:styleId="MacroText1">
    <w:name w:val="Macro Text1"/>
    <w:basedOn w:val="Normal"/>
    <w:uiPriority w:val="99"/>
    <w:rsid w:val="00BD53D7"/>
    <w:pPr>
      <w:suppressAutoHyphens/>
      <w:spacing w:before="60" w:after="60" w:line="276" w:lineRule="auto"/>
      <w:jc w:val="left"/>
    </w:pPr>
    <w:rPr>
      <w:rFonts w:eastAsia="Times New Roman" w:cs="Times New Roman"/>
      <w:sz w:val="24"/>
      <w:szCs w:val="20"/>
      <w:lang w:eastAsia="ar-SA"/>
    </w:rPr>
  </w:style>
  <w:style w:type="paragraph" w:customStyle="1" w:styleId="ju-005fpara-0020char1-0020char-0020char-0020char-0020char-0020char">
    <w:name w:val="ju-005fpara-0020char1-0020char-0020char-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paragraph" w:customStyle="1" w:styleId="ju-005fpara-0020char-0020char-0020char">
    <w:name w:val="ju-005fpara-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character" w:customStyle="1" w:styleId="ju-005fpara-0020char-0020char-0020char--char">
    <w:name w:val="ju-005fpara-0020char-0020char-0020char--char"/>
    <w:basedOn w:val="DefaultParagraphFont"/>
    <w:uiPriority w:val="99"/>
    <w:rsid w:val="00BD53D7"/>
    <w:rPr>
      <w:rFonts w:cs="Times New Roman"/>
    </w:rPr>
  </w:style>
  <w:style w:type="character" w:styleId="FollowedHyperlink">
    <w:name w:val="FollowedHyperlink"/>
    <w:basedOn w:val="DefaultParagraphFont"/>
    <w:uiPriority w:val="99"/>
    <w:rsid w:val="00BD53D7"/>
    <w:rPr>
      <w:rFonts w:cs="Times New Roman"/>
      <w:color w:val="800080"/>
      <w:u w:val="single"/>
    </w:rPr>
  </w:style>
  <w:style w:type="paragraph" w:customStyle="1" w:styleId="western">
    <w:name w:val="western"/>
    <w:basedOn w:val="Normal"/>
    <w:uiPriority w:val="99"/>
    <w:rsid w:val="00BD53D7"/>
    <w:pPr>
      <w:spacing w:before="100" w:beforeAutospacing="1" w:after="60" w:line="276" w:lineRule="auto"/>
    </w:pPr>
    <w:rPr>
      <w:rFonts w:ascii="Times New Roman" w:eastAsia="Times New Roman" w:hAnsi="Times New Roman" w:cs="Times New Roman"/>
      <w:color w:val="000000"/>
      <w:sz w:val="28"/>
      <w:szCs w:val="28"/>
      <w:lang w:val="en-US"/>
    </w:rPr>
  </w:style>
  <w:style w:type="paragraph" w:customStyle="1" w:styleId="CM124">
    <w:name w:val="CM124"/>
    <w:basedOn w:val="Default"/>
    <w:next w:val="Default"/>
    <w:uiPriority w:val="99"/>
    <w:rsid w:val="00BD53D7"/>
    <w:pPr>
      <w:widowControl w:val="0"/>
    </w:pPr>
    <w:rPr>
      <w:color w:val="auto"/>
    </w:rPr>
  </w:style>
  <w:style w:type="paragraph" w:customStyle="1" w:styleId="CM125">
    <w:name w:val="CM125"/>
    <w:basedOn w:val="Default"/>
    <w:next w:val="Default"/>
    <w:uiPriority w:val="99"/>
    <w:rsid w:val="00BD53D7"/>
    <w:pPr>
      <w:widowControl w:val="0"/>
    </w:pPr>
    <w:rPr>
      <w:color w:val="auto"/>
    </w:rPr>
  </w:style>
  <w:style w:type="paragraph" w:customStyle="1" w:styleId="CM129">
    <w:name w:val="CM129"/>
    <w:basedOn w:val="Default"/>
    <w:next w:val="Default"/>
    <w:uiPriority w:val="99"/>
    <w:rsid w:val="00BD53D7"/>
    <w:pPr>
      <w:widowControl w:val="0"/>
    </w:pPr>
    <w:rPr>
      <w:color w:val="auto"/>
    </w:rPr>
  </w:style>
  <w:style w:type="character" w:styleId="EndnoteReference">
    <w:name w:val="endnote reference"/>
    <w:basedOn w:val="DefaultParagraphFont"/>
    <w:uiPriority w:val="99"/>
    <w:semiHidden/>
    <w:unhideWhenUsed/>
    <w:rsid w:val="00BD53D7"/>
    <w:rPr>
      <w:vertAlign w:val="superscript"/>
    </w:rPr>
  </w:style>
  <w:style w:type="paragraph" w:styleId="Revision">
    <w:name w:val="Revision"/>
    <w:hidden/>
    <w:uiPriority w:val="99"/>
    <w:semiHidden/>
    <w:rsid w:val="00BD53D7"/>
    <w:pPr>
      <w:spacing w:before="60" w:after="0" w:line="240" w:lineRule="auto"/>
    </w:pPr>
    <w:rPr>
      <w:rFonts w:ascii="Times New Roman" w:eastAsia="Times New Roman" w:hAnsi="Times New Roman" w:cs="Times New Roman"/>
      <w:sz w:val="24"/>
      <w:szCs w:val="24"/>
      <w:lang w:val="es-ES_tradnl"/>
    </w:rPr>
  </w:style>
  <w:style w:type="character" w:styleId="PlaceholderText">
    <w:name w:val="Placeholder Text"/>
    <w:basedOn w:val="DefaultParagraphFont"/>
    <w:uiPriority w:val="99"/>
    <w:semiHidden/>
    <w:rsid w:val="00BD53D7"/>
    <w:rPr>
      <w:color w:val="808080"/>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BD53D7"/>
    <w:rPr>
      <w:rFonts w:ascii="Univers" w:hAnsi="Univers" w:cs="Times New Roman"/>
      <w:lang w:val="en-US" w:eastAsia="en-US" w:bidi="ar-SA"/>
    </w:rPr>
  </w:style>
  <w:style w:type="character" w:customStyle="1" w:styleId="FootnoteAnchor">
    <w:name w:val="Footnote Anchor"/>
    <w:rsid w:val="00BD53D7"/>
    <w:rPr>
      <w:vertAlign w:val="superscript"/>
    </w:rPr>
  </w:style>
  <w:style w:type="paragraph" w:styleId="TOC3">
    <w:name w:val="toc 3"/>
    <w:basedOn w:val="Normal"/>
    <w:next w:val="Normal"/>
    <w:autoRedefine/>
    <w:uiPriority w:val="39"/>
    <w:unhideWhenUsed/>
    <w:rsid w:val="003E0964"/>
    <w:pPr>
      <w:tabs>
        <w:tab w:val="right" w:leader="dot" w:pos="9072"/>
      </w:tabs>
      <w:spacing w:after="40"/>
      <w:ind w:left="403" w:right="237"/>
    </w:pPr>
  </w:style>
  <w:style w:type="paragraph" w:customStyle="1" w:styleId="Prrafodelista2">
    <w:name w:val="Párrafo de lista2"/>
    <w:basedOn w:val="Normal"/>
    <w:uiPriority w:val="99"/>
    <w:rsid w:val="006D122D"/>
    <w:pPr>
      <w:ind w:left="720"/>
      <w:jc w:val="left"/>
    </w:pPr>
    <w:rPr>
      <w:rFonts w:eastAsia="MS Mincho" w:cs="Times New Roman"/>
      <w:szCs w:val="20"/>
      <w:lang w:bidi="en-US"/>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DefaultParagraphFont"/>
    <w:uiPriority w:val="99"/>
    <w:qFormat/>
    <w:locked/>
    <w:rsid w:val="000C140A"/>
    <w:rPr>
      <w:rFonts w:ascii="Verdana" w:hAnsi="Verdana"/>
    </w:rPr>
  </w:style>
  <w:style w:type="paragraph" w:styleId="TOC4">
    <w:name w:val="toc 4"/>
    <w:basedOn w:val="Normal"/>
    <w:next w:val="Normal"/>
    <w:autoRedefine/>
    <w:uiPriority w:val="39"/>
    <w:unhideWhenUsed/>
    <w:rsid w:val="00CD3695"/>
    <w:pPr>
      <w:spacing w:after="100"/>
      <w:ind w:left="600"/>
    </w:pPr>
  </w:style>
  <w:style w:type="paragraph" w:customStyle="1" w:styleId="Estilo4">
    <w:name w:val="Estilo4"/>
    <w:basedOn w:val="Normal"/>
    <w:link w:val="Estilo4Car"/>
    <w:qFormat/>
    <w:rsid w:val="00817F42"/>
    <w:pPr>
      <w:numPr>
        <w:numId w:val="8"/>
      </w:numPr>
      <w:spacing w:after="160" w:line="259" w:lineRule="auto"/>
      <w:ind w:left="0" w:firstLine="0"/>
      <w:jc w:val="left"/>
    </w:pPr>
    <w:rPr>
      <w:rFonts w:ascii="Times New Roman" w:eastAsiaTheme="minorHAnsi" w:hAnsi="Times New Roman" w:cs="Times New Roman"/>
      <w:sz w:val="24"/>
      <w:lang w:val="es-UY"/>
    </w:rPr>
  </w:style>
  <w:style w:type="character" w:customStyle="1" w:styleId="Estilo4Car">
    <w:name w:val="Estilo4 Car"/>
    <w:basedOn w:val="DefaultParagraphFont"/>
    <w:link w:val="Estilo4"/>
    <w:rsid w:val="00817F42"/>
    <w:rPr>
      <w:rFonts w:ascii="Times New Roman" w:hAnsi="Times New Roman" w:cs="Times New Roman"/>
      <w:sz w:val="24"/>
      <w:szCs w:val="24"/>
      <w:lang w:val="es-UY"/>
    </w:rPr>
  </w:style>
  <w:style w:type="paragraph" w:customStyle="1" w:styleId="style11">
    <w:name w:val="style11"/>
    <w:basedOn w:val="Normal"/>
    <w:rsid w:val="00817F42"/>
    <w:pPr>
      <w:spacing w:before="192" w:after="192"/>
      <w:ind w:left="120" w:right="144"/>
    </w:pPr>
    <w:rPr>
      <w:rFonts w:ascii="Times New Roman" w:eastAsia="Times New Roman" w:hAnsi="Times New Roman" w:cs="Times New Roman"/>
      <w:sz w:val="24"/>
      <w:lang w:val="es-CR" w:eastAsia="es-CR"/>
    </w:rPr>
  </w:style>
  <w:style w:type="character" w:styleId="BookTitle">
    <w:name w:val="Book Title"/>
    <w:basedOn w:val="DefaultParagraphFont"/>
    <w:uiPriority w:val="33"/>
    <w:qFormat/>
    <w:rsid w:val="00817F42"/>
    <w:rPr>
      <w:b/>
      <w:bCs/>
      <w:smallCaps/>
      <w:spacing w:val="5"/>
    </w:rPr>
  </w:style>
  <w:style w:type="character" w:customStyle="1" w:styleId="UnresolvedMention">
    <w:name w:val="Unresolved Mention"/>
    <w:basedOn w:val="DefaultParagraphFont"/>
    <w:uiPriority w:val="99"/>
    <w:semiHidden/>
    <w:unhideWhenUsed/>
    <w:rsid w:val="00817F42"/>
    <w:rPr>
      <w:color w:val="808080"/>
      <w:shd w:val="clear" w:color="auto" w:fill="E6E6E6"/>
    </w:rPr>
  </w:style>
  <w:style w:type="character" w:customStyle="1" w:styleId="Funotenzeichen">
    <w:name w:val="Fußnotenzeichen"/>
    <w:rsid w:val="001264AE"/>
  </w:style>
  <w:style w:type="paragraph" w:customStyle="1" w:styleId="m307267806122917089estilo5">
    <w:name w:val="m_307267806122917089estilo5"/>
    <w:basedOn w:val="Normal"/>
    <w:rsid w:val="00B36143"/>
    <w:pPr>
      <w:spacing w:before="100" w:beforeAutospacing="1" w:after="100" w:afterAutospacing="1"/>
      <w:jc w:val="left"/>
    </w:pPr>
    <w:rPr>
      <w:rFonts w:ascii="Times New Roman" w:eastAsia="Times New Roman" w:hAnsi="Times New Roman" w:cs="Times New Roman"/>
      <w:sz w:val="24"/>
      <w:lang w:val="es-CR" w:eastAsia="es-CR"/>
    </w:rPr>
  </w:style>
  <w:style w:type="paragraph" w:customStyle="1" w:styleId="Estilo3">
    <w:name w:val="Estilo3"/>
    <w:basedOn w:val="ListParagraph"/>
    <w:qFormat/>
    <w:rsid w:val="00B36143"/>
    <w:pPr>
      <w:numPr>
        <w:ilvl w:val="4"/>
        <w:numId w:val="9"/>
      </w:numPr>
      <w:spacing w:after="120" w:line="216" w:lineRule="auto"/>
      <w:ind w:right="17"/>
      <w:contextualSpacing w:val="0"/>
    </w:pPr>
    <w:rPr>
      <w:rFonts w:eastAsia="Calibri" w:cs="Times New Roman"/>
      <w:spacing w:val="-2"/>
      <w:szCs w:val="20"/>
      <w:lang w:val="es-MX" w:eastAsia="x-none"/>
    </w:rPr>
  </w:style>
  <w:style w:type="paragraph" w:customStyle="1" w:styleId="Estilo5">
    <w:name w:val="Estilo5"/>
    <w:basedOn w:val="ListParagraph"/>
    <w:link w:val="Estilo5Car"/>
    <w:qFormat/>
    <w:rsid w:val="00B36143"/>
    <w:pPr>
      <w:numPr>
        <w:numId w:val="9"/>
      </w:numPr>
      <w:spacing w:after="120" w:line="216" w:lineRule="auto"/>
      <w:ind w:left="0" w:right="18" w:firstLine="0"/>
      <w:contextualSpacing w:val="0"/>
    </w:pPr>
    <w:rPr>
      <w:rFonts w:eastAsia="Calibri" w:cs="Times New Roman"/>
      <w:spacing w:val="-2"/>
      <w:szCs w:val="20"/>
      <w:lang w:val="es-MX" w:eastAsia="x-none"/>
    </w:rPr>
  </w:style>
  <w:style w:type="character" w:customStyle="1" w:styleId="Estilo5Car">
    <w:name w:val="Estilo5 Car"/>
    <w:link w:val="Estilo5"/>
    <w:rsid w:val="00B36143"/>
    <w:rPr>
      <w:rFonts w:ascii="Verdana" w:eastAsia="Calibri" w:hAnsi="Verdana" w:cs="Times New Roman"/>
      <w:spacing w:val="-2"/>
      <w:sz w:val="20"/>
      <w:szCs w:val="20"/>
      <w:lang w:val="es-MX" w:eastAsia="x-none"/>
    </w:rPr>
  </w:style>
  <w:style w:type="paragraph" w:customStyle="1" w:styleId="Estilo8">
    <w:name w:val="Estilo8"/>
    <w:basedOn w:val="Estilo3"/>
    <w:qFormat/>
    <w:rsid w:val="00B36143"/>
    <w:pPr>
      <w:numPr>
        <w:ilvl w:val="5"/>
      </w:numPr>
      <w:ind w:left="1080" w:hanging="358"/>
    </w:pPr>
  </w:style>
  <w:style w:type="character" w:customStyle="1" w:styleId="s6b621b36">
    <w:name w:val="s6b621b36"/>
    <w:basedOn w:val="DefaultParagraphFont"/>
    <w:rsid w:val="008908AB"/>
  </w:style>
  <w:style w:type="paragraph" w:customStyle="1" w:styleId="Estilo2">
    <w:name w:val="Estilo2"/>
    <w:basedOn w:val="Normal"/>
    <w:qFormat/>
    <w:rsid w:val="008908AB"/>
    <w:pPr>
      <w:tabs>
        <w:tab w:val="left" w:pos="567"/>
        <w:tab w:val="left" w:pos="1134"/>
        <w:tab w:val="num" w:pos="4767"/>
      </w:tabs>
      <w:spacing w:after="120"/>
      <w:ind w:firstLine="357"/>
    </w:pPr>
    <w:rPr>
      <w:rFonts w:eastAsia="Calibri" w:cs="Times New Roman"/>
      <w:szCs w:val="20"/>
      <w:lang w:val="es-ES"/>
    </w:rPr>
  </w:style>
  <w:style w:type="paragraph" w:styleId="DocumentMap">
    <w:name w:val="Document Map"/>
    <w:basedOn w:val="Normal"/>
    <w:link w:val="DocumentMapChar"/>
    <w:uiPriority w:val="99"/>
    <w:semiHidden/>
    <w:unhideWhenUsed/>
    <w:rsid w:val="0008652E"/>
    <w:rPr>
      <w:rFonts w:ascii="Lucida Grande" w:hAnsi="Lucida Grande"/>
      <w:sz w:val="24"/>
    </w:rPr>
  </w:style>
  <w:style w:type="character" w:customStyle="1" w:styleId="DocumentMapChar">
    <w:name w:val="Document Map Char"/>
    <w:basedOn w:val="DefaultParagraphFont"/>
    <w:link w:val="DocumentMap"/>
    <w:uiPriority w:val="99"/>
    <w:semiHidden/>
    <w:rsid w:val="0008652E"/>
    <w:rPr>
      <w:rFonts w:ascii="Lucida Grande" w:eastAsia="Batang" w:hAnsi="Lucida Grande" w:cs="Times"/>
      <w:sz w:val="24"/>
      <w:szCs w:val="24"/>
      <w:lang w:val="es-ES_tradnl"/>
    </w:rPr>
  </w:style>
  <w:style w:type="character" w:customStyle="1" w:styleId="Ancladenotaalpie">
    <w:name w:val="Ancla de nota al pie"/>
    <w:rsid w:val="0038493D"/>
    <w:rPr>
      <w:vertAlign w:val="superscript"/>
    </w:rPr>
  </w:style>
  <w:style w:type="character" w:customStyle="1" w:styleId="ListLabel47">
    <w:name w:val="ListLabel 47"/>
    <w:qFormat/>
    <w:rsid w:val="009A6A6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085">
      <w:bodyDiv w:val="1"/>
      <w:marLeft w:val="0"/>
      <w:marRight w:val="0"/>
      <w:marTop w:val="0"/>
      <w:marBottom w:val="0"/>
      <w:divBdr>
        <w:top w:val="none" w:sz="0" w:space="0" w:color="auto"/>
        <w:left w:val="none" w:sz="0" w:space="0" w:color="auto"/>
        <w:bottom w:val="none" w:sz="0" w:space="0" w:color="auto"/>
        <w:right w:val="none" w:sz="0" w:space="0" w:color="auto"/>
      </w:divBdr>
    </w:div>
    <w:div w:id="38868176">
      <w:bodyDiv w:val="1"/>
      <w:marLeft w:val="0"/>
      <w:marRight w:val="0"/>
      <w:marTop w:val="0"/>
      <w:marBottom w:val="0"/>
      <w:divBdr>
        <w:top w:val="none" w:sz="0" w:space="0" w:color="auto"/>
        <w:left w:val="none" w:sz="0" w:space="0" w:color="auto"/>
        <w:bottom w:val="none" w:sz="0" w:space="0" w:color="auto"/>
        <w:right w:val="none" w:sz="0" w:space="0" w:color="auto"/>
      </w:divBdr>
    </w:div>
    <w:div w:id="119963076">
      <w:bodyDiv w:val="1"/>
      <w:marLeft w:val="0"/>
      <w:marRight w:val="0"/>
      <w:marTop w:val="0"/>
      <w:marBottom w:val="0"/>
      <w:divBdr>
        <w:top w:val="none" w:sz="0" w:space="0" w:color="auto"/>
        <w:left w:val="none" w:sz="0" w:space="0" w:color="auto"/>
        <w:bottom w:val="none" w:sz="0" w:space="0" w:color="auto"/>
        <w:right w:val="none" w:sz="0" w:space="0" w:color="auto"/>
      </w:divBdr>
    </w:div>
    <w:div w:id="143667729">
      <w:bodyDiv w:val="1"/>
      <w:marLeft w:val="0"/>
      <w:marRight w:val="0"/>
      <w:marTop w:val="0"/>
      <w:marBottom w:val="0"/>
      <w:divBdr>
        <w:top w:val="none" w:sz="0" w:space="0" w:color="auto"/>
        <w:left w:val="none" w:sz="0" w:space="0" w:color="auto"/>
        <w:bottom w:val="none" w:sz="0" w:space="0" w:color="auto"/>
        <w:right w:val="none" w:sz="0" w:space="0" w:color="auto"/>
      </w:divBdr>
    </w:div>
    <w:div w:id="158616032">
      <w:bodyDiv w:val="1"/>
      <w:marLeft w:val="0"/>
      <w:marRight w:val="0"/>
      <w:marTop w:val="0"/>
      <w:marBottom w:val="0"/>
      <w:divBdr>
        <w:top w:val="none" w:sz="0" w:space="0" w:color="auto"/>
        <w:left w:val="none" w:sz="0" w:space="0" w:color="auto"/>
        <w:bottom w:val="none" w:sz="0" w:space="0" w:color="auto"/>
        <w:right w:val="none" w:sz="0" w:space="0" w:color="auto"/>
      </w:divBdr>
    </w:div>
    <w:div w:id="167912930">
      <w:bodyDiv w:val="1"/>
      <w:marLeft w:val="0"/>
      <w:marRight w:val="0"/>
      <w:marTop w:val="0"/>
      <w:marBottom w:val="0"/>
      <w:divBdr>
        <w:top w:val="none" w:sz="0" w:space="0" w:color="auto"/>
        <w:left w:val="none" w:sz="0" w:space="0" w:color="auto"/>
        <w:bottom w:val="none" w:sz="0" w:space="0" w:color="auto"/>
        <w:right w:val="none" w:sz="0" w:space="0" w:color="auto"/>
      </w:divBdr>
    </w:div>
    <w:div w:id="214201291">
      <w:bodyDiv w:val="1"/>
      <w:marLeft w:val="0"/>
      <w:marRight w:val="0"/>
      <w:marTop w:val="0"/>
      <w:marBottom w:val="0"/>
      <w:divBdr>
        <w:top w:val="none" w:sz="0" w:space="0" w:color="auto"/>
        <w:left w:val="none" w:sz="0" w:space="0" w:color="auto"/>
        <w:bottom w:val="none" w:sz="0" w:space="0" w:color="auto"/>
        <w:right w:val="none" w:sz="0" w:space="0" w:color="auto"/>
      </w:divBdr>
    </w:div>
    <w:div w:id="218707413">
      <w:bodyDiv w:val="1"/>
      <w:marLeft w:val="0"/>
      <w:marRight w:val="0"/>
      <w:marTop w:val="0"/>
      <w:marBottom w:val="0"/>
      <w:divBdr>
        <w:top w:val="none" w:sz="0" w:space="0" w:color="auto"/>
        <w:left w:val="none" w:sz="0" w:space="0" w:color="auto"/>
        <w:bottom w:val="none" w:sz="0" w:space="0" w:color="auto"/>
        <w:right w:val="none" w:sz="0" w:space="0" w:color="auto"/>
      </w:divBdr>
    </w:div>
    <w:div w:id="248731907">
      <w:bodyDiv w:val="1"/>
      <w:marLeft w:val="0"/>
      <w:marRight w:val="0"/>
      <w:marTop w:val="0"/>
      <w:marBottom w:val="0"/>
      <w:divBdr>
        <w:top w:val="none" w:sz="0" w:space="0" w:color="auto"/>
        <w:left w:val="none" w:sz="0" w:space="0" w:color="auto"/>
        <w:bottom w:val="none" w:sz="0" w:space="0" w:color="auto"/>
        <w:right w:val="none" w:sz="0" w:space="0" w:color="auto"/>
      </w:divBdr>
      <w:divsChild>
        <w:div w:id="687565345">
          <w:marLeft w:val="0"/>
          <w:marRight w:val="0"/>
          <w:marTop w:val="0"/>
          <w:marBottom w:val="0"/>
          <w:divBdr>
            <w:top w:val="none" w:sz="0" w:space="0" w:color="auto"/>
            <w:left w:val="none" w:sz="0" w:space="0" w:color="auto"/>
            <w:bottom w:val="none" w:sz="0" w:space="0" w:color="auto"/>
            <w:right w:val="none" w:sz="0" w:space="0" w:color="auto"/>
          </w:divBdr>
          <w:divsChild>
            <w:div w:id="1492451716">
              <w:marLeft w:val="0"/>
              <w:marRight w:val="0"/>
              <w:marTop w:val="0"/>
              <w:marBottom w:val="0"/>
              <w:divBdr>
                <w:top w:val="none" w:sz="0" w:space="0" w:color="auto"/>
                <w:left w:val="none" w:sz="0" w:space="0" w:color="auto"/>
                <w:bottom w:val="none" w:sz="0" w:space="0" w:color="auto"/>
                <w:right w:val="none" w:sz="0" w:space="0" w:color="auto"/>
              </w:divBdr>
              <w:divsChild>
                <w:div w:id="285812894">
                  <w:marLeft w:val="0"/>
                  <w:marRight w:val="0"/>
                  <w:marTop w:val="0"/>
                  <w:marBottom w:val="0"/>
                  <w:divBdr>
                    <w:top w:val="none" w:sz="0" w:space="0" w:color="auto"/>
                    <w:left w:val="none" w:sz="0" w:space="0" w:color="auto"/>
                    <w:bottom w:val="none" w:sz="0" w:space="0" w:color="auto"/>
                    <w:right w:val="none" w:sz="0" w:space="0" w:color="auto"/>
                  </w:divBdr>
                  <w:divsChild>
                    <w:div w:id="2024284623">
                      <w:marLeft w:val="0"/>
                      <w:marRight w:val="0"/>
                      <w:marTop w:val="0"/>
                      <w:marBottom w:val="0"/>
                      <w:divBdr>
                        <w:top w:val="none" w:sz="0" w:space="0" w:color="auto"/>
                        <w:left w:val="none" w:sz="0" w:space="0" w:color="auto"/>
                        <w:bottom w:val="none" w:sz="0" w:space="0" w:color="auto"/>
                        <w:right w:val="none" w:sz="0" w:space="0" w:color="auto"/>
                      </w:divBdr>
                      <w:divsChild>
                        <w:div w:id="1949972474">
                          <w:marLeft w:val="0"/>
                          <w:marRight w:val="0"/>
                          <w:marTop w:val="0"/>
                          <w:marBottom w:val="0"/>
                          <w:divBdr>
                            <w:top w:val="none" w:sz="0" w:space="0" w:color="auto"/>
                            <w:left w:val="none" w:sz="0" w:space="0" w:color="auto"/>
                            <w:bottom w:val="none" w:sz="0" w:space="0" w:color="auto"/>
                            <w:right w:val="none" w:sz="0" w:space="0" w:color="auto"/>
                          </w:divBdr>
                          <w:divsChild>
                            <w:div w:id="1221866149">
                              <w:marLeft w:val="0"/>
                              <w:marRight w:val="0"/>
                              <w:marTop w:val="0"/>
                              <w:marBottom w:val="0"/>
                              <w:divBdr>
                                <w:top w:val="none" w:sz="0" w:space="0" w:color="auto"/>
                                <w:left w:val="none" w:sz="0" w:space="0" w:color="auto"/>
                                <w:bottom w:val="none" w:sz="0" w:space="0" w:color="auto"/>
                                <w:right w:val="none" w:sz="0" w:space="0" w:color="auto"/>
                              </w:divBdr>
                              <w:divsChild>
                                <w:div w:id="1426804143">
                                  <w:marLeft w:val="0"/>
                                  <w:marRight w:val="0"/>
                                  <w:marTop w:val="0"/>
                                  <w:marBottom w:val="0"/>
                                  <w:divBdr>
                                    <w:top w:val="none" w:sz="0" w:space="0" w:color="auto"/>
                                    <w:left w:val="none" w:sz="0" w:space="0" w:color="auto"/>
                                    <w:bottom w:val="none" w:sz="0" w:space="0" w:color="auto"/>
                                    <w:right w:val="none" w:sz="0" w:space="0" w:color="auto"/>
                                  </w:divBdr>
                                  <w:divsChild>
                                    <w:div w:id="1788819138">
                                      <w:marLeft w:val="0"/>
                                      <w:marRight w:val="0"/>
                                      <w:marTop w:val="0"/>
                                      <w:marBottom w:val="0"/>
                                      <w:divBdr>
                                        <w:top w:val="none" w:sz="0" w:space="0" w:color="auto"/>
                                        <w:left w:val="none" w:sz="0" w:space="0" w:color="auto"/>
                                        <w:bottom w:val="none" w:sz="0" w:space="0" w:color="auto"/>
                                        <w:right w:val="none" w:sz="0" w:space="0" w:color="auto"/>
                                      </w:divBdr>
                                      <w:divsChild>
                                        <w:div w:id="1745370125">
                                          <w:marLeft w:val="0"/>
                                          <w:marRight w:val="0"/>
                                          <w:marTop w:val="0"/>
                                          <w:marBottom w:val="0"/>
                                          <w:divBdr>
                                            <w:top w:val="none" w:sz="0" w:space="0" w:color="auto"/>
                                            <w:left w:val="none" w:sz="0" w:space="0" w:color="auto"/>
                                            <w:bottom w:val="none" w:sz="0" w:space="0" w:color="auto"/>
                                            <w:right w:val="none" w:sz="0" w:space="0" w:color="auto"/>
                                          </w:divBdr>
                                          <w:divsChild>
                                            <w:div w:id="339090877">
                                              <w:marLeft w:val="0"/>
                                              <w:marRight w:val="0"/>
                                              <w:marTop w:val="0"/>
                                              <w:marBottom w:val="0"/>
                                              <w:divBdr>
                                                <w:top w:val="none" w:sz="0" w:space="0" w:color="auto"/>
                                                <w:left w:val="none" w:sz="0" w:space="0" w:color="auto"/>
                                                <w:bottom w:val="none" w:sz="0" w:space="0" w:color="auto"/>
                                                <w:right w:val="none" w:sz="0" w:space="0" w:color="auto"/>
                                              </w:divBdr>
                                              <w:divsChild>
                                                <w:div w:id="1770347350">
                                                  <w:marLeft w:val="0"/>
                                                  <w:marRight w:val="0"/>
                                                  <w:marTop w:val="0"/>
                                                  <w:marBottom w:val="0"/>
                                                  <w:divBdr>
                                                    <w:top w:val="none" w:sz="0" w:space="0" w:color="auto"/>
                                                    <w:left w:val="none" w:sz="0" w:space="0" w:color="auto"/>
                                                    <w:bottom w:val="none" w:sz="0" w:space="0" w:color="auto"/>
                                                    <w:right w:val="none" w:sz="0" w:space="0" w:color="auto"/>
                                                  </w:divBdr>
                                                  <w:divsChild>
                                                    <w:div w:id="799420255">
                                                      <w:marLeft w:val="0"/>
                                                      <w:marRight w:val="0"/>
                                                      <w:marTop w:val="0"/>
                                                      <w:marBottom w:val="0"/>
                                                      <w:divBdr>
                                                        <w:top w:val="none" w:sz="0" w:space="0" w:color="auto"/>
                                                        <w:left w:val="none" w:sz="0" w:space="0" w:color="auto"/>
                                                        <w:bottom w:val="none" w:sz="0" w:space="0" w:color="auto"/>
                                                        <w:right w:val="none" w:sz="0" w:space="0" w:color="auto"/>
                                                      </w:divBdr>
                                                      <w:divsChild>
                                                        <w:div w:id="2034719535">
                                                          <w:marLeft w:val="0"/>
                                                          <w:marRight w:val="0"/>
                                                          <w:marTop w:val="0"/>
                                                          <w:marBottom w:val="0"/>
                                                          <w:divBdr>
                                                            <w:top w:val="none" w:sz="0" w:space="0" w:color="auto"/>
                                                            <w:left w:val="none" w:sz="0" w:space="0" w:color="auto"/>
                                                            <w:bottom w:val="none" w:sz="0" w:space="0" w:color="auto"/>
                                                            <w:right w:val="none" w:sz="0" w:space="0" w:color="auto"/>
                                                          </w:divBdr>
                                                          <w:divsChild>
                                                            <w:div w:id="760219051">
                                                              <w:marLeft w:val="0"/>
                                                              <w:marRight w:val="0"/>
                                                              <w:marTop w:val="0"/>
                                                              <w:marBottom w:val="0"/>
                                                              <w:divBdr>
                                                                <w:top w:val="none" w:sz="0" w:space="0" w:color="auto"/>
                                                                <w:left w:val="none" w:sz="0" w:space="0" w:color="auto"/>
                                                                <w:bottom w:val="none" w:sz="0" w:space="0" w:color="auto"/>
                                                                <w:right w:val="none" w:sz="0" w:space="0" w:color="auto"/>
                                                              </w:divBdr>
                                                              <w:divsChild>
                                                                <w:div w:id="594441525">
                                                                  <w:marLeft w:val="0"/>
                                                                  <w:marRight w:val="0"/>
                                                                  <w:marTop w:val="0"/>
                                                                  <w:marBottom w:val="0"/>
                                                                  <w:divBdr>
                                                                    <w:top w:val="none" w:sz="0" w:space="0" w:color="auto"/>
                                                                    <w:left w:val="none" w:sz="0" w:space="0" w:color="auto"/>
                                                                    <w:bottom w:val="none" w:sz="0" w:space="0" w:color="auto"/>
                                                                    <w:right w:val="none" w:sz="0" w:space="0" w:color="auto"/>
                                                                  </w:divBdr>
                                                                  <w:divsChild>
                                                                    <w:div w:id="944338977">
                                                                      <w:marLeft w:val="0"/>
                                                                      <w:marRight w:val="0"/>
                                                                      <w:marTop w:val="0"/>
                                                                      <w:marBottom w:val="0"/>
                                                                      <w:divBdr>
                                                                        <w:top w:val="none" w:sz="0" w:space="0" w:color="auto"/>
                                                                        <w:left w:val="none" w:sz="0" w:space="0" w:color="auto"/>
                                                                        <w:bottom w:val="none" w:sz="0" w:space="0" w:color="auto"/>
                                                                        <w:right w:val="none" w:sz="0" w:space="0" w:color="auto"/>
                                                                      </w:divBdr>
                                                                      <w:divsChild>
                                                                        <w:div w:id="1401488999">
                                                                          <w:marLeft w:val="0"/>
                                                                          <w:marRight w:val="450"/>
                                                                          <w:marTop w:val="0"/>
                                                                          <w:marBottom w:val="0"/>
                                                                          <w:divBdr>
                                                                            <w:top w:val="none" w:sz="0" w:space="0" w:color="auto"/>
                                                                            <w:left w:val="none" w:sz="0" w:space="0" w:color="auto"/>
                                                                            <w:bottom w:val="none" w:sz="0" w:space="0" w:color="auto"/>
                                                                            <w:right w:val="none" w:sz="0" w:space="0" w:color="auto"/>
                                                                          </w:divBdr>
                                                                          <w:divsChild>
                                                                            <w:div w:id="235020993">
                                                                              <w:marLeft w:val="0"/>
                                                                              <w:marRight w:val="0"/>
                                                                              <w:marTop w:val="0"/>
                                                                              <w:marBottom w:val="0"/>
                                                                              <w:divBdr>
                                                                                <w:top w:val="none" w:sz="0" w:space="0" w:color="auto"/>
                                                                                <w:left w:val="none" w:sz="0" w:space="0" w:color="auto"/>
                                                                                <w:bottom w:val="none" w:sz="0" w:space="0" w:color="auto"/>
                                                                                <w:right w:val="none" w:sz="0" w:space="0" w:color="auto"/>
                                                                              </w:divBdr>
                                                                              <w:divsChild>
                                                                                <w:div w:id="2035036327">
                                                                                  <w:marLeft w:val="0"/>
                                                                                  <w:marRight w:val="0"/>
                                                                                  <w:marTop w:val="0"/>
                                                                                  <w:marBottom w:val="0"/>
                                                                                  <w:divBdr>
                                                                                    <w:top w:val="none" w:sz="0" w:space="0" w:color="auto"/>
                                                                                    <w:left w:val="none" w:sz="0" w:space="0" w:color="auto"/>
                                                                                    <w:bottom w:val="none" w:sz="0" w:space="0" w:color="auto"/>
                                                                                    <w:right w:val="none" w:sz="0" w:space="0" w:color="auto"/>
                                                                                  </w:divBdr>
                                                                                  <w:divsChild>
                                                                                    <w:div w:id="2140999017">
                                                                                      <w:marLeft w:val="0"/>
                                                                                      <w:marRight w:val="0"/>
                                                                                      <w:marTop w:val="0"/>
                                                                                      <w:marBottom w:val="0"/>
                                                                                      <w:divBdr>
                                                                                        <w:top w:val="none" w:sz="0" w:space="0" w:color="auto"/>
                                                                                        <w:left w:val="none" w:sz="0" w:space="0" w:color="auto"/>
                                                                                        <w:bottom w:val="none" w:sz="0" w:space="0" w:color="auto"/>
                                                                                        <w:right w:val="none" w:sz="0" w:space="0" w:color="auto"/>
                                                                                      </w:divBdr>
                                                                                      <w:divsChild>
                                                                                        <w:div w:id="910308682">
                                                                                          <w:marLeft w:val="0"/>
                                                                                          <w:marRight w:val="0"/>
                                                                                          <w:marTop w:val="0"/>
                                                                                          <w:marBottom w:val="0"/>
                                                                                          <w:divBdr>
                                                                                            <w:top w:val="none" w:sz="0" w:space="0" w:color="auto"/>
                                                                                            <w:left w:val="none" w:sz="0" w:space="0" w:color="auto"/>
                                                                                            <w:bottom w:val="none" w:sz="0" w:space="0" w:color="auto"/>
                                                                                            <w:right w:val="none" w:sz="0" w:space="0" w:color="auto"/>
                                                                                          </w:divBdr>
                                                                                          <w:divsChild>
                                                                                            <w:div w:id="1495877838">
                                                                                              <w:marLeft w:val="0"/>
                                                                                              <w:marRight w:val="0"/>
                                                                                              <w:marTop w:val="0"/>
                                                                                              <w:marBottom w:val="0"/>
                                                                                              <w:divBdr>
                                                                                                <w:top w:val="single" w:sz="2" w:space="0" w:color="EFEFEF"/>
                                                                                                <w:left w:val="none" w:sz="0" w:space="0" w:color="auto"/>
                                                                                                <w:bottom w:val="none" w:sz="0" w:space="0" w:color="auto"/>
                                                                                                <w:right w:val="none" w:sz="0" w:space="0" w:color="auto"/>
                                                                                              </w:divBdr>
                                                                                              <w:divsChild>
                                                                                                <w:div w:id="871504520">
                                                                                                  <w:marLeft w:val="0"/>
                                                                                                  <w:marRight w:val="0"/>
                                                                                                  <w:marTop w:val="0"/>
                                                                                                  <w:marBottom w:val="0"/>
                                                                                                  <w:divBdr>
                                                                                                    <w:top w:val="single" w:sz="6" w:space="0" w:color="D8D8D8"/>
                                                                                                    <w:left w:val="none" w:sz="0" w:space="0" w:color="auto"/>
                                                                                                    <w:bottom w:val="none" w:sz="0" w:space="0" w:color="D8D8D8"/>
                                                                                                    <w:right w:val="none" w:sz="0" w:space="0" w:color="auto"/>
                                                                                                  </w:divBdr>
                                                                                                  <w:divsChild>
                                                                                                    <w:div w:id="964433616">
                                                                                                      <w:marLeft w:val="0"/>
                                                                                                      <w:marRight w:val="0"/>
                                                                                                      <w:marTop w:val="0"/>
                                                                                                      <w:marBottom w:val="0"/>
                                                                                                      <w:divBdr>
                                                                                                        <w:top w:val="none" w:sz="0" w:space="0" w:color="auto"/>
                                                                                                        <w:left w:val="none" w:sz="0" w:space="0" w:color="auto"/>
                                                                                                        <w:bottom w:val="none" w:sz="0" w:space="0" w:color="auto"/>
                                                                                                        <w:right w:val="none" w:sz="0" w:space="0" w:color="auto"/>
                                                                                                      </w:divBdr>
                                                                                                      <w:divsChild>
                                                                                                        <w:div w:id="236405129">
                                                                                                          <w:marLeft w:val="0"/>
                                                                                                          <w:marRight w:val="0"/>
                                                                                                          <w:marTop w:val="0"/>
                                                                                                          <w:marBottom w:val="0"/>
                                                                                                          <w:divBdr>
                                                                                                            <w:top w:val="none" w:sz="0" w:space="0" w:color="auto"/>
                                                                                                            <w:left w:val="none" w:sz="0" w:space="0" w:color="auto"/>
                                                                                                            <w:bottom w:val="none" w:sz="0" w:space="0" w:color="auto"/>
                                                                                                            <w:right w:val="none" w:sz="0" w:space="0" w:color="auto"/>
                                                                                                          </w:divBdr>
                                                                                                          <w:divsChild>
                                                                                                            <w:div w:id="1155495030">
                                                                                                              <w:marLeft w:val="0"/>
                                                                                                              <w:marRight w:val="0"/>
                                                                                                              <w:marTop w:val="0"/>
                                                                                                              <w:marBottom w:val="0"/>
                                                                                                              <w:divBdr>
                                                                                                                <w:top w:val="none" w:sz="0" w:space="0" w:color="auto"/>
                                                                                                                <w:left w:val="none" w:sz="0" w:space="0" w:color="auto"/>
                                                                                                                <w:bottom w:val="none" w:sz="0" w:space="0" w:color="auto"/>
                                                                                                                <w:right w:val="none" w:sz="0" w:space="0" w:color="auto"/>
                                                                                                              </w:divBdr>
                                                                                                              <w:divsChild>
                                                                                                                <w:div w:id="835026207">
                                                                                                                  <w:marLeft w:val="450"/>
                                                                                                                  <w:marRight w:val="0"/>
                                                                                                                  <w:marTop w:val="0"/>
                                                                                                                  <w:marBottom w:val="0"/>
                                                                                                                  <w:divBdr>
                                                                                                                    <w:top w:val="none" w:sz="0" w:space="0" w:color="auto"/>
                                                                                                                    <w:left w:val="none" w:sz="0" w:space="0" w:color="auto"/>
                                                                                                                    <w:bottom w:val="none" w:sz="0" w:space="0" w:color="auto"/>
                                                                                                                    <w:right w:val="none" w:sz="0" w:space="0" w:color="auto"/>
                                                                                                                  </w:divBdr>
                                                                                                                  <w:divsChild>
                                                                                                                    <w:div w:id="307514768">
                                                                                                                      <w:marLeft w:val="0"/>
                                                                                                                      <w:marRight w:val="225"/>
                                                                                                                      <w:marTop w:val="75"/>
                                                                                                                      <w:marBottom w:val="0"/>
                                                                                                                      <w:divBdr>
                                                                                                                        <w:top w:val="none" w:sz="0" w:space="0" w:color="auto"/>
                                                                                                                        <w:left w:val="none" w:sz="0" w:space="0" w:color="auto"/>
                                                                                                                        <w:bottom w:val="none" w:sz="0" w:space="0" w:color="auto"/>
                                                                                                                        <w:right w:val="none" w:sz="0" w:space="0" w:color="auto"/>
                                                                                                                      </w:divBdr>
                                                                                                                      <w:divsChild>
                                                                                                                        <w:div w:id="2032491350">
                                                                                                                          <w:marLeft w:val="0"/>
                                                                                                                          <w:marRight w:val="0"/>
                                                                                                                          <w:marTop w:val="0"/>
                                                                                                                          <w:marBottom w:val="0"/>
                                                                                                                          <w:divBdr>
                                                                                                                            <w:top w:val="none" w:sz="0" w:space="0" w:color="auto"/>
                                                                                                                            <w:left w:val="none" w:sz="0" w:space="0" w:color="auto"/>
                                                                                                                            <w:bottom w:val="none" w:sz="0" w:space="0" w:color="auto"/>
                                                                                                                            <w:right w:val="none" w:sz="0" w:space="0" w:color="auto"/>
                                                                                                                          </w:divBdr>
                                                                                                                          <w:divsChild>
                                                                                                                            <w:div w:id="354425230">
                                                                                                                              <w:marLeft w:val="0"/>
                                                                                                                              <w:marRight w:val="0"/>
                                                                                                                              <w:marTop w:val="0"/>
                                                                                                                              <w:marBottom w:val="0"/>
                                                                                                                              <w:divBdr>
                                                                                                                                <w:top w:val="none" w:sz="0" w:space="0" w:color="auto"/>
                                                                                                                                <w:left w:val="none" w:sz="0" w:space="0" w:color="auto"/>
                                                                                                                                <w:bottom w:val="none" w:sz="0" w:space="0" w:color="auto"/>
                                                                                                                                <w:right w:val="none" w:sz="0" w:space="0" w:color="auto"/>
                                                                                                                              </w:divBdr>
                                                                                                                              <w:divsChild>
                                                                                                                                <w:div w:id="573904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4903">
                                                                                                                                      <w:marLeft w:val="0"/>
                                                                                                                                      <w:marRight w:val="0"/>
                                                                                                                                      <w:marTop w:val="0"/>
                                                                                                                                      <w:marBottom w:val="0"/>
                                                                                                                                      <w:divBdr>
                                                                                                                                        <w:top w:val="none" w:sz="0" w:space="0" w:color="auto"/>
                                                                                                                                        <w:left w:val="none" w:sz="0" w:space="0" w:color="auto"/>
                                                                                                                                        <w:bottom w:val="none" w:sz="0" w:space="0" w:color="auto"/>
                                                                                                                                        <w:right w:val="none" w:sz="0" w:space="0" w:color="auto"/>
                                                                                                                                      </w:divBdr>
                                                                                                                                      <w:divsChild>
                                                                                                                                        <w:div w:id="4006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841520">
      <w:bodyDiv w:val="1"/>
      <w:marLeft w:val="0"/>
      <w:marRight w:val="0"/>
      <w:marTop w:val="0"/>
      <w:marBottom w:val="0"/>
      <w:divBdr>
        <w:top w:val="none" w:sz="0" w:space="0" w:color="auto"/>
        <w:left w:val="none" w:sz="0" w:space="0" w:color="auto"/>
        <w:bottom w:val="none" w:sz="0" w:space="0" w:color="auto"/>
        <w:right w:val="none" w:sz="0" w:space="0" w:color="auto"/>
      </w:divBdr>
    </w:div>
    <w:div w:id="324867950">
      <w:bodyDiv w:val="1"/>
      <w:marLeft w:val="0"/>
      <w:marRight w:val="0"/>
      <w:marTop w:val="0"/>
      <w:marBottom w:val="0"/>
      <w:divBdr>
        <w:top w:val="none" w:sz="0" w:space="0" w:color="auto"/>
        <w:left w:val="none" w:sz="0" w:space="0" w:color="auto"/>
        <w:bottom w:val="none" w:sz="0" w:space="0" w:color="auto"/>
        <w:right w:val="none" w:sz="0" w:space="0" w:color="auto"/>
      </w:divBdr>
    </w:div>
    <w:div w:id="431827555">
      <w:bodyDiv w:val="1"/>
      <w:marLeft w:val="0"/>
      <w:marRight w:val="0"/>
      <w:marTop w:val="0"/>
      <w:marBottom w:val="0"/>
      <w:divBdr>
        <w:top w:val="none" w:sz="0" w:space="0" w:color="auto"/>
        <w:left w:val="none" w:sz="0" w:space="0" w:color="auto"/>
        <w:bottom w:val="none" w:sz="0" w:space="0" w:color="auto"/>
        <w:right w:val="none" w:sz="0" w:space="0" w:color="auto"/>
      </w:divBdr>
    </w:div>
    <w:div w:id="503859288">
      <w:bodyDiv w:val="1"/>
      <w:marLeft w:val="0"/>
      <w:marRight w:val="0"/>
      <w:marTop w:val="0"/>
      <w:marBottom w:val="0"/>
      <w:divBdr>
        <w:top w:val="none" w:sz="0" w:space="0" w:color="auto"/>
        <w:left w:val="none" w:sz="0" w:space="0" w:color="auto"/>
        <w:bottom w:val="none" w:sz="0" w:space="0" w:color="auto"/>
        <w:right w:val="none" w:sz="0" w:space="0" w:color="auto"/>
      </w:divBdr>
    </w:div>
    <w:div w:id="531648213">
      <w:bodyDiv w:val="1"/>
      <w:marLeft w:val="0"/>
      <w:marRight w:val="0"/>
      <w:marTop w:val="0"/>
      <w:marBottom w:val="0"/>
      <w:divBdr>
        <w:top w:val="none" w:sz="0" w:space="0" w:color="auto"/>
        <w:left w:val="none" w:sz="0" w:space="0" w:color="auto"/>
        <w:bottom w:val="none" w:sz="0" w:space="0" w:color="auto"/>
        <w:right w:val="none" w:sz="0" w:space="0" w:color="auto"/>
      </w:divBdr>
    </w:div>
    <w:div w:id="554514088">
      <w:bodyDiv w:val="1"/>
      <w:marLeft w:val="0"/>
      <w:marRight w:val="0"/>
      <w:marTop w:val="0"/>
      <w:marBottom w:val="0"/>
      <w:divBdr>
        <w:top w:val="none" w:sz="0" w:space="0" w:color="auto"/>
        <w:left w:val="none" w:sz="0" w:space="0" w:color="auto"/>
        <w:bottom w:val="none" w:sz="0" w:space="0" w:color="auto"/>
        <w:right w:val="none" w:sz="0" w:space="0" w:color="auto"/>
      </w:divBdr>
    </w:div>
    <w:div w:id="584416266">
      <w:bodyDiv w:val="1"/>
      <w:marLeft w:val="0"/>
      <w:marRight w:val="0"/>
      <w:marTop w:val="0"/>
      <w:marBottom w:val="0"/>
      <w:divBdr>
        <w:top w:val="none" w:sz="0" w:space="0" w:color="auto"/>
        <w:left w:val="none" w:sz="0" w:space="0" w:color="auto"/>
        <w:bottom w:val="none" w:sz="0" w:space="0" w:color="auto"/>
        <w:right w:val="none" w:sz="0" w:space="0" w:color="auto"/>
      </w:divBdr>
    </w:div>
    <w:div w:id="584538267">
      <w:bodyDiv w:val="1"/>
      <w:marLeft w:val="0"/>
      <w:marRight w:val="0"/>
      <w:marTop w:val="0"/>
      <w:marBottom w:val="0"/>
      <w:divBdr>
        <w:top w:val="none" w:sz="0" w:space="0" w:color="auto"/>
        <w:left w:val="none" w:sz="0" w:space="0" w:color="auto"/>
        <w:bottom w:val="none" w:sz="0" w:space="0" w:color="auto"/>
        <w:right w:val="none" w:sz="0" w:space="0" w:color="auto"/>
      </w:divBdr>
    </w:div>
    <w:div w:id="600458276">
      <w:bodyDiv w:val="1"/>
      <w:marLeft w:val="0"/>
      <w:marRight w:val="0"/>
      <w:marTop w:val="0"/>
      <w:marBottom w:val="0"/>
      <w:divBdr>
        <w:top w:val="none" w:sz="0" w:space="0" w:color="auto"/>
        <w:left w:val="none" w:sz="0" w:space="0" w:color="auto"/>
        <w:bottom w:val="none" w:sz="0" w:space="0" w:color="auto"/>
        <w:right w:val="none" w:sz="0" w:space="0" w:color="auto"/>
      </w:divBdr>
    </w:div>
    <w:div w:id="603617130">
      <w:bodyDiv w:val="1"/>
      <w:marLeft w:val="0"/>
      <w:marRight w:val="0"/>
      <w:marTop w:val="0"/>
      <w:marBottom w:val="0"/>
      <w:divBdr>
        <w:top w:val="none" w:sz="0" w:space="0" w:color="auto"/>
        <w:left w:val="none" w:sz="0" w:space="0" w:color="auto"/>
        <w:bottom w:val="none" w:sz="0" w:space="0" w:color="auto"/>
        <w:right w:val="none" w:sz="0" w:space="0" w:color="auto"/>
      </w:divBdr>
    </w:div>
    <w:div w:id="634677776">
      <w:bodyDiv w:val="1"/>
      <w:marLeft w:val="0"/>
      <w:marRight w:val="0"/>
      <w:marTop w:val="0"/>
      <w:marBottom w:val="0"/>
      <w:divBdr>
        <w:top w:val="none" w:sz="0" w:space="0" w:color="auto"/>
        <w:left w:val="none" w:sz="0" w:space="0" w:color="auto"/>
        <w:bottom w:val="none" w:sz="0" w:space="0" w:color="auto"/>
        <w:right w:val="none" w:sz="0" w:space="0" w:color="auto"/>
      </w:divBdr>
    </w:div>
    <w:div w:id="744186697">
      <w:bodyDiv w:val="1"/>
      <w:marLeft w:val="0"/>
      <w:marRight w:val="0"/>
      <w:marTop w:val="0"/>
      <w:marBottom w:val="0"/>
      <w:divBdr>
        <w:top w:val="none" w:sz="0" w:space="0" w:color="auto"/>
        <w:left w:val="none" w:sz="0" w:space="0" w:color="auto"/>
        <w:bottom w:val="none" w:sz="0" w:space="0" w:color="auto"/>
        <w:right w:val="none" w:sz="0" w:space="0" w:color="auto"/>
      </w:divBdr>
    </w:div>
    <w:div w:id="750851121">
      <w:bodyDiv w:val="1"/>
      <w:marLeft w:val="0"/>
      <w:marRight w:val="0"/>
      <w:marTop w:val="0"/>
      <w:marBottom w:val="0"/>
      <w:divBdr>
        <w:top w:val="none" w:sz="0" w:space="0" w:color="auto"/>
        <w:left w:val="none" w:sz="0" w:space="0" w:color="auto"/>
        <w:bottom w:val="none" w:sz="0" w:space="0" w:color="auto"/>
        <w:right w:val="none" w:sz="0" w:space="0" w:color="auto"/>
      </w:divBdr>
    </w:div>
    <w:div w:id="754328546">
      <w:bodyDiv w:val="1"/>
      <w:marLeft w:val="0"/>
      <w:marRight w:val="0"/>
      <w:marTop w:val="0"/>
      <w:marBottom w:val="0"/>
      <w:divBdr>
        <w:top w:val="none" w:sz="0" w:space="0" w:color="auto"/>
        <w:left w:val="none" w:sz="0" w:space="0" w:color="auto"/>
        <w:bottom w:val="none" w:sz="0" w:space="0" w:color="auto"/>
        <w:right w:val="none" w:sz="0" w:space="0" w:color="auto"/>
      </w:divBdr>
    </w:div>
    <w:div w:id="764570179">
      <w:bodyDiv w:val="1"/>
      <w:marLeft w:val="0"/>
      <w:marRight w:val="0"/>
      <w:marTop w:val="0"/>
      <w:marBottom w:val="0"/>
      <w:divBdr>
        <w:top w:val="none" w:sz="0" w:space="0" w:color="auto"/>
        <w:left w:val="none" w:sz="0" w:space="0" w:color="auto"/>
        <w:bottom w:val="none" w:sz="0" w:space="0" w:color="auto"/>
        <w:right w:val="none" w:sz="0" w:space="0" w:color="auto"/>
      </w:divBdr>
    </w:div>
    <w:div w:id="773553195">
      <w:bodyDiv w:val="1"/>
      <w:marLeft w:val="0"/>
      <w:marRight w:val="0"/>
      <w:marTop w:val="0"/>
      <w:marBottom w:val="0"/>
      <w:divBdr>
        <w:top w:val="none" w:sz="0" w:space="0" w:color="auto"/>
        <w:left w:val="none" w:sz="0" w:space="0" w:color="auto"/>
        <w:bottom w:val="none" w:sz="0" w:space="0" w:color="auto"/>
        <w:right w:val="none" w:sz="0" w:space="0" w:color="auto"/>
      </w:divBdr>
    </w:div>
    <w:div w:id="779110974">
      <w:bodyDiv w:val="1"/>
      <w:marLeft w:val="0"/>
      <w:marRight w:val="0"/>
      <w:marTop w:val="0"/>
      <w:marBottom w:val="0"/>
      <w:divBdr>
        <w:top w:val="none" w:sz="0" w:space="0" w:color="auto"/>
        <w:left w:val="none" w:sz="0" w:space="0" w:color="auto"/>
        <w:bottom w:val="none" w:sz="0" w:space="0" w:color="auto"/>
        <w:right w:val="none" w:sz="0" w:space="0" w:color="auto"/>
      </w:divBdr>
    </w:div>
    <w:div w:id="811407759">
      <w:bodyDiv w:val="1"/>
      <w:marLeft w:val="0"/>
      <w:marRight w:val="0"/>
      <w:marTop w:val="0"/>
      <w:marBottom w:val="0"/>
      <w:divBdr>
        <w:top w:val="none" w:sz="0" w:space="0" w:color="auto"/>
        <w:left w:val="none" w:sz="0" w:space="0" w:color="auto"/>
        <w:bottom w:val="none" w:sz="0" w:space="0" w:color="auto"/>
        <w:right w:val="none" w:sz="0" w:space="0" w:color="auto"/>
      </w:divBdr>
    </w:div>
    <w:div w:id="893391948">
      <w:bodyDiv w:val="1"/>
      <w:marLeft w:val="0"/>
      <w:marRight w:val="0"/>
      <w:marTop w:val="0"/>
      <w:marBottom w:val="0"/>
      <w:divBdr>
        <w:top w:val="none" w:sz="0" w:space="0" w:color="auto"/>
        <w:left w:val="none" w:sz="0" w:space="0" w:color="auto"/>
        <w:bottom w:val="none" w:sz="0" w:space="0" w:color="auto"/>
        <w:right w:val="none" w:sz="0" w:space="0" w:color="auto"/>
      </w:divBdr>
    </w:div>
    <w:div w:id="937786584">
      <w:bodyDiv w:val="1"/>
      <w:marLeft w:val="0"/>
      <w:marRight w:val="0"/>
      <w:marTop w:val="0"/>
      <w:marBottom w:val="0"/>
      <w:divBdr>
        <w:top w:val="none" w:sz="0" w:space="0" w:color="auto"/>
        <w:left w:val="none" w:sz="0" w:space="0" w:color="auto"/>
        <w:bottom w:val="none" w:sz="0" w:space="0" w:color="auto"/>
        <w:right w:val="none" w:sz="0" w:space="0" w:color="auto"/>
      </w:divBdr>
    </w:div>
    <w:div w:id="957031876">
      <w:bodyDiv w:val="1"/>
      <w:marLeft w:val="0"/>
      <w:marRight w:val="0"/>
      <w:marTop w:val="0"/>
      <w:marBottom w:val="0"/>
      <w:divBdr>
        <w:top w:val="none" w:sz="0" w:space="0" w:color="auto"/>
        <w:left w:val="none" w:sz="0" w:space="0" w:color="auto"/>
        <w:bottom w:val="none" w:sz="0" w:space="0" w:color="auto"/>
        <w:right w:val="none" w:sz="0" w:space="0" w:color="auto"/>
      </w:divBdr>
    </w:div>
    <w:div w:id="973101845">
      <w:bodyDiv w:val="1"/>
      <w:marLeft w:val="0"/>
      <w:marRight w:val="0"/>
      <w:marTop w:val="0"/>
      <w:marBottom w:val="0"/>
      <w:divBdr>
        <w:top w:val="none" w:sz="0" w:space="0" w:color="auto"/>
        <w:left w:val="none" w:sz="0" w:space="0" w:color="auto"/>
        <w:bottom w:val="none" w:sz="0" w:space="0" w:color="auto"/>
        <w:right w:val="none" w:sz="0" w:space="0" w:color="auto"/>
      </w:divBdr>
    </w:div>
    <w:div w:id="997077126">
      <w:bodyDiv w:val="1"/>
      <w:marLeft w:val="0"/>
      <w:marRight w:val="0"/>
      <w:marTop w:val="0"/>
      <w:marBottom w:val="0"/>
      <w:divBdr>
        <w:top w:val="none" w:sz="0" w:space="0" w:color="auto"/>
        <w:left w:val="none" w:sz="0" w:space="0" w:color="auto"/>
        <w:bottom w:val="none" w:sz="0" w:space="0" w:color="auto"/>
        <w:right w:val="none" w:sz="0" w:space="0" w:color="auto"/>
      </w:divBdr>
    </w:div>
    <w:div w:id="1000154322">
      <w:bodyDiv w:val="1"/>
      <w:marLeft w:val="0"/>
      <w:marRight w:val="0"/>
      <w:marTop w:val="0"/>
      <w:marBottom w:val="0"/>
      <w:divBdr>
        <w:top w:val="none" w:sz="0" w:space="0" w:color="auto"/>
        <w:left w:val="none" w:sz="0" w:space="0" w:color="auto"/>
        <w:bottom w:val="none" w:sz="0" w:space="0" w:color="auto"/>
        <w:right w:val="none" w:sz="0" w:space="0" w:color="auto"/>
      </w:divBdr>
    </w:div>
    <w:div w:id="1044136326">
      <w:bodyDiv w:val="1"/>
      <w:marLeft w:val="0"/>
      <w:marRight w:val="0"/>
      <w:marTop w:val="0"/>
      <w:marBottom w:val="0"/>
      <w:divBdr>
        <w:top w:val="none" w:sz="0" w:space="0" w:color="auto"/>
        <w:left w:val="none" w:sz="0" w:space="0" w:color="auto"/>
        <w:bottom w:val="none" w:sz="0" w:space="0" w:color="auto"/>
        <w:right w:val="none" w:sz="0" w:space="0" w:color="auto"/>
      </w:divBdr>
    </w:div>
    <w:div w:id="1047143758">
      <w:bodyDiv w:val="1"/>
      <w:marLeft w:val="0"/>
      <w:marRight w:val="0"/>
      <w:marTop w:val="0"/>
      <w:marBottom w:val="0"/>
      <w:divBdr>
        <w:top w:val="none" w:sz="0" w:space="0" w:color="auto"/>
        <w:left w:val="none" w:sz="0" w:space="0" w:color="auto"/>
        <w:bottom w:val="none" w:sz="0" w:space="0" w:color="auto"/>
        <w:right w:val="none" w:sz="0" w:space="0" w:color="auto"/>
      </w:divBdr>
    </w:div>
    <w:div w:id="1080522548">
      <w:bodyDiv w:val="1"/>
      <w:marLeft w:val="0"/>
      <w:marRight w:val="0"/>
      <w:marTop w:val="0"/>
      <w:marBottom w:val="0"/>
      <w:divBdr>
        <w:top w:val="none" w:sz="0" w:space="0" w:color="auto"/>
        <w:left w:val="none" w:sz="0" w:space="0" w:color="auto"/>
        <w:bottom w:val="none" w:sz="0" w:space="0" w:color="auto"/>
        <w:right w:val="none" w:sz="0" w:space="0" w:color="auto"/>
      </w:divBdr>
    </w:div>
    <w:div w:id="1096367732">
      <w:bodyDiv w:val="1"/>
      <w:marLeft w:val="0"/>
      <w:marRight w:val="0"/>
      <w:marTop w:val="0"/>
      <w:marBottom w:val="0"/>
      <w:divBdr>
        <w:top w:val="none" w:sz="0" w:space="0" w:color="auto"/>
        <w:left w:val="none" w:sz="0" w:space="0" w:color="auto"/>
        <w:bottom w:val="none" w:sz="0" w:space="0" w:color="auto"/>
        <w:right w:val="none" w:sz="0" w:space="0" w:color="auto"/>
      </w:divBdr>
    </w:div>
    <w:div w:id="1178544743">
      <w:bodyDiv w:val="1"/>
      <w:marLeft w:val="0"/>
      <w:marRight w:val="0"/>
      <w:marTop w:val="0"/>
      <w:marBottom w:val="0"/>
      <w:divBdr>
        <w:top w:val="none" w:sz="0" w:space="0" w:color="auto"/>
        <w:left w:val="none" w:sz="0" w:space="0" w:color="auto"/>
        <w:bottom w:val="none" w:sz="0" w:space="0" w:color="auto"/>
        <w:right w:val="none" w:sz="0" w:space="0" w:color="auto"/>
      </w:divBdr>
    </w:div>
    <w:div w:id="1247109633">
      <w:bodyDiv w:val="1"/>
      <w:marLeft w:val="0"/>
      <w:marRight w:val="0"/>
      <w:marTop w:val="0"/>
      <w:marBottom w:val="0"/>
      <w:divBdr>
        <w:top w:val="none" w:sz="0" w:space="0" w:color="auto"/>
        <w:left w:val="none" w:sz="0" w:space="0" w:color="auto"/>
        <w:bottom w:val="none" w:sz="0" w:space="0" w:color="auto"/>
        <w:right w:val="none" w:sz="0" w:space="0" w:color="auto"/>
      </w:divBdr>
    </w:div>
    <w:div w:id="1263411481">
      <w:bodyDiv w:val="1"/>
      <w:marLeft w:val="0"/>
      <w:marRight w:val="0"/>
      <w:marTop w:val="0"/>
      <w:marBottom w:val="0"/>
      <w:divBdr>
        <w:top w:val="none" w:sz="0" w:space="0" w:color="auto"/>
        <w:left w:val="none" w:sz="0" w:space="0" w:color="auto"/>
        <w:bottom w:val="none" w:sz="0" w:space="0" w:color="auto"/>
        <w:right w:val="none" w:sz="0" w:space="0" w:color="auto"/>
      </w:divBdr>
    </w:div>
    <w:div w:id="1273781522">
      <w:bodyDiv w:val="1"/>
      <w:marLeft w:val="0"/>
      <w:marRight w:val="0"/>
      <w:marTop w:val="0"/>
      <w:marBottom w:val="0"/>
      <w:divBdr>
        <w:top w:val="none" w:sz="0" w:space="0" w:color="auto"/>
        <w:left w:val="none" w:sz="0" w:space="0" w:color="auto"/>
        <w:bottom w:val="none" w:sz="0" w:space="0" w:color="auto"/>
        <w:right w:val="none" w:sz="0" w:space="0" w:color="auto"/>
      </w:divBdr>
    </w:div>
    <w:div w:id="1274943042">
      <w:bodyDiv w:val="1"/>
      <w:marLeft w:val="0"/>
      <w:marRight w:val="0"/>
      <w:marTop w:val="0"/>
      <w:marBottom w:val="0"/>
      <w:divBdr>
        <w:top w:val="none" w:sz="0" w:space="0" w:color="auto"/>
        <w:left w:val="none" w:sz="0" w:space="0" w:color="auto"/>
        <w:bottom w:val="none" w:sz="0" w:space="0" w:color="auto"/>
        <w:right w:val="none" w:sz="0" w:space="0" w:color="auto"/>
      </w:divBdr>
    </w:div>
    <w:div w:id="1289704228">
      <w:bodyDiv w:val="1"/>
      <w:marLeft w:val="0"/>
      <w:marRight w:val="0"/>
      <w:marTop w:val="0"/>
      <w:marBottom w:val="0"/>
      <w:divBdr>
        <w:top w:val="none" w:sz="0" w:space="0" w:color="auto"/>
        <w:left w:val="none" w:sz="0" w:space="0" w:color="auto"/>
        <w:bottom w:val="none" w:sz="0" w:space="0" w:color="auto"/>
        <w:right w:val="none" w:sz="0" w:space="0" w:color="auto"/>
      </w:divBdr>
    </w:div>
    <w:div w:id="1292515129">
      <w:bodyDiv w:val="1"/>
      <w:marLeft w:val="0"/>
      <w:marRight w:val="0"/>
      <w:marTop w:val="0"/>
      <w:marBottom w:val="0"/>
      <w:divBdr>
        <w:top w:val="none" w:sz="0" w:space="0" w:color="auto"/>
        <w:left w:val="none" w:sz="0" w:space="0" w:color="auto"/>
        <w:bottom w:val="none" w:sz="0" w:space="0" w:color="auto"/>
        <w:right w:val="none" w:sz="0" w:space="0" w:color="auto"/>
      </w:divBdr>
    </w:div>
    <w:div w:id="1338079223">
      <w:bodyDiv w:val="1"/>
      <w:marLeft w:val="0"/>
      <w:marRight w:val="0"/>
      <w:marTop w:val="0"/>
      <w:marBottom w:val="0"/>
      <w:divBdr>
        <w:top w:val="none" w:sz="0" w:space="0" w:color="auto"/>
        <w:left w:val="none" w:sz="0" w:space="0" w:color="auto"/>
        <w:bottom w:val="none" w:sz="0" w:space="0" w:color="auto"/>
        <w:right w:val="none" w:sz="0" w:space="0" w:color="auto"/>
      </w:divBdr>
    </w:div>
    <w:div w:id="1360205396">
      <w:bodyDiv w:val="1"/>
      <w:marLeft w:val="0"/>
      <w:marRight w:val="0"/>
      <w:marTop w:val="0"/>
      <w:marBottom w:val="0"/>
      <w:divBdr>
        <w:top w:val="none" w:sz="0" w:space="0" w:color="auto"/>
        <w:left w:val="none" w:sz="0" w:space="0" w:color="auto"/>
        <w:bottom w:val="none" w:sz="0" w:space="0" w:color="auto"/>
        <w:right w:val="none" w:sz="0" w:space="0" w:color="auto"/>
      </w:divBdr>
    </w:div>
    <w:div w:id="1367873290">
      <w:bodyDiv w:val="1"/>
      <w:marLeft w:val="0"/>
      <w:marRight w:val="0"/>
      <w:marTop w:val="0"/>
      <w:marBottom w:val="0"/>
      <w:divBdr>
        <w:top w:val="none" w:sz="0" w:space="0" w:color="auto"/>
        <w:left w:val="none" w:sz="0" w:space="0" w:color="auto"/>
        <w:bottom w:val="none" w:sz="0" w:space="0" w:color="auto"/>
        <w:right w:val="none" w:sz="0" w:space="0" w:color="auto"/>
      </w:divBdr>
    </w:div>
    <w:div w:id="1417627453">
      <w:bodyDiv w:val="1"/>
      <w:marLeft w:val="0"/>
      <w:marRight w:val="0"/>
      <w:marTop w:val="0"/>
      <w:marBottom w:val="0"/>
      <w:divBdr>
        <w:top w:val="none" w:sz="0" w:space="0" w:color="auto"/>
        <w:left w:val="none" w:sz="0" w:space="0" w:color="auto"/>
        <w:bottom w:val="none" w:sz="0" w:space="0" w:color="auto"/>
        <w:right w:val="none" w:sz="0" w:space="0" w:color="auto"/>
      </w:divBdr>
    </w:div>
    <w:div w:id="1445349097">
      <w:bodyDiv w:val="1"/>
      <w:marLeft w:val="0"/>
      <w:marRight w:val="0"/>
      <w:marTop w:val="0"/>
      <w:marBottom w:val="0"/>
      <w:divBdr>
        <w:top w:val="none" w:sz="0" w:space="0" w:color="auto"/>
        <w:left w:val="none" w:sz="0" w:space="0" w:color="auto"/>
        <w:bottom w:val="none" w:sz="0" w:space="0" w:color="auto"/>
        <w:right w:val="none" w:sz="0" w:space="0" w:color="auto"/>
      </w:divBdr>
    </w:div>
    <w:div w:id="1464301166">
      <w:bodyDiv w:val="1"/>
      <w:marLeft w:val="0"/>
      <w:marRight w:val="0"/>
      <w:marTop w:val="0"/>
      <w:marBottom w:val="0"/>
      <w:divBdr>
        <w:top w:val="none" w:sz="0" w:space="0" w:color="auto"/>
        <w:left w:val="none" w:sz="0" w:space="0" w:color="auto"/>
        <w:bottom w:val="none" w:sz="0" w:space="0" w:color="auto"/>
        <w:right w:val="none" w:sz="0" w:space="0" w:color="auto"/>
      </w:divBdr>
    </w:div>
    <w:div w:id="1479763233">
      <w:bodyDiv w:val="1"/>
      <w:marLeft w:val="0"/>
      <w:marRight w:val="0"/>
      <w:marTop w:val="0"/>
      <w:marBottom w:val="0"/>
      <w:divBdr>
        <w:top w:val="none" w:sz="0" w:space="0" w:color="auto"/>
        <w:left w:val="none" w:sz="0" w:space="0" w:color="auto"/>
        <w:bottom w:val="none" w:sz="0" w:space="0" w:color="auto"/>
        <w:right w:val="none" w:sz="0" w:space="0" w:color="auto"/>
      </w:divBdr>
    </w:div>
    <w:div w:id="1490514374">
      <w:bodyDiv w:val="1"/>
      <w:marLeft w:val="0"/>
      <w:marRight w:val="0"/>
      <w:marTop w:val="0"/>
      <w:marBottom w:val="0"/>
      <w:divBdr>
        <w:top w:val="none" w:sz="0" w:space="0" w:color="auto"/>
        <w:left w:val="none" w:sz="0" w:space="0" w:color="auto"/>
        <w:bottom w:val="none" w:sz="0" w:space="0" w:color="auto"/>
        <w:right w:val="none" w:sz="0" w:space="0" w:color="auto"/>
      </w:divBdr>
    </w:div>
    <w:div w:id="1514345564">
      <w:bodyDiv w:val="1"/>
      <w:marLeft w:val="0"/>
      <w:marRight w:val="0"/>
      <w:marTop w:val="0"/>
      <w:marBottom w:val="0"/>
      <w:divBdr>
        <w:top w:val="none" w:sz="0" w:space="0" w:color="auto"/>
        <w:left w:val="none" w:sz="0" w:space="0" w:color="auto"/>
        <w:bottom w:val="none" w:sz="0" w:space="0" w:color="auto"/>
        <w:right w:val="none" w:sz="0" w:space="0" w:color="auto"/>
      </w:divBdr>
    </w:div>
    <w:div w:id="1597515269">
      <w:bodyDiv w:val="1"/>
      <w:marLeft w:val="0"/>
      <w:marRight w:val="0"/>
      <w:marTop w:val="0"/>
      <w:marBottom w:val="0"/>
      <w:divBdr>
        <w:top w:val="none" w:sz="0" w:space="0" w:color="auto"/>
        <w:left w:val="none" w:sz="0" w:space="0" w:color="auto"/>
        <w:bottom w:val="none" w:sz="0" w:space="0" w:color="auto"/>
        <w:right w:val="none" w:sz="0" w:space="0" w:color="auto"/>
      </w:divBdr>
    </w:div>
    <w:div w:id="1606307564">
      <w:bodyDiv w:val="1"/>
      <w:marLeft w:val="0"/>
      <w:marRight w:val="0"/>
      <w:marTop w:val="0"/>
      <w:marBottom w:val="0"/>
      <w:divBdr>
        <w:top w:val="none" w:sz="0" w:space="0" w:color="auto"/>
        <w:left w:val="none" w:sz="0" w:space="0" w:color="auto"/>
        <w:bottom w:val="none" w:sz="0" w:space="0" w:color="auto"/>
        <w:right w:val="none" w:sz="0" w:space="0" w:color="auto"/>
      </w:divBdr>
    </w:div>
    <w:div w:id="1652245661">
      <w:bodyDiv w:val="1"/>
      <w:marLeft w:val="0"/>
      <w:marRight w:val="0"/>
      <w:marTop w:val="0"/>
      <w:marBottom w:val="0"/>
      <w:divBdr>
        <w:top w:val="none" w:sz="0" w:space="0" w:color="auto"/>
        <w:left w:val="none" w:sz="0" w:space="0" w:color="auto"/>
        <w:bottom w:val="none" w:sz="0" w:space="0" w:color="auto"/>
        <w:right w:val="none" w:sz="0" w:space="0" w:color="auto"/>
      </w:divBdr>
    </w:div>
    <w:div w:id="1715232117">
      <w:bodyDiv w:val="1"/>
      <w:marLeft w:val="0"/>
      <w:marRight w:val="0"/>
      <w:marTop w:val="0"/>
      <w:marBottom w:val="0"/>
      <w:divBdr>
        <w:top w:val="none" w:sz="0" w:space="0" w:color="auto"/>
        <w:left w:val="none" w:sz="0" w:space="0" w:color="auto"/>
        <w:bottom w:val="none" w:sz="0" w:space="0" w:color="auto"/>
        <w:right w:val="none" w:sz="0" w:space="0" w:color="auto"/>
      </w:divBdr>
    </w:div>
    <w:div w:id="1723484279">
      <w:bodyDiv w:val="1"/>
      <w:marLeft w:val="0"/>
      <w:marRight w:val="0"/>
      <w:marTop w:val="0"/>
      <w:marBottom w:val="0"/>
      <w:divBdr>
        <w:top w:val="none" w:sz="0" w:space="0" w:color="auto"/>
        <w:left w:val="none" w:sz="0" w:space="0" w:color="auto"/>
        <w:bottom w:val="none" w:sz="0" w:space="0" w:color="auto"/>
        <w:right w:val="none" w:sz="0" w:space="0" w:color="auto"/>
      </w:divBdr>
    </w:div>
    <w:div w:id="1752385593">
      <w:bodyDiv w:val="1"/>
      <w:marLeft w:val="0"/>
      <w:marRight w:val="0"/>
      <w:marTop w:val="0"/>
      <w:marBottom w:val="0"/>
      <w:divBdr>
        <w:top w:val="none" w:sz="0" w:space="0" w:color="auto"/>
        <w:left w:val="none" w:sz="0" w:space="0" w:color="auto"/>
        <w:bottom w:val="none" w:sz="0" w:space="0" w:color="auto"/>
        <w:right w:val="none" w:sz="0" w:space="0" w:color="auto"/>
      </w:divBdr>
    </w:div>
    <w:div w:id="1772579658">
      <w:bodyDiv w:val="1"/>
      <w:marLeft w:val="0"/>
      <w:marRight w:val="0"/>
      <w:marTop w:val="0"/>
      <w:marBottom w:val="0"/>
      <w:divBdr>
        <w:top w:val="none" w:sz="0" w:space="0" w:color="auto"/>
        <w:left w:val="none" w:sz="0" w:space="0" w:color="auto"/>
        <w:bottom w:val="none" w:sz="0" w:space="0" w:color="auto"/>
        <w:right w:val="none" w:sz="0" w:space="0" w:color="auto"/>
      </w:divBdr>
    </w:div>
    <w:div w:id="1802191193">
      <w:bodyDiv w:val="1"/>
      <w:marLeft w:val="0"/>
      <w:marRight w:val="0"/>
      <w:marTop w:val="0"/>
      <w:marBottom w:val="0"/>
      <w:divBdr>
        <w:top w:val="none" w:sz="0" w:space="0" w:color="auto"/>
        <w:left w:val="none" w:sz="0" w:space="0" w:color="auto"/>
        <w:bottom w:val="none" w:sz="0" w:space="0" w:color="auto"/>
        <w:right w:val="none" w:sz="0" w:space="0" w:color="auto"/>
      </w:divBdr>
    </w:div>
    <w:div w:id="1807817453">
      <w:bodyDiv w:val="1"/>
      <w:marLeft w:val="0"/>
      <w:marRight w:val="0"/>
      <w:marTop w:val="0"/>
      <w:marBottom w:val="0"/>
      <w:divBdr>
        <w:top w:val="none" w:sz="0" w:space="0" w:color="auto"/>
        <w:left w:val="none" w:sz="0" w:space="0" w:color="auto"/>
        <w:bottom w:val="none" w:sz="0" w:space="0" w:color="auto"/>
        <w:right w:val="none" w:sz="0" w:space="0" w:color="auto"/>
      </w:divBdr>
    </w:div>
    <w:div w:id="1841265884">
      <w:bodyDiv w:val="1"/>
      <w:marLeft w:val="0"/>
      <w:marRight w:val="0"/>
      <w:marTop w:val="0"/>
      <w:marBottom w:val="0"/>
      <w:divBdr>
        <w:top w:val="none" w:sz="0" w:space="0" w:color="auto"/>
        <w:left w:val="none" w:sz="0" w:space="0" w:color="auto"/>
        <w:bottom w:val="none" w:sz="0" w:space="0" w:color="auto"/>
        <w:right w:val="none" w:sz="0" w:space="0" w:color="auto"/>
      </w:divBdr>
    </w:div>
    <w:div w:id="1876113262">
      <w:bodyDiv w:val="1"/>
      <w:marLeft w:val="0"/>
      <w:marRight w:val="0"/>
      <w:marTop w:val="0"/>
      <w:marBottom w:val="0"/>
      <w:divBdr>
        <w:top w:val="none" w:sz="0" w:space="0" w:color="auto"/>
        <w:left w:val="none" w:sz="0" w:space="0" w:color="auto"/>
        <w:bottom w:val="none" w:sz="0" w:space="0" w:color="auto"/>
        <w:right w:val="none" w:sz="0" w:space="0" w:color="auto"/>
      </w:divBdr>
    </w:div>
    <w:div w:id="1879924870">
      <w:bodyDiv w:val="1"/>
      <w:marLeft w:val="0"/>
      <w:marRight w:val="0"/>
      <w:marTop w:val="0"/>
      <w:marBottom w:val="0"/>
      <w:divBdr>
        <w:top w:val="none" w:sz="0" w:space="0" w:color="auto"/>
        <w:left w:val="none" w:sz="0" w:space="0" w:color="auto"/>
        <w:bottom w:val="none" w:sz="0" w:space="0" w:color="auto"/>
        <w:right w:val="none" w:sz="0" w:space="0" w:color="auto"/>
      </w:divBdr>
    </w:div>
    <w:div w:id="1933778013">
      <w:bodyDiv w:val="1"/>
      <w:marLeft w:val="0"/>
      <w:marRight w:val="0"/>
      <w:marTop w:val="0"/>
      <w:marBottom w:val="0"/>
      <w:divBdr>
        <w:top w:val="none" w:sz="0" w:space="0" w:color="auto"/>
        <w:left w:val="none" w:sz="0" w:space="0" w:color="auto"/>
        <w:bottom w:val="none" w:sz="0" w:space="0" w:color="auto"/>
        <w:right w:val="none" w:sz="0" w:space="0" w:color="auto"/>
      </w:divBdr>
    </w:div>
    <w:div w:id="1946618047">
      <w:bodyDiv w:val="1"/>
      <w:marLeft w:val="0"/>
      <w:marRight w:val="0"/>
      <w:marTop w:val="0"/>
      <w:marBottom w:val="0"/>
      <w:divBdr>
        <w:top w:val="none" w:sz="0" w:space="0" w:color="auto"/>
        <w:left w:val="none" w:sz="0" w:space="0" w:color="auto"/>
        <w:bottom w:val="none" w:sz="0" w:space="0" w:color="auto"/>
        <w:right w:val="none" w:sz="0" w:space="0" w:color="auto"/>
      </w:divBdr>
    </w:div>
    <w:div w:id="1978417915">
      <w:bodyDiv w:val="1"/>
      <w:marLeft w:val="0"/>
      <w:marRight w:val="0"/>
      <w:marTop w:val="0"/>
      <w:marBottom w:val="0"/>
      <w:divBdr>
        <w:top w:val="none" w:sz="0" w:space="0" w:color="auto"/>
        <w:left w:val="none" w:sz="0" w:space="0" w:color="auto"/>
        <w:bottom w:val="none" w:sz="0" w:space="0" w:color="auto"/>
        <w:right w:val="none" w:sz="0" w:space="0" w:color="auto"/>
      </w:divBdr>
    </w:div>
    <w:div w:id="1989282238">
      <w:bodyDiv w:val="1"/>
      <w:marLeft w:val="0"/>
      <w:marRight w:val="0"/>
      <w:marTop w:val="0"/>
      <w:marBottom w:val="0"/>
      <w:divBdr>
        <w:top w:val="none" w:sz="0" w:space="0" w:color="auto"/>
        <w:left w:val="none" w:sz="0" w:space="0" w:color="auto"/>
        <w:bottom w:val="none" w:sz="0" w:space="0" w:color="auto"/>
        <w:right w:val="none" w:sz="0" w:space="0" w:color="auto"/>
      </w:divBdr>
    </w:div>
    <w:div w:id="2002736522">
      <w:bodyDiv w:val="1"/>
      <w:marLeft w:val="0"/>
      <w:marRight w:val="0"/>
      <w:marTop w:val="0"/>
      <w:marBottom w:val="0"/>
      <w:divBdr>
        <w:top w:val="none" w:sz="0" w:space="0" w:color="auto"/>
        <w:left w:val="none" w:sz="0" w:space="0" w:color="auto"/>
        <w:bottom w:val="none" w:sz="0" w:space="0" w:color="auto"/>
        <w:right w:val="none" w:sz="0" w:space="0" w:color="auto"/>
      </w:divBdr>
    </w:div>
    <w:div w:id="2040425454">
      <w:bodyDiv w:val="1"/>
      <w:marLeft w:val="0"/>
      <w:marRight w:val="0"/>
      <w:marTop w:val="0"/>
      <w:marBottom w:val="0"/>
      <w:divBdr>
        <w:top w:val="none" w:sz="0" w:space="0" w:color="auto"/>
        <w:left w:val="none" w:sz="0" w:space="0" w:color="auto"/>
        <w:bottom w:val="none" w:sz="0" w:space="0" w:color="auto"/>
        <w:right w:val="none" w:sz="0" w:space="0" w:color="auto"/>
      </w:divBdr>
    </w:div>
    <w:div w:id="2094282294">
      <w:bodyDiv w:val="1"/>
      <w:marLeft w:val="0"/>
      <w:marRight w:val="0"/>
      <w:marTop w:val="0"/>
      <w:marBottom w:val="0"/>
      <w:divBdr>
        <w:top w:val="none" w:sz="0" w:space="0" w:color="auto"/>
        <w:left w:val="none" w:sz="0" w:space="0" w:color="auto"/>
        <w:bottom w:val="none" w:sz="0" w:space="0" w:color="auto"/>
        <w:right w:val="none" w:sz="0" w:space="0" w:color="auto"/>
      </w:divBdr>
    </w:div>
    <w:div w:id="21074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A4794-FE38-4E62-9F5F-6D288AEC2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7259</Words>
  <Characters>41378</Characters>
  <Application>Microsoft Office Word</Application>
  <DocSecurity>4</DocSecurity>
  <Lines>344</Lines>
  <Paragraphs>97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2018-03-26T16:26:00Z</cp:lastPrinted>
  <dcterms:created xsi:type="dcterms:W3CDTF">2018-12-26T15:48:00Z</dcterms:created>
  <dcterms:modified xsi:type="dcterms:W3CDTF">2018-12-26T15:48:00Z</dcterms:modified>
</cp:coreProperties>
</file>