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92A1"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60210EF7"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6F4809D2"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39ADB34D"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57C46E1B"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25C0F98C"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77322D5F"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5B039A95"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344E36BF"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37971774"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r w:rsidRPr="00BE133F">
        <w:rPr>
          <w:rFonts w:ascii="Verdana" w:eastAsia="Times New Roman" w:hAnsi="Verdana" w:cs="Verdana"/>
          <w:b/>
          <w:bCs/>
          <w:caps/>
          <w:snapToGrid w:val="0"/>
          <w:sz w:val="20"/>
          <w:szCs w:val="20"/>
          <w:lang w:eastAsia="es-ES"/>
        </w:rPr>
        <w:t>Corte Interamericana de Derechos Humanos</w:t>
      </w:r>
    </w:p>
    <w:p w14:paraId="3A6B7D5B"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48B4D916" w14:textId="77777777" w:rsidR="00577097" w:rsidRPr="00BE133F" w:rsidRDefault="00577097" w:rsidP="00577097">
      <w:pPr>
        <w:spacing w:after="0" w:line="240" w:lineRule="auto"/>
        <w:jc w:val="center"/>
        <w:rPr>
          <w:rFonts w:ascii="Verdana" w:hAnsi="Verdana"/>
          <w:b/>
          <w:smallCaps/>
          <w:sz w:val="20"/>
          <w:szCs w:val="20"/>
        </w:rPr>
      </w:pPr>
      <w:r w:rsidRPr="00BE133F">
        <w:rPr>
          <w:rFonts w:ascii="Verdana" w:eastAsia="MS Mincho" w:hAnsi="Verdana"/>
          <w:b/>
          <w:sz w:val="20"/>
          <w:szCs w:val="20"/>
        </w:rPr>
        <w:t xml:space="preserve">CASO </w:t>
      </w:r>
      <w:r w:rsidR="004F176F">
        <w:rPr>
          <w:rFonts w:ascii="Verdana" w:eastAsia="MS Mincho" w:hAnsi="Verdana"/>
          <w:b/>
          <w:sz w:val="20"/>
          <w:szCs w:val="20"/>
        </w:rPr>
        <w:t>CUSCUL PIVARAL Y OTROS VS. GUATEMALA</w:t>
      </w:r>
    </w:p>
    <w:p w14:paraId="5CF8F057" w14:textId="77777777" w:rsidR="00577097" w:rsidRPr="00BE133F" w:rsidRDefault="00577097" w:rsidP="00577097">
      <w:pPr>
        <w:tabs>
          <w:tab w:val="left" w:pos="0"/>
          <w:tab w:val="left" w:pos="567"/>
        </w:tabs>
        <w:spacing w:after="0" w:line="240" w:lineRule="auto"/>
        <w:jc w:val="center"/>
        <w:rPr>
          <w:rFonts w:ascii="Verdana" w:eastAsia="Times New Roman" w:hAnsi="Verdana" w:cs="Verdana"/>
          <w:b/>
          <w:bCs/>
          <w:snapToGrid w:val="0"/>
          <w:sz w:val="20"/>
          <w:szCs w:val="20"/>
          <w:lang w:eastAsia="es-ES"/>
        </w:rPr>
      </w:pPr>
    </w:p>
    <w:p w14:paraId="55292128" w14:textId="6EB80252" w:rsidR="00577097" w:rsidRPr="00BE133F" w:rsidRDefault="0037162C" w:rsidP="00577097">
      <w:pPr>
        <w:tabs>
          <w:tab w:val="left" w:pos="0"/>
          <w:tab w:val="left" w:pos="567"/>
        </w:tabs>
        <w:spacing w:after="0" w:line="240" w:lineRule="auto"/>
        <w:jc w:val="center"/>
        <w:rPr>
          <w:rFonts w:ascii="Verdana" w:eastAsia="Times New Roman" w:hAnsi="Verdana"/>
          <w:b/>
          <w:bCs/>
          <w:caps/>
          <w:snapToGrid w:val="0"/>
          <w:sz w:val="20"/>
          <w:szCs w:val="20"/>
          <w:lang w:eastAsia="es-ES"/>
        </w:rPr>
      </w:pPr>
      <w:r>
        <w:rPr>
          <w:rFonts w:ascii="Verdana" w:eastAsia="Times New Roman" w:hAnsi="Verdana" w:cs="Verdana"/>
          <w:b/>
          <w:bCs/>
          <w:snapToGrid w:val="0"/>
          <w:sz w:val="20"/>
          <w:szCs w:val="20"/>
          <w:lang w:eastAsia="es-ES"/>
        </w:rPr>
        <w:t xml:space="preserve">SENTENCIA DE </w:t>
      </w:r>
      <w:r w:rsidR="00233FB1">
        <w:rPr>
          <w:rFonts w:ascii="Verdana" w:eastAsia="Times New Roman" w:hAnsi="Verdana" w:cs="Verdana"/>
          <w:b/>
          <w:bCs/>
          <w:snapToGrid w:val="0"/>
          <w:sz w:val="20"/>
          <w:szCs w:val="20"/>
          <w:lang w:eastAsia="es-ES"/>
        </w:rPr>
        <w:t>14</w:t>
      </w:r>
      <w:r w:rsidR="00577097" w:rsidRPr="00BE133F">
        <w:rPr>
          <w:rFonts w:ascii="Verdana" w:eastAsia="Times New Roman" w:hAnsi="Verdana" w:cs="Verdana"/>
          <w:b/>
          <w:bCs/>
          <w:snapToGrid w:val="0"/>
          <w:sz w:val="20"/>
          <w:szCs w:val="20"/>
          <w:lang w:eastAsia="es-ES"/>
        </w:rPr>
        <w:t xml:space="preserve"> DE </w:t>
      </w:r>
      <w:r w:rsidR="004F176F">
        <w:rPr>
          <w:rFonts w:ascii="Verdana" w:eastAsia="Times New Roman" w:hAnsi="Verdana" w:cs="Verdana"/>
          <w:b/>
          <w:bCs/>
          <w:snapToGrid w:val="0"/>
          <w:sz w:val="20"/>
          <w:szCs w:val="20"/>
          <w:lang w:eastAsia="es-ES"/>
        </w:rPr>
        <w:t>MAYO</w:t>
      </w:r>
      <w:r w:rsidR="00577097" w:rsidRPr="00BE133F">
        <w:rPr>
          <w:rFonts w:ascii="Verdana" w:eastAsia="Times New Roman" w:hAnsi="Verdana" w:cs="Verdana"/>
          <w:b/>
          <w:bCs/>
          <w:snapToGrid w:val="0"/>
          <w:sz w:val="20"/>
          <w:szCs w:val="20"/>
          <w:lang w:eastAsia="es-ES"/>
        </w:rPr>
        <w:t xml:space="preserve"> DE </w:t>
      </w:r>
      <w:r w:rsidR="004F176F">
        <w:rPr>
          <w:rFonts w:ascii="Verdana" w:eastAsia="Times New Roman" w:hAnsi="Verdana" w:cs="Verdana"/>
          <w:b/>
          <w:bCs/>
          <w:snapToGrid w:val="0"/>
          <w:sz w:val="20"/>
          <w:szCs w:val="20"/>
          <w:lang w:eastAsia="es-ES"/>
        </w:rPr>
        <w:t>2019</w:t>
      </w:r>
    </w:p>
    <w:p w14:paraId="25E9D66C" w14:textId="77777777" w:rsidR="00577097" w:rsidRPr="00BE133F" w:rsidRDefault="00577097" w:rsidP="00577097">
      <w:pPr>
        <w:tabs>
          <w:tab w:val="left" w:pos="567"/>
        </w:tabs>
        <w:spacing w:after="0" w:line="240" w:lineRule="auto"/>
        <w:jc w:val="center"/>
        <w:rPr>
          <w:rFonts w:ascii="Verdana" w:eastAsia="Times New Roman" w:hAnsi="Verdana"/>
          <w:sz w:val="20"/>
          <w:szCs w:val="20"/>
        </w:rPr>
      </w:pPr>
      <w:r w:rsidRPr="00BE133F">
        <w:rPr>
          <w:rFonts w:ascii="Verdana" w:eastAsia="Times New Roman" w:hAnsi="Verdana" w:cs="Verdana"/>
          <w:b/>
          <w:bCs/>
          <w:i/>
          <w:iCs/>
          <w:snapToGrid w:val="0"/>
          <w:sz w:val="20"/>
          <w:szCs w:val="20"/>
          <w:lang w:eastAsia="es-ES"/>
        </w:rPr>
        <w:t xml:space="preserve">(Interpretación de la Sentencia de </w:t>
      </w:r>
      <w:r w:rsidR="004F176F">
        <w:rPr>
          <w:rFonts w:ascii="Verdana" w:hAnsi="Verdana"/>
          <w:b/>
          <w:i/>
          <w:sz w:val="20"/>
          <w:szCs w:val="20"/>
        </w:rPr>
        <w:t>Excepción Preliminar</w:t>
      </w:r>
      <w:r w:rsidRPr="00BE133F">
        <w:rPr>
          <w:rFonts w:ascii="Verdana" w:hAnsi="Verdana"/>
          <w:b/>
          <w:i/>
          <w:sz w:val="20"/>
          <w:szCs w:val="20"/>
        </w:rPr>
        <w:t>, Fondo, Reparaciones y Costas</w:t>
      </w:r>
      <w:r w:rsidRPr="00BE133F">
        <w:rPr>
          <w:rFonts w:ascii="Verdana" w:hAnsi="Verdana"/>
          <w:b/>
          <w:i/>
          <w:caps/>
          <w:snapToGrid w:val="0"/>
          <w:sz w:val="20"/>
          <w:szCs w:val="20"/>
        </w:rPr>
        <w:t>)</w:t>
      </w:r>
    </w:p>
    <w:p w14:paraId="16D3AD60" w14:textId="77777777" w:rsidR="00577097" w:rsidRPr="00BE133F" w:rsidRDefault="00577097" w:rsidP="00577097">
      <w:pPr>
        <w:tabs>
          <w:tab w:val="left" w:pos="567"/>
          <w:tab w:val="left" w:pos="720"/>
        </w:tabs>
        <w:spacing w:after="0" w:line="240" w:lineRule="auto"/>
        <w:jc w:val="both"/>
        <w:rPr>
          <w:rFonts w:ascii="Verdana" w:eastAsia="Times New Roman" w:hAnsi="Verdana"/>
          <w:sz w:val="20"/>
          <w:szCs w:val="20"/>
        </w:rPr>
      </w:pPr>
    </w:p>
    <w:p w14:paraId="51AF01EF" w14:textId="77777777" w:rsidR="00577097" w:rsidRPr="00BE133F" w:rsidRDefault="00577097" w:rsidP="00577097">
      <w:pPr>
        <w:spacing w:after="0" w:line="240" w:lineRule="auto"/>
        <w:rPr>
          <w:rFonts w:ascii="Verdana" w:hAnsi="Verdana"/>
          <w:sz w:val="20"/>
          <w:szCs w:val="20"/>
          <w:highlight w:val="yellow"/>
        </w:rPr>
      </w:pPr>
    </w:p>
    <w:p w14:paraId="41EA014B" w14:textId="77777777" w:rsidR="00577097" w:rsidRPr="00BE133F" w:rsidRDefault="00577097" w:rsidP="00577097">
      <w:pPr>
        <w:spacing w:after="0" w:line="240" w:lineRule="auto"/>
        <w:rPr>
          <w:rFonts w:ascii="Verdana" w:hAnsi="Verdana"/>
          <w:sz w:val="20"/>
          <w:szCs w:val="20"/>
          <w:highlight w:val="yellow"/>
        </w:rPr>
      </w:pPr>
    </w:p>
    <w:p w14:paraId="4940816C" w14:textId="77777777"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 xml:space="preserve">En el caso </w:t>
      </w:r>
      <w:proofErr w:type="spellStart"/>
      <w:r w:rsidR="004F176F">
        <w:rPr>
          <w:rFonts w:ascii="Verdana" w:hAnsi="Verdana"/>
          <w:sz w:val="20"/>
          <w:szCs w:val="20"/>
        </w:rPr>
        <w:t>Cuscul</w:t>
      </w:r>
      <w:proofErr w:type="spellEnd"/>
      <w:r w:rsidR="004F176F">
        <w:rPr>
          <w:rFonts w:ascii="Verdana" w:hAnsi="Verdana"/>
          <w:sz w:val="20"/>
          <w:szCs w:val="20"/>
        </w:rPr>
        <w:t xml:space="preserve"> Pivaral y otros Vs. Guatemala</w:t>
      </w:r>
      <w:r w:rsidRPr="00BE133F">
        <w:rPr>
          <w:rFonts w:ascii="Verdana" w:hAnsi="Verdana"/>
          <w:sz w:val="20"/>
          <w:szCs w:val="20"/>
        </w:rPr>
        <w:t>,</w:t>
      </w:r>
      <w:r w:rsidRPr="00BE133F">
        <w:rPr>
          <w:rFonts w:ascii="Verdana" w:hAnsi="Verdana"/>
          <w:sz w:val="20"/>
          <w:szCs w:val="20"/>
        </w:rPr>
        <w:tab/>
      </w:r>
    </w:p>
    <w:p w14:paraId="4AB1EAA5" w14:textId="77777777" w:rsidR="00577097" w:rsidRPr="00BE133F" w:rsidRDefault="00577097" w:rsidP="00577097">
      <w:pPr>
        <w:tabs>
          <w:tab w:val="left" w:pos="851"/>
        </w:tabs>
        <w:spacing w:after="0" w:line="240" w:lineRule="auto"/>
        <w:rPr>
          <w:rFonts w:ascii="Verdana" w:hAnsi="Verdana"/>
          <w:sz w:val="20"/>
          <w:szCs w:val="20"/>
        </w:rPr>
      </w:pPr>
    </w:p>
    <w:p w14:paraId="268390B0" w14:textId="77777777" w:rsidR="00577097" w:rsidRPr="00BE133F" w:rsidRDefault="00577097" w:rsidP="00577097">
      <w:pPr>
        <w:tabs>
          <w:tab w:val="left" w:pos="851"/>
        </w:tabs>
        <w:spacing w:after="0" w:line="240" w:lineRule="auto"/>
        <w:rPr>
          <w:rFonts w:ascii="Verdana" w:hAnsi="Verdana"/>
          <w:sz w:val="20"/>
          <w:szCs w:val="20"/>
        </w:rPr>
      </w:pPr>
      <w:r w:rsidRPr="00BE133F">
        <w:rPr>
          <w:rFonts w:ascii="Verdana" w:hAnsi="Verdana"/>
          <w:sz w:val="20"/>
          <w:szCs w:val="20"/>
        </w:rPr>
        <w:t>la Corte Interamericana de Derechos Humanos (en adelante “la Corte Interamericana”, “la Corte” o “el Tribunal”), integrada por los siguientes jueces:</w:t>
      </w:r>
    </w:p>
    <w:p w14:paraId="20527420" w14:textId="77777777" w:rsidR="00577097" w:rsidRPr="00BE133F" w:rsidRDefault="00577097" w:rsidP="00577097">
      <w:pPr>
        <w:tabs>
          <w:tab w:val="left" w:pos="851"/>
        </w:tabs>
        <w:spacing w:after="0" w:line="240" w:lineRule="auto"/>
        <w:rPr>
          <w:rFonts w:ascii="Verdana" w:hAnsi="Verdana"/>
          <w:sz w:val="20"/>
          <w:szCs w:val="20"/>
        </w:rPr>
      </w:pPr>
    </w:p>
    <w:p w14:paraId="163DAE58" w14:textId="77777777" w:rsidR="00577097" w:rsidRDefault="00B00DFC" w:rsidP="00577097">
      <w:pPr>
        <w:spacing w:after="0" w:line="240" w:lineRule="auto"/>
        <w:ind w:firstLine="720"/>
        <w:jc w:val="both"/>
        <w:rPr>
          <w:rFonts w:ascii="Verdana" w:hAnsi="Verdana" w:cs="Verdana"/>
          <w:sz w:val="20"/>
          <w:szCs w:val="20"/>
          <w:lang w:val="pt-BR"/>
        </w:rPr>
      </w:pPr>
      <w:r w:rsidRPr="00B00DFC">
        <w:rPr>
          <w:rFonts w:ascii="Verdana" w:hAnsi="Verdana" w:cs="Verdana"/>
          <w:sz w:val="20"/>
          <w:szCs w:val="20"/>
          <w:lang w:val="pt-BR"/>
        </w:rPr>
        <w:t>Eduardo Ferrer Mac-Gregor Poisot</w:t>
      </w:r>
      <w:r w:rsidR="00577097" w:rsidRPr="0089460F">
        <w:rPr>
          <w:rFonts w:ascii="Verdana" w:hAnsi="Verdana" w:cs="Verdana"/>
          <w:sz w:val="20"/>
          <w:szCs w:val="20"/>
          <w:lang w:val="pt-BR"/>
        </w:rPr>
        <w:t xml:space="preserve">, </w:t>
      </w:r>
      <w:r w:rsidR="00031F46">
        <w:rPr>
          <w:rFonts w:ascii="Verdana" w:hAnsi="Verdana" w:cs="Verdana"/>
          <w:sz w:val="20"/>
          <w:szCs w:val="20"/>
          <w:lang w:val="pt-BR"/>
        </w:rPr>
        <w:t>Presidente</w:t>
      </w:r>
      <w:r w:rsidR="00577097" w:rsidRPr="0089460F">
        <w:rPr>
          <w:rFonts w:ascii="Verdana" w:hAnsi="Verdana" w:cs="Verdana"/>
          <w:sz w:val="20"/>
          <w:szCs w:val="20"/>
          <w:lang w:val="pt-BR"/>
        </w:rPr>
        <w:t>;</w:t>
      </w:r>
    </w:p>
    <w:p w14:paraId="57561AB8" w14:textId="77777777" w:rsidR="0034669B" w:rsidRPr="0089460F" w:rsidRDefault="0034669B" w:rsidP="00577097">
      <w:pPr>
        <w:spacing w:after="0" w:line="240" w:lineRule="auto"/>
        <w:ind w:firstLine="720"/>
        <w:jc w:val="both"/>
        <w:rPr>
          <w:rFonts w:ascii="Verdana" w:hAnsi="Verdana" w:cs="Verdana"/>
          <w:sz w:val="20"/>
          <w:szCs w:val="20"/>
          <w:lang w:val="pt-BR"/>
        </w:rPr>
      </w:pPr>
      <w:r>
        <w:rPr>
          <w:rFonts w:ascii="Verdana" w:hAnsi="Verdana" w:cs="Verdana"/>
          <w:sz w:val="20"/>
          <w:szCs w:val="20"/>
          <w:lang w:val="pt-BR"/>
        </w:rPr>
        <w:t>Eduardo Vio Grossi, Vicepresidente;</w:t>
      </w:r>
    </w:p>
    <w:p w14:paraId="1D4BD9E4" w14:textId="77777777" w:rsidR="00B00DFC" w:rsidRDefault="00B00DFC" w:rsidP="00B00DFC">
      <w:pPr>
        <w:spacing w:after="0" w:line="240" w:lineRule="auto"/>
        <w:ind w:firstLine="720"/>
        <w:jc w:val="both"/>
        <w:rPr>
          <w:rFonts w:ascii="Verdana" w:hAnsi="Verdana" w:cs="Verdana"/>
          <w:sz w:val="20"/>
          <w:szCs w:val="20"/>
          <w:lang w:val="es-ES"/>
        </w:rPr>
      </w:pPr>
      <w:r w:rsidRPr="00B00DFC">
        <w:rPr>
          <w:rFonts w:ascii="Verdana" w:hAnsi="Verdana" w:cs="Verdana"/>
          <w:sz w:val="20"/>
          <w:szCs w:val="20"/>
          <w:lang w:val="es-AR"/>
        </w:rPr>
        <w:t>Humberto Antonio Sierra Porto</w:t>
      </w:r>
      <w:r w:rsidR="00577097" w:rsidRPr="0089460F">
        <w:rPr>
          <w:rFonts w:ascii="Verdana" w:hAnsi="Verdana" w:cs="Verdana"/>
          <w:sz w:val="20"/>
          <w:szCs w:val="20"/>
          <w:lang w:val="es-ES"/>
        </w:rPr>
        <w:t>, Juez</w:t>
      </w:r>
      <w:r w:rsidR="00031F46">
        <w:rPr>
          <w:rFonts w:ascii="Verdana" w:hAnsi="Verdana" w:cs="Verdana"/>
          <w:sz w:val="20"/>
          <w:szCs w:val="20"/>
          <w:lang w:val="es-ES"/>
        </w:rPr>
        <w:t>;</w:t>
      </w:r>
    </w:p>
    <w:p w14:paraId="01F2B987" w14:textId="77777777" w:rsidR="00031F46" w:rsidRDefault="00031F46" w:rsidP="00B00DFC">
      <w:pPr>
        <w:spacing w:after="0" w:line="240" w:lineRule="auto"/>
        <w:ind w:firstLine="720"/>
        <w:jc w:val="both"/>
        <w:rPr>
          <w:rFonts w:ascii="Verdana" w:hAnsi="Verdana" w:cs="Verdana"/>
          <w:sz w:val="20"/>
          <w:szCs w:val="20"/>
          <w:lang w:val="es-ES"/>
        </w:rPr>
      </w:pPr>
      <w:r>
        <w:rPr>
          <w:rFonts w:ascii="Verdana" w:hAnsi="Verdana" w:cs="Verdana"/>
          <w:sz w:val="20"/>
          <w:szCs w:val="20"/>
          <w:lang w:val="es-ES"/>
        </w:rPr>
        <w:t>Elizabeth Odio Benito, Jueza;</w:t>
      </w:r>
    </w:p>
    <w:p w14:paraId="57C41E46" w14:textId="77777777" w:rsidR="00031F46" w:rsidRDefault="00031F46" w:rsidP="00031F46">
      <w:pPr>
        <w:spacing w:after="0" w:line="240" w:lineRule="auto"/>
        <w:ind w:firstLine="720"/>
        <w:jc w:val="both"/>
        <w:rPr>
          <w:rFonts w:ascii="Verdana" w:hAnsi="Verdana" w:cs="Verdana"/>
          <w:sz w:val="20"/>
          <w:szCs w:val="20"/>
          <w:lang w:val="es-ES"/>
        </w:rPr>
      </w:pPr>
      <w:r>
        <w:rPr>
          <w:rFonts w:ascii="Verdana" w:hAnsi="Verdana" w:cs="Verdana"/>
          <w:sz w:val="20"/>
          <w:szCs w:val="20"/>
          <w:lang w:val="es-ES"/>
        </w:rPr>
        <w:t>Eugenio Raúl Zaffaroni, Juez;</w:t>
      </w:r>
    </w:p>
    <w:p w14:paraId="19CA400C" w14:textId="77777777" w:rsidR="00031F46" w:rsidRDefault="00031F46" w:rsidP="00031F46">
      <w:pPr>
        <w:spacing w:after="0" w:line="240" w:lineRule="auto"/>
        <w:ind w:firstLine="720"/>
        <w:jc w:val="both"/>
        <w:rPr>
          <w:rFonts w:ascii="Verdana" w:hAnsi="Verdana" w:cs="Verdana"/>
          <w:sz w:val="20"/>
          <w:szCs w:val="20"/>
          <w:lang w:val="es-ES"/>
        </w:rPr>
      </w:pPr>
      <w:r>
        <w:rPr>
          <w:rFonts w:ascii="Verdana" w:hAnsi="Verdana" w:cs="Verdana"/>
          <w:sz w:val="20"/>
          <w:szCs w:val="20"/>
          <w:lang w:val="es-ES"/>
        </w:rPr>
        <w:t>L. Patricio Pazmiño Freire, Juez;</w:t>
      </w:r>
    </w:p>
    <w:p w14:paraId="7F07C3F4" w14:textId="77777777" w:rsidR="00031F46" w:rsidRPr="0089460F" w:rsidRDefault="00031F46" w:rsidP="00B00DFC">
      <w:pPr>
        <w:spacing w:after="0" w:line="240" w:lineRule="auto"/>
        <w:ind w:firstLine="720"/>
        <w:jc w:val="both"/>
        <w:rPr>
          <w:rFonts w:ascii="Verdana" w:hAnsi="Verdana" w:cs="Verdana"/>
          <w:sz w:val="20"/>
          <w:szCs w:val="20"/>
          <w:lang w:val="es-ES"/>
        </w:rPr>
      </w:pPr>
    </w:p>
    <w:p w14:paraId="67F55F4D" w14:textId="77777777" w:rsidR="00577097" w:rsidRPr="00E571D7" w:rsidRDefault="00577097" w:rsidP="00577097">
      <w:pPr>
        <w:tabs>
          <w:tab w:val="left" w:pos="851"/>
        </w:tabs>
        <w:spacing w:after="0" w:line="240" w:lineRule="auto"/>
        <w:rPr>
          <w:rFonts w:ascii="Verdana" w:hAnsi="Verdana"/>
          <w:sz w:val="20"/>
          <w:szCs w:val="20"/>
          <w:lang w:val="es-ES"/>
        </w:rPr>
      </w:pPr>
    </w:p>
    <w:p w14:paraId="4B55E9F5" w14:textId="742BD06A" w:rsidR="00577097" w:rsidRPr="00BE133F" w:rsidRDefault="00F5793B" w:rsidP="00577097">
      <w:pPr>
        <w:tabs>
          <w:tab w:val="left" w:pos="851"/>
        </w:tabs>
        <w:spacing w:after="0" w:line="240" w:lineRule="auto"/>
        <w:rPr>
          <w:rFonts w:ascii="Verdana" w:hAnsi="Verdana"/>
          <w:sz w:val="20"/>
          <w:szCs w:val="20"/>
        </w:rPr>
      </w:pPr>
      <w:r w:rsidRPr="00BE133F">
        <w:rPr>
          <w:rFonts w:ascii="Verdana" w:hAnsi="Verdana"/>
          <w:sz w:val="20"/>
          <w:szCs w:val="20"/>
        </w:rPr>
        <w:t>P</w:t>
      </w:r>
      <w:r w:rsidR="00577097" w:rsidRPr="00BE133F">
        <w:rPr>
          <w:rFonts w:ascii="Verdana" w:hAnsi="Verdana"/>
          <w:sz w:val="20"/>
          <w:szCs w:val="20"/>
        </w:rPr>
        <w:t>resente</w:t>
      </w:r>
      <w:r>
        <w:rPr>
          <w:rFonts w:ascii="Verdana" w:hAnsi="Verdana"/>
          <w:sz w:val="20"/>
          <w:szCs w:val="20"/>
        </w:rPr>
        <w:t>,</w:t>
      </w:r>
      <w:r w:rsidR="00577097" w:rsidRPr="00BE133F">
        <w:rPr>
          <w:rFonts w:ascii="Verdana" w:hAnsi="Verdana"/>
          <w:sz w:val="20"/>
          <w:szCs w:val="20"/>
        </w:rPr>
        <w:t xml:space="preserve"> además, </w:t>
      </w:r>
    </w:p>
    <w:p w14:paraId="39FD45CE" w14:textId="77777777" w:rsidR="00577097" w:rsidRPr="00BE133F" w:rsidRDefault="00577097" w:rsidP="00577097">
      <w:pPr>
        <w:tabs>
          <w:tab w:val="left" w:pos="851"/>
        </w:tabs>
        <w:spacing w:after="0" w:line="240" w:lineRule="auto"/>
        <w:rPr>
          <w:rFonts w:ascii="Verdana" w:hAnsi="Verdana"/>
          <w:sz w:val="20"/>
          <w:szCs w:val="20"/>
        </w:rPr>
      </w:pPr>
    </w:p>
    <w:p w14:paraId="446BB598" w14:textId="7A2EC435"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Pablo Sa</w:t>
      </w:r>
      <w:r w:rsidR="006E4276">
        <w:rPr>
          <w:rFonts w:ascii="Verdana" w:hAnsi="Verdana"/>
          <w:sz w:val="20"/>
          <w:szCs w:val="20"/>
        </w:rPr>
        <w:t xml:space="preserve">avedra Alessandri, </w:t>
      </w:r>
      <w:proofErr w:type="gramStart"/>
      <w:r w:rsidR="006E4276">
        <w:rPr>
          <w:rFonts w:ascii="Verdana" w:hAnsi="Verdana"/>
          <w:sz w:val="20"/>
          <w:szCs w:val="20"/>
        </w:rPr>
        <w:t>Secretario</w:t>
      </w:r>
      <w:proofErr w:type="gramEnd"/>
      <w:r w:rsidR="006E4276">
        <w:rPr>
          <w:rFonts w:ascii="Verdana" w:hAnsi="Verdana"/>
          <w:sz w:val="20"/>
          <w:szCs w:val="20"/>
        </w:rPr>
        <w:t>,</w:t>
      </w:r>
    </w:p>
    <w:p w14:paraId="7322662D" w14:textId="77777777"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14:paraId="09B6C403" w14:textId="77777777"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de conformidad con el artículo 67 de la Convención Americana sobre Derechos Humanos (en adelante también “la Convención Americana” o “la Convención”) y el artículo 68 del Reglamento de la Corte (en adelante “el Reglamento”), resuelve las solicitudes de interpretación de la Sentencia de E</w:t>
      </w:r>
      <w:r w:rsidR="00242D33">
        <w:rPr>
          <w:rFonts w:ascii="Verdana" w:hAnsi="Verdana" w:cs="Verdana"/>
          <w:sz w:val="20"/>
          <w:szCs w:val="20"/>
        </w:rPr>
        <w:t>xcepción</w:t>
      </w:r>
      <w:r w:rsidRPr="00BE133F">
        <w:rPr>
          <w:rFonts w:ascii="Verdana" w:hAnsi="Verdana" w:cs="Verdana"/>
          <w:sz w:val="20"/>
          <w:szCs w:val="20"/>
        </w:rPr>
        <w:t xml:space="preserve"> Preliminar, Fondo, Reparaciones y Costas emitida por este Tribunal el </w:t>
      </w:r>
      <w:r w:rsidR="00516D48">
        <w:rPr>
          <w:rFonts w:ascii="Verdana" w:hAnsi="Verdana" w:cs="Verdana"/>
          <w:sz w:val="20"/>
          <w:szCs w:val="20"/>
        </w:rPr>
        <w:t>23 de agosto de 2018</w:t>
      </w:r>
      <w:r w:rsidRPr="00BE133F">
        <w:rPr>
          <w:rFonts w:ascii="Verdana" w:hAnsi="Verdana" w:cs="Verdana"/>
          <w:sz w:val="20"/>
          <w:szCs w:val="20"/>
        </w:rPr>
        <w:t xml:space="preserve"> en el presente caso (en adelante también “la Sentencia”), interpuestas el </w:t>
      </w:r>
      <w:r w:rsidR="00516D48">
        <w:rPr>
          <w:rFonts w:ascii="Verdana" w:hAnsi="Verdana" w:cs="Verdana"/>
          <w:sz w:val="20"/>
          <w:szCs w:val="20"/>
        </w:rPr>
        <w:t>23 de enero de 2019 por la señora Cristina Calderón, la Asociación de Salud Integral</w:t>
      </w:r>
      <w:r w:rsidR="001C5A5C">
        <w:rPr>
          <w:rFonts w:ascii="Verdana" w:hAnsi="Verdana" w:cs="Verdana"/>
          <w:sz w:val="20"/>
          <w:szCs w:val="20"/>
        </w:rPr>
        <w:t>,</w:t>
      </w:r>
      <w:r w:rsidR="00516D48">
        <w:rPr>
          <w:rFonts w:ascii="Verdana" w:hAnsi="Verdana" w:cs="Verdana"/>
          <w:sz w:val="20"/>
          <w:szCs w:val="20"/>
        </w:rPr>
        <w:t xml:space="preserve"> y el Centro por la Justicia y el Derecho Internacional (en adelante también “los representantes”)</w:t>
      </w:r>
      <w:r w:rsidRPr="00BE133F">
        <w:rPr>
          <w:rFonts w:ascii="Verdana" w:hAnsi="Verdana" w:cs="Verdana"/>
          <w:sz w:val="20"/>
          <w:szCs w:val="20"/>
        </w:rPr>
        <w:t>.</w:t>
      </w:r>
    </w:p>
    <w:p w14:paraId="438A5DB6" w14:textId="77777777" w:rsidR="00577097" w:rsidRPr="00BE133F" w:rsidRDefault="00577097" w:rsidP="00577097">
      <w:pPr>
        <w:tabs>
          <w:tab w:val="left" w:pos="567"/>
        </w:tabs>
        <w:autoSpaceDE w:val="0"/>
        <w:autoSpaceDN w:val="0"/>
        <w:adjustRightInd w:val="0"/>
        <w:spacing w:after="0" w:line="240" w:lineRule="auto"/>
        <w:jc w:val="center"/>
        <w:rPr>
          <w:rFonts w:ascii="Verdana" w:hAnsi="Verdana" w:cs="Verdana"/>
          <w:sz w:val="20"/>
          <w:szCs w:val="20"/>
        </w:rPr>
      </w:pPr>
      <w:r w:rsidRPr="00BE133F">
        <w:rPr>
          <w:rFonts w:ascii="Verdana" w:hAnsi="Verdana" w:cs="Verdana"/>
          <w:sz w:val="20"/>
          <w:szCs w:val="20"/>
        </w:rPr>
        <w:br w:type="page"/>
      </w:r>
      <w:r w:rsidRPr="00BE133F">
        <w:rPr>
          <w:rFonts w:ascii="Verdana" w:eastAsia="Times New Roman" w:hAnsi="Verdana" w:cs="Verdana"/>
          <w:b/>
          <w:bCs/>
          <w:iCs/>
          <w:caps/>
          <w:snapToGrid w:val="0"/>
          <w:sz w:val="20"/>
          <w:szCs w:val="20"/>
          <w:lang w:eastAsia="es-ES"/>
        </w:rPr>
        <w:lastRenderedPageBreak/>
        <w:t>I</w:t>
      </w:r>
    </w:p>
    <w:p w14:paraId="2E39F8EB" w14:textId="77777777" w:rsidR="00577097" w:rsidRPr="00BE133F" w:rsidRDefault="00577097" w:rsidP="00577097">
      <w:pPr>
        <w:tabs>
          <w:tab w:val="left" w:pos="567"/>
        </w:tabs>
        <w:autoSpaceDE w:val="0"/>
        <w:autoSpaceDN w:val="0"/>
        <w:adjustRightInd w:val="0"/>
        <w:spacing w:after="0" w:line="240" w:lineRule="auto"/>
        <w:jc w:val="center"/>
        <w:rPr>
          <w:rFonts w:ascii="Verdana" w:eastAsia="Times" w:hAnsi="Verdana"/>
          <w:sz w:val="20"/>
          <w:szCs w:val="20"/>
          <w:lang w:eastAsia="es-ES"/>
        </w:rPr>
      </w:pPr>
      <w:r w:rsidRPr="00BE133F">
        <w:rPr>
          <w:rFonts w:ascii="Verdana" w:hAnsi="Verdana" w:cs="Verdana"/>
          <w:b/>
          <w:bCs/>
          <w:sz w:val="20"/>
          <w:szCs w:val="20"/>
        </w:rPr>
        <w:t>SOLICITUD DE INTERPRETACIÓN Y PROCEDIMIENTO ANTE LA CORTE</w:t>
      </w:r>
    </w:p>
    <w:p w14:paraId="010F1522" w14:textId="77777777" w:rsidR="00577097" w:rsidRPr="00BE133F" w:rsidRDefault="00577097" w:rsidP="00577097">
      <w:pPr>
        <w:tabs>
          <w:tab w:val="left" w:pos="567"/>
        </w:tabs>
        <w:spacing w:after="0" w:line="240" w:lineRule="auto"/>
        <w:jc w:val="both"/>
        <w:rPr>
          <w:rFonts w:ascii="Verdana" w:eastAsia="Times" w:hAnsi="Verdana"/>
          <w:sz w:val="20"/>
          <w:szCs w:val="20"/>
        </w:rPr>
      </w:pPr>
    </w:p>
    <w:p w14:paraId="3AAA70F3" w14:textId="77777777"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 xml:space="preserve">El </w:t>
      </w:r>
      <w:r w:rsidR="00630E7E">
        <w:rPr>
          <w:rFonts w:ascii="Verdana" w:hAnsi="Verdana" w:cs="Verdana"/>
          <w:sz w:val="20"/>
          <w:szCs w:val="20"/>
        </w:rPr>
        <w:t xml:space="preserve">23 de </w:t>
      </w:r>
      <w:r w:rsidR="00516D48">
        <w:rPr>
          <w:rFonts w:ascii="Verdana" w:hAnsi="Verdana" w:cs="Verdana"/>
          <w:sz w:val="20"/>
          <w:szCs w:val="20"/>
        </w:rPr>
        <w:t>agosto de 2018</w:t>
      </w:r>
      <w:r w:rsidRPr="00BE133F">
        <w:rPr>
          <w:rFonts w:ascii="Verdana" w:eastAsia="Times" w:hAnsi="Verdana"/>
          <w:sz w:val="20"/>
          <w:szCs w:val="20"/>
          <w:lang w:val="es-ES_tradnl"/>
        </w:rPr>
        <w:t xml:space="preserve"> la Corte emitió la Sentencia, la cual fue notificada a las partes y a la Comisión Interamericana de </w:t>
      </w:r>
      <w:r w:rsidRPr="00BE133F">
        <w:rPr>
          <w:rFonts w:ascii="Verdana" w:hAnsi="Verdana" w:cs="Verdana"/>
          <w:sz w:val="20"/>
          <w:szCs w:val="20"/>
        </w:rPr>
        <w:t xml:space="preserve">Derechos Humanos (en adelante “la Comisión Interamericana” o “la Comisión”) </w:t>
      </w:r>
      <w:r w:rsidRPr="00BE133F">
        <w:rPr>
          <w:rFonts w:ascii="Verdana" w:eastAsia="Times" w:hAnsi="Verdana"/>
          <w:sz w:val="20"/>
          <w:szCs w:val="20"/>
          <w:lang w:val="es-ES_tradnl"/>
        </w:rPr>
        <w:t>el</w:t>
      </w:r>
      <w:r w:rsidR="00516D48">
        <w:rPr>
          <w:rFonts w:ascii="Verdana" w:eastAsia="Times" w:hAnsi="Verdana"/>
          <w:sz w:val="20"/>
          <w:szCs w:val="20"/>
          <w:lang w:val="es-ES_tradnl"/>
        </w:rPr>
        <w:t xml:space="preserve"> 25 de octubre de 2018</w:t>
      </w:r>
      <w:r w:rsidRPr="00BE133F">
        <w:rPr>
          <w:rFonts w:ascii="Verdana" w:eastAsia="Times" w:hAnsi="Verdana"/>
          <w:sz w:val="20"/>
          <w:szCs w:val="20"/>
          <w:lang w:val="es-ES_tradnl"/>
        </w:rPr>
        <w:t>.</w:t>
      </w:r>
    </w:p>
    <w:p w14:paraId="37BBEB94" w14:textId="77777777"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p>
    <w:p w14:paraId="3F494EC7" w14:textId="77777777" w:rsidR="00577097" w:rsidRPr="00C941D7"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sidRPr="00C941D7">
        <w:rPr>
          <w:rFonts w:ascii="Verdana" w:hAnsi="Verdana" w:cs="Verdana"/>
          <w:sz w:val="20"/>
          <w:szCs w:val="20"/>
        </w:rPr>
        <w:t xml:space="preserve">El </w:t>
      </w:r>
      <w:r w:rsidR="00516D48">
        <w:rPr>
          <w:rFonts w:ascii="Verdana" w:hAnsi="Verdana" w:cs="Verdana"/>
          <w:sz w:val="20"/>
          <w:szCs w:val="20"/>
        </w:rPr>
        <w:t>23 de enero de 2019</w:t>
      </w:r>
      <w:r w:rsidRPr="00C941D7">
        <w:rPr>
          <w:rFonts w:ascii="Verdana" w:hAnsi="Verdana" w:cs="Verdana"/>
          <w:sz w:val="20"/>
          <w:szCs w:val="20"/>
        </w:rPr>
        <w:t xml:space="preserve"> </w:t>
      </w:r>
      <w:r w:rsidR="00516D48">
        <w:rPr>
          <w:rFonts w:ascii="Verdana" w:hAnsi="Verdana" w:cs="Verdana"/>
          <w:sz w:val="20"/>
          <w:szCs w:val="20"/>
        </w:rPr>
        <w:t>los representantes</w:t>
      </w:r>
      <w:r w:rsidRPr="00C941D7">
        <w:rPr>
          <w:rFonts w:ascii="Verdana" w:hAnsi="Verdana" w:cs="Verdana"/>
          <w:sz w:val="20"/>
          <w:szCs w:val="20"/>
        </w:rPr>
        <w:t xml:space="preserve"> </w:t>
      </w:r>
      <w:r w:rsidR="00516D48">
        <w:rPr>
          <w:rFonts w:ascii="Verdana" w:hAnsi="Verdana" w:cs="Verdana"/>
          <w:sz w:val="20"/>
          <w:szCs w:val="20"/>
        </w:rPr>
        <w:t>presentaron</w:t>
      </w:r>
      <w:r w:rsidRPr="00C941D7">
        <w:rPr>
          <w:rFonts w:ascii="Verdana" w:hAnsi="Verdana" w:cs="Verdana"/>
          <w:sz w:val="20"/>
          <w:szCs w:val="20"/>
        </w:rPr>
        <w:t xml:space="preserve"> </w:t>
      </w:r>
      <w:bookmarkStart w:id="0" w:name="_Ref363085373"/>
      <w:r w:rsidRPr="00C941D7">
        <w:rPr>
          <w:rFonts w:ascii="Verdana" w:eastAsia="Times" w:hAnsi="Verdana"/>
          <w:bCs/>
          <w:sz w:val="20"/>
          <w:szCs w:val="20"/>
        </w:rPr>
        <w:t>una solicitud de interpretació</w:t>
      </w:r>
      <w:r w:rsidR="0059112E">
        <w:rPr>
          <w:rFonts w:ascii="Verdana" w:eastAsia="Times" w:hAnsi="Verdana"/>
          <w:bCs/>
          <w:sz w:val="20"/>
          <w:szCs w:val="20"/>
        </w:rPr>
        <w:t xml:space="preserve">n de la Sentencia </w:t>
      </w:r>
      <w:r w:rsidR="003D1781">
        <w:rPr>
          <w:rFonts w:ascii="Verdana" w:eastAsia="Times" w:hAnsi="Verdana"/>
          <w:bCs/>
          <w:sz w:val="20"/>
          <w:szCs w:val="20"/>
        </w:rPr>
        <w:t xml:space="preserve">en </w:t>
      </w:r>
      <w:r w:rsidR="0059112E">
        <w:rPr>
          <w:rFonts w:ascii="Verdana" w:eastAsia="Times" w:hAnsi="Verdana"/>
          <w:bCs/>
          <w:sz w:val="20"/>
          <w:szCs w:val="20"/>
        </w:rPr>
        <w:t>relación con la falta de claridad o precisión respecto de la identidad de las víctimas de las violaciones declaradas y los hechos considerados como probados por la Corte, específicamente respecto a algunos de los fami</w:t>
      </w:r>
      <w:r w:rsidR="002A0539">
        <w:rPr>
          <w:rFonts w:ascii="Verdana" w:eastAsia="Times" w:hAnsi="Verdana"/>
          <w:bCs/>
          <w:sz w:val="20"/>
          <w:szCs w:val="20"/>
        </w:rPr>
        <w:t>liares de las víctimas del caso</w:t>
      </w:r>
      <w:r w:rsidR="0059112E">
        <w:rPr>
          <w:rFonts w:ascii="Verdana" w:eastAsia="Times" w:hAnsi="Verdana"/>
          <w:bCs/>
          <w:sz w:val="20"/>
          <w:szCs w:val="20"/>
        </w:rPr>
        <w:t>.</w:t>
      </w:r>
    </w:p>
    <w:p w14:paraId="7A60031A" w14:textId="77777777" w:rsidR="00C941D7" w:rsidRPr="00C941D7" w:rsidRDefault="00C941D7" w:rsidP="00C941D7">
      <w:pPr>
        <w:tabs>
          <w:tab w:val="left" w:pos="567"/>
        </w:tabs>
        <w:autoSpaceDE w:val="0"/>
        <w:autoSpaceDN w:val="0"/>
        <w:adjustRightInd w:val="0"/>
        <w:spacing w:after="0" w:line="240" w:lineRule="auto"/>
        <w:jc w:val="both"/>
        <w:rPr>
          <w:rFonts w:ascii="Verdana" w:hAnsi="Verdana" w:cs="Verdana"/>
          <w:sz w:val="20"/>
          <w:szCs w:val="20"/>
          <w:u w:val="single"/>
        </w:rPr>
      </w:pPr>
    </w:p>
    <w:p w14:paraId="50640257" w14:textId="77777777" w:rsidR="00577097" w:rsidRPr="00BE133F" w:rsidRDefault="0079659A"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Pr>
          <w:rFonts w:ascii="Verdana" w:hAnsi="Verdana" w:cs="Verdana"/>
          <w:sz w:val="20"/>
          <w:szCs w:val="20"/>
        </w:rPr>
        <w:t xml:space="preserve">El </w:t>
      </w:r>
      <w:r w:rsidR="0059112E">
        <w:rPr>
          <w:rFonts w:ascii="Verdana" w:hAnsi="Verdana" w:cs="Verdana"/>
          <w:sz w:val="20"/>
          <w:szCs w:val="20"/>
        </w:rPr>
        <w:t xml:space="preserve">26 de febrero de 2019 la Comisión presentó sus observaciones escritas a la solicitud de interpretación de los representantes, manifestando que considera relevante que la Corte se pronuncie respecto a la solicitud de los representantes. El Estado no </w:t>
      </w:r>
      <w:r w:rsidR="007C169E">
        <w:rPr>
          <w:rFonts w:ascii="Verdana" w:hAnsi="Verdana" w:cs="Verdana"/>
          <w:sz w:val="20"/>
          <w:szCs w:val="20"/>
        </w:rPr>
        <w:t>presentó observaciones a la solicitud de inter</w:t>
      </w:r>
      <w:r w:rsidR="002A0539">
        <w:rPr>
          <w:rFonts w:ascii="Verdana" w:hAnsi="Verdana" w:cs="Verdana"/>
          <w:sz w:val="20"/>
          <w:szCs w:val="20"/>
        </w:rPr>
        <w:t>pretación de los representantes</w:t>
      </w:r>
      <w:r w:rsidR="007C169E">
        <w:rPr>
          <w:rFonts w:ascii="Verdana" w:hAnsi="Verdana" w:cs="Verdana"/>
          <w:sz w:val="20"/>
          <w:szCs w:val="20"/>
        </w:rPr>
        <w:t>.</w:t>
      </w:r>
    </w:p>
    <w:p w14:paraId="27BAB439" w14:textId="77777777"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u w:val="single"/>
        </w:rPr>
      </w:pPr>
    </w:p>
    <w:bookmarkEnd w:id="0"/>
    <w:p w14:paraId="40A0C8C5" w14:textId="77777777"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II</w:t>
      </w:r>
    </w:p>
    <w:p w14:paraId="73431424" w14:textId="77777777"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COMPETENCIA</w:t>
      </w:r>
    </w:p>
    <w:p w14:paraId="6F689C77" w14:textId="77777777" w:rsidR="00577097" w:rsidRPr="00BE133F" w:rsidRDefault="00577097" w:rsidP="00577097">
      <w:pPr>
        <w:tabs>
          <w:tab w:val="left" w:pos="567"/>
        </w:tabs>
        <w:spacing w:after="0" w:line="240" w:lineRule="auto"/>
        <w:ind w:left="720"/>
        <w:jc w:val="both"/>
        <w:rPr>
          <w:rFonts w:ascii="Verdana" w:eastAsia="Batang" w:hAnsi="Verdana"/>
          <w:sz w:val="20"/>
          <w:szCs w:val="20"/>
        </w:rPr>
      </w:pPr>
    </w:p>
    <w:p w14:paraId="1B4776F2" w14:textId="77777777"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1" w:name="_Ref361668910"/>
      <w:r w:rsidRPr="00BE133F">
        <w:rPr>
          <w:rFonts w:ascii="Verdana" w:eastAsia="Times" w:hAnsi="Verdana"/>
          <w:sz w:val="20"/>
          <w:szCs w:val="20"/>
        </w:rPr>
        <w:t>El artículo 67 de la Convención establece que:</w:t>
      </w:r>
      <w:bookmarkEnd w:id="1"/>
    </w:p>
    <w:p w14:paraId="1FAAE32E" w14:textId="77777777" w:rsidR="00577097" w:rsidRPr="00BE133F" w:rsidRDefault="00577097" w:rsidP="00577097">
      <w:pPr>
        <w:tabs>
          <w:tab w:val="left" w:pos="567"/>
        </w:tabs>
        <w:autoSpaceDE w:val="0"/>
        <w:autoSpaceDN w:val="0"/>
        <w:adjustRightInd w:val="0"/>
        <w:spacing w:after="0" w:line="240" w:lineRule="auto"/>
        <w:jc w:val="both"/>
        <w:rPr>
          <w:rFonts w:ascii="Verdana" w:eastAsia="Times" w:hAnsi="Verdana"/>
          <w:bCs/>
          <w:sz w:val="20"/>
          <w:szCs w:val="20"/>
          <w:lang w:val="es-ES_tradnl"/>
        </w:rPr>
      </w:pPr>
    </w:p>
    <w:p w14:paraId="79DA1733" w14:textId="77777777" w:rsidR="00577097" w:rsidRPr="007274AC" w:rsidRDefault="00577097" w:rsidP="007274AC">
      <w:pPr>
        <w:pStyle w:val="Textodebloque"/>
      </w:pPr>
      <w:r w:rsidRPr="007274AC">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14:paraId="3EB90846" w14:textId="77777777" w:rsidR="00577097" w:rsidRPr="00BE133F" w:rsidRDefault="00577097" w:rsidP="00577097">
      <w:pPr>
        <w:tabs>
          <w:tab w:val="left" w:pos="567"/>
        </w:tabs>
        <w:spacing w:after="0" w:line="240" w:lineRule="auto"/>
        <w:ind w:left="720" w:right="639"/>
        <w:jc w:val="both"/>
        <w:rPr>
          <w:rFonts w:ascii="Verdana" w:eastAsia="Times" w:hAnsi="Verdana"/>
          <w:sz w:val="20"/>
          <w:szCs w:val="20"/>
          <w:lang w:val="es-ES_tradnl"/>
        </w:rPr>
      </w:pPr>
    </w:p>
    <w:p w14:paraId="5B7F2BF0" w14:textId="77777777" w:rsidR="009D52B4" w:rsidRPr="001C5A5C" w:rsidRDefault="00577097" w:rsidP="00B023F8">
      <w:pPr>
        <w:pStyle w:val="Prrafodelista"/>
        <w:numPr>
          <w:ilvl w:val="0"/>
          <w:numId w:val="1"/>
        </w:numPr>
        <w:tabs>
          <w:tab w:val="clear" w:pos="1247"/>
          <w:tab w:val="num" w:pos="567"/>
        </w:tabs>
        <w:spacing w:after="0" w:line="240" w:lineRule="auto"/>
        <w:jc w:val="both"/>
        <w:rPr>
          <w:rFonts w:ascii="Verdana" w:eastAsia="Times" w:hAnsi="Verdana"/>
          <w:bCs/>
          <w:sz w:val="20"/>
          <w:szCs w:val="20"/>
          <w:lang w:val="es-ES_tradnl"/>
        </w:rPr>
      </w:pPr>
      <w:r w:rsidRPr="001C5A5C">
        <w:rPr>
          <w:rFonts w:ascii="Verdana" w:eastAsia="Times" w:hAnsi="Verdana"/>
          <w:sz w:val="20"/>
          <w:szCs w:val="20"/>
        </w:rPr>
        <w:t xml:space="preserve">De conformidad con el artículo citado, la Corte es competente para interpretar sus fallos. Para realizar el examen de la solicitud de interpretación y resolver lo que a este respecto corresponda, el Tribunal debe tener, si es posible, la misma composición que tenía al dictar la Sentencia respectiva, de acuerdo con el artículo 68.3 del Reglamento. </w:t>
      </w:r>
      <w:r w:rsidRPr="00233FB1">
        <w:rPr>
          <w:rFonts w:ascii="Verdana" w:eastAsia="Times" w:hAnsi="Verdana"/>
          <w:sz w:val="20"/>
          <w:szCs w:val="20"/>
        </w:rPr>
        <w:t>En esta ocasión</w:t>
      </w:r>
      <w:r w:rsidR="007C169E" w:rsidRPr="00233FB1">
        <w:rPr>
          <w:rFonts w:ascii="Verdana" w:eastAsia="Times" w:hAnsi="Verdana"/>
          <w:sz w:val="20"/>
          <w:szCs w:val="20"/>
        </w:rPr>
        <w:t xml:space="preserve"> </w:t>
      </w:r>
      <w:r w:rsidR="001C5A5C" w:rsidRPr="00233FB1">
        <w:rPr>
          <w:rFonts w:ascii="Verdana" w:eastAsia="Times" w:hAnsi="Verdana"/>
          <w:sz w:val="20"/>
          <w:szCs w:val="20"/>
        </w:rPr>
        <w:t xml:space="preserve">la Corte está integrada por </w:t>
      </w:r>
      <w:r w:rsidR="001C5A5C" w:rsidRPr="00233FB1">
        <w:rPr>
          <w:rFonts w:ascii="Verdana" w:hAnsi="Verdana"/>
          <w:sz w:val="20"/>
          <w:szCs w:val="20"/>
        </w:rPr>
        <w:t>los jueces Eduardo Ferrer Mac-</w:t>
      </w:r>
      <w:proofErr w:type="spellStart"/>
      <w:r w:rsidR="001C5A5C" w:rsidRPr="00233FB1">
        <w:rPr>
          <w:rFonts w:ascii="Verdana" w:hAnsi="Verdana"/>
          <w:sz w:val="20"/>
          <w:szCs w:val="20"/>
        </w:rPr>
        <w:t>Gregor</w:t>
      </w:r>
      <w:proofErr w:type="spellEnd"/>
      <w:r w:rsidR="001C5A5C" w:rsidRPr="00233FB1">
        <w:rPr>
          <w:rFonts w:ascii="Verdana" w:hAnsi="Verdana"/>
          <w:sz w:val="20"/>
          <w:szCs w:val="20"/>
        </w:rPr>
        <w:t xml:space="preserve"> </w:t>
      </w:r>
      <w:proofErr w:type="spellStart"/>
      <w:r w:rsidR="001C5A5C" w:rsidRPr="00233FB1">
        <w:rPr>
          <w:rFonts w:ascii="Verdana" w:hAnsi="Verdana"/>
          <w:sz w:val="20"/>
          <w:szCs w:val="20"/>
        </w:rPr>
        <w:t>Poisot</w:t>
      </w:r>
      <w:proofErr w:type="spellEnd"/>
      <w:r w:rsidR="001C5A5C" w:rsidRPr="00233FB1">
        <w:rPr>
          <w:rFonts w:ascii="Verdana" w:hAnsi="Verdana"/>
          <w:sz w:val="20"/>
          <w:szCs w:val="20"/>
        </w:rPr>
        <w:t xml:space="preserve">, </w:t>
      </w:r>
      <w:proofErr w:type="gramStart"/>
      <w:r w:rsidR="001C5A5C" w:rsidRPr="00233FB1">
        <w:rPr>
          <w:rFonts w:ascii="Verdana" w:hAnsi="Verdana"/>
          <w:sz w:val="20"/>
          <w:szCs w:val="20"/>
        </w:rPr>
        <w:t>Presidente</w:t>
      </w:r>
      <w:proofErr w:type="gramEnd"/>
      <w:r w:rsidR="001C5A5C" w:rsidRPr="00233FB1">
        <w:rPr>
          <w:rFonts w:ascii="Verdana" w:hAnsi="Verdana"/>
          <w:sz w:val="20"/>
          <w:szCs w:val="20"/>
        </w:rPr>
        <w:t>; Eduardo Vio Grossi, Vicepresidente; Humberto Antonio Sierra Porto, Juez; Elizabeth Odio Benito, Jueza; Eugenio Raúl Zaffaroni, Juez; y L. Patricio Pazmiño Freire, Juez.</w:t>
      </w:r>
      <w:r w:rsidR="00072E95" w:rsidRPr="001C5A5C">
        <w:rPr>
          <w:rFonts w:ascii="Verdana" w:hAnsi="Verdana" w:cs="Verdana"/>
          <w:sz w:val="20"/>
          <w:szCs w:val="20"/>
          <w:lang w:val="es-ES"/>
        </w:rPr>
        <w:t xml:space="preserve"> </w:t>
      </w:r>
    </w:p>
    <w:p w14:paraId="38C56D1B" w14:textId="77777777" w:rsidR="00C82D0E" w:rsidRDefault="00C82D0E" w:rsidP="00577097">
      <w:pPr>
        <w:tabs>
          <w:tab w:val="left" w:pos="567"/>
        </w:tabs>
        <w:autoSpaceDE w:val="0"/>
        <w:autoSpaceDN w:val="0"/>
        <w:adjustRightInd w:val="0"/>
        <w:spacing w:after="0" w:line="240" w:lineRule="auto"/>
        <w:jc w:val="center"/>
        <w:rPr>
          <w:rFonts w:ascii="Verdana" w:hAnsi="Verdana" w:cs="Verdana"/>
          <w:b/>
          <w:sz w:val="20"/>
          <w:szCs w:val="20"/>
        </w:rPr>
      </w:pPr>
    </w:p>
    <w:p w14:paraId="08F77343" w14:textId="77777777"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III</w:t>
      </w:r>
    </w:p>
    <w:p w14:paraId="180D8BA3" w14:textId="77777777"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ADMISIBILIDAD</w:t>
      </w:r>
    </w:p>
    <w:p w14:paraId="5AB2ABD4" w14:textId="77777777"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bookmarkStart w:id="2" w:name="_Ref363125960"/>
    </w:p>
    <w:p w14:paraId="1376C606" w14:textId="77777777" w:rsidR="00577097" w:rsidRPr="00BE133F" w:rsidRDefault="00577097" w:rsidP="007C169E">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eastAsia="Times" w:hAnsi="Verdana"/>
          <w:sz w:val="20"/>
          <w:szCs w:val="20"/>
          <w:lang w:val="es-ES_tradnl"/>
        </w:rPr>
        <w:t>Corresp</w:t>
      </w:r>
      <w:r w:rsidR="007C169E">
        <w:rPr>
          <w:rFonts w:ascii="Verdana" w:eastAsia="Times" w:hAnsi="Verdana"/>
          <w:sz w:val="20"/>
          <w:szCs w:val="20"/>
          <w:lang w:val="es-ES_tradnl"/>
        </w:rPr>
        <w:t>onde a la Corte verificar si la solicitud de los representantes cumple</w:t>
      </w:r>
      <w:r w:rsidRPr="00BE133F">
        <w:rPr>
          <w:rFonts w:ascii="Verdana" w:eastAsia="Times" w:hAnsi="Verdana"/>
          <w:sz w:val="20"/>
          <w:szCs w:val="20"/>
          <w:lang w:val="es-ES_tradnl"/>
        </w:rPr>
        <w:t xml:space="preserve"> con los requisitos establecidos en las normas aplicables a una solicitud de interpretación de Sentencia, a saber, el artículo 67 de la Convención anteriormente ci</w:t>
      </w:r>
      <w:r w:rsidR="00CF0D83">
        <w:rPr>
          <w:rFonts w:ascii="Verdana" w:eastAsia="Times" w:hAnsi="Verdana"/>
          <w:sz w:val="20"/>
          <w:szCs w:val="20"/>
          <w:lang w:val="es-ES_tradnl"/>
        </w:rPr>
        <w:t>tado</w:t>
      </w:r>
      <w:r w:rsidRPr="00BE133F">
        <w:rPr>
          <w:rFonts w:ascii="Verdana" w:eastAsia="Times" w:hAnsi="Verdana"/>
          <w:sz w:val="20"/>
          <w:szCs w:val="20"/>
          <w:lang w:val="es-ES_tradnl"/>
        </w:rPr>
        <w:t xml:space="preserve"> y el artículo 68 del Reglamento que dispone, en lo pertinente, que:</w:t>
      </w:r>
      <w:bookmarkEnd w:id="2"/>
    </w:p>
    <w:p w14:paraId="4E979E22" w14:textId="77777777" w:rsidR="00577097" w:rsidRPr="00BE133F" w:rsidRDefault="00577097" w:rsidP="00577097">
      <w:pPr>
        <w:tabs>
          <w:tab w:val="left" w:pos="567"/>
        </w:tabs>
        <w:spacing w:after="0" w:line="240" w:lineRule="auto"/>
        <w:rPr>
          <w:rFonts w:ascii="Verdana" w:eastAsia="Times" w:hAnsi="Verdana"/>
          <w:sz w:val="20"/>
          <w:szCs w:val="20"/>
        </w:rPr>
      </w:pPr>
    </w:p>
    <w:p w14:paraId="299A62E8" w14:textId="77777777" w:rsidR="00577097" w:rsidRPr="007274AC" w:rsidRDefault="00577097" w:rsidP="00577097">
      <w:pPr>
        <w:tabs>
          <w:tab w:val="left" w:pos="567"/>
        </w:tabs>
        <w:spacing w:after="0" w:line="240" w:lineRule="auto"/>
        <w:ind w:left="567" w:right="720"/>
        <w:jc w:val="both"/>
        <w:rPr>
          <w:rFonts w:ascii="Verdana" w:eastAsia="Times" w:hAnsi="Verdana"/>
          <w:sz w:val="18"/>
          <w:szCs w:val="18"/>
          <w:lang w:val="es-ES_tradnl"/>
        </w:rPr>
      </w:pPr>
      <w:r w:rsidRPr="007274AC">
        <w:rPr>
          <w:rFonts w:ascii="Verdana" w:eastAsia="Times" w:hAnsi="Verdana"/>
          <w:sz w:val="18"/>
          <w:szCs w:val="18"/>
          <w:lang w:val="es-ES_tradnl"/>
        </w:rPr>
        <w:t>1.</w:t>
      </w:r>
      <w:r w:rsidRPr="007274AC">
        <w:rPr>
          <w:rFonts w:ascii="Verdana" w:eastAsia="Times" w:hAnsi="Verdana"/>
          <w:sz w:val="18"/>
          <w:szCs w:val="18"/>
          <w:lang w:val="es-ES_tradnl"/>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14:paraId="22D12EFB" w14:textId="77777777" w:rsidR="00CF0D83" w:rsidRDefault="00CF0D83" w:rsidP="00577097">
      <w:pPr>
        <w:tabs>
          <w:tab w:val="left" w:pos="567"/>
        </w:tabs>
        <w:spacing w:after="0" w:line="240" w:lineRule="auto"/>
        <w:ind w:left="567" w:right="720"/>
        <w:rPr>
          <w:rFonts w:ascii="Verdana" w:eastAsia="Times" w:hAnsi="Verdana"/>
          <w:sz w:val="18"/>
          <w:szCs w:val="18"/>
          <w:lang w:val="es-ES_tradnl"/>
        </w:rPr>
      </w:pPr>
    </w:p>
    <w:p w14:paraId="4E041EB6" w14:textId="77777777" w:rsidR="00577097" w:rsidRPr="007274AC" w:rsidRDefault="00577097" w:rsidP="00577097">
      <w:pPr>
        <w:tabs>
          <w:tab w:val="left" w:pos="567"/>
        </w:tabs>
        <w:spacing w:after="0" w:line="240" w:lineRule="auto"/>
        <w:ind w:left="567" w:right="720"/>
        <w:rPr>
          <w:rFonts w:ascii="Verdana" w:eastAsia="Times" w:hAnsi="Verdana"/>
          <w:sz w:val="18"/>
          <w:szCs w:val="18"/>
          <w:lang w:val="es-ES_tradnl"/>
        </w:rPr>
      </w:pPr>
      <w:r w:rsidRPr="007274AC">
        <w:rPr>
          <w:rFonts w:ascii="Verdana" w:eastAsia="Times" w:hAnsi="Verdana"/>
          <w:sz w:val="18"/>
          <w:szCs w:val="18"/>
          <w:lang w:val="es-ES_tradnl"/>
        </w:rPr>
        <w:t>[…]</w:t>
      </w:r>
    </w:p>
    <w:p w14:paraId="0F1B098E" w14:textId="77777777" w:rsidR="00577097" w:rsidRDefault="00577097" w:rsidP="00577097">
      <w:pPr>
        <w:tabs>
          <w:tab w:val="left" w:pos="567"/>
        </w:tabs>
        <w:spacing w:after="0" w:line="240" w:lineRule="auto"/>
        <w:ind w:left="567" w:right="720"/>
        <w:rPr>
          <w:rFonts w:ascii="Verdana" w:eastAsia="Times" w:hAnsi="Verdana"/>
          <w:sz w:val="18"/>
          <w:szCs w:val="18"/>
          <w:lang w:val="es-ES_tradnl"/>
        </w:rPr>
      </w:pPr>
    </w:p>
    <w:p w14:paraId="1B4A5378" w14:textId="77777777" w:rsidR="00F346D3" w:rsidRPr="00F51044" w:rsidRDefault="00F346D3" w:rsidP="0016280D">
      <w:pPr>
        <w:tabs>
          <w:tab w:val="left" w:pos="567"/>
        </w:tabs>
        <w:spacing w:after="0" w:line="240" w:lineRule="auto"/>
        <w:ind w:left="567" w:right="720"/>
        <w:jc w:val="both"/>
        <w:rPr>
          <w:rFonts w:ascii="Verdana" w:eastAsia="Times" w:hAnsi="Verdana"/>
          <w:sz w:val="18"/>
          <w:szCs w:val="18"/>
          <w:lang w:val="es-ES_tradnl"/>
        </w:rPr>
      </w:pPr>
      <w:r>
        <w:rPr>
          <w:rFonts w:ascii="Verdana" w:hAnsi="Verdana"/>
          <w:sz w:val="18"/>
          <w:szCs w:val="18"/>
        </w:rPr>
        <w:t>3.</w:t>
      </w:r>
      <w:r>
        <w:rPr>
          <w:rFonts w:ascii="Verdana" w:hAnsi="Verdana"/>
          <w:sz w:val="18"/>
          <w:szCs w:val="18"/>
        </w:rPr>
        <w:tab/>
      </w:r>
      <w:r w:rsidRPr="00C06515">
        <w:rPr>
          <w:rFonts w:ascii="Verdana" w:hAnsi="Verdana"/>
          <w:sz w:val="18"/>
          <w:szCs w:val="18"/>
        </w:rPr>
        <w:t xml:space="preserve">Para el examen de la solicitud de interpretación, la Corte se reunirá, si es posible, con la composición que tenía al dictar la sentencia respectiva. Sin embargo, en caso de </w:t>
      </w:r>
      <w:r w:rsidRPr="00C06515">
        <w:rPr>
          <w:rFonts w:ascii="Verdana" w:hAnsi="Verdana"/>
          <w:sz w:val="18"/>
          <w:szCs w:val="18"/>
        </w:rPr>
        <w:lastRenderedPageBreak/>
        <w:t>fallecimiento, renuncia, impedimento, excusa o inhabilitación, se sustituirá al Juez de que se trate según el artículo 17 de este Reglamento.</w:t>
      </w:r>
    </w:p>
    <w:p w14:paraId="0D70F5FE" w14:textId="77777777" w:rsidR="00F346D3" w:rsidRPr="007274AC" w:rsidRDefault="00F346D3" w:rsidP="00577097">
      <w:pPr>
        <w:tabs>
          <w:tab w:val="left" w:pos="567"/>
        </w:tabs>
        <w:spacing w:after="0" w:line="240" w:lineRule="auto"/>
        <w:ind w:left="567" w:right="720"/>
        <w:rPr>
          <w:rFonts w:ascii="Verdana" w:eastAsia="Times" w:hAnsi="Verdana"/>
          <w:sz w:val="18"/>
          <w:szCs w:val="18"/>
          <w:lang w:val="es-ES_tradnl"/>
        </w:rPr>
      </w:pPr>
    </w:p>
    <w:p w14:paraId="4199CB1E" w14:textId="77777777" w:rsidR="00577097" w:rsidRPr="007274AC" w:rsidRDefault="00577097" w:rsidP="00577097">
      <w:pPr>
        <w:tabs>
          <w:tab w:val="left" w:pos="567"/>
        </w:tabs>
        <w:spacing w:after="0" w:line="240" w:lineRule="auto"/>
        <w:ind w:left="567" w:right="720"/>
        <w:jc w:val="both"/>
        <w:rPr>
          <w:rFonts w:ascii="Verdana" w:eastAsia="Times" w:hAnsi="Verdana"/>
          <w:sz w:val="18"/>
          <w:szCs w:val="18"/>
          <w:lang w:val="es-ES_tradnl"/>
        </w:rPr>
      </w:pPr>
      <w:r w:rsidRPr="007274AC">
        <w:rPr>
          <w:rFonts w:ascii="Verdana" w:eastAsia="Times" w:hAnsi="Verdana"/>
          <w:sz w:val="18"/>
          <w:szCs w:val="18"/>
          <w:lang w:val="es-ES_tradnl"/>
        </w:rPr>
        <w:t>4.</w:t>
      </w:r>
      <w:r w:rsidRPr="007274AC">
        <w:rPr>
          <w:rFonts w:ascii="Verdana" w:eastAsia="Times" w:hAnsi="Verdana"/>
          <w:sz w:val="18"/>
          <w:szCs w:val="18"/>
          <w:lang w:val="es-ES_tradnl"/>
        </w:rPr>
        <w:tab/>
        <w:t>La solicitud de interpretación no suspenderá la ejecución de la sentencia.</w:t>
      </w:r>
    </w:p>
    <w:p w14:paraId="4412206E" w14:textId="77777777" w:rsidR="00577097" w:rsidRPr="007274AC" w:rsidRDefault="00577097" w:rsidP="00577097">
      <w:pPr>
        <w:tabs>
          <w:tab w:val="left" w:pos="567"/>
        </w:tabs>
        <w:spacing w:after="0" w:line="240" w:lineRule="auto"/>
        <w:ind w:left="567" w:right="702"/>
        <w:jc w:val="both"/>
        <w:rPr>
          <w:rFonts w:ascii="Verdana" w:eastAsia="Times" w:hAnsi="Verdana"/>
          <w:sz w:val="18"/>
          <w:szCs w:val="18"/>
          <w:lang w:val="es-ES_tradnl"/>
        </w:rPr>
      </w:pPr>
    </w:p>
    <w:p w14:paraId="0672F056" w14:textId="77777777" w:rsidR="00577097" w:rsidRPr="007274AC" w:rsidRDefault="00577097" w:rsidP="00577097">
      <w:pPr>
        <w:tabs>
          <w:tab w:val="left" w:pos="567"/>
        </w:tabs>
        <w:spacing w:after="0" w:line="240" w:lineRule="auto"/>
        <w:ind w:left="567" w:right="702"/>
        <w:jc w:val="both"/>
        <w:rPr>
          <w:rFonts w:ascii="Verdana" w:eastAsia="Times" w:hAnsi="Verdana"/>
          <w:sz w:val="18"/>
          <w:szCs w:val="18"/>
          <w:lang w:val="es-ES_tradnl"/>
        </w:rPr>
      </w:pPr>
      <w:r w:rsidRPr="007274AC">
        <w:rPr>
          <w:rFonts w:ascii="Verdana" w:eastAsia="Times" w:hAnsi="Verdana"/>
          <w:sz w:val="18"/>
          <w:szCs w:val="18"/>
          <w:lang w:val="es-ES_tradnl"/>
        </w:rPr>
        <w:t>5.</w:t>
      </w:r>
      <w:r w:rsidRPr="007274AC">
        <w:rPr>
          <w:rFonts w:ascii="Verdana" w:eastAsia="Times" w:hAnsi="Verdana"/>
          <w:sz w:val="18"/>
          <w:szCs w:val="18"/>
          <w:lang w:val="es-ES_tradnl"/>
        </w:rPr>
        <w:tab/>
        <w:t xml:space="preserve">La Corte determinará el procedimiento que se seguirá y resolverá mediante una sentencia. </w:t>
      </w:r>
    </w:p>
    <w:p w14:paraId="027AB497" w14:textId="77777777" w:rsidR="00577097" w:rsidRPr="00BE133F" w:rsidRDefault="00577097" w:rsidP="00577097">
      <w:pPr>
        <w:tabs>
          <w:tab w:val="left" w:pos="567"/>
        </w:tabs>
        <w:spacing w:after="0" w:line="240" w:lineRule="auto"/>
        <w:jc w:val="both"/>
        <w:rPr>
          <w:rFonts w:ascii="Verdana" w:eastAsia="Times" w:hAnsi="Verdana"/>
          <w:sz w:val="20"/>
          <w:szCs w:val="20"/>
          <w:lang w:val="es-ES_tradnl"/>
        </w:rPr>
      </w:pPr>
      <w:bookmarkStart w:id="3" w:name="_Ref363125964"/>
    </w:p>
    <w:p w14:paraId="386EB1D0" w14:textId="77777777" w:rsidR="00577097" w:rsidRPr="00BE133F" w:rsidRDefault="00577097"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t>Asimismo, el artículo 31.3 del Reglamento establece que “[c]</w:t>
      </w:r>
      <w:proofErr w:type="spellStart"/>
      <w:r w:rsidRPr="00BE133F">
        <w:rPr>
          <w:rFonts w:ascii="Verdana" w:eastAsia="Times" w:hAnsi="Verdana"/>
          <w:sz w:val="20"/>
          <w:szCs w:val="20"/>
          <w:lang w:val="es-ES_tradnl"/>
        </w:rPr>
        <w:t>ontra</w:t>
      </w:r>
      <w:proofErr w:type="spellEnd"/>
      <w:r w:rsidRPr="00BE133F">
        <w:rPr>
          <w:rFonts w:ascii="Verdana" w:eastAsia="Times" w:hAnsi="Verdana"/>
          <w:sz w:val="20"/>
          <w:szCs w:val="20"/>
          <w:lang w:val="es-ES_tradnl"/>
        </w:rPr>
        <w:t xml:space="preserve"> las sentencias y resoluciones de la Corte no procede ningún medio de impugnación”.</w:t>
      </w:r>
      <w:bookmarkEnd w:id="3"/>
    </w:p>
    <w:p w14:paraId="09A851CF" w14:textId="77777777" w:rsidR="00577097" w:rsidRPr="00BE133F" w:rsidRDefault="00577097" w:rsidP="00577097">
      <w:pPr>
        <w:tabs>
          <w:tab w:val="left" w:pos="567"/>
        </w:tabs>
        <w:spacing w:after="0" w:line="240" w:lineRule="auto"/>
        <w:ind w:left="720"/>
        <w:jc w:val="both"/>
        <w:rPr>
          <w:rFonts w:ascii="Verdana" w:eastAsia="Batang" w:hAnsi="Verdana"/>
          <w:sz w:val="20"/>
          <w:szCs w:val="20"/>
          <w:lang w:val="es-ES_tradnl"/>
        </w:rPr>
      </w:pPr>
    </w:p>
    <w:p w14:paraId="19572321" w14:textId="77777777" w:rsidR="00577097" w:rsidRPr="003F693C" w:rsidRDefault="00577097" w:rsidP="003F693C">
      <w:pPr>
        <w:numPr>
          <w:ilvl w:val="0"/>
          <w:numId w:val="1"/>
        </w:numPr>
        <w:tabs>
          <w:tab w:val="left" w:pos="567"/>
          <w:tab w:val="num" w:pos="720"/>
        </w:tabs>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t xml:space="preserve">La Corte observa que </w:t>
      </w:r>
      <w:r w:rsidR="003F693C">
        <w:rPr>
          <w:rFonts w:ascii="Verdana" w:eastAsia="Times" w:hAnsi="Verdana"/>
          <w:sz w:val="20"/>
          <w:szCs w:val="20"/>
          <w:lang w:val="es-ES_tradnl"/>
        </w:rPr>
        <w:t xml:space="preserve">los representantes remitieron la solicitud de interpretación el </w:t>
      </w:r>
      <w:r w:rsidR="003F693C">
        <w:rPr>
          <w:rFonts w:ascii="Verdana" w:hAnsi="Verdana" w:cs="Verdana"/>
          <w:sz w:val="20"/>
          <w:szCs w:val="20"/>
        </w:rPr>
        <w:t>23 de enero de 2019</w:t>
      </w:r>
      <w:r w:rsidR="003F693C">
        <w:rPr>
          <w:rFonts w:ascii="Verdana" w:eastAsia="Times" w:hAnsi="Verdana"/>
          <w:sz w:val="20"/>
          <w:szCs w:val="20"/>
          <w:lang w:val="es-ES_tradnl"/>
        </w:rPr>
        <w:t xml:space="preserve">, </w:t>
      </w:r>
      <w:r w:rsidRPr="003F693C">
        <w:rPr>
          <w:rFonts w:ascii="Verdana" w:eastAsia="Times" w:hAnsi="Verdana"/>
          <w:sz w:val="20"/>
          <w:szCs w:val="20"/>
          <w:lang w:val="es-ES_tradnl"/>
        </w:rPr>
        <w:t xml:space="preserve">dentro del plazo establecido en el artículo 67 de la Convención, ya que la </w:t>
      </w:r>
      <w:r w:rsidR="001241EC" w:rsidRPr="003F693C">
        <w:rPr>
          <w:rFonts w:ascii="Verdana" w:eastAsia="Times" w:hAnsi="Verdana"/>
          <w:sz w:val="20"/>
          <w:szCs w:val="20"/>
          <w:lang w:val="es-ES_tradnl"/>
        </w:rPr>
        <w:t>Sentencia</w:t>
      </w:r>
      <w:r w:rsidRPr="003F693C">
        <w:rPr>
          <w:rFonts w:ascii="Verdana" w:eastAsia="Times" w:hAnsi="Verdana"/>
          <w:sz w:val="20"/>
          <w:szCs w:val="20"/>
          <w:lang w:val="es-ES_tradnl"/>
        </w:rPr>
        <w:t xml:space="preserve"> fue notificada el </w:t>
      </w:r>
      <w:r w:rsidR="003F693C">
        <w:rPr>
          <w:rFonts w:ascii="Verdana" w:eastAsia="Times" w:hAnsi="Verdana"/>
          <w:sz w:val="20"/>
          <w:szCs w:val="20"/>
          <w:lang w:val="es-ES_tradnl"/>
        </w:rPr>
        <w:t>25 de octubre de 2018</w:t>
      </w:r>
      <w:r w:rsidRPr="003F693C">
        <w:rPr>
          <w:rFonts w:ascii="Verdana" w:eastAsia="Times" w:hAnsi="Verdana"/>
          <w:sz w:val="20"/>
          <w:szCs w:val="20"/>
          <w:lang w:val="es-ES_tradnl"/>
        </w:rPr>
        <w:t xml:space="preserve">. Por ende, </w:t>
      </w:r>
      <w:r w:rsidR="003F693C">
        <w:rPr>
          <w:rFonts w:ascii="Verdana" w:eastAsia="Times" w:hAnsi="Verdana"/>
          <w:sz w:val="20"/>
          <w:szCs w:val="20"/>
          <w:lang w:val="es-ES_tradnl"/>
        </w:rPr>
        <w:t>la solicitud resulta</w:t>
      </w:r>
      <w:r w:rsidRPr="003F693C">
        <w:rPr>
          <w:rFonts w:ascii="Verdana" w:eastAsia="Times" w:hAnsi="Verdana"/>
          <w:sz w:val="20"/>
          <w:szCs w:val="20"/>
          <w:lang w:val="es-ES_tradnl"/>
        </w:rPr>
        <w:t xml:space="preserve"> admisibles en lo que se refiere al plazo de su presentación. En cuanto a los demás requisitos, la Corte realizará el análisis respectivo al examinar el contenido de </w:t>
      </w:r>
      <w:r w:rsidR="00871028">
        <w:rPr>
          <w:rFonts w:ascii="Verdana" w:eastAsia="Times" w:hAnsi="Verdana"/>
          <w:sz w:val="20"/>
          <w:szCs w:val="20"/>
          <w:lang w:val="es-ES_tradnl"/>
        </w:rPr>
        <w:t>la solicitud</w:t>
      </w:r>
      <w:r w:rsidR="003F693C">
        <w:rPr>
          <w:rFonts w:ascii="Verdana" w:eastAsia="Times" w:hAnsi="Verdana"/>
          <w:sz w:val="20"/>
          <w:szCs w:val="20"/>
          <w:lang w:val="es-ES_tradnl"/>
        </w:rPr>
        <w:t xml:space="preserve"> de interpretación</w:t>
      </w:r>
      <w:r w:rsidRPr="003F693C">
        <w:rPr>
          <w:rFonts w:ascii="Verdana" w:eastAsia="Times" w:hAnsi="Verdana"/>
          <w:sz w:val="20"/>
          <w:szCs w:val="20"/>
          <w:lang w:val="es-ES_tradnl"/>
        </w:rPr>
        <w:t>.</w:t>
      </w:r>
    </w:p>
    <w:p w14:paraId="3EEB73EB" w14:textId="77777777" w:rsidR="00577097" w:rsidRPr="00BE133F" w:rsidRDefault="00577097" w:rsidP="00577097">
      <w:pPr>
        <w:tabs>
          <w:tab w:val="left" w:pos="567"/>
        </w:tabs>
        <w:spacing w:after="0" w:line="240" w:lineRule="auto"/>
        <w:jc w:val="both"/>
        <w:rPr>
          <w:rFonts w:ascii="Verdana" w:eastAsia="Times" w:hAnsi="Verdana"/>
          <w:sz w:val="20"/>
          <w:szCs w:val="20"/>
          <w:u w:val="single"/>
          <w:lang w:val="es-ES_tradnl"/>
        </w:rPr>
      </w:pPr>
    </w:p>
    <w:p w14:paraId="69CACA6C" w14:textId="77777777" w:rsidR="00577097" w:rsidRPr="00BE133F" w:rsidRDefault="00577097" w:rsidP="00577097">
      <w:pPr>
        <w:tabs>
          <w:tab w:val="left" w:pos="567"/>
        </w:tabs>
        <w:spacing w:after="0" w:line="240" w:lineRule="auto"/>
        <w:jc w:val="center"/>
        <w:rPr>
          <w:rFonts w:ascii="Verdana" w:eastAsia="Times" w:hAnsi="Verdana"/>
          <w:b/>
          <w:sz w:val="20"/>
          <w:szCs w:val="20"/>
        </w:rPr>
      </w:pPr>
      <w:r w:rsidRPr="00BE133F">
        <w:rPr>
          <w:rFonts w:ascii="Verdana" w:eastAsia="Times" w:hAnsi="Verdana"/>
          <w:b/>
          <w:sz w:val="20"/>
          <w:szCs w:val="20"/>
        </w:rPr>
        <w:t>IV</w:t>
      </w:r>
    </w:p>
    <w:p w14:paraId="23C47916" w14:textId="77777777" w:rsidR="00577097" w:rsidRPr="0093256C"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r w:rsidRPr="00B8255C">
        <w:rPr>
          <w:rFonts w:ascii="Verdana" w:hAnsi="Verdana" w:cs="Verdana"/>
          <w:b/>
          <w:caps/>
          <w:sz w:val="20"/>
          <w:szCs w:val="20"/>
        </w:rPr>
        <w:t>ANÁLISIS DE PRO</w:t>
      </w:r>
      <w:r w:rsidR="00B023F8">
        <w:rPr>
          <w:rFonts w:ascii="Verdana" w:hAnsi="Verdana" w:cs="Verdana"/>
          <w:b/>
          <w:caps/>
          <w:sz w:val="20"/>
          <w:szCs w:val="20"/>
        </w:rPr>
        <w:t>CEDENCIA DE LA SOLICITUD</w:t>
      </w:r>
      <w:r w:rsidRPr="00B8255C">
        <w:rPr>
          <w:rFonts w:ascii="Verdana" w:hAnsi="Verdana" w:cs="Verdana"/>
          <w:b/>
          <w:caps/>
          <w:sz w:val="20"/>
          <w:szCs w:val="20"/>
        </w:rPr>
        <w:t xml:space="preserve"> DE INTERPRETACIÓN</w:t>
      </w:r>
    </w:p>
    <w:p w14:paraId="43661164" w14:textId="77777777"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p>
    <w:p w14:paraId="3DB5FF59" w14:textId="77777777" w:rsidR="0089460F" w:rsidRDefault="00577097" w:rsidP="0089460F">
      <w:pPr>
        <w:numPr>
          <w:ilvl w:val="0"/>
          <w:numId w:val="1"/>
        </w:numPr>
        <w:tabs>
          <w:tab w:val="left" w:pos="567"/>
          <w:tab w:val="num" w:pos="720"/>
        </w:tabs>
        <w:spacing w:after="0" w:line="240" w:lineRule="auto"/>
        <w:jc w:val="both"/>
        <w:rPr>
          <w:rFonts w:ascii="Verdana" w:eastAsia="Times" w:hAnsi="Verdana"/>
          <w:sz w:val="20"/>
          <w:szCs w:val="20"/>
          <w:lang w:val="es-ES_tradnl"/>
        </w:rPr>
      </w:pPr>
      <w:bookmarkStart w:id="4" w:name="_Ref325023272"/>
      <w:r w:rsidRPr="00BE133F">
        <w:rPr>
          <w:rFonts w:ascii="Verdana" w:eastAsia="Times" w:hAnsi="Verdana"/>
          <w:sz w:val="20"/>
          <w:szCs w:val="20"/>
          <w:lang w:val="es-ES_tradnl"/>
        </w:rPr>
        <w:t>A continuación</w:t>
      </w:r>
      <w:r w:rsidR="00F474DD">
        <w:rPr>
          <w:rFonts w:ascii="Verdana" w:eastAsia="Times" w:hAnsi="Verdana"/>
          <w:sz w:val="20"/>
          <w:szCs w:val="20"/>
          <w:lang w:val="es-ES_tradnl"/>
        </w:rPr>
        <w:t>,</w:t>
      </w:r>
      <w:r w:rsidRPr="00BE133F">
        <w:rPr>
          <w:rFonts w:ascii="Verdana" w:eastAsia="Times" w:hAnsi="Verdana"/>
          <w:sz w:val="20"/>
          <w:szCs w:val="20"/>
          <w:lang w:val="es-ES_tradnl"/>
        </w:rPr>
        <w:t xml:space="preserve"> el Tribunal analizará la</w:t>
      </w:r>
      <w:r w:rsidR="00B023F8">
        <w:rPr>
          <w:rFonts w:ascii="Verdana" w:eastAsia="Times" w:hAnsi="Verdana"/>
          <w:sz w:val="20"/>
          <w:szCs w:val="20"/>
          <w:lang w:val="es-ES_tradnl"/>
        </w:rPr>
        <w:t xml:space="preserve"> solicitud</w:t>
      </w:r>
      <w:r w:rsidRPr="00BE133F">
        <w:rPr>
          <w:rFonts w:ascii="Verdana" w:eastAsia="Times" w:hAnsi="Verdana"/>
          <w:sz w:val="20"/>
          <w:szCs w:val="20"/>
          <w:lang w:val="es-ES_tradnl"/>
        </w:rPr>
        <w:t xml:space="preserve"> de</w:t>
      </w:r>
      <w:r w:rsidR="00E8385F">
        <w:rPr>
          <w:rFonts w:ascii="Verdana" w:eastAsia="Times" w:hAnsi="Verdana"/>
          <w:sz w:val="20"/>
          <w:szCs w:val="20"/>
          <w:lang w:val="es-ES_tradnl"/>
        </w:rPr>
        <w:t xml:space="preserve"> </w:t>
      </w:r>
      <w:r w:rsidR="003F693C">
        <w:rPr>
          <w:rFonts w:ascii="Verdana" w:eastAsia="Times" w:hAnsi="Verdana"/>
          <w:sz w:val="20"/>
          <w:szCs w:val="20"/>
          <w:lang w:val="es-ES_tradnl"/>
        </w:rPr>
        <w:t>los representantes</w:t>
      </w:r>
      <w:r w:rsidR="00AB38AA" w:rsidRPr="00BE133F">
        <w:rPr>
          <w:rFonts w:ascii="Verdana" w:eastAsia="Times" w:hAnsi="Verdana"/>
          <w:sz w:val="20"/>
          <w:szCs w:val="20"/>
          <w:lang w:val="es-ES_tradnl"/>
        </w:rPr>
        <w:t xml:space="preserve"> </w:t>
      </w:r>
      <w:r w:rsidRPr="00BE133F">
        <w:rPr>
          <w:rFonts w:ascii="Verdana" w:eastAsia="Times" w:hAnsi="Verdana"/>
          <w:sz w:val="20"/>
          <w:szCs w:val="20"/>
          <w:lang w:val="es-ES_tradnl"/>
        </w:rPr>
        <w:t>para determinar si, de acuerdo con la normativa y los estándares desarrollados en su jurisprudencia, procede aclarar el sentido o alcance de</w:t>
      </w:r>
      <w:r w:rsidR="00C048F5" w:rsidRPr="00BE133F">
        <w:rPr>
          <w:rFonts w:ascii="Verdana" w:eastAsia="Times" w:hAnsi="Verdana"/>
          <w:sz w:val="20"/>
          <w:szCs w:val="20"/>
          <w:lang w:val="es-ES_tradnl"/>
        </w:rPr>
        <w:t xml:space="preserve"> </w:t>
      </w:r>
      <w:r w:rsidR="00A752D8">
        <w:rPr>
          <w:rFonts w:ascii="Verdana" w:eastAsia="Times" w:hAnsi="Verdana"/>
          <w:sz w:val="20"/>
          <w:szCs w:val="20"/>
          <w:lang w:val="es-ES_tradnl"/>
        </w:rPr>
        <w:t>algún punto de la Sentencia</w:t>
      </w:r>
      <w:r w:rsidRPr="00BE133F">
        <w:rPr>
          <w:rFonts w:ascii="Verdana" w:eastAsia="Times" w:hAnsi="Verdana"/>
          <w:sz w:val="20"/>
          <w:szCs w:val="20"/>
          <w:lang w:val="es-ES_tradnl"/>
        </w:rPr>
        <w:t>.</w:t>
      </w:r>
      <w:bookmarkStart w:id="5" w:name="_Ref324754196"/>
      <w:bookmarkEnd w:id="4"/>
    </w:p>
    <w:p w14:paraId="0A11C0E4" w14:textId="77777777" w:rsidR="00C469B4" w:rsidRDefault="00C469B4" w:rsidP="00C469B4">
      <w:pPr>
        <w:tabs>
          <w:tab w:val="left" w:pos="567"/>
        </w:tabs>
        <w:spacing w:after="0" w:line="240" w:lineRule="auto"/>
        <w:jc w:val="both"/>
        <w:rPr>
          <w:rFonts w:ascii="Verdana" w:eastAsia="Times" w:hAnsi="Verdana"/>
          <w:sz w:val="20"/>
          <w:szCs w:val="20"/>
          <w:lang w:val="es-ES_tradnl"/>
        </w:rPr>
      </w:pPr>
    </w:p>
    <w:p w14:paraId="6621B036" w14:textId="77777777" w:rsidR="00C469B4" w:rsidRPr="004F640F" w:rsidRDefault="00C469B4" w:rsidP="00C469B4">
      <w:pPr>
        <w:pStyle w:val="Prrafodelista"/>
        <w:numPr>
          <w:ilvl w:val="0"/>
          <w:numId w:val="1"/>
        </w:numPr>
        <w:tabs>
          <w:tab w:val="clear" w:pos="1247"/>
          <w:tab w:val="num" w:pos="0"/>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Par</w:t>
      </w:r>
      <w:r w:rsidR="00B023F8">
        <w:rPr>
          <w:rFonts w:ascii="Verdana" w:hAnsi="Verdana" w:cs="Verdana"/>
          <w:sz w:val="20"/>
          <w:szCs w:val="20"/>
          <w:lang w:val="es-PA"/>
        </w:rPr>
        <w:t>a analizar la procedencia de la solicitud</w:t>
      </w:r>
      <w:r w:rsidRPr="004F640F">
        <w:rPr>
          <w:rFonts w:ascii="Verdana" w:hAnsi="Verdana" w:cs="Verdana"/>
          <w:sz w:val="20"/>
          <w:szCs w:val="20"/>
          <w:lang w:val="es-PA"/>
        </w:rPr>
        <w:t xml:space="preserve"> </w:t>
      </w:r>
      <w:r w:rsidR="00546D19">
        <w:rPr>
          <w:rFonts w:ascii="Verdana" w:hAnsi="Verdana" w:cs="Verdana"/>
          <w:sz w:val="20"/>
          <w:szCs w:val="20"/>
          <w:lang w:val="es-PA"/>
        </w:rPr>
        <w:t>de interpretación</w:t>
      </w:r>
      <w:r w:rsidRPr="004F640F">
        <w:rPr>
          <w:rFonts w:ascii="Verdana" w:hAnsi="Verdana" w:cs="Verdana"/>
          <w:sz w:val="20"/>
          <w:szCs w:val="20"/>
          <w:lang w:val="es-PA"/>
        </w:rPr>
        <w:t>, la Corte toma en consideración su jurisprudencia constante, en cuanto a que una solicitud de interpretación de sentencia no puede utilizarse como medio de impugnación de la decisión cuya interpretación se requiere. Dicha solicitud debe te</w:t>
      </w:r>
      <w:r>
        <w:rPr>
          <w:rFonts w:ascii="Verdana" w:hAnsi="Verdana" w:cs="Verdana"/>
          <w:sz w:val="20"/>
          <w:szCs w:val="20"/>
          <w:lang w:val="es-PA"/>
        </w:rPr>
        <w:t>ne</w:t>
      </w:r>
      <w:r w:rsidRPr="004F640F">
        <w:rPr>
          <w:rFonts w:ascii="Verdana" w:hAnsi="Verdana" w:cs="Verdana"/>
          <w:sz w:val="20"/>
          <w:szCs w:val="20"/>
          <w:lang w:val="es-PA"/>
        </w:rPr>
        <w:t>r como objeto, exclusivamente, determinar el sentido de un fallo cuando alguna de las partes sostiene que el texto de sus puntos resolutivos o de sus consideraciones carece de claridad o precisión, siempre y cuando esas consideraciones incidan en la parte resolutiva de la Sentencia</w:t>
      </w:r>
      <w:r w:rsidRPr="0028163D">
        <w:rPr>
          <w:rStyle w:val="Refdenotaalpie"/>
          <w:rFonts w:cs="Verdana"/>
          <w:sz w:val="20"/>
          <w:szCs w:val="20"/>
          <w:lang w:val="es-PA"/>
        </w:rPr>
        <w:footnoteReference w:id="1"/>
      </w:r>
      <w:r>
        <w:rPr>
          <w:rFonts w:ascii="Verdana" w:hAnsi="Verdana" w:cs="Verdana"/>
          <w:sz w:val="20"/>
          <w:szCs w:val="20"/>
          <w:lang w:val="es-PA"/>
        </w:rPr>
        <w:t>.</w:t>
      </w:r>
      <w:r w:rsidRPr="004F640F">
        <w:rPr>
          <w:rFonts w:ascii="Verdana" w:hAnsi="Verdana" w:cs="Verdana"/>
          <w:sz w:val="20"/>
          <w:szCs w:val="20"/>
          <w:lang w:val="es-PA"/>
        </w:rPr>
        <w:t xml:space="preserve"> Por lo tanto,</w:t>
      </w:r>
      <w:r w:rsidRPr="001F08E6">
        <w:t xml:space="preserve"> </w:t>
      </w:r>
      <w:r w:rsidRPr="001F08E6">
        <w:rPr>
          <w:rFonts w:ascii="Verdana" w:hAnsi="Verdana" w:cs="Verdana"/>
          <w:sz w:val="20"/>
          <w:szCs w:val="20"/>
          <w:lang w:val="es-PA"/>
        </w:rPr>
        <w:t>de conformidad con el artículo 31.3 del Reglamento</w:t>
      </w:r>
      <w:r>
        <w:rPr>
          <w:rFonts w:ascii="Verdana" w:hAnsi="Verdana" w:cs="Verdana"/>
          <w:sz w:val="20"/>
          <w:szCs w:val="20"/>
          <w:lang w:val="es-PA"/>
        </w:rPr>
        <w:t>,</w:t>
      </w:r>
      <w:r w:rsidRPr="004F640F">
        <w:rPr>
          <w:rFonts w:ascii="Verdana" w:hAnsi="Verdana" w:cs="Verdana"/>
          <w:sz w:val="20"/>
          <w:szCs w:val="20"/>
          <w:lang w:val="es-PA"/>
        </w:rPr>
        <w:t xml:space="preserve"> no se puede solicitar la modificación o anulación de la sentencia respectiva a través de una solicitud de interpretación</w:t>
      </w:r>
      <w:r w:rsidRPr="0028163D">
        <w:rPr>
          <w:rStyle w:val="Refdenotaalpie"/>
          <w:rFonts w:cs="Verdana"/>
          <w:sz w:val="20"/>
          <w:szCs w:val="20"/>
          <w:lang w:val="es-PA"/>
        </w:rPr>
        <w:footnoteReference w:id="2"/>
      </w:r>
      <w:r>
        <w:rPr>
          <w:rFonts w:ascii="Verdana" w:hAnsi="Verdana" w:cs="Verdana"/>
          <w:sz w:val="20"/>
          <w:szCs w:val="20"/>
          <w:lang w:val="es-PA"/>
        </w:rPr>
        <w:t>.</w:t>
      </w:r>
      <w:r w:rsidRPr="004F640F">
        <w:rPr>
          <w:rFonts w:ascii="Verdana" w:hAnsi="Verdana" w:cs="Verdana"/>
          <w:sz w:val="20"/>
          <w:szCs w:val="20"/>
          <w:lang w:val="es-PA"/>
        </w:rPr>
        <w:t xml:space="preserve"> </w:t>
      </w:r>
    </w:p>
    <w:p w14:paraId="3571E91A" w14:textId="77777777" w:rsidR="00C469B4" w:rsidRPr="00C469B4" w:rsidRDefault="00C469B4" w:rsidP="00C469B4">
      <w:pPr>
        <w:spacing w:after="0" w:line="240" w:lineRule="auto"/>
        <w:rPr>
          <w:rFonts w:ascii="Verdana" w:hAnsi="Verdana" w:cs="Verdana"/>
          <w:sz w:val="20"/>
          <w:szCs w:val="20"/>
          <w:lang w:val="es-PA"/>
        </w:rPr>
      </w:pPr>
    </w:p>
    <w:p w14:paraId="6E0849FB" w14:textId="77777777" w:rsidR="00C469B4" w:rsidRPr="0022574E" w:rsidRDefault="00C469B4" w:rsidP="00C469B4">
      <w:pPr>
        <w:pStyle w:val="Prrafodelista"/>
        <w:numPr>
          <w:ilvl w:val="0"/>
          <w:numId w:val="1"/>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22574E">
        <w:rPr>
          <w:rFonts w:ascii="Verdana" w:hAnsi="Verdana" w:cs="Verdana"/>
          <w:sz w:val="20"/>
          <w:szCs w:val="20"/>
          <w:lang w:val="es-PA"/>
        </w:rPr>
        <w:t>Adicionalmente, la Corte ha sostenido la improcedencia de utilizar una solicitud de interpretación para someter cuestiones de hecho y de derecho que ya fueron planteadas en su oportunidad procesal y sobre las cuales la Corte ya adoptó una decisión</w:t>
      </w:r>
      <w:r w:rsidRPr="0028163D">
        <w:rPr>
          <w:rStyle w:val="Refdenotaalpie"/>
          <w:rFonts w:cs="Verdana"/>
          <w:sz w:val="20"/>
          <w:szCs w:val="20"/>
          <w:lang w:val="es-PA"/>
        </w:rPr>
        <w:footnoteReference w:id="3"/>
      </w:r>
      <w:r w:rsidRPr="0022574E">
        <w:rPr>
          <w:rFonts w:ascii="Verdana" w:hAnsi="Verdana" w:cs="Verdana"/>
          <w:sz w:val="20"/>
          <w:szCs w:val="20"/>
          <w:lang w:val="es-PA"/>
        </w:rPr>
        <w:t xml:space="preserve">, así como para pretender que la Corte valore nuevamente cuestiones que ya han sido resueltas por ésta en </w:t>
      </w:r>
      <w:r w:rsidRPr="0022574E">
        <w:rPr>
          <w:rFonts w:ascii="Verdana" w:hAnsi="Verdana" w:cs="Verdana"/>
          <w:sz w:val="20"/>
          <w:szCs w:val="20"/>
          <w:lang w:val="es-PA"/>
        </w:rPr>
        <w:lastRenderedPageBreak/>
        <w:t>su sentencia</w:t>
      </w:r>
      <w:r w:rsidRPr="0028163D">
        <w:rPr>
          <w:rStyle w:val="Refdenotaalpie"/>
          <w:rFonts w:cs="Verdana"/>
          <w:sz w:val="20"/>
          <w:szCs w:val="20"/>
          <w:lang w:val="es-PA"/>
        </w:rPr>
        <w:footnoteReference w:id="4"/>
      </w:r>
      <w:r w:rsidRPr="0022574E">
        <w:rPr>
          <w:rFonts w:ascii="Verdana" w:hAnsi="Verdana" w:cs="Verdana"/>
          <w:sz w:val="20"/>
          <w:szCs w:val="20"/>
          <w:lang w:val="es-PA"/>
        </w:rPr>
        <w:t>. De igual manera, por esta vía tampoco se puede intentar que se amplíe el alcance de una medida de reparación ordenada oportunamente</w:t>
      </w:r>
      <w:r w:rsidRPr="0028163D">
        <w:rPr>
          <w:rStyle w:val="Refdenotaalpie"/>
          <w:rFonts w:cs="Verdana"/>
          <w:sz w:val="20"/>
          <w:szCs w:val="20"/>
          <w:lang w:val="es-PA"/>
        </w:rPr>
        <w:footnoteReference w:id="5"/>
      </w:r>
      <w:r w:rsidR="003F693C">
        <w:rPr>
          <w:rFonts w:ascii="Verdana" w:hAnsi="Verdana" w:cs="Verdana"/>
          <w:sz w:val="20"/>
          <w:szCs w:val="20"/>
          <w:lang w:val="es-PA"/>
        </w:rPr>
        <w:t>.</w:t>
      </w:r>
    </w:p>
    <w:p w14:paraId="4F0B2396" w14:textId="77777777" w:rsidR="00C469B4" w:rsidRPr="0028163D" w:rsidRDefault="00C469B4" w:rsidP="00C469B4">
      <w:pPr>
        <w:pStyle w:val="Prrafodelista"/>
        <w:autoSpaceDE w:val="0"/>
        <w:autoSpaceDN w:val="0"/>
        <w:adjustRightInd w:val="0"/>
        <w:spacing w:after="0" w:line="240" w:lineRule="auto"/>
        <w:ind w:left="0"/>
        <w:contextualSpacing w:val="0"/>
        <w:jc w:val="both"/>
        <w:rPr>
          <w:rFonts w:ascii="Verdana" w:hAnsi="Verdana" w:cs="Verdana"/>
          <w:sz w:val="20"/>
          <w:szCs w:val="20"/>
          <w:lang w:val="es-PA"/>
        </w:rPr>
      </w:pPr>
    </w:p>
    <w:p w14:paraId="7960FFA4" w14:textId="77777777" w:rsidR="00C469B4" w:rsidRDefault="00C469B4" w:rsidP="00C469B4">
      <w:pPr>
        <w:numPr>
          <w:ilvl w:val="0"/>
          <w:numId w:val="1"/>
        </w:numPr>
        <w:tabs>
          <w:tab w:val="clear" w:pos="1247"/>
        </w:tabs>
        <w:autoSpaceDE w:val="0"/>
        <w:autoSpaceDN w:val="0"/>
        <w:adjustRightInd w:val="0"/>
        <w:spacing w:after="0" w:line="240" w:lineRule="auto"/>
        <w:jc w:val="both"/>
        <w:rPr>
          <w:rFonts w:ascii="Verdana" w:hAnsi="Verdana" w:cs="Verdana"/>
          <w:sz w:val="20"/>
          <w:szCs w:val="20"/>
          <w:lang w:val="es-PA"/>
        </w:rPr>
      </w:pPr>
      <w:r w:rsidRPr="00186DA5">
        <w:rPr>
          <w:rFonts w:ascii="Verdana" w:hAnsi="Verdana" w:cs="Verdana"/>
          <w:sz w:val="20"/>
          <w:szCs w:val="20"/>
          <w:lang w:val="es-PA"/>
        </w:rPr>
        <w:t>Bajo este entendido,</w:t>
      </w:r>
      <w:r w:rsidR="00FA1398">
        <w:rPr>
          <w:rFonts w:ascii="Verdana" w:hAnsi="Verdana" w:cs="Verdana"/>
          <w:sz w:val="20"/>
          <w:szCs w:val="20"/>
          <w:lang w:val="es-PA"/>
        </w:rPr>
        <w:t xml:space="preserve"> y</w:t>
      </w:r>
      <w:r w:rsidR="00952B7B">
        <w:rPr>
          <w:rFonts w:ascii="Verdana" w:hAnsi="Verdana" w:cs="Verdana"/>
          <w:sz w:val="20"/>
          <w:szCs w:val="20"/>
          <w:lang w:val="es-PA"/>
        </w:rPr>
        <w:t xml:space="preserve"> en atención al contenido de la solicitud</w:t>
      </w:r>
      <w:r w:rsidR="00FA1398">
        <w:rPr>
          <w:rFonts w:ascii="Verdana" w:hAnsi="Verdana" w:cs="Verdana"/>
          <w:sz w:val="20"/>
          <w:szCs w:val="20"/>
          <w:lang w:val="es-PA"/>
        </w:rPr>
        <w:t>,</w:t>
      </w:r>
      <w:r w:rsidR="00B023F8">
        <w:rPr>
          <w:rFonts w:ascii="Verdana" w:hAnsi="Verdana" w:cs="Verdana"/>
          <w:sz w:val="20"/>
          <w:szCs w:val="20"/>
          <w:lang w:val="es-PA"/>
        </w:rPr>
        <w:t xml:space="preserve"> la Corte examinará la cuestión</w:t>
      </w:r>
      <w:r w:rsidRPr="00186DA5">
        <w:rPr>
          <w:rFonts w:ascii="Verdana" w:hAnsi="Verdana" w:cs="Verdana"/>
          <w:sz w:val="20"/>
          <w:szCs w:val="20"/>
          <w:lang w:val="es-PA"/>
        </w:rPr>
        <w:t xml:space="preserve"> planteadas por </w:t>
      </w:r>
      <w:r w:rsidR="003F693C">
        <w:rPr>
          <w:rFonts w:ascii="Verdana" w:hAnsi="Verdana" w:cs="Verdana"/>
          <w:sz w:val="20"/>
          <w:szCs w:val="20"/>
          <w:lang w:val="es-PA"/>
        </w:rPr>
        <w:t>los representantes</w:t>
      </w:r>
      <w:r w:rsidRPr="005E0025">
        <w:rPr>
          <w:rFonts w:ascii="Verdana" w:hAnsi="Verdana" w:cs="Verdana"/>
          <w:sz w:val="20"/>
          <w:szCs w:val="20"/>
          <w:lang w:val="es-PA"/>
        </w:rPr>
        <w:t>.</w:t>
      </w:r>
    </w:p>
    <w:p w14:paraId="193C21BA" w14:textId="77777777" w:rsidR="00577097" w:rsidRPr="00BE133F" w:rsidRDefault="00577097" w:rsidP="00577097">
      <w:pPr>
        <w:tabs>
          <w:tab w:val="left" w:pos="567"/>
        </w:tabs>
        <w:spacing w:after="0" w:line="240" w:lineRule="auto"/>
        <w:jc w:val="both"/>
        <w:rPr>
          <w:rFonts w:ascii="Verdana" w:eastAsia="Times" w:hAnsi="Verdana"/>
          <w:sz w:val="20"/>
          <w:szCs w:val="20"/>
          <w:lang w:val="es-ES_tradnl"/>
        </w:rPr>
      </w:pPr>
    </w:p>
    <w:p w14:paraId="32E6ACD2" w14:textId="77777777" w:rsidR="0089460F" w:rsidRPr="0089460F" w:rsidRDefault="003F693C" w:rsidP="0089460F">
      <w:pPr>
        <w:pStyle w:val="Prrafodelista"/>
        <w:numPr>
          <w:ilvl w:val="0"/>
          <w:numId w:val="3"/>
        </w:numPr>
        <w:tabs>
          <w:tab w:val="left" w:pos="567"/>
        </w:tabs>
        <w:spacing w:after="0" w:line="240" w:lineRule="auto"/>
        <w:jc w:val="both"/>
        <w:rPr>
          <w:rFonts w:ascii="Verdana" w:eastAsia="Times" w:hAnsi="Verdana"/>
          <w:b/>
          <w:i/>
          <w:sz w:val="20"/>
          <w:szCs w:val="20"/>
        </w:rPr>
      </w:pPr>
      <w:r>
        <w:rPr>
          <w:rFonts w:ascii="Verdana" w:eastAsia="Times" w:hAnsi="Verdana"/>
          <w:b/>
          <w:i/>
          <w:sz w:val="20"/>
          <w:szCs w:val="20"/>
        </w:rPr>
        <w:t>Determinación de la afectación de los familiares de las víctimas en los Anexos 2 y 3 de la Sentencia</w:t>
      </w:r>
      <w:r w:rsidR="00EB2EE4">
        <w:rPr>
          <w:rFonts w:ascii="Verdana" w:eastAsia="Times" w:hAnsi="Verdana"/>
          <w:b/>
          <w:i/>
          <w:sz w:val="20"/>
          <w:szCs w:val="20"/>
        </w:rPr>
        <w:t xml:space="preserve"> </w:t>
      </w:r>
    </w:p>
    <w:p w14:paraId="5680BC5E" w14:textId="77777777" w:rsidR="00EB2EE4" w:rsidRPr="00EB2EE4" w:rsidRDefault="00EB2EE4" w:rsidP="0089460F">
      <w:pPr>
        <w:tabs>
          <w:tab w:val="left" w:pos="567"/>
        </w:tabs>
        <w:spacing w:after="0" w:line="240" w:lineRule="auto"/>
        <w:jc w:val="both"/>
        <w:rPr>
          <w:rFonts w:ascii="Verdana" w:eastAsia="Times" w:hAnsi="Verdana"/>
          <w:sz w:val="20"/>
          <w:szCs w:val="20"/>
        </w:rPr>
      </w:pPr>
    </w:p>
    <w:p w14:paraId="23C75850" w14:textId="77777777" w:rsidR="00064C1E" w:rsidRPr="00BE133F" w:rsidRDefault="00064C1E" w:rsidP="007274AC">
      <w:pPr>
        <w:pStyle w:val="Ttulo1"/>
      </w:pPr>
      <w:r w:rsidRPr="00BE133F">
        <w:t xml:space="preserve">A.1 </w:t>
      </w:r>
      <w:r w:rsidR="0089460F">
        <w:t>Argumentos de las partes</w:t>
      </w:r>
      <w:r w:rsidR="007274AC">
        <w:t xml:space="preserve"> y de la Comisión</w:t>
      </w:r>
    </w:p>
    <w:p w14:paraId="3193B9B3" w14:textId="77777777" w:rsidR="00577097" w:rsidRPr="00BE133F" w:rsidRDefault="00577097" w:rsidP="00577097">
      <w:pPr>
        <w:tabs>
          <w:tab w:val="left" w:pos="567"/>
        </w:tabs>
        <w:spacing w:after="0" w:line="240" w:lineRule="auto"/>
        <w:jc w:val="both"/>
        <w:rPr>
          <w:rFonts w:ascii="Verdana" w:eastAsia="Times" w:hAnsi="Verdana"/>
          <w:sz w:val="20"/>
          <w:szCs w:val="20"/>
        </w:rPr>
      </w:pPr>
    </w:p>
    <w:p w14:paraId="0B47CA31" w14:textId="77777777" w:rsidR="00B46EE5" w:rsidRPr="00443811" w:rsidRDefault="003F693C" w:rsidP="00DC4BC0">
      <w:pPr>
        <w:numPr>
          <w:ilvl w:val="0"/>
          <w:numId w:val="1"/>
        </w:numPr>
        <w:tabs>
          <w:tab w:val="clear" w:pos="1247"/>
        </w:tabs>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Los </w:t>
      </w:r>
      <w:r w:rsidR="002419B2">
        <w:rPr>
          <w:rFonts w:ascii="Verdana" w:hAnsi="Verdana"/>
          <w:b/>
          <w:i/>
          <w:sz w:val="20"/>
          <w:szCs w:val="20"/>
        </w:rPr>
        <w:t xml:space="preserve">representantes </w:t>
      </w:r>
      <w:r w:rsidR="002419B2">
        <w:rPr>
          <w:rFonts w:ascii="Verdana" w:hAnsi="Verdana"/>
          <w:sz w:val="20"/>
          <w:szCs w:val="20"/>
        </w:rPr>
        <w:t xml:space="preserve">observaron que </w:t>
      </w:r>
      <w:r w:rsidR="00443811">
        <w:rPr>
          <w:rFonts w:ascii="Verdana" w:hAnsi="Verdana"/>
          <w:sz w:val="20"/>
          <w:szCs w:val="20"/>
        </w:rPr>
        <w:t>“pese a que la Honorable Corte determinó la afectación de los familiares de las víctimas a partir de lo señalado en los hechos probados establecidos en el Anexo 3 y con base en el mismo acervo probatorio, algunos de los familiares que fueron incluidos como tales en dicho anexo, y de los cuales se desprende alguna afectación a su integrida</w:t>
      </w:r>
      <w:r w:rsidR="00E956A8">
        <w:rPr>
          <w:rFonts w:ascii="Verdana" w:hAnsi="Verdana"/>
          <w:sz w:val="20"/>
          <w:szCs w:val="20"/>
        </w:rPr>
        <w:t>d, fueron excluidos del Anexo 2</w:t>
      </w:r>
      <w:r w:rsidR="000E40A3" w:rsidRPr="000E40A3">
        <w:rPr>
          <w:rFonts w:ascii="Verdana" w:hAnsi="Verdana"/>
          <w:sz w:val="20"/>
          <w:szCs w:val="20"/>
        </w:rPr>
        <w:t>”</w:t>
      </w:r>
      <w:r w:rsidR="00443811">
        <w:rPr>
          <w:rFonts w:ascii="Verdana" w:hAnsi="Verdana"/>
          <w:sz w:val="20"/>
          <w:szCs w:val="20"/>
        </w:rPr>
        <w:t xml:space="preserve">. En atención a ello, solicitaron que la Corte “aclare las incongruencias que surgen a partir del análisis de los </w:t>
      </w:r>
      <w:r w:rsidR="009821FA">
        <w:rPr>
          <w:rFonts w:ascii="Verdana" w:hAnsi="Verdana"/>
          <w:sz w:val="20"/>
          <w:szCs w:val="20"/>
        </w:rPr>
        <w:t>A</w:t>
      </w:r>
      <w:r w:rsidR="00443811">
        <w:rPr>
          <w:rFonts w:ascii="Verdana" w:hAnsi="Verdana"/>
          <w:sz w:val="20"/>
          <w:szCs w:val="20"/>
        </w:rPr>
        <w:t xml:space="preserve">nexos 2 y 3 de la </w:t>
      </w:r>
      <w:r w:rsidR="009821FA">
        <w:rPr>
          <w:rFonts w:ascii="Verdana" w:hAnsi="Verdana"/>
          <w:sz w:val="20"/>
          <w:szCs w:val="20"/>
        </w:rPr>
        <w:t>[S]</w:t>
      </w:r>
      <w:proofErr w:type="spellStart"/>
      <w:r w:rsidR="007B592C">
        <w:rPr>
          <w:rFonts w:ascii="Verdana" w:hAnsi="Verdana"/>
          <w:sz w:val="20"/>
          <w:szCs w:val="20"/>
        </w:rPr>
        <w:t>entencia</w:t>
      </w:r>
      <w:proofErr w:type="spellEnd"/>
      <w:r w:rsidR="007B592C">
        <w:rPr>
          <w:rFonts w:ascii="Verdana" w:hAnsi="Verdana"/>
          <w:sz w:val="20"/>
          <w:szCs w:val="20"/>
        </w:rPr>
        <w:t>, en relación [con]</w:t>
      </w:r>
      <w:r w:rsidR="00443811">
        <w:rPr>
          <w:rFonts w:ascii="Verdana" w:hAnsi="Verdana"/>
          <w:sz w:val="20"/>
          <w:szCs w:val="20"/>
        </w:rPr>
        <w:t xml:space="preserve"> la determinación de los familiares de las víctimas que sufrieron afectaciones. [Consideraron que lo anterior] tiene una incidencia direct</w:t>
      </w:r>
      <w:r w:rsidR="007B592C">
        <w:rPr>
          <w:rFonts w:ascii="Verdana" w:hAnsi="Verdana"/>
          <w:sz w:val="20"/>
          <w:szCs w:val="20"/>
        </w:rPr>
        <w:t>a en la parte resolutiva de la [S]</w:t>
      </w:r>
      <w:proofErr w:type="spellStart"/>
      <w:r w:rsidR="00443811">
        <w:rPr>
          <w:rFonts w:ascii="Verdana" w:hAnsi="Verdana"/>
          <w:sz w:val="20"/>
          <w:szCs w:val="20"/>
        </w:rPr>
        <w:t>entencia</w:t>
      </w:r>
      <w:proofErr w:type="spellEnd"/>
      <w:r w:rsidR="00443811">
        <w:rPr>
          <w:rFonts w:ascii="Verdana" w:hAnsi="Verdana"/>
          <w:sz w:val="20"/>
          <w:szCs w:val="20"/>
        </w:rPr>
        <w:t>, pues guarda relación con la determinación de los beneficiarios de reparaciones or</w:t>
      </w:r>
      <w:r w:rsidR="003820F8">
        <w:rPr>
          <w:rFonts w:ascii="Verdana" w:hAnsi="Verdana"/>
          <w:sz w:val="20"/>
          <w:szCs w:val="20"/>
        </w:rPr>
        <w:t>denadas por este Alto Tribunal”</w:t>
      </w:r>
      <w:r w:rsidR="00443811" w:rsidRPr="00443811">
        <w:rPr>
          <w:rFonts w:ascii="Verdana" w:hAnsi="Verdana"/>
          <w:sz w:val="20"/>
          <w:szCs w:val="20"/>
        </w:rPr>
        <w:t>.</w:t>
      </w:r>
    </w:p>
    <w:p w14:paraId="5C247C30" w14:textId="77777777" w:rsidR="00434957" w:rsidRPr="00BE133F" w:rsidRDefault="00434957" w:rsidP="00434957">
      <w:pPr>
        <w:tabs>
          <w:tab w:val="left" w:pos="567"/>
        </w:tabs>
        <w:autoSpaceDE w:val="0"/>
        <w:autoSpaceDN w:val="0"/>
        <w:adjustRightInd w:val="0"/>
        <w:spacing w:after="0" w:line="240" w:lineRule="auto"/>
        <w:jc w:val="both"/>
        <w:rPr>
          <w:rFonts w:ascii="Verdana" w:hAnsi="Verdana"/>
          <w:sz w:val="20"/>
          <w:szCs w:val="20"/>
        </w:rPr>
      </w:pPr>
    </w:p>
    <w:p w14:paraId="7EBD14BA" w14:textId="77777777" w:rsidR="00E15834" w:rsidRPr="00F34787" w:rsidRDefault="005939E6" w:rsidP="00F34787">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sz w:val="20"/>
          <w:szCs w:val="20"/>
        </w:rPr>
        <w:t>L</w:t>
      </w:r>
      <w:r w:rsidR="00284014" w:rsidRPr="00BE133F">
        <w:rPr>
          <w:rFonts w:ascii="Verdana" w:hAnsi="Verdana"/>
          <w:sz w:val="20"/>
          <w:szCs w:val="20"/>
        </w:rPr>
        <w:t xml:space="preserve">a </w:t>
      </w:r>
      <w:r w:rsidR="00577097" w:rsidRPr="00BE133F">
        <w:rPr>
          <w:rFonts w:ascii="Verdana" w:hAnsi="Verdana"/>
          <w:b/>
          <w:i/>
          <w:sz w:val="20"/>
          <w:szCs w:val="20"/>
        </w:rPr>
        <w:t>Comisión</w:t>
      </w:r>
      <w:r w:rsidR="00577097" w:rsidRPr="00BE133F">
        <w:rPr>
          <w:rFonts w:ascii="Verdana" w:hAnsi="Verdana"/>
          <w:sz w:val="20"/>
          <w:szCs w:val="20"/>
        </w:rPr>
        <w:t xml:space="preserve"> </w:t>
      </w:r>
      <w:r w:rsidR="00443811">
        <w:rPr>
          <w:rFonts w:ascii="Verdana" w:hAnsi="Verdana"/>
          <w:sz w:val="20"/>
          <w:szCs w:val="20"/>
        </w:rPr>
        <w:t xml:space="preserve">tomó nota que los representantes hicieron referencia a que varios de los familiares excluidos del Anexo 2 se encuentran en la misma prueba documental que los familiares que sí se encuentran en dicho anexo. En vista de ello, la Comisión consideró que </w:t>
      </w:r>
      <w:r w:rsidR="00F34787">
        <w:rPr>
          <w:rFonts w:ascii="Verdana" w:hAnsi="Verdana"/>
          <w:sz w:val="20"/>
          <w:szCs w:val="20"/>
        </w:rPr>
        <w:t xml:space="preserve">sería relevante que la Corte se pronunciara sobre la </w:t>
      </w:r>
      <w:r w:rsidR="002F5D6A">
        <w:rPr>
          <w:rFonts w:ascii="Verdana" w:hAnsi="Verdana"/>
          <w:sz w:val="20"/>
          <w:szCs w:val="20"/>
        </w:rPr>
        <w:t>solicitud de los representantes</w:t>
      </w:r>
      <w:r w:rsidR="00F34787">
        <w:rPr>
          <w:rFonts w:ascii="Verdana" w:hAnsi="Verdana"/>
          <w:sz w:val="20"/>
          <w:szCs w:val="20"/>
        </w:rPr>
        <w:t xml:space="preserve">. El </w:t>
      </w:r>
      <w:r w:rsidR="00F34787" w:rsidRPr="00F34787">
        <w:rPr>
          <w:rFonts w:ascii="Verdana" w:hAnsi="Verdana"/>
          <w:b/>
          <w:i/>
          <w:sz w:val="20"/>
          <w:szCs w:val="20"/>
        </w:rPr>
        <w:t>Estado</w:t>
      </w:r>
      <w:r w:rsidR="00F34787">
        <w:rPr>
          <w:rFonts w:ascii="Verdana" w:hAnsi="Verdana"/>
          <w:sz w:val="20"/>
          <w:szCs w:val="20"/>
        </w:rPr>
        <w:t xml:space="preserve"> no formuló observaciones a la solicitud de los representantes.</w:t>
      </w:r>
    </w:p>
    <w:p w14:paraId="36D114DD" w14:textId="77777777" w:rsidR="0089460F" w:rsidRPr="00BE133F" w:rsidRDefault="0089460F" w:rsidP="0089460F">
      <w:pPr>
        <w:tabs>
          <w:tab w:val="left" w:pos="567"/>
        </w:tabs>
        <w:autoSpaceDE w:val="0"/>
        <w:autoSpaceDN w:val="0"/>
        <w:adjustRightInd w:val="0"/>
        <w:spacing w:after="0" w:line="240" w:lineRule="auto"/>
        <w:jc w:val="both"/>
        <w:rPr>
          <w:rFonts w:ascii="Verdana" w:hAnsi="Verdana"/>
          <w:sz w:val="20"/>
          <w:szCs w:val="20"/>
        </w:rPr>
      </w:pPr>
    </w:p>
    <w:p w14:paraId="0E1A2E57" w14:textId="77777777" w:rsidR="0089460F" w:rsidRDefault="0089460F" w:rsidP="001D14A6">
      <w:pPr>
        <w:tabs>
          <w:tab w:val="left" w:pos="567"/>
        </w:tabs>
        <w:spacing w:after="0" w:line="240" w:lineRule="auto"/>
        <w:ind w:left="720"/>
        <w:jc w:val="both"/>
        <w:rPr>
          <w:rFonts w:ascii="Verdana" w:eastAsia="Times" w:hAnsi="Verdana"/>
          <w:i/>
          <w:sz w:val="20"/>
          <w:szCs w:val="20"/>
        </w:rPr>
      </w:pPr>
      <w:r w:rsidRPr="009C3B55">
        <w:rPr>
          <w:rFonts w:ascii="Verdana" w:eastAsia="Times" w:hAnsi="Verdana"/>
          <w:i/>
          <w:sz w:val="20"/>
          <w:szCs w:val="20"/>
        </w:rPr>
        <w:t>A.2 Consideraciones de la Corte</w:t>
      </w:r>
    </w:p>
    <w:p w14:paraId="1D708118" w14:textId="77777777" w:rsidR="008E1910" w:rsidRDefault="008E1910" w:rsidP="008E1910">
      <w:pPr>
        <w:tabs>
          <w:tab w:val="left" w:pos="567"/>
        </w:tabs>
        <w:spacing w:after="0" w:line="240" w:lineRule="auto"/>
        <w:jc w:val="both"/>
        <w:rPr>
          <w:rFonts w:ascii="Verdana" w:eastAsia="Times" w:hAnsi="Verdana"/>
          <w:i/>
          <w:sz w:val="20"/>
          <w:szCs w:val="20"/>
        </w:rPr>
      </w:pPr>
    </w:p>
    <w:p w14:paraId="0015461F" w14:textId="77777777" w:rsidR="008E1910" w:rsidRPr="005C66CD" w:rsidRDefault="008E1910" w:rsidP="008E1910">
      <w:pPr>
        <w:pStyle w:val="Prrafodelista"/>
        <w:numPr>
          <w:ilvl w:val="0"/>
          <w:numId w:val="1"/>
        </w:numPr>
        <w:tabs>
          <w:tab w:val="left" w:pos="567"/>
        </w:tabs>
        <w:spacing w:after="0" w:line="240" w:lineRule="auto"/>
        <w:jc w:val="both"/>
        <w:rPr>
          <w:rFonts w:ascii="Verdana" w:eastAsia="Times" w:hAnsi="Verdana"/>
          <w:sz w:val="20"/>
          <w:szCs w:val="20"/>
        </w:rPr>
      </w:pPr>
      <w:r w:rsidRPr="005C66CD">
        <w:rPr>
          <w:rFonts w:ascii="Verdana" w:eastAsia="Times" w:hAnsi="Verdana"/>
          <w:sz w:val="20"/>
          <w:szCs w:val="20"/>
        </w:rPr>
        <w:t xml:space="preserve">La Corte </w:t>
      </w:r>
      <w:r w:rsidR="00FA1398" w:rsidRPr="005C66CD">
        <w:rPr>
          <w:rFonts w:ascii="Verdana" w:eastAsia="Times" w:hAnsi="Verdana"/>
          <w:sz w:val="20"/>
          <w:szCs w:val="20"/>
        </w:rPr>
        <w:t>reitera</w:t>
      </w:r>
      <w:r w:rsidRPr="005C66CD">
        <w:rPr>
          <w:rFonts w:ascii="Verdana" w:eastAsia="Times" w:hAnsi="Verdana"/>
          <w:sz w:val="20"/>
          <w:szCs w:val="20"/>
        </w:rPr>
        <w:t xml:space="preserve"> lo establecido en </w:t>
      </w:r>
      <w:r w:rsidR="00AB53D8" w:rsidRPr="005C66CD">
        <w:rPr>
          <w:rFonts w:ascii="Verdana" w:eastAsia="Times" w:hAnsi="Verdana"/>
          <w:sz w:val="20"/>
          <w:szCs w:val="20"/>
        </w:rPr>
        <w:t xml:space="preserve">el </w:t>
      </w:r>
      <w:r w:rsidRPr="005C66CD">
        <w:rPr>
          <w:rFonts w:ascii="Verdana" w:eastAsia="Times" w:hAnsi="Verdana"/>
          <w:sz w:val="20"/>
          <w:szCs w:val="20"/>
        </w:rPr>
        <w:t xml:space="preserve">párrafo </w:t>
      </w:r>
      <w:r w:rsidR="005C66CD" w:rsidRPr="005C66CD">
        <w:rPr>
          <w:rFonts w:ascii="Verdana" w:eastAsia="Times" w:hAnsi="Verdana"/>
          <w:sz w:val="20"/>
          <w:szCs w:val="20"/>
        </w:rPr>
        <w:t>55</w:t>
      </w:r>
      <w:r w:rsidR="00BF1334" w:rsidRPr="005C66CD">
        <w:rPr>
          <w:rFonts w:ascii="Verdana" w:eastAsia="Times" w:hAnsi="Verdana"/>
          <w:sz w:val="20"/>
          <w:szCs w:val="20"/>
        </w:rPr>
        <w:t xml:space="preserve"> de la Sentencia</w:t>
      </w:r>
      <w:r w:rsidRPr="005C66CD">
        <w:rPr>
          <w:rFonts w:ascii="Verdana" w:eastAsia="Times" w:hAnsi="Verdana"/>
          <w:sz w:val="20"/>
          <w:szCs w:val="20"/>
        </w:rPr>
        <w:t xml:space="preserve">: </w:t>
      </w:r>
    </w:p>
    <w:p w14:paraId="4B2FC2EA" w14:textId="77777777" w:rsidR="008E1910" w:rsidRPr="00F34787" w:rsidRDefault="008E1910" w:rsidP="008E1910">
      <w:pPr>
        <w:tabs>
          <w:tab w:val="left" w:pos="567"/>
        </w:tabs>
        <w:spacing w:after="0" w:line="240" w:lineRule="auto"/>
        <w:jc w:val="both"/>
        <w:rPr>
          <w:rFonts w:ascii="Verdana" w:eastAsia="Times" w:hAnsi="Verdana"/>
          <w:sz w:val="18"/>
          <w:szCs w:val="18"/>
          <w:highlight w:val="yellow"/>
        </w:rPr>
      </w:pPr>
    </w:p>
    <w:p w14:paraId="025578EF" w14:textId="4800F499" w:rsidR="005C66CD" w:rsidRPr="005C66CD" w:rsidRDefault="005C66CD" w:rsidP="005C66CD">
      <w:pPr>
        <w:pStyle w:val="Estilo1"/>
        <w:tabs>
          <w:tab w:val="left" w:pos="709"/>
          <w:tab w:val="left" w:pos="1134"/>
        </w:tabs>
        <w:spacing w:after="0"/>
        <w:ind w:left="709" w:right="968" w:firstLine="0"/>
        <w:rPr>
          <w:i w:val="0"/>
          <w:sz w:val="18"/>
          <w:szCs w:val="18"/>
        </w:rPr>
      </w:pPr>
      <w:r w:rsidRPr="005C66CD">
        <w:rPr>
          <w:i w:val="0"/>
          <w:sz w:val="18"/>
          <w:szCs w:val="18"/>
          <w:lang w:val="es-CR"/>
        </w:rPr>
        <w:t xml:space="preserve">55. </w:t>
      </w:r>
      <w:r w:rsidRPr="005C66CD">
        <w:rPr>
          <w:i w:val="0"/>
          <w:sz w:val="18"/>
          <w:szCs w:val="18"/>
        </w:rPr>
        <w:t xml:space="preserve">La Corte recuerda que el presente caso se refiere a 49 presuntas víctimas que viven con el VIH en Guatemala y sus familiares, las cuales están divididas en tres grupos: aquellas que ya fallecieron, aquellas que siguen con vida y sus familiares. Debido a la importancia que tiene la evaluación de las circunstancias específicas de cada una de las 49 presuntas víctimas para el análisis del tratamiento médico otorgado por el Estado con posterioridad al año 2004, el Anexo 3 de la presente Sentencia contiene una relación de los hechos probados respecto a cada una de ellas y de sus familiares. </w:t>
      </w:r>
    </w:p>
    <w:p w14:paraId="240D157C" w14:textId="77777777" w:rsidR="008E1910" w:rsidRPr="00F34787" w:rsidRDefault="008E1910" w:rsidP="008E1910">
      <w:pPr>
        <w:tabs>
          <w:tab w:val="left" w:pos="720"/>
        </w:tabs>
        <w:spacing w:after="0" w:line="240" w:lineRule="auto"/>
        <w:ind w:left="720" w:right="968"/>
        <w:jc w:val="both"/>
        <w:rPr>
          <w:rFonts w:ascii="Verdana" w:hAnsi="Verdana" w:cs="Verdana"/>
          <w:bCs/>
          <w:iCs/>
          <w:noProof/>
          <w:sz w:val="18"/>
          <w:szCs w:val="18"/>
          <w:highlight w:val="yellow"/>
          <w:lang w:val="es-ES_tradnl"/>
        </w:rPr>
      </w:pPr>
    </w:p>
    <w:p w14:paraId="24FDF36B" w14:textId="77777777" w:rsidR="00005FBC" w:rsidRDefault="008E1910" w:rsidP="00CA10AA">
      <w:pPr>
        <w:pStyle w:val="Prrafodelista2"/>
        <w:numPr>
          <w:ilvl w:val="0"/>
          <w:numId w:val="1"/>
        </w:numPr>
        <w:tabs>
          <w:tab w:val="left" w:pos="567"/>
          <w:tab w:val="left" w:pos="720"/>
          <w:tab w:val="num" w:pos="15467"/>
        </w:tabs>
        <w:contextualSpacing/>
        <w:jc w:val="both"/>
      </w:pPr>
      <w:r w:rsidRPr="00574A9A">
        <w:t>L</w:t>
      </w:r>
      <w:r w:rsidR="00CA10AA" w:rsidRPr="00574A9A">
        <w:t xml:space="preserve">a Corte recuerda que </w:t>
      </w:r>
      <w:r w:rsidR="00AB53D8" w:rsidRPr="00574A9A">
        <w:t>el párrafo</w:t>
      </w:r>
      <w:r w:rsidR="00CA10AA" w:rsidRPr="00574A9A">
        <w:t xml:space="preserve"> </w:t>
      </w:r>
      <w:r w:rsidR="005C66CD" w:rsidRPr="00574A9A">
        <w:t>55</w:t>
      </w:r>
      <w:r w:rsidR="00CA10AA" w:rsidRPr="00574A9A">
        <w:t xml:space="preserve"> </w:t>
      </w:r>
      <w:r w:rsidR="00AB53D8" w:rsidRPr="00574A9A">
        <w:t>de la Sentencia</w:t>
      </w:r>
      <w:r w:rsidR="005C66CD" w:rsidRPr="00574A9A">
        <w:t xml:space="preserve"> y</w:t>
      </w:r>
      <w:r w:rsidR="00574A9A">
        <w:t xml:space="preserve"> el Anexo 3 de la misma</w:t>
      </w:r>
      <w:r w:rsidR="00AB53D8" w:rsidRPr="00574A9A">
        <w:t xml:space="preserve"> forma</w:t>
      </w:r>
      <w:r w:rsidR="005C66CD" w:rsidRPr="00574A9A">
        <w:t>n</w:t>
      </w:r>
      <w:r w:rsidR="00CA10AA" w:rsidRPr="00574A9A">
        <w:t xml:space="preserve"> parte</w:t>
      </w:r>
      <w:r w:rsidR="00AB53D8" w:rsidRPr="00574A9A">
        <w:t xml:space="preserve"> de</w:t>
      </w:r>
      <w:r w:rsidR="00CA10AA" w:rsidRPr="00574A9A">
        <w:t xml:space="preserve"> las consideraciones </w:t>
      </w:r>
      <w:r w:rsidR="005C66CD" w:rsidRPr="00574A9A">
        <w:t>del Tribunal</w:t>
      </w:r>
      <w:r w:rsidR="00CA10AA" w:rsidRPr="00574A9A">
        <w:t xml:space="preserve"> en </w:t>
      </w:r>
      <w:r w:rsidR="00574A9A">
        <w:t>el capítulo</w:t>
      </w:r>
      <w:r w:rsidR="00CA10AA" w:rsidRPr="00574A9A">
        <w:t xml:space="preserve"> de </w:t>
      </w:r>
      <w:r w:rsidR="00B023F8">
        <w:t>“H</w:t>
      </w:r>
      <w:r w:rsidR="005C66CD" w:rsidRPr="00574A9A">
        <w:t>echos</w:t>
      </w:r>
      <w:r w:rsidR="00B023F8">
        <w:t>”</w:t>
      </w:r>
      <w:r w:rsidR="00574A9A">
        <w:t>, por lo que las afirmaciones establecidas en dicho capítulo no constituyen valoraciones jurídicas a la luz de las obligaciones</w:t>
      </w:r>
      <w:r w:rsidR="00B023F8">
        <w:t xml:space="preserve"> del Estado</w:t>
      </w:r>
      <w:r w:rsidR="00574A9A">
        <w:t xml:space="preserve"> previstas en la Convención Americana. Es en el cap</w:t>
      </w:r>
      <w:r w:rsidR="00B023F8">
        <w:t>ítulo de “F</w:t>
      </w:r>
      <w:r w:rsidR="00574A9A">
        <w:t>ondo</w:t>
      </w:r>
      <w:r w:rsidR="00B023F8">
        <w:t>”</w:t>
      </w:r>
      <w:r w:rsidR="00574A9A">
        <w:t xml:space="preserve"> de la Sentencia </w:t>
      </w:r>
      <w:r w:rsidR="00574A9A">
        <w:lastRenderedPageBreak/>
        <w:t>donde se analizan los hechos probados a la luz del derecho aplicable en un caso concreto</w:t>
      </w:r>
      <w:r w:rsidR="00005FBC">
        <w:t>,</w:t>
      </w:r>
      <w:r w:rsidR="00F802DA">
        <w:t xml:space="preserve"> y se determina la responsabilidad internacional del Estado</w:t>
      </w:r>
      <w:r w:rsidR="00574A9A">
        <w:t xml:space="preserve">. </w:t>
      </w:r>
      <w:r w:rsidR="00B023F8">
        <w:t xml:space="preserve">En lo que se refiere al derecho a la integridad personal de los familiares de las 49 víctimas del </w:t>
      </w:r>
      <w:r w:rsidR="00B023F8">
        <w:rPr>
          <w:i/>
        </w:rPr>
        <w:t xml:space="preserve">Caso </w:t>
      </w:r>
      <w:proofErr w:type="spellStart"/>
      <w:r w:rsidR="00B023F8">
        <w:rPr>
          <w:i/>
        </w:rPr>
        <w:t>Cuscul</w:t>
      </w:r>
      <w:proofErr w:type="spellEnd"/>
      <w:r w:rsidR="00B023F8">
        <w:rPr>
          <w:i/>
        </w:rPr>
        <w:t xml:space="preserve"> Pivaral y otros</w:t>
      </w:r>
      <w:r w:rsidR="00B023F8">
        <w:t>, l</w:t>
      </w:r>
      <w:r w:rsidR="00574A9A">
        <w:t xml:space="preserve">a Corte realizó </w:t>
      </w:r>
      <w:r w:rsidR="00B023F8">
        <w:t>dicho análisis</w:t>
      </w:r>
      <w:r w:rsidR="00374305">
        <w:t xml:space="preserve"> el Capítulo VIII-3 de la Sentencia. En dicho </w:t>
      </w:r>
      <w:r w:rsidR="00F802DA">
        <w:t>c</w:t>
      </w:r>
      <w:r w:rsidR="00374305">
        <w:t>apítulo</w:t>
      </w:r>
      <w:r w:rsidR="00F802DA">
        <w:t>,</w:t>
      </w:r>
      <w:r w:rsidR="00374305">
        <w:t xml:space="preserve"> </w:t>
      </w:r>
      <w:r w:rsidR="001E6BA7">
        <w:t xml:space="preserve">específicamente </w:t>
      </w:r>
      <w:r w:rsidR="00F802DA">
        <w:t xml:space="preserve">en los párrafos </w:t>
      </w:r>
      <w:r w:rsidR="00005FBC">
        <w:t xml:space="preserve">192 a 196, la Corte </w:t>
      </w:r>
      <w:r w:rsidR="00B023F8">
        <w:t xml:space="preserve">determino </w:t>
      </w:r>
      <w:r w:rsidR="001E6BA7">
        <w:t>si de los</w:t>
      </w:r>
      <w:r w:rsidR="00B023F8">
        <w:t xml:space="preserve"> hechos probados</w:t>
      </w:r>
      <w:r w:rsidR="001E6BA7">
        <w:t>, conforme a lo establecido en el Anexo 3 de la Sentencia,</w:t>
      </w:r>
      <w:r w:rsidR="00B023F8">
        <w:t xml:space="preserve"> </w:t>
      </w:r>
      <w:r w:rsidR="001E6BA7">
        <w:t>relativos a los</w:t>
      </w:r>
      <w:r w:rsidR="00005FBC">
        <w:t xml:space="preserve"> familiares de las</w:t>
      </w:r>
      <w:r w:rsidR="001E6BA7">
        <w:t xml:space="preserve"> 49 víctimas, podía desprenderse la responsabilidad del Estado por violaciones a su integridad personal</w:t>
      </w:r>
      <w:r w:rsidR="00005FBC">
        <w:t>. En ese sentido</w:t>
      </w:r>
      <w:r w:rsidR="001E6BA7">
        <w:t>,</w:t>
      </w:r>
      <w:r w:rsidR="00005FBC">
        <w:t xml:space="preserve"> concluyó lo siguiente: </w:t>
      </w:r>
    </w:p>
    <w:p w14:paraId="3D701149" w14:textId="77777777" w:rsidR="00005FBC" w:rsidRDefault="00005FBC" w:rsidP="00005FBC">
      <w:pPr>
        <w:pStyle w:val="Prrafodelista2"/>
        <w:tabs>
          <w:tab w:val="left" w:pos="567"/>
          <w:tab w:val="left" w:pos="720"/>
          <w:tab w:val="num" w:pos="15467"/>
        </w:tabs>
        <w:ind w:left="0"/>
        <w:contextualSpacing/>
        <w:jc w:val="both"/>
      </w:pPr>
    </w:p>
    <w:p w14:paraId="0F53E6F4" w14:textId="77777777" w:rsidR="00005FBC" w:rsidRPr="00005FBC" w:rsidRDefault="00005FBC" w:rsidP="00005FBC">
      <w:pPr>
        <w:pStyle w:val="Estilo1"/>
        <w:tabs>
          <w:tab w:val="left" w:pos="709"/>
          <w:tab w:val="left" w:pos="1134"/>
        </w:tabs>
        <w:spacing w:after="0"/>
        <w:ind w:left="709" w:right="968" w:firstLine="0"/>
        <w:rPr>
          <w:rFonts w:cs="Times New Roman"/>
          <w:i w:val="0"/>
          <w:sz w:val="18"/>
          <w:szCs w:val="18"/>
        </w:rPr>
      </w:pPr>
      <w:r w:rsidRPr="00005FBC">
        <w:rPr>
          <w:rFonts w:cs="Times New Roman"/>
          <w:i w:val="0"/>
          <w:sz w:val="18"/>
          <w:szCs w:val="18"/>
        </w:rPr>
        <w:t>197. En consecuencia, tomando en consideración las circunstancias del presente caso, y que el Estado no controvirtió los alegatos ni las pruebas presentadas por la Comisión y los representantes respecto a las afectaciones que sufrieron los familiares de las víctimas, la Corte concluye que el Estado es responsable por la violación al artículo 5.1 de la Convención Americana en relación al artículo 1.1 en perjuicio de los familiares de las víctimas mencionadas en el Anexo 2 de la presente Sentencia.</w:t>
      </w:r>
    </w:p>
    <w:p w14:paraId="20CFD26B" w14:textId="77777777" w:rsidR="00CA10AA" w:rsidRPr="00574A9A" w:rsidRDefault="00CA10AA" w:rsidP="00005FBC">
      <w:pPr>
        <w:pStyle w:val="Prrafodelista2"/>
        <w:tabs>
          <w:tab w:val="left" w:pos="567"/>
          <w:tab w:val="left" w:pos="720"/>
          <w:tab w:val="num" w:pos="15467"/>
        </w:tabs>
        <w:ind w:left="0"/>
        <w:contextualSpacing/>
        <w:jc w:val="both"/>
      </w:pPr>
    </w:p>
    <w:p w14:paraId="5FC81A0D" w14:textId="77777777" w:rsidR="00670334" w:rsidRDefault="00005FBC" w:rsidP="00670334">
      <w:pPr>
        <w:pStyle w:val="Prrafodelista2"/>
        <w:numPr>
          <w:ilvl w:val="0"/>
          <w:numId w:val="1"/>
        </w:numPr>
        <w:tabs>
          <w:tab w:val="left" w:pos="567"/>
          <w:tab w:val="left" w:pos="720"/>
          <w:tab w:val="num" w:pos="15467"/>
        </w:tabs>
        <w:contextualSpacing/>
        <w:jc w:val="both"/>
      </w:pPr>
      <w:r w:rsidRPr="00005FBC">
        <w:t xml:space="preserve">De </w:t>
      </w:r>
      <w:r>
        <w:t xml:space="preserve">esta forma, </w:t>
      </w:r>
      <w:r w:rsidR="006A4571">
        <w:t>la Corte encuentra que la Sentencia resulta sufici</w:t>
      </w:r>
      <w:r w:rsidR="001E6BA7">
        <w:t xml:space="preserve">entemente clara respecto a que </w:t>
      </w:r>
      <w:r w:rsidR="009203B0">
        <w:t>el hecho de que se haga referencia a algunos familiares de las víctimas en el Anexo 3 de la Se</w:t>
      </w:r>
      <w:r w:rsidR="009A4736">
        <w:t>ntencia no implica que é</w:t>
      </w:r>
      <w:r w:rsidR="009203B0">
        <w:t>stos deban ser</w:t>
      </w:r>
      <w:r w:rsidR="009A4736">
        <w:t xml:space="preserve"> necesariamente</w:t>
      </w:r>
      <w:r w:rsidR="009203B0">
        <w:t xml:space="preserve"> incluidos en el Anexo 2 de la misma</w:t>
      </w:r>
      <w:r w:rsidR="001E6BA7">
        <w:t>.</w:t>
      </w:r>
      <w:r w:rsidR="009203B0">
        <w:t xml:space="preserve"> La determinación de si los hechos ocurridos a </w:t>
      </w:r>
      <w:r w:rsidR="009A4736">
        <w:t>los</w:t>
      </w:r>
      <w:r w:rsidR="009203B0">
        <w:t xml:space="preserve"> familiar</w:t>
      </w:r>
      <w:r w:rsidR="009A4736">
        <w:t>es</w:t>
      </w:r>
      <w:r w:rsidR="009203B0">
        <w:t xml:space="preserve"> de las víctimas constituyeron violaciones a su integridad personal es un an</w:t>
      </w:r>
      <w:r w:rsidR="009A4736">
        <w:t>álisis valorativo que realizó</w:t>
      </w:r>
      <w:r w:rsidR="009203B0">
        <w:t xml:space="preserve"> la Corte a la luz del artículo 63.1 de la Convención</w:t>
      </w:r>
      <w:r w:rsidR="009A4736">
        <w:t>, y que se refleja en el capítulo VIII-3 de la Sentencia y en consecuencia en el Anexo 2 de la misma</w:t>
      </w:r>
      <w:r w:rsidR="009203B0">
        <w:t>.</w:t>
      </w:r>
      <w:r w:rsidR="001E6BA7">
        <w:t xml:space="preserve"> Por esta razón,</w:t>
      </w:r>
      <w:r w:rsidR="009A4736">
        <w:t xml:space="preserve"> el Tribunal</w:t>
      </w:r>
      <w:r w:rsidR="001E6BA7">
        <w:t xml:space="preserve"> concluye</w:t>
      </w:r>
      <w:r w:rsidR="006A4571">
        <w:t xml:space="preserve"> que la solicitud de interpretación no se encuentra dentro del marco establecido en el artículo 67 de la Convención Americana, toda vez que su propósito es solicitarle a la Corte que valore nuevamente cuestiones que ya fueron resueltas en la Sentencia</w:t>
      </w:r>
      <w:r w:rsidR="000E40A3">
        <w:t>,</w:t>
      </w:r>
      <w:r w:rsidR="006A4571">
        <w:t xml:space="preserve"> de forma tal que se consideren como víctimas familiares que no fueron considerados como tal en </w:t>
      </w:r>
      <w:r w:rsidR="009A4736">
        <w:t>el momento procesal oportuno</w:t>
      </w:r>
      <w:r w:rsidR="006A4571">
        <w:t xml:space="preserve">. El Tribunal recuerda que el propósito de la interpretación debe ser aclarar algún punto impreciso o ambiguo sobre el sentido o alcance de la Sentencia, lo que no es el caso en la </w:t>
      </w:r>
      <w:r w:rsidR="00CE41EF">
        <w:t>presente solicitud. En razón de lo anterior, este Tribunal considera que la solicitud de los representantes es improcedente.</w:t>
      </w:r>
    </w:p>
    <w:p w14:paraId="1A9C53FE" w14:textId="77777777" w:rsidR="006A4571" w:rsidRDefault="006A4571" w:rsidP="006A4571">
      <w:pPr>
        <w:pStyle w:val="Prrafodelista2"/>
        <w:tabs>
          <w:tab w:val="left" w:pos="567"/>
          <w:tab w:val="left" w:pos="720"/>
          <w:tab w:val="num" w:pos="15467"/>
        </w:tabs>
        <w:ind w:left="0"/>
        <w:contextualSpacing/>
        <w:jc w:val="both"/>
      </w:pPr>
    </w:p>
    <w:bookmarkEnd w:id="5"/>
    <w:p w14:paraId="7A4F06FE" w14:textId="77777777"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V</w:t>
      </w:r>
    </w:p>
    <w:p w14:paraId="44CC48AB" w14:textId="77777777"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 xml:space="preserve">PUNTOS RESOLUTIVOS </w:t>
      </w:r>
    </w:p>
    <w:p w14:paraId="6C0C8E7A" w14:textId="77777777" w:rsidR="00577097" w:rsidRPr="005847FB" w:rsidRDefault="00577097" w:rsidP="00577097">
      <w:pPr>
        <w:spacing w:after="0" w:line="240" w:lineRule="auto"/>
        <w:jc w:val="center"/>
        <w:rPr>
          <w:rFonts w:ascii="Verdana" w:hAnsi="Verdana" w:cs="Arial"/>
          <w:sz w:val="20"/>
          <w:szCs w:val="20"/>
        </w:rPr>
      </w:pPr>
    </w:p>
    <w:p w14:paraId="38C2CDAA" w14:textId="77777777" w:rsidR="00577097" w:rsidRPr="00BE133F" w:rsidRDefault="00577097" w:rsidP="00577097">
      <w:pPr>
        <w:numPr>
          <w:ilvl w:val="0"/>
          <w:numId w:val="1"/>
        </w:numPr>
        <w:spacing w:after="0" w:line="240" w:lineRule="auto"/>
        <w:jc w:val="both"/>
        <w:rPr>
          <w:rFonts w:ascii="Verdana" w:hAnsi="Verdana" w:cs="Arial"/>
          <w:b/>
          <w:i/>
          <w:sz w:val="20"/>
          <w:szCs w:val="20"/>
        </w:rPr>
      </w:pPr>
      <w:r w:rsidRPr="00BE133F">
        <w:rPr>
          <w:rFonts w:ascii="Verdana" w:hAnsi="Verdana"/>
          <w:sz w:val="20"/>
          <w:szCs w:val="20"/>
        </w:rPr>
        <w:t xml:space="preserve">Por tanto, </w:t>
      </w:r>
    </w:p>
    <w:p w14:paraId="2458C99A" w14:textId="77777777" w:rsidR="00577097" w:rsidRPr="00BE133F" w:rsidRDefault="00577097" w:rsidP="00577097">
      <w:pPr>
        <w:spacing w:after="0" w:line="240" w:lineRule="auto"/>
        <w:rPr>
          <w:rFonts w:ascii="Verdana" w:hAnsi="Verdana"/>
          <w:b/>
          <w:sz w:val="20"/>
          <w:szCs w:val="20"/>
        </w:rPr>
      </w:pPr>
    </w:p>
    <w:p w14:paraId="7D3AE06C" w14:textId="77777777"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 xml:space="preserve">LA CORTE, </w:t>
      </w:r>
    </w:p>
    <w:p w14:paraId="56C09A60" w14:textId="77777777" w:rsidR="00577097" w:rsidRPr="00BE133F" w:rsidRDefault="00577097" w:rsidP="00577097">
      <w:pPr>
        <w:spacing w:after="0" w:line="240" w:lineRule="auto"/>
        <w:rPr>
          <w:rFonts w:ascii="Verdana" w:hAnsi="Verdana"/>
          <w:sz w:val="20"/>
          <w:szCs w:val="20"/>
        </w:rPr>
      </w:pPr>
    </w:p>
    <w:p w14:paraId="35EF3A8E" w14:textId="77777777" w:rsidR="00577097" w:rsidRPr="00BE133F" w:rsidRDefault="00577097" w:rsidP="00577097">
      <w:pPr>
        <w:spacing w:after="0" w:line="240" w:lineRule="auto"/>
        <w:jc w:val="both"/>
        <w:rPr>
          <w:rFonts w:ascii="Verdana" w:hAnsi="Verdana"/>
          <w:sz w:val="20"/>
          <w:szCs w:val="20"/>
        </w:rPr>
      </w:pPr>
      <w:r w:rsidRPr="00BE133F">
        <w:rPr>
          <w:rFonts w:ascii="Verdana" w:hAnsi="Verdana"/>
          <w:sz w:val="20"/>
          <w:szCs w:val="20"/>
        </w:rPr>
        <w:t>de conformidad con el artículo 67 de la Convención Americana sobre Derechos Humanos y los artículos 31.3 y 68 del Reglamento,</w:t>
      </w:r>
    </w:p>
    <w:p w14:paraId="35A61FB8" w14:textId="77777777" w:rsidR="00577097" w:rsidRPr="00BE133F" w:rsidRDefault="00577097" w:rsidP="00577097">
      <w:pPr>
        <w:spacing w:after="0" w:line="240" w:lineRule="auto"/>
        <w:rPr>
          <w:rFonts w:ascii="Verdana" w:hAnsi="Verdana"/>
          <w:b/>
          <w:sz w:val="20"/>
          <w:szCs w:val="20"/>
        </w:rPr>
      </w:pPr>
    </w:p>
    <w:p w14:paraId="411BB048" w14:textId="77777777"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DECIDE:</w:t>
      </w:r>
    </w:p>
    <w:p w14:paraId="5E469D36" w14:textId="77777777" w:rsidR="00577097" w:rsidRPr="00BE133F" w:rsidRDefault="00577097" w:rsidP="00577097">
      <w:pPr>
        <w:spacing w:after="0" w:line="240" w:lineRule="auto"/>
        <w:rPr>
          <w:rFonts w:ascii="Verdana" w:hAnsi="Verdana"/>
          <w:sz w:val="20"/>
          <w:szCs w:val="20"/>
        </w:rPr>
      </w:pPr>
    </w:p>
    <w:p w14:paraId="5609FF67" w14:textId="77777777" w:rsidR="00577097" w:rsidRPr="00BE133F" w:rsidRDefault="00577097" w:rsidP="00577097">
      <w:pPr>
        <w:tabs>
          <w:tab w:val="center" w:pos="4252"/>
          <w:tab w:val="right" w:pos="8504"/>
        </w:tabs>
        <w:spacing w:after="0" w:line="240" w:lineRule="auto"/>
        <w:rPr>
          <w:rFonts w:ascii="Verdana" w:hAnsi="Verdana"/>
          <w:sz w:val="20"/>
          <w:szCs w:val="20"/>
        </w:rPr>
      </w:pPr>
      <w:r w:rsidRPr="00BE133F">
        <w:rPr>
          <w:rFonts w:ascii="Verdana" w:hAnsi="Verdana"/>
          <w:sz w:val="20"/>
          <w:szCs w:val="20"/>
        </w:rPr>
        <w:t xml:space="preserve">Por </w:t>
      </w:r>
      <w:r w:rsidR="00C42BE9">
        <w:rPr>
          <w:rFonts w:ascii="Verdana" w:hAnsi="Verdana"/>
          <w:sz w:val="20"/>
          <w:szCs w:val="20"/>
        </w:rPr>
        <w:t>unanimidad</w:t>
      </w:r>
      <w:r w:rsidRPr="00BE133F">
        <w:rPr>
          <w:rFonts w:ascii="Verdana" w:hAnsi="Verdana"/>
          <w:sz w:val="20"/>
          <w:szCs w:val="20"/>
        </w:rPr>
        <w:t>,</w:t>
      </w:r>
    </w:p>
    <w:p w14:paraId="5897E3A4" w14:textId="77777777" w:rsidR="00577097" w:rsidRPr="00BE133F" w:rsidRDefault="00577097" w:rsidP="00577097">
      <w:pPr>
        <w:spacing w:after="0" w:line="240" w:lineRule="auto"/>
        <w:jc w:val="both"/>
        <w:rPr>
          <w:rFonts w:ascii="Verdana" w:hAnsi="Verdana"/>
          <w:sz w:val="20"/>
          <w:szCs w:val="20"/>
          <w:u w:val="single"/>
        </w:rPr>
      </w:pPr>
    </w:p>
    <w:p w14:paraId="608D58A1" w14:textId="77777777" w:rsidR="000139B1" w:rsidRDefault="008213BB" w:rsidP="000139B1">
      <w:pPr>
        <w:numPr>
          <w:ilvl w:val="0"/>
          <w:numId w:val="2"/>
        </w:numPr>
        <w:spacing w:after="0" w:line="240" w:lineRule="auto"/>
        <w:ind w:left="0" w:firstLine="0"/>
        <w:jc w:val="both"/>
        <w:rPr>
          <w:rFonts w:ascii="Verdana" w:hAnsi="Verdana"/>
          <w:sz w:val="20"/>
          <w:szCs w:val="20"/>
        </w:rPr>
      </w:pPr>
      <w:r>
        <w:rPr>
          <w:rFonts w:ascii="Verdana" w:hAnsi="Verdana"/>
          <w:sz w:val="20"/>
          <w:szCs w:val="20"/>
        </w:rPr>
        <w:t xml:space="preserve">Declarar admisible la solicitud de interpretación </w:t>
      </w:r>
      <w:r w:rsidR="00AC63CC">
        <w:rPr>
          <w:rFonts w:ascii="Verdana" w:hAnsi="Verdana"/>
          <w:sz w:val="20"/>
          <w:szCs w:val="20"/>
        </w:rPr>
        <w:t xml:space="preserve">presentada por </w:t>
      </w:r>
      <w:r w:rsidR="00F34787">
        <w:rPr>
          <w:rFonts w:ascii="Verdana" w:hAnsi="Verdana"/>
          <w:sz w:val="20"/>
          <w:szCs w:val="20"/>
        </w:rPr>
        <w:t>los representantes</w:t>
      </w:r>
      <w:r w:rsidR="00AC63CC">
        <w:rPr>
          <w:rFonts w:ascii="Verdana" w:hAnsi="Verdana"/>
          <w:sz w:val="20"/>
          <w:szCs w:val="20"/>
        </w:rPr>
        <w:t xml:space="preserve">, </w:t>
      </w:r>
      <w:r w:rsidR="006B7212">
        <w:rPr>
          <w:rFonts w:ascii="Verdana" w:hAnsi="Verdana"/>
          <w:sz w:val="20"/>
          <w:szCs w:val="20"/>
        </w:rPr>
        <w:t>en relación con</w:t>
      </w:r>
      <w:r>
        <w:rPr>
          <w:rFonts w:ascii="Verdana" w:hAnsi="Verdana"/>
          <w:sz w:val="20"/>
          <w:szCs w:val="20"/>
        </w:rPr>
        <w:t xml:space="preserve"> la </w:t>
      </w:r>
      <w:r w:rsidR="00F34787">
        <w:rPr>
          <w:rFonts w:ascii="Verdana" w:hAnsi="Verdana"/>
          <w:sz w:val="20"/>
          <w:szCs w:val="20"/>
        </w:rPr>
        <w:t>Sentencia de Excepción Preliminar</w:t>
      </w:r>
      <w:r w:rsidR="00AC63CC" w:rsidRPr="00BE133F">
        <w:rPr>
          <w:rFonts w:ascii="Verdana" w:hAnsi="Verdana"/>
          <w:sz w:val="20"/>
          <w:szCs w:val="20"/>
        </w:rPr>
        <w:t xml:space="preserve">, Fondo, Reparaciones y Costas dictada en el caso </w:t>
      </w:r>
      <w:proofErr w:type="spellStart"/>
      <w:r w:rsidR="00F34787">
        <w:rPr>
          <w:rFonts w:ascii="Verdana" w:hAnsi="Verdana"/>
          <w:sz w:val="20"/>
          <w:szCs w:val="20"/>
        </w:rPr>
        <w:t>Cuscul</w:t>
      </w:r>
      <w:proofErr w:type="spellEnd"/>
      <w:r w:rsidR="00F34787">
        <w:rPr>
          <w:rFonts w:ascii="Verdana" w:hAnsi="Verdana"/>
          <w:sz w:val="20"/>
          <w:szCs w:val="20"/>
        </w:rPr>
        <w:t xml:space="preserve"> Pivaral y otros Vs. Guatemala</w:t>
      </w:r>
      <w:r w:rsidR="00AC63CC">
        <w:rPr>
          <w:rFonts w:ascii="Verdana" w:hAnsi="Verdana"/>
          <w:sz w:val="20"/>
          <w:szCs w:val="20"/>
        </w:rPr>
        <w:t>.</w:t>
      </w:r>
    </w:p>
    <w:p w14:paraId="4AA3D7FE" w14:textId="77777777" w:rsidR="000139B1" w:rsidRDefault="000139B1" w:rsidP="000139B1">
      <w:pPr>
        <w:spacing w:after="0" w:line="240" w:lineRule="auto"/>
        <w:jc w:val="both"/>
        <w:rPr>
          <w:rFonts w:ascii="Verdana" w:hAnsi="Verdana"/>
          <w:sz w:val="20"/>
          <w:szCs w:val="20"/>
        </w:rPr>
      </w:pPr>
    </w:p>
    <w:p w14:paraId="5D2A2BF5" w14:textId="1CA7A891" w:rsidR="000139B1" w:rsidRPr="000139B1" w:rsidRDefault="000139B1" w:rsidP="000139B1">
      <w:pPr>
        <w:numPr>
          <w:ilvl w:val="0"/>
          <w:numId w:val="2"/>
        </w:numPr>
        <w:spacing w:after="0" w:line="240" w:lineRule="auto"/>
        <w:ind w:left="0" w:firstLine="0"/>
        <w:jc w:val="both"/>
        <w:rPr>
          <w:rFonts w:ascii="Verdana" w:hAnsi="Verdana"/>
          <w:sz w:val="20"/>
          <w:szCs w:val="20"/>
        </w:rPr>
      </w:pPr>
      <w:r w:rsidRPr="000139B1">
        <w:rPr>
          <w:rFonts w:ascii="Verdana" w:hAnsi="Verdana"/>
          <w:sz w:val="20"/>
          <w:szCs w:val="20"/>
        </w:rPr>
        <w:t xml:space="preserve">Desestimar por improcedente la solicitud de interpretación de la Sentencia de </w:t>
      </w:r>
      <w:r>
        <w:rPr>
          <w:rFonts w:ascii="Verdana" w:hAnsi="Verdana"/>
          <w:sz w:val="20"/>
          <w:szCs w:val="20"/>
        </w:rPr>
        <w:t xml:space="preserve">excepción preliminar, </w:t>
      </w:r>
      <w:r w:rsidRPr="000139B1">
        <w:rPr>
          <w:rFonts w:ascii="Verdana" w:hAnsi="Verdana"/>
          <w:sz w:val="20"/>
          <w:szCs w:val="20"/>
        </w:rPr>
        <w:t xml:space="preserve">fondo, reparaciones y costas emitida en el caso </w:t>
      </w:r>
      <w:proofErr w:type="spellStart"/>
      <w:r>
        <w:rPr>
          <w:rFonts w:ascii="Verdana" w:hAnsi="Verdana"/>
          <w:sz w:val="20"/>
          <w:szCs w:val="20"/>
        </w:rPr>
        <w:t>Cuscul</w:t>
      </w:r>
      <w:proofErr w:type="spellEnd"/>
      <w:r>
        <w:rPr>
          <w:rFonts w:ascii="Verdana" w:hAnsi="Verdana"/>
          <w:sz w:val="20"/>
          <w:szCs w:val="20"/>
        </w:rPr>
        <w:t xml:space="preserve"> Pivaral y otros Vs. </w:t>
      </w:r>
      <w:r>
        <w:rPr>
          <w:rFonts w:ascii="Verdana" w:hAnsi="Verdana"/>
          <w:sz w:val="20"/>
          <w:szCs w:val="20"/>
        </w:rPr>
        <w:lastRenderedPageBreak/>
        <w:t>Guatemala</w:t>
      </w:r>
      <w:r w:rsidRPr="000139B1">
        <w:rPr>
          <w:rFonts w:ascii="Verdana" w:hAnsi="Verdana"/>
          <w:sz w:val="20"/>
          <w:szCs w:val="20"/>
        </w:rPr>
        <w:t xml:space="preserve">, presentada por los representantes de las víctimas, en los términos de los párrafos </w:t>
      </w:r>
      <w:r>
        <w:rPr>
          <w:rFonts w:ascii="Verdana" w:hAnsi="Verdana"/>
          <w:sz w:val="20"/>
          <w:szCs w:val="20"/>
        </w:rPr>
        <w:t>15 al 17.</w:t>
      </w:r>
    </w:p>
    <w:p w14:paraId="14263545" w14:textId="77777777" w:rsidR="004F0881" w:rsidRDefault="004F0881" w:rsidP="004F0881">
      <w:pPr>
        <w:spacing w:after="0" w:line="240" w:lineRule="auto"/>
        <w:jc w:val="both"/>
        <w:rPr>
          <w:rFonts w:ascii="Verdana" w:hAnsi="Verdana"/>
          <w:sz w:val="20"/>
          <w:szCs w:val="20"/>
        </w:rPr>
      </w:pPr>
    </w:p>
    <w:p w14:paraId="18D66193" w14:textId="77777777" w:rsidR="00577097" w:rsidRPr="00BE133F" w:rsidRDefault="00577097" w:rsidP="00577097">
      <w:pPr>
        <w:numPr>
          <w:ilvl w:val="0"/>
          <w:numId w:val="2"/>
        </w:numPr>
        <w:spacing w:after="0" w:line="240" w:lineRule="auto"/>
        <w:ind w:left="0" w:firstLine="0"/>
        <w:jc w:val="both"/>
        <w:rPr>
          <w:rFonts w:ascii="Verdana" w:hAnsi="Verdana"/>
          <w:sz w:val="20"/>
          <w:szCs w:val="20"/>
          <w:u w:val="single"/>
        </w:rPr>
      </w:pPr>
      <w:r w:rsidRPr="00BE133F">
        <w:rPr>
          <w:rFonts w:ascii="Verdana" w:eastAsia="Batang" w:hAnsi="Verdana"/>
          <w:sz w:val="20"/>
          <w:szCs w:val="20"/>
        </w:rPr>
        <w:t>Disponer que la Secretaría de la Corte notifique la</w:t>
      </w:r>
      <w:r w:rsidR="00FF4C47" w:rsidRPr="00BE133F">
        <w:rPr>
          <w:rFonts w:ascii="Verdana" w:eastAsia="Batang" w:hAnsi="Verdana"/>
          <w:sz w:val="20"/>
          <w:szCs w:val="20"/>
        </w:rPr>
        <w:t xml:space="preserve"> presente Sentencia al Estado </w:t>
      </w:r>
      <w:r w:rsidR="00F34787">
        <w:rPr>
          <w:rFonts w:ascii="Verdana" w:eastAsia="Batang" w:hAnsi="Verdana"/>
          <w:sz w:val="20"/>
          <w:szCs w:val="20"/>
        </w:rPr>
        <w:t>de Guatemala</w:t>
      </w:r>
      <w:r w:rsidRPr="00BE133F">
        <w:rPr>
          <w:rFonts w:ascii="Verdana" w:eastAsia="Batang" w:hAnsi="Verdana"/>
          <w:sz w:val="20"/>
          <w:szCs w:val="20"/>
        </w:rPr>
        <w:t>, a los representantes de las víctimas,</w:t>
      </w:r>
      <w:r w:rsidR="00B35264">
        <w:rPr>
          <w:rFonts w:ascii="Verdana" w:eastAsia="Batang" w:hAnsi="Verdana"/>
          <w:sz w:val="20"/>
          <w:szCs w:val="20"/>
        </w:rPr>
        <w:t xml:space="preserve"> </w:t>
      </w:r>
      <w:r w:rsidRPr="00BE133F">
        <w:rPr>
          <w:rFonts w:ascii="Verdana" w:eastAsia="Batang" w:hAnsi="Verdana"/>
          <w:sz w:val="20"/>
          <w:szCs w:val="20"/>
        </w:rPr>
        <w:t>y a la Comisión Interamericana de Derechos Humanos.</w:t>
      </w:r>
    </w:p>
    <w:p w14:paraId="7369FF25" w14:textId="77777777" w:rsidR="009109FA" w:rsidRDefault="009109FA" w:rsidP="00577097">
      <w:pPr>
        <w:spacing w:line="240" w:lineRule="auto"/>
        <w:jc w:val="both"/>
        <w:rPr>
          <w:rFonts w:ascii="Verdana" w:hAnsi="Verdana"/>
          <w:sz w:val="20"/>
          <w:szCs w:val="20"/>
        </w:rPr>
      </w:pPr>
    </w:p>
    <w:p w14:paraId="4E966901" w14:textId="77777777" w:rsidR="004D022F" w:rsidRDefault="004D022F" w:rsidP="00577097">
      <w:pPr>
        <w:spacing w:line="240" w:lineRule="auto"/>
        <w:jc w:val="both"/>
        <w:rPr>
          <w:rFonts w:ascii="Verdana" w:eastAsia="Times" w:hAnsi="Verdana"/>
          <w:sz w:val="20"/>
          <w:szCs w:val="20"/>
          <w:lang w:val="es-ES"/>
        </w:rPr>
      </w:pPr>
    </w:p>
    <w:p w14:paraId="47F89384" w14:textId="77777777" w:rsidR="00B7322B" w:rsidRDefault="00B7322B">
      <w:pPr>
        <w:rPr>
          <w:rFonts w:ascii="Verdana" w:eastAsia="Times" w:hAnsi="Verdana"/>
          <w:sz w:val="20"/>
          <w:szCs w:val="20"/>
          <w:lang w:val="es-ES"/>
        </w:rPr>
      </w:pPr>
      <w:r>
        <w:rPr>
          <w:rFonts w:ascii="Verdana" w:eastAsia="Times" w:hAnsi="Verdana"/>
          <w:sz w:val="20"/>
          <w:szCs w:val="20"/>
          <w:lang w:val="es-ES"/>
        </w:rPr>
        <w:br w:type="page"/>
      </w:r>
    </w:p>
    <w:p w14:paraId="26400413" w14:textId="4AD102FE" w:rsidR="004D022F" w:rsidRPr="004D022F" w:rsidRDefault="004D022F" w:rsidP="004D022F">
      <w:pPr>
        <w:keepNext/>
        <w:spacing w:after="0" w:line="240" w:lineRule="auto"/>
        <w:jc w:val="both"/>
        <w:outlineLvl w:val="0"/>
        <w:rPr>
          <w:rFonts w:ascii="Verdana" w:eastAsia="Times" w:hAnsi="Verdana"/>
          <w:sz w:val="20"/>
          <w:szCs w:val="20"/>
          <w:lang w:val="es-ES_tradnl"/>
        </w:rPr>
      </w:pPr>
      <w:r w:rsidRPr="004D022F">
        <w:rPr>
          <w:rFonts w:ascii="Verdana" w:eastAsia="Times" w:hAnsi="Verdana"/>
          <w:sz w:val="20"/>
          <w:szCs w:val="20"/>
          <w:lang w:val="es-ES"/>
        </w:rPr>
        <w:lastRenderedPageBreak/>
        <w:t xml:space="preserve">Corte IDH. Caso </w:t>
      </w:r>
      <w:proofErr w:type="spellStart"/>
      <w:r w:rsidR="00F34787">
        <w:rPr>
          <w:rFonts w:ascii="Verdana" w:eastAsia="Times" w:hAnsi="Verdana"/>
          <w:sz w:val="20"/>
          <w:szCs w:val="20"/>
          <w:lang w:val="es-ES"/>
        </w:rPr>
        <w:t>Cuscul</w:t>
      </w:r>
      <w:proofErr w:type="spellEnd"/>
      <w:r w:rsidR="00F34787">
        <w:rPr>
          <w:rFonts w:ascii="Verdana" w:eastAsia="Times" w:hAnsi="Verdana"/>
          <w:sz w:val="20"/>
          <w:szCs w:val="20"/>
          <w:lang w:val="es-ES"/>
        </w:rPr>
        <w:t xml:space="preserve"> Pivaral y otros Vs. Guatemala</w:t>
      </w:r>
      <w:r w:rsidRPr="004D022F">
        <w:rPr>
          <w:rFonts w:ascii="Verdana" w:eastAsia="Times" w:hAnsi="Verdana"/>
          <w:sz w:val="20"/>
          <w:szCs w:val="20"/>
          <w:lang w:val="es-ES"/>
        </w:rPr>
        <w:t>. Interpretació</w:t>
      </w:r>
      <w:r w:rsidR="00F34787">
        <w:rPr>
          <w:rFonts w:ascii="Verdana" w:eastAsia="Times" w:hAnsi="Verdana"/>
          <w:sz w:val="20"/>
          <w:szCs w:val="20"/>
          <w:lang w:val="es-ES"/>
        </w:rPr>
        <w:t>n de la Sentencia de Excepción Preliminar</w:t>
      </w:r>
      <w:r w:rsidRPr="004D022F">
        <w:rPr>
          <w:rFonts w:ascii="Verdana" w:eastAsia="Times" w:hAnsi="Verdana"/>
          <w:sz w:val="20"/>
          <w:szCs w:val="20"/>
          <w:lang w:val="es-ES"/>
        </w:rPr>
        <w:t xml:space="preserve">, Fondo, Reparaciones y Costas. Sentencia de </w:t>
      </w:r>
      <w:r w:rsidR="00233FB1" w:rsidRPr="00233FB1">
        <w:rPr>
          <w:rFonts w:ascii="Verdana" w:eastAsia="Times" w:hAnsi="Verdana"/>
          <w:sz w:val="20"/>
          <w:szCs w:val="20"/>
          <w:lang w:val="es-ES"/>
        </w:rPr>
        <w:t>14</w:t>
      </w:r>
      <w:r w:rsidRPr="00233FB1">
        <w:rPr>
          <w:rFonts w:ascii="Verdana" w:eastAsia="Times" w:hAnsi="Verdana"/>
          <w:sz w:val="20"/>
          <w:szCs w:val="20"/>
          <w:lang w:val="es-ES"/>
        </w:rPr>
        <w:t xml:space="preserve"> de </w:t>
      </w:r>
      <w:r w:rsidR="00F34787" w:rsidRPr="00233FB1">
        <w:rPr>
          <w:rFonts w:ascii="Verdana" w:eastAsia="Times" w:hAnsi="Verdana"/>
          <w:sz w:val="20"/>
          <w:szCs w:val="20"/>
          <w:lang w:val="es-ES"/>
        </w:rPr>
        <w:t>mayo de 2019</w:t>
      </w:r>
      <w:r w:rsidRPr="00233FB1">
        <w:rPr>
          <w:rFonts w:ascii="Verdana" w:eastAsia="Times" w:hAnsi="Verdana"/>
          <w:sz w:val="20"/>
          <w:szCs w:val="20"/>
          <w:lang w:val="es-ES"/>
        </w:rPr>
        <w:t>.</w:t>
      </w:r>
    </w:p>
    <w:p w14:paraId="00E90D92" w14:textId="77777777" w:rsidR="004D022F" w:rsidRPr="004D022F" w:rsidRDefault="004D022F" w:rsidP="004D022F">
      <w:pPr>
        <w:spacing w:after="0" w:line="240" w:lineRule="auto"/>
        <w:jc w:val="center"/>
        <w:rPr>
          <w:rFonts w:ascii="Verdana" w:eastAsia="Times" w:hAnsi="Verdana"/>
          <w:sz w:val="20"/>
          <w:szCs w:val="20"/>
          <w:lang w:val="es-ES"/>
        </w:rPr>
      </w:pPr>
    </w:p>
    <w:p w14:paraId="07BA4427" w14:textId="77777777" w:rsidR="004D022F" w:rsidRPr="004D022F" w:rsidRDefault="004D022F" w:rsidP="004D022F">
      <w:pPr>
        <w:spacing w:after="0" w:line="240" w:lineRule="auto"/>
        <w:jc w:val="center"/>
        <w:rPr>
          <w:rFonts w:ascii="Verdana" w:eastAsia="Times" w:hAnsi="Verdana"/>
          <w:sz w:val="20"/>
          <w:szCs w:val="20"/>
          <w:lang w:val="es-ES"/>
        </w:rPr>
      </w:pPr>
    </w:p>
    <w:p w14:paraId="0FD542CC" w14:textId="77777777" w:rsidR="004D022F" w:rsidRPr="004D022F" w:rsidRDefault="004D022F" w:rsidP="004D022F">
      <w:pPr>
        <w:spacing w:after="0" w:line="240" w:lineRule="auto"/>
        <w:jc w:val="center"/>
        <w:rPr>
          <w:rFonts w:ascii="Verdana" w:eastAsia="Times" w:hAnsi="Verdana"/>
          <w:sz w:val="20"/>
          <w:szCs w:val="20"/>
          <w:lang w:val="es-ES"/>
        </w:rPr>
      </w:pPr>
    </w:p>
    <w:p w14:paraId="037034B0" w14:textId="77777777" w:rsidR="004D022F" w:rsidRPr="004D022F" w:rsidRDefault="004D022F" w:rsidP="004D022F">
      <w:pPr>
        <w:spacing w:after="0" w:line="240" w:lineRule="auto"/>
        <w:jc w:val="center"/>
        <w:rPr>
          <w:rFonts w:ascii="Verdana" w:eastAsia="Times" w:hAnsi="Verdana"/>
          <w:sz w:val="20"/>
          <w:szCs w:val="20"/>
          <w:lang w:val="es-ES"/>
        </w:rPr>
      </w:pPr>
    </w:p>
    <w:p w14:paraId="02A1F1FC" w14:textId="77777777" w:rsidR="004D022F" w:rsidRPr="004D022F" w:rsidRDefault="004D022F" w:rsidP="004D022F">
      <w:pPr>
        <w:spacing w:after="0" w:line="240" w:lineRule="auto"/>
        <w:jc w:val="center"/>
        <w:rPr>
          <w:rFonts w:ascii="Verdana" w:eastAsia="Times" w:hAnsi="Verdana"/>
          <w:sz w:val="20"/>
          <w:szCs w:val="20"/>
          <w:lang w:val="es-ES"/>
        </w:rPr>
      </w:pPr>
    </w:p>
    <w:p w14:paraId="19CD088F" w14:textId="77777777" w:rsidR="004D022F" w:rsidRPr="004D022F" w:rsidRDefault="004D022F" w:rsidP="004D022F">
      <w:pPr>
        <w:spacing w:after="0" w:line="240" w:lineRule="auto"/>
        <w:jc w:val="center"/>
        <w:rPr>
          <w:rFonts w:ascii="Verdana" w:eastAsia="Times" w:hAnsi="Verdana"/>
          <w:sz w:val="20"/>
          <w:szCs w:val="20"/>
          <w:lang w:val="es-ES"/>
        </w:rPr>
      </w:pPr>
      <w:r w:rsidRPr="004D022F">
        <w:rPr>
          <w:rFonts w:ascii="Verdana" w:eastAsia="Times" w:hAnsi="Verdana"/>
          <w:sz w:val="20"/>
          <w:szCs w:val="20"/>
          <w:lang w:val="es-ES"/>
        </w:rPr>
        <w:t>Eduardo Ferrer Mac-</w:t>
      </w:r>
      <w:proofErr w:type="spellStart"/>
      <w:r w:rsidRPr="004D022F">
        <w:rPr>
          <w:rFonts w:ascii="Verdana" w:eastAsia="Times" w:hAnsi="Verdana"/>
          <w:sz w:val="20"/>
          <w:szCs w:val="20"/>
          <w:lang w:val="es-ES"/>
        </w:rPr>
        <w:t>Gregor</w:t>
      </w:r>
      <w:proofErr w:type="spellEnd"/>
      <w:r w:rsidRPr="004D022F">
        <w:rPr>
          <w:rFonts w:ascii="Verdana" w:eastAsia="Times" w:hAnsi="Verdana"/>
          <w:sz w:val="20"/>
          <w:szCs w:val="20"/>
          <w:lang w:val="es-ES"/>
        </w:rPr>
        <w:t xml:space="preserve"> </w:t>
      </w:r>
      <w:proofErr w:type="spellStart"/>
      <w:r w:rsidRPr="004D022F">
        <w:rPr>
          <w:rFonts w:ascii="Verdana" w:eastAsia="Times" w:hAnsi="Verdana"/>
          <w:sz w:val="20"/>
          <w:szCs w:val="20"/>
          <w:lang w:val="es-ES"/>
        </w:rPr>
        <w:t>Poisot</w:t>
      </w:r>
      <w:proofErr w:type="spellEnd"/>
    </w:p>
    <w:p w14:paraId="69CE1407" w14:textId="77777777" w:rsidR="004D022F" w:rsidRPr="004D022F" w:rsidRDefault="004D022F" w:rsidP="004D022F">
      <w:pPr>
        <w:spacing w:after="0" w:line="240" w:lineRule="auto"/>
        <w:jc w:val="center"/>
        <w:rPr>
          <w:rFonts w:ascii="Verdana" w:eastAsia="Times" w:hAnsi="Verdana"/>
          <w:sz w:val="20"/>
          <w:szCs w:val="20"/>
          <w:lang w:val="es-ES"/>
        </w:rPr>
      </w:pPr>
      <w:r w:rsidRPr="004D022F">
        <w:rPr>
          <w:rFonts w:ascii="Verdana" w:eastAsia="Times" w:hAnsi="Verdana"/>
          <w:sz w:val="20"/>
          <w:szCs w:val="20"/>
          <w:lang w:val="es-ES"/>
        </w:rPr>
        <w:t xml:space="preserve">Presidente </w:t>
      </w:r>
    </w:p>
    <w:p w14:paraId="21E340FA" w14:textId="77777777" w:rsidR="004D022F" w:rsidRPr="004D022F" w:rsidRDefault="004D022F" w:rsidP="004D022F">
      <w:pPr>
        <w:spacing w:after="0" w:line="240" w:lineRule="auto"/>
        <w:jc w:val="both"/>
        <w:rPr>
          <w:rFonts w:ascii="Verdana" w:eastAsia="Times" w:hAnsi="Verdana"/>
          <w:sz w:val="20"/>
          <w:szCs w:val="20"/>
          <w:lang w:val="es-ES"/>
        </w:rPr>
      </w:pPr>
    </w:p>
    <w:p w14:paraId="26406C52" w14:textId="77777777" w:rsidR="004D022F" w:rsidRPr="004D022F" w:rsidRDefault="004D022F" w:rsidP="004D022F">
      <w:pPr>
        <w:spacing w:after="0" w:line="240" w:lineRule="auto"/>
        <w:jc w:val="both"/>
        <w:rPr>
          <w:rFonts w:ascii="Verdana" w:eastAsia="Times" w:hAnsi="Verdana"/>
          <w:sz w:val="20"/>
          <w:szCs w:val="20"/>
          <w:lang w:val="es-ES"/>
        </w:rPr>
      </w:pPr>
    </w:p>
    <w:p w14:paraId="108853CB" w14:textId="77777777" w:rsidR="004D022F" w:rsidRPr="004D022F" w:rsidRDefault="004D022F" w:rsidP="004D022F">
      <w:pPr>
        <w:spacing w:after="0" w:line="240" w:lineRule="auto"/>
        <w:jc w:val="both"/>
        <w:rPr>
          <w:rFonts w:ascii="Verdana" w:eastAsia="Times" w:hAnsi="Verdana"/>
          <w:sz w:val="20"/>
          <w:szCs w:val="20"/>
          <w:lang w:val="es-ES"/>
        </w:rPr>
      </w:pPr>
    </w:p>
    <w:p w14:paraId="59034998" w14:textId="77777777" w:rsidR="004D022F" w:rsidRPr="004D022F" w:rsidRDefault="004D022F" w:rsidP="004D022F">
      <w:pPr>
        <w:spacing w:after="0" w:line="240" w:lineRule="auto"/>
        <w:jc w:val="both"/>
        <w:rPr>
          <w:rFonts w:ascii="Verdana" w:eastAsia="Times" w:hAnsi="Verdana"/>
          <w:sz w:val="20"/>
          <w:szCs w:val="20"/>
          <w:lang w:val="es-ES"/>
        </w:rPr>
      </w:pPr>
    </w:p>
    <w:p w14:paraId="6E2B248F" w14:textId="77777777" w:rsidR="004D022F" w:rsidRPr="004D022F" w:rsidRDefault="00C821D9" w:rsidP="004D022F">
      <w:pPr>
        <w:spacing w:after="0" w:line="240" w:lineRule="auto"/>
        <w:rPr>
          <w:rFonts w:ascii="Verdana" w:eastAsia="Times" w:hAnsi="Verdana"/>
          <w:sz w:val="20"/>
          <w:szCs w:val="20"/>
          <w:lang w:val="es-ES"/>
        </w:rPr>
      </w:pPr>
      <w:r w:rsidRPr="00233FB1">
        <w:rPr>
          <w:rFonts w:ascii="Verdana" w:eastAsia="Times" w:hAnsi="Verdana"/>
          <w:sz w:val="20"/>
          <w:szCs w:val="20"/>
          <w:lang w:val="es-ES"/>
        </w:rPr>
        <w:t>Eduardo Vio Grossi</w:t>
      </w:r>
      <w:r w:rsidR="004D022F" w:rsidRPr="004D022F">
        <w:rPr>
          <w:rFonts w:ascii="Verdana" w:eastAsia="Times" w:hAnsi="Verdana"/>
          <w:sz w:val="20"/>
          <w:szCs w:val="20"/>
          <w:lang w:val="es-ES"/>
        </w:rPr>
        <w:t xml:space="preserve"> </w:t>
      </w:r>
      <w:r w:rsidR="004D022F" w:rsidRPr="004D022F">
        <w:rPr>
          <w:rFonts w:ascii="Verdana" w:eastAsia="Times" w:hAnsi="Verdana"/>
          <w:sz w:val="20"/>
          <w:szCs w:val="20"/>
          <w:lang w:val="es-ES"/>
        </w:rPr>
        <w:tab/>
      </w:r>
      <w:r w:rsidR="004D022F" w:rsidRPr="004D022F">
        <w:rPr>
          <w:rFonts w:ascii="Verdana" w:eastAsia="Times" w:hAnsi="Verdana"/>
          <w:sz w:val="20"/>
          <w:szCs w:val="20"/>
          <w:lang w:val="es-ES"/>
        </w:rPr>
        <w:tab/>
      </w:r>
      <w:r w:rsidR="004D022F" w:rsidRPr="004D022F">
        <w:rPr>
          <w:rFonts w:ascii="Verdana" w:eastAsia="Times" w:hAnsi="Verdana"/>
          <w:sz w:val="20"/>
          <w:szCs w:val="20"/>
          <w:lang w:val="es-ES"/>
        </w:rPr>
        <w:tab/>
      </w:r>
      <w:r w:rsidR="004D022F" w:rsidRPr="004D022F">
        <w:rPr>
          <w:rFonts w:ascii="Verdana" w:eastAsia="Times" w:hAnsi="Verdana"/>
          <w:sz w:val="20"/>
          <w:szCs w:val="20"/>
          <w:lang w:val="es-ES"/>
        </w:rPr>
        <w:tab/>
      </w:r>
      <w:r w:rsidR="004D022F" w:rsidRPr="004D022F">
        <w:rPr>
          <w:rFonts w:ascii="Verdana" w:eastAsia="Times" w:hAnsi="Verdana"/>
          <w:sz w:val="20"/>
          <w:szCs w:val="20"/>
          <w:lang w:val="es-ES"/>
        </w:rPr>
        <w:tab/>
      </w:r>
      <w:r w:rsidR="004D022F" w:rsidRPr="004D022F">
        <w:rPr>
          <w:rFonts w:ascii="Verdana" w:eastAsia="Times" w:hAnsi="Verdana"/>
          <w:sz w:val="20"/>
          <w:szCs w:val="20"/>
          <w:lang w:val="es-ES"/>
        </w:rPr>
        <w:tab/>
        <w:t xml:space="preserve">  </w:t>
      </w:r>
      <w:r w:rsidR="00886EA9">
        <w:rPr>
          <w:rFonts w:ascii="Verdana" w:eastAsia="Times" w:hAnsi="Verdana"/>
          <w:sz w:val="20"/>
          <w:szCs w:val="20"/>
          <w:lang w:val="es-ES"/>
        </w:rPr>
        <w:t xml:space="preserve">        </w:t>
      </w:r>
      <w:r w:rsidR="004D022F" w:rsidRPr="004D022F">
        <w:rPr>
          <w:rFonts w:ascii="Verdana" w:eastAsia="Times" w:hAnsi="Verdana"/>
          <w:sz w:val="20"/>
          <w:szCs w:val="20"/>
          <w:lang w:val="es-ES"/>
        </w:rPr>
        <w:t xml:space="preserve">  </w:t>
      </w:r>
      <w:r>
        <w:rPr>
          <w:rFonts w:ascii="Verdana" w:eastAsia="Times" w:hAnsi="Verdana"/>
          <w:sz w:val="20"/>
          <w:szCs w:val="20"/>
          <w:lang w:val="es-ES"/>
        </w:rPr>
        <w:t>Humberto A. Sierra Porto</w:t>
      </w:r>
    </w:p>
    <w:p w14:paraId="082661B6" w14:textId="77777777" w:rsidR="004D022F" w:rsidRPr="004D022F" w:rsidRDefault="004D022F" w:rsidP="004D022F">
      <w:pPr>
        <w:spacing w:after="0" w:line="240" w:lineRule="auto"/>
        <w:jc w:val="both"/>
        <w:rPr>
          <w:rFonts w:ascii="Verdana" w:eastAsia="Times" w:hAnsi="Verdana"/>
          <w:sz w:val="20"/>
          <w:szCs w:val="20"/>
          <w:lang w:val="es-ES"/>
        </w:rPr>
      </w:pPr>
    </w:p>
    <w:p w14:paraId="437F3BFD" w14:textId="77777777" w:rsidR="004D022F" w:rsidRPr="004D022F" w:rsidRDefault="004D022F" w:rsidP="004D022F">
      <w:pPr>
        <w:spacing w:after="0" w:line="240" w:lineRule="auto"/>
        <w:jc w:val="both"/>
        <w:rPr>
          <w:rFonts w:ascii="Verdana" w:eastAsia="Times" w:hAnsi="Verdana"/>
          <w:sz w:val="20"/>
          <w:szCs w:val="20"/>
          <w:lang w:val="es-ES"/>
        </w:rPr>
      </w:pPr>
    </w:p>
    <w:p w14:paraId="032D2D95" w14:textId="77777777" w:rsidR="004D022F" w:rsidRPr="004D022F" w:rsidRDefault="004D022F" w:rsidP="004D022F">
      <w:pPr>
        <w:spacing w:after="0" w:line="240" w:lineRule="auto"/>
        <w:jc w:val="both"/>
        <w:rPr>
          <w:rFonts w:ascii="Verdana" w:eastAsia="Times" w:hAnsi="Verdana"/>
          <w:sz w:val="20"/>
          <w:szCs w:val="20"/>
          <w:lang w:val="es-ES"/>
        </w:rPr>
      </w:pPr>
    </w:p>
    <w:p w14:paraId="773A6A58" w14:textId="77777777" w:rsidR="004D022F" w:rsidRPr="004D022F" w:rsidRDefault="004D022F" w:rsidP="004D022F">
      <w:pPr>
        <w:spacing w:after="0" w:line="240" w:lineRule="auto"/>
        <w:jc w:val="both"/>
        <w:rPr>
          <w:rFonts w:ascii="Verdana" w:eastAsia="Times" w:hAnsi="Verdana"/>
          <w:sz w:val="20"/>
          <w:szCs w:val="20"/>
          <w:lang w:val="es-ES"/>
        </w:rPr>
      </w:pPr>
    </w:p>
    <w:p w14:paraId="170E9B2C" w14:textId="77777777" w:rsidR="004D022F" w:rsidRPr="004D022F" w:rsidRDefault="004D022F" w:rsidP="004D022F">
      <w:pPr>
        <w:spacing w:after="0" w:line="240" w:lineRule="auto"/>
        <w:jc w:val="both"/>
        <w:rPr>
          <w:rFonts w:ascii="Verdana" w:eastAsia="Times" w:hAnsi="Verdana"/>
          <w:sz w:val="20"/>
          <w:szCs w:val="20"/>
        </w:rPr>
      </w:pPr>
      <w:bookmarkStart w:id="6" w:name="_GoBack"/>
    </w:p>
    <w:bookmarkEnd w:id="6"/>
    <w:p w14:paraId="2663B270" w14:textId="77777777" w:rsidR="004D022F" w:rsidRPr="004D022F" w:rsidRDefault="00C821D9" w:rsidP="004D022F">
      <w:pPr>
        <w:spacing w:after="0" w:line="240" w:lineRule="auto"/>
        <w:rPr>
          <w:rFonts w:ascii="Verdana" w:eastAsia="Times" w:hAnsi="Verdana"/>
          <w:sz w:val="20"/>
          <w:szCs w:val="20"/>
        </w:rPr>
      </w:pPr>
      <w:r>
        <w:rPr>
          <w:rFonts w:ascii="Verdana" w:eastAsia="Times" w:hAnsi="Verdana"/>
          <w:sz w:val="20"/>
          <w:szCs w:val="20"/>
        </w:rPr>
        <w:t>Elizabeth Odio Benito</w:t>
      </w:r>
      <w:r w:rsidR="004D022F" w:rsidRPr="004D022F">
        <w:rPr>
          <w:rFonts w:ascii="Verdana" w:eastAsia="Times" w:hAnsi="Verdana"/>
          <w:sz w:val="20"/>
          <w:szCs w:val="20"/>
        </w:rPr>
        <w:t xml:space="preserve"> </w:t>
      </w:r>
      <w:r w:rsidR="004D022F" w:rsidRPr="004D022F">
        <w:rPr>
          <w:rFonts w:ascii="Verdana" w:eastAsia="Times" w:hAnsi="Verdana"/>
          <w:sz w:val="20"/>
          <w:szCs w:val="20"/>
        </w:rPr>
        <w:tab/>
      </w:r>
      <w:r w:rsidR="004D022F" w:rsidRPr="004D022F">
        <w:rPr>
          <w:rFonts w:ascii="Verdana" w:eastAsia="Times" w:hAnsi="Verdana"/>
          <w:sz w:val="20"/>
          <w:szCs w:val="20"/>
        </w:rPr>
        <w:tab/>
      </w:r>
      <w:r w:rsidR="004D022F" w:rsidRPr="004D022F">
        <w:rPr>
          <w:rFonts w:ascii="Verdana" w:eastAsia="Times" w:hAnsi="Verdana"/>
          <w:sz w:val="20"/>
          <w:szCs w:val="20"/>
        </w:rPr>
        <w:tab/>
      </w:r>
      <w:r w:rsidR="004D022F" w:rsidRPr="004D022F">
        <w:rPr>
          <w:rFonts w:ascii="Verdana" w:eastAsia="Times" w:hAnsi="Verdana"/>
          <w:sz w:val="20"/>
          <w:szCs w:val="20"/>
        </w:rPr>
        <w:tab/>
      </w:r>
      <w:r w:rsidR="004D022F" w:rsidRPr="004D022F">
        <w:rPr>
          <w:rFonts w:ascii="Verdana" w:eastAsia="Times" w:hAnsi="Verdana"/>
          <w:sz w:val="20"/>
          <w:szCs w:val="20"/>
        </w:rPr>
        <w:tab/>
        <w:t xml:space="preserve">        </w:t>
      </w:r>
      <w:r>
        <w:rPr>
          <w:rFonts w:ascii="Verdana" w:eastAsia="Times" w:hAnsi="Verdana"/>
          <w:sz w:val="20"/>
          <w:szCs w:val="20"/>
        </w:rPr>
        <w:t xml:space="preserve">     Eugenio Raúl Zaffaroni</w:t>
      </w:r>
    </w:p>
    <w:p w14:paraId="59C14927" w14:textId="77777777" w:rsidR="004D022F" w:rsidRPr="004D022F" w:rsidRDefault="004D022F" w:rsidP="004D022F">
      <w:pPr>
        <w:spacing w:after="0" w:line="240" w:lineRule="auto"/>
        <w:jc w:val="center"/>
        <w:rPr>
          <w:rFonts w:ascii="Verdana" w:eastAsia="Times" w:hAnsi="Verdana"/>
          <w:sz w:val="20"/>
          <w:szCs w:val="20"/>
        </w:rPr>
      </w:pPr>
    </w:p>
    <w:p w14:paraId="67204E88" w14:textId="77777777" w:rsidR="004D022F" w:rsidRDefault="004D022F" w:rsidP="004D022F">
      <w:pPr>
        <w:spacing w:after="0" w:line="240" w:lineRule="auto"/>
        <w:jc w:val="center"/>
        <w:rPr>
          <w:rFonts w:ascii="Verdana" w:eastAsia="Times" w:hAnsi="Verdana"/>
          <w:sz w:val="20"/>
          <w:szCs w:val="20"/>
        </w:rPr>
      </w:pPr>
    </w:p>
    <w:p w14:paraId="5D71B0CA" w14:textId="77777777" w:rsidR="00C821D9" w:rsidRDefault="00C821D9" w:rsidP="004D022F">
      <w:pPr>
        <w:spacing w:after="0" w:line="240" w:lineRule="auto"/>
        <w:jc w:val="center"/>
        <w:rPr>
          <w:rFonts w:ascii="Verdana" w:eastAsia="Times" w:hAnsi="Verdana"/>
          <w:sz w:val="20"/>
          <w:szCs w:val="20"/>
        </w:rPr>
      </w:pPr>
    </w:p>
    <w:p w14:paraId="6D98191C" w14:textId="77777777" w:rsidR="00C821D9" w:rsidRPr="004D022F" w:rsidRDefault="00C821D9" w:rsidP="004D022F">
      <w:pPr>
        <w:spacing w:after="0" w:line="240" w:lineRule="auto"/>
        <w:jc w:val="center"/>
        <w:rPr>
          <w:rFonts w:ascii="Verdana" w:eastAsia="Times" w:hAnsi="Verdana"/>
          <w:sz w:val="20"/>
          <w:szCs w:val="20"/>
        </w:rPr>
      </w:pPr>
    </w:p>
    <w:p w14:paraId="7F083E4E" w14:textId="77777777" w:rsidR="004D022F" w:rsidRPr="004D022F" w:rsidRDefault="004D022F" w:rsidP="004D022F">
      <w:pPr>
        <w:spacing w:after="0" w:line="240" w:lineRule="auto"/>
        <w:jc w:val="center"/>
        <w:rPr>
          <w:rFonts w:ascii="Verdana" w:eastAsia="Times" w:hAnsi="Verdana"/>
          <w:sz w:val="20"/>
          <w:szCs w:val="20"/>
        </w:rPr>
      </w:pPr>
    </w:p>
    <w:p w14:paraId="7A4B2F58" w14:textId="77777777" w:rsidR="004D022F" w:rsidRDefault="00C821D9" w:rsidP="004D022F">
      <w:pPr>
        <w:spacing w:after="0" w:line="240" w:lineRule="auto"/>
        <w:jc w:val="center"/>
        <w:rPr>
          <w:rFonts w:ascii="Verdana" w:eastAsia="Times" w:hAnsi="Verdana"/>
          <w:sz w:val="20"/>
          <w:szCs w:val="20"/>
        </w:rPr>
      </w:pPr>
      <w:r>
        <w:rPr>
          <w:rFonts w:ascii="Verdana" w:eastAsia="Times" w:hAnsi="Verdana"/>
          <w:sz w:val="20"/>
          <w:szCs w:val="20"/>
        </w:rPr>
        <w:t>L. Patricio Pazmiño Freire</w:t>
      </w:r>
    </w:p>
    <w:p w14:paraId="31642A4C" w14:textId="77777777" w:rsidR="00C821D9" w:rsidRDefault="00C821D9" w:rsidP="004D022F">
      <w:pPr>
        <w:spacing w:after="0" w:line="240" w:lineRule="auto"/>
        <w:jc w:val="center"/>
        <w:rPr>
          <w:rFonts w:ascii="Verdana" w:eastAsia="Times" w:hAnsi="Verdana"/>
          <w:sz w:val="20"/>
          <w:szCs w:val="20"/>
        </w:rPr>
      </w:pPr>
    </w:p>
    <w:p w14:paraId="6AB76BAA" w14:textId="77777777" w:rsidR="00C821D9" w:rsidRDefault="00C821D9" w:rsidP="004D022F">
      <w:pPr>
        <w:spacing w:after="0" w:line="240" w:lineRule="auto"/>
        <w:jc w:val="center"/>
        <w:rPr>
          <w:rFonts w:ascii="Verdana" w:eastAsia="Times" w:hAnsi="Verdana"/>
          <w:sz w:val="20"/>
          <w:szCs w:val="20"/>
        </w:rPr>
      </w:pPr>
    </w:p>
    <w:p w14:paraId="19AA5298" w14:textId="77777777" w:rsidR="00C821D9" w:rsidRDefault="00C821D9" w:rsidP="004D022F">
      <w:pPr>
        <w:spacing w:after="0" w:line="240" w:lineRule="auto"/>
        <w:jc w:val="center"/>
        <w:rPr>
          <w:rFonts w:ascii="Verdana" w:eastAsia="Times" w:hAnsi="Verdana"/>
          <w:sz w:val="20"/>
          <w:szCs w:val="20"/>
        </w:rPr>
      </w:pPr>
    </w:p>
    <w:p w14:paraId="362F5208" w14:textId="77777777" w:rsidR="00C821D9" w:rsidRDefault="00C821D9" w:rsidP="004D022F">
      <w:pPr>
        <w:spacing w:after="0" w:line="240" w:lineRule="auto"/>
        <w:jc w:val="center"/>
        <w:rPr>
          <w:rFonts w:ascii="Verdana" w:eastAsia="Times" w:hAnsi="Verdana"/>
          <w:sz w:val="20"/>
          <w:szCs w:val="20"/>
        </w:rPr>
      </w:pPr>
    </w:p>
    <w:p w14:paraId="506ADB51" w14:textId="77777777" w:rsidR="004D022F" w:rsidRPr="004D022F" w:rsidRDefault="004D022F" w:rsidP="004D022F">
      <w:pPr>
        <w:spacing w:after="0" w:line="240" w:lineRule="auto"/>
        <w:jc w:val="center"/>
        <w:rPr>
          <w:rFonts w:ascii="Verdana" w:eastAsia="Times" w:hAnsi="Verdana"/>
          <w:sz w:val="20"/>
          <w:szCs w:val="20"/>
        </w:rPr>
      </w:pPr>
    </w:p>
    <w:p w14:paraId="2E6C872C" w14:textId="77777777" w:rsidR="004D022F" w:rsidRPr="004D022F" w:rsidRDefault="004D022F" w:rsidP="004D022F">
      <w:pPr>
        <w:spacing w:after="0" w:line="240" w:lineRule="auto"/>
        <w:jc w:val="center"/>
        <w:rPr>
          <w:rFonts w:ascii="Verdana" w:eastAsia="Times" w:hAnsi="Verdana"/>
          <w:sz w:val="20"/>
          <w:szCs w:val="20"/>
          <w:lang w:val="es-ES"/>
        </w:rPr>
      </w:pPr>
      <w:r w:rsidRPr="004D022F">
        <w:rPr>
          <w:rFonts w:ascii="Verdana" w:eastAsia="Times" w:hAnsi="Verdana"/>
          <w:sz w:val="20"/>
          <w:szCs w:val="20"/>
          <w:lang w:val="es-ES"/>
        </w:rPr>
        <w:t>Pablo Saavedra Alessandri</w:t>
      </w:r>
    </w:p>
    <w:p w14:paraId="148A672C" w14:textId="77777777" w:rsidR="004D022F" w:rsidRPr="004D022F" w:rsidRDefault="004D022F" w:rsidP="004D022F">
      <w:pPr>
        <w:spacing w:after="0" w:line="240" w:lineRule="auto"/>
        <w:jc w:val="center"/>
        <w:rPr>
          <w:rFonts w:ascii="Verdana" w:eastAsia="Times" w:hAnsi="Verdana"/>
          <w:sz w:val="20"/>
          <w:szCs w:val="20"/>
          <w:lang w:val="es-ES"/>
        </w:rPr>
      </w:pPr>
      <w:r w:rsidRPr="004D022F">
        <w:rPr>
          <w:rFonts w:ascii="Verdana" w:eastAsia="Times" w:hAnsi="Verdana"/>
          <w:sz w:val="20"/>
          <w:szCs w:val="20"/>
          <w:lang w:val="es-ES"/>
        </w:rPr>
        <w:t>Secretario</w:t>
      </w:r>
    </w:p>
    <w:p w14:paraId="1CA4C1B4" w14:textId="77777777" w:rsidR="004D022F" w:rsidRPr="004D022F" w:rsidRDefault="004D022F" w:rsidP="004D022F">
      <w:pPr>
        <w:spacing w:after="0" w:line="240" w:lineRule="auto"/>
        <w:rPr>
          <w:rFonts w:ascii="Verdana" w:eastAsia="Times" w:hAnsi="Verdana"/>
          <w:sz w:val="20"/>
          <w:szCs w:val="20"/>
          <w:lang w:val="es-ES"/>
        </w:rPr>
      </w:pPr>
    </w:p>
    <w:p w14:paraId="77A7CB23" w14:textId="77777777" w:rsidR="004D022F" w:rsidRPr="004D022F" w:rsidRDefault="004D022F" w:rsidP="004D022F">
      <w:pPr>
        <w:spacing w:after="0" w:line="240" w:lineRule="auto"/>
        <w:jc w:val="both"/>
        <w:rPr>
          <w:rFonts w:ascii="Verdana" w:eastAsia="Times" w:hAnsi="Verdana"/>
          <w:sz w:val="20"/>
          <w:szCs w:val="20"/>
          <w:lang w:val="es-ES"/>
        </w:rPr>
      </w:pPr>
    </w:p>
    <w:p w14:paraId="7B28F91E" w14:textId="77777777" w:rsidR="004D022F" w:rsidRPr="004D022F" w:rsidRDefault="004D022F" w:rsidP="004D022F">
      <w:pPr>
        <w:spacing w:after="0" w:line="240" w:lineRule="auto"/>
        <w:jc w:val="both"/>
        <w:rPr>
          <w:rFonts w:ascii="Verdana" w:eastAsia="Times" w:hAnsi="Verdana"/>
          <w:sz w:val="20"/>
          <w:szCs w:val="20"/>
          <w:lang w:val="es-ES"/>
        </w:rPr>
      </w:pPr>
    </w:p>
    <w:p w14:paraId="6DE9FA64" w14:textId="77777777" w:rsidR="004D022F" w:rsidRPr="004D022F" w:rsidRDefault="004D022F" w:rsidP="004D022F">
      <w:pPr>
        <w:spacing w:after="0" w:line="240" w:lineRule="auto"/>
        <w:jc w:val="both"/>
        <w:rPr>
          <w:rFonts w:ascii="Verdana" w:eastAsia="Times" w:hAnsi="Verdana"/>
          <w:sz w:val="20"/>
          <w:szCs w:val="20"/>
          <w:lang w:val="es-ES"/>
        </w:rPr>
      </w:pPr>
    </w:p>
    <w:p w14:paraId="4437D054" w14:textId="77777777" w:rsidR="004D022F" w:rsidRPr="004D022F" w:rsidRDefault="004D022F" w:rsidP="004D022F">
      <w:pPr>
        <w:spacing w:after="0" w:line="240" w:lineRule="auto"/>
        <w:jc w:val="both"/>
        <w:rPr>
          <w:rFonts w:ascii="Verdana" w:eastAsia="Times" w:hAnsi="Verdana"/>
          <w:sz w:val="20"/>
          <w:szCs w:val="20"/>
          <w:lang w:val="es-ES"/>
        </w:rPr>
      </w:pPr>
    </w:p>
    <w:p w14:paraId="2C40060D" w14:textId="77777777" w:rsidR="004D022F" w:rsidRPr="004D022F" w:rsidRDefault="004D022F" w:rsidP="004D022F">
      <w:pPr>
        <w:spacing w:after="0" w:line="240" w:lineRule="auto"/>
        <w:jc w:val="both"/>
        <w:rPr>
          <w:rFonts w:ascii="Verdana" w:eastAsia="Times" w:hAnsi="Verdana"/>
          <w:sz w:val="20"/>
          <w:szCs w:val="20"/>
          <w:lang w:val="es-ES"/>
        </w:rPr>
      </w:pPr>
      <w:r w:rsidRPr="004D022F">
        <w:rPr>
          <w:rFonts w:ascii="Verdana" w:eastAsia="Times" w:hAnsi="Verdana"/>
          <w:sz w:val="20"/>
          <w:szCs w:val="20"/>
          <w:lang w:val="es-ES"/>
        </w:rPr>
        <w:t>Comuníquese y ejecútese,</w:t>
      </w:r>
    </w:p>
    <w:p w14:paraId="2F34EAE7" w14:textId="77777777" w:rsidR="004D022F" w:rsidRPr="004D022F" w:rsidRDefault="004D022F" w:rsidP="004D022F">
      <w:pPr>
        <w:spacing w:after="0" w:line="240" w:lineRule="auto"/>
        <w:jc w:val="both"/>
        <w:rPr>
          <w:rFonts w:ascii="Verdana" w:eastAsia="Times" w:hAnsi="Verdana"/>
          <w:sz w:val="20"/>
          <w:szCs w:val="20"/>
          <w:lang w:val="es-ES"/>
        </w:rPr>
      </w:pPr>
    </w:p>
    <w:p w14:paraId="1C247304" w14:textId="77777777" w:rsidR="004D022F" w:rsidRPr="004D022F" w:rsidRDefault="004D022F" w:rsidP="004D022F">
      <w:pPr>
        <w:spacing w:after="0" w:line="240" w:lineRule="auto"/>
        <w:jc w:val="both"/>
        <w:rPr>
          <w:rFonts w:ascii="Verdana" w:eastAsia="Times" w:hAnsi="Verdana"/>
          <w:sz w:val="20"/>
          <w:szCs w:val="20"/>
          <w:lang w:val="es-ES"/>
        </w:rPr>
      </w:pPr>
    </w:p>
    <w:p w14:paraId="3D5D24CA" w14:textId="77777777" w:rsidR="004D022F" w:rsidRPr="004D022F" w:rsidRDefault="004D022F" w:rsidP="004D022F">
      <w:pPr>
        <w:spacing w:after="0" w:line="240" w:lineRule="auto"/>
        <w:jc w:val="both"/>
        <w:rPr>
          <w:rFonts w:ascii="Verdana" w:eastAsia="Times" w:hAnsi="Verdana"/>
          <w:sz w:val="20"/>
          <w:szCs w:val="20"/>
          <w:lang w:val="es-ES"/>
        </w:rPr>
      </w:pPr>
    </w:p>
    <w:p w14:paraId="39592609" w14:textId="77777777" w:rsidR="004D022F" w:rsidRPr="004D022F" w:rsidRDefault="004D022F" w:rsidP="004D022F">
      <w:pPr>
        <w:spacing w:after="0" w:line="240" w:lineRule="auto"/>
        <w:jc w:val="both"/>
        <w:rPr>
          <w:rFonts w:ascii="Verdana" w:eastAsia="Times" w:hAnsi="Verdana"/>
          <w:sz w:val="20"/>
          <w:szCs w:val="20"/>
        </w:rPr>
      </w:pPr>
    </w:p>
    <w:p w14:paraId="2C14FA24" w14:textId="77777777" w:rsidR="004D022F" w:rsidRPr="004D022F" w:rsidRDefault="004D022F" w:rsidP="004D022F">
      <w:pPr>
        <w:spacing w:after="0" w:line="240" w:lineRule="auto"/>
        <w:jc w:val="both"/>
        <w:rPr>
          <w:rFonts w:ascii="Verdana" w:eastAsia="Times" w:hAnsi="Verdana"/>
          <w:sz w:val="20"/>
          <w:szCs w:val="20"/>
        </w:rPr>
      </w:pPr>
    </w:p>
    <w:p w14:paraId="3BCD0CDF" w14:textId="77777777" w:rsidR="004D022F" w:rsidRPr="004D022F" w:rsidRDefault="004D022F" w:rsidP="004D022F">
      <w:pPr>
        <w:spacing w:after="0" w:line="240" w:lineRule="auto"/>
        <w:ind w:left="4956"/>
        <w:jc w:val="center"/>
        <w:rPr>
          <w:rFonts w:ascii="Verdana" w:eastAsia="Times" w:hAnsi="Verdana"/>
          <w:sz w:val="20"/>
          <w:szCs w:val="20"/>
          <w:lang w:val="es-ES"/>
        </w:rPr>
      </w:pPr>
      <w:r w:rsidRPr="004D022F">
        <w:rPr>
          <w:rFonts w:ascii="Verdana" w:eastAsia="Times" w:hAnsi="Verdana"/>
          <w:sz w:val="20"/>
          <w:szCs w:val="20"/>
          <w:lang w:val="es-ES"/>
        </w:rPr>
        <w:t>Eduardo Ferrer Mac-</w:t>
      </w:r>
      <w:proofErr w:type="spellStart"/>
      <w:r w:rsidRPr="004D022F">
        <w:rPr>
          <w:rFonts w:ascii="Verdana" w:eastAsia="Times" w:hAnsi="Verdana"/>
          <w:sz w:val="20"/>
          <w:szCs w:val="20"/>
          <w:lang w:val="es-ES"/>
        </w:rPr>
        <w:t>Gregor</w:t>
      </w:r>
      <w:proofErr w:type="spellEnd"/>
      <w:r w:rsidRPr="004D022F">
        <w:rPr>
          <w:rFonts w:ascii="Verdana" w:eastAsia="Times" w:hAnsi="Verdana"/>
          <w:sz w:val="20"/>
          <w:szCs w:val="20"/>
          <w:lang w:val="es-ES"/>
        </w:rPr>
        <w:t xml:space="preserve"> </w:t>
      </w:r>
      <w:proofErr w:type="spellStart"/>
      <w:r w:rsidRPr="004D022F">
        <w:rPr>
          <w:rFonts w:ascii="Verdana" w:eastAsia="Times" w:hAnsi="Verdana"/>
          <w:sz w:val="20"/>
          <w:szCs w:val="20"/>
          <w:lang w:val="es-ES"/>
        </w:rPr>
        <w:t>Poisot</w:t>
      </w:r>
      <w:proofErr w:type="spellEnd"/>
    </w:p>
    <w:p w14:paraId="4473A007" w14:textId="77777777" w:rsidR="004D022F" w:rsidRPr="004D022F" w:rsidRDefault="004D022F" w:rsidP="004D022F">
      <w:pPr>
        <w:spacing w:after="0" w:line="240" w:lineRule="auto"/>
        <w:ind w:left="4956"/>
        <w:jc w:val="center"/>
        <w:rPr>
          <w:rFonts w:ascii="Verdana" w:eastAsia="Times" w:hAnsi="Verdana"/>
          <w:sz w:val="20"/>
          <w:szCs w:val="20"/>
          <w:lang w:val="es-ES"/>
        </w:rPr>
      </w:pPr>
      <w:r w:rsidRPr="004D022F">
        <w:rPr>
          <w:rFonts w:ascii="Verdana" w:eastAsia="Times" w:hAnsi="Verdana"/>
          <w:sz w:val="20"/>
          <w:szCs w:val="20"/>
          <w:lang w:val="es-ES"/>
        </w:rPr>
        <w:t>Presidente</w:t>
      </w:r>
    </w:p>
    <w:p w14:paraId="22CEFE4B" w14:textId="77777777" w:rsidR="004D022F" w:rsidRPr="004D022F" w:rsidRDefault="004D022F" w:rsidP="004D022F">
      <w:pPr>
        <w:spacing w:after="0" w:line="240" w:lineRule="auto"/>
        <w:jc w:val="both"/>
        <w:rPr>
          <w:rFonts w:ascii="Verdana" w:eastAsia="Times" w:hAnsi="Verdana"/>
          <w:sz w:val="20"/>
          <w:szCs w:val="20"/>
          <w:lang w:val="es-ES"/>
        </w:rPr>
      </w:pPr>
    </w:p>
    <w:p w14:paraId="79FE3D3D" w14:textId="77777777" w:rsidR="004D022F" w:rsidRPr="004D022F" w:rsidRDefault="004D022F" w:rsidP="004D022F">
      <w:pPr>
        <w:spacing w:after="0" w:line="240" w:lineRule="auto"/>
        <w:jc w:val="both"/>
        <w:rPr>
          <w:rFonts w:ascii="Verdana" w:eastAsia="Times" w:hAnsi="Verdana"/>
          <w:sz w:val="20"/>
          <w:szCs w:val="20"/>
          <w:lang w:val="es-ES"/>
        </w:rPr>
      </w:pPr>
    </w:p>
    <w:p w14:paraId="29803DA1" w14:textId="77777777" w:rsidR="004D022F" w:rsidRPr="004D022F" w:rsidRDefault="004D022F" w:rsidP="004D022F">
      <w:pPr>
        <w:spacing w:after="0" w:line="240" w:lineRule="auto"/>
        <w:jc w:val="both"/>
        <w:rPr>
          <w:rFonts w:ascii="Verdana" w:eastAsia="Times" w:hAnsi="Verdana"/>
          <w:sz w:val="20"/>
          <w:szCs w:val="20"/>
          <w:lang w:val="es-ES"/>
        </w:rPr>
      </w:pPr>
    </w:p>
    <w:p w14:paraId="37C915B1" w14:textId="77777777" w:rsidR="004D022F" w:rsidRPr="004D022F" w:rsidRDefault="004D022F" w:rsidP="004D022F">
      <w:pPr>
        <w:spacing w:after="0" w:line="240" w:lineRule="auto"/>
        <w:jc w:val="both"/>
        <w:rPr>
          <w:rFonts w:ascii="Verdana" w:eastAsia="Times" w:hAnsi="Verdana"/>
          <w:sz w:val="20"/>
          <w:szCs w:val="20"/>
          <w:lang w:val="es-ES"/>
        </w:rPr>
      </w:pPr>
    </w:p>
    <w:p w14:paraId="3851F6BA" w14:textId="77777777" w:rsidR="004D022F" w:rsidRPr="004D022F" w:rsidRDefault="004D022F" w:rsidP="004D022F">
      <w:pPr>
        <w:spacing w:after="0" w:line="240" w:lineRule="auto"/>
        <w:jc w:val="both"/>
        <w:rPr>
          <w:rFonts w:ascii="Verdana" w:eastAsia="Times" w:hAnsi="Verdana"/>
          <w:sz w:val="20"/>
          <w:szCs w:val="20"/>
          <w:lang w:val="es-ES"/>
        </w:rPr>
      </w:pPr>
    </w:p>
    <w:p w14:paraId="3B7305BA" w14:textId="77777777" w:rsidR="004D022F" w:rsidRPr="004D022F" w:rsidRDefault="004D022F" w:rsidP="004D022F">
      <w:pPr>
        <w:spacing w:after="0" w:line="240" w:lineRule="auto"/>
        <w:jc w:val="both"/>
        <w:rPr>
          <w:rFonts w:ascii="Verdana" w:eastAsia="Times" w:hAnsi="Verdana"/>
          <w:sz w:val="20"/>
          <w:szCs w:val="20"/>
          <w:lang w:val="es-ES"/>
        </w:rPr>
      </w:pPr>
      <w:r w:rsidRPr="004D022F">
        <w:rPr>
          <w:rFonts w:ascii="Verdana" w:eastAsia="Times" w:hAnsi="Verdana"/>
          <w:sz w:val="20"/>
          <w:szCs w:val="20"/>
          <w:lang w:val="es-ES"/>
        </w:rPr>
        <w:t>Pablo Saavedra Alessandri</w:t>
      </w:r>
    </w:p>
    <w:p w14:paraId="46AF8756" w14:textId="77777777" w:rsidR="0094609B" w:rsidRPr="00BE133F" w:rsidRDefault="004D022F" w:rsidP="00C821D9">
      <w:pPr>
        <w:spacing w:after="0" w:line="240" w:lineRule="auto"/>
        <w:rPr>
          <w:rFonts w:ascii="Verdana" w:hAnsi="Verdana"/>
          <w:sz w:val="20"/>
          <w:szCs w:val="20"/>
        </w:rPr>
      </w:pPr>
      <w:r w:rsidRPr="004D022F">
        <w:rPr>
          <w:rFonts w:ascii="Verdana" w:eastAsia="Times" w:hAnsi="Verdana"/>
          <w:sz w:val="20"/>
          <w:szCs w:val="20"/>
          <w:lang w:val="es-ES"/>
        </w:rPr>
        <w:tab/>
      </w:r>
      <w:r w:rsidRPr="004D022F">
        <w:rPr>
          <w:rFonts w:ascii="Verdana" w:eastAsia="Times" w:hAnsi="Verdana"/>
          <w:sz w:val="20"/>
          <w:szCs w:val="20"/>
        </w:rPr>
        <w:t>Secretario</w:t>
      </w:r>
    </w:p>
    <w:sectPr w:rsidR="0094609B" w:rsidRPr="00BE133F" w:rsidSect="00B55C19">
      <w:headerReference w:type="even" r:id="rId8"/>
      <w:headerReference w:type="default" r:id="rId9"/>
      <w:footerReference w:type="default" r:id="rId10"/>
      <w:headerReference w:type="first" r:id="rId11"/>
      <w:pgSz w:w="12240" w:h="15840" w:code="1"/>
      <w:pgMar w:top="1440" w:right="132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79B9" w14:textId="77777777" w:rsidR="00CB6E2E" w:rsidRDefault="00CB6E2E" w:rsidP="00577097">
      <w:pPr>
        <w:spacing w:after="0" w:line="240" w:lineRule="auto"/>
      </w:pPr>
      <w:r>
        <w:separator/>
      </w:r>
    </w:p>
  </w:endnote>
  <w:endnote w:type="continuationSeparator" w:id="0">
    <w:p w14:paraId="4FCC2C7B" w14:textId="77777777" w:rsidR="00CB6E2E" w:rsidRDefault="00CB6E2E" w:rsidP="0057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A84F" w14:textId="77777777" w:rsidR="00B97637" w:rsidRPr="002434DF" w:rsidRDefault="004A5A50">
    <w:pPr>
      <w:pStyle w:val="Piedepgina"/>
      <w:jc w:val="center"/>
      <w:rPr>
        <w:rFonts w:ascii="Verdana" w:hAnsi="Verdana"/>
        <w:sz w:val="20"/>
        <w:szCs w:val="20"/>
      </w:rPr>
    </w:pPr>
    <w:r w:rsidRPr="002434DF">
      <w:rPr>
        <w:rFonts w:ascii="Verdana" w:hAnsi="Verdana"/>
        <w:sz w:val="20"/>
        <w:szCs w:val="20"/>
      </w:rPr>
      <w:fldChar w:fldCharType="begin"/>
    </w:r>
    <w:r w:rsidRPr="002434DF">
      <w:rPr>
        <w:rFonts w:ascii="Verdana" w:hAnsi="Verdana"/>
        <w:sz w:val="20"/>
        <w:szCs w:val="20"/>
      </w:rPr>
      <w:instrText xml:space="preserve"> PAGE   \* MERGEFORMAT </w:instrText>
    </w:r>
    <w:r w:rsidRPr="002434DF">
      <w:rPr>
        <w:rFonts w:ascii="Verdana" w:hAnsi="Verdana"/>
        <w:sz w:val="20"/>
        <w:szCs w:val="20"/>
      </w:rPr>
      <w:fldChar w:fldCharType="separate"/>
    </w:r>
    <w:r w:rsidR="007B46AB">
      <w:rPr>
        <w:rFonts w:ascii="Verdana" w:hAnsi="Verdana"/>
        <w:noProof/>
        <w:sz w:val="20"/>
        <w:szCs w:val="20"/>
      </w:rPr>
      <w:t>2</w:t>
    </w:r>
    <w:r w:rsidRPr="002434DF">
      <w:rPr>
        <w:rFonts w:ascii="Verdana" w:hAnsi="Verdana"/>
        <w:sz w:val="20"/>
        <w:szCs w:val="20"/>
      </w:rPr>
      <w:fldChar w:fldCharType="end"/>
    </w:r>
  </w:p>
  <w:p w14:paraId="5A50BED5" w14:textId="77777777" w:rsidR="00B97637" w:rsidRDefault="00273A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162B" w14:textId="77777777" w:rsidR="00CB6E2E" w:rsidRDefault="00CB6E2E" w:rsidP="00577097">
      <w:pPr>
        <w:spacing w:after="0" w:line="240" w:lineRule="auto"/>
      </w:pPr>
      <w:r>
        <w:separator/>
      </w:r>
    </w:p>
  </w:footnote>
  <w:footnote w:type="continuationSeparator" w:id="0">
    <w:p w14:paraId="6DD99ABF" w14:textId="77777777" w:rsidR="00CB6E2E" w:rsidRDefault="00CB6E2E" w:rsidP="00577097">
      <w:pPr>
        <w:spacing w:after="0" w:line="240" w:lineRule="auto"/>
      </w:pPr>
      <w:r>
        <w:continuationSeparator/>
      </w:r>
    </w:p>
  </w:footnote>
  <w:footnote w:id="1">
    <w:p w14:paraId="7AF618E6" w14:textId="77777777" w:rsidR="00C469B4" w:rsidRPr="00D947B3" w:rsidRDefault="00C469B4" w:rsidP="00D947B3">
      <w:pPr>
        <w:pStyle w:val="Textonotapie"/>
        <w:jc w:val="both"/>
        <w:rPr>
          <w:rStyle w:val="Refdenotaalpie"/>
          <w:rFonts w:ascii="Verdana" w:hAnsi="Verdana"/>
          <w:sz w:val="16"/>
          <w:szCs w:val="16"/>
          <w:lang w:val="es-DO"/>
        </w:rPr>
      </w:pPr>
      <w:r w:rsidRPr="00D947B3">
        <w:rPr>
          <w:rStyle w:val="Refdenotaalpie"/>
          <w:rFonts w:ascii="Verdana" w:hAnsi="Verdana"/>
          <w:sz w:val="16"/>
          <w:szCs w:val="16"/>
          <w:lang w:val="es-DO"/>
        </w:rPr>
        <w:footnoteRef/>
      </w:r>
      <w:r w:rsidR="00B7322B">
        <w:rPr>
          <w:rFonts w:ascii="Verdana" w:hAnsi="Verdana"/>
          <w:i/>
          <w:sz w:val="16"/>
          <w:szCs w:val="16"/>
          <w:lang w:val="es-DO"/>
        </w:rPr>
        <w:t xml:space="preserve"> </w:t>
      </w:r>
      <w:r w:rsidR="00B7322B">
        <w:rPr>
          <w:rFonts w:ascii="Verdana" w:hAnsi="Verdana"/>
          <w:i/>
          <w:sz w:val="16"/>
          <w:szCs w:val="16"/>
          <w:lang w:val="es-DO"/>
        </w:rPr>
        <w:tab/>
      </w:r>
      <w:r w:rsidRPr="00D947B3">
        <w:rPr>
          <w:rFonts w:ascii="Verdana" w:hAnsi="Verdana"/>
          <w:i/>
          <w:sz w:val="16"/>
          <w:szCs w:val="16"/>
          <w:lang w:val="es-DO"/>
        </w:rPr>
        <w:t>Cfr. Caso Loayza Tamayo Vs. Perú</w:t>
      </w:r>
      <w:r w:rsidRPr="00D947B3">
        <w:rPr>
          <w:rFonts w:ascii="Verdana" w:hAnsi="Verdana"/>
          <w:sz w:val="16"/>
          <w:szCs w:val="16"/>
          <w:lang w:val="es-DO"/>
        </w:rPr>
        <w:t xml:space="preserve">. </w:t>
      </w:r>
      <w:r w:rsidRPr="00D947B3">
        <w:rPr>
          <w:rFonts w:ascii="Verdana" w:hAnsi="Verdana"/>
          <w:i/>
          <w:sz w:val="16"/>
          <w:szCs w:val="16"/>
          <w:lang w:val="es-DO"/>
        </w:rPr>
        <w:t>Interpretación de la Sentencia de Fondo</w:t>
      </w:r>
      <w:r w:rsidRPr="00D947B3">
        <w:rPr>
          <w:rFonts w:ascii="Verdana" w:hAnsi="Verdana"/>
          <w:sz w:val="16"/>
          <w:szCs w:val="16"/>
          <w:lang w:val="es-DO"/>
        </w:rPr>
        <w:t xml:space="preserve">. </w:t>
      </w:r>
      <w:r w:rsidR="00AD68AE">
        <w:rPr>
          <w:rFonts w:ascii="Verdana" w:hAnsi="Verdana"/>
          <w:sz w:val="16"/>
          <w:szCs w:val="16"/>
          <w:lang w:val="es-DO"/>
        </w:rPr>
        <w:t>Resolución de la Corte Interamericana de Derechos Humanos</w:t>
      </w:r>
      <w:r w:rsidRPr="00D947B3">
        <w:rPr>
          <w:rFonts w:ascii="Verdana" w:hAnsi="Verdana"/>
          <w:sz w:val="16"/>
          <w:szCs w:val="16"/>
          <w:lang w:val="es-DO"/>
        </w:rPr>
        <w:t xml:space="preserve"> de 8 de marzo de 1998. Serie C No. 47, párr. 16, y</w:t>
      </w:r>
      <w:r w:rsidRPr="00D947B3">
        <w:rPr>
          <w:rFonts w:ascii="Verdana" w:hAnsi="Verdana"/>
          <w:sz w:val="16"/>
          <w:szCs w:val="16"/>
        </w:rPr>
        <w:t xml:space="preserve"> </w:t>
      </w:r>
      <w:r w:rsidR="0016280D" w:rsidRPr="00D947B3">
        <w:rPr>
          <w:rFonts w:ascii="Verdana" w:hAnsi="Verdana"/>
          <w:i/>
          <w:sz w:val="16"/>
          <w:szCs w:val="16"/>
          <w:lang w:val="es-DO"/>
        </w:rPr>
        <w:t xml:space="preserve">Caso </w:t>
      </w:r>
      <w:r w:rsidR="00B7322B">
        <w:rPr>
          <w:rFonts w:ascii="Verdana" w:hAnsi="Verdana"/>
          <w:i/>
          <w:sz w:val="16"/>
          <w:szCs w:val="16"/>
          <w:lang w:val="es-DO"/>
        </w:rPr>
        <w:t>Vereda La Esperanza Vs. Colombia</w:t>
      </w:r>
      <w:r w:rsidR="0016280D" w:rsidRPr="00D947B3">
        <w:rPr>
          <w:rFonts w:ascii="Verdana" w:hAnsi="Verdana"/>
          <w:i/>
          <w:sz w:val="16"/>
          <w:szCs w:val="16"/>
          <w:lang w:val="es-DO"/>
        </w:rPr>
        <w:t xml:space="preserve">. Interpretación de la Sentencia de Excepción Preliminar, Fondo, Reparaciones y Costas. </w:t>
      </w:r>
      <w:r w:rsidR="0016280D" w:rsidRPr="00D947B3">
        <w:rPr>
          <w:rFonts w:ascii="Verdana" w:hAnsi="Verdana"/>
          <w:sz w:val="16"/>
          <w:szCs w:val="16"/>
          <w:lang w:val="es-DO"/>
        </w:rPr>
        <w:t>Sentencia de</w:t>
      </w:r>
      <w:r w:rsidR="00895D17">
        <w:rPr>
          <w:rFonts w:ascii="Verdana" w:hAnsi="Verdana"/>
          <w:sz w:val="16"/>
          <w:szCs w:val="16"/>
          <w:lang w:val="es-DO"/>
        </w:rPr>
        <w:t xml:space="preserve"> la Corte Interamericana de Derechos Humanos</w:t>
      </w:r>
      <w:r w:rsidR="0016280D" w:rsidRPr="00D947B3">
        <w:rPr>
          <w:rFonts w:ascii="Verdana" w:hAnsi="Verdana"/>
          <w:sz w:val="16"/>
          <w:szCs w:val="16"/>
          <w:lang w:val="es-DO"/>
        </w:rPr>
        <w:t xml:space="preserve"> </w:t>
      </w:r>
      <w:r w:rsidR="00B7322B">
        <w:rPr>
          <w:rFonts w:ascii="Verdana" w:hAnsi="Verdana"/>
          <w:sz w:val="16"/>
          <w:szCs w:val="16"/>
          <w:lang w:val="es-DO"/>
        </w:rPr>
        <w:t>21 de noviembre de 2018, Serie C No. 367, párr. 11</w:t>
      </w:r>
      <w:r w:rsidR="0016280D" w:rsidRPr="00D947B3">
        <w:rPr>
          <w:rFonts w:ascii="Verdana" w:hAnsi="Verdana"/>
          <w:sz w:val="16"/>
          <w:szCs w:val="16"/>
          <w:lang w:val="es-DO"/>
        </w:rPr>
        <w:t>.</w:t>
      </w:r>
    </w:p>
  </w:footnote>
  <w:footnote w:id="2">
    <w:p w14:paraId="4E263AB2" w14:textId="77777777" w:rsidR="00C469B4" w:rsidRPr="00895D17" w:rsidRDefault="00C469B4" w:rsidP="00D947B3">
      <w:pPr>
        <w:pStyle w:val="Textonotapie"/>
        <w:jc w:val="both"/>
        <w:rPr>
          <w:rFonts w:ascii="Verdana" w:hAnsi="Verdana"/>
          <w:sz w:val="16"/>
          <w:szCs w:val="16"/>
          <w:vertAlign w:val="superscript"/>
          <w:lang w:val="es-DO"/>
        </w:rPr>
      </w:pPr>
      <w:r w:rsidRPr="00D947B3">
        <w:rPr>
          <w:rStyle w:val="Refdenotaalpie"/>
          <w:rFonts w:ascii="Verdana" w:hAnsi="Verdana"/>
          <w:sz w:val="16"/>
          <w:szCs w:val="16"/>
          <w:lang w:val="es-DO"/>
        </w:rPr>
        <w:footnoteRef/>
      </w:r>
      <w:r w:rsidRPr="00D947B3">
        <w:rPr>
          <w:rFonts w:ascii="Verdana" w:hAnsi="Verdana"/>
          <w:sz w:val="16"/>
          <w:szCs w:val="16"/>
          <w:lang w:val="es-DO"/>
        </w:rPr>
        <w:t xml:space="preserve"> </w:t>
      </w:r>
      <w:r w:rsidR="00B7322B">
        <w:rPr>
          <w:rFonts w:ascii="Verdana" w:hAnsi="Verdana"/>
          <w:sz w:val="16"/>
          <w:szCs w:val="16"/>
          <w:lang w:val="es-DO"/>
        </w:rPr>
        <w:tab/>
      </w:r>
      <w:r w:rsidR="0016280D" w:rsidRPr="00D947B3">
        <w:rPr>
          <w:rFonts w:ascii="Verdana" w:hAnsi="Verdana"/>
          <w:i/>
          <w:sz w:val="16"/>
          <w:szCs w:val="16"/>
          <w:lang w:val="es-DO"/>
        </w:rPr>
        <w:t xml:space="preserve">Cfr. </w:t>
      </w:r>
      <w:r w:rsidR="00AD68AE" w:rsidRPr="00D947B3">
        <w:rPr>
          <w:rFonts w:ascii="Verdana" w:hAnsi="Verdana"/>
          <w:i/>
          <w:sz w:val="16"/>
          <w:szCs w:val="16"/>
          <w:lang w:val="es-DO"/>
        </w:rPr>
        <w:t>Caso Loayza Tamayo Vs. Perú</w:t>
      </w:r>
      <w:r w:rsidR="00AD68AE" w:rsidRPr="00D947B3">
        <w:rPr>
          <w:rFonts w:ascii="Verdana" w:hAnsi="Verdana"/>
          <w:sz w:val="16"/>
          <w:szCs w:val="16"/>
          <w:lang w:val="es-DO"/>
        </w:rPr>
        <w:t xml:space="preserve">. </w:t>
      </w:r>
      <w:r w:rsidR="00AD68AE" w:rsidRPr="00D947B3">
        <w:rPr>
          <w:rFonts w:ascii="Verdana" w:hAnsi="Verdana"/>
          <w:i/>
          <w:sz w:val="16"/>
          <w:szCs w:val="16"/>
          <w:lang w:val="es-DO"/>
        </w:rPr>
        <w:t>Interpretación de la Sentencia de Fondo</w:t>
      </w:r>
      <w:r w:rsidR="00AD68AE" w:rsidRPr="00D947B3">
        <w:rPr>
          <w:rFonts w:ascii="Verdana" w:hAnsi="Verdana"/>
          <w:sz w:val="16"/>
          <w:szCs w:val="16"/>
          <w:lang w:val="es-DO"/>
        </w:rPr>
        <w:t xml:space="preserve">. </w:t>
      </w:r>
      <w:r w:rsidR="00AD68AE">
        <w:rPr>
          <w:rFonts w:ascii="Verdana" w:hAnsi="Verdana"/>
          <w:sz w:val="16"/>
          <w:szCs w:val="16"/>
          <w:lang w:val="es-DO"/>
        </w:rPr>
        <w:t>Resolución de la Corte Interamericana de Derechos Humanos</w:t>
      </w:r>
      <w:r w:rsidR="00AD68AE" w:rsidRPr="00D947B3">
        <w:rPr>
          <w:rFonts w:ascii="Verdana" w:hAnsi="Verdana"/>
          <w:sz w:val="16"/>
          <w:szCs w:val="16"/>
          <w:lang w:val="es-DO"/>
        </w:rPr>
        <w:t xml:space="preserve"> de 8 de marzo de 1998. Serie C No. 47, párr. 16</w:t>
      </w:r>
      <w:r w:rsidR="0016280D" w:rsidRPr="00D947B3">
        <w:rPr>
          <w:rFonts w:ascii="Verdana" w:hAnsi="Verdana"/>
          <w:sz w:val="16"/>
          <w:szCs w:val="16"/>
          <w:lang w:val="es-DO"/>
        </w:rPr>
        <w:t xml:space="preserve">, y </w:t>
      </w:r>
      <w:r w:rsidR="00895D17" w:rsidRPr="00D947B3">
        <w:rPr>
          <w:rFonts w:ascii="Verdana" w:hAnsi="Verdana"/>
          <w:i/>
          <w:sz w:val="16"/>
          <w:szCs w:val="16"/>
          <w:lang w:val="es-DO"/>
        </w:rPr>
        <w:t xml:space="preserve">Caso </w:t>
      </w:r>
      <w:r w:rsidR="00895D17">
        <w:rPr>
          <w:rFonts w:ascii="Verdana" w:hAnsi="Verdana"/>
          <w:i/>
          <w:sz w:val="16"/>
          <w:szCs w:val="16"/>
          <w:lang w:val="es-DO"/>
        </w:rPr>
        <w:t>Vereda La Esperanza Vs. Colombia</w:t>
      </w:r>
      <w:r w:rsidR="00895D17" w:rsidRPr="00D947B3">
        <w:rPr>
          <w:rFonts w:ascii="Verdana" w:hAnsi="Verdana"/>
          <w:i/>
          <w:sz w:val="16"/>
          <w:szCs w:val="16"/>
          <w:lang w:val="es-DO"/>
        </w:rPr>
        <w:t xml:space="preserve">. Interpretación de la Sentencia de Excepción Preliminar, Fondo, Reparaciones y Costas. </w:t>
      </w:r>
      <w:r w:rsidR="00895D17" w:rsidRPr="00D947B3">
        <w:rPr>
          <w:rFonts w:ascii="Verdana" w:hAnsi="Verdana"/>
          <w:sz w:val="16"/>
          <w:szCs w:val="16"/>
          <w:lang w:val="es-DO"/>
        </w:rPr>
        <w:t>Sentencia de</w:t>
      </w:r>
      <w:r w:rsidR="00895D17">
        <w:rPr>
          <w:rFonts w:ascii="Verdana" w:hAnsi="Verdana"/>
          <w:sz w:val="16"/>
          <w:szCs w:val="16"/>
          <w:lang w:val="es-DO"/>
        </w:rPr>
        <w:t xml:space="preserve"> la Corte Interamericana de Derechos Humanos</w:t>
      </w:r>
      <w:r w:rsidR="00895D17" w:rsidRPr="00D947B3">
        <w:rPr>
          <w:rFonts w:ascii="Verdana" w:hAnsi="Verdana"/>
          <w:sz w:val="16"/>
          <w:szCs w:val="16"/>
          <w:lang w:val="es-DO"/>
        </w:rPr>
        <w:t xml:space="preserve"> </w:t>
      </w:r>
      <w:r w:rsidR="00895D17">
        <w:rPr>
          <w:rFonts w:ascii="Verdana" w:hAnsi="Verdana"/>
          <w:sz w:val="16"/>
          <w:szCs w:val="16"/>
          <w:lang w:val="es-DO"/>
        </w:rPr>
        <w:t>21 de noviembre de 2018, Serie C No. 367, párr. 11</w:t>
      </w:r>
      <w:r w:rsidR="00895D17" w:rsidRPr="00D947B3">
        <w:rPr>
          <w:rFonts w:ascii="Verdana" w:hAnsi="Verdana"/>
          <w:sz w:val="16"/>
          <w:szCs w:val="16"/>
          <w:lang w:val="es-DO"/>
        </w:rPr>
        <w:t>.</w:t>
      </w:r>
    </w:p>
  </w:footnote>
  <w:footnote w:id="3">
    <w:p w14:paraId="2BA6A458" w14:textId="77777777" w:rsidR="00C469B4" w:rsidRPr="007E13A1" w:rsidRDefault="00C469B4" w:rsidP="00D947B3">
      <w:pPr>
        <w:pStyle w:val="Textonotapie"/>
        <w:jc w:val="both"/>
        <w:rPr>
          <w:rFonts w:ascii="Verdana" w:hAnsi="Verdana"/>
          <w:sz w:val="16"/>
          <w:szCs w:val="16"/>
          <w:vertAlign w:val="superscript"/>
          <w:lang w:val="es-DO"/>
        </w:rPr>
      </w:pPr>
      <w:r w:rsidRPr="00D947B3">
        <w:rPr>
          <w:rStyle w:val="Refdenotaalpie"/>
          <w:rFonts w:ascii="Verdana" w:hAnsi="Verdana"/>
          <w:sz w:val="16"/>
          <w:szCs w:val="16"/>
          <w:lang w:val="es-DO"/>
        </w:rPr>
        <w:footnoteRef/>
      </w:r>
      <w:r w:rsidRPr="00D947B3">
        <w:rPr>
          <w:rFonts w:ascii="Verdana" w:hAnsi="Verdana"/>
          <w:sz w:val="16"/>
          <w:szCs w:val="16"/>
          <w:lang w:val="es-DO"/>
        </w:rPr>
        <w:t xml:space="preserve"> </w:t>
      </w:r>
      <w:r w:rsidR="00B7322B">
        <w:rPr>
          <w:rFonts w:ascii="Verdana" w:hAnsi="Verdana"/>
          <w:sz w:val="16"/>
          <w:szCs w:val="16"/>
          <w:lang w:val="es-DO"/>
        </w:rPr>
        <w:tab/>
      </w:r>
      <w:r w:rsidRPr="00D947B3">
        <w:rPr>
          <w:rFonts w:ascii="Verdana" w:hAnsi="Verdana"/>
          <w:i/>
          <w:sz w:val="16"/>
          <w:szCs w:val="16"/>
          <w:lang w:val="es-DO"/>
        </w:rPr>
        <w:t xml:space="preserve">Cfr. </w:t>
      </w:r>
      <w:r w:rsidRPr="00D947B3">
        <w:rPr>
          <w:rFonts w:ascii="Verdana" w:hAnsi="Verdana"/>
          <w:i/>
          <w:sz w:val="16"/>
          <w:szCs w:val="16"/>
        </w:rPr>
        <w:t xml:space="preserve">Caso Loayza Tamayo Vs. Perú. </w:t>
      </w:r>
      <w:r w:rsidRPr="00D947B3">
        <w:rPr>
          <w:rFonts w:ascii="Verdana" w:hAnsi="Verdana"/>
          <w:i/>
          <w:sz w:val="16"/>
          <w:szCs w:val="16"/>
        </w:rPr>
        <w:t xml:space="preserve">Interpretación de la Sentencia de Reparaciones y Costas. </w:t>
      </w:r>
      <w:r w:rsidRPr="00D947B3">
        <w:rPr>
          <w:rFonts w:ascii="Verdana" w:hAnsi="Verdana"/>
          <w:sz w:val="16"/>
          <w:szCs w:val="16"/>
        </w:rPr>
        <w:t>Sentencia de</w:t>
      </w:r>
      <w:r w:rsidR="007E13A1">
        <w:rPr>
          <w:rFonts w:ascii="Verdana" w:hAnsi="Verdana"/>
          <w:sz w:val="16"/>
          <w:szCs w:val="16"/>
          <w:lang w:val="es-CR"/>
        </w:rPr>
        <w:t xml:space="preserve"> la Corte Interamericana de Derechos Humanos de</w:t>
      </w:r>
      <w:r w:rsidRPr="00D947B3">
        <w:rPr>
          <w:rFonts w:ascii="Verdana" w:hAnsi="Verdana"/>
          <w:sz w:val="16"/>
          <w:szCs w:val="16"/>
        </w:rPr>
        <w:t xml:space="preserve"> 3 de junio de 1999. Serie C No. 53</w:t>
      </w:r>
      <w:r w:rsidRPr="00D947B3">
        <w:rPr>
          <w:rFonts w:ascii="Verdana" w:hAnsi="Verdana"/>
          <w:sz w:val="16"/>
          <w:szCs w:val="16"/>
          <w:lang w:val="es-DO"/>
        </w:rPr>
        <w:t xml:space="preserve">, párr. 15, y </w:t>
      </w:r>
      <w:r w:rsidR="007E13A1" w:rsidRPr="00D947B3">
        <w:rPr>
          <w:rFonts w:ascii="Verdana" w:hAnsi="Verdana"/>
          <w:i/>
          <w:sz w:val="16"/>
          <w:szCs w:val="16"/>
          <w:lang w:val="es-DO"/>
        </w:rPr>
        <w:t xml:space="preserve">Caso </w:t>
      </w:r>
      <w:r w:rsidR="007E13A1">
        <w:rPr>
          <w:rFonts w:ascii="Verdana" w:hAnsi="Verdana"/>
          <w:i/>
          <w:sz w:val="16"/>
          <w:szCs w:val="16"/>
          <w:lang w:val="es-DO"/>
        </w:rPr>
        <w:t>Vereda La Esperanza Vs. Colombia</w:t>
      </w:r>
      <w:r w:rsidR="007E13A1" w:rsidRPr="00D947B3">
        <w:rPr>
          <w:rFonts w:ascii="Verdana" w:hAnsi="Verdana"/>
          <w:i/>
          <w:sz w:val="16"/>
          <w:szCs w:val="16"/>
          <w:lang w:val="es-DO"/>
        </w:rPr>
        <w:t xml:space="preserve">. Interpretación de la Sentencia de Excepción Preliminar, Fondo, Reparaciones y Costas. </w:t>
      </w:r>
      <w:r w:rsidR="007E13A1" w:rsidRPr="00D947B3">
        <w:rPr>
          <w:rFonts w:ascii="Verdana" w:hAnsi="Verdana"/>
          <w:sz w:val="16"/>
          <w:szCs w:val="16"/>
          <w:lang w:val="es-DO"/>
        </w:rPr>
        <w:t>Sentencia de</w:t>
      </w:r>
      <w:r w:rsidR="007E13A1">
        <w:rPr>
          <w:rFonts w:ascii="Verdana" w:hAnsi="Verdana"/>
          <w:sz w:val="16"/>
          <w:szCs w:val="16"/>
          <w:lang w:val="es-DO"/>
        </w:rPr>
        <w:t xml:space="preserve"> la Corte Interamericana de Derechos Humanos</w:t>
      </w:r>
      <w:r w:rsidR="007E13A1" w:rsidRPr="00D947B3">
        <w:rPr>
          <w:rFonts w:ascii="Verdana" w:hAnsi="Verdana"/>
          <w:sz w:val="16"/>
          <w:szCs w:val="16"/>
          <w:lang w:val="es-DO"/>
        </w:rPr>
        <w:t xml:space="preserve"> </w:t>
      </w:r>
      <w:r w:rsidR="007E13A1">
        <w:rPr>
          <w:rFonts w:ascii="Verdana" w:hAnsi="Verdana"/>
          <w:sz w:val="16"/>
          <w:szCs w:val="16"/>
          <w:lang w:val="es-DO"/>
        </w:rPr>
        <w:t>21 de noviembre de 2018, Serie C No. 367, párr. 12.</w:t>
      </w:r>
    </w:p>
  </w:footnote>
  <w:footnote w:id="4">
    <w:p w14:paraId="32FB8A1A" w14:textId="77777777" w:rsidR="00C469B4" w:rsidRPr="00D947B3" w:rsidRDefault="00C469B4" w:rsidP="00D947B3">
      <w:pPr>
        <w:pStyle w:val="Textonotapie"/>
        <w:jc w:val="both"/>
        <w:rPr>
          <w:rFonts w:ascii="Verdana" w:hAnsi="Verdana"/>
          <w:sz w:val="16"/>
          <w:szCs w:val="16"/>
          <w:lang w:val="es-DO"/>
        </w:rPr>
      </w:pPr>
      <w:r w:rsidRPr="00D947B3">
        <w:rPr>
          <w:rStyle w:val="Refdenotaalpie"/>
          <w:rFonts w:ascii="Verdana" w:hAnsi="Verdana"/>
          <w:sz w:val="16"/>
          <w:szCs w:val="16"/>
          <w:lang w:val="es-DO"/>
        </w:rPr>
        <w:footnoteRef/>
      </w:r>
      <w:r w:rsidRPr="00D947B3">
        <w:rPr>
          <w:rFonts w:ascii="Verdana" w:hAnsi="Verdana"/>
          <w:sz w:val="16"/>
          <w:szCs w:val="16"/>
          <w:lang w:val="es-DO"/>
        </w:rPr>
        <w:t xml:space="preserve"> </w:t>
      </w:r>
      <w:r w:rsidR="00B7322B">
        <w:rPr>
          <w:rFonts w:ascii="Verdana" w:hAnsi="Verdana"/>
          <w:sz w:val="16"/>
          <w:szCs w:val="16"/>
          <w:lang w:val="es-DO"/>
        </w:rPr>
        <w:tab/>
      </w:r>
      <w:r w:rsidRPr="00D947B3">
        <w:rPr>
          <w:rFonts w:ascii="Verdana" w:hAnsi="Verdana"/>
          <w:i/>
          <w:sz w:val="16"/>
          <w:szCs w:val="16"/>
          <w:lang w:val="es-DO"/>
        </w:rPr>
        <w:t>Cfr. Caso Salvador Chiriboga Vs. Ecuador</w:t>
      </w:r>
      <w:r w:rsidRPr="00D947B3">
        <w:rPr>
          <w:rFonts w:ascii="Verdana" w:hAnsi="Verdana"/>
          <w:sz w:val="16"/>
          <w:szCs w:val="16"/>
          <w:lang w:val="es-DO"/>
        </w:rPr>
        <w:t xml:space="preserve">. </w:t>
      </w:r>
      <w:r w:rsidRPr="00D947B3">
        <w:rPr>
          <w:rFonts w:ascii="Verdana" w:hAnsi="Verdana"/>
          <w:i/>
          <w:sz w:val="16"/>
          <w:szCs w:val="16"/>
          <w:lang w:val="es-DO"/>
        </w:rPr>
        <w:t>Interpretación de la Sentencia de Reparaciones y Costas</w:t>
      </w:r>
      <w:r w:rsidRPr="00D947B3">
        <w:rPr>
          <w:rFonts w:ascii="Verdana" w:hAnsi="Verdana"/>
          <w:sz w:val="16"/>
          <w:szCs w:val="16"/>
          <w:lang w:val="es-DO"/>
        </w:rPr>
        <w:t>. Sentencia de</w:t>
      </w:r>
      <w:r w:rsidR="009669C4">
        <w:rPr>
          <w:rFonts w:ascii="Verdana" w:hAnsi="Verdana"/>
          <w:sz w:val="16"/>
          <w:szCs w:val="16"/>
          <w:lang w:val="es-DO"/>
        </w:rPr>
        <w:t xml:space="preserve"> la Corte Interamericana de Derechos Humanos de</w:t>
      </w:r>
      <w:r w:rsidRPr="00D947B3">
        <w:rPr>
          <w:rFonts w:ascii="Verdana" w:hAnsi="Verdana"/>
          <w:sz w:val="16"/>
          <w:szCs w:val="16"/>
          <w:lang w:val="es-DO"/>
        </w:rPr>
        <w:t xml:space="preserve"> 29 de agosto de 2011. Serie C No. 230, párr. 30, y </w:t>
      </w:r>
      <w:r w:rsidR="009669C4" w:rsidRPr="00D947B3">
        <w:rPr>
          <w:rFonts w:ascii="Verdana" w:hAnsi="Verdana"/>
          <w:i/>
          <w:sz w:val="16"/>
          <w:szCs w:val="16"/>
          <w:lang w:val="es-DO"/>
        </w:rPr>
        <w:t xml:space="preserve">Caso </w:t>
      </w:r>
      <w:r w:rsidR="009669C4">
        <w:rPr>
          <w:rFonts w:ascii="Verdana" w:hAnsi="Verdana"/>
          <w:i/>
          <w:sz w:val="16"/>
          <w:szCs w:val="16"/>
          <w:lang w:val="es-DO"/>
        </w:rPr>
        <w:t>Vereda La Esperanza Vs. Colombia</w:t>
      </w:r>
      <w:r w:rsidR="009669C4" w:rsidRPr="00D947B3">
        <w:rPr>
          <w:rFonts w:ascii="Verdana" w:hAnsi="Verdana"/>
          <w:i/>
          <w:sz w:val="16"/>
          <w:szCs w:val="16"/>
          <w:lang w:val="es-DO"/>
        </w:rPr>
        <w:t xml:space="preserve">. Interpretación de la Sentencia de Excepción Preliminar, Fondo, Reparaciones y Costas. </w:t>
      </w:r>
      <w:r w:rsidR="009669C4" w:rsidRPr="00D947B3">
        <w:rPr>
          <w:rFonts w:ascii="Verdana" w:hAnsi="Verdana"/>
          <w:sz w:val="16"/>
          <w:szCs w:val="16"/>
          <w:lang w:val="es-DO"/>
        </w:rPr>
        <w:t>Sentencia de</w:t>
      </w:r>
      <w:r w:rsidR="009669C4">
        <w:rPr>
          <w:rFonts w:ascii="Verdana" w:hAnsi="Verdana"/>
          <w:sz w:val="16"/>
          <w:szCs w:val="16"/>
          <w:lang w:val="es-DO"/>
        </w:rPr>
        <w:t xml:space="preserve"> la Corte Interamericana de Derechos Humanos</w:t>
      </w:r>
      <w:r w:rsidR="009669C4" w:rsidRPr="00D947B3">
        <w:rPr>
          <w:rFonts w:ascii="Verdana" w:hAnsi="Verdana"/>
          <w:sz w:val="16"/>
          <w:szCs w:val="16"/>
          <w:lang w:val="es-DO"/>
        </w:rPr>
        <w:t xml:space="preserve"> </w:t>
      </w:r>
      <w:r w:rsidR="009669C4">
        <w:rPr>
          <w:rFonts w:ascii="Verdana" w:hAnsi="Verdana"/>
          <w:sz w:val="16"/>
          <w:szCs w:val="16"/>
          <w:lang w:val="es-DO"/>
        </w:rPr>
        <w:t>21 de noviembre de 2018, Serie C No. 367, párr. 12.</w:t>
      </w:r>
    </w:p>
  </w:footnote>
  <w:footnote w:id="5">
    <w:p w14:paraId="76EDE1E1" w14:textId="77777777" w:rsidR="00C469B4" w:rsidRPr="005A161E" w:rsidRDefault="00C469B4" w:rsidP="00D947B3">
      <w:pPr>
        <w:pStyle w:val="Textonotapie"/>
        <w:jc w:val="both"/>
        <w:rPr>
          <w:rFonts w:ascii="Verdana" w:hAnsi="Verdana"/>
          <w:sz w:val="16"/>
          <w:szCs w:val="16"/>
          <w:lang w:val="es-DO"/>
        </w:rPr>
      </w:pPr>
      <w:r w:rsidRPr="00D947B3">
        <w:rPr>
          <w:rStyle w:val="Refdenotaalpie"/>
          <w:rFonts w:ascii="Verdana" w:hAnsi="Verdana"/>
          <w:sz w:val="16"/>
          <w:szCs w:val="16"/>
          <w:lang w:val="es-DO"/>
        </w:rPr>
        <w:footnoteRef/>
      </w:r>
      <w:r w:rsidRPr="00D947B3">
        <w:rPr>
          <w:rFonts w:ascii="Verdana" w:hAnsi="Verdana"/>
          <w:sz w:val="16"/>
          <w:szCs w:val="16"/>
          <w:lang w:val="es-DO"/>
        </w:rPr>
        <w:t xml:space="preserve"> </w:t>
      </w:r>
      <w:r w:rsidR="00B7322B">
        <w:rPr>
          <w:rFonts w:ascii="Verdana" w:hAnsi="Verdana"/>
          <w:sz w:val="16"/>
          <w:szCs w:val="16"/>
          <w:lang w:val="es-DO"/>
        </w:rPr>
        <w:tab/>
      </w:r>
      <w:r w:rsidRPr="00D947B3">
        <w:rPr>
          <w:rFonts w:ascii="Verdana" w:hAnsi="Verdana"/>
          <w:i/>
          <w:sz w:val="16"/>
          <w:szCs w:val="16"/>
          <w:lang w:val="es-DO"/>
        </w:rPr>
        <w:t>Cfr. Caso Escher y otros Vs. Brasil</w:t>
      </w:r>
      <w:r w:rsidRPr="00D947B3">
        <w:rPr>
          <w:rFonts w:ascii="Verdana" w:hAnsi="Verdana"/>
          <w:sz w:val="16"/>
          <w:szCs w:val="16"/>
          <w:lang w:val="es-DO"/>
        </w:rPr>
        <w:t xml:space="preserve">. </w:t>
      </w:r>
      <w:r w:rsidRPr="00D947B3">
        <w:rPr>
          <w:rFonts w:ascii="Verdana" w:hAnsi="Verdana"/>
          <w:i/>
          <w:sz w:val="16"/>
          <w:szCs w:val="16"/>
          <w:lang w:val="es-DO"/>
        </w:rPr>
        <w:t>Interpretación de la Sentencia de Excepciones Preliminares, Fondo, Reparaciones y Costas</w:t>
      </w:r>
      <w:r w:rsidRPr="00D947B3">
        <w:rPr>
          <w:rFonts w:ascii="Verdana" w:hAnsi="Verdana"/>
          <w:sz w:val="16"/>
          <w:szCs w:val="16"/>
          <w:lang w:val="es-DO"/>
        </w:rPr>
        <w:t>. Sentencia de</w:t>
      </w:r>
      <w:r w:rsidR="005A161E">
        <w:rPr>
          <w:rFonts w:ascii="Verdana" w:hAnsi="Verdana"/>
          <w:sz w:val="16"/>
          <w:szCs w:val="16"/>
          <w:lang w:val="es-DO"/>
        </w:rPr>
        <w:t xml:space="preserve"> la Corte Interamericana de Derechos Humanos de</w:t>
      </w:r>
      <w:r w:rsidRPr="00D947B3">
        <w:rPr>
          <w:rFonts w:ascii="Verdana" w:hAnsi="Verdana"/>
          <w:sz w:val="16"/>
          <w:szCs w:val="16"/>
          <w:lang w:val="es-DO"/>
        </w:rPr>
        <w:t xml:space="preserve"> 20 de noviembre de 2009. Serie C No. 208, párr. 11, y</w:t>
      </w:r>
      <w:r w:rsidRPr="00D947B3">
        <w:rPr>
          <w:rFonts w:ascii="Verdana" w:hAnsi="Verdana"/>
          <w:i/>
          <w:sz w:val="16"/>
          <w:szCs w:val="16"/>
          <w:lang w:val="es-DO"/>
        </w:rPr>
        <w:t xml:space="preserve"> </w:t>
      </w:r>
      <w:r w:rsidR="005A161E" w:rsidRPr="00D947B3">
        <w:rPr>
          <w:rFonts w:ascii="Verdana" w:hAnsi="Verdana"/>
          <w:i/>
          <w:sz w:val="16"/>
          <w:szCs w:val="16"/>
          <w:lang w:val="es-DO"/>
        </w:rPr>
        <w:t xml:space="preserve">Caso </w:t>
      </w:r>
      <w:r w:rsidR="005A161E">
        <w:rPr>
          <w:rFonts w:ascii="Verdana" w:hAnsi="Verdana"/>
          <w:i/>
          <w:sz w:val="16"/>
          <w:szCs w:val="16"/>
          <w:lang w:val="es-DO"/>
        </w:rPr>
        <w:t>Vereda La Esperanza Vs. Colombia</w:t>
      </w:r>
      <w:r w:rsidR="005A161E" w:rsidRPr="00D947B3">
        <w:rPr>
          <w:rFonts w:ascii="Verdana" w:hAnsi="Verdana"/>
          <w:i/>
          <w:sz w:val="16"/>
          <w:szCs w:val="16"/>
          <w:lang w:val="es-DO"/>
        </w:rPr>
        <w:t xml:space="preserve">. Interpretación de la Sentencia de Excepción Preliminar, Fondo, Reparaciones y Costas. </w:t>
      </w:r>
      <w:r w:rsidR="005A161E" w:rsidRPr="00D947B3">
        <w:rPr>
          <w:rFonts w:ascii="Verdana" w:hAnsi="Verdana"/>
          <w:sz w:val="16"/>
          <w:szCs w:val="16"/>
          <w:lang w:val="es-DO"/>
        </w:rPr>
        <w:t>Sentencia de</w:t>
      </w:r>
      <w:r w:rsidR="005A161E">
        <w:rPr>
          <w:rFonts w:ascii="Verdana" w:hAnsi="Verdana"/>
          <w:sz w:val="16"/>
          <w:szCs w:val="16"/>
          <w:lang w:val="es-DO"/>
        </w:rPr>
        <w:t xml:space="preserve"> la Corte Interamericana de Derechos Humanos</w:t>
      </w:r>
      <w:r w:rsidR="005A161E" w:rsidRPr="00D947B3">
        <w:rPr>
          <w:rFonts w:ascii="Verdana" w:hAnsi="Verdana"/>
          <w:sz w:val="16"/>
          <w:szCs w:val="16"/>
          <w:lang w:val="es-DO"/>
        </w:rPr>
        <w:t xml:space="preserve"> </w:t>
      </w:r>
      <w:r w:rsidR="005A161E">
        <w:rPr>
          <w:rFonts w:ascii="Verdana" w:hAnsi="Verdana"/>
          <w:sz w:val="16"/>
          <w:szCs w:val="16"/>
          <w:lang w:val="es-DO"/>
        </w:rPr>
        <w:t>21 de noviembre de 2018, Serie C No. 367,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8DEF" w14:textId="77777777" w:rsidR="00B97637" w:rsidRDefault="004A5A50" w:rsidP="004252D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DFD97" w14:textId="77777777" w:rsidR="00B97637" w:rsidRDefault="00273A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ED84" w14:textId="77777777" w:rsidR="00B97637" w:rsidRDefault="00273A56" w:rsidP="004252DE">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120A" w14:textId="77777777" w:rsidR="00B97637" w:rsidRPr="00AD6D04" w:rsidRDefault="00273A56" w:rsidP="004252D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D7242152"/>
    <w:lvl w:ilvl="0">
      <w:start w:val="3"/>
      <w:numFmt w:val="decimal"/>
      <w:pStyle w:val="PrrafodeSentencia"/>
      <w:lvlText w:val="%1."/>
      <w:lvlJc w:val="left"/>
      <w:pPr>
        <w:tabs>
          <w:tab w:val="num" w:pos="360"/>
        </w:tabs>
        <w:ind w:left="360" w:hanging="360"/>
      </w:pPr>
      <w:rPr>
        <w:rFonts w:ascii="Verdana" w:hAnsi="Verdana" w:hint="default"/>
        <w:b w:val="0"/>
        <w:i w:val="0"/>
        <w:strike w:val="0"/>
        <w:color w:val="auto"/>
        <w:sz w:val="20"/>
        <w:szCs w:val="20"/>
      </w:rPr>
    </w:lvl>
    <w:lvl w:ilvl="1">
      <w:start w:val="1"/>
      <w:numFmt w:val="decimal"/>
      <w:lvlText w:val="%2."/>
      <w:lvlJc w:val="left"/>
      <w:pPr>
        <w:tabs>
          <w:tab w:val="num" w:pos="1080"/>
        </w:tabs>
        <w:ind w:left="1080" w:hanging="360"/>
      </w:pPr>
      <w:rPr>
        <w:lang w:val="es-C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EB33FF"/>
    <w:multiLevelType w:val="hybridMultilevel"/>
    <w:tmpl w:val="118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050E6"/>
    <w:multiLevelType w:val="hybridMultilevel"/>
    <w:tmpl w:val="454023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CBF02C5"/>
    <w:multiLevelType w:val="hybridMultilevel"/>
    <w:tmpl w:val="20D879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CCD1B5F"/>
    <w:multiLevelType w:val="hybridMultilevel"/>
    <w:tmpl w:val="32FA1412"/>
    <w:lvl w:ilvl="0" w:tplc="78AAAA9C">
      <w:start w:val="1"/>
      <w:numFmt w:val="decimal"/>
      <w:lvlText w:val="%1."/>
      <w:lvlJc w:val="left"/>
      <w:pPr>
        <w:ind w:left="7110" w:hanging="360"/>
      </w:pPr>
      <w:rPr>
        <w:rFonts w:ascii="Verdana" w:eastAsia="Batang" w:hAnsi="Verdana" w:cs="Times"/>
        <w:b w:val="0"/>
        <w:i w:val="0"/>
        <w:color w:val="auto"/>
        <w:sz w:val="20"/>
        <w:szCs w:val="20"/>
        <w:lang w:val="es-MX"/>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6D0362A1"/>
    <w:multiLevelType w:val="hybridMultilevel"/>
    <w:tmpl w:val="5CC463EE"/>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76753A80"/>
    <w:multiLevelType w:val="hybridMultilevel"/>
    <w:tmpl w:val="972E4AA2"/>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7" w15:restartNumberingAfterBreak="0">
    <w:nsid w:val="7CE64D32"/>
    <w:multiLevelType w:val="hybridMultilevel"/>
    <w:tmpl w:val="C4880AEC"/>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AR"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s-DO" w:vendorID="64" w:dllVersion="6" w:nlCheck="1" w:checkStyle="1"/>
  <w:activeWritingStyle w:appName="MSWord" w:lang="es-ES" w:vendorID="64" w:dllVersion="6" w:nlCheck="1" w:checkStyle="1"/>
  <w:activeWritingStyle w:appName="MSWord" w:lang="es-PA" w:vendorID="64" w:dllVersion="6" w:nlCheck="1" w:checkStyle="1"/>
  <w:activeWritingStyle w:appName="MSWord" w:lang="es-MX" w:vendorID="64" w:dllVersion="6" w:nlCheck="1" w:checkStyle="1"/>
  <w:activeWritingStyle w:appName="MSWord" w:lang="es-C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PA" w:vendorID="64" w:dllVersion="4096" w:nlCheck="1" w:checkStyle="0"/>
  <w:activeWritingStyle w:appName="MSWord" w:lang="es-DO"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97"/>
    <w:rsid w:val="00005FBC"/>
    <w:rsid w:val="00010E44"/>
    <w:rsid w:val="00012EB9"/>
    <w:rsid w:val="000139A9"/>
    <w:rsid w:val="000139B1"/>
    <w:rsid w:val="00030376"/>
    <w:rsid w:val="00031F46"/>
    <w:rsid w:val="00064C1E"/>
    <w:rsid w:val="00067A54"/>
    <w:rsid w:val="000703C9"/>
    <w:rsid w:val="00072E95"/>
    <w:rsid w:val="000775C0"/>
    <w:rsid w:val="00077A4A"/>
    <w:rsid w:val="0008360D"/>
    <w:rsid w:val="00093AB6"/>
    <w:rsid w:val="0009648E"/>
    <w:rsid w:val="000A4AD3"/>
    <w:rsid w:val="000A739F"/>
    <w:rsid w:val="000B293B"/>
    <w:rsid w:val="000C7596"/>
    <w:rsid w:val="000E0D48"/>
    <w:rsid w:val="000E31B6"/>
    <w:rsid w:val="000E40A3"/>
    <w:rsid w:val="000E5DE4"/>
    <w:rsid w:val="000F0702"/>
    <w:rsid w:val="000F36EC"/>
    <w:rsid w:val="0010417B"/>
    <w:rsid w:val="00107EA0"/>
    <w:rsid w:val="00117DCE"/>
    <w:rsid w:val="00121E07"/>
    <w:rsid w:val="001241EC"/>
    <w:rsid w:val="00126FE0"/>
    <w:rsid w:val="001274AB"/>
    <w:rsid w:val="0013284C"/>
    <w:rsid w:val="001519BE"/>
    <w:rsid w:val="00160BC7"/>
    <w:rsid w:val="00161EF0"/>
    <w:rsid w:val="0016280D"/>
    <w:rsid w:val="0017484E"/>
    <w:rsid w:val="0018023D"/>
    <w:rsid w:val="00185241"/>
    <w:rsid w:val="00191668"/>
    <w:rsid w:val="00193A04"/>
    <w:rsid w:val="0019512A"/>
    <w:rsid w:val="001A3889"/>
    <w:rsid w:val="001B28AF"/>
    <w:rsid w:val="001B7615"/>
    <w:rsid w:val="001C24B0"/>
    <w:rsid w:val="001C465E"/>
    <w:rsid w:val="001C5A5C"/>
    <w:rsid w:val="001D0B60"/>
    <w:rsid w:val="001D14A6"/>
    <w:rsid w:val="001E1718"/>
    <w:rsid w:val="001E29F4"/>
    <w:rsid w:val="001E6BA7"/>
    <w:rsid w:val="00204BEA"/>
    <w:rsid w:val="002123F7"/>
    <w:rsid w:val="00222515"/>
    <w:rsid w:val="00224342"/>
    <w:rsid w:val="00233FB1"/>
    <w:rsid w:val="00240A0B"/>
    <w:rsid w:val="002419B2"/>
    <w:rsid w:val="0024207C"/>
    <w:rsid w:val="00242D33"/>
    <w:rsid w:val="00243299"/>
    <w:rsid w:val="002448BA"/>
    <w:rsid w:val="00262910"/>
    <w:rsid w:val="00267103"/>
    <w:rsid w:val="002672EF"/>
    <w:rsid w:val="00273A56"/>
    <w:rsid w:val="00273EAB"/>
    <w:rsid w:val="00280966"/>
    <w:rsid w:val="00281416"/>
    <w:rsid w:val="00281FA0"/>
    <w:rsid w:val="00284014"/>
    <w:rsid w:val="00292888"/>
    <w:rsid w:val="002A0539"/>
    <w:rsid w:val="002C41FC"/>
    <w:rsid w:val="002D207F"/>
    <w:rsid w:val="002E7B61"/>
    <w:rsid w:val="002F5D6A"/>
    <w:rsid w:val="003016B2"/>
    <w:rsid w:val="003073C3"/>
    <w:rsid w:val="00307B5F"/>
    <w:rsid w:val="00320614"/>
    <w:rsid w:val="00326009"/>
    <w:rsid w:val="00326731"/>
    <w:rsid w:val="00341838"/>
    <w:rsid w:val="0034669B"/>
    <w:rsid w:val="0034703A"/>
    <w:rsid w:val="003601A1"/>
    <w:rsid w:val="003645D7"/>
    <w:rsid w:val="0037162C"/>
    <w:rsid w:val="00372B83"/>
    <w:rsid w:val="00372F18"/>
    <w:rsid w:val="00374305"/>
    <w:rsid w:val="003820F8"/>
    <w:rsid w:val="00386DC8"/>
    <w:rsid w:val="00391B84"/>
    <w:rsid w:val="003A32F1"/>
    <w:rsid w:val="003B547D"/>
    <w:rsid w:val="003B5581"/>
    <w:rsid w:val="003C3038"/>
    <w:rsid w:val="003D1595"/>
    <w:rsid w:val="003D1781"/>
    <w:rsid w:val="003F5E48"/>
    <w:rsid w:val="003F6692"/>
    <w:rsid w:val="003F693C"/>
    <w:rsid w:val="003F6A83"/>
    <w:rsid w:val="00400A80"/>
    <w:rsid w:val="0040104C"/>
    <w:rsid w:val="0040422A"/>
    <w:rsid w:val="00407800"/>
    <w:rsid w:val="00411AA0"/>
    <w:rsid w:val="0042353D"/>
    <w:rsid w:val="00434957"/>
    <w:rsid w:val="004412D7"/>
    <w:rsid w:val="00443811"/>
    <w:rsid w:val="00453E5A"/>
    <w:rsid w:val="00454D0D"/>
    <w:rsid w:val="004768F7"/>
    <w:rsid w:val="00476B19"/>
    <w:rsid w:val="00480D7A"/>
    <w:rsid w:val="00481F8C"/>
    <w:rsid w:val="00487100"/>
    <w:rsid w:val="0048769B"/>
    <w:rsid w:val="004A38D0"/>
    <w:rsid w:val="004A44E2"/>
    <w:rsid w:val="004A4B1A"/>
    <w:rsid w:val="004A5A50"/>
    <w:rsid w:val="004A61E4"/>
    <w:rsid w:val="004A6D94"/>
    <w:rsid w:val="004B01A4"/>
    <w:rsid w:val="004B07FB"/>
    <w:rsid w:val="004B0DD2"/>
    <w:rsid w:val="004C0E4C"/>
    <w:rsid w:val="004C39B2"/>
    <w:rsid w:val="004C497D"/>
    <w:rsid w:val="004C796E"/>
    <w:rsid w:val="004D022F"/>
    <w:rsid w:val="004D4A84"/>
    <w:rsid w:val="004E0CD8"/>
    <w:rsid w:val="004E2E75"/>
    <w:rsid w:val="004E61A1"/>
    <w:rsid w:val="004F0881"/>
    <w:rsid w:val="004F176F"/>
    <w:rsid w:val="005032B9"/>
    <w:rsid w:val="00513537"/>
    <w:rsid w:val="00516D48"/>
    <w:rsid w:val="00516E8C"/>
    <w:rsid w:val="005226F5"/>
    <w:rsid w:val="00537FF5"/>
    <w:rsid w:val="00546D19"/>
    <w:rsid w:val="005605FB"/>
    <w:rsid w:val="0056370B"/>
    <w:rsid w:val="005661FE"/>
    <w:rsid w:val="00574A9A"/>
    <w:rsid w:val="005755BA"/>
    <w:rsid w:val="00577097"/>
    <w:rsid w:val="005847FB"/>
    <w:rsid w:val="0059112E"/>
    <w:rsid w:val="005939E6"/>
    <w:rsid w:val="005A161E"/>
    <w:rsid w:val="005A6020"/>
    <w:rsid w:val="005B59D1"/>
    <w:rsid w:val="005B7A9B"/>
    <w:rsid w:val="005C1433"/>
    <w:rsid w:val="005C2911"/>
    <w:rsid w:val="005C3031"/>
    <w:rsid w:val="005C601B"/>
    <w:rsid w:val="005C66CD"/>
    <w:rsid w:val="005C797C"/>
    <w:rsid w:val="005D14D8"/>
    <w:rsid w:val="005E0025"/>
    <w:rsid w:val="005F3BC2"/>
    <w:rsid w:val="00601FBD"/>
    <w:rsid w:val="006071E0"/>
    <w:rsid w:val="00613C49"/>
    <w:rsid w:val="0061704F"/>
    <w:rsid w:val="006239E5"/>
    <w:rsid w:val="006276E1"/>
    <w:rsid w:val="00630E7E"/>
    <w:rsid w:val="00632CB0"/>
    <w:rsid w:val="00635702"/>
    <w:rsid w:val="0063714C"/>
    <w:rsid w:val="006373F8"/>
    <w:rsid w:val="00640BF1"/>
    <w:rsid w:val="00643162"/>
    <w:rsid w:val="00651448"/>
    <w:rsid w:val="00653823"/>
    <w:rsid w:val="0065787B"/>
    <w:rsid w:val="00661051"/>
    <w:rsid w:val="00665B11"/>
    <w:rsid w:val="00670334"/>
    <w:rsid w:val="006766CC"/>
    <w:rsid w:val="006834DA"/>
    <w:rsid w:val="00687713"/>
    <w:rsid w:val="00691EB2"/>
    <w:rsid w:val="00692ADE"/>
    <w:rsid w:val="0069533B"/>
    <w:rsid w:val="006A4571"/>
    <w:rsid w:val="006B63F6"/>
    <w:rsid w:val="006B7212"/>
    <w:rsid w:val="006D1F3B"/>
    <w:rsid w:val="006D235C"/>
    <w:rsid w:val="006E05F7"/>
    <w:rsid w:val="006E0F14"/>
    <w:rsid w:val="006E4276"/>
    <w:rsid w:val="00702B02"/>
    <w:rsid w:val="007034DA"/>
    <w:rsid w:val="00712E6E"/>
    <w:rsid w:val="007144F1"/>
    <w:rsid w:val="00715113"/>
    <w:rsid w:val="0072736F"/>
    <w:rsid w:val="007274AC"/>
    <w:rsid w:val="0073248C"/>
    <w:rsid w:val="00736E9A"/>
    <w:rsid w:val="00750DCC"/>
    <w:rsid w:val="00754019"/>
    <w:rsid w:val="00761758"/>
    <w:rsid w:val="00770554"/>
    <w:rsid w:val="0077217D"/>
    <w:rsid w:val="00776A00"/>
    <w:rsid w:val="00777038"/>
    <w:rsid w:val="00785537"/>
    <w:rsid w:val="00787A95"/>
    <w:rsid w:val="00791C1B"/>
    <w:rsid w:val="0079659A"/>
    <w:rsid w:val="00797860"/>
    <w:rsid w:val="007A5E6F"/>
    <w:rsid w:val="007B203C"/>
    <w:rsid w:val="007B2BC3"/>
    <w:rsid w:val="007B46AB"/>
    <w:rsid w:val="007B592C"/>
    <w:rsid w:val="007B6EDE"/>
    <w:rsid w:val="007C169E"/>
    <w:rsid w:val="007C7F0E"/>
    <w:rsid w:val="007D0F6B"/>
    <w:rsid w:val="007D442F"/>
    <w:rsid w:val="007D481E"/>
    <w:rsid w:val="007D68C5"/>
    <w:rsid w:val="007E13A1"/>
    <w:rsid w:val="007E4A7E"/>
    <w:rsid w:val="007E4F77"/>
    <w:rsid w:val="007F4B69"/>
    <w:rsid w:val="00814C74"/>
    <w:rsid w:val="008213BB"/>
    <w:rsid w:val="008232EE"/>
    <w:rsid w:val="0082480B"/>
    <w:rsid w:val="00832ACB"/>
    <w:rsid w:val="008366C2"/>
    <w:rsid w:val="0084423F"/>
    <w:rsid w:val="00845405"/>
    <w:rsid w:val="008479FB"/>
    <w:rsid w:val="008500AF"/>
    <w:rsid w:val="00866A20"/>
    <w:rsid w:val="00870C23"/>
    <w:rsid w:val="00871028"/>
    <w:rsid w:val="00883124"/>
    <w:rsid w:val="00886EA9"/>
    <w:rsid w:val="008936FD"/>
    <w:rsid w:val="00893DFB"/>
    <w:rsid w:val="0089460F"/>
    <w:rsid w:val="00894E6B"/>
    <w:rsid w:val="00895520"/>
    <w:rsid w:val="00895D17"/>
    <w:rsid w:val="0089761B"/>
    <w:rsid w:val="008A16DF"/>
    <w:rsid w:val="008A692D"/>
    <w:rsid w:val="008C1317"/>
    <w:rsid w:val="008C5A22"/>
    <w:rsid w:val="008C7D22"/>
    <w:rsid w:val="008D02E3"/>
    <w:rsid w:val="008D0FB1"/>
    <w:rsid w:val="008D140A"/>
    <w:rsid w:val="008E1910"/>
    <w:rsid w:val="008E250F"/>
    <w:rsid w:val="008E3F7D"/>
    <w:rsid w:val="009109FA"/>
    <w:rsid w:val="00917FD6"/>
    <w:rsid w:val="00920163"/>
    <w:rsid w:val="009203B0"/>
    <w:rsid w:val="0092247E"/>
    <w:rsid w:val="0093256C"/>
    <w:rsid w:val="009346D0"/>
    <w:rsid w:val="009418BF"/>
    <w:rsid w:val="009459FB"/>
    <w:rsid w:val="00946E75"/>
    <w:rsid w:val="00947EF6"/>
    <w:rsid w:val="00950D9C"/>
    <w:rsid w:val="00952B7B"/>
    <w:rsid w:val="0096392F"/>
    <w:rsid w:val="009669C4"/>
    <w:rsid w:val="00981E08"/>
    <w:rsid w:val="00981F89"/>
    <w:rsid w:val="00981FD6"/>
    <w:rsid w:val="009821FA"/>
    <w:rsid w:val="009946B8"/>
    <w:rsid w:val="00994CC5"/>
    <w:rsid w:val="009A19D0"/>
    <w:rsid w:val="009A4736"/>
    <w:rsid w:val="009A6079"/>
    <w:rsid w:val="009B4AE1"/>
    <w:rsid w:val="009C3B55"/>
    <w:rsid w:val="009D1A0B"/>
    <w:rsid w:val="009D4B7F"/>
    <w:rsid w:val="009D5170"/>
    <w:rsid w:val="009D52B4"/>
    <w:rsid w:val="009D64DE"/>
    <w:rsid w:val="009E1958"/>
    <w:rsid w:val="009F14E1"/>
    <w:rsid w:val="009F435D"/>
    <w:rsid w:val="009F646B"/>
    <w:rsid w:val="00A023DE"/>
    <w:rsid w:val="00A0453D"/>
    <w:rsid w:val="00A079C2"/>
    <w:rsid w:val="00A11712"/>
    <w:rsid w:val="00A138D3"/>
    <w:rsid w:val="00A2548F"/>
    <w:rsid w:val="00A36042"/>
    <w:rsid w:val="00A37721"/>
    <w:rsid w:val="00A42EDC"/>
    <w:rsid w:val="00A50DD8"/>
    <w:rsid w:val="00A5262F"/>
    <w:rsid w:val="00A57281"/>
    <w:rsid w:val="00A66AD6"/>
    <w:rsid w:val="00A676AA"/>
    <w:rsid w:val="00A752D8"/>
    <w:rsid w:val="00A775E9"/>
    <w:rsid w:val="00A778F1"/>
    <w:rsid w:val="00A820AB"/>
    <w:rsid w:val="00A84857"/>
    <w:rsid w:val="00AA5559"/>
    <w:rsid w:val="00AB38AA"/>
    <w:rsid w:val="00AB53D8"/>
    <w:rsid w:val="00AC1606"/>
    <w:rsid w:val="00AC63CC"/>
    <w:rsid w:val="00AC6E29"/>
    <w:rsid w:val="00AD68AE"/>
    <w:rsid w:val="00AD6C46"/>
    <w:rsid w:val="00AE4FB5"/>
    <w:rsid w:val="00AF418E"/>
    <w:rsid w:val="00AF456B"/>
    <w:rsid w:val="00B00DFC"/>
    <w:rsid w:val="00B023F8"/>
    <w:rsid w:val="00B04846"/>
    <w:rsid w:val="00B048ED"/>
    <w:rsid w:val="00B057E1"/>
    <w:rsid w:val="00B12212"/>
    <w:rsid w:val="00B145B5"/>
    <w:rsid w:val="00B3203C"/>
    <w:rsid w:val="00B35264"/>
    <w:rsid w:val="00B35601"/>
    <w:rsid w:val="00B46EE5"/>
    <w:rsid w:val="00B47432"/>
    <w:rsid w:val="00B47B52"/>
    <w:rsid w:val="00B70EAD"/>
    <w:rsid w:val="00B7322B"/>
    <w:rsid w:val="00B824D3"/>
    <w:rsid w:val="00B8255C"/>
    <w:rsid w:val="00B94D63"/>
    <w:rsid w:val="00BB3807"/>
    <w:rsid w:val="00BB6190"/>
    <w:rsid w:val="00BD4F25"/>
    <w:rsid w:val="00BE133F"/>
    <w:rsid w:val="00BE351D"/>
    <w:rsid w:val="00BE4E24"/>
    <w:rsid w:val="00BF1334"/>
    <w:rsid w:val="00BF2040"/>
    <w:rsid w:val="00BF2BC9"/>
    <w:rsid w:val="00BF3697"/>
    <w:rsid w:val="00C01A34"/>
    <w:rsid w:val="00C048F5"/>
    <w:rsid w:val="00C106DE"/>
    <w:rsid w:val="00C1627D"/>
    <w:rsid w:val="00C21618"/>
    <w:rsid w:val="00C24188"/>
    <w:rsid w:val="00C26C4C"/>
    <w:rsid w:val="00C41E1B"/>
    <w:rsid w:val="00C42BE9"/>
    <w:rsid w:val="00C442FC"/>
    <w:rsid w:val="00C44D20"/>
    <w:rsid w:val="00C469B4"/>
    <w:rsid w:val="00C605A3"/>
    <w:rsid w:val="00C62118"/>
    <w:rsid w:val="00C64543"/>
    <w:rsid w:val="00C67C46"/>
    <w:rsid w:val="00C821D9"/>
    <w:rsid w:val="00C82D0E"/>
    <w:rsid w:val="00C83798"/>
    <w:rsid w:val="00C86996"/>
    <w:rsid w:val="00C90835"/>
    <w:rsid w:val="00C941D7"/>
    <w:rsid w:val="00CA10AA"/>
    <w:rsid w:val="00CA64C1"/>
    <w:rsid w:val="00CB1835"/>
    <w:rsid w:val="00CB3D5B"/>
    <w:rsid w:val="00CB6E2E"/>
    <w:rsid w:val="00CC0D9E"/>
    <w:rsid w:val="00CC5411"/>
    <w:rsid w:val="00CE2892"/>
    <w:rsid w:val="00CE41EF"/>
    <w:rsid w:val="00CF0D83"/>
    <w:rsid w:val="00CF3F01"/>
    <w:rsid w:val="00CF606A"/>
    <w:rsid w:val="00D03BF0"/>
    <w:rsid w:val="00D03F06"/>
    <w:rsid w:val="00D0414B"/>
    <w:rsid w:val="00D04181"/>
    <w:rsid w:val="00D16F26"/>
    <w:rsid w:val="00D2241C"/>
    <w:rsid w:val="00D314FE"/>
    <w:rsid w:val="00D31FF3"/>
    <w:rsid w:val="00D34932"/>
    <w:rsid w:val="00D37FAB"/>
    <w:rsid w:val="00D503A2"/>
    <w:rsid w:val="00D532B1"/>
    <w:rsid w:val="00D543E5"/>
    <w:rsid w:val="00D55785"/>
    <w:rsid w:val="00D65B91"/>
    <w:rsid w:val="00D71539"/>
    <w:rsid w:val="00D724A5"/>
    <w:rsid w:val="00D856AB"/>
    <w:rsid w:val="00D85CFA"/>
    <w:rsid w:val="00D947B3"/>
    <w:rsid w:val="00D94877"/>
    <w:rsid w:val="00D96513"/>
    <w:rsid w:val="00DA224A"/>
    <w:rsid w:val="00DA24D9"/>
    <w:rsid w:val="00DA5551"/>
    <w:rsid w:val="00DA5FCA"/>
    <w:rsid w:val="00DA6614"/>
    <w:rsid w:val="00DB2539"/>
    <w:rsid w:val="00DC4BC0"/>
    <w:rsid w:val="00DD036B"/>
    <w:rsid w:val="00DE0D12"/>
    <w:rsid w:val="00DF3E12"/>
    <w:rsid w:val="00DF4065"/>
    <w:rsid w:val="00E03AF2"/>
    <w:rsid w:val="00E070C4"/>
    <w:rsid w:val="00E12F43"/>
    <w:rsid w:val="00E15834"/>
    <w:rsid w:val="00E3314A"/>
    <w:rsid w:val="00E3370D"/>
    <w:rsid w:val="00E411B3"/>
    <w:rsid w:val="00E50DA9"/>
    <w:rsid w:val="00E571D7"/>
    <w:rsid w:val="00E57F70"/>
    <w:rsid w:val="00E678BD"/>
    <w:rsid w:val="00E73337"/>
    <w:rsid w:val="00E74E6A"/>
    <w:rsid w:val="00E80F07"/>
    <w:rsid w:val="00E8385F"/>
    <w:rsid w:val="00E862CA"/>
    <w:rsid w:val="00E92C7C"/>
    <w:rsid w:val="00E956A8"/>
    <w:rsid w:val="00EB2EE4"/>
    <w:rsid w:val="00ED1616"/>
    <w:rsid w:val="00ED4456"/>
    <w:rsid w:val="00ED7607"/>
    <w:rsid w:val="00EE3229"/>
    <w:rsid w:val="00EE3FD4"/>
    <w:rsid w:val="00EF66A3"/>
    <w:rsid w:val="00F023BC"/>
    <w:rsid w:val="00F22365"/>
    <w:rsid w:val="00F346D3"/>
    <w:rsid w:val="00F34787"/>
    <w:rsid w:val="00F3631C"/>
    <w:rsid w:val="00F36489"/>
    <w:rsid w:val="00F402FA"/>
    <w:rsid w:val="00F45AAF"/>
    <w:rsid w:val="00F474DD"/>
    <w:rsid w:val="00F54D65"/>
    <w:rsid w:val="00F55175"/>
    <w:rsid w:val="00F554EF"/>
    <w:rsid w:val="00F55E3E"/>
    <w:rsid w:val="00F56B02"/>
    <w:rsid w:val="00F5793B"/>
    <w:rsid w:val="00F63B1A"/>
    <w:rsid w:val="00F73C9F"/>
    <w:rsid w:val="00F7423A"/>
    <w:rsid w:val="00F7752A"/>
    <w:rsid w:val="00F802DA"/>
    <w:rsid w:val="00F825AB"/>
    <w:rsid w:val="00F94F7D"/>
    <w:rsid w:val="00F96151"/>
    <w:rsid w:val="00F96E3F"/>
    <w:rsid w:val="00F975C9"/>
    <w:rsid w:val="00FA0CD0"/>
    <w:rsid w:val="00FA0DE4"/>
    <w:rsid w:val="00FA1398"/>
    <w:rsid w:val="00FA5146"/>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D93F"/>
  <w15:docId w15:val="{B5EBF0EB-8FAB-4E77-8DB2-10C7E5FD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97"/>
    <w:rPr>
      <w:rFonts w:ascii="Calibri" w:eastAsia="Calibri" w:hAnsi="Calibri" w:cs="Times New Roman"/>
      <w:lang w:val="es-CR"/>
    </w:rPr>
  </w:style>
  <w:style w:type="paragraph" w:styleId="Ttulo1">
    <w:name w:val="heading 1"/>
    <w:basedOn w:val="Normal"/>
    <w:next w:val="Normal"/>
    <w:link w:val="Ttulo1Car"/>
    <w:uiPriority w:val="9"/>
    <w:qFormat/>
    <w:rsid w:val="007274AC"/>
    <w:pPr>
      <w:keepNext/>
      <w:tabs>
        <w:tab w:val="left" w:pos="567"/>
      </w:tabs>
      <w:spacing w:after="0" w:line="240" w:lineRule="auto"/>
      <w:ind w:left="720"/>
      <w:jc w:val="both"/>
      <w:outlineLvl w:val="0"/>
    </w:pPr>
    <w:rPr>
      <w:rFonts w:ascii="Verdana" w:eastAsia="Times" w:hAnsi="Verdana"/>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TextonotapieCar1"/>
    <w:uiPriority w:val="99"/>
    <w:unhideWhenUsed/>
    <w:qFormat/>
    <w:rsid w:val="00577097"/>
    <w:pPr>
      <w:spacing w:after="0" w:line="240" w:lineRule="auto"/>
    </w:pPr>
    <w:rPr>
      <w:sz w:val="20"/>
      <w:szCs w:val="20"/>
      <w:lang w:val="x-none" w:eastAsia="x-none"/>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uiPriority w:val="99"/>
    <w:qFormat/>
    <w:rsid w:val="00577097"/>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5770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097"/>
    <w:rPr>
      <w:rFonts w:ascii="Calibri" w:eastAsia="Calibri" w:hAnsi="Calibri" w:cs="Times New Roman"/>
      <w:lang w:val="es-CR"/>
    </w:rPr>
  </w:style>
  <w:style w:type="paragraph" w:styleId="Piedepgina">
    <w:name w:val="footer"/>
    <w:basedOn w:val="Normal"/>
    <w:link w:val="PiedepginaCar"/>
    <w:uiPriority w:val="99"/>
    <w:unhideWhenUsed/>
    <w:rsid w:val="005770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097"/>
    <w:rPr>
      <w:rFonts w:ascii="Calibri" w:eastAsia="Calibri" w:hAnsi="Calibri" w:cs="Times New Roman"/>
      <w:lang w:val="es-C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577097"/>
    <w:rPr>
      <w:vertAlign w:val="superscript"/>
    </w:rPr>
  </w:style>
  <w:style w:type="character" w:styleId="Nmerodepgina">
    <w:name w:val="page number"/>
    <w:basedOn w:val="Fuentedeprrafopredeter"/>
    <w:uiPriority w:val="99"/>
    <w:rsid w:val="00577097"/>
  </w:style>
  <w:style w:type="paragraph" w:styleId="Prrafodelista">
    <w:name w:val="List Paragraph"/>
    <w:aliases w:val="Footnote,Colorful List - Accent 11,List Paragraph1"/>
    <w:basedOn w:val="Normal"/>
    <w:link w:val="PrrafodelistaCar"/>
    <w:uiPriority w:val="34"/>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PrrafodelistaCar">
    <w:name w:val="Párrafo de lista Car"/>
    <w:aliases w:val="Footnote Car,Colorful List - Accent 11 Car,List Paragraph1 Car"/>
    <w:basedOn w:val="Fuentedeprrafopredeter"/>
    <w:link w:val="Prrafodelista"/>
    <w:uiPriority w:val="99"/>
    <w:rsid w:val="00577097"/>
    <w:rPr>
      <w:rFonts w:ascii="Calibri" w:eastAsia="Calibri" w:hAnsi="Calibri" w:cs="Times New Roman"/>
      <w:lang w:val="es-CR"/>
    </w:rPr>
  </w:style>
  <w:style w:type="character" w:styleId="Hipervnculo">
    <w:name w:val="Hyperlink"/>
    <w:rsid w:val="00577097"/>
    <w:rPr>
      <w:strike w:val="0"/>
      <w:dstrike w:val="0"/>
      <w:color w:val="FFFFFF"/>
      <w:u w:val="none"/>
      <w:effect w:val="none"/>
    </w:rPr>
  </w:style>
  <w:style w:type="paragraph" w:styleId="Textodeglobo">
    <w:name w:val="Balloon Text"/>
    <w:basedOn w:val="Normal"/>
    <w:link w:val="TextodegloboCar"/>
    <w:uiPriority w:val="99"/>
    <w:semiHidden/>
    <w:unhideWhenUsed/>
    <w:rsid w:val="003A3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2F1"/>
    <w:rPr>
      <w:rFonts w:ascii="Tahoma" w:eastAsia="Calibri" w:hAnsi="Tahoma" w:cs="Tahoma"/>
      <w:sz w:val="16"/>
      <w:szCs w:val="16"/>
      <w:lang w:val="es-CR"/>
    </w:rPr>
  </w:style>
  <w:style w:type="character" w:styleId="Refdecomentario">
    <w:name w:val="annotation reference"/>
    <w:basedOn w:val="Fuentedeprrafopredeter"/>
    <w:uiPriority w:val="99"/>
    <w:semiHidden/>
    <w:unhideWhenUsed/>
    <w:rsid w:val="003A32F1"/>
    <w:rPr>
      <w:sz w:val="16"/>
      <w:szCs w:val="16"/>
    </w:rPr>
  </w:style>
  <w:style w:type="paragraph" w:styleId="Textocomentario">
    <w:name w:val="annotation text"/>
    <w:basedOn w:val="Normal"/>
    <w:link w:val="TextocomentarioCar"/>
    <w:uiPriority w:val="99"/>
    <w:semiHidden/>
    <w:unhideWhenUsed/>
    <w:rsid w:val="003A3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32F1"/>
    <w:rPr>
      <w:rFonts w:ascii="Calibri" w:eastAsia="Calibri" w:hAnsi="Calibri"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3A32F1"/>
    <w:rPr>
      <w:b/>
      <w:bCs/>
    </w:rPr>
  </w:style>
  <w:style w:type="character" w:customStyle="1" w:styleId="AsuntodelcomentarioCar">
    <w:name w:val="Asunto del comentario Car"/>
    <w:basedOn w:val="TextocomentarioCar"/>
    <w:link w:val="Asuntodelcomentario"/>
    <w:uiPriority w:val="99"/>
    <w:semiHidden/>
    <w:rsid w:val="003A32F1"/>
    <w:rPr>
      <w:rFonts w:ascii="Calibri" w:eastAsia="Calibri" w:hAnsi="Calibri" w:cs="Times New Roman"/>
      <w:b/>
      <w:bCs/>
      <w:sz w:val="20"/>
      <w:szCs w:val="20"/>
      <w:lang w:val="es-CR"/>
    </w:rPr>
  </w:style>
  <w:style w:type="paragraph" w:styleId="Textodebloque">
    <w:name w:val="Block Text"/>
    <w:basedOn w:val="Normal"/>
    <w:uiPriority w:val="99"/>
    <w:unhideWhenUsed/>
    <w:rsid w:val="007274AC"/>
    <w:pPr>
      <w:tabs>
        <w:tab w:val="left" w:pos="567"/>
      </w:tabs>
      <w:spacing w:after="0" w:line="240" w:lineRule="auto"/>
      <w:ind w:left="567" w:right="639"/>
      <w:jc w:val="both"/>
    </w:pPr>
    <w:rPr>
      <w:rFonts w:ascii="Verdana" w:eastAsia="Times" w:hAnsi="Verdana"/>
      <w:sz w:val="18"/>
      <w:szCs w:val="18"/>
      <w:lang w:val="es-ES_tradnl"/>
    </w:rPr>
  </w:style>
  <w:style w:type="character" w:customStyle="1" w:styleId="Ttulo1Car">
    <w:name w:val="Título 1 Car"/>
    <w:basedOn w:val="Fuentedeprrafopredeter"/>
    <w:link w:val="Ttulo1"/>
    <w:uiPriority w:val="9"/>
    <w:rsid w:val="007274AC"/>
    <w:rPr>
      <w:rFonts w:ascii="Verdana" w:eastAsia="Times" w:hAnsi="Verdana" w:cs="Times New Roman"/>
      <w:i/>
      <w:sz w:val="20"/>
      <w:szCs w:val="20"/>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469B4"/>
    <w:pPr>
      <w:spacing w:after="0" w:line="240" w:lineRule="auto"/>
      <w:jc w:val="both"/>
    </w:pPr>
    <w:rPr>
      <w:rFonts w:asciiTheme="minorHAnsi" w:eastAsiaTheme="minorHAnsi" w:hAnsiTheme="minorHAnsi" w:cstheme="minorBidi"/>
      <w:vertAlign w:val="superscript"/>
      <w:lang w:val="en-US"/>
    </w:rPr>
  </w:style>
  <w:style w:type="character" w:styleId="Textoennegrita">
    <w:name w:val="Strong"/>
    <w:aliases w:val="Heading 2.1"/>
    <w:uiPriority w:val="22"/>
    <w:qFormat/>
    <w:rsid w:val="00EB2EE4"/>
    <w:rPr>
      <w:rFonts w:ascii="Verdana" w:hAnsi="Verdana"/>
      <w:b/>
      <w:bCs/>
      <w:i/>
      <w:sz w:val="20"/>
    </w:rPr>
  </w:style>
  <w:style w:type="paragraph" w:customStyle="1" w:styleId="Heading23">
    <w:name w:val="Heading 2.3"/>
    <w:basedOn w:val="Normal"/>
    <w:uiPriority w:val="99"/>
    <w:qFormat/>
    <w:rsid w:val="00EB2EE4"/>
    <w:pPr>
      <w:spacing w:after="0" w:line="240" w:lineRule="auto"/>
      <w:jc w:val="both"/>
    </w:pPr>
    <w:rPr>
      <w:rFonts w:ascii="Verdana" w:hAnsi="Verdana"/>
      <w:sz w:val="16"/>
      <w:szCs w:val="16"/>
      <w:vertAlign w:val="superscript"/>
      <w:lang w:val="x-none" w:eastAsia="x-none"/>
    </w:rPr>
  </w:style>
  <w:style w:type="paragraph" w:customStyle="1" w:styleId="PrrafodeSentencia">
    <w:name w:val="*. Párrafo de Sentencia"/>
    <w:basedOn w:val="Textonotapie"/>
    <w:autoRedefine/>
    <w:qFormat/>
    <w:rsid w:val="00EB2EE4"/>
    <w:pPr>
      <w:numPr>
        <w:numId w:val="6"/>
      </w:numPr>
      <w:tabs>
        <w:tab w:val="clear" w:pos="360"/>
        <w:tab w:val="left" w:pos="720"/>
      </w:tabs>
      <w:ind w:left="0" w:firstLine="0"/>
      <w:jc w:val="both"/>
    </w:pPr>
    <w:rPr>
      <w:rFonts w:ascii="Verdana" w:hAnsi="Verdana" w:cs="Verdana"/>
      <w:bCs/>
      <w:iCs/>
      <w:noProof/>
      <w:lang w:val="es-ES_tradnl" w:eastAsia="es-CR"/>
    </w:rPr>
  </w:style>
  <w:style w:type="character" w:customStyle="1" w:styleId="Estilo1Car">
    <w:name w:val="Estilo1 Car"/>
    <w:basedOn w:val="Fuentedeprrafopredeter"/>
    <w:link w:val="Estilo1"/>
    <w:locked/>
    <w:rsid w:val="005C66CD"/>
    <w:rPr>
      <w:rFonts w:ascii="Verdana" w:eastAsia="Batang" w:hAnsi="Verdana" w:cs="Times"/>
      <w:i/>
      <w:sz w:val="20"/>
      <w:szCs w:val="24"/>
      <w:lang w:val="es-ES_tradnl"/>
    </w:rPr>
  </w:style>
  <w:style w:type="paragraph" w:customStyle="1" w:styleId="Estilo1">
    <w:name w:val="Estilo1"/>
    <w:basedOn w:val="Normal"/>
    <w:link w:val="Estilo1Car"/>
    <w:qFormat/>
    <w:rsid w:val="005C66CD"/>
    <w:pPr>
      <w:spacing w:after="120" w:line="240" w:lineRule="auto"/>
      <w:ind w:left="2018" w:right="6" w:hanging="180"/>
      <w:jc w:val="both"/>
    </w:pPr>
    <w:rPr>
      <w:rFonts w:ascii="Verdana" w:eastAsia="Batang" w:hAnsi="Verdana" w:cs="Times"/>
      <w:i/>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9082">
      <w:bodyDiv w:val="1"/>
      <w:marLeft w:val="0"/>
      <w:marRight w:val="0"/>
      <w:marTop w:val="0"/>
      <w:marBottom w:val="0"/>
      <w:divBdr>
        <w:top w:val="none" w:sz="0" w:space="0" w:color="auto"/>
        <w:left w:val="none" w:sz="0" w:space="0" w:color="auto"/>
        <w:bottom w:val="none" w:sz="0" w:space="0" w:color="auto"/>
        <w:right w:val="none" w:sz="0" w:space="0" w:color="auto"/>
      </w:divBdr>
    </w:div>
    <w:div w:id="688944875">
      <w:bodyDiv w:val="1"/>
      <w:marLeft w:val="0"/>
      <w:marRight w:val="0"/>
      <w:marTop w:val="0"/>
      <w:marBottom w:val="0"/>
      <w:divBdr>
        <w:top w:val="none" w:sz="0" w:space="0" w:color="auto"/>
        <w:left w:val="none" w:sz="0" w:space="0" w:color="auto"/>
        <w:bottom w:val="none" w:sz="0" w:space="0" w:color="auto"/>
        <w:right w:val="none" w:sz="0" w:space="0" w:color="auto"/>
      </w:divBdr>
    </w:div>
    <w:div w:id="14293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7C93-B2BC-4511-877B-D80A70C4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11253</Characters>
  <Application>Microsoft Office Word</Application>
  <DocSecurity>4</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Corte IDH</cp:lastModifiedBy>
  <cp:revision>2</cp:revision>
  <cp:lastPrinted>2018-08-24T22:14:00Z</cp:lastPrinted>
  <dcterms:created xsi:type="dcterms:W3CDTF">2019-05-29T16:23:00Z</dcterms:created>
  <dcterms:modified xsi:type="dcterms:W3CDTF">2019-05-29T16:23:00Z</dcterms:modified>
</cp:coreProperties>
</file>