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73D4" w14:textId="63D371A7" w:rsidR="009403BF" w:rsidRPr="002040C8" w:rsidRDefault="006206E5" w:rsidP="00E961FF">
      <w:pPr>
        <w:pStyle w:val="Footnotes"/>
        <w:rPr>
          <w:rFonts w:eastAsia="MS Mincho"/>
        </w:rPr>
      </w:pPr>
      <w:r w:rsidRPr="002040C8">
        <w:rPr>
          <w:rFonts w:eastAsia="MS Mincho"/>
        </w:rPr>
        <w:t xml:space="preserve"> </w:t>
      </w:r>
    </w:p>
    <w:p w14:paraId="7D038EFD" w14:textId="77777777" w:rsidR="009403BF" w:rsidRPr="00C0319D" w:rsidRDefault="009403BF" w:rsidP="00491B00">
      <w:pPr>
        <w:pStyle w:val="Ttulo"/>
        <w:ind w:left="-142" w:right="-4"/>
        <w:rPr>
          <w:rFonts w:eastAsia="MS Mincho"/>
          <w:lang w:val="es-ES"/>
        </w:rPr>
      </w:pPr>
    </w:p>
    <w:p w14:paraId="0C916D3C" w14:textId="77777777" w:rsidR="009403BF" w:rsidRPr="002040C8" w:rsidRDefault="009403BF" w:rsidP="00491B00">
      <w:pPr>
        <w:pStyle w:val="Ttulo"/>
        <w:ind w:left="-142" w:right="-4"/>
        <w:rPr>
          <w:rFonts w:eastAsia="MS Mincho"/>
        </w:rPr>
      </w:pPr>
    </w:p>
    <w:p w14:paraId="42184ADF" w14:textId="77777777" w:rsidR="009403BF" w:rsidRPr="002040C8" w:rsidRDefault="009403BF" w:rsidP="00491B00">
      <w:pPr>
        <w:pStyle w:val="Ttulo"/>
        <w:ind w:left="-142" w:right="-4"/>
        <w:rPr>
          <w:rFonts w:eastAsia="MS Mincho"/>
        </w:rPr>
      </w:pPr>
    </w:p>
    <w:p w14:paraId="38FD3011" w14:textId="77777777" w:rsidR="009403BF" w:rsidRPr="00D51072" w:rsidRDefault="009403BF" w:rsidP="00491B00">
      <w:pPr>
        <w:pStyle w:val="Ttulo"/>
        <w:ind w:left="-142" w:right="-4"/>
        <w:rPr>
          <w:rFonts w:eastAsia="MS Mincho"/>
        </w:rPr>
      </w:pPr>
      <w:r w:rsidRPr="00D51072">
        <w:rPr>
          <w:rFonts w:eastAsia="MS Mincho"/>
        </w:rPr>
        <w:t>CORTE INTERAMERICANA DE DERECHOS HUMANOS</w:t>
      </w:r>
    </w:p>
    <w:p w14:paraId="6429DAF5" w14:textId="77777777" w:rsidR="009403BF" w:rsidRPr="00D51072" w:rsidRDefault="009403BF" w:rsidP="00491B00">
      <w:pPr>
        <w:pStyle w:val="Ttulo"/>
        <w:ind w:left="-142" w:right="-4"/>
        <w:rPr>
          <w:rFonts w:eastAsia="MS Mincho"/>
        </w:rPr>
      </w:pPr>
    </w:p>
    <w:p w14:paraId="34C1E097" w14:textId="77777777" w:rsidR="009403BF" w:rsidRPr="00D51072" w:rsidRDefault="009403BF" w:rsidP="00491B00">
      <w:pPr>
        <w:pStyle w:val="Ttulo"/>
        <w:tabs>
          <w:tab w:val="left" w:pos="7501"/>
        </w:tabs>
        <w:ind w:left="-142" w:right="-4"/>
        <w:rPr>
          <w:rFonts w:eastAsia="MS Mincho"/>
        </w:rPr>
      </w:pPr>
    </w:p>
    <w:p w14:paraId="0CD1D6CD" w14:textId="77777777" w:rsidR="009403BF" w:rsidRPr="00D51072" w:rsidRDefault="009403BF" w:rsidP="00491B00">
      <w:pPr>
        <w:pStyle w:val="Ttulo"/>
        <w:ind w:left="-142" w:right="-4"/>
        <w:rPr>
          <w:rFonts w:eastAsia="MS Mincho"/>
          <w:i/>
        </w:rPr>
      </w:pPr>
    </w:p>
    <w:p w14:paraId="692A370F" w14:textId="136C2525" w:rsidR="008F1678" w:rsidRPr="00D51072" w:rsidRDefault="00091FE0" w:rsidP="008F1678">
      <w:pPr>
        <w:jc w:val="center"/>
        <w:rPr>
          <w:b/>
          <w:i/>
          <w:smallCaps/>
          <w:szCs w:val="20"/>
          <w:lang w:eastAsia="es-ES"/>
        </w:rPr>
      </w:pPr>
      <w:r w:rsidRPr="00D51072">
        <w:rPr>
          <w:rFonts w:cs="Verdana Bold"/>
          <w:b/>
          <w:bCs/>
          <w:i/>
          <w:caps/>
          <w:szCs w:val="20"/>
        </w:rPr>
        <w:t>CASO RICO VS. ARGENTINA</w:t>
      </w:r>
    </w:p>
    <w:p w14:paraId="138F2A52" w14:textId="77777777" w:rsidR="009403BF" w:rsidRPr="00D51072" w:rsidRDefault="009403BF" w:rsidP="00491B00">
      <w:pPr>
        <w:spacing w:after="120"/>
        <w:ind w:right="-4"/>
        <w:jc w:val="center"/>
        <w:rPr>
          <w:rFonts w:cs="Verdana Bold"/>
          <w:b/>
          <w:bCs/>
          <w:i/>
          <w:caps/>
          <w:szCs w:val="20"/>
        </w:rPr>
      </w:pPr>
    </w:p>
    <w:p w14:paraId="76574688" w14:textId="77777777" w:rsidR="009403BF" w:rsidRPr="00D51072" w:rsidRDefault="009403BF" w:rsidP="00491B00">
      <w:pPr>
        <w:pStyle w:val="Ttulo"/>
        <w:ind w:left="-142" w:right="-4"/>
        <w:rPr>
          <w:rFonts w:eastAsia="MS Mincho"/>
          <w:lang w:val="es-ES"/>
        </w:rPr>
      </w:pPr>
    </w:p>
    <w:p w14:paraId="7A748CBB" w14:textId="0A1D7760" w:rsidR="009403BF" w:rsidRPr="00D51072" w:rsidRDefault="009403BF" w:rsidP="00491B00">
      <w:pPr>
        <w:pStyle w:val="Ttulo"/>
        <w:ind w:left="-142" w:right="-4"/>
        <w:rPr>
          <w:rFonts w:eastAsia="MS Mincho"/>
        </w:rPr>
      </w:pPr>
      <w:r w:rsidRPr="00D51072">
        <w:rPr>
          <w:rFonts w:eastAsia="MS Mincho"/>
        </w:rPr>
        <w:t xml:space="preserve">SENTENCIA </w:t>
      </w:r>
      <w:r w:rsidR="00784CCE" w:rsidRPr="00D51072">
        <w:rPr>
          <w:rFonts w:eastAsia="MS Mincho"/>
        </w:rPr>
        <w:t xml:space="preserve">DE </w:t>
      </w:r>
      <w:r w:rsidR="009A62C3" w:rsidRPr="00D51072">
        <w:rPr>
          <w:rFonts w:eastAsia="MS Mincho"/>
        </w:rPr>
        <w:t>2</w:t>
      </w:r>
      <w:r w:rsidR="00A6283B" w:rsidRPr="00D51072">
        <w:rPr>
          <w:rFonts w:eastAsia="MS Mincho"/>
        </w:rPr>
        <w:t xml:space="preserve"> </w:t>
      </w:r>
      <w:r w:rsidRPr="00D51072">
        <w:rPr>
          <w:rFonts w:eastAsia="MS Mincho"/>
        </w:rPr>
        <w:t>DE</w:t>
      </w:r>
      <w:r w:rsidR="00A62821" w:rsidRPr="00D51072">
        <w:rPr>
          <w:rFonts w:eastAsia="MS Mincho"/>
        </w:rPr>
        <w:t xml:space="preserve"> </w:t>
      </w:r>
      <w:r w:rsidR="0065418C" w:rsidRPr="00D51072">
        <w:rPr>
          <w:rFonts w:eastAsia="MS Mincho"/>
        </w:rPr>
        <w:t>SEPTIEMBRE</w:t>
      </w:r>
      <w:r w:rsidR="00A346F9" w:rsidRPr="00D51072">
        <w:rPr>
          <w:rFonts w:eastAsia="MS Mincho"/>
        </w:rPr>
        <w:t xml:space="preserve"> </w:t>
      </w:r>
      <w:r w:rsidR="0001767E" w:rsidRPr="00D51072">
        <w:rPr>
          <w:rFonts w:eastAsia="MS Mincho"/>
        </w:rPr>
        <w:t>201</w:t>
      </w:r>
      <w:r w:rsidR="00091FE0" w:rsidRPr="00D51072">
        <w:rPr>
          <w:rFonts w:eastAsia="MS Mincho"/>
        </w:rPr>
        <w:t>9</w:t>
      </w:r>
    </w:p>
    <w:p w14:paraId="6447DB77" w14:textId="77777777" w:rsidR="009569E6" w:rsidRPr="00D51072" w:rsidRDefault="009569E6" w:rsidP="00491B00">
      <w:pPr>
        <w:pStyle w:val="Ttulo"/>
        <w:ind w:left="-142" w:right="-4"/>
        <w:rPr>
          <w:rFonts w:eastAsia="MS Mincho"/>
        </w:rPr>
      </w:pPr>
    </w:p>
    <w:p w14:paraId="33BB560C" w14:textId="5CEF44FF" w:rsidR="009403BF" w:rsidRPr="00D51072" w:rsidRDefault="009403BF" w:rsidP="00491B00">
      <w:pPr>
        <w:pStyle w:val="Subttulo"/>
        <w:ind w:left="-142" w:right="-4"/>
        <w:rPr>
          <w:szCs w:val="20"/>
        </w:rPr>
      </w:pPr>
      <w:r w:rsidRPr="00D51072">
        <w:rPr>
          <w:szCs w:val="20"/>
        </w:rPr>
        <w:t>(</w:t>
      </w:r>
      <w:r w:rsidR="001E61E2" w:rsidRPr="00D51072">
        <w:rPr>
          <w:szCs w:val="20"/>
        </w:rPr>
        <w:t>Excepci</w:t>
      </w:r>
      <w:r w:rsidR="003A0AE2" w:rsidRPr="00D51072">
        <w:rPr>
          <w:szCs w:val="20"/>
        </w:rPr>
        <w:t>ón</w:t>
      </w:r>
      <w:r w:rsidR="001E61E2" w:rsidRPr="00D51072">
        <w:rPr>
          <w:szCs w:val="20"/>
        </w:rPr>
        <w:t xml:space="preserve"> Preliminar </w:t>
      </w:r>
      <w:r w:rsidR="006D7AFB" w:rsidRPr="00D51072">
        <w:rPr>
          <w:szCs w:val="20"/>
        </w:rPr>
        <w:t xml:space="preserve">y </w:t>
      </w:r>
      <w:r w:rsidRPr="00D51072">
        <w:rPr>
          <w:szCs w:val="20"/>
        </w:rPr>
        <w:t>Fondo)</w:t>
      </w:r>
    </w:p>
    <w:p w14:paraId="34E0E0D4" w14:textId="77777777" w:rsidR="009403BF" w:rsidRPr="00D51072" w:rsidRDefault="009403BF" w:rsidP="00491B00">
      <w:pPr>
        <w:ind w:left="-142" w:right="-4"/>
        <w:rPr>
          <w:szCs w:val="20"/>
        </w:rPr>
      </w:pPr>
    </w:p>
    <w:p w14:paraId="321DF005" w14:textId="77777777" w:rsidR="009403BF" w:rsidRPr="00D51072" w:rsidRDefault="009403BF" w:rsidP="00491B00">
      <w:pPr>
        <w:ind w:left="-142" w:right="-4"/>
        <w:rPr>
          <w:szCs w:val="20"/>
        </w:rPr>
      </w:pPr>
    </w:p>
    <w:p w14:paraId="418DC2D6" w14:textId="77777777" w:rsidR="009403BF" w:rsidRPr="00D51072" w:rsidRDefault="009403BF" w:rsidP="00491B00">
      <w:pPr>
        <w:ind w:left="-142" w:right="-4"/>
        <w:rPr>
          <w:szCs w:val="20"/>
        </w:rPr>
      </w:pPr>
    </w:p>
    <w:p w14:paraId="76786F78" w14:textId="0CC54B6E" w:rsidR="008F1678" w:rsidRPr="00D51072" w:rsidRDefault="009403BF" w:rsidP="008F1678">
      <w:pPr>
        <w:rPr>
          <w:i/>
          <w:szCs w:val="20"/>
        </w:rPr>
      </w:pPr>
      <w:r w:rsidRPr="00D51072">
        <w:rPr>
          <w:szCs w:val="20"/>
        </w:rPr>
        <w:t xml:space="preserve">En el </w:t>
      </w:r>
      <w:r w:rsidR="008F1678" w:rsidRPr="00D51072">
        <w:rPr>
          <w:i/>
          <w:szCs w:val="20"/>
        </w:rPr>
        <w:t xml:space="preserve">Caso </w:t>
      </w:r>
      <w:r w:rsidR="00091FE0" w:rsidRPr="00D51072">
        <w:rPr>
          <w:i/>
          <w:szCs w:val="20"/>
        </w:rPr>
        <w:t>Rico</w:t>
      </w:r>
      <w:r w:rsidR="008F1678" w:rsidRPr="00D51072">
        <w:rPr>
          <w:i/>
          <w:szCs w:val="20"/>
        </w:rPr>
        <w:t xml:space="preserve"> Vs. </w:t>
      </w:r>
      <w:r w:rsidR="00091FE0" w:rsidRPr="00D51072">
        <w:rPr>
          <w:i/>
          <w:szCs w:val="20"/>
        </w:rPr>
        <w:t>Argentina</w:t>
      </w:r>
      <w:r w:rsidR="004B605F" w:rsidRPr="00D51072">
        <w:rPr>
          <w:i/>
          <w:szCs w:val="20"/>
        </w:rPr>
        <w:t>,</w:t>
      </w:r>
    </w:p>
    <w:p w14:paraId="055945BC" w14:textId="16641B0A" w:rsidR="009403BF" w:rsidRPr="00D51072" w:rsidRDefault="00C615EF" w:rsidP="00C615EF">
      <w:pPr>
        <w:tabs>
          <w:tab w:val="left" w:pos="1813"/>
        </w:tabs>
        <w:ind w:right="-4"/>
        <w:rPr>
          <w:szCs w:val="20"/>
        </w:rPr>
      </w:pPr>
      <w:r w:rsidRPr="00D51072">
        <w:rPr>
          <w:szCs w:val="20"/>
        </w:rPr>
        <w:tab/>
      </w:r>
    </w:p>
    <w:p w14:paraId="1F11BA05" w14:textId="77777777" w:rsidR="009403BF" w:rsidRPr="00D51072" w:rsidRDefault="009403BF" w:rsidP="00491B00">
      <w:pPr>
        <w:ind w:right="-4"/>
        <w:rPr>
          <w:szCs w:val="20"/>
        </w:rPr>
      </w:pPr>
      <w:r w:rsidRPr="00D51072">
        <w:rPr>
          <w:szCs w:val="20"/>
        </w:rPr>
        <w:t>la Corte Interamericana de Derechos Humanos (en adelante “la Corte Interamericana”, “la Corte” o “el Tribunal”), integrada por los siguientes Jueces</w:t>
      </w:r>
      <w:r w:rsidR="001E242E" w:rsidRPr="00D51072">
        <w:rPr>
          <w:szCs w:val="20"/>
        </w:rPr>
        <w:footnoteReference w:customMarkFollows="1" w:id="1"/>
        <w:t>*</w:t>
      </w:r>
      <w:r w:rsidRPr="00D51072">
        <w:rPr>
          <w:szCs w:val="20"/>
        </w:rPr>
        <w:t>:</w:t>
      </w:r>
    </w:p>
    <w:p w14:paraId="061A10D6" w14:textId="77777777" w:rsidR="009403BF" w:rsidRPr="00D51072" w:rsidRDefault="009403BF" w:rsidP="00491B00">
      <w:pPr>
        <w:ind w:right="-4"/>
        <w:rPr>
          <w:szCs w:val="20"/>
        </w:rPr>
      </w:pPr>
    </w:p>
    <w:p w14:paraId="167BC6ED" w14:textId="1C4CC9F6" w:rsidR="009403BF" w:rsidRPr="00D51072" w:rsidRDefault="009403BF" w:rsidP="00491B00">
      <w:pPr>
        <w:pStyle w:val="citaindirecta"/>
        <w:ind w:right="-4"/>
        <w:rPr>
          <w:lang w:val="pt-BR"/>
        </w:rPr>
      </w:pPr>
      <w:r w:rsidRPr="00D51072">
        <w:rPr>
          <w:lang w:val="pt-BR"/>
        </w:rPr>
        <w:t xml:space="preserve">Eduardo Ferrer Mac-Gregor Poisot, </w:t>
      </w:r>
      <w:r w:rsidR="0027106F" w:rsidRPr="00D51072">
        <w:rPr>
          <w:lang w:val="pt-BR"/>
        </w:rPr>
        <w:t>P</w:t>
      </w:r>
      <w:r w:rsidRPr="00D51072">
        <w:rPr>
          <w:lang w:val="pt-BR"/>
        </w:rPr>
        <w:t xml:space="preserve">residente; </w:t>
      </w:r>
    </w:p>
    <w:p w14:paraId="258B2D4B" w14:textId="12D3515C" w:rsidR="009403BF" w:rsidRPr="00A12B6B" w:rsidRDefault="009403BF" w:rsidP="00491B00">
      <w:pPr>
        <w:pStyle w:val="citaindirecta"/>
        <w:ind w:right="-4"/>
        <w:rPr>
          <w:lang w:val="pt-BR"/>
        </w:rPr>
      </w:pPr>
      <w:r w:rsidRPr="00A12B6B">
        <w:rPr>
          <w:lang w:val="pt-BR"/>
        </w:rPr>
        <w:t>Eduardo Vio Grossi</w:t>
      </w:r>
      <w:r w:rsidR="0027106F" w:rsidRPr="00A12B6B">
        <w:rPr>
          <w:lang w:val="pt-BR"/>
        </w:rPr>
        <w:t>, Vicepresidente</w:t>
      </w:r>
      <w:r w:rsidRPr="00A12B6B">
        <w:rPr>
          <w:lang w:val="pt-BR"/>
        </w:rPr>
        <w:t>;</w:t>
      </w:r>
    </w:p>
    <w:p w14:paraId="07EB7269" w14:textId="17333FA9" w:rsidR="00091FE0" w:rsidRPr="00A12B6B" w:rsidRDefault="00091FE0" w:rsidP="00491B00">
      <w:pPr>
        <w:pStyle w:val="citaindirecta"/>
        <w:ind w:right="-4"/>
        <w:rPr>
          <w:lang w:val="pt-BR"/>
        </w:rPr>
      </w:pPr>
      <w:r w:rsidRPr="00A12B6B">
        <w:rPr>
          <w:lang w:val="pt-BR"/>
        </w:rPr>
        <w:t>Humberto Antonio Sierra Porto</w:t>
      </w:r>
      <w:r w:rsidR="00FE297F" w:rsidRPr="00A12B6B">
        <w:rPr>
          <w:lang w:val="pt-BR"/>
        </w:rPr>
        <w:t>, Juez</w:t>
      </w:r>
      <w:r w:rsidRPr="00A12B6B">
        <w:rPr>
          <w:lang w:val="pt-BR"/>
        </w:rPr>
        <w:t>;</w:t>
      </w:r>
    </w:p>
    <w:p w14:paraId="50D42F08" w14:textId="0B136996" w:rsidR="009403BF" w:rsidRPr="00A12B6B" w:rsidRDefault="009403BF" w:rsidP="00491B00">
      <w:pPr>
        <w:pStyle w:val="citaindirecta"/>
        <w:ind w:right="-4"/>
        <w:rPr>
          <w:lang w:val="pt-BR"/>
        </w:rPr>
      </w:pPr>
      <w:r w:rsidRPr="00A12B6B">
        <w:rPr>
          <w:lang w:val="pt-BR"/>
        </w:rPr>
        <w:t>Elizabeth Odio Benito, Jueza</w:t>
      </w:r>
      <w:r w:rsidR="00091FE0" w:rsidRPr="00A12B6B">
        <w:rPr>
          <w:lang w:val="pt-BR"/>
        </w:rPr>
        <w:t xml:space="preserve">, y </w:t>
      </w:r>
    </w:p>
    <w:p w14:paraId="771D145A" w14:textId="77777777" w:rsidR="009403BF" w:rsidRPr="00A12B6B" w:rsidRDefault="009403BF" w:rsidP="00491B00">
      <w:pPr>
        <w:pStyle w:val="citaindirecta"/>
        <w:ind w:right="-4"/>
        <w:rPr>
          <w:lang w:val="pt-BR"/>
        </w:rPr>
      </w:pPr>
      <w:r w:rsidRPr="00A12B6B">
        <w:rPr>
          <w:lang w:val="pt-BR"/>
        </w:rPr>
        <w:t>L</w:t>
      </w:r>
      <w:r w:rsidR="00155C71" w:rsidRPr="00A12B6B">
        <w:rPr>
          <w:lang w:val="pt-BR"/>
        </w:rPr>
        <w:t>.</w:t>
      </w:r>
      <w:r w:rsidRPr="00A12B6B">
        <w:rPr>
          <w:lang w:val="pt-BR"/>
        </w:rPr>
        <w:t xml:space="preserve"> Patricio Pazmiño Freire</w:t>
      </w:r>
      <w:r w:rsidR="00155C71" w:rsidRPr="00A12B6B">
        <w:rPr>
          <w:lang w:val="pt-BR"/>
        </w:rPr>
        <w:t>, Juez;</w:t>
      </w:r>
    </w:p>
    <w:p w14:paraId="31A2C7B8" w14:textId="77777777" w:rsidR="009403BF" w:rsidRPr="00A12B6B" w:rsidRDefault="009403BF" w:rsidP="00491B00">
      <w:pPr>
        <w:ind w:right="-4"/>
        <w:rPr>
          <w:szCs w:val="20"/>
          <w:lang w:val="pt-BR"/>
        </w:rPr>
      </w:pPr>
    </w:p>
    <w:p w14:paraId="4CD49D9B" w14:textId="22C6C839" w:rsidR="009403BF" w:rsidRPr="00A12B6B" w:rsidRDefault="009403BF" w:rsidP="00491B00">
      <w:pPr>
        <w:ind w:right="-4"/>
        <w:rPr>
          <w:szCs w:val="20"/>
          <w:lang w:val="pt-BR"/>
        </w:rPr>
      </w:pPr>
      <w:r w:rsidRPr="00A12B6B">
        <w:rPr>
          <w:szCs w:val="20"/>
          <w:lang w:val="pt-BR"/>
        </w:rPr>
        <w:t>presente, además,</w:t>
      </w:r>
    </w:p>
    <w:p w14:paraId="13AF3341" w14:textId="77777777" w:rsidR="009403BF" w:rsidRPr="00A12B6B" w:rsidRDefault="009403BF" w:rsidP="00491B00">
      <w:pPr>
        <w:ind w:right="-4"/>
        <w:rPr>
          <w:szCs w:val="20"/>
          <w:lang w:val="pt-BR"/>
        </w:rPr>
      </w:pPr>
    </w:p>
    <w:p w14:paraId="434E0653" w14:textId="13685514" w:rsidR="009403BF" w:rsidRPr="00D51072" w:rsidRDefault="009403BF" w:rsidP="00491B00">
      <w:pPr>
        <w:ind w:right="-4" w:firstLine="708"/>
        <w:rPr>
          <w:szCs w:val="20"/>
        </w:rPr>
      </w:pPr>
      <w:r w:rsidRPr="00D51072">
        <w:rPr>
          <w:szCs w:val="20"/>
        </w:rPr>
        <w:t>Pablo Saavedra Alessandri, Secretario</w:t>
      </w:r>
      <w:r w:rsidR="005A1808" w:rsidRPr="00D51072">
        <w:rPr>
          <w:szCs w:val="20"/>
        </w:rPr>
        <w:t xml:space="preserve">, </w:t>
      </w:r>
    </w:p>
    <w:p w14:paraId="22A0E929" w14:textId="77777777" w:rsidR="009403BF" w:rsidRPr="00D51072" w:rsidRDefault="009403BF" w:rsidP="00491B00">
      <w:pPr>
        <w:ind w:right="-4"/>
        <w:rPr>
          <w:szCs w:val="20"/>
        </w:rPr>
      </w:pPr>
    </w:p>
    <w:p w14:paraId="121D9294" w14:textId="02930339" w:rsidR="009403BF" w:rsidRPr="00D51072" w:rsidRDefault="009403BF" w:rsidP="00491B00">
      <w:pPr>
        <w:ind w:right="-4"/>
        <w:rPr>
          <w:szCs w:val="20"/>
        </w:rPr>
      </w:pPr>
      <w:r w:rsidRPr="00D51072">
        <w:rPr>
          <w:szCs w:val="20"/>
        </w:rPr>
        <w:t>de conformidad con los artículos 62.3 y 63.1 de la Convención Americana sobre Derechos Humanos (en adelante, “la Convención Americana” o “la Convención”) y con los artículos 31, 32, 65 y 67 del Reglamento de la Corte (en adelante también “el Reglamento”), dicta la presente Sentencia.</w:t>
      </w:r>
    </w:p>
    <w:p w14:paraId="138CF296" w14:textId="77777777" w:rsidR="009403BF" w:rsidRPr="00D51072" w:rsidRDefault="009403BF" w:rsidP="00491B00">
      <w:pPr>
        <w:ind w:right="-4"/>
        <w:rPr>
          <w:szCs w:val="20"/>
        </w:rPr>
      </w:pPr>
      <w:r w:rsidRPr="00D51072">
        <w:rPr>
          <w:szCs w:val="20"/>
        </w:rPr>
        <w:br w:type="page"/>
      </w:r>
    </w:p>
    <w:p w14:paraId="21432E86" w14:textId="024B6CFD" w:rsidR="008F1678" w:rsidRPr="00D51072" w:rsidRDefault="000717F4" w:rsidP="008F1678">
      <w:pPr>
        <w:jc w:val="center"/>
        <w:rPr>
          <w:b/>
          <w:i/>
          <w:smallCaps/>
          <w:sz w:val="18"/>
          <w:szCs w:val="20"/>
          <w:lang w:eastAsia="es-ES"/>
        </w:rPr>
      </w:pPr>
      <w:r w:rsidRPr="00D51072">
        <w:rPr>
          <w:rFonts w:cs="Verdana Bold"/>
          <w:b/>
          <w:bCs/>
          <w:i/>
          <w:caps/>
          <w:sz w:val="18"/>
          <w:szCs w:val="20"/>
        </w:rPr>
        <w:lastRenderedPageBreak/>
        <w:t xml:space="preserve">caso </w:t>
      </w:r>
      <w:r w:rsidR="00A858B4" w:rsidRPr="00D51072">
        <w:rPr>
          <w:rFonts w:cs="Verdana Bold"/>
          <w:b/>
          <w:bCs/>
          <w:i/>
          <w:caps/>
          <w:sz w:val="18"/>
          <w:szCs w:val="20"/>
        </w:rPr>
        <w:t>RICO</w:t>
      </w:r>
      <w:r w:rsidRPr="00D51072">
        <w:rPr>
          <w:rFonts w:cs="Verdana Bold"/>
          <w:b/>
          <w:bCs/>
          <w:i/>
          <w:caps/>
          <w:sz w:val="18"/>
          <w:szCs w:val="20"/>
        </w:rPr>
        <w:t xml:space="preserve"> VS. </w:t>
      </w:r>
      <w:r w:rsidR="00A858B4" w:rsidRPr="00D51072">
        <w:rPr>
          <w:rFonts w:cs="Verdana Bold"/>
          <w:b/>
          <w:bCs/>
          <w:i/>
          <w:caps/>
          <w:sz w:val="18"/>
          <w:szCs w:val="20"/>
        </w:rPr>
        <w:t>aRGENTINA</w:t>
      </w:r>
    </w:p>
    <w:p w14:paraId="295C8FD7" w14:textId="77777777" w:rsidR="009403BF" w:rsidRPr="00D51072" w:rsidRDefault="009403BF" w:rsidP="003E0964">
      <w:pPr>
        <w:pStyle w:val="Ttulo"/>
        <w:spacing w:before="240" w:after="240"/>
        <w:ind w:left="-142" w:right="-46"/>
        <w:rPr>
          <w:rFonts w:eastAsia="MS Mincho"/>
        </w:rPr>
      </w:pPr>
      <w:r w:rsidRPr="00D51072">
        <w:rPr>
          <w:rFonts w:eastAsia="MS Mincho"/>
        </w:rPr>
        <w:t>Tabla de contenido</w:t>
      </w:r>
    </w:p>
    <w:p w14:paraId="4FF0D4F9" w14:textId="47E3FD40" w:rsidR="00C0563E" w:rsidRDefault="0075672C">
      <w:pPr>
        <w:pStyle w:val="TDC1"/>
        <w:rPr>
          <w:rFonts w:asciiTheme="minorHAnsi" w:eastAsiaTheme="minorEastAsia" w:hAnsiTheme="minorHAnsi" w:cstheme="minorBidi"/>
          <w:b w:val="0"/>
          <w:noProof/>
          <w:sz w:val="22"/>
          <w:szCs w:val="22"/>
          <w:lang w:val="es-CR" w:eastAsia="es-CR"/>
        </w:rPr>
      </w:pPr>
      <w:r w:rsidRPr="00D51072">
        <w:rPr>
          <w:bCs/>
          <w:sz w:val="14"/>
          <w:szCs w:val="18"/>
        </w:rPr>
        <w:fldChar w:fldCharType="begin"/>
      </w:r>
      <w:r w:rsidRPr="00D51072">
        <w:rPr>
          <w:bCs/>
          <w:sz w:val="14"/>
          <w:szCs w:val="18"/>
        </w:rPr>
        <w:instrText xml:space="preserve"> TOC \o "1-3" \h \z \u </w:instrText>
      </w:r>
      <w:r w:rsidRPr="00D51072">
        <w:rPr>
          <w:bCs/>
          <w:sz w:val="14"/>
          <w:szCs w:val="18"/>
        </w:rPr>
        <w:fldChar w:fldCharType="separate"/>
      </w:r>
      <w:hyperlink w:anchor="_Toc23414986" w:history="1">
        <w:r w:rsidR="00C0563E" w:rsidRPr="00245320">
          <w:rPr>
            <w:rStyle w:val="Hipervnculo"/>
            <w:noProof/>
          </w:rPr>
          <w:t>I. INTRODUCCIÓN DE LA CAUSA Y OBJETO DE LA CONTROVERSIA</w:t>
        </w:r>
        <w:r w:rsidR="00C0563E">
          <w:rPr>
            <w:noProof/>
            <w:webHidden/>
          </w:rPr>
          <w:tab/>
        </w:r>
        <w:r w:rsidR="00C0563E">
          <w:rPr>
            <w:noProof/>
            <w:webHidden/>
          </w:rPr>
          <w:fldChar w:fldCharType="begin"/>
        </w:r>
        <w:r w:rsidR="00C0563E">
          <w:rPr>
            <w:noProof/>
            <w:webHidden/>
          </w:rPr>
          <w:instrText xml:space="preserve"> PAGEREF _Toc23414986 \h </w:instrText>
        </w:r>
        <w:r w:rsidR="00C0563E">
          <w:rPr>
            <w:noProof/>
            <w:webHidden/>
          </w:rPr>
        </w:r>
        <w:r w:rsidR="00C0563E">
          <w:rPr>
            <w:noProof/>
            <w:webHidden/>
          </w:rPr>
          <w:fldChar w:fldCharType="separate"/>
        </w:r>
        <w:r w:rsidR="00E67032">
          <w:rPr>
            <w:noProof/>
            <w:webHidden/>
          </w:rPr>
          <w:t>3</w:t>
        </w:r>
        <w:r w:rsidR="00C0563E">
          <w:rPr>
            <w:noProof/>
            <w:webHidden/>
          </w:rPr>
          <w:fldChar w:fldCharType="end"/>
        </w:r>
      </w:hyperlink>
    </w:p>
    <w:p w14:paraId="652742AD" w14:textId="6901CEA7" w:rsidR="00C0563E" w:rsidRDefault="00E67032">
      <w:pPr>
        <w:pStyle w:val="TDC1"/>
        <w:rPr>
          <w:rFonts w:asciiTheme="minorHAnsi" w:eastAsiaTheme="minorEastAsia" w:hAnsiTheme="minorHAnsi" w:cstheme="minorBidi"/>
          <w:b w:val="0"/>
          <w:noProof/>
          <w:sz w:val="22"/>
          <w:szCs w:val="22"/>
          <w:lang w:val="es-CR" w:eastAsia="es-CR"/>
        </w:rPr>
      </w:pPr>
      <w:hyperlink w:anchor="_Toc23414987" w:history="1">
        <w:r w:rsidR="00C0563E" w:rsidRPr="00245320">
          <w:rPr>
            <w:rStyle w:val="Hipervnculo"/>
            <w:noProof/>
          </w:rPr>
          <w:t>II. PROCEDIMIENTO ANTE LA CORTE</w:t>
        </w:r>
        <w:r w:rsidR="00C0563E">
          <w:rPr>
            <w:noProof/>
            <w:webHidden/>
          </w:rPr>
          <w:tab/>
        </w:r>
        <w:r w:rsidR="00C0563E">
          <w:rPr>
            <w:noProof/>
            <w:webHidden/>
          </w:rPr>
          <w:fldChar w:fldCharType="begin"/>
        </w:r>
        <w:r w:rsidR="00C0563E">
          <w:rPr>
            <w:noProof/>
            <w:webHidden/>
          </w:rPr>
          <w:instrText xml:space="preserve"> PAGEREF _Toc23414987 \h </w:instrText>
        </w:r>
        <w:r w:rsidR="00C0563E">
          <w:rPr>
            <w:noProof/>
            <w:webHidden/>
          </w:rPr>
        </w:r>
        <w:r w:rsidR="00C0563E">
          <w:rPr>
            <w:noProof/>
            <w:webHidden/>
          </w:rPr>
          <w:fldChar w:fldCharType="separate"/>
        </w:r>
        <w:r>
          <w:rPr>
            <w:noProof/>
            <w:webHidden/>
          </w:rPr>
          <w:t>4</w:t>
        </w:r>
        <w:r w:rsidR="00C0563E">
          <w:rPr>
            <w:noProof/>
            <w:webHidden/>
          </w:rPr>
          <w:fldChar w:fldCharType="end"/>
        </w:r>
      </w:hyperlink>
    </w:p>
    <w:p w14:paraId="2E35DF1C" w14:textId="14609FD6" w:rsidR="00C0563E" w:rsidRDefault="00E67032">
      <w:pPr>
        <w:pStyle w:val="TDC1"/>
        <w:rPr>
          <w:rFonts w:asciiTheme="minorHAnsi" w:eastAsiaTheme="minorEastAsia" w:hAnsiTheme="minorHAnsi" w:cstheme="minorBidi"/>
          <w:b w:val="0"/>
          <w:noProof/>
          <w:sz w:val="22"/>
          <w:szCs w:val="22"/>
          <w:lang w:val="es-CR" w:eastAsia="es-CR"/>
        </w:rPr>
      </w:pPr>
      <w:hyperlink w:anchor="_Toc23414988" w:history="1">
        <w:r w:rsidR="00C0563E" w:rsidRPr="00245320">
          <w:rPr>
            <w:rStyle w:val="Hipervnculo"/>
            <w:noProof/>
          </w:rPr>
          <w:t>III. COMPETENCIA</w:t>
        </w:r>
        <w:r w:rsidR="00C0563E">
          <w:rPr>
            <w:noProof/>
            <w:webHidden/>
          </w:rPr>
          <w:tab/>
        </w:r>
        <w:r w:rsidR="00C0563E">
          <w:rPr>
            <w:noProof/>
            <w:webHidden/>
          </w:rPr>
          <w:fldChar w:fldCharType="begin"/>
        </w:r>
        <w:r w:rsidR="00C0563E">
          <w:rPr>
            <w:noProof/>
            <w:webHidden/>
          </w:rPr>
          <w:instrText xml:space="preserve"> PAGEREF _Toc23414988 \h </w:instrText>
        </w:r>
        <w:r w:rsidR="00C0563E">
          <w:rPr>
            <w:noProof/>
            <w:webHidden/>
          </w:rPr>
        </w:r>
        <w:r w:rsidR="00C0563E">
          <w:rPr>
            <w:noProof/>
            <w:webHidden/>
          </w:rPr>
          <w:fldChar w:fldCharType="separate"/>
        </w:r>
        <w:r>
          <w:rPr>
            <w:noProof/>
            <w:webHidden/>
          </w:rPr>
          <w:t>5</w:t>
        </w:r>
        <w:r w:rsidR="00C0563E">
          <w:rPr>
            <w:noProof/>
            <w:webHidden/>
          </w:rPr>
          <w:fldChar w:fldCharType="end"/>
        </w:r>
      </w:hyperlink>
    </w:p>
    <w:p w14:paraId="63BCFD1A" w14:textId="1715AFAA" w:rsidR="00C0563E" w:rsidRDefault="00E67032">
      <w:pPr>
        <w:pStyle w:val="TDC1"/>
        <w:rPr>
          <w:rFonts w:asciiTheme="minorHAnsi" w:eastAsiaTheme="minorEastAsia" w:hAnsiTheme="minorHAnsi" w:cstheme="minorBidi"/>
          <w:b w:val="0"/>
          <w:noProof/>
          <w:sz w:val="22"/>
          <w:szCs w:val="22"/>
          <w:lang w:val="es-CR" w:eastAsia="es-CR"/>
        </w:rPr>
      </w:pPr>
      <w:hyperlink w:anchor="_Toc23414989" w:history="1">
        <w:r w:rsidR="00C0563E" w:rsidRPr="00245320">
          <w:rPr>
            <w:rStyle w:val="Hipervnculo"/>
            <w:noProof/>
          </w:rPr>
          <w:t>IV. EXCEPCIÓN PRELIMINAR</w:t>
        </w:r>
        <w:r w:rsidR="00C0563E">
          <w:rPr>
            <w:noProof/>
            <w:webHidden/>
          </w:rPr>
          <w:tab/>
        </w:r>
        <w:r w:rsidR="00C0563E">
          <w:rPr>
            <w:noProof/>
            <w:webHidden/>
          </w:rPr>
          <w:fldChar w:fldCharType="begin"/>
        </w:r>
        <w:r w:rsidR="00C0563E">
          <w:rPr>
            <w:noProof/>
            <w:webHidden/>
          </w:rPr>
          <w:instrText xml:space="preserve"> PAGEREF _Toc23414989 \h </w:instrText>
        </w:r>
        <w:r w:rsidR="00C0563E">
          <w:rPr>
            <w:noProof/>
            <w:webHidden/>
          </w:rPr>
        </w:r>
        <w:r w:rsidR="00C0563E">
          <w:rPr>
            <w:noProof/>
            <w:webHidden/>
          </w:rPr>
          <w:fldChar w:fldCharType="separate"/>
        </w:r>
        <w:r>
          <w:rPr>
            <w:noProof/>
            <w:webHidden/>
          </w:rPr>
          <w:t>5</w:t>
        </w:r>
        <w:r w:rsidR="00C0563E">
          <w:rPr>
            <w:noProof/>
            <w:webHidden/>
          </w:rPr>
          <w:fldChar w:fldCharType="end"/>
        </w:r>
      </w:hyperlink>
    </w:p>
    <w:p w14:paraId="6446B6AB" w14:textId="563A6B33" w:rsidR="00C0563E" w:rsidRDefault="00E67032">
      <w:pPr>
        <w:pStyle w:val="TDC2"/>
        <w:rPr>
          <w:rFonts w:asciiTheme="minorHAnsi" w:eastAsiaTheme="minorEastAsia" w:hAnsiTheme="minorHAnsi" w:cstheme="minorBidi"/>
          <w:noProof/>
          <w:sz w:val="22"/>
          <w:szCs w:val="22"/>
          <w:lang w:val="es-CR" w:eastAsia="es-CR"/>
        </w:rPr>
      </w:pPr>
      <w:hyperlink w:anchor="_Toc23414990" w:history="1">
        <w:r w:rsidR="00C0563E" w:rsidRPr="00245320">
          <w:rPr>
            <w:rStyle w:val="Hipervnculo"/>
            <w:b/>
            <w:i/>
            <w:noProof/>
          </w:rPr>
          <w:t>A.</w:t>
        </w:r>
        <w:r w:rsidR="00C0563E">
          <w:rPr>
            <w:rFonts w:asciiTheme="minorHAnsi" w:eastAsiaTheme="minorEastAsia" w:hAnsiTheme="minorHAnsi" w:cstheme="minorBidi"/>
            <w:noProof/>
            <w:sz w:val="22"/>
            <w:szCs w:val="22"/>
            <w:lang w:val="es-CR" w:eastAsia="es-CR"/>
          </w:rPr>
          <w:tab/>
        </w:r>
        <w:r w:rsidR="00C0563E" w:rsidRPr="00245320">
          <w:rPr>
            <w:rStyle w:val="Hipervnculo"/>
            <w:b/>
            <w:i/>
            <w:noProof/>
          </w:rPr>
          <w:t>Alegatos de las partes y de la Comisión</w:t>
        </w:r>
        <w:r w:rsidR="00C0563E">
          <w:rPr>
            <w:noProof/>
            <w:webHidden/>
          </w:rPr>
          <w:tab/>
        </w:r>
        <w:r w:rsidR="00C0563E">
          <w:rPr>
            <w:noProof/>
            <w:webHidden/>
          </w:rPr>
          <w:fldChar w:fldCharType="begin"/>
        </w:r>
        <w:r w:rsidR="00C0563E">
          <w:rPr>
            <w:noProof/>
            <w:webHidden/>
          </w:rPr>
          <w:instrText xml:space="preserve"> PAGEREF _Toc23414990 \h </w:instrText>
        </w:r>
        <w:r w:rsidR="00C0563E">
          <w:rPr>
            <w:noProof/>
            <w:webHidden/>
          </w:rPr>
        </w:r>
        <w:r w:rsidR="00C0563E">
          <w:rPr>
            <w:noProof/>
            <w:webHidden/>
          </w:rPr>
          <w:fldChar w:fldCharType="separate"/>
        </w:r>
        <w:r>
          <w:rPr>
            <w:noProof/>
            <w:webHidden/>
          </w:rPr>
          <w:t>5</w:t>
        </w:r>
        <w:r w:rsidR="00C0563E">
          <w:rPr>
            <w:noProof/>
            <w:webHidden/>
          </w:rPr>
          <w:fldChar w:fldCharType="end"/>
        </w:r>
      </w:hyperlink>
    </w:p>
    <w:p w14:paraId="07DAB15D" w14:textId="28AA3377" w:rsidR="00C0563E" w:rsidRDefault="00E67032">
      <w:pPr>
        <w:pStyle w:val="TDC2"/>
        <w:rPr>
          <w:rFonts w:asciiTheme="minorHAnsi" w:eastAsiaTheme="minorEastAsia" w:hAnsiTheme="minorHAnsi" w:cstheme="minorBidi"/>
          <w:noProof/>
          <w:sz w:val="22"/>
          <w:szCs w:val="22"/>
          <w:lang w:val="es-CR" w:eastAsia="es-CR"/>
        </w:rPr>
      </w:pPr>
      <w:hyperlink w:anchor="_Toc23414991" w:history="1">
        <w:r w:rsidR="00C0563E" w:rsidRPr="00245320">
          <w:rPr>
            <w:rStyle w:val="Hipervnculo"/>
            <w:b/>
            <w:i/>
            <w:noProof/>
          </w:rPr>
          <w:t>B.</w:t>
        </w:r>
        <w:r w:rsidR="00C0563E">
          <w:rPr>
            <w:rFonts w:asciiTheme="minorHAnsi" w:eastAsiaTheme="minorEastAsia" w:hAnsiTheme="minorHAnsi" w:cstheme="minorBidi"/>
            <w:noProof/>
            <w:sz w:val="22"/>
            <w:szCs w:val="22"/>
            <w:lang w:val="es-CR" w:eastAsia="es-CR"/>
          </w:rPr>
          <w:tab/>
        </w:r>
        <w:r w:rsidR="00C0563E" w:rsidRPr="00245320">
          <w:rPr>
            <w:rStyle w:val="Hipervnculo"/>
            <w:b/>
            <w:i/>
            <w:noProof/>
          </w:rPr>
          <w:t>Consideraciones de la Corte</w:t>
        </w:r>
        <w:r w:rsidR="00C0563E">
          <w:rPr>
            <w:noProof/>
            <w:webHidden/>
          </w:rPr>
          <w:tab/>
        </w:r>
        <w:r w:rsidR="00C0563E">
          <w:rPr>
            <w:noProof/>
            <w:webHidden/>
          </w:rPr>
          <w:fldChar w:fldCharType="begin"/>
        </w:r>
        <w:r w:rsidR="00C0563E">
          <w:rPr>
            <w:noProof/>
            <w:webHidden/>
          </w:rPr>
          <w:instrText xml:space="preserve"> PAGEREF _Toc23414991 \h </w:instrText>
        </w:r>
        <w:r w:rsidR="00C0563E">
          <w:rPr>
            <w:noProof/>
            <w:webHidden/>
          </w:rPr>
        </w:r>
        <w:r w:rsidR="00C0563E">
          <w:rPr>
            <w:noProof/>
            <w:webHidden/>
          </w:rPr>
          <w:fldChar w:fldCharType="separate"/>
        </w:r>
        <w:r>
          <w:rPr>
            <w:noProof/>
            <w:webHidden/>
          </w:rPr>
          <w:t>5</w:t>
        </w:r>
        <w:r w:rsidR="00C0563E">
          <w:rPr>
            <w:noProof/>
            <w:webHidden/>
          </w:rPr>
          <w:fldChar w:fldCharType="end"/>
        </w:r>
      </w:hyperlink>
    </w:p>
    <w:p w14:paraId="6BD2FE32" w14:textId="23309C77" w:rsidR="00C0563E" w:rsidRDefault="00E67032">
      <w:pPr>
        <w:pStyle w:val="TDC1"/>
        <w:rPr>
          <w:rFonts w:asciiTheme="minorHAnsi" w:eastAsiaTheme="minorEastAsia" w:hAnsiTheme="minorHAnsi" w:cstheme="minorBidi"/>
          <w:b w:val="0"/>
          <w:noProof/>
          <w:sz w:val="22"/>
          <w:szCs w:val="22"/>
          <w:lang w:val="es-CR" w:eastAsia="es-CR"/>
        </w:rPr>
      </w:pPr>
      <w:hyperlink w:anchor="_Toc23414992" w:history="1">
        <w:r w:rsidR="00C0563E" w:rsidRPr="00245320">
          <w:rPr>
            <w:rStyle w:val="Hipervnculo"/>
            <w:noProof/>
          </w:rPr>
          <w:t>V. PRUEBA</w:t>
        </w:r>
        <w:r w:rsidR="00C0563E">
          <w:rPr>
            <w:noProof/>
            <w:webHidden/>
          </w:rPr>
          <w:tab/>
        </w:r>
        <w:r w:rsidR="00C0563E">
          <w:rPr>
            <w:noProof/>
            <w:webHidden/>
          </w:rPr>
          <w:fldChar w:fldCharType="begin"/>
        </w:r>
        <w:r w:rsidR="00C0563E">
          <w:rPr>
            <w:noProof/>
            <w:webHidden/>
          </w:rPr>
          <w:instrText xml:space="preserve"> PAGEREF _Toc23414992 \h </w:instrText>
        </w:r>
        <w:r w:rsidR="00C0563E">
          <w:rPr>
            <w:noProof/>
            <w:webHidden/>
          </w:rPr>
        </w:r>
        <w:r w:rsidR="00C0563E">
          <w:rPr>
            <w:noProof/>
            <w:webHidden/>
          </w:rPr>
          <w:fldChar w:fldCharType="separate"/>
        </w:r>
        <w:r>
          <w:rPr>
            <w:noProof/>
            <w:webHidden/>
          </w:rPr>
          <w:t>7</w:t>
        </w:r>
        <w:r w:rsidR="00C0563E">
          <w:rPr>
            <w:noProof/>
            <w:webHidden/>
          </w:rPr>
          <w:fldChar w:fldCharType="end"/>
        </w:r>
      </w:hyperlink>
    </w:p>
    <w:p w14:paraId="186EB3F6" w14:textId="6A57C0CA" w:rsidR="00C0563E" w:rsidRDefault="00E67032">
      <w:pPr>
        <w:pStyle w:val="TDC1"/>
        <w:rPr>
          <w:rFonts w:asciiTheme="minorHAnsi" w:eastAsiaTheme="minorEastAsia" w:hAnsiTheme="minorHAnsi" w:cstheme="minorBidi"/>
          <w:b w:val="0"/>
          <w:noProof/>
          <w:sz w:val="22"/>
          <w:szCs w:val="22"/>
          <w:lang w:val="es-CR" w:eastAsia="es-CR"/>
        </w:rPr>
      </w:pPr>
      <w:hyperlink w:anchor="_Toc23414993" w:history="1">
        <w:r w:rsidR="00C0563E" w:rsidRPr="00245320">
          <w:rPr>
            <w:rStyle w:val="Hipervnculo"/>
            <w:noProof/>
          </w:rPr>
          <w:t>VI. HECHOS</w:t>
        </w:r>
        <w:r w:rsidR="00C0563E">
          <w:rPr>
            <w:noProof/>
            <w:webHidden/>
          </w:rPr>
          <w:tab/>
        </w:r>
        <w:r w:rsidR="00C0563E">
          <w:rPr>
            <w:noProof/>
            <w:webHidden/>
          </w:rPr>
          <w:fldChar w:fldCharType="begin"/>
        </w:r>
        <w:r w:rsidR="00C0563E">
          <w:rPr>
            <w:noProof/>
            <w:webHidden/>
          </w:rPr>
          <w:instrText xml:space="preserve"> PAGEREF _Toc23414993 \h </w:instrText>
        </w:r>
        <w:r w:rsidR="00C0563E">
          <w:rPr>
            <w:noProof/>
            <w:webHidden/>
          </w:rPr>
        </w:r>
        <w:r w:rsidR="00C0563E">
          <w:rPr>
            <w:noProof/>
            <w:webHidden/>
          </w:rPr>
          <w:fldChar w:fldCharType="separate"/>
        </w:r>
        <w:r>
          <w:rPr>
            <w:noProof/>
            <w:webHidden/>
          </w:rPr>
          <w:t>8</w:t>
        </w:r>
        <w:r w:rsidR="00C0563E">
          <w:rPr>
            <w:noProof/>
            <w:webHidden/>
          </w:rPr>
          <w:fldChar w:fldCharType="end"/>
        </w:r>
      </w:hyperlink>
    </w:p>
    <w:p w14:paraId="69FA9824" w14:textId="69892DA9" w:rsidR="00C0563E" w:rsidRDefault="00E67032">
      <w:pPr>
        <w:pStyle w:val="TDC2"/>
        <w:rPr>
          <w:rFonts w:asciiTheme="minorHAnsi" w:eastAsiaTheme="minorEastAsia" w:hAnsiTheme="minorHAnsi" w:cstheme="minorBidi"/>
          <w:noProof/>
          <w:sz w:val="22"/>
          <w:szCs w:val="22"/>
          <w:lang w:val="es-CR" w:eastAsia="es-CR"/>
        </w:rPr>
      </w:pPr>
      <w:hyperlink w:anchor="_Toc23414994" w:history="1">
        <w:r w:rsidR="00C0563E" w:rsidRPr="00245320">
          <w:rPr>
            <w:rStyle w:val="Hipervnculo"/>
            <w:b/>
            <w:i/>
            <w:noProof/>
          </w:rPr>
          <w:t>A.</w:t>
        </w:r>
        <w:r w:rsidR="00C0563E">
          <w:rPr>
            <w:rFonts w:asciiTheme="minorHAnsi" w:eastAsiaTheme="minorEastAsia" w:hAnsiTheme="minorHAnsi" w:cstheme="minorBidi"/>
            <w:noProof/>
            <w:sz w:val="22"/>
            <w:szCs w:val="22"/>
            <w:lang w:val="es-CR" w:eastAsia="es-CR"/>
          </w:rPr>
          <w:tab/>
        </w:r>
        <w:r w:rsidR="00C0563E" w:rsidRPr="00245320">
          <w:rPr>
            <w:rStyle w:val="Hipervnculo"/>
            <w:b/>
            <w:i/>
            <w:noProof/>
          </w:rPr>
          <w:t>Antecedentes</w:t>
        </w:r>
        <w:r w:rsidR="00C0563E">
          <w:rPr>
            <w:noProof/>
            <w:webHidden/>
          </w:rPr>
          <w:tab/>
        </w:r>
        <w:r w:rsidR="00C0563E">
          <w:rPr>
            <w:noProof/>
            <w:webHidden/>
          </w:rPr>
          <w:fldChar w:fldCharType="begin"/>
        </w:r>
        <w:r w:rsidR="00C0563E">
          <w:rPr>
            <w:noProof/>
            <w:webHidden/>
          </w:rPr>
          <w:instrText xml:space="preserve"> PAGEREF _Toc23414994 \h </w:instrText>
        </w:r>
        <w:r w:rsidR="00C0563E">
          <w:rPr>
            <w:noProof/>
            <w:webHidden/>
          </w:rPr>
        </w:r>
        <w:r w:rsidR="00C0563E">
          <w:rPr>
            <w:noProof/>
            <w:webHidden/>
          </w:rPr>
          <w:fldChar w:fldCharType="separate"/>
        </w:r>
        <w:r>
          <w:rPr>
            <w:noProof/>
            <w:webHidden/>
          </w:rPr>
          <w:t>8</w:t>
        </w:r>
        <w:r w:rsidR="00C0563E">
          <w:rPr>
            <w:noProof/>
            <w:webHidden/>
          </w:rPr>
          <w:fldChar w:fldCharType="end"/>
        </w:r>
      </w:hyperlink>
    </w:p>
    <w:p w14:paraId="4DAB8A9F" w14:textId="5A1F0B7E" w:rsidR="00C0563E" w:rsidRDefault="00E67032">
      <w:pPr>
        <w:pStyle w:val="TDC2"/>
        <w:rPr>
          <w:rFonts w:asciiTheme="minorHAnsi" w:eastAsiaTheme="minorEastAsia" w:hAnsiTheme="minorHAnsi" w:cstheme="minorBidi"/>
          <w:noProof/>
          <w:sz w:val="22"/>
          <w:szCs w:val="22"/>
          <w:lang w:val="es-CR" w:eastAsia="es-CR"/>
        </w:rPr>
      </w:pPr>
      <w:hyperlink w:anchor="_Toc23414995" w:history="1">
        <w:r w:rsidR="00C0563E" w:rsidRPr="00245320">
          <w:rPr>
            <w:rStyle w:val="Hipervnculo"/>
            <w:b/>
            <w:i/>
            <w:noProof/>
          </w:rPr>
          <w:t>B.</w:t>
        </w:r>
        <w:r w:rsidR="00C0563E">
          <w:rPr>
            <w:rFonts w:asciiTheme="minorHAnsi" w:eastAsiaTheme="minorEastAsia" w:hAnsiTheme="minorHAnsi" w:cstheme="minorBidi"/>
            <w:noProof/>
            <w:sz w:val="22"/>
            <w:szCs w:val="22"/>
            <w:lang w:val="es-CR" w:eastAsia="es-CR"/>
          </w:rPr>
          <w:tab/>
        </w:r>
        <w:r w:rsidR="00C0563E" w:rsidRPr="00245320">
          <w:rPr>
            <w:rStyle w:val="Hipervnculo"/>
            <w:b/>
            <w:i/>
            <w:noProof/>
          </w:rPr>
          <w:t>Los hechos ocurridos en el proceso ante el Jurado de Enjuiciamiento Provincial</w:t>
        </w:r>
        <w:r w:rsidR="00C0563E">
          <w:rPr>
            <w:noProof/>
            <w:webHidden/>
          </w:rPr>
          <w:tab/>
        </w:r>
        <w:r w:rsidR="00C0563E">
          <w:rPr>
            <w:noProof/>
            <w:webHidden/>
          </w:rPr>
          <w:fldChar w:fldCharType="begin"/>
        </w:r>
        <w:r w:rsidR="00C0563E">
          <w:rPr>
            <w:noProof/>
            <w:webHidden/>
          </w:rPr>
          <w:instrText xml:space="preserve"> PAGEREF _Toc23414995 \h </w:instrText>
        </w:r>
        <w:r w:rsidR="00C0563E">
          <w:rPr>
            <w:noProof/>
            <w:webHidden/>
          </w:rPr>
        </w:r>
        <w:r w:rsidR="00C0563E">
          <w:rPr>
            <w:noProof/>
            <w:webHidden/>
          </w:rPr>
          <w:fldChar w:fldCharType="separate"/>
        </w:r>
        <w:r>
          <w:rPr>
            <w:noProof/>
            <w:webHidden/>
          </w:rPr>
          <w:t>8</w:t>
        </w:r>
        <w:r w:rsidR="00C0563E">
          <w:rPr>
            <w:noProof/>
            <w:webHidden/>
          </w:rPr>
          <w:fldChar w:fldCharType="end"/>
        </w:r>
      </w:hyperlink>
    </w:p>
    <w:p w14:paraId="48F1E508" w14:textId="0E3F46F6" w:rsidR="00C0563E" w:rsidRDefault="00E67032">
      <w:pPr>
        <w:pStyle w:val="TDC2"/>
        <w:rPr>
          <w:rFonts w:asciiTheme="minorHAnsi" w:eastAsiaTheme="minorEastAsia" w:hAnsiTheme="minorHAnsi" w:cstheme="minorBidi"/>
          <w:noProof/>
          <w:sz w:val="22"/>
          <w:szCs w:val="22"/>
          <w:lang w:val="es-CR" w:eastAsia="es-CR"/>
        </w:rPr>
      </w:pPr>
      <w:hyperlink w:anchor="_Toc23414996" w:history="1">
        <w:r w:rsidR="00C0563E" w:rsidRPr="00245320">
          <w:rPr>
            <w:rStyle w:val="Hipervnculo"/>
            <w:b/>
            <w:i/>
            <w:noProof/>
          </w:rPr>
          <w:t>C.</w:t>
        </w:r>
        <w:r w:rsidR="00C0563E">
          <w:rPr>
            <w:rFonts w:asciiTheme="minorHAnsi" w:eastAsiaTheme="minorEastAsia" w:hAnsiTheme="minorHAnsi" w:cstheme="minorBidi"/>
            <w:noProof/>
            <w:sz w:val="22"/>
            <w:szCs w:val="22"/>
            <w:lang w:val="es-CR" w:eastAsia="es-CR"/>
          </w:rPr>
          <w:tab/>
        </w:r>
        <w:r w:rsidR="00C0563E" w:rsidRPr="00245320">
          <w:rPr>
            <w:rStyle w:val="Hipervnculo"/>
            <w:b/>
            <w:i/>
            <w:noProof/>
          </w:rPr>
          <w:t>Recursos interpuestos por el señor Rico</w:t>
        </w:r>
        <w:r w:rsidR="00C0563E">
          <w:rPr>
            <w:noProof/>
            <w:webHidden/>
          </w:rPr>
          <w:tab/>
        </w:r>
        <w:r w:rsidR="00C0563E">
          <w:rPr>
            <w:noProof/>
            <w:webHidden/>
          </w:rPr>
          <w:fldChar w:fldCharType="begin"/>
        </w:r>
        <w:r w:rsidR="00C0563E">
          <w:rPr>
            <w:noProof/>
            <w:webHidden/>
          </w:rPr>
          <w:instrText xml:space="preserve"> PAGEREF _Toc23414996 \h </w:instrText>
        </w:r>
        <w:r w:rsidR="00C0563E">
          <w:rPr>
            <w:noProof/>
            <w:webHidden/>
          </w:rPr>
        </w:r>
        <w:r w:rsidR="00C0563E">
          <w:rPr>
            <w:noProof/>
            <w:webHidden/>
          </w:rPr>
          <w:fldChar w:fldCharType="separate"/>
        </w:r>
        <w:r>
          <w:rPr>
            <w:noProof/>
            <w:webHidden/>
          </w:rPr>
          <w:t>11</w:t>
        </w:r>
        <w:r w:rsidR="00C0563E">
          <w:rPr>
            <w:noProof/>
            <w:webHidden/>
          </w:rPr>
          <w:fldChar w:fldCharType="end"/>
        </w:r>
      </w:hyperlink>
    </w:p>
    <w:p w14:paraId="02EC33A2" w14:textId="77327E6A" w:rsidR="00C0563E" w:rsidRDefault="00E67032">
      <w:pPr>
        <w:pStyle w:val="TDC3"/>
        <w:rPr>
          <w:rFonts w:asciiTheme="minorHAnsi" w:eastAsiaTheme="minorEastAsia" w:hAnsiTheme="minorHAnsi" w:cstheme="minorBidi"/>
          <w:noProof/>
          <w:sz w:val="22"/>
          <w:szCs w:val="22"/>
          <w:lang w:val="es-CR" w:eastAsia="es-CR"/>
        </w:rPr>
      </w:pPr>
      <w:hyperlink w:anchor="_Toc23414997" w:history="1">
        <w:r w:rsidR="00C0563E" w:rsidRPr="00245320">
          <w:rPr>
            <w:rStyle w:val="Hipervnculo"/>
            <w:i/>
            <w:noProof/>
          </w:rPr>
          <w:t xml:space="preserve">C.1. </w:t>
        </w:r>
        <w:r w:rsidR="00C0563E" w:rsidRPr="00245320">
          <w:rPr>
            <w:rStyle w:val="Hipervnculo"/>
            <w:i/>
            <w:noProof/>
            <w:lang w:val="es-CR" w:eastAsia="es-CR"/>
          </w:rPr>
          <w:t>Recurso Extraordinario de Nulidad (“REN”) ante la Suprema Corte de la Provincia de Buenos Aires (“SCJBA”)</w:t>
        </w:r>
        <w:r w:rsidR="00C0563E">
          <w:rPr>
            <w:noProof/>
            <w:webHidden/>
          </w:rPr>
          <w:tab/>
        </w:r>
        <w:r w:rsidR="00C0563E">
          <w:rPr>
            <w:noProof/>
            <w:webHidden/>
          </w:rPr>
          <w:fldChar w:fldCharType="begin"/>
        </w:r>
        <w:r w:rsidR="00C0563E">
          <w:rPr>
            <w:noProof/>
            <w:webHidden/>
          </w:rPr>
          <w:instrText xml:space="preserve"> PAGEREF _Toc23414997 \h </w:instrText>
        </w:r>
        <w:r w:rsidR="00C0563E">
          <w:rPr>
            <w:noProof/>
            <w:webHidden/>
          </w:rPr>
        </w:r>
        <w:r w:rsidR="00C0563E">
          <w:rPr>
            <w:noProof/>
            <w:webHidden/>
          </w:rPr>
          <w:fldChar w:fldCharType="separate"/>
        </w:r>
        <w:r>
          <w:rPr>
            <w:noProof/>
            <w:webHidden/>
          </w:rPr>
          <w:t>11</w:t>
        </w:r>
        <w:r w:rsidR="00C0563E">
          <w:rPr>
            <w:noProof/>
            <w:webHidden/>
          </w:rPr>
          <w:fldChar w:fldCharType="end"/>
        </w:r>
      </w:hyperlink>
    </w:p>
    <w:p w14:paraId="3A858B85" w14:textId="1D13E8EB" w:rsidR="00C0563E" w:rsidRDefault="00E67032">
      <w:pPr>
        <w:pStyle w:val="TDC3"/>
        <w:rPr>
          <w:rFonts w:asciiTheme="minorHAnsi" w:eastAsiaTheme="minorEastAsia" w:hAnsiTheme="minorHAnsi" w:cstheme="minorBidi"/>
          <w:noProof/>
          <w:sz w:val="22"/>
          <w:szCs w:val="22"/>
          <w:lang w:val="es-CR" w:eastAsia="es-CR"/>
        </w:rPr>
      </w:pPr>
      <w:hyperlink w:anchor="_Toc23414998" w:history="1">
        <w:r w:rsidR="00C0563E" w:rsidRPr="00245320">
          <w:rPr>
            <w:rStyle w:val="Hipervnculo"/>
            <w:i/>
            <w:noProof/>
          </w:rPr>
          <w:t xml:space="preserve">C.2. </w:t>
        </w:r>
        <w:r w:rsidR="00C0563E" w:rsidRPr="00245320">
          <w:rPr>
            <w:rStyle w:val="Hipervnculo"/>
            <w:i/>
            <w:noProof/>
            <w:lang w:val="es-CR" w:eastAsia="es-CR"/>
          </w:rPr>
          <w:t>Recurso extraordinario federal (“REF”) ante la Suprema Corte de la Provincia de Buenos Aires (“SCJBA”)</w:t>
        </w:r>
        <w:r w:rsidR="00C0563E">
          <w:rPr>
            <w:noProof/>
            <w:webHidden/>
          </w:rPr>
          <w:tab/>
        </w:r>
        <w:r w:rsidR="00C0563E">
          <w:rPr>
            <w:noProof/>
            <w:webHidden/>
          </w:rPr>
          <w:fldChar w:fldCharType="begin"/>
        </w:r>
        <w:r w:rsidR="00C0563E">
          <w:rPr>
            <w:noProof/>
            <w:webHidden/>
          </w:rPr>
          <w:instrText xml:space="preserve"> PAGEREF _Toc23414998 \h </w:instrText>
        </w:r>
        <w:r w:rsidR="00C0563E">
          <w:rPr>
            <w:noProof/>
            <w:webHidden/>
          </w:rPr>
        </w:r>
        <w:r w:rsidR="00C0563E">
          <w:rPr>
            <w:noProof/>
            <w:webHidden/>
          </w:rPr>
          <w:fldChar w:fldCharType="separate"/>
        </w:r>
        <w:r>
          <w:rPr>
            <w:noProof/>
            <w:webHidden/>
          </w:rPr>
          <w:t>12</w:t>
        </w:r>
        <w:r w:rsidR="00C0563E">
          <w:rPr>
            <w:noProof/>
            <w:webHidden/>
          </w:rPr>
          <w:fldChar w:fldCharType="end"/>
        </w:r>
      </w:hyperlink>
    </w:p>
    <w:p w14:paraId="3046339A" w14:textId="3B3132DA" w:rsidR="00C0563E" w:rsidRDefault="00E67032">
      <w:pPr>
        <w:pStyle w:val="TDC3"/>
        <w:rPr>
          <w:rFonts w:asciiTheme="minorHAnsi" w:eastAsiaTheme="minorEastAsia" w:hAnsiTheme="minorHAnsi" w:cstheme="minorBidi"/>
          <w:noProof/>
          <w:sz w:val="22"/>
          <w:szCs w:val="22"/>
          <w:lang w:val="es-CR" w:eastAsia="es-CR"/>
        </w:rPr>
      </w:pPr>
      <w:hyperlink w:anchor="_Toc23414999" w:history="1">
        <w:r w:rsidR="00C0563E" w:rsidRPr="00245320">
          <w:rPr>
            <w:rStyle w:val="Hipervnculo"/>
            <w:i/>
            <w:noProof/>
          </w:rPr>
          <w:t xml:space="preserve">C.3. </w:t>
        </w:r>
        <w:r w:rsidR="00C0563E" w:rsidRPr="00245320">
          <w:rPr>
            <w:rStyle w:val="Hipervnculo"/>
            <w:i/>
            <w:noProof/>
            <w:lang w:val="es-CR" w:eastAsia="es-CR"/>
          </w:rPr>
          <w:t xml:space="preserve">Recurso de Queja </w:t>
        </w:r>
        <w:r w:rsidR="00C0563E" w:rsidRPr="00245320">
          <w:rPr>
            <w:rStyle w:val="Hipervnculo"/>
            <w:rFonts w:cs="Times New Roman"/>
            <w:i/>
            <w:noProof/>
            <w:lang w:val="es-AR"/>
          </w:rPr>
          <w:t>ante la Corte Suprema de Justicia de la Nación (“CSJN”)</w:t>
        </w:r>
        <w:r w:rsidR="00C0563E">
          <w:rPr>
            <w:noProof/>
            <w:webHidden/>
          </w:rPr>
          <w:tab/>
        </w:r>
        <w:r w:rsidR="00C0563E">
          <w:rPr>
            <w:noProof/>
            <w:webHidden/>
          </w:rPr>
          <w:fldChar w:fldCharType="begin"/>
        </w:r>
        <w:r w:rsidR="00C0563E">
          <w:rPr>
            <w:noProof/>
            <w:webHidden/>
          </w:rPr>
          <w:instrText xml:space="preserve"> PAGEREF _Toc23414999 \h </w:instrText>
        </w:r>
        <w:r w:rsidR="00C0563E">
          <w:rPr>
            <w:noProof/>
            <w:webHidden/>
          </w:rPr>
        </w:r>
        <w:r w:rsidR="00C0563E">
          <w:rPr>
            <w:noProof/>
            <w:webHidden/>
          </w:rPr>
          <w:fldChar w:fldCharType="separate"/>
        </w:r>
        <w:r>
          <w:rPr>
            <w:noProof/>
            <w:webHidden/>
          </w:rPr>
          <w:t>12</w:t>
        </w:r>
        <w:r w:rsidR="00C0563E">
          <w:rPr>
            <w:noProof/>
            <w:webHidden/>
          </w:rPr>
          <w:fldChar w:fldCharType="end"/>
        </w:r>
      </w:hyperlink>
    </w:p>
    <w:p w14:paraId="103673F7" w14:textId="5644596A" w:rsidR="00C0563E" w:rsidRDefault="00E67032">
      <w:pPr>
        <w:pStyle w:val="TDC1"/>
        <w:rPr>
          <w:rFonts w:asciiTheme="minorHAnsi" w:eastAsiaTheme="minorEastAsia" w:hAnsiTheme="minorHAnsi" w:cstheme="minorBidi"/>
          <w:b w:val="0"/>
          <w:noProof/>
          <w:sz w:val="22"/>
          <w:szCs w:val="22"/>
          <w:lang w:val="es-CR" w:eastAsia="es-CR"/>
        </w:rPr>
      </w:pPr>
      <w:hyperlink w:anchor="_Toc23415000" w:history="1">
        <w:r w:rsidR="00C0563E" w:rsidRPr="00245320">
          <w:rPr>
            <w:rStyle w:val="Hipervnculo"/>
            <w:noProof/>
            <w:lang w:val="es-ES"/>
          </w:rPr>
          <w:t>VII. FONDO</w:t>
        </w:r>
        <w:r w:rsidR="00C0563E">
          <w:rPr>
            <w:noProof/>
            <w:webHidden/>
          </w:rPr>
          <w:tab/>
        </w:r>
        <w:r w:rsidR="00C0563E">
          <w:rPr>
            <w:noProof/>
            <w:webHidden/>
          </w:rPr>
          <w:fldChar w:fldCharType="begin"/>
        </w:r>
        <w:r w:rsidR="00C0563E">
          <w:rPr>
            <w:noProof/>
            <w:webHidden/>
          </w:rPr>
          <w:instrText xml:space="preserve"> PAGEREF _Toc23415000 \h </w:instrText>
        </w:r>
        <w:r w:rsidR="00C0563E">
          <w:rPr>
            <w:noProof/>
            <w:webHidden/>
          </w:rPr>
        </w:r>
        <w:r w:rsidR="00C0563E">
          <w:rPr>
            <w:noProof/>
            <w:webHidden/>
          </w:rPr>
          <w:fldChar w:fldCharType="separate"/>
        </w:r>
        <w:r>
          <w:rPr>
            <w:noProof/>
            <w:webHidden/>
          </w:rPr>
          <w:t>12</w:t>
        </w:r>
        <w:r w:rsidR="00C0563E">
          <w:rPr>
            <w:noProof/>
            <w:webHidden/>
          </w:rPr>
          <w:fldChar w:fldCharType="end"/>
        </w:r>
      </w:hyperlink>
    </w:p>
    <w:p w14:paraId="140B761E" w14:textId="5221A5DF" w:rsidR="00C0563E" w:rsidRDefault="00E67032">
      <w:pPr>
        <w:pStyle w:val="TDC1"/>
        <w:rPr>
          <w:rFonts w:asciiTheme="minorHAnsi" w:eastAsiaTheme="minorEastAsia" w:hAnsiTheme="minorHAnsi" w:cstheme="minorBidi"/>
          <w:b w:val="0"/>
          <w:noProof/>
          <w:sz w:val="22"/>
          <w:szCs w:val="22"/>
          <w:lang w:val="es-CR" w:eastAsia="es-CR"/>
        </w:rPr>
      </w:pPr>
      <w:hyperlink w:anchor="_Toc23415001" w:history="1">
        <w:r w:rsidR="00C0563E" w:rsidRPr="00245320">
          <w:rPr>
            <w:rStyle w:val="Hipervnculo"/>
            <w:noProof/>
          </w:rPr>
          <w:t xml:space="preserve">VII.1. </w:t>
        </w:r>
        <w:r w:rsidR="00C0563E" w:rsidRPr="00245320">
          <w:rPr>
            <w:rStyle w:val="Hipervnculo"/>
            <w:rFonts w:cs="Arial"/>
            <w:noProof/>
          </w:rPr>
          <w:t>DERECHO A LAS GARANTÍAS JUDICIALES</w:t>
        </w:r>
        <w:r w:rsidR="00C0563E" w:rsidRPr="00245320">
          <w:rPr>
            <w:rStyle w:val="Hipervnculo"/>
            <w:noProof/>
          </w:rPr>
          <w:t xml:space="preserve"> </w:t>
        </w:r>
        <w:r w:rsidR="00C0563E" w:rsidRPr="00245320">
          <w:rPr>
            <w:rStyle w:val="Hipervnculo"/>
            <w:rFonts w:cs="Arial"/>
            <w:noProof/>
          </w:rPr>
          <w:t>DEL SEÑOR RICO</w:t>
        </w:r>
        <w:r w:rsidR="00C0563E">
          <w:rPr>
            <w:noProof/>
            <w:webHidden/>
          </w:rPr>
          <w:tab/>
        </w:r>
        <w:r w:rsidR="00C0563E">
          <w:rPr>
            <w:noProof/>
            <w:webHidden/>
          </w:rPr>
          <w:fldChar w:fldCharType="begin"/>
        </w:r>
        <w:r w:rsidR="00C0563E">
          <w:rPr>
            <w:noProof/>
            <w:webHidden/>
          </w:rPr>
          <w:instrText xml:space="preserve"> PAGEREF _Toc23415001 \h </w:instrText>
        </w:r>
        <w:r w:rsidR="00C0563E">
          <w:rPr>
            <w:noProof/>
            <w:webHidden/>
          </w:rPr>
        </w:r>
        <w:r w:rsidR="00C0563E">
          <w:rPr>
            <w:noProof/>
            <w:webHidden/>
          </w:rPr>
          <w:fldChar w:fldCharType="separate"/>
        </w:r>
        <w:r>
          <w:rPr>
            <w:noProof/>
            <w:webHidden/>
          </w:rPr>
          <w:t>13</w:t>
        </w:r>
        <w:r w:rsidR="00C0563E">
          <w:rPr>
            <w:noProof/>
            <w:webHidden/>
          </w:rPr>
          <w:fldChar w:fldCharType="end"/>
        </w:r>
      </w:hyperlink>
    </w:p>
    <w:p w14:paraId="16BF16E5" w14:textId="49B9C210" w:rsidR="00C0563E" w:rsidRPr="00C0563E" w:rsidRDefault="00E67032">
      <w:pPr>
        <w:pStyle w:val="TDC2"/>
        <w:rPr>
          <w:rFonts w:asciiTheme="minorHAnsi" w:eastAsiaTheme="minorEastAsia" w:hAnsiTheme="minorHAnsi" w:cstheme="minorBidi"/>
          <w:b/>
          <w:noProof/>
          <w:sz w:val="22"/>
          <w:szCs w:val="22"/>
          <w:lang w:val="es-CR" w:eastAsia="es-CR"/>
        </w:rPr>
      </w:pPr>
      <w:hyperlink w:anchor="_Toc23415002" w:history="1">
        <w:r w:rsidR="00C0563E" w:rsidRPr="00C0563E">
          <w:rPr>
            <w:rStyle w:val="Hipervnculo"/>
            <w:rFonts w:cs="Tahoma"/>
            <w:b/>
            <w:i/>
            <w:noProof/>
            <w:lang w:eastAsia="x-none"/>
          </w:rPr>
          <w:t>A.</w:t>
        </w:r>
        <w:r w:rsidR="00C0563E" w:rsidRPr="00C0563E">
          <w:rPr>
            <w:rFonts w:asciiTheme="minorHAnsi" w:eastAsiaTheme="minorEastAsia" w:hAnsiTheme="minorHAnsi" w:cstheme="minorBidi"/>
            <w:b/>
            <w:noProof/>
            <w:sz w:val="22"/>
            <w:szCs w:val="22"/>
            <w:lang w:val="es-CR" w:eastAsia="es-CR"/>
          </w:rPr>
          <w:tab/>
        </w:r>
        <w:r w:rsidR="00C0563E" w:rsidRPr="00C0563E">
          <w:rPr>
            <w:rStyle w:val="Hipervnculo"/>
            <w:rFonts w:cs="Tahoma"/>
            <w:b/>
            <w:i/>
            <w:noProof/>
            <w:lang w:eastAsia="x-none"/>
          </w:rPr>
          <w:t>Alegatos de la Comisión y de las partes</w:t>
        </w:r>
        <w:r w:rsidR="00C0563E" w:rsidRPr="00C0563E">
          <w:rPr>
            <w:b/>
            <w:noProof/>
            <w:webHidden/>
          </w:rPr>
          <w:tab/>
        </w:r>
        <w:r w:rsidR="00C0563E" w:rsidRPr="00C0563E">
          <w:rPr>
            <w:b/>
            <w:noProof/>
            <w:webHidden/>
          </w:rPr>
          <w:fldChar w:fldCharType="begin"/>
        </w:r>
        <w:r w:rsidR="00C0563E" w:rsidRPr="00C0563E">
          <w:rPr>
            <w:b/>
            <w:noProof/>
            <w:webHidden/>
          </w:rPr>
          <w:instrText xml:space="preserve"> PAGEREF _Toc23415002 \h </w:instrText>
        </w:r>
        <w:r w:rsidR="00C0563E" w:rsidRPr="00C0563E">
          <w:rPr>
            <w:b/>
            <w:noProof/>
            <w:webHidden/>
          </w:rPr>
        </w:r>
        <w:r w:rsidR="00C0563E" w:rsidRPr="00C0563E">
          <w:rPr>
            <w:b/>
            <w:noProof/>
            <w:webHidden/>
          </w:rPr>
          <w:fldChar w:fldCharType="separate"/>
        </w:r>
        <w:r>
          <w:rPr>
            <w:b/>
            <w:noProof/>
            <w:webHidden/>
          </w:rPr>
          <w:t>13</w:t>
        </w:r>
        <w:r w:rsidR="00C0563E" w:rsidRPr="00C0563E">
          <w:rPr>
            <w:b/>
            <w:noProof/>
            <w:webHidden/>
          </w:rPr>
          <w:fldChar w:fldCharType="end"/>
        </w:r>
      </w:hyperlink>
    </w:p>
    <w:p w14:paraId="3BDE194C" w14:textId="7781D452" w:rsidR="00C0563E" w:rsidRPr="00C0563E" w:rsidRDefault="00E67032">
      <w:pPr>
        <w:pStyle w:val="TDC2"/>
        <w:rPr>
          <w:rFonts w:asciiTheme="minorHAnsi" w:eastAsiaTheme="minorEastAsia" w:hAnsiTheme="minorHAnsi" w:cstheme="minorBidi"/>
          <w:b/>
          <w:noProof/>
          <w:sz w:val="22"/>
          <w:szCs w:val="22"/>
          <w:lang w:val="es-CR" w:eastAsia="es-CR"/>
        </w:rPr>
      </w:pPr>
      <w:hyperlink w:anchor="_Toc23415003" w:history="1">
        <w:r w:rsidR="00C0563E" w:rsidRPr="00C0563E">
          <w:rPr>
            <w:rStyle w:val="Hipervnculo"/>
            <w:rFonts w:cs="Tahoma"/>
            <w:b/>
            <w:i/>
            <w:noProof/>
            <w:lang w:eastAsia="x-none"/>
          </w:rPr>
          <w:t>B.</w:t>
        </w:r>
        <w:r w:rsidR="00C0563E" w:rsidRPr="00C0563E">
          <w:rPr>
            <w:rFonts w:asciiTheme="minorHAnsi" w:eastAsiaTheme="minorEastAsia" w:hAnsiTheme="minorHAnsi" w:cstheme="minorBidi"/>
            <w:b/>
            <w:noProof/>
            <w:sz w:val="22"/>
            <w:szCs w:val="22"/>
            <w:lang w:val="es-CR" w:eastAsia="es-CR"/>
          </w:rPr>
          <w:tab/>
        </w:r>
        <w:r w:rsidR="00C0563E" w:rsidRPr="00C0563E">
          <w:rPr>
            <w:rStyle w:val="Hipervnculo"/>
            <w:rFonts w:cs="Tahoma"/>
            <w:b/>
            <w:i/>
            <w:noProof/>
            <w:lang w:eastAsia="x-none"/>
          </w:rPr>
          <w:t>Consideraciones de la Corte</w:t>
        </w:r>
        <w:r w:rsidR="00C0563E" w:rsidRPr="00C0563E">
          <w:rPr>
            <w:b/>
            <w:noProof/>
            <w:webHidden/>
          </w:rPr>
          <w:tab/>
        </w:r>
        <w:r w:rsidR="00C0563E" w:rsidRPr="00C0563E">
          <w:rPr>
            <w:b/>
            <w:noProof/>
            <w:webHidden/>
          </w:rPr>
          <w:fldChar w:fldCharType="begin"/>
        </w:r>
        <w:r w:rsidR="00C0563E" w:rsidRPr="00C0563E">
          <w:rPr>
            <w:b/>
            <w:noProof/>
            <w:webHidden/>
          </w:rPr>
          <w:instrText xml:space="preserve"> PAGEREF _Toc23415003 \h </w:instrText>
        </w:r>
        <w:r w:rsidR="00C0563E" w:rsidRPr="00C0563E">
          <w:rPr>
            <w:b/>
            <w:noProof/>
            <w:webHidden/>
          </w:rPr>
        </w:r>
        <w:r w:rsidR="00C0563E" w:rsidRPr="00C0563E">
          <w:rPr>
            <w:b/>
            <w:noProof/>
            <w:webHidden/>
          </w:rPr>
          <w:fldChar w:fldCharType="separate"/>
        </w:r>
        <w:r>
          <w:rPr>
            <w:b/>
            <w:noProof/>
            <w:webHidden/>
          </w:rPr>
          <w:t>14</w:t>
        </w:r>
        <w:r w:rsidR="00C0563E" w:rsidRPr="00C0563E">
          <w:rPr>
            <w:b/>
            <w:noProof/>
            <w:webHidden/>
          </w:rPr>
          <w:fldChar w:fldCharType="end"/>
        </w:r>
      </w:hyperlink>
    </w:p>
    <w:p w14:paraId="527D44BC" w14:textId="0D7568FE" w:rsidR="00C0563E" w:rsidRDefault="00E67032">
      <w:pPr>
        <w:pStyle w:val="TDC3"/>
        <w:rPr>
          <w:rFonts w:asciiTheme="minorHAnsi" w:eastAsiaTheme="minorEastAsia" w:hAnsiTheme="minorHAnsi" w:cstheme="minorBidi"/>
          <w:noProof/>
          <w:sz w:val="22"/>
          <w:szCs w:val="22"/>
          <w:lang w:val="es-CR" w:eastAsia="es-CR"/>
        </w:rPr>
      </w:pPr>
      <w:hyperlink w:anchor="_Toc23415004" w:history="1">
        <w:r w:rsidR="00C0563E" w:rsidRPr="00245320">
          <w:rPr>
            <w:rStyle w:val="Hipervnculo"/>
            <w:i/>
            <w:noProof/>
            <w:lang w:val="es-CR" w:eastAsia="es-ES"/>
          </w:rPr>
          <w:t>B.1. La alegada violación a la garantía del juez competente e independiente</w:t>
        </w:r>
        <w:r w:rsidR="00C0563E">
          <w:rPr>
            <w:noProof/>
            <w:webHidden/>
          </w:rPr>
          <w:tab/>
        </w:r>
        <w:r w:rsidR="00C0563E">
          <w:rPr>
            <w:noProof/>
            <w:webHidden/>
          </w:rPr>
          <w:fldChar w:fldCharType="begin"/>
        </w:r>
        <w:r w:rsidR="00C0563E">
          <w:rPr>
            <w:noProof/>
            <w:webHidden/>
          </w:rPr>
          <w:instrText xml:space="preserve"> PAGEREF _Toc23415004 \h </w:instrText>
        </w:r>
        <w:r w:rsidR="00C0563E">
          <w:rPr>
            <w:noProof/>
            <w:webHidden/>
          </w:rPr>
        </w:r>
        <w:r w:rsidR="00C0563E">
          <w:rPr>
            <w:noProof/>
            <w:webHidden/>
          </w:rPr>
          <w:fldChar w:fldCharType="separate"/>
        </w:r>
        <w:r>
          <w:rPr>
            <w:noProof/>
            <w:webHidden/>
          </w:rPr>
          <w:t>15</w:t>
        </w:r>
        <w:r w:rsidR="00C0563E">
          <w:rPr>
            <w:noProof/>
            <w:webHidden/>
          </w:rPr>
          <w:fldChar w:fldCharType="end"/>
        </w:r>
      </w:hyperlink>
    </w:p>
    <w:p w14:paraId="2AC2CF1E" w14:textId="5B32C58D" w:rsidR="00C0563E" w:rsidRDefault="00E67032">
      <w:pPr>
        <w:pStyle w:val="TDC3"/>
        <w:rPr>
          <w:rFonts w:asciiTheme="minorHAnsi" w:eastAsiaTheme="minorEastAsia" w:hAnsiTheme="minorHAnsi" w:cstheme="minorBidi"/>
          <w:noProof/>
          <w:sz w:val="22"/>
          <w:szCs w:val="22"/>
          <w:lang w:val="es-CR" w:eastAsia="es-CR"/>
        </w:rPr>
      </w:pPr>
      <w:hyperlink w:anchor="_Toc23415005" w:history="1">
        <w:r w:rsidR="00C0563E" w:rsidRPr="00245320">
          <w:rPr>
            <w:rStyle w:val="Hipervnculo"/>
            <w:i/>
            <w:noProof/>
            <w:lang w:val="es-CR" w:eastAsia="es-ES"/>
          </w:rPr>
          <w:t>B.2. La alegada violación a la garantía de un juez imparcial</w:t>
        </w:r>
        <w:r w:rsidR="00C0563E">
          <w:rPr>
            <w:noProof/>
            <w:webHidden/>
          </w:rPr>
          <w:tab/>
        </w:r>
        <w:r w:rsidR="00C0563E">
          <w:rPr>
            <w:noProof/>
            <w:webHidden/>
          </w:rPr>
          <w:fldChar w:fldCharType="begin"/>
        </w:r>
        <w:r w:rsidR="00C0563E">
          <w:rPr>
            <w:noProof/>
            <w:webHidden/>
          </w:rPr>
          <w:instrText xml:space="preserve"> PAGEREF _Toc23415005 \h </w:instrText>
        </w:r>
        <w:r w:rsidR="00C0563E">
          <w:rPr>
            <w:noProof/>
            <w:webHidden/>
          </w:rPr>
        </w:r>
        <w:r w:rsidR="00C0563E">
          <w:rPr>
            <w:noProof/>
            <w:webHidden/>
          </w:rPr>
          <w:fldChar w:fldCharType="separate"/>
        </w:r>
        <w:r>
          <w:rPr>
            <w:noProof/>
            <w:webHidden/>
          </w:rPr>
          <w:t>18</w:t>
        </w:r>
        <w:r w:rsidR="00C0563E">
          <w:rPr>
            <w:noProof/>
            <w:webHidden/>
          </w:rPr>
          <w:fldChar w:fldCharType="end"/>
        </w:r>
      </w:hyperlink>
    </w:p>
    <w:p w14:paraId="0E907E2E" w14:textId="162D2E80" w:rsidR="00C0563E" w:rsidRDefault="00E67032">
      <w:pPr>
        <w:pStyle w:val="TDC3"/>
        <w:rPr>
          <w:rFonts w:asciiTheme="minorHAnsi" w:eastAsiaTheme="minorEastAsia" w:hAnsiTheme="minorHAnsi" w:cstheme="minorBidi"/>
          <w:noProof/>
          <w:sz w:val="22"/>
          <w:szCs w:val="22"/>
          <w:lang w:val="es-CR" w:eastAsia="es-CR"/>
        </w:rPr>
      </w:pPr>
      <w:hyperlink w:anchor="_Toc23415006" w:history="1">
        <w:r w:rsidR="00C0563E" w:rsidRPr="00245320">
          <w:rPr>
            <w:rStyle w:val="Hipervnculo"/>
            <w:rFonts w:cs="Times New Roman"/>
            <w:i/>
            <w:noProof/>
          </w:rPr>
          <w:t xml:space="preserve">B.3. </w:t>
        </w:r>
        <w:r w:rsidR="00C0563E" w:rsidRPr="00245320">
          <w:rPr>
            <w:rStyle w:val="Hipervnculo"/>
            <w:rFonts w:cs="Times New Roman"/>
            <w:i/>
            <w:noProof/>
            <w:lang w:val="es-CR"/>
          </w:rPr>
          <w:t>El derecho a contar con un fallo motivado</w:t>
        </w:r>
        <w:r w:rsidR="00C0563E">
          <w:rPr>
            <w:noProof/>
            <w:webHidden/>
          </w:rPr>
          <w:tab/>
        </w:r>
        <w:r w:rsidR="00C0563E">
          <w:rPr>
            <w:noProof/>
            <w:webHidden/>
          </w:rPr>
          <w:fldChar w:fldCharType="begin"/>
        </w:r>
        <w:r w:rsidR="00C0563E">
          <w:rPr>
            <w:noProof/>
            <w:webHidden/>
          </w:rPr>
          <w:instrText xml:space="preserve"> PAGEREF _Toc23415006 \h </w:instrText>
        </w:r>
        <w:r w:rsidR="00C0563E">
          <w:rPr>
            <w:noProof/>
            <w:webHidden/>
          </w:rPr>
        </w:r>
        <w:r w:rsidR="00C0563E">
          <w:rPr>
            <w:noProof/>
            <w:webHidden/>
          </w:rPr>
          <w:fldChar w:fldCharType="separate"/>
        </w:r>
        <w:r>
          <w:rPr>
            <w:noProof/>
            <w:webHidden/>
          </w:rPr>
          <w:t>19</w:t>
        </w:r>
        <w:r w:rsidR="00C0563E">
          <w:rPr>
            <w:noProof/>
            <w:webHidden/>
          </w:rPr>
          <w:fldChar w:fldCharType="end"/>
        </w:r>
      </w:hyperlink>
    </w:p>
    <w:p w14:paraId="58455ABD" w14:textId="492311E7" w:rsidR="00C0563E" w:rsidRDefault="00E67032">
      <w:pPr>
        <w:pStyle w:val="TDC3"/>
        <w:rPr>
          <w:rFonts w:asciiTheme="minorHAnsi" w:eastAsiaTheme="minorEastAsia" w:hAnsiTheme="minorHAnsi" w:cstheme="minorBidi"/>
          <w:noProof/>
          <w:sz w:val="22"/>
          <w:szCs w:val="22"/>
          <w:lang w:val="es-CR" w:eastAsia="es-CR"/>
        </w:rPr>
      </w:pPr>
      <w:hyperlink w:anchor="_Toc23415007" w:history="1">
        <w:r w:rsidR="00C0563E" w:rsidRPr="00245320">
          <w:rPr>
            <w:rStyle w:val="Hipervnculo"/>
            <w:rFonts w:cs="Times New Roman"/>
            <w:i/>
            <w:noProof/>
          </w:rPr>
          <w:t>B.4. La alegada violación al derecho de defensa, a otras garantías judiciales y a recurrir el fallo por un tribunal superior</w:t>
        </w:r>
        <w:r w:rsidR="00C0563E">
          <w:rPr>
            <w:noProof/>
            <w:webHidden/>
          </w:rPr>
          <w:tab/>
        </w:r>
        <w:r w:rsidR="00C0563E">
          <w:rPr>
            <w:noProof/>
            <w:webHidden/>
          </w:rPr>
          <w:fldChar w:fldCharType="begin"/>
        </w:r>
        <w:r w:rsidR="00C0563E">
          <w:rPr>
            <w:noProof/>
            <w:webHidden/>
          </w:rPr>
          <w:instrText xml:space="preserve"> PAGEREF _Toc23415007 \h </w:instrText>
        </w:r>
        <w:r w:rsidR="00C0563E">
          <w:rPr>
            <w:noProof/>
            <w:webHidden/>
          </w:rPr>
        </w:r>
        <w:r w:rsidR="00C0563E">
          <w:rPr>
            <w:noProof/>
            <w:webHidden/>
          </w:rPr>
          <w:fldChar w:fldCharType="separate"/>
        </w:r>
        <w:r>
          <w:rPr>
            <w:noProof/>
            <w:webHidden/>
          </w:rPr>
          <w:t>21</w:t>
        </w:r>
        <w:r w:rsidR="00C0563E">
          <w:rPr>
            <w:noProof/>
            <w:webHidden/>
          </w:rPr>
          <w:fldChar w:fldCharType="end"/>
        </w:r>
      </w:hyperlink>
    </w:p>
    <w:p w14:paraId="77B6EF0E" w14:textId="08551F10" w:rsidR="00C0563E" w:rsidRDefault="00E67032">
      <w:pPr>
        <w:pStyle w:val="TDC3"/>
        <w:rPr>
          <w:rFonts w:asciiTheme="minorHAnsi" w:eastAsiaTheme="minorEastAsia" w:hAnsiTheme="minorHAnsi" w:cstheme="minorBidi"/>
          <w:noProof/>
          <w:sz w:val="22"/>
          <w:szCs w:val="22"/>
          <w:lang w:val="es-CR" w:eastAsia="es-CR"/>
        </w:rPr>
      </w:pPr>
      <w:hyperlink w:anchor="_Toc23415008" w:history="1">
        <w:r w:rsidR="00C0563E" w:rsidRPr="00245320">
          <w:rPr>
            <w:rStyle w:val="Hipervnculo"/>
            <w:rFonts w:cs="Times New Roman"/>
            <w:i/>
            <w:noProof/>
          </w:rPr>
          <w:t>B.5. Conclusión</w:t>
        </w:r>
        <w:r w:rsidR="00C0563E">
          <w:rPr>
            <w:noProof/>
            <w:webHidden/>
          </w:rPr>
          <w:tab/>
        </w:r>
        <w:r w:rsidR="00C0563E">
          <w:rPr>
            <w:noProof/>
            <w:webHidden/>
          </w:rPr>
          <w:fldChar w:fldCharType="begin"/>
        </w:r>
        <w:r w:rsidR="00C0563E">
          <w:rPr>
            <w:noProof/>
            <w:webHidden/>
          </w:rPr>
          <w:instrText xml:space="preserve"> PAGEREF _Toc23415008 \h </w:instrText>
        </w:r>
        <w:r w:rsidR="00C0563E">
          <w:rPr>
            <w:noProof/>
            <w:webHidden/>
          </w:rPr>
        </w:r>
        <w:r w:rsidR="00C0563E">
          <w:rPr>
            <w:noProof/>
            <w:webHidden/>
          </w:rPr>
          <w:fldChar w:fldCharType="separate"/>
        </w:r>
        <w:r>
          <w:rPr>
            <w:noProof/>
            <w:webHidden/>
          </w:rPr>
          <w:t>21</w:t>
        </w:r>
        <w:r w:rsidR="00C0563E">
          <w:rPr>
            <w:noProof/>
            <w:webHidden/>
          </w:rPr>
          <w:fldChar w:fldCharType="end"/>
        </w:r>
      </w:hyperlink>
    </w:p>
    <w:p w14:paraId="3FFDE997" w14:textId="31DCCABA" w:rsidR="00C0563E" w:rsidRDefault="00E67032">
      <w:pPr>
        <w:pStyle w:val="TDC1"/>
        <w:rPr>
          <w:rFonts w:asciiTheme="minorHAnsi" w:eastAsiaTheme="minorEastAsia" w:hAnsiTheme="minorHAnsi" w:cstheme="minorBidi"/>
          <w:b w:val="0"/>
          <w:noProof/>
          <w:sz w:val="22"/>
          <w:szCs w:val="22"/>
          <w:lang w:val="es-CR" w:eastAsia="es-CR"/>
        </w:rPr>
      </w:pPr>
      <w:hyperlink w:anchor="_Toc23415009" w:history="1">
        <w:r w:rsidR="00C0563E" w:rsidRPr="00245320">
          <w:rPr>
            <w:rStyle w:val="Hipervnculo"/>
            <w:rFonts w:cs="Arial"/>
            <w:noProof/>
          </w:rPr>
          <w:t>VII.2. EL DERECHO A LA PROTECCIÓN JUDICIAL DEL SEÑOR RICO</w:t>
        </w:r>
        <w:r w:rsidR="00C0563E">
          <w:rPr>
            <w:noProof/>
            <w:webHidden/>
          </w:rPr>
          <w:tab/>
        </w:r>
        <w:r w:rsidR="00C0563E">
          <w:rPr>
            <w:noProof/>
            <w:webHidden/>
          </w:rPr>
          <w:fldChar w:fldCharType="begin"/>
        </w:r>
        <w:r w:rsidR="00C0563E">
          <w:rPr>
            <w:noProof/>
            <w:webHidden/>
          </w:rPr>
          <w:instrText xml:space="preserve"> PAGEREF _Toc23415009 \h </w:instrText>
        </w:r>
        <w:r w:rsidR="00C0563E">
          <w:rPr>
            <w:noProof/>
            <w:webHidden/>
          </w:rPr>
        </w:r>
        <w:r w:rsidR="00C0563E">
          <w:rPr>
            <w:noProof/>
            <w:webHidden/>
          </w:rPr>
          <w:fldChar w:fldCharType="separate"/>
        </w:r>
        <w:r>
          <w:rPr>
            <w:noProof/>
            <w:webHidden/>
          </w:rPr>
          <w:t>22</w:t>
        </w:r>
        <w:r w:rsidR="00C0563E">
          <w:rPr>
            <w:noProof/>
            <w:webHidden/>
          </w:rPr>
          <w:fldChar w:fldCharType="end"/>
        </w:r>
      </w:hyperlink>
    </w:p>
    <w:p w14:paraId="0AF7294A" w14:textId="60D7A874" w:rsidR="00C0563E" w:rsidRDefault="00E67032">
      <w:pPr>
        <w:pStyle w:val="TDC2"/>
        <w:rPr>
          <w:rFonts w:asciiTheme="minorHAnsi" w:eastAsiaTheme="minorEastAsia" w:hAnsiTheme="minorHAnsi" w:cstheme="minorBidi"/>
          <w:noProof/>
          <w:sz w:val="22"/>
          <w:szCs w:val="22"/>
          <w:lang w:val="es-CR" w:eastAsia="es-CR"/>
        </w:rPr>
      </w:pPr>
      <w:hyperlink w:anchor="_Toc23415010" w:history="1">
        <w:r w:rsidR="00C0563E" w:rsidRPr="00245320">
          <w:rPr>
            <w:rStyle w:val="Hipervnculo"/>
            <w:b/>
            <w:i/>
            <w:noProof/>
          </w:rPr>
          <w:t>A.</w:t>
        </w:r>
        <w:r w:rsidR="00C0563E">
          <w:rPr>
            <w:rFonts w:asciiTheme="minorHAnsi" w:eastAsiaTheme="minorEastAsia" w:hAnsiTheme="minorHAnsi" w:cstheme="minorBidi"/>
            <w:noProof/>
            <w:sz w:val="22"/>
            <w:szCs w:val="22"/>
            <w:lang w:val="es-CR" w:eastAsia="es-CR"/>
          </w:rPr>
          <w:tab/>
        </w:r>
        <w:r w:rsidR="00C0563E" w:rsidRPr="00245320">
          <w:rPr>
            <w:rStyle w:val="Hipervnculo"/>
            <w:b/>
            <w:i/>
            <w:noProof/>
          </w:rPr>
          <w:t>Alegatos de las partes y de la Comisión</w:t>
        </w:r>
        <w:r w:rsidR="00C0563E">
          <w:rPr>
            <w:noProof/>
            <w:webHidden/>
          </w:rPr>
          <w:tab/>
        </w:r>
        <w:r w:rsidR="00C0563E">
          <w:rPr>
            <w:noProof/>
            <w:webHidden/>
          </w:rPr>
          <w:fldChar w:fldCharType="begin"/>
        </w:r>
        <w:r w:rsidR="00C0563E">
          <w:rPr>
            <w:noProof/>
            <w:webHidden/>
          </w:rPr>
          <w:instrText xml:space="preserve"> PAGEREF _Toc23415010 \h </w:instrText>
        </w:r>
        <w:r w:rsidR="00C0563E">
          <w:rPr>
            <w:noProof/>
            <w:webHidden/>
          </w:rPr>
        </w:r>
        <w:r w:rsidR="00C0563E">
          <w:rPr>
            <w:noProof/>
            <w:webHidden/>
          </w:rPr>
          <w:fldChar w:fldCharType="separate"/>
        </w:r>
        <w:r>
          <w:rPr>
            <w:noProof/>
            <w:webHidden/>
          </w:rPr>
          <w:t>22</w:t>
        </w:r>
        <w:r w:rsidR="00C0563E">
          <w:rPr>
            <w:noProof/>
            <w:webHidden/>
          </w:rPr>
          <w:fldChar w:fldCharType="end"/>
        </w:r>
      </w:hyperlink>
    </w:p>
    <w:p w14:paraId="46F7B0C8" w14:textId="0E109A68" w:rsidR="00C0563E" w:rsidRDefault="00E67032">
      <w:pPr>
        <w:pStyle w:val="TDC2"/>
        <w:rPr>
          <w:rFonts w:asciiTheme="minorHAnsi" w:eastAsiaTheme="minorEastAsia" w:hAnsiTheme="minorHAnsi" w:cstheme="minorBidi"/>
          <w:noProof/>
          <w:sz w:val="22"/>
          <w:szCs w:val="22"/>
          <w:lang w:val="es-CR" w:eastAsia="es-CR"/>
        </w:rPr>
      </w:pPr>
      <w:hyperlink w:anchor="_Toc23415011" w:history="1">
        <w:r w:rsidR="00C0563E" w:rsidRPr="00245320">
          <w:rPr>
            <w:rStyle w:val="Hipervnculo"/>
            <w:b/>
            <w:i/>
            <w:noProof/>
          </w:rPr>
          <w:t>B.</w:t>
        </w:r>
        <w:r w:rsidR="00C0563E">
          <w:rPr>
            <w:rFonts w:asciiTheme="minorHAnsi" w:eastAsiaTheme="minorEastAsia" w:hAnsiTheme="minorHAnsi" w:cstheme="minorBidi"/>
            <w:noProof/>
            <w:sz w:val="22"/>
            <w:szCs w:val="22"/>
            <w:lang w:val="es-CR" w:eastAsia="es-CR"/>
          </w:rPr>
          <w:tab/>
        </w:r>
        <w:r w:rsidR="00C0563E" w:rsidRPr="00245320">
          <w:rPr>
            <w:rStyle w:val="Hipervnculo"/>
            <w:b/>
            <w:i/>
            <w:noProof/>
          </w:rPr>
          <w:t>Consideraciones de la Corte</w:t>
        </w:r>
        <w:r w:rsidR="00C0563E">
          <w:rPr>
            <w:noProof/>
            <w:webHidden/>
          </w:rPr>
          <w:tab/>
        </w:r>
        <w:r w:rsidR="00C0563E">
          <w:rPr>
            <w:noProof/>
            <w:webHidden/>
          </w:rPr>
          <w:fldChar w:fldCharType="begin"/>
        </w:r>
        <w:r w:rsidR="00C0563E">
          <w:rPr>
            <w:noProof/>
            <w:webHidden/>
          </w:rPr>
          <w:instrText xml:space="preserve"> PAGEREF _Toc23415011 \h </w:instrText>
        </w:r>
        <w:r w:rsidR="00C0563E">
          <w:rPr>
            <w:noProof/>
            <w:webHidden/>
          </w:rPr>
        </w:r>
        <w:r w:rsidR="00C0563E">
          <w:rPr>
            <w:noProof/>
            <w:webHidden/>
          </w:rPr>
          <w:fldChar w:fldCharType="separate"/>
        </w:r>
        <w:r>
          <w:rPr>
            <w:noProof/>
            <w:webHidden/>
          </w:rPr>
          <w:t>22</w:t>
        </w:r>
        <w:r w:rsidR="00C0563E">
          <w:rPr>
            <w:noProof/>
            <w:webHidden/>
          </w:rPr>
          <w:fldChar w:fldCharType="end"/>
        </w:r>
      </w:hyperlink>
    </w:p>
    <w:p w14:paraId="2745CBA3" w14:textId="5952EBA1" w:rsidR="00C0563E" w:rsidRDefault="00E67032">
      <w:pPr>
        <w:pStyle w:val="TDC1"/>
        <w:rPr>
          <w:rFonts w:asciiTheme="minorHAnsi" w:eastAsiaTheme="minorEastAsia" w:hAnsiTheme="minorHAnsi" w:cstheme="minorBidi"/>
          <w:b w:val="0"/>
          <w:noProof/>
          <w:sz w:val="22"/>
          <w:szCs w:val="22"/>
          <w:lang w:val="es-CR" w:eastAsia="es-CR"/>
        </w:rPr>
      </w:pPr>
      <w:hyperlink w:anchor="_Toc23415012" w:history="1">
        <w:r w:rsidR="00C0563E" w:rsidRPr="00245320">
          <w:rPr>
            <w:rStyle w:val="Hipervnculo"/>
            <w:noProof/>
          </w:rPr>
          <w:t>VII.3. PRINCIPIO DE LEGALIDAD, Y DERECHOS POLÍTICOS DEL SEÑOR RICO</w:t>
        </w:r>
        <w:r w:rsidR="00C0563E">
          <w:rPr>
            <w:noProof/>
            <w:webHidden/>
          </w:rPr>
          <w:tab/>
        </w:r>
        <w:r w:rsidR="00C0563E">
          <w:rPr>
            <w:noProof/>
            <w:webHidden/>
          </w:rPr>
          <w:fldChar w:fldCharType="begin"/>
        </w:r>
        <w:r w:rsidR="00C0563E">
          <w:rPr>
            <w:noProof/>
            <w:webHidden/>
          </w:rPr>
          <w:instrText xml:space="preserve"> PAGEREF _Toc23415012 \h </w:instrText>
        </w:r>
        <w:r w:rsidR="00C0563E">
          <w:rPr>
            <w:noProof/>
            <w:webHidden/>
          </w:rPr>
        </w:r>
        <w:r w:rsidR="00C0563E">
          <w:rPr>
            <w:noProof/>
            <w:webHidden/>
          </w:rPr>
          <w:fldChar w:fldCharType="separate"/>
        </w:r>
        <w:r>
          <w:rPr>
            <w:noProof/>
            <w:webHidden/>
          </w:rPr>
          <w:t>24</w:t>
        </w:r>
        <w:r w:rsidR="00C0563E">
          <w:rPr>
            <w:noProof/>
            <w:webHidden/>
          </w:rPr>
          <w:fldChar w:fldCharType="end"/>
        </w:r>
      </w:hyperlink>
    </w:p>
    <w:p w14:paraId="3BA20408" w14:textId="27C708F1" w:rsidR="00C0563E" w:rsidRDefault="00E67032">
      <w:pPr>
        <w:pStyle w:val="TDC2"/>
        <w:rPr>
          <w:rFonts w:asciiTheme="minorHAnsi" w:eastAsiaTheme="minorEastAsia" w:hAnsiTheme="minorHAnsi" w:cstheme="minorBidi"/>
          <w:noProof/>
          <w:sz w:val="22"/>
          <w:szCs w:val="22"/>
          <w:lang w:val="es-CR" w:eastAsia="es-CR"/>
        </w:rPr>
      </w:pPr>
      <w:hyperlink w:anchor="_Toc23415013" w:history="1">
        <w:r w:rsidR="00C0563E" w:rsidRPr="00245320">
          <w:rPr>
            <w:rStyle w:val="Hipervnculo"/>
            <w:b/>
            <w:i/>
            <w:noProof/>
            <w:lang w:eastAsia="es-ES"/>
          </w:rPr>
          <w:t>A.</w:t>
        </w:r>
        <w:r w:rsidR="00C0563E">
          <w:rPr>
            <w:rFonts w:asciiTheme="minorHAnsi" w:eastAsiaTheme="minorEastAsia" w:hAnsiTheme="minorHAnsi" w:cstheme="minorBidi"/>
            <w:noProof/>
            <w:sz w:val="22"/>
            <w:szCs w:val="22"/>
            <w:lang w:val="es-CR" w:eastAsia="es-CR"/>
          </w:rPr>
          <w:tab/>
        </w:r>
        <w:r w:rsidR="00C0563E" w:rsidRPr="00245320">
          <w:rPr>
            <w:rStyle w:val="Hipervnculo"/>
            <w:b/>
            <w:i/>
            <w:noProof/>
          </w:rPr>
          <w:t>Alegatos</w:t>
        </w:r>
        <w:r w:rsidR="00C0563E" w:rsidRPr="00245320">
          <w:rPr>
            <w:rStyle w:val="Hipervnculo"/>
            <w:b/>
            <w:i/>
            <w:noProof/>
            <w:lang w:eastAsia="es-ES"/>
          </w:rPr>
          <w:t xml:space="preserve"> de las partes y de la Comisión</w:t>
        </w:r>
        <w:r w:rsidR="00C0563E">
          <w:rPr>
            <w:noProof/>
            <w:webHidden/>
          </w:rPr>
          <w:tab/>
        </w:r>
        <w:r w:rsidR="00C0563E">
          <w:rPr>
            <w:noProof/>
            <w:webHidden/>
          </w:rPr>
          <w:fldChar w:fldCharType="begin"/>
        </w:r>
        <w:r w:rsidR="00C0563E">
          <w:rPr>
            <w:noProof/>
            <w:webHidden/>
          </w:rPr>
          <w:instrText xml:space="preserve"> PAGEREF _Toc23415013 \h </w:instrText>
        </w:r>
        <w:r w:rsidR="00C0563E">
          <w:rPr>
            <w:noProof/>
            <w:webHidden/>
          </w:rPr>
        </w:r>
        <w:r w:rsidR="00C0563E">
          <w:rPr>
            <w:noProof/>
            <w:webHidden/>
          </w:rPr>
          <w:fldChar w:fldCharType="separate"/>
        </w:r>
        <w:r>
          <w:rPr>
            <w:noProof/>
            <w:webHidden/>
          </w:rPr>
          <w:t>24</w:t>
        </w:r>
        <w:r w:rsidR="00C0563E">
          <w:rPr>
            <w:noProof/>
            <w:webHidden/>
          </w:rPr>
          <w:fldChar w:fldCharType="end"/>
        </w:r>
      </w:hyperlink>
    </w:p>
    <w:p w14:paraId="51817C40" w14:textId="62612C28" w:rsidR="00C0563E" w:rsidRDefault="00E67032">
      <w:pPr>
        <w:pStyle w:val="TDC2"/>
        <w:rPr>
          <w:rFonts w:asciiTheme="minorHAnsi" w:eastAsiaTheme="minorEastAsia" w:hAnsiTheme="minorHAnsi" w:cstheme="minorBidi"/>
          <w:noProof/>
          <w:sz w:val="22"/>
          <w:szCs w:val="22"/>
          <w:lang w:val="es-CR" w:eastAsia="es-CR"/>
        </w:rPr>
      </w:pPr>
      <w:hyperlink w:anchor="_Toc23415014" w:history="1">
        <w:r w:rsidR="00C0563E" w:rsidRPr="00245320">
          <w:rPr>
            <w:rStyle w:val="Hipervnculo"/>
            <w:b/>
            <w:i/>
            <w:noProof/>
          </w:rPr>
          <w:t>B.</w:t>
        </w:r>
        <w:r w:rsidR="00C0563E">
          <w:rPr>
            <w:rFonts w:asciiTheme="minorHAnsi" w:eastAsiaTheme="minorEastAsia" w:hAnsiTheme="minorHAnsi" w:cstheme="minorBidi"/>
            <w:noProof/>
            <w:sz w:val="22"/>
            <w:szCs w:val="22"/>
            <w:lang w:val="es-CR" w:eastAsia="es-CR"/>
          </w:rPr>
          <w:tab/>
        </w:r>
        <w:r w:rsidR="00C0563E" w:rsidRPr="00245320">
          <w:rPr>
            <w:rStyle w:val="Hipervnculo"/>
            <w:b/>
            <w:i/>
            <w:noProof/>
          </w:rPr>
          <w:t>Consideraciones de la Corte</w:t>
        </w:r>
        <w:r w:rsidR="00C0563E">
          <w:rPr>
            <w:noProof/>
            <w:webHidden/>
          </w:rPr>
          <w:tab/>
        </w:r>
        <w:r w:rsidR="00C0563E">
          <w:rPr>
            <w:noProof/>
            <w:webHidden/>
          </w:rPr>
          <w:fldChar w:fldCharType="begin"/>
        </w:r>
        <w:r w:rsidR="00C0563E">
          <w:rPr>
            <w:noProof/>
            <w:webHidden/>
          </w:rPr>
          <w:instrText xml:space="preserve"> PAGEREF _Toc23415014 \h </w:instrText>
        </w:r>
        <w:r w:rsidR="00C0563E">
          <w:rPr>
            <w:noProof/>
            <w:webHidden/>
          </w:rPr>
        </w:r>
        <w:r w:rsidR="00C0563E">
          <w:rPr>
            <w:noProof/>
            <w:webHidden/>
          </w:rPr>
          <w:fldChar w:fldCharType="separate"/>
        </w:r>
        <w:r>
          <w:rPr>
            <w:noProof/>
            <w:webHidden/>
          </w:rPr>
          <w:t>25</w:t>
        </w:r>
        <w:r w:rsidR="00C0563E">
          <w:rPr>
            <w:noProof/>
            <w:webHidden/>
          </w:rPr>
          <w:fldChar w:fldCharType="end"/>
        </w:r>
      </w:hyperlink>
    </w:p>
    <w:p w14:paraId="6F8878D1" w14:textId="0FEFEDFA" w:rsidR="00C0563E" w:rsidRDefault="00E67032">
      <w:pPr>
        <w:pStyle w:val="TDC3"/>
        <w:rPr>
          <w:rFonts w:asciiTheme="minorHAnsi" w:eastAsiaTheme="minorEastAsia" w:hAnsiTheme="minorHAnsi" w:cstheme="minorBidi"/>
          <w:noProof/>
          <w:sz w:val="22"/>
          <w:szCs w:val="22"/>
          <w:lang w:val="es-CR" w:eastAsia="es-CR"/>
        </w:rPr>
      </w:pPr>
      <w:hyperlink w:anchor="_Toc23415015" w:history="1">
        <w:r w:rsidR="00C0563E" w:rsidRPr="00245320">
          <w:rPr>
            <w:rStyle w:val="Hipervnculo"/>
            <w:i/>
            <w:noProof/>
            <w:lang w:val="es-CR" w:eastAsia="es-ES"/>
          </w:rPr>
          <w:t>B.1. Principio de Legalidad</w:t>
        </w:r>
        <w:r w:rsidR="00C0563E">
          <w:rPr>
            <w:noProof/>
            <w:webHidden/>
          </w:rPr>
          <w:tab/>
        </w:r>
        <w:r w:rsidR="00C0563E">
          <w:rPr>
            <w:noProof/>
            <w:webHidden/>
          </w:rPr>
          <w:fldChar w:fldCharType="begin"/>
        </w:r>
        <w:r w:rsidR="00C0563E">
          <w:rPr>
            <w:noProof/>
            <w:webHidden/>
          </w:rPr>
          <w:instrText xml:space="preserve"> PAGEREF _Toc23415015 \h </w:instrText>
        </w:r>
        <w:r w:rsidR="00C0563E">
          <w:rPr>
            <w:noProof/>
            <w:webHidden/>
          </w:rPr>
        </w:r>
        <w:r w:rsidR="00C0563E">
          <w:rPr>
            <w:noProof/>
            <w:webHidden/>
          </w:rPr>
          <w:fldChar w:fldCharType="separate"/>
        </w:r>
        <w:r>
          <w:rPr>
            <w:noProof/>
            <w:webHidden/>
          </w:rPr>
          <w:t>25</w:t>
        </w:r>
        <w:r w:rsidR="00C0563E">
          <w:rPr>
            <w:noProof/>
            <w:webHidden/>
          </w:rPr>
          <w:fldChar w:fldCharType="end"/>
        </w:r>
      </w:hyperlink>
    </w:p>
    <w:p w14:paraId="618FD466" w14:textId="6663523A" w:rsidR="00C0563E" w:rsidRDefault="00E67032">
      <w:pPr>
        <w:pStyle w:val="TDC3"/>
        <w:rPr>
          <w:rFonts w:asciiTheme="minorHAnsi" w:eastAsiaTheme="minorEastAsia" w:hAnsiTheme="minorHAnsi" w:cstheme="minorBidi"/>
          <w:noProof/>
          <w:sz w:val="22"/>
          <w:szCs w:val="22"/>
          <w:lang w:val="es-CR" w:eastAsia="es-CR"/>
        </w:rPr>
      </w:pPr>
      <w:hyperlink w:anchor="_Toc23415016" w:history="1">
        <w:r w:rsidR="00C0563E" w:rsidRPr="00245320">
          <w:rPr>
            <w:rStyle w:val="Hipervnculo"/>
            <w:i/>
            <w:noProof/>
            <w:lang w:val="es-CR"/>
          </w:rPr>
          <w:t xml:space="preserve">B.2. </w:t>
        </w:r>
        <w:r w:rsidR="00C0563E" w:rsidRPr="00245320">
          <w:rPr>
            <w:rStyle w:val="Hipervnculo"/>
            <w:i/>
            <w:noProof/>
            <w:lang w:val="es-CR" w:eastAsia="es-ES"/>
          </w:rPr>
          <w:t>Derechos</w:t>
        </w:r>
        <w:r w:rsidR="00C0563E" w:rsidRPr="00245320">
          <w:rPr>
            <w:rStyle w:val="Hipervnculo"/>
            <w:i/>
            <w:noProof/>
            <w:lang w:val="es-CR"/>
          </w:rPr>
          <w:t xml:space="preserve"> Políticos del señor Rico</w:t>
        </w:r>
        <w:r w:rsidR="00C0563E">
          <w:rPr>
            <w:noProof/>
            <w:webHidden/>
          </w:rPr>
          <w:tab/>
        </w:r>
        <w:r w:rsidR="00C0563E">
          <w:rPr>
            <w:noProof/>
            <w:webHidden/>
          </w:rPr>
          <w:fldChar w:fldCharType="begin"/>
        </w:r>
        <w:r w:rsidR="00C0563E">
          <w:rPr>
            <w:noProof/>
            <w:webHidden/>
          </w:rPr>
          <w:instrText xml:space="preserve"> PAGEREF _Toc23415016 \h </w:instrText>
        </w:r>
        <w:r w:rsidR="00C0563E">
          <w:rPr>
            <w:noProof/>
            <w:webHidden/>
          </w:rPr>
        </w:r>
        <w:r w:rsidR="00C0563E">
          <w:rPr>
            <w:noProof/>
            <w:webHidden/>
          </w:rPr>
          <w:fldChar w:fldCharType="separate"/>
        </w:r>
        <w:r>
          <w:rPr>
            <w:noProof/>
            <w:webHidden/>
          </w:rPr>
          <w:t>27</w:t>
        </w:r>
        <w:r w:rsidR="00C0563E">
          <w:rPr>
            <w:noProof/>
            <w:webHidden/>
          </w:rPr>
          <w:fldChar w:fldCharType="end"/>
        </w:r>
      </w:hyperlink>
    </w:p>
    <w:p w14:paraId="65D42B3D" w14:textId="0F5C99C3" w:rsidR="00C0563E" w:rsidRDefault="00E67032">
      <w:pPr>
        <w:pStyle w:val="TDC1"/>
        <w:rPr>
          <w:rFonts w:asciiTheme="minorHAnsi" w:eastAsiaTheme="minorEastAsia" w:hAnsiTheme="minorHAnsi" w:cstheme="minorBidi"/>
          <w:b w:val="0"/>
          <w:noProof/>
          <w:sz w:val="22"/>
          <w:szCs w:val="22"/>
          <w:lang w:val="es-CR" w:eastAsia="es-CR"/>
        </w:rPr>
      </w:pPr>
      <w:hyperlink w:anchor="_Toc23415017" w:history="1">
        <w:r w:rsidR="00C0563E" w:rsidRPr="00245320">
          <w:rPr>
            <w:rStyle w:val="Hipervnculo"/>
            <w:noProof/>
            <w:lang w:val="es-ES"/>
          </w:rPr>
          <w:t>VIII</w:t>
        </w:r>
        <w:r w:rsidR="00C0563E" w:rsidRPr="00245320">
          <w:rPr>
            <w:rStyle w:val="Hipervnculo"/>
            <w:noProof/>
            <w:shd w:val="clear" w:color="auto" w:fill="FFFFFF" w:themeFill="background1"/>
            <w:lang w:val="es-ES"/>
          </w:rPr>
          <w:t>.</w:t>
        </w:r>
        <w:r w:rsidR="00C0563E" w:rsidRPr="00245320">
          <w:rPr>
            <w:rStyle w:val="Hipervnculo"/>
            <w:noProof/>
            <w:lang w:val="es-ES"/>
          </w:rPr>
          <w:t xml:space="preserve"> PUNTOS RESOLUTIVOS</w:t>
        </w:r>
        <w:r w:rsidR="00C0563E">
          <w:rPr>
            <w:noProof/>
            <w:webHidden/>
          </w:rPr>
          <w:tab/>
        </w:r>
        <w:r w:rsidR="00C0563E">
          <w:rPr>
            <w:noProof/>
            <w:webHidden/>
          </w:rPr>
          <w:fldChar w:fldCharType="begin"/>
        </w:r>
        <w:r w:rsidR="00C0563E">
          <w:rPr>
            <w:noProof/>
            <w:webHidden/>
          </w:rPr>
          <w:instrText xml:space="preserve"> PAGEREF _Toc23415017 \h </w:instrText>
        </w:r>
        <w:r w:rsidR="00C0563E">
          <w:rPr>
            <w:noProof/>
            <w:webHidden/>
          </w:rPr>
        </w:r>
        <w:r w:rsidR="00C0563E">
          <w:rPr>
            <w:noProof/>
            <w:webHidden/>
          </w:rPr>
          <w:fldChar w:fldCharType="separate"/>
        </w:r>
        <w:r>
          <w:rPr>
            <w:noProof/>
            <w:webHidden/>
          </w:rPr>
          <w:t>27</w:t>
        </w:r>
        <w:r w:rsidR="00C0563E">
          <w:rPr>
            <w:noProof/>
            <w:webHidden/>
          </w:rPr>
          <w:fldChar w:fldCharType="end"/>
        </w:r>
      </w:hyperlink>
    </w:p>
    <w:p w14:paraId="3B580F09" w14:textId="64C5BC7D" w:rsidR="00B06C3C" w:rsidRPr="00D51072" w:rsidRDefault="0075672C" w:rsidP="0042122B">
      <w:pPr>
        <w:pStyle w:val="TtuloTDC"/>
        <w:tabs>
          <w:tab w:val="right" w:leader="dot" w:pos="8789"/>
        </w:tabs>
        <w:ind w:right="-46"/>
        <w:rPr>
          <w:rFonts w:ascii="Verdana" w:eastAsia="Batang" w:hAnsi="Verdana" w:cs="Times"/>
          <w:bCs w:val="0"/>
          <w:noProof/>
          <w:color w:val="auto"/>
          <w:sz w:val="14"/>
          <w:szCs w:val="18"/>
          <w:lang w:val="es-ES_tradnl" w:eastAsia="en-US"/>
        </w:rPr>
      </w:pPr>
      <w:r w:rsidRPr="00D51072">
        <w:rPr>
          <w:rFonts w:ascii="Verdana" w:eastAsia="Batang" w:hAnsi="Verdana" w:cs="Times"/>
          <w:bCs w:val="0"/>
          <w:noProof/>
          <w:color w:val="auto"/>
          <w:sz w:val="14"/>
          <w:szCs w:val="18"/>
          <w:lang w:val="es-ES_tradnl" w:eastAsia="en-US"/>
        </w:rPr>
        <w:fldChar w:fldCharType="end"/>
      </w:r>
    </w:p>
    <w:p w14:paraId="10DCF855" w14:textId="77777777" w:rsidR="00B06C3C" w:rsidRPr="00D51072" w:rsidRDefault="00B06C3C">
      <w:pPr>
        <w:spacing w:after="200" w:line="276" w:lineRule="auto"/>
        <w:jc w:val="left"/>
        <w:rPr>
          <w:b/>
          <w:noProof/>
          <w:sz w:val="14"/>
          <w:szCs w:val="18"/>
        </w:rPr>
      </w:pPr>
      <w:r w:rsidRPr="00D51072">
        <w:rPr>
          <w:bCs/>
          <w:noProof/>
          <w:sz w:val="14"/>
          <w:szCs w:val="18"/>
        </w:rPr>
        <w:br w:type="page"/>
      </w:r>
    </w:p>
    <w:p w14:paraId="40ADA0E6" w14:textId="77777777" w:rsidR="009569E6" w:rsidRPr="00D51072" w:rsidRDefault="00C6683F" w:rsidP="00C6683F">
      <w:pPr>
        <w:pStyle w:val="Ttulo1"/>
        <w:ind w:right="-4"/>
      </w:pPr>
      <w:bookmarkStart w:id="0" w:name="_Toc369989729"/>
      <w:bookmarkStart w:id="1" w:name="_Toc438132269"/>
      <w:bookmarkStart w:id="2" w:name="_Toc288744729"/>
      <w:bookmarkStart w:id="3" w:name="_Toc486693351"/>
      <w:bookmarkStart w:id="4" w:name="_Toc486842767"/>
      <w:bookmarkStart w:id="5" w:name="_Toc486842905"/>
      <w:bookmarkStart w:id="6" w:name="_Toc23414986"/>
      <w:r w:rsidRPr="00D51072">
        <w:lastRenderedPageBreak/>
        <w:t>I</w:t>
      </w:r>
      <w:r w:rsidRPr="00D51072">
        <w:rPr>
          <w:color w:val="FFFFFF" w:themeColor="background1"/>
        </w:rPr>
        <w:t>.</w:t>
      </w:r>
      <w:r w:rsidRPr="00D51072">
        <w:br/>
      </w:r>
      <w:r w:rsidR="009569E6" w:rsidRPr="00D51072">
        <w:t>INTRODUCCIÓN DE LA CAUSA Y OBJETO DE LA CONTROVERSIA</w:t>
      </w:r>
      <w:bookmarkEnd w:id="0"/>
      <w:bookmarkEnd w:id="1"/>
      <w:bookmarkEnd w:id="2"/>
      <w:bookmarkEnd w:id="3"/>
      <w:bookmarkEnd w:id="4"/>
      <w:bookmarkEnd w:id="5"/>
      <w:bookmarkEnd w:id="6"/>
    </w:p>
    <w:p w14:paraId="70C781CE" w14:textId="507A7C86" w:rsidR="00585356" w:rsidRDefault="009569E6" w:rsidP="00EB2539">
      <w:pPr>
        <w:pStyle w:val="Prrafodelista"/>
        <w:numPr>
          <w:ilvl w:val="0"/>
          <w:numId w:val="2"/>
        </w:numPr>
        <w:spacing w:before="120" w:after="120"/>
        <w:ind w:left="0" w:right="-4" w:firstLine="0"/>
        <w:contextualSpacing w:val="0"/>
        <w:rPr>
          <w:szCs w:val="20"/>
        </w:rPr>
      </w:pPr>
      <w:r w:rsidRPr="00D51072">
        <w:rPr>
          <w:i/>
          <w:szCs w:val="20"/>
        </w:rPr>
        <w:t>El caso sometido a la Corte.</w:t>
      </w:r>
      <w:r w:rsidRPr="00D51072">
        <w:rPr>
          <w:szCs w:val="20"/>
        </w:rPr>
        <w:t xml:space="preserve"> – </w:t>
      </w:r>
      <w:r w:rsidR="00027078" w:rsidRPr="00D51072">
        <w:rPr>
          <w:szCs w:val="20"/>
        </w:rPr>
        <w:t>El 10 de noviembre de 2017 la Comisión Interamericana de Derechos Humanos (en adelante, “la Comisión Interamericana” o “la Comisión”) sometió a la jurisdicción de la Corte</w:t>
      </w:r>
      <w:r w:rsidR="00027078" w:rsidRPr="00D51072">
        <w:rPr>
          <w:szCs w:val="20"/>
          <w:lang w:val="es-ES"/>
        </w:rPr>
        <w:t>, de conformidad con</w:t>
      </w:r>
      <w:r w:rsidR="003125FC" w:rsidRPr="00D51072">
        <w:rPr>
          <w:szCs w:val="20"/>
          <w:lang w:val="es-ES"/>
        </w:rPr>
        <w:t xml:space="preserve"> lo dispuesto en</w:t>
      </w:r>
      <w:r w:rsidR="00027078" w:rsidRPr="00D51072">
        <w:rPr>
          <w:szCs w:val="20"/>
          <w:lang w:val="es-ES"/>
        </w:rPr>
        <w:t xml:space="preserve"> los artículos 51 y 61 de la Convención Americana, el caso “</w:t>
      </w:r>
      <w:r w:rsidR="00027078" w:rsidRPr="00D51072">
        <w:rPr>
          <w:iCs/>
          <w:szCs w:val="20"/>
          <w:lang w:val="es-CO"/>
        </w:rPr>
        <w:t>Rico”</w:t>
      </w:r>
      <w:r w:rsidR="00027078" w:rsidRPr="00D51072">
        <w:rPr>
          <w:szCs w:val="20"/>
          <w:lang w:val="es-CO"/>
        </w:rPr>
        <w:t xml:space="preserve"> </w:t>
      </w:r>
      <w:r w:rsidR="00027078" w:rsidRPr="00D51072">
        <w:rPr>
          <w:szCs w:val="20"/>
          <w:lang w:val="es-ES"/>
        </w:rPr>
        <w:t xml:space="preserve">en contra de la República Argentina (en adelante “el Estado”, “el Estado argentino” o “Argentina”). La controversia versa sobre </w:t>
      </w:r>
      <w:r w:rsidR="00027078" w:rsidRPr="00D51072">
        <w:rPr>
          <w:szCs w:val="20"/>
          <w:lang w:val="es-CR"/>
        </w:rPr>
        <w:t>la alegada responsabilidad internacional del Estado por la destitución de Eduardo Rico (en adelante también “la presunta víctima” o “el señor Rico”) como Juez del Tribunal de Trabajo Nº 6 del Departamento Judicial de San Isidro en Argentina, así como su inhabilitación para ocupar otro cargo en el Poder Judicial por supuestamente haber incurrido en faltas disciplinarias</w:t>
      </w:r>
      <w:r w:rsidR="00027078" w:rsidRPr="00D51072">
        <w:rPr>
          <w:szCs w:val="20"/>
        </w:rPr>
        <w:t xml:space="preserve">. </w:t>
      </w:r>
      <w:r w:rsidR="00027078" w:rsidRPr="00D51072">
        <w:rPr>
          <w:szCs w:val="20"/>
          <w:lang w:val="es-CR"/>
        </w:rPr>
        <w:t xml:space="preserve">La Comisión consideró que el Estado </w:t>
      </w:r>
      <w:r w:rsidR="003125FC" w:rsidRPr="00D51072">
        <w:rPr>
          <w:szCs w:val="20"/>
          <w:lang w:val="es-CR"/>
        </w:rPr>
        <w:t>vulneró</w:t>
      </w:r>
      <w:r w:rsidR="00027078" w:rsidRPr="00D51072">
        <w:rPr>
          <w:szCs w:val="20"/>
          <w:lang w:val="es-CR"/>
        </w:rPr>
        <w:t xml:space="preserve"> el derecho a recurrir del fallo en relación con la obligación de respetar los derechos y el deber de adoptar disposiciones de derecho interno, </w:t>
      </w:r>
      <w:r w:rsidR="003F75E1" w:rsidRPr="00D51072">
        <w:rPr>
          <w:szCs w:val="20"/>
          <w:lang w:val="es-CR"/>
        </w:rPr>
        <w:t xml:space="preserve">dado que el señor Rico </w:t>
      </w:r>
      <w:r w:rsidR="00027078" w:rsidRPr="00D51072">
        <w:rPr>
          <w:szCs w:val="20"/>
          <w:lang w:val="es-CR"/>
        </w:rPr>
        <w:t xml:space="preserve">no </w:t>
      </w:r>
      <w:r w:rsidR="003F75E1" w:rsidRPr="00D51072">
        <w:rPr>
          <w:szCs w:val="20"/>
          <w:lang w:val="es-CR"/>
        </w:rPr>
        <w:t xml:space="preserve">habría podido </w:t>
      </w:r>
      <w:r w:rsidR="00027078" w:rsidRPr="00D51072">
        <w:rPr>
          <w:szCs w:val="20"/>
          <w:lang w:val="es-CR"/>
        </w:rPr>
        <w:t xml:space="preserve">obtener una revisión </w:t>
      </w:r>
      <w:r w:rsidR="00FC5D67" w:rsidRPr="00D51072">
        <w:rPr>
          <w:szCs w:val="20"/>
          <w:lang w:val="es-CR"/>
        </w:rPr>
        <w:t xml:space="preserve">de ese </w:t>
      </w:r>
      <w:r w:rsidR="003125FC" w:rsidRPr="00D51072">
        <w:rPr>
          <w:szCs w:val="20"/>
          <w:lang w:val="es-CR"/>
        </w:rPr>
        <w:t>pronunciamiento</w:t>
      </w:r>
      <w:r w:rsidR="00027078" w:rsidRPr="00D51072">
        <w:rPr>
          <w:szCs w:val="20"/>
          <w:lang w:val="es-CR"/>
        </w:rPr>
        <w:t xml:space="preserve">. </w:t>
      </w:r>
      <w:r w:rsidR="00027078" w:rsidRPr="00D51072">
        <w:rPr>
          <w:szCs w:val="20"/>
        </w:rPr>
        <w:t xml:space="preserve">Además, concluyó que </w:t>
      </w:r>
      <w:r w:rsidR="00027078" w:rsidRPr="00D51072">
        <w:rPr>
          <w:szCs w:val="20"/>
          <w:lang w:val="es-CR"/>
        </w:rPr>
        <w:t>el Estado violó el derecho a contar con decisiones debidamente motivadas y el principio de legalidad,</w:t>
      </w:r>
      <w:r w:rsidR="0082286B" w:rsidRPr="00D51072">
        <w:rPr>
          <w:szCs w:val="20"/>
          <w:lang w:val="es-CR"/>
        </w:rPr>
        <w:t xml:space="preserve"> así como el derecho a la protección judicial y los derechos políticos en perjuicio del señor Rico</w:t>
      </w:r>
      <w:r w:rsidR="00027078" w:rsidRPr="00D51072">
        <w:rPr>
          <w:szCs w:val="20"/>
        </w:rPr>
        <w:t xml:space="preserve">. </w:t>
      </w:r>
    </w:p>
    <w:p w14:paraId="55A02593" w14:textId="77777777" w:rsidR="00070CFE" w:rsidRPr="00D51072" w:rsidRDefault="006F5C6B" w:rsidP="00DD13DA">
      <w:pPr>
        <w:pStyle w:val="Prrafodelista"/>
        <w:numPr>
          <w:ilvl w:val="0"/>
          <w:numId w:val="2"/>
        </w:numPr>
        <w:spacing w:before="120" w:after="120"/>
        <w:ind w:left="0" w:right="-4" w:firstLine="0"/>
        <w:contextualSpacing w:val="0"/>
        <w:rPr>
          <w:szCs w:val="20"/>
        </w:rPr>
      </w:pPr>
      <w:bookmarkStart w:id="7" w:name="_Ref363651855"/>
      <w:r w:rsidRPr="00D51072">
        <w:rPr>
          <w:i/>
          <w:szCs w:val="20"/>
        </w:rPr>
        <w:t xml:space="preserve">Trámite ante la Comisión. </w:t>
      </w:r>
      <w:r w:rsidRPr="00D51072">
        <w:rPr>
          <w:szCs w:val="20"/>
        </w:rPr>
        <w:t>– El trámite ante la Comisión fue el siguiente:</w:t>
      </w:r>
      <w:bookmarkEnd w:id="7"/>
    </w:p>
    <w:p w14:paraId="7BCE54C9" w14:textId="36B87341" w:rsidR="006F5C6B" w:rsidRPr="00D51072" w:rsidRDefault="006F5C6B" w:rsidP="00DB0C2F">
      <w:pPr>
        <w:pStyle w:val="Prrafodelista"/>
        <w:numPr>
          <w:ilvl w:val="1"/>
          <w:numId w:val="1"/>
        </w:numPr>
        <w:spacing w:before="120" w:after="120"/>
        <w:ind w:left="284" w:right="-6" w:firstLine="0"/>
        <w:contextualSpacing w:val="0"/>
        <w:rPr>
          <w:szCs w:val="20"/>
        </w:rPr>
      </w:pPr>
      <w:r w:rsidRPr="00D51072">
        <w:rPr>
          <w:i/>
          <w:szCs w:val="20"/>
        </w:rPr>
        <w:t>Petición. –</w:t>
      </w:r>
      <w:r w:rsidRPr="00D51072">
        <w:rPr>
          <w:szCs w:val="20"/>
        </w:rPr>
        <w:t xml:space="preserve"> </w:t>
      </w:r>
      <w:r w:rsidR="00083E07" w:rsidRPr="00D51072">
        <w:rPr>
          <w:szCs w:val="20"/>
        </w:rPr>
        <w:t xml:space="preserve">El 4 de marzo de 2002 la Comisión recibió una petición </w:t>
      </w:r>
      <w:r w:rsidR="00C6338E">
        <w:rPr>
          <w:szCs w:val="20"/>
        </w:rPr>
        <w:t>de</w:t>
      </w:r>
      <w:r w:rsidR="00083E07" w:rsidRPr="00D51072">
        <w:rPr>
          <w:szCs w:val="20"/>
        </w:rPr>
        <w:t xml:space="preserve"> Susana María Barneix y Adrián Leopoldo Azzi (en adelante “los peticionarios”) en contra de Argentina</w:t>
      </w:r>
      <w:r w:rsidR="00FC5D67" w:rsidRPr="00D51072">
        <w:rPr>
          <w:rStyle w:val="Refdenotaalpie"/>
        </w:rPr>
        <w:footnoteReference w:id="2"/>
      </w:r>
      <w:r w:rsidR="003125FC" w:rsidRPr="00D51072">
        <w:rPr>
          <w:szCs w:val="20"/>
        </w:rPr>
        <w:t>.</w:t>
      </w:r>
      <w:r w:rsidR="00083E07" w:rsidRPr="00D51072">
        <w:rPr>
          <w:szCs w:val="20"/>
        </w:rPr>
        <w:t xml:space="preserve"> </w:t>
      </w:r>
    </w:p>
    <w:p w14:paraId="5BDB93EF" w14:textId="7CE3868D" w:rsidR="005D7A49" w:rsidRPr="00D51072" w:rsidRDefault="005D7A49" w:rsidP="00DB0C2F">
      <w:pPr>
        <w:pStyle w:val="Prrafodelista"/>
        <w:numPr>
          <w:ilvl w:val="1"/>
          <w:numId w:val="1"/>
        </w:numPr>
        <w:spacing w:before="120" w:after="120"/>
        <w:ind w:left="284" w:right="-6" w:firstLine="0"/>
        <w:contextualSpacing w:val="0"/>
        <w:rPr>
          <w:szCs w:val="20"/>
        </w:rPr>
      </w:pPr>
      <w:r w:rsidRPr="00D51072">
        <w:rPr>
          <w:i/>
          <w:szCs w:val="20"/>
        </w:rPr>
        <w:t>Informes de Admisibilidad.</w:t>
      </w:r>
      <w:r w:rsidRPr="00D51072">
        <w:rPr>
          <w:szCs w:val="20"/>
        </w:rPr>
        <w:t xml:space="preserve"> – </w:t>
      </w:r>
      <w:r w:rsidR="00083E07" w:rsidRPr="00D51072">
        <w:rPr>
          <w:szCs w:val="20"/>
        </w:rPr>
        <w:t xml:space="preserve">El 13 de abril de 2016 la Comisión aprobó el </w:t>
      </w:r>
      <w:r w:rsidR="003B361D" w:rsidRPr="00D51072">
        <w:rPr>
          <w:szCs w:val="20"/>
        </w:rPr>
        <w:t>I</w:t>
      </w:r>
      <w:r w:rsidR="00083E07" w:rsidRPr="00D51072">
        <w:rPr>
          <w:szCs w:val="20"/>
        </w:rPr>
        <w:t xml:space="preserve">nforme de </w:t>
      </w:r>
      <w:r w:rsidR="003B361D" w:rsidRPr="00D51072">
        <w:rPr>
          <w:szCs w:val="20"/>
        </w:rPr>
        <w:t>A</w:t>
      </w:r>
      <w:r w:rsidR="00083E07" w:rsidRPr="00D51072">
        <w:rPr>
          <w:szCs w:val="20"/>
        </w:rPr>
        <w:t>dmisibilidad No. 9/16</w:t>
      </w:r>
      <w:r w:rsidR="002C249E" w:rsidRPr="00D51072">
        <w:rPr>
          <w:rStyle w:val="Refdenotaalpie"/>
        </w:rPr>
        <w:footnoteReference w:id="3"/>
      </w:r>
      <w:r w:rsidR="002C249E" w:rsidRPr="00D51072">
        <w:rPr>
          <w:szCs w:val="20"/>
        </w:rPr>
        <w:t>.</w:t>
      </w:r>
      <w:r w:rsidR="00AC7DC8" w:rsidRPr="00D51072">
        <w:rPr>
          <w:b/>
          <w:szCs w:val="16"/>
          <w:lang w:val="es-CR"/>
        </w:rPr>
        <w:t xml:space="preserve"> </w:t>
      </w:r>
    </w:p>
    <w:p w14:paraId="3597A1CD" w14:textId="0FD3A6DE" w:rsidR="006F5C6B" w:rsidRPr="00D51072" w:rsidRDefault="005217A1" w:rsidP="0017255D">
      <w:pPr>
        <w:pStyle w:val="Prrafodelista"/>
        <w:numPr>
          <w:ilvl w:val="1"/>
          <w:numId w:val="1"/>
        </w:numPr>
        <w:spacing w:before="120" w:after="120"/>
        <w:ind w:left="284" w:right="-6" w:firstLine="0"/>
        <w:contextualSpacing w:val="0"/>
        <w:rPr>
          <w:szCs w:val="20"/>
        </w:rPr>
      </w:pPr>
      <w:r w:rsidRPr="00D51072">
        <w:rPr>
          <w:i/>
          <w:szCs w:val="20"/>
        </w:rPr>
        <w:t>Informe de Fondo</w:t>
      </w:r>
      <w:r w:rsidR="006F5C6B" w:rsidRPr="00D51072">
        <w:rPr>
          <w:szCs w:val="20"/>
        </w:rPr>
        <w:t xml:space="preserve">. </w:t>
      </w:r>
      <w:r w:rsidR="00083E07" w:rsidRPr="00D51072">
        <w:rPr>
          <w:szCs w:val="20"/>
        </w:rPr>
        <w:t>El 5 de julio de 2017 la Comisión emitió el Informe de Fondo N</w:t>
      </w:r>
      <w:r w:rsidR="00083E07" w:rsidRPr="00D51072">
        <w:rPr>
          <w:szCs w:val="20"/>
          <w:vertAlign w:val="superscript"/>
        </w:rPr>
        <w:t xml:space="preserve">o </w:t>
      </w:r>
      <w:r w:rsidR="00083E07" w:rsidRPr="00D51072">
        <w:rPr>
          <w:szCs w:val="20"/>
        </w:rPr>
        <w:t>72/17, conforme al artículo 50 de la Convención (en adelante “Informe de Fondo”), en el cual llegó a una serie de conclusiones</w:t>
      </w:r>
      <w:r w:rsidR="00DE0EB0" w:rsidRPr="00D51072">
        <w:rPr>
          <w:rStyle w:val="Refdenotaalpie"/>
        </w:rPr>
        <w:footnoteReference w:id="4"/>
      </w:r>
      <w:r w:rsidR="00EB0270" w:rsidRPr="00D51072">
        <w:rPr>
          <w:szCs w:val="20"/>
        </w:rPr>
        <w:t xml:space="preserve"> y formuló varias recomendaciones al Estado</w:t>
      </w:r>
      <w:r w:rsidR="0014438A" w:rsidRPr="00D51072">
        <w:rPr>
          <w:szCs w:val="20"/>
        </w:rPr>
        <w:t>.</w:t>
      </w:r>
      <w:r w:rsidR="00AC7DC8" w:rsidRPr="00D51072">
        <w:rPr>
          <w:b/>
          <w:szCs w:val="16"/>
          <w:lang w:val="es-CR"/>
        </w:rPr>
        <w:t xml:space="preserve"> </w:t>
      </w:r>
    </w:p>
    <w:p w14:paraId="07CCBD2D" w14:textId="3706B613" w:rsidR="00C12AF0" w:rsidRPr="00D51072" w:rsidRDefault="00B10905" w:rsidP="004D26A7">
      <w:pPr>
        <w:pStyle w:val="Prrafodelista"/>
        <w:numPr>
          <w:ilvl w:val="1"/>
          <w:numId w:val="1"/>
        </w:numPr>
        <w:spacing w:before="120" w:after="120"/>
        <w:ind w:left="284" w:right="-6" w:firstLine="0"/>
        <w:contextualSpacing w:val="0"/>
        <w:rPr>
          <w:szCs w:val="20"/>
        </w:rPr>
      </w:pPr>
      <w:r w:rsidRPr="00D51072">
        <w:rPr>
          <w:szCs w:val="20"/>
        </w:rPr>
        <w:t xml:space="preserve"> </w:t>
      </w:r>
      <w:r w:rsidR="00375DA4" w:rsidRPr="00D51072">
        <w:rPr>
          <w:i/>
          <w:szCs w:val="20"/>
        </w:rPr>
        <w:t xml:space="preserve">Notificación al Estado. – </w:t>
      </w:r>
      <w:r w:rsidR="00303104" w:rsidRPr="00D51072">
        <w:rPr>
          <w:szCs w:val="20"/>
        </w:rPr>
        <w:t xml:space="preserve">El Informe de Fondo fue notificado al Estado el 9 de agosto de 2017, </w:t>
      </w:r>
      <w:r w:rsidR="003125FC" w:rsidRPr="00D51072">
        <w:rPr>
          <w:szCs w:val="20"/>
        </w:rPr>
        <w:t xml:space="preserve">y se le otorgó </w:t>
      </w:r>
      <w:r w:rsidR="00303104" w:rsidRPr="00D51072">
        <w:rPr>
          <w:szCs w:val="20"/>
        </w:rPr>
        <w:t xml:space="preserve">un plazo de dos meses para informar sobre el cumplimiento de las recomendaciones. Argentina solicitó dos prórrogas, las cuales fueron </w:t>
      </w:r>
      <w:r w:rsidR="003125FC" w:rsidRPr="00D51072">
        <w:rPr>
          <w:szCs w:val="20"/>
        </w:rPr>
        <w:t>concedidas</w:t>
      </w:r>
      <w:r w:rsidR="00303104" w:rsidRPr="00D51072">
        <w:rPr>
          <w:szCs w:val="20"/>
        </w:rPr>
        <w:t xml:space="preserve"> por la Comisión. Tras evaluar la información presentada por el Estado, la Comisión </w:t>
      </w:r>
      <w:r w:rsidR="005814C6">
        <w:rPr>
          <w:szCs w:val="20"/>
        </w:rPr>
        <w:t>consideró</w:t>
      </w:r>
      <w:r w:rsidR="00303104" w:rsidRPr="00D51072">
        <w:rPr>
          <w:szCs w:val="20"/>
        </w:rPr>
        <w:t xml:space="preserve"> que no se </w:t>
      </w:r>
      <w:r w:rsidR="005814C6">
        <w:rPr>
          <w:szCs w:val="20"/>
        </w:rPr>
        <w:t xml:space="preserve">habían registrado </w:t>
      </w:r>
      <w:r w:rsidR="00303104" w:rsidRPr="00D51072">
        <w:rPr>
          <w:szCs w:val="20"/>
        </w:rPr>
        <w:t>avances sustanciales en el cumplimiento de las recomendaciones</w:t>
      </w:r>
      <w:r w:rsidR="00D310B3" w:rsidRPr="00D51072">
        <w:rPr>
          <w:szCs w:val="20"/>
          <w:lang w:val="es-AR"/>
        </w:rPr>
        <w:t xml:space="preserve">. </w:t>
      </w:r>
    </w:p>
    <w:p w14:paraId="54822C6E" w14:textId="22196B78" w:rsidR="00C12AF0" w:rsidRPr="00D51072" w:rsidRDefault="00375DA4" w:rsidP="004D26A7">
      <w:pPr>
        <w:pStyle w:val="Prrafodelista"/>
        <w:numPr>
          <w:ilvl w:val="0"/>
          <w:numId w:val="2"/>
        </w:numPr>
        <w:spacing w:before="120" w:after="120"/>
        <w:ind w:left="0" w:right="-4" w:firstLine="0"/>
        <w:contextualSpacing w:val="0"/>
        <w:rPr>
          <w:szCs w:val="20"/>
        </w:rPr>
      </w:pPr>
      <w:r w:rsidRPr="00D51072">
        <w:rPr>
          <w:i/>
          <w:szCs w:val="20"/>
        </w:rPr>
        <w:t>Sometimiento a la Corte. –</w:t>
      </w:r>
      <w:r w:rsidR="00FC2B45" w:rsidRPr="00D51072">
        <w:rPr>
          <w:szCs w:val="20"/>
        </w:rPr>
        <w:t xml:space="preserve"> </w:t>
      </w:r>
      <w:r w:rsidR="00303104" w:rsidRPr="00D51072">
        <w:rPr>
          <w:szCs w:val="20"/>
        </w:rPr>
        <w:t xml:space="preserve">El 10 de noviembre de 2017 la Comisión sometió </w:t>
      </w:r>
      <w:r w:rsidR="00303104" w:rsidRPr="00D51072">
        <w:rPr>
          <w:rFonts w:eastAsiaTheme="minorHAnsi" w:cs="Verdana"/>
          <w:szCs w:val="20"/>
          <w:lang w:val="es-ES"/>
        </w:rPr>
        <w:t xml:space="preserve">a la jurisdicción de la Corte Interamericana los hechos y supuestas violaciones de </w:t>
      </w:r>
      <w:r w:rsidR="00303104" w:rsidRPr="00D51072">
        <w:rPr>
          <w:szCs w:val="20"/>
        </w:rPr>
        <w:t>derechos</w:t>
      </w:r>
      <w:r w:rsidR="00303104" w:rsidRPr="00D51072">
        <w:rPr>
          <w:rFonts w:eastAsiaTheme="minorHAnsi" w:cs="Verdana"/>
          <w:szCs w:val="20"/>
          <w:lang w:val="es-ES"/>
        </w:rPr>
        <w:t xml:space="preserve"> humanos descritas en el Informe de </w:t>
      </w:r>
      <w:r w:rsidR="00303104" w:rsidRPr="00D51072">
        <w:rPr>
          <w:szCs w:val="20"/>
          <w:lang w:val="es-AR"/>
        </w:rPr>
        <w:t>Fondo</w:t>
      </w:r>
      <w:r w:rsidR="00303104" w:rsidRPr="00D51072">
        <w:rPr>
          <w:rFonts w:eastAsiaTheme="minorHAnsi" w:cs="Verdana"/>
          <w:szCs w:val="20"/>
          <w:lang w:val="es-ES"/>
        </w:rPr>
        <w:t xml:space="preserve"> </w:t>
      </w:r>
      <w:r w:rsidR="003125FC" w:rsidRPr="00D51072">
        <w:rPr>
          <w:rFonts w:eastAsiaTheme="minorHAnsi" w:cs="Verdana"/>
          <w:szCs w:val="20"/>
          <w:lang w:val="es-ES"/>
        </w:rPr>
        <w:t>“</w:t>
      </w:r>
      <w:r w:rsidR="00303104" w:rsidRPr="00D51072">
        <w:rPr>
          <w:szCs w:val="20"/>
        </w:rPr>
        <w:t xml:space="preserve">ante la necesidad de obtención de justicia para la víctima en el caso particular”. </w:t>
      </w:r>
      <w:r w:rsidR="003125FC" w:rsidRPr="00D51072">
        <w:rPr>
          <w:szCs w:val="20"/>
        </w:rPr>
        <w:t>De ese modo, s</w:t>
      </w:r>
      <w:r w:rsidR="00DE441A" w:rsidRPr="00D51072">
        <w:rPr>
          <w:szCs w:val="20"/>
        </w:rPr>
        <w:t>olicitó a la Corte que concluyera y declarara la responsabilidad internacional de Argentina por la violación a los derechos indicados en las conclusiones del Informe de Fondo</w:t>
      </w:r>
      <w:r w:rsidR="00DE441A" w:rsidRPr="00D51072">
        <w:rPr>
          <w:rFonts w:eastAsiaTheme="minorHAnsi" w:cs="Arial"/>
          <w:bCs/>
          <w:szCs w:val="20"/>
          <w:lang w:val="es-CR"/>
        </w:rPr>
        <w:t xml:space="preserve">. </w:t>
      </w:r>
      <w:r w:rsidR="00DE441A" w:rsidRPr="00D51072">
        <w:rPr>
          <w:rFonts w:eastAsia="Calibri" w:cs="Verdana"/>
          <w:szCs w:val="20"/>
        </w:rPr>
        <w:t>Adicionalmente</w:t>
      </w:r>
      <w:r w:rsidR="00DE441A" w:rsidRPr="00D51072">
        <w:rPr>
          <w:szCs w:val="20"/>
        </w:rPr>
        <w:t xml:space="preserve"> solicitó que se ordene al Estado determinadas medidas de reparación.</w:t>
      </w:r>
    </w:p>
    <w:p w14:paraId="1AD997DA" w14:textId="77777777" w:rsidR="00473A82" w:rsidRPr="00D51072" w:rsidRDefault="00C6683F" w:rsidP="00057525">
      <w:pPr>
        <w:pStyle w:val="Ttulo1"/>
        <w:ind w:right="-4"/>
        <w:rPr>
          <w:lang w:val="es-ES_tradnl"/>
        </w:rPr>
      </w:pPr>
      <w:bookmarkStart w:id="8" w:name="_Toc359314415"/>
      <w:bookmarkStart w:id="9" w:name="_Toc361671572"/>
      <w:bookmarkStart w:id="10" w:name="_Toc361671992"/>
      <w:bookmarkStart w:id="11" w:name="_Toc361732789"/>
      <w:bookmarkStart w:id="12" w:name="_Toc361732832"/>
      <w:bookmarkStart w:id="13" w:name="_Toc362456863"/>
      <w:bookmarkStart w:id="14" w:name="_Toc365021392"/>
      <w:bookmarkStart w:id="15" w:name="_Toc369076778"/>
      <w:bookmarkStart w:id="16" w:name="_Toc369989362"/>
      <w:bookmarkStart w:id="17" w:name="_Toc369989449"/>
      <w:bookmarkStart w:id="18" w:name="_Toc369989730"/>
      <w:bookmarkStart w:id="19" w:name="_Toc438132270"/>
      <w:bookmarkStart w:id="20" w:name="_Toc311128156"/>
      <w:bookmarkStart w:id="21" w:name="_Toc311128353"/>
      <w:bookmarkStart w:id="22" w:name="_Toc486693352"/>
      <w:bookmarkStart w:id="23" w:name="_Toc486842768"/>
      <w:bookmarkStart w:id="24" w:name="_Toc486842906"/>
      <w:bookmarkStart w:id="25" w:name="_Toc23414987"/>
      <w:r w:rsidRPr="00D51072">
        <w:rPr>
          <w:lang w:val="es-ES_tradnl"/>
        </w:rPr>
        <w:lastRenderedPageBreak/>
        <w:t>II</w:t>
      </w:r>
      <w:r w:rsidRPr="00D51072">
        <w:rPr>
          <w:color w:val="FFFFFF" w:themeColor="background1"/>
          <w:lang w:val="es-ES_tradnl"/>
        </w:rPr>
        <w:t>.</w:t>
      </w:r>
      <w:r w:rsidRPr="00D51072">
        <w:rPr>
          <w:lang w:val="es-ES_tradnl"/>
        </w:rPr>
        <w:br/>
      </w:r>
      <w:r w:rsidR="00473A82" w:rsidRPr="00D51072">
        <w:rPr>
          <w:lang w:val="es-ES_tradnl"/>
        </w:rPr>
        <w:t>PROCEDIMIENTO ANTE LA CORTE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C5F5984" w14:textId="3C45212E" w:rsidR="00565BE2" w:rsidRPr="00D51072" w:rsidRDefault="00473A82" w:rsidP="00DD13DA">
      <w:pPr>
        <w:pStyle w:val="Estilo1"/>
        <w:numPr>
          <w:ilvl w:val="0"/>
          <w:numId w:val="2"/>
        </w:numPr>
        <w:tabs>
          <w:tab w:val="left" w:pos="0"/>
        </w:tabs>
        <w:spacing w:before="120"/>
        <w:ind w:left="0" w:right="-4" w:firstLine="0"/>
        <w:rPr>
          <w:szCs w:val="20"/>
        </w:rPr>
      </w:pPr>
      <w:r w:rsidRPr="00D51072">
        <w:rPr>
          <w:szCs w:val="20"/>
          <w:lang w:eastAsia="es-ES"/>
        </w:rPr>
        <w:t>Notificación al Estado y a los representantes</w:t>
      </w:r>
      <w:r w:rsidR="00933036" w:rsidRPr="003E0107">
        <w:rPr>
          <w:rStyle w:val="Refdenotaalpie"/>
          <w:i w:val="0"/>
          <w:lang w:eastAsia="es-ES"/>
        </w:rPr>
        <w:footnoteReference w:id="5"/>
      </w:r>
      <w:r w:rsidRPr="00D51072">
        <w:rPr>
          <w:szCs w:val="20"/>
          <w:lang w:eastAsia="es-ES"/>
        </w:rPr>
        <w:t xml:space="preserve">. – </w:t>
      </w:r>
      <w:r w:rsidR="00303104" w:rsidRPr="00D51072">
        <w:rPr>
          <w:i w:val="0"/>
          <w:szCs w:val="20"/>
        </w:rPr>
        <w:t xml:space="preserve">El sometimiento del caso fue notificado a los representantes y al Estado el 11 de enero de 2018. </w:t>
      </w:r>
    </w:p>
    <w:p w14:paraId="4405F55F" w14:textId="7521EABB" w:rsidR="00565BE2" w:rsidRPr="00D51072" w:rsidRDefault="00565BE2" w:rsidP="00DD13DA">
      <w:pPr>
        <w:pStyle w:val="Estilo1"/>
        <w:numPr>
          <w:ilvl w:val="0"/>
          <w:numId w:val="2"/>
        </w:numPr>
        <w:tabs>
          <w:tab w:val="left" w:pos="0"/>
        </w:tabs>
        <w:spacing w:before="120"/>
        <w:ind w:left="0" w:right="-4" w:firstLine="0"/>
        <w:rPr>
          <w:szCs w:val="20"/>
        </w:rPr>
      </w:pPr>
      <w:r w:rsidRPr="00D51072">
        <w:rPr>
          <w:szCs w:val="20"/>
          <w:lang w:eastAsia="es-ES"/>
        </w:rPr>
        <w:t xml:space="preserve">Escrito de solicitudes, argumentos y pruebas. – </w:t>
      </w:r>
      <w:r w:rsidR="00303104" w:rsidRPr="00D51072">
        <w:rPr>
          <w:i w:val="0"/>
          <w:szCs w:val="20"/>
        </w:rPr>
        <w:t>El 9 de marzo de 2018 los representantes presentaron su escrito de solicitudes, argumentos y pruebas (en adelante “escrito de solicitudes y argumentos” o “ESAP”), en los términos de los artículos 25 y 40 del Reglamento de la Corte</w:t>
      </w:r>
      <w:r w:rsidRPr="00D51072">
        <w:rPr>
          <w:i w:val="0"/>
          <w:szCs w:val="20"/>
        </w:rPr>
        <w:t xml:space="preserve">. </w:t>
      </w:r>
    </w:p>
    <w:p w14:paraId="7AD57981" w14:textId="0946FF3C" w:rsidR="00565BE2" w:rsidRPr="00D51072" w:rsidRDefault="00565BE2" w:rsidP="00DD13DA">
      <w:pPr>
        <w:pStyle w:val="Estilo1"/>
        <w:numPr>
          <w:ilvl w:val="0"/>
          <w:numId w:val="2"/>
        </w:numPr>
        <w:tabs>
          <w:tab w:val="left" w:pos="0"/>
        </w:tabs>
        <w:spacing w:before="120"/>
        <w:ind w:left="0" w:right="-4" w:firstLine="0"/>
        <w:rPr>
          <w:szCs w:val="20"/>
        </w:rPr>
      </w:pPr>
      <w:r w:rsidRPr="00D51072">
        <w:rPr>
          <w:rFonts w:eastAsia="Calibri"/>
          <w:bCs/>
          <w:szCs w:val="20"/>
        </w:rPr>
        <w:t>Escrito de contestación</w:t>
      </w:r>
      <w:r w:rsidRPr="003E0107">
        <w:rPr>
          <w:rStyle w:val="Refdenotaalpie"/>
          <w:rFonts w:eastAsia="Calibri"/>
          <w:bCs/>
          <w:i w:val="0"/>
        </w:rPr>
        <w:footnoteReference w:id="6"/>
      </w:r>
      <w:r w:rsidRPr="00D51072">
        <w:rPr>
          <w:rFonts w:eastAsia="Calibri"/>
          <w:bCs/>
          <w:szCs w:val="20"/>
        </w:rPr>
        <w:t xml:space="preserve">. – </w:t>
      </w:r>
      <w:r w:rsidR="00303104" w:rsidRPr="0062318A">
        <w:rPr>
          <w:i w:val="0"/>
          <w:szCs w:val="20"/>
        </w:rPr>
        <w:t>El 1</w:t>
      </w:r>
      <w:r w:rsidR="00195CAC" w:rsidRPr="0062318A">
        <w:rPr>
          <w:i w:val="0"/>
          <w:szCs w:val="20"/>
        </w:rPr>
        <w:t>9</w:t>
      </w:r>
      <w:r w:rsidR="00303104" w:rsidRPr="0062318A">
        <w:rPr>
          <w:i w:val="0"/>
          <w:szCs w:val="20"/>
        </w:rPr>
        <w:t xml:space="preserve"> de mayo de 2018 el</w:t>
      </w:r>
      <w:r w:rsidR="00303104" w:rsidRPr="00D51072">
        <w:rPr>
          <w:i w:val="0"/>
          <w:szCs w:val="20"/>
        </w:rPr>
        <w:t xml:space="preserve"> Estado presentó su escrito de contestación al sometimiento del caso y al escrito de solicitudes y argumentos (en adelante “contestación” o “escrito de contestación”), en el cual interpuso una excepción preliminar, en los términos del artículo 42 del Reglamento del Tribunal. </w:t>
      </w:r>
    </w:p>
    <w:p w14:paraId="28A33960" w14:textId="7A2E4D07" w:rsidR="00933036" w:rsidRPr="00D51072" w:rsidRDefault="00303104" w:rsidP="00DD13DA">
      <w:pPr>
        <w:pStyle w:val="Estilo1"/>
        <w:numPr>
          <w:ilvl w:val="0"/>
          <w:numId w:val="2"/>
        </w:numPr>
        <w:tabs>
          <w:tab w:val="left" w:pos="0"/>
        </w:tabs>
        <w:spacing w:before="120"/>
        <w:ind w:left="0" w:right="-4" w:firstLine="0"/>
        <w:rPr>
          <w:szCs w:val="20"/>
        </w:rPr>
      </w:pPr>
      <w:r w:rsidRPr="00D51072">
        <w:rPr>
          <w:rFonts w:eastAsia="Calibri"/>
          <w:bCs/>
          <w:szCs w:val="20"/>
        </w:rPr>
        <w:t xml:space="preserve">Observaciones a la excepción preliminar. </w:t>
      </w:r>
      <w:r w:rsidR="009A322C" w:rsidRPr="00D51072">
        <w:rPr>
          <w:i w:val="0"/>
          <w:szCs w:val="20"/>
          <w:lang w:eastAsia="es-ES"/>
        </w:rPr>
        <w:t>–</w:t>
      </w:r>
      <w:r w:rsidRPr="00D51072">
        <w:rPr>
          <w:i w:val="0"/>
          <w:szCs w:val="20"/>
          <w:lang w:eastAsia="es-ES"/>
        </w:rPr>
        <w:t xml:space="preserve"> </w:t>
      </w:r>
      <w:r w:rsidR="009A322C" w:rsidRPr="00D51072">
        <w:rPr>
          <w:i w:val="0"/>
          <w:szCs w:val="20"/>
          <w:lang w:eastAsia="es-ES"/>
        </w:rPr>
        <w:t>Los días</w:t>
      </w:r>
      <w:r w:rsidRPr="00D51072">
        <w:rPr>
          <w:i w:val="0"/>
          <w:szCs w:val="20"/>
          <w:lang w:eastAsia="es-ES"/>
        </w:rPr>
        <w:t xml:space="preserve"> 19 y 21 de junio de 2018 los </w:t>
      </w:r>
      <w:r w:rsidR="00D9387F">
        <w:rPr>
          <w:i w:val="0"/>
          <w:szCs w:val="20"/>
          <w:lang w:eastAsia="es-ES"/>
        </w:rPr>
        <w:t>la Comisión</w:t>
      </w:r>
      <w:r w:rsidRPr="00D51072">
        <w:rPr>
          <w:i w:val="0"/>
          <w:szCs w:val="20"/>
          <w:lang w:eastAsia="es-ES"/>
        </w:rPr>
        <w:t xml:space="preserve">, así como </w:t>
      </w:r>
      <w:r w:rsidR="00D9387F">
        <w:rPr>
          <w:i w:val="0"/>
          <w:szCs w:val="20"/>
          <w:lang w:eastAsia="es-ES"/>
        </w:rPr>
        <w:t xml:space="preserve">los </w:t>
      </w:r>
      <w:r w:rsidR="00D9387F" w:rsidRPr="00D51072">
        <w:rPr>
          <w:i w:val="0"/>
          <w:szCs w:val="20"/>
          <w:lang w:eastAsia="es-ES"/>
        </w:rPr>
        <w:t>representantes</w:t>
      </w:r>
      <w:r w:rsidRPr="00D51072">
        <w:rPr>
          <w:i w:val="0"/>
          <w:szCs w:val="20"/>
          <w:lang w:eastAsia="es-ES"/>
        </w:rPr>
        <w:t xml:space="preserve"> presentaron sus observaciones sobre la excepción preliminar </w:t>
      </w:r>
      <w:r w:rsidR="003E0107">
        <w:rPr>
          <w:i w:val="0"/>
          <w:szCs w:val="20"/>
          <w:lang w:eastAsia="es-ES"/>
        </w:rPr>
        <w:t>interpuesta por el Estado</w:t>
      </w:r>
      <w:r w:rsidRPr="00D51072">
        <w:rPr>
          <w:i w:val="0"/>
          <w:szCs w:val="20"/>
          <w:lang w:eastAsia="es-ES"/>
        </w:rPr>
        <w:t xml:space="preserve">. </w:t>
      </w:r>
    </w:p>
    <w:p w14:paraId="18219D9E" w14:textId="5A8A7277" w:rsidR="00903B40" w:rsidRPr="00D51072" w:rsidRDefault="00903B40" w:rsidP="00EA4699">
      <w:pPr>
        <w:pStyle w:val="Estilo1"/>
        <w:numPr>
          <w:ilvl w:val="0"/>
          <w:numId w:val="2"/>
        </w:numPr>
        <w:tabs>
          <w:tab w:val="left" w:pos="0"/>
        </w:tabs>
        <w:spacing w:before="120"/>
        <w:ind w:left="0" w:right="-4" w:firstLine="0"/>
        <w:rPr>
          <w:i w:val="0"/>
          <w:szCs w:val="20"/>
          <w:lang w:eastAsia="es-ES"/>
        </w:rPr>
      </w:pPr>
      <w:r w:rsidRPr="00D51072">
        <w:rPr>
          <w:szCs w:val="20"/>
          <w:lang w:eastAsia="es-ES"/>
        </w:rPr>
        <w:t>Audiencia pública.</w:t>
      </w:r>
      <w:r w:rsidR="00195CAC">
        <w:rPr>
          <w:szCs w:val="20"/>
          <w:lang w:eastAsia="es-ES"/>
        </w:rPr>
        <w:t xml:space="preserve"> </w:t>
      </w:r>
      <w:r w:rsidR="00195CAC" w:rsidRPr="00D51072">
        <w:rPr>
          <w:szCs w:val="20"/>
          <w:lang w:eastAsia="es-ES"/>
        </w:rPr>
        <w:t>–</w:t>
      </w:r>
      <w:r w:rsidR="0049717E" w:rsidRPr="00D51072">
        <w:rPr>
          <w:i w:val="0"/>
          <w:szCs w:val="20"/>
          <w:lang w:eastAsia="es-ES"/>
        </w:rPr>
        <w:t xml:space="preserve"> </w:t>
      </w:r>
      <w:r w:rsidR="00303104" w:rsidRPr="00D51072">
        <w:rPr>
          <w:i w:val="0"/>
          <w:szCs w:val="20"/>
          <w:lang w:eastAsia="es-ES"/>
        </w:rPr>
        <w:t xml:space="preserve">Mediante la Resolución de 9 de julio de 2018, el Presidente de la Corte convocó a las partes y a la Comisión a una audiencia pública que fue celebrada el día 28 de agosto de 2018, durante el </w:t>
      </w:r>
      <w:r w:rsidR="00303104" w:rsidRPr="00D51072">
        <w:rPr>
          <w:rFonts w:cs="Verdana"/>
          <w:i w:val="0"/>
          <w:szCs w:val="20"/>
          <w:lang w:bidi="en-US"/>
        </w:rPr>
        <w:t>59</w:t>
      </w:r>
      <w:r w:rsidR="00303104" w:rsidRPr="00D51072">
        <w:rPr>
          <w:rFonts w:cs="Verdana"/>
          <w:i w:val="0"/>
          <w:szCs w:val="20"/>
          <w:vertAlign w:val="superscript"/>
          <w:lang w:bidi="en-US"/>
        </w:rPr>
        <w:t>º</w:t>
      </w:r>
      <w:r w:rsidR="00303104" w:rsidRPr="00D51072">
        <w:rPr>
          <w:rFonts w:cs="Verdana"/>
          <w:i w:val="0"/>
          <w:szCs w:val="20"/>
          <w:lang w:bidi="en-US"/>
        </w:rPr>
        <w:t xml:space="preserve"> Período Extraordinario de Sesiones de la Corte</w:t>
      </w:r>
      <w:r w:rsidR="00303104" w:rsidRPr="00D51072">
        <w:rPr>
          <w:i w:val="0"/>
          <w:szCs w:val="20"/>
          <w:lang w:eastAsia="es-ES"/>
        </w:rPr>
        <w:t>, el cual tuvo lugar en la ciudad de San Salvador</w:t>
      </w:r>
      <w:r w:rsidR="00EA4699" w:rsidRPr="00D51072">
        <w:rPr>
          <w:rStyle w:val="Refdenotaalpie"/>
          <w:i w:val="0"/>
        </w:rPr>
        <w:footnoteReference w:id="7"/>
      </w:r>
      <w:r w:rsidR="00EA4699" w:rsidRPr="00D51072">
        <w:rPr>
          <w:i w:val="0"/>
          <w:szCs w:val="20"/>
          <w:lang w:eastAsia="es-ES"/>
        </w:rPr>
        <w:t xml:space="preserve">. </w:t>
      </w:r>
    </w:p>
    <w:p w14:paraId="239538FF" w14:textId="12479894" w:rsidR="000E42A1" w:rsidRPr="00D51072" w:rsidRDefault="00141EA6" w:rsidP="00C81ED2">
      <w:pPr>
        <w:pStyle w:val="Estilo1"/>
        <w:numPr>
          <w:ilvl w:val="0"/>
          <w:numId w:val="2"/>
        </w:numPr>
        <w:tabs>
          <w:tab w:val="left" w:pos="0"/>
        </w:tabs>
        <w:spacing w:before="120"/>
        <w:ind w:left="0" w:right="-4" w:firstLine="0"/>
        <w:rPr>
          <w:rFonts w:cs="Times New Roman"/>
          <w:i w:val="0"/>
          <w:noProof/>
          <w:szCs w:val="20"/>
          <w:lang w:val="es-ES"/>
        </w:rPr>
      </w:pPr>
      <w:r w:rsidRPr="00D51072">
        <w:rPr>
          <w:rFonts w:cs="Times New Roman"/>
          <w:noProof/>
          <w:szCs w:val="20"/>
          <w:lang w:val="es-ES"/>
        </w:rPr>
        <w:t>Escrito presentado en calidad de “Amicus curae</w:t>
      </w:r>
      <w:r w:rsidRPr="000C5A32">
        <w:rPr>
          <w:rFonts w:cs="Times New Roman"/>
          <w:noProof/>
          <w:szCs w:val="20"/>
          <w:lang w:val="es-ES"/>
        </w:rPr>
        <w:t>” por el señor Eduardo S. Barcesat</w:t>
      </w:r>
      <w:r w:rsidRPr="00195CAC">
        <w:rPr>
          <w:rFonts w:cs="Times New Roman"/>
          <w:i w:val="0"/>
          <w:noProof/>
          <w:szCs w:val="20"/>
          <w:lang w:val="es-ES"/>
        </w:rPr>
        <w:t>.</w:t>
      </w:r>
      <w:r w:rsidR="00195CAC">
        <w:rPr>
          <w:rFonts w:cs="Arial"/>
          <w:noProof/>
          <w:szCs w:val="20"/>
          <w:lang w:val="es-ES"/>
        </w:rPr>
        <w:t xml:space="preserve"> </w:t>
      </w:r>
      <w:r w:rsidR="00195CAC" w:rsidRPr="00D51072">
        <w:rPr>
          <w:szCs w:val="20"/>
          <w:lang w:eastAsia="es-ES"/>
        </w:rPr>
        <w:t>–</w:t>
      </w:r>
      <w:r w:rsidRPr="00D51072">
        <w:rPr>
          <w:rFonts w:cs="Arial"/>
          <w:noProof/>
          <w:szCs w:val="20"/>
          <w:lang w:val="es-ES"/>
        </w:rPr>
        <w:t xml:space="preserve"> </w:t>
      </w:r>
      <w:r w:rsidRPr="00D51072">
        <w:rPr>
          <w:rFonts w:cs="Arial"/>
          <w:i w:val="0"/>
          <w:noProof/>
          <w:szCs w:val="20"/>
          <w:lang w:val="es-ES"/>
        </w:rPr>
        <w:t>E</w:t>
      </w:r>
      <w:r w:rsidRPr="00D51072">
        <w:rPr>
          <w:rFonts w:cs="Times New Roman"/>
          <w:i w:val="0"/>
          <w:noProof/>
          <w:szCs w:val="20"/>
          <w:lang w:val="es-ES"/>
        </w:rPr>
        <w:t xml:space="preserve">l Tribunal recibió un escrito de </w:t>
      </w:r>
      <w:r w:rsidRPr="00D51072">
        <w:rPr>
          <w:rFonts w:cs="Times New Roman"/>
          <w:noProof/>
          <w:szCs w:val="20"/>
          <w:lang w:val="es-ES"/>
        </w:rPr>
        <w:t>amicus curae</w:t>
      </w:r>
      <w:r w:rsidRPr="00D51072">
        <w:rPr>
          <w:rFonts w:cs="Times New Roman"/>
          <w:i w:val="0"/>
          <w:noProof/>
          <w:szCs w:val="20"/>
          <w:lang w:val="es-ES"/>
        </w:rPr>
        <w:t xml:space="preserve"> el 26 de julio de 2018, presentado por el señor Eduardo S. Barcesat.</w:t>
      </w:r>
      <w:r w:rsidRPr="00D51072">
        <w:rPr>
          <w:sz w:val="16"/>
          <w:szCs w:val="16"/>
        </w:rPr>
        <w:t xml:space="preserve"> </w:t>
      </w:r>
      <w:r w:rsidRPr="00D51072">
        <w:rPr>
          <w:rFonts w:cs="Times New Roman"/>
          <w:i w:val="0"/>
          <w:noProof/>
          <w:szCs w:val="20"/>
          <w:lang w:val="es-ES"/>
        </w:rPr>
        <w:t xml:space="preserve">Por otra parte, el 26 de abril de 2019, el señor Rico remitió una nota en la cual ratificó que será representado por el </w:t>
      </w:r>
      <w:r w:rsidR="009A322C" w:rsidRPr="00D51072">
        <w:rPr>
          <w:rFonts w:cs="Times New Roman"/>
          <w:i w:val="0"/>
          <w:noProof/>
          <w:szCs w:val="20"/>
          <w:lang w:val="es-ES"/>
        </w:rPr>
        <w:t>señor</w:t>
      </w:r>
      <w:r w:rsidRPr="00D51072">
        <w:rPr>
          <w:rFonts w:cs="Times New Roman"/>
          <w:i w:val="0"/>
          <w:noProof/>
          <w:szCs w:val="20"/>
          <w:lang w:val="es-ES"/>
        </w:rPr>
        <w:t xml:space="preserve"> Eduardo S. Barcesat.</w:t>
      </w:r>
      <w:r w:rsidR="000E42A1" w:rsidRPr="00D51072">
        <w:rPr>
          <w:rFonts w:cs="Times New Roman"/>
          <w:i w:val="0"/>
          <w:noProof/>
          <w:szCs w:val="20"/>
          <w:lang w:val="es-ES"/>
        </w:rPr>
        <w:t xml:space="preserve"> </w:t>
      </w:r>
      <w:r w:rsidRPr="00D51072">
        <w:rPr>
          <w:rFonts w:cs="Times New Roman"/>
          <w:i w:val="0"/>
          <w:noProof/>
          <w:szCs w:val="20"/>
          <w:lang w:val="es-ES"/>
        </w:rPr>
        <w:t>Con respecto a lo anterior, la Corte recuerda que el Artículo 2.3 de su Reglamento especifica que la expresión “amicus curiae” significa la persona o institución ajena al litigio y al proceso que presenta a la Corte razonamientos en torno a los hechos contenidos en el sometimiento del caso o formula consideraciones jurídicas sobre la materia del proceso, a través de un documento o de un alegato en audiencia</w:t>
      </w:r>
      <w:r w:rsidR="000E42A1" w:rsidRPr="00D51072">
        <w:rPr>
          <w:rFonts w:cs="Times New Roman"/>
          <w:i w:val="0"/>
          <w:noProof/>
          <w:szCs w:val="20"/>
          <w:lang w:val="es-ES"/>
        </w:rPr>
        <w:t xml:space="preserve">. </w:t>
      </w:r>
      <w:r w:rsidR="000E3CA1" w:rsidRPr="00D51072">
        <w:rPr>
          <w:rFonts w:cs="Times New Roman"/>
          <w:i w:val="0"/>
          <w:noProof/>
          <w:szCs w:val="20"/>
          <w:lang w:val="es-ES"/>
        </w:rPr>
        <w:t>Por lo tanto, l</w:t>
      </w:r>
      <w:r w:rsidR="000E42A1" w:rsidRPr="00D51072">
        <w:rPr>
          <w:rFonts w:cs="Times New Roman"/>
          <w:i w:val="0"/>
          <w:noProof/>
          <w:szCs w:val="20"/>
          <w:lang w:val="es-ES"/>
        </w:rPr>
        <w:t xml:space="preserve">a Corte considera que a partir del momento en que el señor Eduardo S. Barcesat fue desigando como representante del señor Rico en el presente caso, </w:t>
      </w:r>
      <w:r w:rsidR="00E549CF" w:rsidRPr="00D51072">
        <w:rPr>
          <w:rFonts w:cs="Times New Roman"/>
          <w:i w:val="0"/>
          <w:noProof/>
          <w:szCs w:val="20"/>
          <w:lang w:val="es-ES"/>
        </w:rPr>
        <w:t>e</w:t>
      </w:r>
      <w:r w:rsidR="000E42A1" w:rsidRPr="00D51072">
        <w:rPr>
          <w:rFonts w:cs="Times New Roman"/>
          <w:i w:val="0"/>
          <w:noProof/>
          <w:szCs w:val="20"/>
          <w:lang w:val="es-ES"/>
        </w:rPr>
        <w:t xml:space="preserve">ste dejó que ser </w:t>
      </w:r>
      <w:r w:rsidR="000E3CA1" w:rsidRPr="00D51072">
        <w:rPr>
          <w:rFonts w:cs="Times New Roman"/>
          <w:i w:val="0"/>
          <w:noProof/>
          <w:szCs w:val="20"/>
          <w:lang w:val="es-ES"/>
        </w:rPr>
        <w:t xml:space="preserve">una persona “ajena al litigio”, por lo que </w:t>
      </w:r>
      <w:r w:rsidR="000E42A1" w:rsidRPr="00D51072">
        <w:rPr>
          <w:rFonts w:cs="Times New Roman"/>
          <w:i w:val="0"/>
          <w:noProof/>
          <w:szCs w:val="20"/>
          <w:lang w:val="es-ES"/>
        </w:rPr>
        <w:t xml:space="preserve">el esrito de </w:t>
      </w:r>
      <w:r w:rsidR="000E42A1" w:rsidRPr="00D51072">
        <w:rPr>
          <w:rFonts w:cs="Times New Roman"/>
          <w:noProof/>
          <w:szCs w:val="20"/>
          <w:lang w:val="es-ES"/>
        </w:rPr>
        <w:t>amicus curae</w:t>
      </w:r>
      <w:r w:rsidR="000E42A1" w:rsidRPr="00D51072">
        <w:rPr>
          <w:rFonts w:cs="Times New Roman"/>
          <w:i w:val="0"/>
          <w:noProof/>
          <w:szCs w:val="20"/>
          <w:lang w:val="es-ES"/>
        </w:rPr>
        <w:t xml:space="preserve"> pesentado por el señor Barcesat el 26 de julio de 2018 resulta inadmisible.</w:t>
      </w:r>
    </w:p>
    <w:p w14:paraId="620B879E" w14:textId="0E019C56" w:rsidR="005F1F8D" w:rsidRPr="00D51072" w:rsidRDefault="00903B40" w:rsidP="005F1F8D">
      <w:pPr>
        <w:pStyle w:val="Estilo1"/>
        <w:numPr>
          <w:ilvl w:val="0"/>
          <w:numId w:val="2"/>
        </w:numPr>
        <w:tabs>
          <w:tab w:val="left" w:pos="0"/>
        </w:tabs>
        <w:spacing w:before="120"/>
        <w:ind w:left="0" w:right="-4" w:firstLine="0"/>
        <w:rPr>
          <w:i w:val="0"/>
          <w:szCs w:val="20"/>
          <w:lang w:eastAsia="es-ES"/>
        </w:rPr>
      </w:pPr>
      <w:r w:rsidRPr="00D51072">
        <w:rPr>
          <w:rFonts w:cs="Arial"/>
          <w:szCs w:val="20"/>
          <w:lang w:eastAsia="es-ES"/>
        </w:rPr>
        <w:t>A</w:t>
      </w:r>
      <w:r w:rsidRPr="00D51072">
        <w:rPr>
          <w:rFonts w:cs="Verdana"/>
          <w:szCs w:val="20"/>
          <w:lang w:eastAsia="es-ES"/>
        </w:rPr>
        <w:t>legatos y observaciones finales escritos</w:t>
      </w:r>
      <w:r w:rsidRPr="00195CAC">
        <w:rPr>
          <w:rFonts w:cs="Verdana"/>
          <w:i w:val="0"/>
          <w:szCs w:val="20"/>
          <w:lang w:eastAsia="es-ES"/>
        </w:rPr>
        <w:t>.</w:t>
      </w:r>
      <w:r w:rsidR="00195CAC">
        <w:rPr>
          <w:rFonts w:cs="Verdana"/>
          <w:szCs w:val="20"/>
          <w:lang w:eastAsia="es-ES"/>
        </w:rPr>
        <w:t xml:space="preserve"> </w:t>
      </w:r>
      <w:r w:rsidR="00195CAC" w:rsidRPr="00D51072">
        <w:rPr>
          <w:szCs w:val="20"/>
          <w:lang w:eastAsia="es-ES"/>
        </w:rPr>
        <w:t>–</w:t>
      </w:r>
      <w:r w:rsidR="0049717E" w:rsidRPr="00D51072">
        <w:rPr>
          <w:rFonts w:cs="Verdana"/>
          <w:szCs w:val="20"/>
          <w:lang w:eastAsia="es-ES"/>
        </w:rPr>
        <w:t xml:space="preserve"> </w:t>
      </w:r>
      <w:r w:rsidR="00177B28" w:rsidRPr="00D51072">
        <w:rPr>
          <w:rFonts w:cs="Verdana"/>
          <w:i w:val="0"/>
          <w:szCs w:val="20"/>
          <w:lang w:eastAsia="es-ES"/>
        </w:rPr>
        <w:t xml:space="preserve">El 1 de octubre de 2018 la Comisión, el Estado y los representantes presentaron sus </w:t>
      </w:r>
      <w:r w:rsidR="000E3CA1" w:rsidRPr="00D51072">
        <w:rPr>
          <w:rFonts w:cs="Verdana"/>
          <w:i w:val="0"/>
          <w:szCs w:val="20"/>
          <w:lang w:eastAsia="es-ES"/>
        </w:rPr>
        <w:t xml:space="preserve">observaciones finales escritas y sus </w:t>
      </w:r>
      <w:r w:rsidR="00177B28" w:rsidRPr="00D51072">
        <w:rPr>
          <w:rFonts w:cs="Verdana"/>
          <w:i w:val="0"/>
          <w:szCs w:val="20"/>
          <w:lang w:eastAsia="es-ES"/>
        </w:rPr>
        <w:t>alegatos finales escritos</w:t>
      </w:r>
      <w:r w:rsidR="000E3CA1" w:rsidRPr="00D51072">
        <w:rPr>
          <w:rFonts w:cs="Verdana"/>
          <w:i w:val="0"/>
          <w:szCs w:val="20"/>
          <w:lang w:eastAsia="es-ES"/>
        </w:rPr>
        <w:t>, respectivamente</w:t>
      </w:r>
      <w:r w:rsidR="00177B28" w:rsidRPr="00D51072">
        <w:rPr>
          <w:rFonts w:cs="Verdana"/>
          <w:i w:val="0"/>
          <w:szCs w:val="20"/>
          <w:lang w:eastAsia="es-ES"/>
        </w:rPr>
        <w:t xml:space="preserve">. </w:t>
      </w:r>
    </w:p>
    <w:p w14:paraId="68046BC2" w14:textId="51BD2ECF" w:rsidR="00903B40" w:rsidRPr="00D51072" w:rsidRDefault="00903B40" w:rsidP="00565BE2">
      <w:pPr>
        <w:pStyle w:val="Estilo1"/>
        <w:numPr>
          <w:ilvl w:val="0"/>
          <w:numId w:val="2"/>
        </w:numPr>
        <w:tabs>
          <w:tab w:val="left" w:pos="0"/>
        </w:tabs>
        <w:spacing w:before="120"/>
        <w:ind w:left="0" w:right="-4" w:firstLine="0"/>
        <w:rPr>
          <w:rFonts w:cs="Verdana"/>
          <w:i w:val="0"/>
          <w:szCs w:val="20"/>
          <w:lang w:eastAsia="es-ES"/>
        </w:rPr>
      </w:pPr>
      <w:r w:rsidRPr="00D51072">
        <w:rPr>
          <w:szCs w:val="20"/>
          <w:lang w:eastAsia="es-CR"/>
        </w:rPr>
        <w:t xml:space="preserve">Deliberación del </w:t>
      </w:r>
      <w:r w:rsidRPr="00D51072">
        <w:rPr>
          <w:rFonts w:cs="Verdana"/>
          <w:szCs w:val="20"/>
          <w:lang w:eastAsia="es-ES"/>
        </w:rPr>
        <w:t>presente</w:t>
      </w:r>
      <w:r w:rsidRPr="00D51072">
        <w:rPr>
          <w:szCs w:val="20"/>
          <w:lang w:eastAsia="es-CR"/>
        </w:rPr>
        <w:t xml:space="preserve"> caso. </w:t>
      </w:r>
      <w:r w:rsidR="00195CAC" w:rsidRPr="00D51072">
        <w:rPr>
          <w:szCs w:val="20"/>
          <w:lang w:eastAsia="es-ES"/>
        </w:rPr>
        <w:t>–</w:t>
      </w:r>
      <w:r w:rsidRPr="00D51072">
        <w:rPr>
          <w:szCs w:val="20"/>
          <w:lang w:eastAsia="es-CR"/>
        </w:rPr>
        <w:t xml:space="preserve"> </w:t>
      </w:r>
      <w:r w:rsidRPr="00D51072">
        <w:rPr>
          <w:i w:val="0"/>
          <w:szCs w:val="20"/>
          <w:lang w:eastAsia="es-CR"/>
        </w:rPr>
        <w:t>La Corte inició la deliberación de la presente Sentencia el</w:t>
      </w:r>
      <w:r w:rsidR="00232F75" w:rsidRPr="00D51072">
        <w:rPr>
          <w:i w:val="0"/>
          <w:szCs w:val="20"/>
          <w:lang w:eastAsia="es-CR"/>
        </w:rPr>
        <w:t xml:space="preserve"> </w:t>
      </w:r>
      <w:r w:rsidR="00695B82" w:rsidRPr="00D51072">
        <w:rPr>
          <w:i w:val="0"/>
          <w:szCs w:val="20"/>
          <w:lang w:eastAsia="es-CR"/>
        </w:rPr>
        <w:t>2</w:t>
      </w:r>
      <w:r w:rsidR="009D3B31" w:rsidRPr="00D51072">
        <w:rPr>
          <w:i w:val="0"/>
          <w:szCs w:val="20"/>
          <w:lang w:eastAsia="es-CR"/>
        </w:rPr>
        <w:t xml:space="preserve"> </w:t>
      </w:r>
      <w:r w:rsidR="00057525" w:rsidRPr="00D51072">
        <w:rPr>
          <w:i w:val="0"/>
          <w:szCs w:val="20"/>
        </w:rPr>
        <w:t>de</w:t>
      </w:r>
      <w:r w:rsidR="00057525" w:rsidRPr="00D51072">
        <w:rPr>
          <w:i w:val="0"/>
          <w:szCs w:val="20"/>
          <w:lang w:eastAsia="es-CR"/>
        </w:rPr>
        <w:t xml:space="preserve"> </w:t>
      </w:r>
      <w:r w:rsidR="00695B82" w:rsidRPr="00D51072">
        <w:rPr>
          <w:i w:val="0"/>
          <w:szCs w:val="20"/>
          <w:lang w:eastAsia="es-CR"/>
        </w:rPr>
        <w:t>septiembre</w:t>
      </w:r>
      <w:r w:rsidR="00057525" w:rsidRPr="00D51072">
        <w:rPr>
          <w:i w:val="0"/>
          <w:szCs w:val="20"/>
          <w:lang w:eastAsia="es-CR"/>
        </w:rPr>
        <w:t xml:space="preserve"> de </w:t>
      </w:r>
      <w:r w:rsidR="0076710C" w:rsidRPr="00D51072">
        <w:rPr>
          <w:i w:val="0"/>
          <w:szCs w:val="20"/>
          <w:lang w:eastAsia="es-CR"/>
        </w:rPr>
        <w:t>201</w:t>
      </w:r>
      <w:r w:rsidR="00177B28" w:rsidRPr="00D51072">
        <w:rPr>
          <w:i w:val="0"/>
          <w:szCs w:val="20"/>
          <w:lang w:eastAsia="es-CR"/>
        </w:rPr>
        <w:t>9</w:t>
      </w:r>
      <w:r w:rsidR="00057525" w:rsidRPr="00D51072">
        <w:rPr>
          <w:i w:val="0"/>
          <w:szCs w:val="20"/>
          <w:lang w:eastAsia="es-CR"/>
        </w:rPr>
        <w:t>.</w:t>
      </w:r>
    </w:p>
    <w:p w14:paraId="0CA6D25D" w14:textId="77777777" w:rsidR="001B5D04" w:rsidRPr="00D51072" w:rsidRDefault="00907543" w:rsidP="00057525">
      <w:pPr>
        <w:pStyle w:val="Ttulo1"/>
        <w:rPr>
          <w:lang w:val="es-ES_tradnl"/>
        </w:rPr>
      </w:pPr>
      <w:bookmarkStart w:id="26" w:name="_Toc486693353"/>
      <w:bookmarkStart w:id="27" w:name="_Toc486842769"/>
      <w:bookmarkStart w:id="28" w:name="_Toc486842907"/>
      <w:bookmarkStart w:id="29" w:name="_Toc23414988"/>
      <w:r w:rsidRPr="00D51072">
        <w:rPr>
          <w:lang w:val="es-ES_tradnl"/>
        </w:rPr>
        <w:lastRenderedPageBreak/>
        <w:t>III</w:t>
      </w:r>
      <w:r w:rsidRPr="00D51072">
        <w:rPr>
          <w:color w:val="FFFFFF" w:themeColor="background1"/>
          <w:lang w:val="es-ES_tradnl"/>
        </w:rPr>
        <w:t>.</w:t>
      </w:r>
      <w:r w:rsidRPr="00D51072">
        <w:rPr>
          <w:lang w:val="es-ES_tradnl"/>
        </w:rPr>
        <w:br/>
      </w:r>
      <w:r w:rsidR="00206CEA" w:rsidRPr="00D51072">
        <w:rPr>
          <w:lang w:val="es-ES_tradnl"/>
        </w:rPr>
        <w:t>COMPETENCIA</w:t>
      </w:r>
      <w:bookmarkEnd w:id="26"/>
      <w:bookmarkEnd w:id="27"/>
      <w:bookmarkEnd w:id="28"/>
      <w:bookmarkEnd w:id="29"/>
    </w:p>
    <w:p w14:paraId="76E0E7F0" w14:textId="0D9AF64D" w:rsidR="000F1B02" w:rsidRPr="00D51072" w:rsidRDefault="00177B28" w:rsidP="00565BE2">
      <w:pPr>
        <w:pStyle w:val="Estilo1"/>
        <w:numPr>
          <w:ilvl w:val="0"/>
          <w:numId w:val="2"/>
        </w:numPr>
        <w:tabs>
          <w:tab w:val="left" w:pos="0"/>
        </w:tabs>
        <w:spacing w:before="120"/>
        <w:ind w:left="0" w:right="-4" w:firstLine="0"/>
        <w:rPr>
          <w:i w:val="0"/>
          <w:szCs w:val="20"/>
        </w:rPr>
      </w:pPr>
      <w:r w:rsidRPr="00D51072">
        <w:rPr>
          <w:i w:val="0"/>
          <w:szCs w:val="20"/>
        </w:rPr>
        <w:t xml:space="preserve">La </w:t>
      </w:r>
      <w:r w:rsidRPr="00D51072">
        <w:rPr>
          <w:i w:val="0"/>
          <w:szCs w:val="20"/>
          <w:lang w:eastAsia="es-ES"/>
        </w:rPr>
        <w:t>Corte</w:t>
      </w:r>
      <w:r w:rsidRPr="00D51072">
        <w:rPr>
          <w:i w:val="0"/>
          <w:szCs w:val="20"/>
        </w:rPr>
        <w:t xml:space="preserve"> es competente para conocer del presente caso, en los términos del artículo 62.3 de la </w:t>
      </w:r>
      <w:r w:rsidRPr="00D51072">
        <w:rPr>
          <w:rFonts w:eastAsiaTheme="minorHAnsi" w:cstheme="minorBidi"/>
          <w:i w:val="0"/>
        </w:rPr>
        <w:t>Convención</w:t>
      </w:r>
      <w:r w:rsidRPr="00D51072">
        <w:rPr>
          <w:i w:val="0"/>
          <w:szCs w:val="20"/>
        </w:rPr>
        <w:t xml:space="preserve">, </w:t>
      </w:r>
      <w:r w:rsidR="000E3CA1" w:rsidRPr="00D51072">
        <w:rPr>
          <w:i w:val="0"/>
          <w:szCs w:val="20"/>
        </w:rPr>
        <w:t>tomando en cuenta</w:t>
      </w:r>
      <w:r w:rsidRPr="00D51072">
        <w:rPr>
          <w:i w:val="0"/>
          <w:szCs w:val="20"/>
        </w:rPr>
        <w:t xml:space="preserve"> que Argentina es Estado Parte en la Convención desde el 5 de septiembre de 1984 y reconoció la competencia contenciosa de la Corte en esa misma fecha. </w:t>
      </w:r>
    </w:p>
    <w:p w14:paraId="4E4B73A6" w14:textId="44F578F3" w:rsidR="00907543" w:rsidRPr="00D51072" w:rsidRDefault="009E4F96" w:rsidP="00057525">
      <w:pPr>
        <w:pStyle w:val="Ttulo1"/>
        <w:rPr>
          <w:lang w:val="es-ES_tradnl"/>
        </w:rPr>
      </w:pPr>
      <w:bookmarkStart w:id="30" w:name="_Toc486693354"/>
      <w:bookmarkStart w:id="31" w:name="_Toc486842770"/>
      <w:bookmarkStart w:id="32" w:name="_Toc486842908"/>
      <w:bookmarkStart w:id="33" w:name="_Toc23414989"/>
      <w:bookmarkStart w:id="34" w:name="_Toc438132275"/>
      <w:bookmarkStart w:id="35" w:name="_Toc315133577"/>
      <w:bookmarkStart w:id="36" w:name="_Toc316919762"/>
      <w:bookmarkStart w:id="37" w:name="_Toc329703867"/>
      <w:bookmarkStart w:id="38" w:name="_Toc336638904"/>
      <w:bookmarkStart w:id="39" w:name="_Toc359314424"/>
      <w:bookmarkStart w:id="40" w:name="_Toc361671574"/>
      <w:bookmarkStart w:id="41" w:name="_Toc361671994"/>
      <w:bookmarkStart w:id="42" w:name="_Toc361732791"/>
      <w:bookmarkStart w:id="43" w:name="_Toc361732834"/>
      <w:bookmarkStart w:id="44" w:name="_Toc362456865"/>
      <w:bookmarkStart w:id="45" w:name="_Toc365021394"/>
      <w:bookmarkStart w:id="46" w:name="_Toc369076780"/>
      <w:bookmarkStart w:id="47" w:name="_Toc369989372"/>
      <w:bookmarkStart w:id="48" w:name="_Toc369989459"/>
      <w:bookmarkStart w:id="49" w:name="_Toc369989740"/>
      <w:bookmarkStart w:id="50" w:name="_Toc311128165"/>
      <w:bookmarkStart w:id="51" w:name="_Toc311128362"/>
      <w:bookmarkStart w:id="52" w:name="_Toc442082545"/>
      <w:r w:rsidRPr="00D51072">
        <w:rPr>
          <w:lang w:val="es-ES_tradnl"/>
        </w:rPr>
        <w:t>I</w:t>
      </w:r>
      <w:r w:rsidR="00907543" w:rsidRPr="00D51072">
        <w:rPr>
          <w:lang w:val="es-ES_tradnl"/>
        </w:rPr>
        <w:t>V</w:t>
      </w:r>
      <w:r w:rsidR="00907543" w:rsidRPr="00D51072">
        <w:rPr>
          <w:color w:val="FFFFFF" w:themeColor="background1"/>
          <w:lang w:val="es-ES_tradnl"/>
        </w:rPr>
        <w:t>.</w:t>
      </w:r>
      <w:r w:rsidR="00365E4B" w:rsidRPr="00D51072">
        <w:rPr>
          <w:lang w:val="es-ES_tradnl"/>
        </w:rPr>
        <w:br/>
      </w:r>
      <w:r w:rsidR="000F3909" w:rsidRPr="00D51072">
        <w:rPr>
          <w:caps w:val="0"/>
          <w:lang w:val="es-ES_tradnl"/>
        </w:rPr>
        <w:t>EXCEPCIÓN PRELIMINAR</w:t>
      </w:r>
      <w:bookmarkEnd w:id="30"/>
      <w:bookmarkEnd w:id="31"/>
      <w:bookmarkEnd w:id="32"/>
      <w:bookmarkEnd w:id="33"/>
    </w:p>
    <w:p w14:paraId="18D5BBC5" w14:textId="3C60D758" w:rsidR="00210B32" w:rsidRPr="00D51072" w:rsidRDefault="008F2076" w:rsidP="00CB2D2C">
      <w:pPr>
        <w:pStyle w:val="Prrafodelista"/>
        <w:numPr>
          <w:ilvl w:val="0"/>
          <w:numId w:val="5"/>
        </w:numPr>
        <w:tabs>
          <w:tab w:val="left" w:pos="567"/>
        </w:tabs>
        <w:autoSpaceDE w:val="0"/>
        <w:autoSpaceDN w:val="0"/>
        <w:adjustRightInd w:val="0"/>
        <w:spacing w:before="240" w:after="240"/>
        <w:ind w:left="896" w:hanging="357"/>
        <w:contextualSpacing w:val="0"/>
        <w:outlineLvl w:val="1"/>
        <w:rPr>
          <w:b/>
          <w:i/>
          <w:szCs w:val="20"/>
        </w:rPr>
      </w:pPr>
      <w:bookmarkStart w:id="53" w:name="_Toc23414990"/>
      <w:bookmarkStart w:id="54" w:name="_Toc486693355"/>
      <w:bookmarkStart w:id="55" w:name="_Toc486842771"/>
      <w:bookmarkStart w:id="56" w:name="_Toc486842909"/>
      <w:r w:rsidRPr="00D51072">
        <w:rPr>
          <w:b/>
          <w:i/>
          <w:szCs w:val="20"/>
        </w:rPr>
        <w:t xml:space="preserve">Alegatos </w:t>
      </w:r>
      <w:r w:rsidR="00EE4184" w:rsidRPr="00D51072">
        <w:rPr>
          <w:b/>
          <w:i/>
          <w:szCs w:val="20"/>
        </w:rPr>
        <w:t xml:space="preserve">de las partes y </w:t>
      </w:r>
      <w:r w:rsidRPr="00D51072">
        <w:rPr>
          <w:b/>
          <w:i/>
          <w:szCs w:val="20"/>
        </w:rPr>
        <w:t>de la Comisión</w:t>
      </w:r>
      <w:bookmarkEnd w:id="53"/>
      <w:r w:rsidRPr="00D51072">
        <w:rPr>
          <w:b/>
          <w:i/>
          <w:szCs w:val="20"/>
        </w:rPr>
        <w:t xml:space="preserve"> </w:t>
      </w:r>
      <w:bookmarkEnd w:id="54"/>
      <w:bookmarkEnd w:id="55"/>
      <w:bookmarkEnd w:id="56"/>
    </w:p>
    <w:p w14:paraId="02DAF37E" w14:textId="72C16420" w:rsidR="00CB2D2C" w:rsidRPr="00D51072" w:rsidRDefault="008F2076" w:rsidP="00C07323">
      <w:pPr>
        <w:numPr>
          <w:ilvl w:val="0"/>
          <w:numId w:val="2"/>
        </w:numPr>
        <w:tabs>
          <w:tab w:val="left" w:pos="567"/>
        </w:tabs>
        <w:spacing w:before="120" w:after="120"/>
        <w:ind w:left="0" w:firstLine="0"/>
      </w:pPr>
      <w:r w:rsidRPr="00D51072">
        <w:t xml:space="preserve">El </w:t>
      </w:r>
      <w:r w:rsidRPr="00D51072">
        <w:rPr>
          <w:i/>
        </w:rPr>
        <w:t>Estado</w:t>
      </w:r>
      <w:r w:rsidRPr="00D51072">
        <w:t xml:space="preserve"> </w:t>
      </w:r>
      <w:r w:rsidR="00F87F2B" w:rsidRPr="00D51072">
        <w:t xml:space="preserve">presentó </w:t>
      </w:r>
      <w:r w:rsidR="00210B32" w:rsidRPr="00D51072">
        <w:t xml:space="preserve">una excepción preliminar de no agotamiento de los recursos de la jurisdicción interna. </w:t>
      </w:r>
      <w:r w:rsidR="006A0284">
        <w:t>A</w:t>
      </w:r>
      <w:r w:rsidR="00210B32" w:rsidRPr="00D51072">
        <w:t xml:space="preserve">legó que los recursos que interpuso la presunta víctima, </w:t>
      </w:r>
      <w:r w:rsidR="00450187">
        <w:t xml:space="preserve">el, </w:t>
      </w:r>
      <w:r w:rsidR="00210B32" w:rsidRPr="00D51072">
        <w:t xml:space="preserve">Extraordinario Federal </w:t>
      </w:r>
      <w:r w:rsidR="00446BBA" w:rsidRPr="00D51072">
        <w:t xml:space="preserve">(en adelante también “REF”) </w:t>
      </w:r>
      <w:r w:rsidR="00210B32" w:rsidRPr="00D51072">
        <w:t xml:space="preserve">y de </w:t>
      </w:r>
      <w:r w:rsidR="00EC44EB" w:rsidRPr="00D51072">
        <w:t>Q</w:t>
      </w:r>
      <w:r w:rsidR="00210B32" w:rsidRPr="00D51072">
        <w:t>ueja</w:t>
      </w:r>
      <w:r w:rsidR="00333A7C" w:rsidRPr="00D51072">
        <w:t>,</w:t>
      </w:r>
      <w:r w:rsidR="00210B32" w:rsidRPr="00D51072">
        <w:t xml:space="preserve"> fueron rechazados por falta de cumplimiento de los requisitos </w:t>
      </w:r>
      <w:r w:rsidR="00333A7C" w:rsidRPr="00D51072">
        <w:t>de admisibilidad</w:t>
      </w:r>
      <w:r w:rsidR="00210B32" w:rsidRPr="00D51072">
        <w:t xml:space="preserve">. </w:t>
      </w:r>
      <w:r w:rsidR="006A0284">
        <w:t>M</w:t>
      </w:r>
      <w:r w:rsidR="00333A7C" w:rsidRPr="00D51072">
        <w:t>anifestó</w:t>
      </w:r>
      <w:r w:rsidR="00210B32" w:rsidRPr="00D51072">
        <w:t xml:space="preserve"> que </w:t>
      </w:r>
      <w:r w:rsidR="00333A7C" w:rsidRPr="00D51072">
        <w:t>por vía jurisprudencial la Corte Suprema de Justicia de la Nación (en adelante también “CSJN”)</w:t>
      </w:r>
      <w:r w:rsidR="00210B32" w:rsidRPr="00D51072">
        <w:t xml:space="preserve"> </w:t>
      </w:r>
      <w:r w:rsidR="006A0284">
        <w:t>habilitó</w:t>
      </w:r>
      <w:r w:rsidR="00210B32" w:rsidRPr="00D51072">
        <w:t xml:space="preserve"> la revisión judicial de las decisiones de destitución de magistrados a través del </w:t>
      </w:r>
      <w:r w:rsidR="00446BBA">
        <w:t>REF</w:t>
      </w:r>
      <w:r w:rsidR="00210B32" w:rsidRPr="00D51072">
        <w:t xml:space="preserve"> y ha impuesto dos presupuestos de admisibilidad: a) acreditar una lesión al debido proceso, y b) agotar las instancias existentes en el ámbito provincial</w:t>
      </w:r>
      <w:r w:rsidR="00686572" w:rsidRPr="00D51072">
        <w:t xml:space="preserve"> (</w:t>
      </w:r>
      <w:r w:rsidR="00333A7C" w:rsidRPr="00D51072">
        <w:t xml:space="preserve">en este supuesto, </w:t>
      </w:r>
      <w:r w:rsidR="00CB2D2C" w:rsidRPr="00D51072">
        <w:t xml:space="preserve">ante la </w:t>
      </w:r>
      <w:r w:rsidR="00686572" w:rsidRPr="00D51072">
        <w:t xml:space="preserve">Suprema </w:t>
      </w:r>
      <w:r w:rsidR="00CB2D2C" w:rsidRPr="00D51072">
        <w:t>Corte de la Provincia de Buenos Aires</w:t>
      </w:r>
      <w:r w:rsidR="00686572" w:rsidRPr="00D51072">
        <w:t xml:space="preserve"> – en adelante “SCJBA”)</w:t>
      </w:r>
      <w:r w:rsidR="00210B32" w:rsidRPr="00D51072">
        <w:t>.</w:t>
      </w:r>
      <w:r w:rsidR="00236560" w:rsidRPr="00D51072">
        <w:rPr>
          <w:szCs w:val="20"/>
          <w:lang w:val="es-CO"/>
        </w:rPr>
        <w:t xml:space="preserve"> </w:t>
      </w:r>
      <w:r w:rsidR="00247F6E" w:rsidRPr="00D51072">
        <w:rPr>
          <w:szCs w:val="20"/>
          <w:lang w:val="es-CO"/>
        </w:rPr>
        <w:t>El Estado arguyó que el señor Rico no habría cumplido con el primer requisito</w:t>
      </w:r>
      <w:r w:rsidR="00697DFF">
        <w:rPr>
          <w:szCs w:val="20"/>
          <w:lang w:val="es-CO"/>
        </w:rPr>
        <w:t xml:space="preserve"> </w:t>
      </w:r>
      <w:r w:rsidR="006A0284">
        <w:rPr>
          <w:szCs w:val="20"/>
          <w:lang w:val="es-CO"/>
        </w:rPr>
        <w:t xml:space="preserve">puesto que según </w:t>
      </w:r>
      <w:r w:rsidR="00247F6E" w:rsidRPr="00D51072">
        <w:rPr>
          <w:szCs w:val="20"/>
          <w:lang w:val="es-CO"/>
        </w:rPr>
        <w:t xml:space="preserve">la </w:t>
      </w:r>
      <w:r w:rsidR="00247F6E" w:rsidRPr="00D51072">
        <w:t xml:space="preserve">SCJBA y la CSJN no acreditó fehacientemente las lesiones a las garantías judiciales </w:t>
      </w:r>
      <w:r w:rsidR="00697DFF">
        <w:t>y</w:t>
      </w:r>
      <w:r w:rsidR="00445C66">
        <w:t xml:space="preserve"> se</w:t>
      </w:r>
      <w:r w:rsidR="00247F6E" w:rsidRPr="00D51072">
        <w:t xml:space="preserve"> limitó a sostener su propia hipótesis frente a los hechos. </w:t>
      </w:r>
      <w:r w:rsidR="00697DFF">
        <w:t>Arguyó que e</w:t>
      </w:r>
      <w:r w:rsidR="00247F6E" w:rsidRPr="00D51072">
        <w:rPr>
          <w:szCs w:val="20"/>
          <w:lang w:val="es-CO"/>
        </w:rPr>
        <w:t xml:space="preserve">l señor Rico únicamente planteó su discrepancia en relación a la valoración de la prueba efectuada por el Jurado de Enjuiciamiento, y respecto a la gravedad que este le atribuyó a los hechos en virtud de los cuales se resolvió su destitución. </w:t>
      </w:r>
    </w:p>
    <w:p w14:paraId="1F1F8AC1" w14:textId="4628E364" w:rsidR="00CB2D2C" w:rsidRPr="00D51072" w:rsidRDefault="00CB2D2C" w:rsidP="00C81ED2">
      <w:pPr>
        <w:numPr>
          <w:ilvl w:val="0"/>
          <w:numId w:val="2"/>
        </w:numPr>
        <w:tabs>
          <w:tab w:val="left" w:pos="567"/>
        </w:tabs>
        <w:spacing w:before="120" w:after="120"/>
        <w:ind w:left="0" w:firstLine="0"/>
        <w:rPr>
          <w:rFonts w:cs="Calibri"/>
          <w:szCs w:val="20"/>
          <w:lang w:val="es-GT"/>
        </w:rPr>
      </w:pPr>
      <w:r w:rsidRPr="00D51072">
        <w:t xml:space="preserve">La </w:t>
      </w:r>
      <w:r w:rsidRPr="00D51072">
        <w:rPr>
          <w:i/>
          <w:szCs w:val="20"/>
          <w:lang w:val="es-CO"/>
        </w:rPr>
        <w:t>Comisión</w:t>
      </w:r>
      <w:r w:rsidRPr="00D51072">
        <w:t xml:space="preserve"> </w:t>
      </w:r>
      <w:r w:rsidR="00247F6E" w:rsidRPr="00D51072">
        <w:t xml:space="preserve">encontró improcedente la excepción planteada. </w:t>
      </w:r>
      <w:r w:rsidR="006A0284">
        <w:t>R</w:t>
      </w:r>
      <w:r w:rsidR="00247F6E" w:rsidRPr="00D51072">
        <w:t xml:space="preserve">ecordó </w:t>
      </w:r>
      <w:r w:rsidR="00247F6E" w:rsidRPr="00D51072">
        <w:rPr>
          <w:lang w:val="es-GT"/>
        </w:rPr>
        <w:t xml:space="preserve">que </w:t>
      </w:r>
      <w:r w:rsidR="006A0284">
        <w:rPr>
          <w:lang w:val="es-GT"/>
        </w:rPr>
        <w:t>esos</w:t>
      </w:r>
      <w:r w:rsidR="00247F6E" w:rsidRPr="00D51072">
        <w:rPr>
          <w:lang w:val="es-GT"/>
        </w:rPr>
        <w:t xml:space="preserve"> argumentos ya habían sido esgrimidos durante la etapa de admisibilidad, y </w:t>
      </w:r>
      <w:r w:rsidR="006A0284">
        <w:rPr>
          <w:lang w:val="es-GT"/>
        </w:rPr>
        <w:t xml:space="preserve">se había concluido </w:t>
      </w:r>
      <w:r w:rsidR="00247F6E" w:rsidRPr="00D51072">
        <w:rPr>
          <w:lang w:val="es-GT"/>
        </w:rPr>
        <w:t xml:space="preserve">que </w:t>
      </w:r>
      <w:r w:rsidR="00247F6E" w:rsidRPr="00D51072">
        <w:t xml:space="preserve">los recursos internos </w:t>
      </w:r>
      <w:r w:rsidR="00450187">
        <w:t xml:space="preserve">fueron agotados </w:t>
      </w:r>
      <w:r w:rsidR="006A0284">
        <w:t>puesto</w:t>
      </w:r>
      <w:r w:rsidR="00247F6E" w:rsidRPr="00D51072">
        <w:t xml:space="preserve"> que en las diversas instancias judiciales existió la oportunidad de conocer los argumentos en cuanto a presuntas violaciones al debido proceso y a una revisión del fallo. </w:t>
      </w:r>
      <w:r w:rsidR="006A0284">
        <w:rPr>
          <w:szCs w:val="20"/>
          <w:lang w:val="es-CO"/>
        </w:rPr>
        <w:t>A</w:t>
      </w:r>
      <w:r w:rsidR="00247F6E" w:rsidRPr="00D51072">
        <w:rPr>
          <w:szCs w:val="20"/>
          <w:lang w:val="es-CO"/>
        </w:rPr>
        <w:t xml:space="preserve">gregó que si bien se reconocía la posibilidad de impugnación de las decisiones del Jurado de Enjuiciamiento, dicha revisión solo procedía cuando se constataban violaciones al debido proceso. Añadió que </w:t>
      </w:r>
      <w:r w:rsidR="00247F6E" w:rsidRPr="00D51072">
        <w:rPr>
          <w:rFonts w:cs="Calibri"/>
          <w:szCs w:val="20"/>
          <w:lang w:val="es-GT"/>
        </w:rPr>
        <w:t>la acreditación de lesiones al debido proceso para habilitar la revisión judicial, se relaciona más bien con el debate de fondo del asunto, y que tal exigencia evidencia el carácter ilusorio, la falta de sencillez y efectividad de la protección judicial en los términos requeridos por la Convención</w:t>
      </w:r>
      <w:r w:rsidRPr="00D51072">
        <w:rPr>
          <w:rFonts w:cs="Calibri"/>
          <w:szCs w:val="20"/>
          <w:lang w:val="es-GT"/>
        </w:rPr>
        <w:t xml:space="preserve">. </w:t>
      </w:r>
      <w:r w:rsidR="002D7AA2" w:rsidRPr="00D51072">
        <w:t>Los</w:t>
      </w:r>
      <w:r w:rsidR="00BE746B" w:rsidRPr="00D51072">
        <w:rPr>
          <w:i/>
        </w:rPr>
        <w:t xml:space="preserve"> representante</w:t>
      </w:r>
      <w:r w:rsidR="002D7AA2" w:rsidRPr="00D51072">
        <w:rPr>
          <w:i/>
        </w:rPr>
        <w:t>s</w:t>
      </w:r>
      <w:r w:rsidR="00BE746B" w:rsidRPr="00D51072">
        <w:t xml:space="preserve"> </w:t>
      </w:r>
      <w:r w:rsidR="00E750B5" w:rsidRPr="00D51072">
        <w:t>coincidi</w:t>
      </w:r>
      <w:r w:rsidR="002D7AA2" w:rsidRPr="00D51072">
        <w:t>eron</w:t>
      </w:r>
      <w:r w:rsidR="00E750B5" w:rsidRPr="00D51072">
        <w:t xml:space="preserve"> con</w:t>
      </w:r>
      <w:r w:rsidR="00BE746B" w:rsidRPr="00D51072">
        <w:t xml:space="preserve"> la postura de la Comisión.</w:t>
      </w:r>
    </w:p>
    <w:p w14:paraId="73C04A83" w14:textId="77777777" w:rsidR="0035066F" w:rsidRPr="00D51072" w:rsidRDefault="0035066F" w:rsidP="00035C05">
      <w:pPr>
        <w:pStyle w:val="Prrafodelista"/>
        <w:numPr>
          <w:ilvl w:val="0"/>
          <w:numId w:val="5"/>
        </w:numPr>
        <w:tabs>
          <w:tab w:val="left" w:pos="567"/>
        </w:tabs>
        <w:autoSpaceDE w:val="0"/>
        <w:autoSpaceDN w:val="0"/>
        <w:adjustRightInd w:val="0"/>
        <w:spacing w:before="240" w:after="240"/>
        <w:contextualSpacing w:val="0"/>
        <w:outlineLvl w:val="1"/>
        <w:rPr>
          <w:b/>
          <w:i/>
          <w:szCs w:val="20"/>
        </w:rPr>
      </w:pPr>
      <w:bookmarkStart w:id="57" w:name="_Toc486693356"/>
      <w:bookmarkStart w:id="58" w:name="_Toc486842772"/>
      <w:bookmarkStart w:id="59" w:name="_Toc486842910"/>
      <w:bookmarkStart w:id="60" w:name="_Toc23414991"/>
      <w:r w:rsidRPr="00D51072">
        <w:rPr>
          <w:b/>
          <w:i/>
          <w:szCs w:val="20"/>
        </w:rPr>
        <w:t>Consideraciones de la Corte</w:t>
      </w:r>
      <w:bookmarkEnd w:id="57"/>
      <w:bookmarkEnd w:id="58"/>
      <w:bookmarkEnd w:id="59"/>
      <w:bookmarkEnd w:id="60"/>
    </w:p>
    <w:p w14:paraId="3EF0A8E5" w14:textId="77777777" w:rsidR="00D8621A" w:rsidRPr="00D51072" w:rsidRDefault="00E87B5D" w:rsidP="00D8621A">
      <w:pPr>
        <w:pStyle w:val="Estilo1"/>
        <w:numPr>
          <w:ilvl w:val="0"/>
          <w:numId w:val="2"/>
        </w:numPr>
        <w:tabs>
          <w:tab w:val="left" w:pos="0"/>
          <w:tab w:val="left" w:pos="567"/>
          <w:tab w:val="left" w:pos="1134"/>
        </w:tabs>
        <w:spacing w:before="120"/>
        <w:ind w:left="0" w:right="-6" w:firstLine="0"/>
        <w:rPr>
          <w:rFonts w:cs="Calibri"/>
          <w:szCs w:val="20"/>
          <w:lang w:val="es-CR"/>
        </w:rPr>
      </w:pPr>
      <w:r w:rsidRPr="00D51072">
        <w:rPr>
          <w:i w:val="0"/>
        </w:rPr>
        <w:t>Con respecto a la excepción de agotamiento de recursos internos, este Tribunal se remite a las pautas para analizar una excepción preliminar basada en un presunto incumplimiento del requisito de agotamiento de los recursos internos</w:t>
      </w:r>
      <w:r w:rsidRPr="00D51072">
        <w:rPr>
          <w:rStyle w:val="Refdenotaalpie"/>
          <w:i w:val="0"/>
        </w:rPr>
        <w:footnoteReference w:id="8"/>
      </w:r>
      <w:r w:rsidRPr="00D51072">
        <w:rPr>
          <w:i w:val="0"/>
        </w:rPr>
        <w:t xml:space="preserve">. </w:t>
      </w:r>
    </w:p>
    <w:p w14:paraId="74AD43AA" w14:textId="5152C190" w:rsidR="008F1A48" w:rsidRPr="00D51072" w:rsidRDefault="00E87B5D" w:rsidP="00D8621A">
      <w:pPr>
        <w:pStyle w:val="Estilo1"/>
        <w:numPr>
          <w:ilvl w:val="0"/>
          <w:numId w:val="2"/>
        </w:numPr>
        <w:tabs>
          <w:tab w:val="left" w:pos="0"/>
          <w:tab w:val="left" w:pos="567"/>
          <w:tab w:val="left" w:pos="1134"/>
        </w:tabs>
        <w:spacing w:before="120"/>
        <w:ind w:left="0" w:right="-6" w:firstLine="0"/>
        <w:rPr>
          <w:rFonts w:cs="Calibri"/>
          <w:szCs w:val="20"/>
          <w:lang w:val="es-CR"/>
        </w:rPr>
      </w:pPr>
      <w:r w:rsidRPr="00D51072">
        <w:rPr>
          <w:i w:val="0"/>
        </w:rPr>
        <w:lastRenderedPageBreak/>
        <w:t xml:space="preserve">En el presente caso, </w:t>
      </w:r>
      <w:r w:rsidR="0028675B" w:rsidRPr="00D51072">
        <w:rPr>
          <w:rFonts w:cs="Calibri"/>
          <w:i w:val="0"/>
          <w:szCs w:val="20"/>
          <w:lang w:val="es-CR"/>
        </w:rPr>
        <w:t xml:space="preserve">el Estado presentó una excepción preliminar de falta de agotamiento de los recursos internos. </w:t>
      </w:r>
      <w:r w:rsidR="00446BBA">
        <w:rPr>
          <w:rFonts w:cs="Calibri"/>
          <w:i w:val="0"/>
          <w:szCs w:val="20"/>
          <w:lang w:val="es-CR"/>
        </w:rPr>
        <w:t>D</w:t>
      </w:r>
      <w:r w:rsidR="008F1A48" w:rsidRPr="00D51072">
        <w:rPr>
          <w:rFonts w:cs="Calibri"/>
          <w:i w:val="0"/>
          <w:szCs w:val="20"/>
          <w:lang w:val="es-CR"/>
        </w:rPr>
        <w:t>urante el trámite del presente caso ante la Comisión, en la etapa de admisibilidad, el Estado presentó varios escritos de observaciones a la petición inicial</w:t>
      </w:r>
      <w:r w:rsidR="00E01F41" w:rsidRPr="00D51072">
        <w:rPr>
          <w:rFonts w:cs="Calibri"/>
          <w:i w:val="0"/>
          <w:szCs w:val="20"/>
          <w:lang w:val="es-CR"/>
        </w:rPr>
        <w:t xml:space="preserve"> y en particular señaló que el agotamiento de los recursos internos</w:t>
      </w:r>
      <w:r w:rsidR="008F1A48" w:rsidRPr="00D51072">
        <w:rPr>
          <w:rFonts w:cs="Calibri"/>
          <w:i w:val="0"/>
          <w:szCs w:val="20"/>
          <w:lang w:val="es-CR"/>
        </w:rPr>
        <w:t xml:space="preserve"> </w:t>
      </w:r>
      <w:r w:rsidR="00E01F41" w:rsidRPr="00D51072">
        <w:rPr>
          <w:rFonts w:cs="Calibri"/>
          <w:i w:val="0"/>
          <w:szCs w:val="20"/>
          <w:lang w:val="es-CR"/>
        </w:rPr>
        <w:t>“</w:t>
      </w:r>
      <w:r w:rsidR="008F1A48" w:rsidRPr="00D51072">
        <w:rPr>
          <w:rFonts w:cs="Calibri"/>
          <w:i w:val="0"/>
          <w:szCs w:val="20"/>
          <w:lang w:val="es-CR"/>
        </w:rPr>
        <w:t xml:space="preserve">se ha producido sin observar las exigencias legales que las normas procesales locales prevén </w:t>
      </w:r>
      <w:r w:rsidR="00675987">
        <w:rPr>
          <w:rFonts w:cs="Calibri"/>
          <w:i w:val="0"/>
          <w:szCs w:val="20"/>
          <w:lang w:val="es-CR"/>
        </w:rPr>
        <w:t>[…]</w:t>
      </w:r>
      <w:r w:rsidR="008F1A48" w:rsidRPr="00D51072">
        <w:rPr>
          <w:rFonts w:cs="Calibri"/>
          <w:i w:val="0"/>
          <w:szCs w:val="20"/>
          <w:lang w:val="es-CR"/>
        </w:rPr>
        <w:t>, circunstancias que importan que tales recursos internos no han sido agotados en buena y debida forma”.</w:t>
      </w:r>
      <w:r w:rsidR="00D47824" w:rsidRPr="00D51072">
        <w:rPr>
          <w:rFonts w:cs="Calibri"/>
          <w:b/>
          <w:i w:val="0"/>
          <w:szCs w:val="20"/>
          <w:lang w:val="es-CR"/>
        </w:rPr>
        <w:t xml:space="preserve"> </w:t>
      </w:r>
    </w:p>
    <w:p w14:paraId="09A3D9E1" w14:textId="6ED88155" w:rsidR="00E21AF6" w:rsidRPr="00D51072" w:rsidRDefault="00635E92" w:rsidP="005A5196">
      <w:pPr>
        <w:pStyle w:val="Estilo1"/>
        <w:numPr>
          <w:ilvl w:val="0"/>
          <w:numId w:val="2"/>
        </w:numPr>
        <w:tabs>
          <w:tab w:val="left" w:pos="0"/>
          <w:tab w:val="left" w:pos="567"/>
          <w:tab w:val="left" w:pos="1134"/>
        </w:tabs>
        <w:spacing w:before="120"/>
        <w:ind w:left="0" w:right="-6" w:firstLine="0"/>
        <w:rPr>
          <w:rFonts w:cs="Calibri"/>
          <w:i w:val="0"/>
          <w:szCs w:val="20"/>
          <w:lang w:val="es-CO"/>
        </w:rPr>
      </w:pPr>
      <w:r>
        <w:rPr>
          <w:rFonts w:cs="Calibri"/>
          <w:i w:val="0"/>
          <w:szCs w:val="20"/>
          <w:lang w:val="es-CR"/>
        </w:rPr>
        <w:t>Sobre</w:t>
      </w:r>
      <w:r w:rsidR="00906A87" w:rsidRPr="00D51072">
        <w:rPr>
          <w:rFonts w:cs="Calibri"/>
          <w:i w:val="0"/>
          <w:szCs w:val="20"/>
          <w:lang w:val="es-CR"/>
        </w:rPr>
        <w:t xml:space="preserve"> los requisitos de admisibilidad del </w:t>
      </w:r>
      <w:r w:rsidR="003B491A" w:rsidRPr="00D51072">
        <w:rPr>
          <w:rFonts w:cs="Calibri"/>
          <w:i w:val="0"/>
          <w:szCs w:val="20"/>
          <w:lang w:val="es-CR"/>
        </w:rPr>
        <w:t>REF</w:t>
      </w:r>
      <w:r w:rsidR="00906A87" w:rsidRPr="00D51072">
        <w:rPr>
          <w:rFonts w:cs="Calibri"/>
          <w:i w:val="0"/>
          <w:szCs w:val="20"/>
          <w:lang w:val="es-CR"/>
        </w:rPr>
        <w:t xml:space="preserve"> </w:t>
      </w:r>
      <w:r w:rsidR="00B761BA">
        <w:rPr>
          <w:rFonts w:cs="Calibri"/>
          <w:i w:val="0"/>
          <w:szCs w:val="20"/>
          <w:lang w:val="es-CR"/>
        </w:rPr>
        <w:t>mencionados</w:t>
      </w:r>
      <w:r w:rsidR="00906A87" w:rsidRPr="00D51072">
        <w:rPr>
          <w:rFonts w:cs="Calibri"/>
          <w:i w:val="0"/>
          <w:szCs w:val="20"/>
          <w:lang w:val="es-CR"/>
        </w:rPr>
        <w:t xml:space="preserve"> por el Estado en sus alegatos de excepciones preliminares, la </w:t>
      </w:r>
      <w:r w:rsidR="005A5196" w:rsidRPr="00D51072">
        <w:rPr>
          <w:rFonts w:cs="Calibri"/>
          <w:i w:val="0"/>
          <w:szCs w:val="20"/>
          <w:lang w:val="es-CR"/>
        </w:rPr>
        <w:t>C</w:t>
      </w:r>
      <w:r w:rsidR="00906A87" w:rsidRPr="00D51072">
        <w:rPr>
          <w:rFonts w:cs="Calibri"/>
          <w:i w:val="0"/>
          <w:szCs w:val="20"/>
          <w:lang w:val="es-CR"/>
        </w:rPr>
        <w:t xml:space="preserve">orte constata </w:t>
      </w:r>
      <w:r w:rsidR="005A5196" w:rsidRPr="00D51072">
        <w:rPr>
          <w:rFonts w:cs="Calibri"/>
          <w:i w:val="0"/>
          <w:szCs w:val="20"/>
          <w:lang w:val="es-CR"/>
        </w:rPr>
        <w:t>que</w:t>
      </w:r>
      <w:r w:rsidR="004520F8" w:rsidRPr="00D51072">
        <w:rPr>
          <w:rFonts w:cs="Calibri"/>
          <w:i w:val="0"/>
          <w:szCs w:val="20"/>
          <w:lang w:val="es-CR"/>
        </w:rPr>
        <w:t xml:space="preserve">, efectivamente, </w:t>
      </w:r>
      <w:r w:rsidR="005A5196" w:rsidRPr="00D51072">
        <w:rPr>
          <w:rFonts w:cs="Calibri"/>
          <w:i w:val="0"/>
          <w:szCs w:val="20"/>
          <w:lang w:val="es-CR"/>
        </w:rPr>
        <w:t xml:space="preserve">de conformidad con la jurisprudencia de la </w:t>
      </w:r>
      <w:r w:rsidR="00686572" w:rsidRPr="00D51072">
        <w:rPr>
          <w:rFonts w:cs="Calibri"/>
          <w:i w:val="0"/>
          <w:szCs w:val="20"/>
          <w:lang w:val="es-CO"/>
        </w:rPr>
        <w:t>CSJN</w:t>
      </w:r>
      <w:r w:rsidR="005A5196" w:rsidRPr="00D51072">
        <w:rPr>
          <w:rFonts w:cs="Calibri"/>
          <w:i w:val="0"/>
          <w:szCs w:val="20"/>
          <w:lang w:val="es-CR"/>
        </w:rPr>
        <w:t>, “las decisiones en materia de los llamados juicios políticos o enjuiciamientos de magistrados en la esfera provincial, dictados por órganos ajenos a los poderes locales, configuran una cuestión justiciable cuando se invoca por parte interesada la violación del debido proceso” y que “tales decisiones no escapan a la revisión judicial por dichos poderes ni a la posterior intervención de la Corte por vía del recurso extraordinario”</w:t>
      </w:r>
      <w:r w:rsidR="005A5196" w:rsidRPr="00D51072">
        <w:rPr>
          <w:rStyle w:val="Refdenotaalpie"/>
          <w:i w:val="0"/>
          <w:lang w:val="es-CR"/>
        </w:rPr>
        <w:footnoteReference w:id="9"/>
      </w:r>
      <w:r w:rsidR="005A5196" w:rsidRPr="00D51072">
        <w:rPr>
          <w:rFonts w:cs="Calibri"/>
          <w:i w:val="0"/>
          <w:szCs w:val="20"/>
          <w:lang w:val="es-CR"/>
        </w:rPr>
        <w:t xml:space="preserve">. A su vez, la </w:t>
      </w:r>
      <w:r w:rsidR="00446BBA">
        <w:rPr>
          <w:rFonts w:cs="Calibri"/>
          <w:i w:val="0"/>
          <w:szCs w:val="20"/>
          <w:lang w:val="es-CR"/>
        </w:rPr>
        <w:t>CSJN</w:t>
      </w:r>
      <w:r w:rsidR="005A5196" w:rsidRPr="00D51072">
        <w:rPr>
          <w:rFonts w:cs="Calibri"/>
          <w:i w:val="0"/>
          <w:szCs w:val="20"/>
          <w:lang w:val="es-CR"/>
        </w:rPr>
        <w:t xml:space="preserve"> sostuvo que </w:t>
      </w:r>
      <w:r w:rsidR="005A5196" w:rsidRPr="00D51072">
        <w:rPr>
          <w:rFonts w:cs="Calibri"/>
          <w:i w:val="0"/>
          <w:szCs w:val="20"/>
          <w:lang w:val="es-CO"/>
        </w:rPr>
        <w:t>“quien pretenda el ejercicio de aquel escrutinio deberá demostrar en forma nítida, inequívoca y concluyente, con flagrancia, un grave menoscabo a las reglas del debido proceso y a la garantía del debido proceso y a la garantía de defensa en juicio que, asimismo, exhiba relevancia bastante para variar la suerte de la causa en función de la directa e inmediata relación que debe tener la cuestión federal invocada con la materia del juicio”</w:t>
      </w:r>
      <w:r w:rsidR="005A5196" w:rsidRPr="00D51072">
        <w:rPr>
          <w:rStyle w:val="Refdenotaalpie"/>
          <w:i w:val="0"/>
          <w:lang w:val="es-CO"/>
        </w:rPr>
        <w:footnoteReference w:id="10"/>
      </w:r>
      <w:r w:rsidR="005A5196" w:rsidRPr="00D51072">
        <w:rPr>
          <w:rFonts w:cs="Calibri"/>
          <w:i w:val="0"/>
          <w:szCs w:val="20"/>
          <w:lang w:val="es-CO"/>
        </w:rPr>
        <w:t>.</w:t>
      </w:r>
    </w:p>
    <w:p w14:paraId="29341F5E" w14:textId="2F8ADE85" w:rsidR="00AF375F" w:rsidRPr="00D51072" w:rsidRDefault="00446BBA" w:rsidP="007C7635">
      <w:pPr>
        <w:pStyle w:val="Estilo1"/>
        <w:numPr>
          <w:ilvl w:val="0"/>
          <w:numId w:val="2"/>
        </w:numPr>
        <w:tabs>
          <w:tab w:val="left" w:pos="0"/>
          <w:tab w:val="left" w:pos="567"/>
          <w:tab w:val="left" w:pos="1134"/>
        </w:tabs>
        <w:spacing w:before="120"/>
        <w:ind w:left="0" w:right="-6" w:firstLine="0"/>
        <w:rPr>
          <w:rFonts w:cs="Calibri"/>
          <w:i w:val="0"/>
          <w:szCs w:val="20"/>
          <w:lang w:val="es-CO"/>
        </w:rPr>
      </w:pPr>
      <w:r>
        <w:rPr>
          <w:rFonts w:cs="Calibri"/>
          <w:i w:val="0"/>
          <w:szCs w:val="20"/>
          <w:lang w:val="es-CO"/>
        </w:rPr>
        <w:t>Sin perjuicio de lo anterior</w:t>
      </w:r>
      <w:r w:rsidR="004520F8" w:rsidRPr="00D51072">
        <w:rPr>
          <w:rFonts w:cs="Calibri"/>
          <w:i w:val="0"/>
          <w:szCs w:val="20"/>
          <w:lang w:val="es-CO"/>
        </w:rPr>
        <w:t xml:space="preserve">, este Tribunal observa que </w:t>
      </w:r>
      <w:r w:rsidR="00302395" w:rsidRPr="00D51072">
        <w:rPr>
          <w:rFonts w:cs="Calibri"/>
          <w:i w:val="0"/>
          <w:szCs w:val="20"/>
          <w:lang w:val="es-CO"/>
        </w:rPr>
        <w:t xml:space="preserve">en el presente caso, el Estado no explicó por qué motivo los recursos incoados resultaban manifiestamente mal fundados. Únicamente se remitió a lo señalado por la </w:t>
      </w:r>
      <w:r w:rsidR="003B491A" w:rsidRPr="00D51072">
        <w:rPr>
          <w:rFonts w:cs="Calibri"/>
          <w:i w:val="0"/>
          <w:szCs w:val="20"/>
          <w:lang w:val="es-CO"/>
        </w:rPr>
        <w:t>SCJBA</w:t>
      </w:r>
      <w:r w:rsidR="00302395" w:rsidRPr="00D51072">
        <w:rPr>
          <w:rFonts w:cs="Calibri"/>
          <w:i w:val="0"/>
          <w:szCs w:val="20"/>
          <w:lang w:val="es-CO"/>
        </w:rPr>
        <w:t xml:space="preserve"> y por la </w:t>
      </w:r>
      <w:r w:rsidR="00686572" w:rsidRPr="00D51072">
        <w:rPr>
          <w:rFonts w:cs="Calibri"/>
          <w:i w:val="0"/>
          <w:szCs w:val="20"/>
          <w:lang w:val="es-CO"/>
        </w:rPr>
        <w:t>CSJN</w:t>
      </w:r>
      <w:r w:rsidR="003B491A" w:rsidRPr="00D51072">
        <w:rPr>
          <w:rFonts w:cs="Calibri"/>
          <w:i w:val="0"/>
          <w:szCs w:val="20"/>
          <w:lang w:val="es-CO"/>
        </w:rPr>
        <w:t xml:space="preserve"> </w:t>
      </w:r>
      <w:r w:rsidR="00302395" w:rsidRPr="00D51072">
        <w:rPr>
          <w:rFonts w:cs="Calibri"/>
          <w:i w:val="0"/>
          <w:szCs w:val="20"/>
          <w:lang w:val="es-CO"/>
        </w:rPr>
        <w:t xml:space="preserve">indicando que </w:t>
      </w:r>
      <w:r w:rsidR="00E549CF" w:rsidRPr="00D51072">
        <w:rPr>
          <w:rFonts w:cs="Calibri"/>
          <w:i w:val="0"/>
          <w:szCs w:val="20"/>
          <w:lang w:val="es-CO"/>
        </w:rPr>
        <w:t>e</w:t>
      </w:r>
      <w:r w:rsidR="00302395" w:rsidRPr="00D51072">
        <w:rPr>
          <w:rFonts w:cs="Calibri"/>
          <w:i w:val="0"/>
          <w:szCs w:val="20"/>
          <w:lang w:val="es-CO"/>
        </w:rPr>
        <w:t xml:space="preserve">stas Cortes habían concluido que el recurso </w:t>
      </w:r>
      <w:r w:rsidR="006C3358" w:rsidRPr="00D51072">
        <w:rPr>
          <w:rFonts w:cs="Calibri"/>
          <w:i w:val="0"/>
          <w:szCs w:val="20"/>
          <w:lang w:val="es-CO"/>
        </w:rPr>
        <w:t>entablado</w:t>
      </w:r>
      <w:r w:rsidR="00302395" w:rsidRPr="00D51072">
        <w:rPr>
          <w:rFonts w:cs="Calibri"/>
          <w:i w:val="0"/>
          <w:szCs w:val="20"/>
          <w:lang w:val="es-CO"/>
        </w:rPr>
        <w:t xml:space="preserve"> resultaba inadmisible por no haberse acreditado o demostrado la existencia de un menoscabo a las reglas del debido proceso</w:t>
      </w:r>
      <w:r w:rsidR="000903BF" w:rsidRPr="00D51072">
        <w:rPr>
          <w:rFonts w:cs="Calibri"/>
          <w:i w:val="0"/>
          <w:szCs w:val="20"/>
          <w:lang w:val="es-CO"/>
        </w:rPr>
        <w:t>, de conformidad con su jurisprudencia</w:t>
      </w:r>
      <w:r w:rsidR="002D4027" w:rsidRPr="00D51072">
        <w:rPr>
          <w:rFonts w:cs="Calibri"/>
          <w:i w:val="0"/>
          <w:szCs w:val="20"/>
          <w:lang w:val="es-CO"/>
        </w:rPr>
        <w:t xml:space="preserve"> constante en la materia (</w:t>
      </w:r>
      <w:r w:rsidR="002D4027" w:rsidRPr="00D51072">
        <w:rPr>
          <w:rFonts w:cs="Calibri"/>
          <w:szCs w:val="20"/>
          <w:lang w:val="es-CO"/>
        </w:rPr>
        <w:t>supra</w:t>
      </w:r>
      <w:r w:rsidR="002D4027" w:rsidRPr="00D51072">
        <w:rPr>
          <w:rFonts w:cs="Calibri"/>
          <w:i w:val="0"/>
          <w:szCs w:val="20"/>
          <w:lang w:val="es-CO"/>
        </w:rPr>
        <w:t xml:space="preserve"> párr. </w:t>
      </w:r>
      <w:r w:rsidR="001F104C" w:rsidRPr="00D51072">
        <w:rPr>
          <w:rFonts w:cs="Calibri"/>
          <w:i w:val="0"/>
          <w:szCs w:val="20"/>
          <w:lang w:val="es-CO"/>
        </w:rPr>
        <w:t>13</w:t>
      </w:r>
      <w:r w:rsidR="002D4027" w:rsidRPr="00D51072">
        <w:rPr>
          <w:rFonts w:cs="Calibri"/>
          <w:i w:val="0"/>
          <w:szCs w:val="20"/>
          <w:lang w:val="es-CO"/>
        </w:rPr>
        <w:t>)</w:t>
      </w:r>
      <w:r w:rsidR="00302395" w:rsidRPr="00D51072">
        <w:rPr>
          <w:rFonts w:cs="Calibri"/>
          <w:i w:val="0"/>
          <w:szCs w:val="20"/>
          <w:lang w:val="es-CO"/>
        </w:rPr>
        <w:t>.</w:t>
      </w:r>
      <w:r w:rsidR="00A47178" w:rsidRPr="00D51072">
        <w:rPr>
          <w:rFonts w:cs="Calibri"/>
          <w:i w:val="0"/>
          <w:szCs w:val="20"/>
          <w:lang w:val="es-CO"/>
        </w:rPr>
        <w:t xml:space="preserve"> </w:t>
      </w:r>
    </w:p>
    <w:p w14:paraId="0BD3F284" w14:textId="7D875B7F" w:rsidR="007C7635" w:rsidRPr="00D51072" w:rsidRDefault="00DE2EA6" w:rsidP="007C7635">
      <w:pPr>
        <w:pStyle w:val="Estilo1"/>
        <w:numPr>
          <w:ilvl w:val="0"/>
          <w:numId w:val="2"/>
        </w:numPr>
        <w:tabs>
          <w:tab w:val="left" w:pos="0"/>
          <w:tab w:val="left" w:pos="567"/>
          <w:tab w:val="left" w:pos="1134"/>
        </w:tabs>
        <w:spacing w:before="120"/>
        <w:ind w:left="0" w:right="-6" w:firstLine="0"/>
        <w:rPr>
          <w:rFonts w:cs="Calibri"/>
          <w:i w:val="0"/>
          <w:szCs w:val="20"/>
          <w:lang w:val="es-CO"/>
        </w:rPr>
      </w:pPr>
      <w:r w:rsidRPr="00D51072">
        <w:rPr>
          <w:i w:val="0"/>
          <w:szCs w:val="20"/>
          <w:lang w:val="es-CO"/>
        </w:rPr>
        <w:t xml:space="preserve">En consecuencia, esta Corte coincide con la Comisión cuando señala </w:t>
      </w:r>
      <w:r w:rsidRPr="00D51072">
        <w:rPr>
          <w:i w:val="0"/>
          <w:lang w:val="es-CO"/>
        </w:rPr>
        <w:t xml:space="preserve">que un pronunciamiento sobre el argumento del Estado en cuanto </w:t>
      </w:r>
      <w:r w:rsidR="00247F6E" w:rsidRPr="00D51072">
        <w:rPr>
          <w:i w:val="0"/>
          <w:lang w:val="es-CO"/>
        </w:rPr>
        <w:t xml:space="preserve">a </w:t>
      </w:r>
      <w:r w:rsidRPr="00D51072">
        <w:rPr>
          <w:i w:val="0"/>
          <w:lang w:val="es-CO"/>
        </w:rPr>
        <w:t xml:space="preserve">la excepción preliminar, redundaría en responder a una </w:t>
      </w:r>
      <w:r w:rsidR="00247F6E" w:rsidRPr="00D51072">
        <w:rPr>
          <w:i w:val="0"/>
          <w:lang w:val="es-CO"/>
        </w:rPr>
        <w:t>de</w:t>
      </w:r>
      <w:r w:rsidRPr="00D51072">
        <w:rPr>
          <w:i w:val="0"/>
          <w:lang w:val="es-CO"/>
        </w:rPr>
        <w:t xml:space="preserve"> las cuestiones de fondo planteadas dentro del caso, por lo cual la objeción estatal no podría ser resuelta como una excepción preliminar pues requeriría el examen del fondo de esas cuestiones.</w:t>
      </w:r>
      <w:r w:rsidRPr="00D51072">
        <w:rPr>
          <w:i w:val="0"/>
          <w:szCs w:val="20"/>
          <w:lang w:val="es-CR"/>
        </w:rPr>
        <w:t xml:space="preserve"> En ese sentido, el Tribunal </w:t>
      </w:r>
      <w:r w:rsidR="0078591C" w:rsidRPr="00D51072">
        <w:rPr>
          <w:i w:val="0"/>
          <w:szCs w:val="20"/>
          <w:lang w:val="es-CR"/>
        </w:rPr>
        <w:t>desestima</w:t>
      </w:r>
      <w:r w:rsidRPr="00D51072">
        <w:rPr>
          <w:i w:val="0"/>
          <w:szCs w:val="20"/>
          <w:lang w:val="es-CR"/>
        </w:rPr>
        <w:t xml:space="preserve"> la excepción preliminar presentada por el Estado en lo que se refiere al requisito de admisibilidad del REF vinculado con la acreditación de la vulneración al debido proceso.</w:t>
      </w:r>
    </w:p>
    <w:p w14:paraId="46A3CF69" w14:textId="6B254B94" w:rsidR="00C615EF" w:rsidRPr="00635E92" w:rsidRDefault="0052740B" w:rsidP="00635E92">
      <w:pPr>
        <w:pStyle w:val="Estilo1"/>
        <w:numPr>
          <w:ilvl w:val="0"/>
          <w:numId w:val="2"/>
        </w:numPr>
        <w:tabs>
          <w:tab w:val="left" w:pos="0"/>
          <w:tab w:val="left" w:pos="567"/>
          <w:tab w:val="left" w:pos="1134"/>
        </w:tabs>
        <w:spacing w:before="120"/>
        <w:ind w:left="0" w:right="-6" w:firstLine="0"/>
        <w:rPr>
          <w:rFonts w:cs="Calibri"/>
          <w:i w:val="0"/>
          <w:szCs w:val="20"/>
          <w:lang w:val="es-CO"/>
        </w:rPr>
      </w:pPr>
      <w:r w:rsidRPr="00635E92">
        <w:rPr>
          <w:i w:val="0"/>
          <w:lang w:val="es-CR"/>
        </w:rPr>
        <w:t xml:space="preserve">Por otra parte, </w:t>
      </w:r>
      <w:r w:rsidR="00635E92" w:rsidRPr="00635E92">
        <w:rPr>
          <w:i w:val="0"/>
          <w:lang w:val="es-CR"/>
        </w:rPr>
        <w:t xml:space="preserve">este Tribunal constata, tal como lo hicieron notar la SCJBA y la </w:t>
      </w:r>
      <w:r w:rsidR="00635E92" w:rsidRPr="00635E92">
        <w:rPr>
          <w:rFonts w:cs="Calibri"/>
          <w:i w:val="0"/>
          <w:szCs w:val="20"/>
          <w:lang w:val="es-CO"/>
        </w:rPr>
        <w:t>CSJN</w:t>
      </w:r>
      <w:r w:rsidR="00635E92" w:rsidRPr="00635E92">
        <w:rPr>
          <w:i w:val="0"/>
          <w:lang w:val="es-CR"/>
        </w:rPr>
        <w:t xml:space="preserve">, que el señor Rico, no impugnó la constitucionalidad de la pena de inhabilitación que le fue impuesta y que se encuentra prevista en la Ley 8085 </w:t>
      </w:r>
      <w:r w:rsidR="00635E92" w:rsidRPr="00635E92">
        <w:rPr>
          <w:rFonts w:cs="Calibri"/>
          <w:i w:val="0"/>
          <w:szCs w:val="20"/>
          <w:lang w:val="es-CO"/>
        </w:rPr>
        <w:t>(</w:t>
      </w:r>
      <w:r w:rsidR="00635E92" w:rsidRPr="00635E92">
        <w:rPr>
          <w:rFonts w:cs="Calibri"/>
          <w:szCs w:val="20"/>
          <w:lang w:val="es-CO"/>
        </w:rPr>
        <w:t>infra</w:t>
      </w:r>
      <w:r w:rsidR="00635E92" w:rsidRPr="00635E92">
        <w:rPr>
          <w:rFonts w:cs="Calibri"/>
          <w:i w:val="0"/>
          <w:szCs w:val="20"/>
          <w:lang w:val="es-CO"/>
        </w:rPr>
        <w:t xml:space="preserve"> párr. 36) </w:t>
      </w:r>
      <w:r w:rsidR="00635E92" w:rsidRPr="00635E92">
        <w:rPr>
          <w:i w:val="0"/>
          <w:lang w:val="es-CR"/>
        </w:rPr>
        <w:t xml:space="preserve">cuando interpuso el REF, únicamente lo hizo cuando incoó el Recurso Extraordinario de Nulidad </w:t>
      </w:r>
      <w:r w:rsidR="00635E92" w:rsidRPr="00635E92">
        <w:rPr>
          <w:rFonts w:cs="Calibri"/>
          <w:i w:val="0"/>
          <w:szCs w:val="20"/>
          <w:lang w:val="es-CO"/>
        </w:rPr>
        <w:t>(</w:t>
      </w:r>
      <w:r w:rsidR="00635E92" w:rsidRPr="00635E92">
        <w:rPr>
          <w:rFonts w:cs="Calibri"/>
          <w:szCs w:val="20"/>
          <w:lang w:val="es-CO"/>
        </w:rPr>
        <w:t>infra</w:t>
      </w:r>
      <w:r w:rsidR="00635E92" w:rsidRPr="00635E92">
        <w:rPr>
          <w:rFonts w:cs="Calibri"/>
          <w:i w:val="0"/>
          <w:szCs w:val="20"/>
          <w:lang w:val="es-CO"/>
        </w:rPr>
        <w:t xml:space="preserve"> párr. 34).</w:t>
      </w:r>
      <w:r w:rsidRPr="00635E92">
        <w:rPr>
          <w:i w:val="0"/>
          <w:lang w:val="es-CR"/>
        </w:rPr>
        <w:t xml:space="preserve"> </w:t>
      </w:r>
      <w:r w:rsidR="00DE2EA6" w:rsidRPr="00635E92">
        <w:rPr>
          <w:i w:val="0"/>
          <w:lang w:val="es-CR"/>
        </w:rPr>
        <w:t>E</w:t>
      </w:r>
      <w:r w:rsidRPr="00635E92">
        <w:rPr>
          <w:i w:val="0"/>
          <w:lang w:val="es-CR"/>
        </w:rPr>
        <w:t xml:space="preserve">l recurso de </w:t>
      </w:r>
      <w:r w:rsidR="00247F6E" w:rsidRPr="00635E92">
        <w:rPr>
          <w:i w:val="0"/>
          <w:lang w:val="es-CR"/>
        </w:rPr>
        <w:t>nulidad</w:t>
      </w:r>
      <w:r w:rsidRPr="00635E92">
        <w:rPr>
          <w:i w:val="0"/>
          <w:lang w:val="es-CR"/>
        </w:rPr>
        <w:t xml:space="preserve"> que presentó en esa oportunidad se relacionó con la imposibilidad de </w:t>
      </w:r>
      <w:r w:rsidRPr="00635E92">
        <w:rPr>
          <w:i w:val="0"/>
          <w:lang w:val="es-CR"/>
        </w:rPr>
        <w:lastRenderedPageBreak/>
        <w:t xml:space="preserve">recurrir el fallo y no con la pena accesoria que le fue impuesta. En esa medida, tanto la </w:t>
      </w:r>
      <w:r w:rsidR="00686572" w:rsidRPr="00635E92">
        <w:rPr>
          <w:i w:val="0"/>
          <w:lang w:val="es-CR"/>
        </w:rPr>
        <w:t>SCJBA</w:t>
      </w:r>
      <w:r w:rsidRPr="00635E92">
        <w:rPr>
          <w:i w:val="0"/>
          <w:lang w:val="es-CR"/>
        </w:rPr>
        <w:t xml:space="preserve"> como la </w:t>
      </w:r>
      <w:r w:rsidR="00686572" w:rsidRPr="00635E92">
        <w:rPr>
          <w:rFonts w:cs="Calibri"/>
          <w:i w:val="0"/>
          <w:szCs w:val="20"/>
          <w:lang w:val="es-CO"/>
        </w:rPr>
        <w:t>CSJN</w:t>
      </w:r>
      <w:r w:rsidRPr="00635E92">
        <w:rPr>
          <w:i w:val="0"/>
          <w:lang w:val="es-CR"/>
        </w:rPr>
        <w:t xml:space="preserve"> indicaron que el </w:t>
      </w:r>
      <w:r w:rsidR="00DB726D" w:rsidRPr="00635E92">
        <w:rPr>
          <w:i w:val="0"/>
          <w:lang w:val="es-CR"/>
        </w:rPr>
        <w:t>REF</w:t>
      </w:r>
      <w:r w:rsidRPr="00635E92">
        <w:rPr>
          <w:i w:val="0"/>
          <w:lang w:val="es-CR"/>
        </w:rPr>
        <w:t xml:space="preserve"> resultaba improcedente en cuanto a la inconstitucionalidad que había sido alegada </w:t>
      </w:r>
      <w:r w:rsidR="00DE2EA6" w:rsidRPr="00635E92">
        <w:rPr>
          <w:i w:val="0"/>
          <w:lang w:val="es-CR"/>
        </w:rPr>
        <w:t xml:space="preserve">en ese segundo recurso, </w:t>
      </w:r>
      <w:r w:rsidR="00DB726D" w:rsidRPr="00635E92">
        <w:rPr>
          <w:i w:val="0"/>
          <w:lang w:val="es-CR"/>
        </w:rPr>
        <w:t>debido a que este alegato fue presentado de forma</w:t>
      </w:r>
      <w:r w:rsidR="00DE2EA6" w:rsidRPr="00635E92">
        <w:rPr>
          <w:i w:val="0"/>
          <w:lang w:val="es-CR"/>
        </w:rPr>
        <w:t xml:space="preserve"> extemporánea (</w:t>
      </w:r>
      <w:r w:rsidR="00C50E28" w:rsidRPr="00635E92">
        <w:rPr>
          <w:lang w:val="es-CR"/>
        </w:rPr>
        <w:t>infra</w:t>
      </w:r>
      <w:r w:rsidR="00DE2EA6" w:rsidRPr="00635E92">
        <w:rPr>
          <w:i w:val="0"/>
          <w:lang w:val="es-CR"/>
        </w:rPr>
        <w:t xml:space="preserve"> párr. </w:t>
      </w:r>
      <w:r w:rsidR="001F104C" w:rsidRPr="00635E92">
        <w:rPr>
          <w:i w:val="0"/>
          <w:lang w:val="es-CR"/>
        </w:rPr>
        <w:t>37</w:t>
      </w:r>
      <w:r w:rsidR="00DE2EA6" w:rsidRPr="00635E92">
        <w:rPr>
          <w:i w:val="0"/>
          <w:lang w:val="es-CR"/>
        </w:rPr>
        <w:t>). Por lo tanto, esta Corte encuentra que el alegato relacionado con la falta de agotamiento de los recursos internos</w:t>
      </w:r>
      <w:r w:rsidR="00AF375F" w:rsidRPr="00635E92">
        <w:rPr>
          <w:i w:val="0"/>
          <w:lang w:val="es-CR"/>
        </w:rPr>
        <w:t>,</w:t>
      </w:r>
      <w:r w:rsidR="00DE2EA6" w:rsidRPr="00635E92">
        <w:rPr>
          <w:i w:val="0"/>
          <w:lang w:val="es-CR"/>
        </w:rPr>
        <w:t xml:space="preserve"> resulta</w:t>
      </w:r>
      <w:r w:rsidR="00AF375F" w:rsidRPr="00635E92">
        <w:rPr>
          <w:i w:val="0"/>
          <w:lang w:val="es-CR"/>
        </w:rPr>
        <w:t xml:space="preserve"> admisible en este punto</w:t>
      </w:r>
      <w:r w:rsidR="00DE2EA6" w:rsidRPr="00635E92">
        <w:rPr>
          <w:i w:val="0"/>
          <w:lang w:val="es-CR"/>
        </w:rPr>
        <w:t xml:space="preserve">, puesto que el Estado nunca contó con la posibilidad de remediar efectivamente las violaciones alegadas sobre la irrecurribilidad del fallo </w:t>
      </w:r>
      <w:r w:rsidR="00AF375F" w:rsidRPr="00635E92">
        <w:rPr>
          <w:i w:val="0"/>
          <w:lang w:val="es-CR"/>
        </w:rPr>
        <w:t>o</w:t>
      </w:r>
      <w:r w:rsidR="00DE2EA6" w:rsidRPr="00635E92">
        <w:rPr>
          <w:i w:val="0"/>
          <w:lang w:val="es-CR"/>
        </w:rPr>
        <w:t xml:space="preserve"> sobre la pena accesoria que fue impuesta al señor Rico.</w:t>
      </w:r>
      <w:r w:rsidR="0078591C" w:rsidRPr="00635E92">
        <w:rPr>
          <w:i w:val="0"/>
          <w:lang w:val="es-CO"/>
        </w:rPr>
        <w:t xml:space="preserve"> Por todo lo anterior, </w:t>
      </w:r>
      <w:r w:rsidR="0078591C" w:rsidRPr="00635E92">
        <w:rPr>
          <w:i w:val="0"/>
          <w:szCs w:val="20"/>
          <w:lang w:val="es-CR"/>
        </w:rPr>
        <w:t xml:space="preserve">el Tribunal declara procedente la excepción preliminar presentada por el Estado en lo relativo al recurso de </w:t>
      </w:r>
      <w:r w:rsidR="00247F6E" w:rsidRPr="00635E92">
        <w:rPr>
          <w:i w:val="0"/>
          <w:szCs w:val="20"/>
          <w:lang w:val="es-CR"/>
        </w:rPr>
        <w:t xml:space="preserve">nulidad relacionado con la alegada </w:t>
      </w:r>
      <w:r w:rsidR="00486715" w:rsidRPr="00635E92">
        <w:rPr>
          <w:i w:val="0"/>
          <w:szCs w:val="20"/>
          <w:lang w:val="es-CR"/>
        </w:rPr>
        <w:t>inconstitucionalidad</w:t>
      </w:r>
      <w:r w:rsidR="00247F6E" w:rsidRPr="00635E92">
        <w:rPr>
          <w:i w:val="0"/>
          <w:szCs w:val="20"/>
          <w:lang w:val="es-CR"/>
        </w:rPr>
        <w:t xml:space="preserve"> de la Ley 8085</w:t>
      </w:r>
      <w:r w:rsidR="00C615EF" w:rsidRPr="00635E92">
        <w:rPr>
          <w:i w:val="0"/>
          <w:szCs w:val="20"/>
          <w:lang w:val="es-CR"/>
        </w:rPr>
        <w:t>.</w:t>
      </w:r>
    </w:p>
    <w:p w14:paraId="011CE071" w14:textId="070E26DC" w:rsidR="0049717E" w:rsidRPr="00D51072" w:rsidRDefault="00907543" w:rsidP="00057525">
      <w:pPr>
        <w:pStyle w:val="Ttulo1"/>
      </w:pPr>
      <w:bookmarkStart w:id="61" w:name="_Toc486693357"/>
      <w:bookmarkStart w:id="62" w:name="_Toc486842773"/>
      <w:bookmarkStart w:id="63" w:name="_Toc486842911"/>
      <w:bookmarkStart w:id="64" w:name="_Toc23414992"/>
      <w:r w:rsidRPr="00D51072">
        <w:t>V</w:t>
      </w:r>
      <w:r w:rsidRPr="00D51072">
        <w:rPr>
          <w:color w:val="FFFFFF" w:themeColor="background1"/>
        </w:rPr>
        <w:t>.</w:t>
      </w:r>
      <w:r w:rsidRPr="00D51072">
        <w:br/>
      </w:r>
      <w:r w:rsidR="0049717E" w:rsidRPr="00D51072">
        <w:t>PRUEBA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61"/>
      <w:bookmarkEnd w:id="62"/>
      <w:bookmarkEnd w:id="63"/>
      <w:bookmarkEnd w:id="64"/>
    </w:p>
    <w:p w14:paraId="6039824B" w14:textId="3D1CDAD6" w:rsidR="00086CBA" w:rsidRPr="00D51072" w:rsidRDefault="007B342C" w:rsidP="005A172F">
      <w:pPr>
        <w:pStyle w:val="Estilo1"/>
        <w:numPr>
          <w:ilvl w:val="0"/>
          <w:numId w:val="2"/>
        </w:numPr>
        <w:tabs>
          <w:tab w:val="left" w:pos="0"/>
          <w:tab w:val="left" w:pos="567"/>
          <w:tab w:val="left" w:pos="1134"/>
        </w:tabs>
        <w:spacing w:before="120"/>
        <w:ind w:left="0" w:right="-6" w:firstLine="0"/>
        <w:rPr>
          <w:i w:val="0"/>
        </w:rPr>
      </w:pPr>
      <w:r w:rsidRPr="00D51072">
        <w:rPr>
          <w:i w:val="0"/>
        </w:rPr>
        <w:t xml:space="preserve">El Tribunal </w:t>
      </w:r>
      <w:r w:rsidRPr="00D51072">
        <w:rPr>
          <w:i w:val="0"/>
          <w:szCs w:val="20"/>
          <w:lang w:val="es-ES"/>
        </w:rPr>
        <w:t>admite</w:t>
      </w:r>
      <w:r w:rsidRPr="00D51072">
        <w:rPr>
          <w:i w:val="0"/>
        </w:rPr>
        <w:t xml:space="preserve"> los documentos presentados en la debida oportunidad procesal por las </w:t>
      </w:r>
      <w:r w:rsidRPr="00D51072">
        <w:rPr>
          <w:i w:val="0"/>
          <w:lang w:val="es-CO"/>
        </w:rPr>
        <w:t>partes</w:t>
      </w:r>
      <w:r w:rsidRPr="00D51072">
        <w:rPr>
          <w:i w:val="0"/>
        </w:rPr>
        <w:t xml:space="preserve"> y la Comisión</w:t>
      </w:r>
      <w:r w:rsidR="003F1ABF" w:rsidRPr="00D51072">
        <w:rPr>
          <w:i w:val="0"/>
        </w:rPr>
        <w:t xml:space="preserve"> </w:t>
      </w:r>
      <w:r w:rsidR="003F1ABF" w:rsidRPr="00D51072">
        <w:rPr>
          <w:i w:val="0"/>
          <w:lang w:val="es-CR"/>
        </w:rPr>
        <w:t>(artículo 57 del Reglamento)</w:t>
      </w:r>
      <w:r w:rsidRPr="00D51072">
        <w:rPr>
          <w:i w:val="0"/>
        </w:rPr>
        <w:t>, cuya admisibilidad no fue controvertida ni objetada</w:t>
      </w:r>
      <w:r w:rsidR="003F1ABF" w:rsidRPr="00D51072">
        <w:rPr>
          <w:i w:val="0"/>
        </w:rPr>
        <w:t xml:space="preserve">, </w:t>
      </w:r>
      <w:r w:rsidR="003F1ABF" w:rsidRPr="00D51072">
        <w:rPr>
          <w:i w:val="0"/>
          <w:lang w:val="es-CR"/>
        </w:rPr>
        <w:t>ni cuya autenticidad fue puesta en duda</w:t>
      </w:r>
      <w:r w:rsidRPr="00D51072">
        <w:rPr>
          <w:rStyle w:val="Refdenotaalpie"/>
          <w:i w:val="0"/>
        </w:rPr>
        <w:footnoteReference w:id="11"/>
      </w:r>
      <w:r w:rsidRPr="00D51072">
        <w:rPr>
          <w:i w:val="0"/>
        </w:rPr>
        <w:t>. Asimismo, la Corte estima pertinente admitir las declaraciones rendidas en audiencia pública y ante fedatario público, en cuanto se ajusten al objeto definido por la Resolución que ordenó recibirlos y al objeto del presente caso</w:t>
      </w:r>
      <w:r w:rsidR="00FE708F" w:rsidRPr="00D51072">
        <w:rPr>
          <w:rStyle w:val="Refdenotaalpie"/>
          <w:i w:val="0"/>
        </w:rPr>
        <w:footnoteReference w:id="12"/>
      </w:r>
      <w:r w:rsidRPr="00D51072">
        <w:rPr>
          <w:i w:val="0"/>
        </w:rPr>
        <w:t>.</w:t>
      </w:r>
      <w:r w:rsidR="003F1ABF" w:rsidRPr="00D51072">
        <w:rPr>
          <w:i w:val="0"/>
        </w:rPr>
        <w:t xml:space="preserve"> </w:t>
      </w:r>
    </w:p>
    <w:p w14:paraId="19485416" w14:textId="20490DF5" w:rsidR="00086CBA" w:rsidRPr="00D51072" w:rsidRDefault="00086CBA" w:rsidP="005A172F">
      <w:pPr>
        <w:pStyle w:val="Estilo1"/>
        <w:numPr>
          <w:ilvl w:val="0"/>
          <w:numId w:val="2"/>
        </w:numPr>
        <w:tabs>
          <w:tab w:val="left" w:pos="0"/>
          <w:tab w:val="left" w:pos="567"/>
          <w:tab w:val="left" w:pos="1134"/>
        </w:tabs>
        <w:spacing w:before="120"/>
        <w:ind w:left="0" w:right="-6" w:firstLine="0"/>
        <w:rPr>
          <w:i w:val="0"/>
          <w:szCs w:val="20"/>
          <w:lang w:val="es-ES" w:eastAsia="es-ES"/>
        </w:rPr>
      </w:pPr>
      <w:r w:rsidRPr="00D51072">
        <w:rPr>
          <w:i w:val="0"/>
          <w:szCs w:val="20"/>
          <w:lang w:val="es-ES"/>
        </w:rPr>
        <w:t>Respecto a</w:t>
      </w:r>
      <w:r w:rsidRPr="00D51072">
        <w:rPr>
          <w:i w:val="0"/>
          <w:szCs w:val="20"/>
          <w:lang w:val="es-ES" w:eastAsia="es-ES"/>
        </w:rPr>
        <w:t xml:space="preserve"> la oportunidad procesal para la presentación de prueba documental, de conformidad con el artículo 57.2 del Reglamento, </w:t>
      </w:r>
      <w:r w:rsidR="00E549CF" w:rsidRPr="00D51072">
        <w:rPr>
          <w:i w:val="0"/>
          <w:szCs w:val="20"/>
          <w:lang w:val="es-ES" w:eastAsia="es-ES"/>
        </w:rPr>
        <w:t>e</w:t>
      </w:r>
      <w:r w:rsidRPr="00D51072">
        <w:rPr>
          <w:i w:val="0"/>
          <w:szCs w:val="20"/>
          <w:lang w:val="es-ES" w:eastAsia="es-ES"/>
        </w:rPr>
        <w:t xml:space="preserve">sta debe ser presentada, en general, junto con los escritos de sometimiento del caso, de solicitudes y argumentos o de contestación, según </w:t>
      </w:r>
      <w:r w:rsidRPr="00D51072">
        <w:rPr>
          <w:i w:val="0"/>
        </w:rPr>
        <w:t>corresponda</w:t>
      </w:r>
      <w:r w:rsidRPr="00D51072">
        <w:rPr>
          <w:i w:val="0"/>
          <w:szCs w:val="20"/>
          <w:lang w:val="es-ES" w:eastAsia="es-ES"/>
        </w:rPr>
        <w:t>. La Corte recuerda que no es admisible la prueba remitida fuera de las debidas oportunidades procesales, salvo en las excepciones establecidas en el referido artículo 57.2 del Reglamento, a saber, fuerza mayor, impedimento grave o si se tratare de un hecho ocurrido con posterioridad a los citados momentos procesales</w:t>
      </w:r>
      <w:r w:rsidRPr="00D51072">
        <w:rPr>
          <w:i w:val="0"/>
          <w:szCs w:val="20"/>
          <w:vertAlign w:val="superscript"/>
          <w:lang w:val="es-ES" w:eastAsia="es-ES"/>
        </w:rPr>
        <w:footnoteReference w:id="13"/>
      </w:r>
      <w:r w:rsidRPr="00D51072">
        <w:rPr>
          <w:i w:val="0"/>
          <w:szCs w:val="20"/>
          <w:lang w:val="es-ES" w:eastAsia="es-ES"/>
        </w:rPr>
        <w:t>.</w:t>
      </w:r>
      <w:r w:rsidR="009B5A96" w:rsidRPr="00D51072">
        <w:t xml:space="preserve"> </w:t>
      </w:r>
    </w:p>
    <w:p w14:paraId="04112BEC" w14:textId="272D26D6" w:rsidR="00DA2DDE" w:rsidRPr="00D51072" w:rsidRDefault="009A2AB9" w:rsidP="00C81ED2">
      <w:pPr>
        <w:pStyle w:val="Estilo1"/>
        <w:numPr>
          <w:ilvl w:val="0"/>
          <w:numId w:val="2"/>
        </w:numPr>
        <w:tabs>
          <w:tab w:val="left" w:pos="0"/>
          <w:tab w:val="left" w:pos="567"/>
          <w:tab w:val="left" w:pos="1134"/>
        </w:tabs>
        <w:spacing w:before="120"/>
        <w:ind w:left="0" w:right="-6" w:firstLine="0"/>
        <w:rPr>
          <w:i w:val="0"/>
        </w:rPr>
      </w:pPr>
      <w:r w:rsidRPr="00D51072">
        <w:rPr>
          <w:i w:val="0"/>
          <w:szCs w:val="20"/>
          <w:lang w:val="es-ES"/>
        </w:rPr>
        <w:t>De acuerdo con lo expresado, e</w:t>
      </w:r>
      <w:r w:rsidR="00DA2DDE" w:rsidRPr="00D51072">
        <w:rPr>
          <w:i w:val="0"/>
          <w:szCs w:val="20"/>
          <w:lang w:val="es-ES"/>
        </w:rPr>
        <w:t xml:space="preserve">n cuanto a los documentos que presentaron los representantes junto a sus alegatos </w:t>
      </w:r>
      <w:r w:rsidR="00DA2DDE" w:rsidRPr="00D51072">
        <w:rPr>
          <w:rFonts w:cs="Verdana"/>
          <w:i w:val="0"/>
          <w:szCs w:val="20"/>
          <w:lang w:val="es-ES"/>
        </w:rPr>
        <w:t>finales</w:t>
      </w:r>
      <w:r w:rsidR="00DA2DDE" w:rsidRPr="00D51072">
        <w:rPr>
          <w:rStyle w:val="Refdenotaalpie"/>
          <w:i w:val="0"/>
          <w:lang w:val="es-ES"/>
        </w:rPr>
        <w:footnoteReference w:id="14"/>
      </w:r>
      <w:r w:rsidR="00DA2DDE" w:rsidRPr="00D51072">
        <w:rPr>
          <w:rFonts w:cs="Verdana"/>
          <w:i w:val="0"/>
          <w:szCs w:val="20"/>
          <w:lang w:val="es-ES"/>
        </w:rPr>
        <w:t>, la Corte</w:t>
      </w:r>
      <w:r w:rsidRPr="00D51072">
        <w:rPr>
          <w:rFonts w:cs="Verdana"/>
          <w:i w:val="0"/>
          <w:szCs w:val="20"/>
          <w:lang w:val="es-ES"/>
        </w:rPr>
        <w:t xml:space="preserve"> aclara que únicamente se tomarán en cuenta aquellos documentos que se refieren </w:t>
      </w:r>
      <w:r w:rsidRPr="00D51072">
        <w:rPr>
          <w:i w:val="0"/>
        </w:rPr>
        <w:t xml:space="preserve">a los ingresos y cuotas que alegadamente dejaron de ser percibidas con posterioridad a la presentación del escrito de solicitudes y argumentos. </w:t>
      </w:r>
      <w:r w:rsidR="00DA2DDE" w:rsidRPr="00D51072">
        <w:rPr>
          <w:i w:val="0"/>
          <w:lang w:val="es-ES"/>
        </w:rPr>
        <w:t xml:space="preserve">En lo que </w:t>
      </w:r>
      <w:r w:rsidR="00DA2DDE" w:rsidRPr="00D51072">
        <w:rPr>
          <w:i w:val="0"/>
          <w:szCs w:val="20"/>
          <w:lang w:val="es-ES" w:eastAsia="es-ES"/>
        </w:rPr>
        <w:t>se</w:t>
      </w:r>
      <w:r w:rsidR="00DA2DDE" w:rsidRPr="00D51072">
        <w:rPr>
          <w:i w:val="0"/>
          <w:lang w:val="es-ES"/>
        </w:rPr>
        <w:t xml:space="preserve"> refiere a los documentos remitidos por los representantes sobre costas y gastos </w:t>
      </w:r>
      <w:r w:rsidR="00DA2DDE" w:rsidRPr="00D51072">
        <w:rPr>
          <w:i w:val="0"/>
        </w:rPr>
        <w:t>aportados</w:t>
      </w:r>
      <w:r w:rsidR="00DA2DDE" w:rsidRPr="00D51072">
        <w:rPr>
          <w:i w:val="0"/>
          <w:lang w:val="es-ES"/>
        </w:rPr>
        <w:t xml:space="preserve"> con los alegatos finales escritos, </w:t>
      </w:r>
      <w:r w:rsidR="00B7392F">
        <w:rPr>
          <w:i w:val="0"/>
        </w:rPr>
        <w:t>la Corte so</w:t>
      </w:r>
      <w:r w:rsidR="00DA2DDE" w:rsidRPr="00D51072">
        <w:rPr>
          <w:i w:val="0"/>
        </w:rPr>
        <w:t xml:space="preserve">lo considerará aquellos comprobantes que se refieran a las nuevas costas y gastos en que hayan incurrido con ocasión del procedimiento ante esta Corte, es decir, aquellos realizados con posterioridad a la </w:t>
      </w:r>
      <w:r w:rsidR="00DA2DDE" w:rsidRPr="00D51072">
        <w:rPr>
          <w:i w:val="0"/>
        </w:rPr>
        <w:lastRenderedPageBreak/>
        <w:t>presentación del escrito de solicitudes y argumentos, y tomará en cuenta las observaciones del Estado al respecto</w:t>
      </w:r>
      <w:r w:rsidRPr="00D51072">
        <w:rPr>
          <w:i w:val="0"/>
        </w:rPr>
        <w:t>, las cuales fueron solicitadas por la Presidencia</w:t>
      </w:r>
      <w:r w:rsidR="00DA2DDE" w:rsidRPr="00D51072">
        <w:rPr>
          <w:rStyle w:val="Refdenotaalpie"/>
          <w:i w:val="0"/>
        </w:rPr>
        <w:footnoteReference w:id="15"/>
      </w:r>
      <w:r w:rsidR="00DA2DDE" w:rsidRPr="00D51072">
        <w:rPr>
          <w:i w:val="0"/>
        </w:rPr>
        <w:t xml:space="preserve">. </w:t>
      </w:r>
    </w:p>
    <w:p w14:paraId="21CEA3ED" w14:textId="0C6A0635" w:rsidR="00DA2DDE" w:rsidRPr="00D51072" w:rsidRDefault="00DA2DDE" w:rsidP="00D15E25">
      <w:pPr>
        <w:pStyle w:val="Estilo1"/>
        <w:numPr>
          <w:ilvl w:val="0"/>
          <w:numId w:val="2"/>
        </w:numPr>
        <w:tabs>
          <w:tab w:val="left" w:pos="0"/>
          <w:tab w:val="left" w:pos="567"/>
          <w:tab w:val="left" w:pos="1134"/>
        </w:tabs>
        <w:spacing w:before="120"/>
        <w:ind w:left="0" w:right="-6" w:firstLine="0"/>
        <w:rPr>
          <w:i w:val="0"/>
        </w:rPr>
      </w:pPr>
      <w:r w:rsidRPr="00D51072">
        <w:rPr>
          <w:i w:val="0"/>
          <w:lang w:val="es-ES"/>
        </w:rPr>
        <w:t xml:space="preserve">Sobre los </w:t>
      </w:r>
      <w:r w:rsidRPr="00D51072">
        <w:rPr>
          <w:i w:val="0"/>
        </w:rPr>
        <w:t>documentos</w:t>
      </w:r>
      <w:r w:rsidRPr="00D51072">
        <w:rPr>
          <w:i w:val="0"/>
          <w:lang w:val="es-ES"/>
        </w:rPr>
        <w:t xml:space="preserve"> presentados por el Estado junto con sus alegatos finales</w:t>
      </w:r>
      <w:r w:rsidRPr="00D51072">
        <w:rPr>
          <w:rStyle w:val="Refdenotaalpie"/>
          <w:i w:val="0"/>
          <w:lang w:val="es-ES"/>
        </w:rPr>
        <w:footnoteReference w:id="16"/>
      </w:r>
      <w:r w:rsidRPr="00D51072">
        <w:rPr>
          <w:i w:val="0"/>
          <w:lang w:val="es-ES"/>
        </w:rPr>
        <w:t>, l</w:t>
      </w:r>
      <w:r w:rsidRPr="00D51072">
        <w:rPr>
          <w:i w:val="0"/>
          <w:szCs w:val="20"/>
          <w:lang w:val="es-ES"/>
        </w:rPr>
        <w:t xml:space="preserve">a Corte nota que </w:t>
      </w:r>
      <w:r w:rsidR="00D15E25" w:rsidRPr="00D51072">
        <w:rPr>
          <w:i w:val="0"/>
          <w:szCs w:val="20"/>
          <w:lang w:val="es-ES"/>
        </w:rPr>
        <w:t xml:space="preserve">tres de esos documentos fueron solicitados por esta Corte durante la audiencia pública del presente caso y que el documento “Acuerdo Gallo, Careaga, Maluf”, </w:t>
      </w:r>
      <w:r w:rsidR="00B7392F">
        <w:rPr>
          <w:i w:val="0"/>
          <w:szCs w:val="20"/>
          <w:lang w:val="es-ES"/>
        </w:rPr>
        <w:t>el mismo</w:t>
      </w:r>
      <w:r w:rsidR="00D15E25" w:rsidRPr="00D51072">
        <w:rPr>
          <w:i w:val="0"/>
          <w:szCs w:val="20"/>
          <w:lang w:val="es-ES"/>
        </w:rPr>
        <w:t xml:space="preserve"> fue referenciado por la Comisión también durante dicha audiencia</w:t>
      </w:r>
      <w:r w:rsidRPr="00D51072">
        <w:rPr>
          <w:i w:val="0"/>
          <w:szCs w:val="20"/>
        </w:rPr>
        <w:t>. En consecuencia</w:t>
      </w:r>
      <w:r w:rsidR="00B7392F">
        <w:rPr>
          <w:i w:val="0"/>
          <w:szCs w:val="20"/>
        </w:rPr>
        <w:t>,</w:t>
      </w:r>
      <w:r w:rsidRPr="00D51072">
        <w:rPr>
          <w:i w:val="0"/>
          <w:szCs w:val="20"/>
        </w:rPr>
        <w:t xml:space="preserve"> se admiten </w:t>
      </w:r>
      <w:r w:rsidR="00D15E25" w:rsidRPr="00D51072">
        <w:rPr>
          <w:i w:val="0"/>
          <w:szCs w:val="20"/>
        </w:rPr>
        <w:t>esos</w:t>
      </w:r>
      <w:r w:rsidRPr="00D51072">
        <w:rPr>
          <w:i w:val="0"/>
          <w:szCs w:val="20"/>
        </w:rPr>
        <w:t xml:space="preserve"> cuatro documentos</w:t>
      </w:r>
      <w:r w:rsidR="00D15E25" w:rsidRPr="00D51072">
        <w:rPr>
          <w:i w:val="0"/>
          <w:szCs w:val="20"/>
        </w:rPr>
        <w:t xml:space="preserve"> </w:t>
      </w:r>
      <w:r w:rsidR="00B7392F">
        <w:rPr>
          <w:i w:val="0"/>
          <w:szCs w:val="20"/>
        </w:rPr>
        <w:t>a</w:t>
      </w:r>
      <w:r w:rsidR="00D15E25" w:rsidRPr="00D51072">
        <w:rPr>
          <w:i w:val="0"/>
          <w:szCs w:val="20"/>
        </w:rPr>
        <w:t>nexos</w:t>
      </w:r>
      <w:r w:rsidRPr="00D51072">
        <w:rPr>
          <w:i w:val="0"/>
          <w:szCs w:val="20"/>
          <w:lang w:val="es-ES"/>
        </w:rPr>
        <w:t>.</w:t>
      </w:r>
    </w:p>
    <w:p w14:paraId="0957A323" w14:textId="437196AD" w:rsidR="0078010D" w:rsidRPr="00D51072" w:rsidRDefault="0078010D" w:rsidP="0078010D">
      <w:pPr>
        <w:pStyle w:val="Ttulo1"/>
      </w:pPr>
      <w:bookmarkStart w:id="65" w:name="_Toc438132279"/>
      <w:bookmarkStart w:id="66" w:name="_Toc442082546"/>
      <w:bookmarkStart w:id="67" w:name="_Toc486693364"/>
      <w:bookmarkStart w:id="68" w:name="_Toc486842780"/>
      <w:bookmarkStart w:id="69" w:name="_Toc486842918"/>
      <w:bookmarkStart w:id="70" w:name="_Toc23414993"/>
      <w:bookmarkStart w:id="71" w:name="_Toc438132294"/>
      <w:bookmarkStart w:id="72" w:name="_Toc442082547"/>
      <w:r w:rsidRPr="00D51072">
        <w:t>VI</w:t>
      </w:r>
      <w:r w:rsidRPr="00D51072">
        <w:rPr>
          <w:color w:val="FFFFFF" w:themeColor="background1"/>
        </w:rPr>
        <w:t>.</w:t>
      </w:r>
      <w:r w:rsidR="00C22EDA" w:rsidRPr="00D51072">
        <w:br/>
      </w:r>
      <w:r w:rsidRPr="00D51072">
        <w:t>HECHOS</w:t>
      </w:r>
      <w:bookmarkEnd w:id="65"/>
      <w:bookmarkEnd w:id="66"/>
      <w:bookmarkEnd w:id="67"/>
      <w:bookmarkEnd w:id="68"/>
      <w:bookmarkEnd w:id="69"/>
      <w:bookmarkEnd w:id="70"/>
    </w:p>
    <w:bookmarkEnd w:id="71"/>
    <w:bookmarkEnd w:id="72"/>
    <w:p w14:paraId="021A3B2D" w14:textId="0AA45114" w:rsidR="00BD53D7" w:rsidRPr="00D51072" w:rsidRDefault="004F72B5" w:rsidP="00C81ED2">
      <w:pPr>
        <w:pStyle w:val="Estilo1"/>
        <w:numPr>
          <w:ilvl w:val="0"/>
          <w:numId w:val="2"/>
        </w:numPr>
        <w:tabs>
          <w:tab w:val="left" w:pos="0"/>
          <w:tab w:val="left" w:pos="567"/>
          <w:tab w:val="left" w:pos="1134"/>
        </w:tabs>
        <w:spacing w:before="120"/>
        <w:ind w:left="0" w:right="-6" w:firstLine="0"/>
        <w:rPr>
          <w:i w:val="0"/>
          <w:szCs w:val="20"/>
          <w:lang w:val="es-CR"/>
        </w:rPr>
      </w:pPr>
      <w:r w:rsidRPr="00D51072">
        <w:rPr>
          <w:i w:val="0"/>
          <w:lang w:val="es-CR"/>
        </w:rPr>
        <w:t xml:space="preserve">Los hechos del presente caso se relacionan con </w:t>
      </w:r>
      <w:r w:rsidR="008C3137">
        <w:rPr>
          <w:i w:val="0"/>
          <w:lang w:val="es-CR"/>
        </w:rPr>
        <w:t>el proceso de destitución</w:t>
      </w:r>
      <w:r w:rsidRPr="00D51072">
        <w:rPr>
          <w:i w:val="0"/>
          <w:lang w:val="es-CR"/>
        </w:rPr>
        <w:t xml:space="preserve"> de Eduardo Rico como Juez del Tribunal de Trabajo Nº 6 del Departamento Judicial de San Isidro en Argentina, así como su inhabilitación para ocupar otro cargo en el Poder Judicial por haber incurrido en faltas disciplinarias. </w:t>
      </w:r>
      <w:r w:rsidR="003B26EF" w:rsidRPr="00D51072">
        <w:rPr>
          <w:i w:val="0"/>
          <w:szCs w:val="20"/>
          <w:lang w:val="es-MX"/>
        </w:rPr>
        <w:t xml:space="preserve">En este capítulo la Corte establecerá los hechos que se tendrán por probados en el presente </w:t>
      </w:r>
      <w:r w:rsidR="003B26EF" w:rsidRPr="00D51072">
        <w:rPr>
          <w:i w:val="0"/>
          <w:spacing w:val="-2"/>
          <w:szCs w:val="20"/>
        </w:rPr>
        <w:t>caso</w:t>
      </w:r>
      <w:r w:rsidR="003B26EF" w:rsidRPr="00D51072">
        <w:rPr>
          <w:i w:val="0"/>
          <w:szCs w:val="20"/>
          <w:lang w:val="es-MX"/>
        </w:rPr>
        <w:t xml:space="preserve">, con base en el acervo probatorio que ha sido admitido y según el marco fáctico </w:t>
      </w:r>
      <w:r w:rsidR="003B26EF" w:rsidRPr="00D51072">
        <w:rPr>
          <w:i w:val="0"/>
          <w:szCs w:val="20"/>
        </w:rPr>
        <w:t>establecido</w:t>
      </w:r>
      <w:r w:rsidR="003B26EF" w:rsidRPr="00D51072">
        <w:rPr>
          <w:i w:val="0"/>
          <w:szCs w:val="20"/>
          <w:lang w:val="es-MX"/>
        </w:rPr>
        <w:t xml:space="preserve"> </w:t>
      </w:r>
      <w:r w:rsidR="003B26EF" w:rsidRPr="00D51072">
        <w:rPr>
          <w:i w:val="0"/>
          <w:szCs w:val="20"/>
          <w:lang w:val="es-ES" w:eastAsia="es-ES"/>
        </w:rPr>
        <w:t>en el</w:t>
      </w:r>
      <w:r w:rsidR="003B26EF" w:rsidRPr="00D51072">
        <w:rPr>
          <w:i w:val="0"/>
          <w:szCs w:val="20"/>
          <w:lang w:val="es-MX"/>
        </w:rPr>
        <w:t xml:space="preserve"> Informe de Fondo</w:t>
      </w:r>
      <w:r w:rsidR="003B26EF" w:rsidRPr="00D51072">
        <w:rPr>
          <w:i w:val="0"/>
          <w:szCs w:val="20"/>
          <w:lang w:val="es-CR"/>
        </w:rPr>
        <w:t xml:space="preserve">. Además, se incluirán los hechos expuestos por </w:t>
      </w:r>
      <w:r w:rsidR="003B26EF" w:rsidRPr="00D51072">
        <w:rPr>
          <w:rFonts w:cs="Verdana"/>
          <w:i w:val="0"/>
          <w:szCs w:val="20"/>
          <w:lang w:val="es-CR"/>
        </w:rPr>
        <w:t xml:space="preserve">las partes </w:t>
      </w:r>
      <w:r w:rsidR="003B26EF" w:rsidRPr="00D51072">
        <w:rPr>
          <w:rFonts w:cs="Verdana"/>
          <w:i w:val="0"/>
          <w:szCs w:val="20"/>
        </w:rPr>
        <w:t>que</w:t>
      </w:r>
      <w:r w:rsidR="003B26EF" w:rsidRPr="00D51072">
        <w:rPr>
          <w:rFonts w:cs="Verdana"/>
          <w:i w:val="0"/>
          <w:szCs w:val="20"/>
          <w:lang w:val="es-CR"/>
        </w:rPr>
        <w:t xml:space="preserve"> permitan explicar, aclarar o desestimar ese marco fáctico</w:t>
      </w:r>
      <w:r w:rsidR="003B26EF" w:rsidRPr="00D51072">
        <w:rPr>
          <w:rStyle w:val="FootnoteAnchor"/>
          <w:rFonts w:cs="Verdana"/>
          <w:i w:val="0"/>
          <w:szCs w:val="20"/>
          <w:lang w:val="es-CR"/>
        </w:rPr>
        <w:footnoteReference w:id="17"/>
      </w:r>
      <w:r w:rsidR="003B26EF" w:rsidRPr="00D51072">
        <w:rPr>
          <w:i w:val="0"/>
          <w:szCs w:val="20"/>
          <w:lang w:val="es-CR"/>
        </w:rPr>
        <w:t xml:space="preserve">. A continuación, se expondrán los hechos del presente caso conforme </w:t>
      </w:r>
      <w:r w:rsidR="003B26EF" w:rsidRPr="00D51072">
        <w:rPr>
          <w:i w:val="0"/>
          <w:szCs w:val="20"/>
        </w:rPr>
        <w:t xml:space="preserve">al siguiente orden: a) </w:t>
      </w:r>
      <w:r w:rsidR="005F0015">
        <w:rPr>
          <w:i w:val="0"/>
          <w:szCs w:val="20"/>
        </w:rPr>
        <w:t>a</w:t>
      </w:r>
      <w:r w:rsidR="003B26EF" w:rsidRPr="00D51072">
        <w:rPr>
          <w:i w:val="0"/>
          <w:szCs w:val="20"/>
        </w:rPr>
        <w:t xml:space="preserve">ntecedentes; b) los hechos ocurridos en el proceso ante el Jurado de Enjuiciamiento Provincial, y c) los recursos interpuestos por </w:t>
      </w:r>
      <w:r w:rsidR="00825A38" w:rsidRPr="00D51072">
        <w:rPr>
          <w:i w:val="0"/>
          <w:szCs w:val="20"/>
        </w:rPr>
        <w:t>el señor Rico</w:t>
      </w:r>
      <w:r w:rsidR="003B26EF" w:rsidRPr="00D51072">
        <w:rPr>
          <w:i w:val="0"/>
          <w:szCs w:val="20"/>
        </w:rPr>
        <w:t>.</w:t>
      </w:r>
      <w:r w:rsidR="001E5F86" w:rsidRPr="00D51072">
        <w:rPr>
          <w:i w:val="0"/>
          <w:szCs w:val="20"/>
        </w:rPr>
        <w:t xml:space="preserve"> </w:t>
      </w:r>
    </w:p>
    <w:p w14:paraId="435CEF6F" w14:textId="5801561D" w:rsidR="00BD53D7" w:rsidRPr="00D51072" w:rsidRDefault="003B26EF" w:rsidP="00035C05">
      <w:pPr>
        <w:pStyle w:val="Prrafodelista"/>
        <w:numPr>
          <w:ilvl w:val="0"/>
          <w:numId w:val="11"/>
        </w:numPr>
        <w:tabs>
          <w:tab w:val="left" w:pos="567"/>
        </w:tabs>
        <w:autoSpaceDE w:val="0"/>
        <w:autoSpaceDN w:val="0"/>
        <w:adjustRightInd w:val="0"/>
        <w:spacing w:before="240" w:after="240"/>
        <w:contextualSpacing w:val="0"/>
        <w:outlineLvl w:val="1"/>
        <w:rPr>
          <w:b/>
          <w:i/>
          <w:szCs w:val="20"/>
        </w:rPr>
      </w:pPr>
      <w:bookmarkStart w:id="73" w:name="_Toc486693365"/>
      <w:bookmarkStart w:id="74" w:name="_Toc486842781"/>
      <w:bookmarkStart w:id="75" w:name="_Toc486842919"/>
      <w:bookmarkStart w:id="76" w:name="_Toc23414994"/>
      <w:r w:rsidRPr="00D51072">
        <w:rPr>
          <w:b/>
          <w:i/>
          <w:szCs w:val="20"/>
        </w:rPr>
        <w:t>A</w:t>
      </w:r>
      <w:r w:rsidR="00AC65B5" w:rsidRPr="00D51072">
        <w:rPr>
          <w:b/>
          <w:i/>
          <w:szCs w:val="20"/>
        </w:rPr>
        <w:t>ntecedentes</w:t>
      </w:r>
      <w:bookmarkEnd w:id="73"/>
      <w:bookmarkEnd w:id="74"/>
      <w:bookmarkEnd w:id="75"/>
      <w:bookmarkEnd w:id="76"/>
      <w:r w:rsidR="004C1C25" w:rsidRPr="00D51072">
        <w:rPr>
          <w:b/>
          <w:i/>
          <w:szCs w:val="20"/>
        </w:rPr>
        <w:t xml:space="preserve"> </w:t>
      </w:r>
    </w:p>
    <w:p w14:paraId="695FC706" w14:textId="746E8701" w:rsidR="00462422" w:rsidRPr="00D51072" w:rsidRDefault="00463292" w:rsidP="00F0740A">
      <w:pPr>
        <w:pStyle w:val="Estilo1"/>
        <w:numPr>
          <w:ilvl w:val="0"/>
          <w:numId w:val="2"/>
        </w:numPr>
        <w:tabs>
          <w:tab w:val="left" w:pos="0"/>
          <w:tab w:val="left" w:pos="567"/>
          <w:tab w:val="left" w:pos="1134"/>
        </w:tabs>
        <w:spacing w:before="120"/>
        <w:ind w:left="0" w:right="-6" w:firstLine="0"/>
        <w:rPr>
          <w:i w:val="0"/>
          <w:lang w:val="es-CR"/>
        </w:rPr>
      </w:pPr>
      <w:r w:rsidRPr="00D51072">
        <w:rPr>
          <w:i w:val="0"/>
          <w:lang w:val="es-CR"/>
        </w:rPr>
        <w:t>E</w:t>
      </w:r>
      <w:r w:rsidR="0048572D" w:rsidRPr="00D51072">
        <w:rPr>
          <w:i w:val="0"/>
          <w:lang w:val="es-CR"/>
        </w:rPr>
        <w:t>l señor Rico inició la carrera judicial en los años 1970 en el Poder Judicial de la Provincia de Buenos Aires, desempeñándose como juez. En agosto de 1976</w:t>
      </w:r>
      <w:r w:rsidR="00675987">
        <w:rPr>
          <w:i w:val="0"/>
          <w:lang w:val="es-CR"/>
        </w:rPr>
        <w:t>, a raíz de</w:t>
      </w:r>
      <w:r w:rsidR="0048572D" w:rsidRPr="00D51072">
        <w:rPr>
          <w:i w:val="0"/>
          <w:lang w:val="es-CR"/>
        </w:rPr>
        <w:t xml:space="preserve"> </w:t>
      </w:r>
      <w:r w:rsidR="00675987" w:rsidRPr="00D51072">
        <w:rPr>
          <w:i w:val="0"/>
          <w:lang w:val="es-CR"/>
        </w:rPr>
        <w:t>la suspensión de garantías constitucionales ocurrida como consecuencia del advenimiento del régimen militar en marzo de 1976</w:t>
      </w:r>
      <w:r w:rsidR="00675987">
        <w:rPr>
          <w:i w:val="0"/>
          <w:lang w:val="es-CR"/>
        </w:rPr>
        <w:t xml:space="preserve">, </w:t>
      </w:r>
      <w:r w:rsidR="0048572D" w:rsidRPr="00D51072">
        <w:rPr>
          <w:i w:val="0"/>
          <w:lang w:val="es-CR"/>
        </w:rPr>
        <w:t xml:space="preserve">se dispuso su cesantía. En 1996 fue reincorporado al Poder Judicial </w:t>
      </w:r>
      <w:r w:rsidR="00675987">
        <w:rPr>
          <w:i w:val="0"/>
          <w:lang w:val="es-CR"/>
        </w:rPr>
        <w:t>y fue</w:t>
      </w:r>
      <w:r w:rsidR="0048572D" w:rsidRPr="00D51072">
        <w:rPr>
          <w:i w:val="0"/>
          <w:lang w:val="es-CR"/>
        </w:rPr>
        <w:t xml:space="preserve"> designado juez del Tribunal de Trabajo N</w:t>
      </w:r>
      <w:r w:rsidR="0048572D" w:rsidRPr="00D51072">
        <w:rPr>
          <w:i w:val="0"/>
          <w:vertAlign w:val="superscript"/>
          <w:lang w:val="es-CR"/>
        </w:rPr>
        <w:t>o</w:t>
      </w:r>
      <w:r w:rsidR="0048572D" w:rsidRPr="00D51072">
        <w:rPr>
          <w:i w:val="0"/>
          <w:lang w:val="es-CR"/>
        </w:rPr>
        <w:t xml:space="preserve"> 6 del Departamento Judicial de San Isidro en la Provincia de Buenos Aires.</w:t>
      </w:r>
    </w:p>
    <w:p w14:paraId="18DDF7F3" w14:textId="43A5930C" w:rsidR="00463292" w:rsidRPr="00D51072" w:rsidRDefault="00271FE8" w:rsidP="00D53C52">
      <w:pPr>
        <w:pStyle w:val="Estilo1"/>
        <w:numPr>
          <w:ilvl w:val="0"/>
          <w:numId w:val="2"/>
        </w:numPr>
        <w:tabs>
          <w:tab w:val="left" w:pos="0"/>
          <w:tab w:val="left" w:pos="567"/>
          <w:tab w:val="left" w:pos="1134"/>
        </w:tabs>
        <w:spacing w:before="120"/>
        <w:ind w:left="0" w:right="-6" w:firstLine="0"/>
        <w:rPr>
          <w:i w:val="0"/>
          <w:lang w:val="es-CR"/>
        </w:rPr>
      </w:pPr>
      <w:r w:rsidRPr="00D51072">
        <w:rPr>
          <w:i w:val="0"/>
          <w:lang w:val="es-CR"/>
        </w:rPr>
        <w:t xml:space="preserve">En </w:t>
      </w:r>
      <w:r w:rsidR="00463292" w:rsidRPr="00D51072">
        <w:rPr>
          <w:i w:val="0"/>
          <w:lang w:val="es-CR"/>
        </w:rPr>
        <w:t xml:space="preserve">1999 </w:t>
      </w:r>
      <w:r w:rsidR="0092728B">
        <w:rPr>
          <w:i w:val="0"/>
          <w:lang w:val="es-CR"/>
        </w:rPr>
        <w:t>se</w:t>
      </w:r>
      <w:r w:rsidR="00463292" w:rsidRPr="00D51072">
        <w:rPr>
          <w:i w:val="0"/>
          <w:lang w:val="es-CR"/>
        </w:rPr>
        <w:t xml:space="preserve"> presentó una denuncia en contra de la presunta víctima ante el Consejo de la Magistratura</w:t>
      </w:r>
      <w:r w:rsidR="00675987">
        <w:rPr>
          <w:i w:val="0"/>
          <w:lang w:val="es-CR"/>
        </w:rPr>
        <w:t>, y c</w:t>
      </w:r>
      <w:r w:rsidR="00463292" w:rsidRPr="00D51072">
        <w:rPr>
          <w:i w:val="0"/>
          <w:lang w:val="es-CR"/>
        </w:rPr>
        <w:t>omo consecuencia</w:t>
      </w:r>
      <w:r w:rsidRPr="00D51072">
        <w:rPr>
          <w:i w:val="0"/>
          <w:lang w:val="es-CR"/>
        </w:rPr>
        <w:t xml:space="preserve"> de ello</w:t>
      </w:r>
      <w:r w:rsidR="00463292" w:rsidRPr="00D51072">
        <w:rPr>
          <w:i w:val="0"/>
          <w:lang w:val="es-CR"/>
        </w:rPr>
        <w:t>, fue sometido a un proceso ante un Jurado de Enjuiciamiento Provincial de Magistrados y Funcionarios</w:t>
      </w:r>
      <w:r w:rsidR="00675987">
        <w:rPr>
          <w:i w:val="0"/>
          <w:lang w:val="es-CR"/>
        </w:rPr>
        <w:t>,</w:t>
      </w:r>
      <w:r w:rsidR="00463292" w:rsidRPr="00D51072">
        <w:rPr>
          <w:i w:val="0"/>
          <w:lang w:val="es-CR"/>
        </w:rPr>
        <w:t xml:space="preserve"> </w:t>
      </w:r>
      <w:r w:rsidR="00D53C52" w:rsidRPr="00D51072">
        <w:rPr>
          <w:i w:val="0"/>
          <w:lang w:val="es-CR"/>
        </w:rPr>
        <w:t xml:space="preserve">el cual se tramitó de conformidad con lo establecido </w:t>
      </w:r>
      <w:r w:rsidR="0079769B">
        <w:rPr>
          <w:i w:val="0"/>
          <w:lang w:val="es-CR"/>
        </w:rPr>
        <w:t>en</w:t>
      </w:r>
      <w:r w:rsidR="00D53C52" w:rsidRPr="00D51072">
        <w:rPr>
          <w:i w:val="0"/>
          <w:lang w:val="es-CR"/>
        </w:rPr>
        <w:t xml:space="preserve"> los articulo 182 a 188 de la Constitución de la Provincia de Buenos Aires y de acuerdo con las normas de procedimiento para el enjuiciamiento de magistrados previstas en la </w:t>
      </w:r>
      <w:r w:rsidR="00B90066" w:rsidRPr="00D51072">
        <w:rPr>
          <w:i w:val="0"/>
          <w:lang w:val="es-CR"/>
        </w:rPr>
        <w:t>L</w:t>
      </w:r>
      <w:r w:rsidR="00D53C52" w:rsidRPr="00D51072">
        <w:rPr>
          <w:i w:val="0"/>
          <w:lang w:val="es-CR"/>
        </w:rPr>
        <w:t>ey 8085.</w:t>
      </w:r>
    </w:p>
    <w:p w14:paraId="783EB10F" w14:textId="3E04452D" w:rsidR="00BD53D7" w:rsidRPr="00D51072" w:rsidRDefault="003224E7" w:rsidP="003224E7">
      <w:pPr>
        <w:pStyle w:val="Prrafodelista"/>
        <w:numPr>
          <w:ilvl w:val="0"/>
          <w:numId w:val="11"/>
        </w:numPr>
        <w:tabs>
          <w:tab w:val="left" w:pos="567"/>
        </w:tabs>
        <w:autoSpaceDE w:val="0"/>
        <w:autoSpaceDN w:val="0"/>
        <w:adjustRightInd w:val="0"/>
        <w:spacing w:before="240" w:after="240"/>
        <w:contextualSpacing w:val="0"/>
        <w:outlineLvl w:val="1"/>
        <w:rPr>
          <w:b/>
          <w:i/>
          <w:szCs w:val="20"/>
        </w:rPr>
      </w:pPr>
      <w:bookmarkStart w:id="77" w:name="_Toc23414995"/>
      <w:r w:rsidRPr="00D51072">
        <w:rPr>
          <w:b/>
          <w:i/>
          <w:szCs w:val="20"/>
        </w:rPr>
        <w:t>Los hechos ocurridos en el proceso ante el Jurado de Enjuiciamiento Provincial</w:t>
      </w:r>
      <w:bookmarkEnd w:id="77"/>
      <w:r w:rsidRPr="00D51072">
        <w:rPr>
          <w:b/>
          <w:i/>
          <w:szCs w:val="20"/>
        </w:rPr>
        <w:t xml:space="preserve"> </w:t>
      </w:r>
    </w:p>
    <w:p w14:paraId="6C9DC422" w14:textId="36F4EEC3" w:rsidR="0031133A" w:rsidRPr="00D51072" w:rsidRDefault="00D53C52" w:rsidP="0031133A">
      <w:pPr>
        <w:pStyle w:val="Estilo1"/>
        <w:numPr>
          <w:ilvl w:val="0"/>
          <w:numId w:val="2"/>
        </w:numPr>
        <w:tabs>
          <w:tab w:val="left" w:pos="0"/>
          <w:tab w:val="left" w:pos="567"/>
          <w:tab w:val="left" w:pos="1134"/>
        </w:tabs>
        <w:spacing w:before="120"/>
        <w:ind w:left="0" w:right="-6" w:firstLine="0"/>
        <w:rPr>
          <w:rFonts w:cs="Times New Roman"/>
          <w:i w:val="0"/>
          <w:szCs w:val="20"/>
          <w:lang w:val="es-AR"/>
        </w:rPr>
      </w:pPr>
      <w:bookmarkStart w:id="78" w:name="_Toc486693371"/>
      <w:bookmarkStart w:id="79" w:name="_Toc486842787"/>
      <w:bookmarkStart w:id="80" w:name="_Toc486842925"/>
      <w:r w:rsidRPr="00D51072">
        <w:rPr>
          <w:rFonts w:cs="Times New Roman"/>
          <w:i w:val="0"/>
          <w:szCs w:val="20"/>
          <w:lang w:val="es-AR"/>
        </w:rPr>
        <w:lastRenderedPageBreak/>
        <w:t>A</w:t>
      </w:r>
      <w:r w:rsidR="00413B5F" w:rsidRPr="00D51072">
        <w:rPr>
          <w:rFonts w:cs="Times New Roman"/>
          <w:i w:val="0"/>
          <w:szCs w:val="20"/>
          <w:lang w:val="es-AR"/>
        </w:rPr>
        <w:t>l momento de los hechos</w:t>
      </w:r>
      <w:r w:rsidRPr="00D51072">
        <w:rPr>
          <w:rFonts w:cs="Times New Roman"/>
          <w:i w:val="0"/>
          <w:szCs w:val="20"/>
          <w:lang w:val="es-AR"/>
        </w:rPr>
        <w:t xml:space="preserve"> del presente caso</w:t>
      </w:r>
      <w:r w:rsidR="00413B5F" w:rsidRPr="00D51072">
        <w:rPr>
          <w:rFonts w:cs="Times New Roman"/>
          <w:i w:val="0"/>
          <w:szCs w:val="20"/>
          <w:lang w:val="es-AR"/>
        </w:rPr>
        <w:t xml:space="preserve"> el proceso sancionatorio se encontraba regulado</w:t>
      </w:r>
      <w:r w:rsidR="00413B5F" w:rsidRPr="00D51072">
        <w:rPr>
          <w:rStyle w:val="Refdenotaalpie"/>
          <w:i w:val="0"/>
          <w:lang w:val="es-AR"/>
        </w:rPr>
        <w:footnoteReference w:id="18"/>
      </w:r>
      <w:r w:rsidR="00EA0A58" w:rsidRPr="00D51072">
        <w:rPr>
          <w:rFonts w:cs="Times New Roman"/>
          <w:i w:val="0"/>
          <w:szCs w:val="20"/>
          <w:lang w:val="es-AR"/>
        </w:rPr>
        <w:t xml:space="preserve"> por la</w:t>
      </w:r>
      <w:r w:rsidR="00413B5F" w:rsidRPr="00D51072">
        <w:rPr>
          <w:rFonts w:cs="Times New Roman"/>
          <w:i w:val="0"/>
          <w:szCs w:val="20"/>
          <w:lang w:val="es-AR"/>
        </w:rPr>
        <w:t xml:space="preserve"> Constitución de la Provincia de Buenos Aires</w:t>
      </w:r>
      <w:r w:rsidR="00413B5F" w:rsidRPr="00D51072">
        <w:rPr>
          <w:rStyle w:val="Refdenotaalpie"/>
          <w:i w:val="0"/>
          <w:lang w:val="es-AR"/>
        </w:rPr>
        <w:footnoteReference w:id="19"/>
      </w:r>
      <w:r w:rsidR="00413B5F" w:rsidRPr="00D51072">
        <w:rPr>
          <w:rFonts w:cs="Times New Roman"/>
          <w:i w:val="0"/>
          <w:szCs w:val="20"/>
          <w:lang w:val="es-AR"/>
        </w:rPr>
        <w:t xml:space="preserve"> y en la Ley 8085 Normas de Procedimiento para el enjuiciamiento de Magistrados</w:t>
      </w:r>
      <w:r w:rsidR="00413B5F" w:rsidRPr="00D51072">
        <w:rPr>
          <w:rStyle w:val="Refdenotaalpie"/>
          <w:i w:val="0"/>
          <w:lang w:val="es-AR"/>
        </w:rPr>
        <w:footnoteReference w:id="20"/>
      </w:r>
      <w:r w:rsidR="00413B5F" w:rsidRPr="00D51072">
        <w:rPr>
          <w:rFonts w:cs="Times New Roman"/>
          <w:i w:val="0"/>
          <w:szCs w:val="20"/>
          <w:lang w:val="es-AR"/>
        </w:rPr>
        <w:t xml:space="preserve"> (en adelante “Ley 8085”).</w:t>
      </w:r>
      <w:r w:rsidR="0031133A" w:rsidRPr="00D51072">
        <w:rPr>
          <w:rFonts w:cs="Times New Roman"/>
          <w:i w:val="0"/>
          <w:szCs w:val="20"/>
          <w:lang w:val="es-AR"/>
        </w:rPr>
        <w:tab/>
      </w:r>
    </w:p>
    <w:bookmarkEnd w:id="78"/>
    <w:bookmarkEnd w:id="79"/>
    <w:bookmarkEnd w:id="80"/>
    <w:p w14:paraId="6D83332C" w14:textId="11406841" w:rsidR="00E755ED" w:rsidRPr="00D51072" w:rsidRDefault="00E755ED" w:rsidP="005911B1">
      <w:pPr>
        <w:pStyle w:val="Estilo1"/>
        <w:keepNext/>
        <w:keepLines/>
        <w:numPr>
          <w:ilvl w:val="0"/>
          <w:numId w:val="2"/>
        </w:numPr>
        <w:tabs>
          <w:tab w:val="left" w:pos="0"/>
          <w:tab w:val="left" w:pos="567"/>
          <w:tab w:val="left" w:pos="1134"/>
        </w:tabs>
        <w:spacing w:before="120"/>
        <w:ind w:left="0" w:right="-6" w:firstLine="0"/>
        <w:rPr>
          <w:rFonts w:cs="Times New Roman"/>
          <w:i w:val="0"/>
          <w:szCs w:val="20"/>
          <w:lang w:val="es-AR"/>
        </w:rPr>
      </w:pPr>
      <w:r w:rsidRPr="00D51072">
        <w:rPr>
          <w:rFonts w:cs="Times New Roman"/>
          <w:i w:val="0"/>
          <w:szCs w:val="20"/>
          <w:lang w:val="es-VE"/>
        </w:rPr>
        <w:lastRenderedPageBreak/>
        <w:t xml:space="preserve">El 1 de junio de 1999 el Colegio de Abogados de San Isidro presentó una denuncia en contra de la </w:t>
      </w:r>
      <w:r w:rsidRPr="00D51072">
        <w:rPr>
          <w:rFonts w:cs="Times New Roman"/>
          <w:i w:val="0"/>
          <w:szCs w:val="20"/>
          <w:lang w:val="es-CR"/>
        </w:rPr>
        <w:t>presunta</w:t>
      </w:r>
      <w:r w:rsidRPr="00D51072">
        <w:rPr>
          <w:rFonts w:cs="Times New Roman"/>
          <w:i w:val="0"/>
          <w:szCs w:val="20"/>
          <w:lang w:val="es-VE"/>
        </w:rPr>
        <w:t xml:space="preserve"> víctima ante el Consejo de la Magistratura por la comisión de faltas contempladas en los incisos a, e, f, g, j, k y l del artículo 21 de la Ley 8085.</w:t>
      </w:r>
    </w:p>
    <w:p w14:paraId="5AD78A46" w14:textId="2AE26B09" w:rsidR="00E755ED" w:rsidRPr="00D51072" w:rsidRDefault="00E755ED" w:rsidP="005911B1">
      <w:pPr>
        <w:pStyle w:val="Estilo1"/>
        <w:keepNext/>
        <w:keepLines/>
        <w:numPr>
          <w:ilvl w:val="0"/>
          <w:numId w:val="2"/>
        </w:numPr>
        <w:tabs>
          <w:tab w:val="left" w:pos="0"/>
          <w:tab w:val="left" w:pos="567"/>
          <w:tab w:val="left" w:pos="1134"/>
        </w:tabs>
        <w:spacing w:before="120"/>
        <w:ind w:left="0" w:right="-6" w:firstLine="0"/>
        <w:rPr>
          <w:rFonts w:cs="Times New Roman"/>
          <w:i w:val="0"/>
          <w:szCs w:val="20"/>
          <w:lang w:val="es-AR"/>
        </w:rPr>
      </w:pPr>
      <w:r w:rsidRPr="00D51072">
        <w:rPr>
          <w:rFonts w:cs="Times New Roman"/>
          <w:i w:val="0"/>
          <w:szCs w:val="20"/>
          <w:lang w:val="es-VE"/>
        </w:rPr>
        <w:t xml:space="preserve">En virtud de la denuncia recibida, el 5 de octubre de 1999 quedó conformado el Jurado </w:t>
      </w:r>
      <w:r w:rsidR="00271FE8" w:rsidRPr="00D51072">
        <w:rPr>
          <w:rFonts w:cs="Times New Roman"/>
          <w:i w:val="0"/>
          <w:szCs w:val="20"/>
          <w:lang w:val="es-VE"/>
        </w:rPr>
        <w:t>de Enjuiciamiento que se encargó</w:t>
      </w:r>
      <w:r w:rsidRPr="00D51072">
        <w:rPr>
          <w:rFonts w:cs="Times New Roman"/>
          <w:i w:val="0"/>
          <w:szCs w:val="20"/>
          <w:lang w:val="es-VE"/>
        </w:rPr>
        <w:t xml:space="preserve"> de juzgar al señor Rico</w:t>
      </w:r>
      <w:r w:rsidRPr="00D51072">
        <w:rPr>
          <w:rStyle w:val="Refdenotaalpie"/>
          <w:i w:val="0"/>
          <w:lang w:val="es-VE"/>
        </w:rPr>
        <w:footnoteReference w:id="21"/>
      </w:r>
      <w:r w:rsidRPr="00D51072">
        <w:rPr>
          <w:rFonts w:cs="Times New Roman"/>
          <w:i w:val="0"/>
          <w:szCs w:val="20"/>
          <w:lang w:val="es-VE"/>
        </w:rPr>
        <w:t>. Dicho Jurado, prorrogó por 15 días el plazo del procedimiento previsto en el artículo 28 de la Ley de Enjuiciamiento. Además, admitió la totalidad de la prueba testimonial e informativa ofrecida por la parte acusadora y respecto a la prueba ofrecida por la presunta víctima, la admitió parcialmente</w:t>
      </w:r>
      <w:r w:rsidR="00684804" w:rsidRPr="00D51072">
        <w:rPr>
          <w:rStyle w:val="Refdenotaalpie"/>
          <w:i w:val="0"/>
          <w:lang w:val="es-VE"/>
        </w:rPr>
        <w:footnoteReference w:id="22"/>
      </w:r>
      <w:r w:rsidRPr="00D51072">
        <w:rPr>
          <w:rFonts w:cs="Times New Roman"/>
          <w:i w:val="0"/>
          <w:szCs w:val="20"/>
          <w:lang w:val="es-VE"/>
        </w:rPr>
        <w:t xml:space="preserve">. El señor Rico </w:t>
      </w:r>
      <w:r w:rsidRPr="00D51072">
        <w:rPr>
          <w:rFonts w:cs="Times New Roman"/>
          <w:i w:val="0"/>
          <w:szCs w:val="20"/>
          <w:lang w:val="es-CR"/>
        </w:rPr>
        <w:t xml:space="preserve">planteó un recurso de nulidad en contra de la decisión que denegó </w:t>
      </w:r>
      <w:r w:rsidR="008162D9" w:rsidRPr="00D51072">
        <w:rPr>
          <w:rFonts w:cs="Times New Roman"/>
          <w:i w:val="0"/>
          <w:szCs w:val="20"/>
          <w:lang w:val="es-CR"/>
        </w:rPr>
        <w:t>parcialmente la</w:t>
      </w:r>
      <w:r w:rsidRPr="00D51072">
        <w:rPr>
          <w:rFonts w:cs="Times New Roman"/>
          <w:i w:val="0"/>
          <w:szCs w:val="20"/>
          <w:lang w:val="es-CR"/>
        </w:rPr>
        <w:t xml:space="preserve"> prueba ofrecida, argumentando una serie de violaciones al debido proceso. Ante tal reclamo, </w:t>
      </w:r>
      <w:r w:rsidRPr="00D51072">
        <w:rPr>
          <w:rFonts w:cs="Times New Roman"/>
          <w:i w:val="0"/>
          <w:szCs w:val="20"/>
          <w:lang w:val="es-VE"/>
        </w:rPr>
        <w:t>el 1 de junio de 2000 el Jurado de Enjuiciamiento resolvió desestimar las nulidades articuladas por la parte acusada y continuar con el proceso</w:t>
      </w:r>
      <w:r w:rsidR="008B132E" w:rsidRPr="00D51072">
        <w:rPr>
          <w:rStyle w:val="Refdenotaalpie"/>
          <w:i w:val="0"/>
          <w:lang w:val="es-VE"/>
        </w:rPr>
        <w:footnoteReference w:id="23"/>
      </w:r>
      <w:r w:rsidRPr="00D51072">
        <w:rPr>
          <w:rFonts w:cs="Times New Roman"/>
          <w:i w:val="0"/>
          <w:szCs w:val="20"/>
          <w:lang w:val="es-VE"/>
        </w:rPr>
        <w:t xml:space="preserve">. </w:t>
      </w:r>
    </w:p>
    <w:p w14:paraId="5181AF09" w14:textId="78950039" w:rsidR="00E755ED" w:rsidRPr="00D51072" w:rsidRDefault="00E755ED" w:rsidP="005911B1">
      <w:pPr>
        <w:pStyle w:val="Estilo1"/>
        <w:keepNext/>
        <w:keepLines/>
        <w:numPr>
          <w:ilvl w:val="0"/>
          <w:numId w:val="2"/>
        </w:numPr>
        <w:tabs>
          <w:tab w:val="left" w:pos="0"/>
          <w:tab w:val="left" w:pos="567"/>
          <w:tab w:val="left" w:pos="1134"/>
        </w:tabs>
        <w:spacing w:before="120"/>
        <w:ind w:left="0" w:right="-6" w:firstLine="0"/>
        <w:rPr>
          <w:rFonts w:cs="Times New Roman"/>
          <w:i w:val="0"/>
          <w:szCs w:val="20"/>
          <w:lang w:val="es-CR"/>
        </w:rPr>
      </w:pPr>
      <w:r w:rsidRPr="00D51072">
        <w:rPr>
          <w:rFonts w:cs="Times New Roman"/>
          <w:i w:val="0"/>
          <w:szCs w:val="20"/>
          <w:lang w:val="es-VE"/>
        </w:rPr>
        <w:t xml:space="preserve">Posteriormente, el 15 de junio de 2000, el Jurado de Enjuiciamiento resolvió destituir a la presunta víctima e inhabilitarlo para ocupar otro cargo judicial al considerar que había incurrido en diversas infracciones a la Ley </w:t>
      </w:r>
      <w:r w:rsidRPr="00D51072">
        <w:rPr>
          <w:rFonts w:cs="Times New Roman"/>
          <w:i w:val="0"/>
          <w:szCs w:val="20"/>
          <w:lang w:val="es-CR"/>
        </w:rPr>
        <w:t>8085.</w:t>
      </w:r>
      <w:r w:rsidR="001C6842">
        <w:rPr>
          <w:rFonts w:cs="Times New Roman"/>
          <w:i w:val="0"/>
          <w:szCs w:val="20"/>
          <w:lang w:val="es-CR"/>
        </w:rPr>
        <w:t xml:space="preserve"> </w:t>
      </w:r>
      <w:r w:rsidR="00C41AD1" w:rsidRPr="00D51072">
        <w:rPr>
          <w:rFonts w:cs="Times New Roman"/>
          <w:i w:val="0"/>
          <w:szCs w:val="20"/>
          <w:lang w:val="es-CR"/>
        </w:rPr>
        <w:t>El contenido de la sentencia indica</w:t>
      </w:r>
      <w:r w:rsidRPr="00D51072">
        <w:rPr>
          <w:rFonts w:cs="Times New Roman"/>
          <w:i w:val="0"/>
          <w:szCs w:val="20"/>
          <w:lang w:val="es-CR"/>
        </w:rPr>
        <w:t xml:space="preserve"> </w:t>
      </w:r>
      <w:r w:rsidR="000515B9" w:rsidRPr="00D51072">
        <w:rPr>
          <w:rFonts w:cs="Times New Roman"/>
          <w:i w:val="0"/>
          <w:szCs w:val="20"/>
          <w:lang w:val="es-CR"/>
        </w:rPr>
        <w:t xml:space="preserve">que el </w:t>
      </w:r>
      <w:r w:rsidRPr="00D51072">
        <w:rPr>
          <w:rFonts w:cs="Times New Roman"/>
          <w:i w:val="0"/>
          <w:szCs w:val="20"/>
          <w:lang w:val="es-CR"/>
        </w:rPr>
        <w:t>proceso de decisión estuvo compuesto de dos partes, la primera consistió en la votación individual de las cuestiones planteadas a los miembros del Jurado, que en este caso consistió</w:t>
      </w:r>
      <w:r w:rsidR="005911B1">
        <w:rPr>
          <w:rFonts w:cs="Times New Roman"/>
          <w:i w:val="0"/>
          <w:szCs w:val="20"/>
          <w:lang w:val="es-CR"/>
        </w:rPr>
        <w:t xml:space="preserve"> </w:t>
      </w:r>
      <w:r w:rsidRPr="00D51072">
        <w:rPr>
          <w:rFonts w:cs="Times New Roman"/>
          <w:i w:val="0"/>
          <w:szCs w:val="20"/>
          <w:lang w:val="es-CR"/>
        </w:rPr>
        <w:t>en dieciséis preguntas con diversas sub preguntas</w:t>
      </w:r>
      <w:r w:rsidRPr="00D51072">
        <w:rPr>
          <w:rStyle w:val="Refdenotaalpie"/>
          <w:i w:val="0"/>
          <w:lang w:val="es-CR"/>
        </w:rPr>
        <w:footnoteReference w:id="24"/>
      </w:r>
      <w:r w:rsidRPr="00D51072">
        <w:rPr>
          <w:rFonts w:cs="Times New Roman"/>
          <w:i w:val="0"/>
          <w:szCs w:val="20"/>
          <w:lang w:val="es-CR"/>
        </w:rPr>
        <w:t>, y la segunda relacionada con la sentencia propiamente dicha</w:t>
      </w:r>
      <w:r w:rsidR="003B55C4">
        <w:rPr>
          <w:rStyle w:val="Refdenotaalpie"/>
          <w:i w:val="0"/>
          <w:lang w:val="es-CR"/>
        </w:rPr>
        <w:footnoteReference w:id="25"/>
      </w:r>
      <w:r w:rsidRPr="00D51072">
        <w:rPr>
          <w:rFonts w:cs="Times New Roman"/>
          <w:i w:val="0"/>
          <w:szCs w:val="20"/>
          <w:lang w:val="es-CR"/>
        </w:rPr>
        <w:t>.</w:t>
      </w:r>
    </w:p>
    <w:p w14:paraId="7E3FB765" w14:textId="740E91B6" w:rsidR="00754ECA" w:rsidRPr="00754ECA" w:rsidRDefault="00754ECA" w:rsidP="003E3E9B">
      <w:pPr>
        <w:pStyle w:val="Estilo1"/>
        <w:numPr>
          <w:ilvl w:val="0"/>
          <w:numId w:val="2"/>
        </w:numPr>
        <w:tabs>
          <w:tab w:val="left" w:pos="0"/>
          <w:tab w:val="left" w:pos="567"/>
          <w:tab w:val="left" w:pos="1134"/>
        </w:tabs>
        <w:spacing w:before="120"/>
        <w:ind w:left="0" w:right="-6" w:firstLine="0"/>
        <w:rPr>
          <w:rFonts w:cs="Times New Roman"/>
          <w:i w:val="0"/>
          <w:szCs w:val="20"/>
          <w:lang w:val="es-CR"/>
        </w:rPr>
      </w:pPr>
      <w:r w:rsidRPr="00754ECA">
        <w:rPr>
          <w:i w:val="0"/>
          <w:lang w:val="es-CR"/>
        </w:rPr>
        <w:t xml:space="preserve">El señor Rico fue sancionado por el Jurado de Enjuiciamiento por </w:t>
      </w:r>
      <w:r w:rsidR="003B55C4">
        <w:rPr>
          <w:i w:val="0"/>
          <w:lang w:val="es-CR"/>
        </w:rPr>
        <w:t>encontrarse</w:t>
      </w:r>
      <w:r w:rsidRPr="00754ECA">
        <w:rPr>
          <w:i w:val="0"/>
          <w:lang w:val="es-CR"/>
        </w:rPr>
        <w:t xml:space="preserve"> “incurso en las causales previstas en el artículo 21, incisos e), f) y k) de la Ley 8085”</w:t>
      </w:r>
      <w:r>
        <w:rPr>
          <w:rStyle w:val="Refdenotaalpie"/>
          <w:i w:val="0"/>
          <w:lang w:val="es-CR"/>
        </w:rPr>
        <w:footnoteReference w:id="26"/>
      </w:r>
      <w:r w:rsidRPr="00754ECA">
        <w:rPr>
          <w:i w:val="0"/>
          <w:lang w:val="es-CR"/>
        </w:rPr>
        <w:t xml:space="preserve">. </w:t>
      </w:r>
      <w:r>
        <w:rPr>
          <w:i w:val="0"/>
          <w:lang w:val="es-CR"/>
        </w:rPr>
        <w:t>Esas causales</w:t>
      </w:r>
      <w:r w:rsidRPr="00754ECA">
        <w:rPr>
          <w:i w:val="0"/>
          <w:lang w:val="es-CR"/>
        </w:rPr>
        <w:t xml:space="preserve"> </w:t>
      </w:r>
      <w:r w:rsidRPr="00754ECA">
        <w:rPr>
          <w:i w:val="0"/>
          <w:lang w:val="es-CR"/>
        </w:rPr>
        <w:lastRenderedPageBreak/>
        <w:t xml:space="preserve">se refieren a: “e) incompetencia o negligencia reiteradamente demostrada en el ejercicio de sus funciones”; “f) el incumplimiento reiterado de los deberes inherentes al cargo”, y k) </w:t>
      </w:r>
      <w:r>
        <w:rPr>
          <w:i w:val="0"/>
          <w:lang w:val="es-CR"/>
        </w:rPr>
        <w:t>“</w:t>
      </w:r>
      <w:r w:rsidRPr="00754ECA">
        <w:rPr>
          <w:i w:val="0"/>
          <w:lang w:val="es-CR"/>
        </w:rPr>
        <w:t>dejar transcurrir los términos legales reiteradamente, sin pronunciarse en las cuestiones sometidas a su decisión o dictamen</w:t>
      </w:r>
      <w:r>
        <w:rPr>
          <w:i w:val="0"/>
          <w:lang w:val="es-CR"/>
        </w:rPr>
        <w:t>”</w:t>
      </w:r>
      <w:r>
        <w:rPr>
          <w:rStyle w:val="Refdenotaalpie"/>
          <w:i w:val="0"/>
          <w:lang w:val="es-CR"/>
        </w:rPr>
        <w:footnoteReference w:id="27"/>
      </w:r>
      <w:r>
        <w:rPr>
          <w:i w:val="0"/>
          <w:lang w:val="es-CR"/>
        </w:rPr>
        <w:t>.</w:t>
      </w:r>
    </w:p>
    <w:p w14:paraId="28CF1377" w14:textId="18340608" w:rsidR="00BD53D7" w:rsidRPr="00D51072" w:rsidRDefault="00E755ED" w:rsidP="00E755ED">
      <w:pPr>
        <w:pStyle w:val="Prrafodelista"/>
        <w:numPr>
          <w:ilvl w:val="0"/>
          <w:numId w:val="11"/>
        </w:numPr>
        <w:tabs>
          <w:tab w:val="left" w:pos="567"/>
        </w:tabs>
        <w:autoSpaceDE w:val="0"/>
        <w:autoSpaceDN w:val="0"/>
        <w:adjustRightInd w:val="0"/>
        <w:spacing w:before="240" w:after="240"/>
        <w:contextualSpacing w:val="0"/>
        <w:outlineLvl w:val="1"/>
        <w:rPr>
          <w:b/>
          <w:i/>
          <w:szCs w:val="20"/>
        </w:rPr>
      </w:pPr>
      <w:bookmarkStart w:id="81" w:name="_Toc23414996"/>
      <w:r w:rsidRPr="00D51072">
        <w:rPr>
          <w:b/>
          <w:i/>
          <w:szCs w:val="20"/>
        </w:rPr>
        <w:t xml:space="preserve">Recursos interpuestos por </w:t>
      </w:r>
      <w:r w:rsidR="000515B9" w:rsidRPr="00D51072">
        <w:rPr>
          <w:b/>
          <w:i/>
          <w:szCs w:val="20"/>
        </w:rPr>
        <w:t>el señor Rico</w:t>
      </w:r>
      <w:bookmarkEnd w:id="81"/>
    </w:p>
    <w:p w14:paraId="3E579C65" w14:textId="4DBF98D7" w:rsidR="004853EC" w:rsidRPr="00D51072" w:rsidRDefault="001558D9" w:rsidP="004853EC">
      <w:pPr>
        <w:pStyle w:val="Prrafodelista"/>
        <w:numPr>
          <w:ilvl w:val="0"/>
          <w:numId w:val="2"/>
        </w:numPr>
        <w:spacing w:before="120" w:after="120"/>
        <w:ind w:left="0" w:firstLine="0"/>
        <w:contextualSpacing w:val="0"/>
        <w:rPr>
          <w:rFonts w:cs="Times New Roman"/>
          <w:szCs w:val="20"/>
          <w:lang w:val="es-CR" w:eastAsia="es-CR"/>
        </w:rPr>
      </w:pPr>
      <w:r w:rsidRPr="00D51072">
        <w:rPr>
          <w:rFonts w:cs="Times New Roman"/>
          <w:szCs w:val="20"/>
          <w:lang w:val="es-CR" w:eastAsia="es-CR"/>
        </w:rPr>
        <w:t>El señor Rico</w:t>
      </w:r>
      <w:r w:rsidR="004853EC" w:rsidRPr="00D51072">
        <w:rPr>
          <w:rFonts w:cs="Times New Roman"/>
          <w:szCs w:val="20"/>
          <w:lang w:val="es-CR" w:eastAsia="es-CR"/>
        </w:rPr>
        <w:t xml:space="preserve"> interpuso </w:t>
      </w:r>
      <w:r w:rsidR="00711A82">
        <w:rPr>
          <w:rFonts w:cs="Times New Roman"/>
          <w:szCs w:val="20"/>
          <w:lang w:val="es-CR" w:eastAsia="es-CR"/>
        </w:rPr>
        <w:t>dos</w:t>
      </w:r>
      <w:r w:rsidR="004853EC" w:rsidRPr="00D51072">
        <w:rPr>
          <w:rFonts w:cs="Times New Roman"/>
          <w:szCs w:val="20"/>
          <w:lang w:val="es-CR" w:eastAsia="es-CR"/>
        </w:rPr>
        <w:t xml:space="preserve"> recursos ante la </w:t>
      </w:r>
      <w:r w:rsidR="003B491A" w:rsidRPr="00D51072">
        <w:rPr>
          <w:rFonts w:cs="Times New Roman"/>
          <w:szCs w:val="20"/>
          <w:lang w:val="es-CR" w:eastAsia="es-CR"/>
        </w:rPr>
        <w:t>SCJBA</w:t>
      </w:r>
      <w:r w:rsidR="004853EC" w:rsidRPr="00D51072">
        <w:rPr>
          <w:rFonts w:cs="Times New Roman"/>
          <w:szCs w:val="20"/>
          <w:lang w:val="es-CR" w:eastAsia="es-CR"/>
        </w:rPr>
        <w:t xml:space="preserve"> y </w:t>
      </w:r>
      <w:r w:rsidR="00711A82">
        <w:rPr>
          <w:rFonts w:cs="Times New Roman"/>
          <w:szCs w:val="20"/>
          <w:lang w:val="es-CR" w:eastAsia="es-CR"/>
        </w:rPr>
        <w:t xml:space="preserve">uno ante </w:t>
      </w:r>
      <w:r w:rsidR="004853EC" w:rsidRPr="00D51072">
        <w:rPr>
          <w:rFonts w:cs="Times New Roman"/>
          <w:szCs w:val="20"/>
          <w:lang w:val="es-CR" w:eastAsia="es-CR"/>
        </w:rPr>
        <w:t xml:space="preserve">la </w:t>
      </w:r>
      <w:r w:rsidR="00686572" w:rsidRPr="00D51072">
        <w:rPr>
          <w:rFonts w:cs="Calibri"/>
          <w:szCs w:val="20"/>
          <w:lang w:val="es-CO"/>
        </w:rPr>
        <w:t>CSJN</w:t>
      </w:r>
      <w:r w:rsidR="004853EC" w:rsidRPr="00D51072">
        <w:rPr>
          <w:rFonts w:cs="Times New Roman"/>
          <w:szCs w:val="20"/>
          <w:lang w:val="es-CR" w:eastAsia="es-CR"/>
        </w:rPr>
        <w:t xml:space="preserve"> en contra </w:t>
      </w:r>
      <w:r w:rsidR="00927C1D" w:rsidRPr="00D51072">
        <w:rPr>
          <w:rFonts w:cs="Times New Roman"/>
          <w:szCs w:val="20"/>
          <w:lang w:val="es-CR" w:eastAsia="es-CR"/>
        </w:rPr>
        <w:t>de la Sentencia emitida por el J</w:t>
      </w:r>
      <w:r w:rsidR="004853EC" w:rsidRPr="00D51072">
        <w:rPr>
          <w:rFonts w:cs="Times New Roman"/>
          <w:szCs w:val="20"/>
          <w:lang w:val="es-CR" w:eastAsia="es-CR"/>
        </w:rPr>
        <w:t xml:space="preserve">urado de </w:t>
      </w:r>
      <w:r w:rsidR="00927C1D" w:rsidRPr="00D51072">
        <w:rPr>
          <w:rFonts w:cs="Times New Roman"/>
          <w:szCs w:val="20"/>
          <w:lang w:val="es-CR" w:eastAsia="es-CR"/>
        </w:rPr>
        <w:t>E</w:t>
      </w:r>
      <w:r w:rsidR="004853EC" w:rsidRPr="00D51072">
        <w:rPr>
          <w:rFonts w:cs="Times New Roman"/>
          <w:szCs w:val="20"/>
          <w:lang w:val="es-CR" w:eastAsia="es-CR"/>
        </w:rPr>
        <w:t>njuiciamiento, los cuales se detallan a continuación:</w:t>
      </w:r>
    </w:p>
    <w:p w14:paraId="2B2A80F1" w14:textId="57B29ED8" w:rsidR="00BD53D7" w:rsidRPr="00D51072" w:rsidRDefault="00BD53D7" w:rsidP="00933FEE">
      <w:pPr>
        <w:spacing w:before="240" w:after="240"/>
        <w:ind w:left="708"/>
        <w:outlineLvl w:val="2"/>
        <w:rPr>
          <w:i/>
          <w:szCs w:val="20"/>
        </w:rPr>
      </w:pPr>
      <w:bookmarkStart w:id="82" w:name="_Toc486693378"/>
      <w:bookmarkStart w:id="83" w:name="_Toc486842794"/>
      <w:bookmarkStart w:id="84" w:name="_Toc486842932"/>
      <w:bookmarkStart w:id="85" w:name="_Toc23414997"/>
      <w:r w:rsidRPr="00D51072">
        <w:rPr>
          <w:i/>
          <w:szCs w:val="20"/>
        </w:rPr>
        <w:t xml:space="preserve">C.1. </w:t>
      </w:r>
      <w:bookmarkEnd w:id="82"/>
      <w:bookmarkEnd w:id="83"/>
      <w:bookmarkEnd w:id="84"/>
      <w:r w:rsidR="004853EC" w:rsidRPr="00D51072">
        <w:rPr>
          <w:i/>
          <w:lang w:val="es-CR" w:eastAsia="es-CR"/>
        </w:rPr>
        <w:t xml:space="preserve">Recurso </w:t>
      </w:r>
      <w:r w:rsidR="00FC490D">
        <w:rPr>
          <w:i/>
          <w:lang w:val="es-CR" w:eastAsia="es-CR"/>
        </w:rPr>
        <w:t>E</w:t>
      </w:r>
      <w:r w:rsidR="004853EC" w:rsidRPr="00D51072">
        <w:rPr>
          <w:i/>
          <w:lang w:val="es-CR" w:eastAsia="es-CR"/>
        </w:rPr>
        <w:t xml:space="preserve">xtraordinario de </w:t>
      </w:r>
      <w:r w:rsidR="00FC490D">
        <w:rPr>
          <w:i/>
          <w:lang w:val="es-CR" w:eastAsia="es-CR"/>
        </w:rPr>
        <w:t>N</w:t>
      </w:r>
      <w:r w:rsidR="004853EC" w:rsidRPr="00D51072">
        <w:rPr>
          <w:i/>
          <w:lang w:val="es-CR" w:eastAsia="es-CR"/>
        </w:rPr>
        <w:t>ulidad</w:t>
      </w:r>
      <w:r w:rsidR="00FC490D">
        <w:rPr>
          <w:i/>
          <w:lang w:val="es-CR" w:eastAsia="es-CR"/>
        </w:rPr>
        <w:t xml:space="preserve"> (“REN”)</w:t>
      </w:r>
      <w:r w:rsidR="00933FEE" w:rsidRPr="00D51072">
        <w:rPr>
          <w:i/>
          <w:lang w:val="es-CR" w:eastAsia="es-CR"/>
        </w:rPr>
        <w:t xml:space="preserve"> ante la Suprema Corte de la Provincia de Buenos Aires (“SCJBA”)</w:t>
      </w:r>
      <w:bookmarkEnd w:id="85"/>
    </w:p>
    <w:p w14:paraId="156EF078" w14:textId="5DA75403" w:rsidR="004853EC" w:rsidRPr="00D51072" w:rsidRDefault="001558D9" w:rsidP="004853EC">
      <w:pPr>
        <w:pStyle w:val="Prrafodelista"/>
        <w:numPr>
          <w:ilvl w:val="0"/>
          <w:numId w:val="2"/>
        </w:numPr>
        <w:spacing w:before="120" w:after="120"/>
        <w:ind w:left="0" w:firstLine="0"/>
        <w:contextualSpacing w:val="0"/>
        <w:rPr>
          <w:rFonts w:ascii="Times New Roman" w:hAnsi="Times New Roman" w:cs="Times New Roman"/>
          <w:sz w:val="24"/>
          <w:lang w:val="es-CR" w:eastAsia="es-CR"/>
        </w:rPr>
      </w:pPr>
      <w:r w:rsidRPr="00D51072">
        <w:rPr>
          <w:rFonts w:cs="Times New Roman"/>
          <w:szCs w:val="20"/>
          <w:lang w:val="es-AR"/>
        </w:rPr>
        <w:t>El señor Rico interpuso</w:t>
      </w:r>
      <w:r w:rsidR="004853EC" w:rsidRPr="00D51072">
        <w:rPr>
          <w:rFonts w:cs="Times New Roman"/>
          <w:szCs w:val="20"/>
          <w:lang w:val="es-AR"/>
        </w:rPr>
        <w:t xml:space="preserve"> este recurso el 6 de julio de 2000 ante </w:t>
      </w:r>
      <w:r w:rsidR="004853EC" w:rsidRPr="00D51072">
        <w:rPr>
          <w:rFonts w:cs="Times New Roman"/>
          <w:szCs w:val="20"/>
          <w:lang w:val="es-CR"/>
        </w:rPr>
        <w:t xml:space="preserve">la </w:t>
      </w:r>
      <w:r w:rsidR="00755274" w:rsidRPr="00D51072">
        <w:rPr>
          <w:rFonts w:cs="Times New Roman"/>
          <w:szCs w:val="20"/>
          <w:lang w:val="es-CR"/>
        </w:rPr>
        <w:t>SCJBA</w:t>
      </w:r>
      <w:r w:rsidR="004853EC" w:rsidRPr="00D51072">
        <w:rPr>
          <w:rFonts w:cs="Times New Roman"/>
          <w:szCs w:val="20"/>
          <w:lang w:val="es-AR"/>
        </w:rPr>
        <w:t xml:space="preserve">. </w:t>
      </w:r>
      <w:r w:rsidR="006B265D">
        <w:rPr>
          <w:rFonts w:cs="Times New Roman"/>
          <w:szCs w:val="20"/>
          <w:lang w:val="es-AR"/>
        </w:rPr>
        <w:t>A</w:t>
      </w:r>
      <w:r w:rsidR="004853EC" w:rsidRPr="00D51072">
        <w:rPr>
          <w:rFonts w:cs="Times New Roman"/>
          <w:szCs w:val="20"/>
          <w:lang w:val="es-AR"/>
        </w:rPr>
        <w:t xml:space="preserve">rgumentó que se afectó el principio de legalidad y el debido proceso al forzar el encuadre de los hechos en los tipos previstos en </w:t>
      </w:r>
      <w:r w:rsidR="004853EC" w:rsidRPr="00D51072">
        <w:rPr>
          <w:rFonts w:cs="Times New Roman"/>
          <w:szCs w:val="20"/>
          <w:lang w:val="es-VE"/>
        </w:rPr>
        <w:t xml:space="preserve">la Ley </w:t>
      </w:r>
      <w:r w:rsidR="00BD0C9F">
        <w:rPr>
          <w:rFonts w:cs="Times New Roman"/>
          <w:szCs w:val="20"/>
          <w:lang w:val="es-CR"/>
        </w:rPr>
        <w:t>8085,</w:t>
      </w:r>
      <w:r w:rsidR="004853EC" w:rsidRPr="00D51072">
        <w:rPr>
          <w:rFonts w:cs="Times New Roman"/>
          <w:szCs w:val="20"/>
          <w:lang w:val="es-CR"/>
        </w:rPr>
        <w:t xml:space="preserve"> la inconstitucionalidad de la sanción de inhabilitación para ocupar otro cargo judicial</w:t>
      </w:r>
      <w:r w:rsidR="001F104C" w:rsidRPr="00D51072">
        <w:rPr>
          <w:rFonts w:cs="Times New Roman"/>
          <w:szCs w:val="20"/>
          <w:lang w:val="es-CR"/>
        </w:rPr>
        <w:t>,</w:t>
      </w:r>
      <w:r w:rsidR="004853EC" w:rsidRPr="00D51072">
        <w:rPr>
          <w:rFonts w:cs="Times New Roman"/>
          <w:szCs w:val="20"/>
          <w:lang w:val="es-CR"/>
        </w:rPr>
        <w:t xml:space="preserve"> y la denegación de </w:t>
      </w:r>
      <w:r w:rsidR="006B265D">
        <w:rPr>
          <w:rFonts w:cs="Times New Roman"/>
          <w:szCs w:val="20"/>
          <w:lang w:val="es-CR"/>
        </w:rPr>
        <w:t>dos</w:t>
      </w:r>
      <w:r w:rsidR="004853EC" w:rsidRPr="00D51072">
        <w:rPr>
          <w:rFonts w:cs="Times New Roman"/>
          <w:szCs w:val="20"/>
          <w:lang w:val="es-CR"/>
        </w:rPr>
        <w:t xml:space="preserve"> testimonios.</w:t>
      </w:r>
    </w:p>
    <w:p w14:paraId="42913B56" w14:textId="7FA84382" w:rsidR="000C043A" w:rsidRPr="00D51072" w:rsidRDefault="004853EC" w:rsidP="004853EC">
      <w:pPr>
        <w:pStyle w:val="Prrafodelista"/>
        <w:numPr>
          <w:ilvl w:val="0"/>
          <w:numId w:val="2"/>
        </w:numPr>
        <w:spacing w:before="120" w:after="120"/>
        <w:ind w:left="0" w:firstLine="0"/>
        <w:contextualSpacing w:val="0"/>
        <w:rPr>
          <w:rFonts w:eastAsia="Calibri"/>
          <w:szCs w:val="20"/>
        </w:rPr>
      </w:pPr>
      <w:r w:rsidRPr="00D51072">
        <w:rPr>
          <w:rFonts w:cs="Times New Roman"/>
          <w:szCs w:val="20"/>
          <w:lang w:val="es-CR"/>
        </w:rPr>
        <w:lastRenderedPageBreak/>
        <w:t xml:space="preserve"> El 30 de agosto de 2000 la </w:t>
      </w:r>
      <w:r w:rsidR="00933FEE" w:rsidRPr="00D51072">
        <w:rPr>
          <w:rFonts w:cs="Times New Roman"/>
          <w:szCs w:val="20"/>
          <w:lang w:val="es-AR"/>
        </w:rPr>
        <w:t>SCJBA</w:t>
      </w:r>
      <w:r w:rsidRPr="00D51072">
        <w:rPr>
          <w:rFonts w:cs="Times New Roman"/>
          <w:szCs w:val="20"/>
          <w:lang w:val="es-CR"/>
        </w:rPr>
        <w:t xml:space="preserve"> desestimó el recurso interpuesto, argumentando que el Jurado creado por el artículo 182 de dicha Constitución para el enjuiciamiento de magistrados</w:t>
      </w:r>
      <w:r w:rsidR="009C68E8">
        <w:rPr>
          <w:rFonts w:cs="Times New Roman"/>
          <w:szCs w:val="20"/>
          <w:lang w:val="es-CR"/>
        </w:rPr>
        <w:t>,</w:t>
      </w:r>
      <w:r w:rsidRPr="00D51072">
        <w:rPr>
          <w:rFonts w:cs="Times New Roman"/>
          <w:szCs w:val="20"/>
          <w:lang w:val="es-CR"/>
        </w:rPr>
        <w:t xml:space="preserve"> no </w:t>
      </w:r>
      <w:r w:rsidR="009C68E8">
        <w:rPr>
          <w:rFonts w:cs="Times New Roman"/>
          <w:szCs w:val="20"/>
          <w:lang w:val="es-CR"/>
        </w:rPr>
        <w:t>es</w:t>
      </w:r>
      <w:r w:rsidRPr="00D51072">
        <w:rPr>
          <w:rFonts w:cs="Times New Roman"/>
          <w:szCs w:val="20"/>
          <w:lang w:val="es-CR"/>
        </w:rPr>
        <w:t xml:space="preserve"> un tribunal judicial ordinario de grado inferior a la Suprema Corte, sino un órgano especial e independiente que ejerce atribuciones de carácter político </w:t>
      </w:r>
      <w:r w:rsidR="00C40786" w:rsidRPr="00D51072">
        <w:rPr>
          <w:rFonts w:cs="Times New Roman"/>
          <w:szCs w:val="20"/>
          <w:lang w:val="es-CR"/>
        </w:rPr>
        <w:t>atinente a la responsabilidad de quienes están sometidos al mismo, que escapa al contralor judicial</w:t>
      </w:r>
      <w:r w:rsidR="00601262" w:rsidRPr="00D51072">
        <w:rPr>
          <w:rFonts w:cs="Times New Roman"/>
          <w:szCs w:val="20"/>
          <w:lang w:val="es-CR"/>
        </w:rPr>
        <w:t xml:space="preserve">. </w:t>
      </w:r>
    </w:p>
    <w:p w14:paraId="251B7038" w14:textId="0A48BFC4" w:rsidR="004E316B" w:rsidRPr="00D51072" w:rsidRDefault="004E316B" w:rsidP="004E316B">
      <w:pPr>
        <w:spacing w:before="240" w:after="240"/>
        <w:ind w:firstLine="708"/>
        <w:outlineLvl w:val="2"/>
        <w:rPr>
          <w:i/>
          <w:szCs w:val="20"/>
        </w:rPr>
      </w:pPr>
      <w:bookmarkStart w:id="86" w:name="_Toc23414998"/>
      <w:bookmarkStart w:id="87" w:name="_Toc472668937"/>
      <w:bookmarkStart w:id="88" w:name="_Toc486693381"/>
      <w:bookmarkStart w:id="89" w:name="_Toc486842797"/>
      <w:bookmarkStart w:id="90" w:name="_Toc486842935"/>
      <w:r w:rsidRPr="00D51072">
        <w:rPr>
          <w:i/>
          <w:szCs w:val="20"/>
        </w:rPr>
        <w:t xml:space="preserve">C.2. </w:t>
      </w:r>
      <w:r w:rsidR="004853EC" w:rsidRPr="00D51072">
        <w:rPr>
          <w:i/>
          <w:lang w:val="es-CR" w:eastAsia="es-CR"/>
        </w:rPr>
        <w:t>Recurso extraordinario federal</w:t>
      </w:r>
      <w:r w:rsidR="00933FEE" w:rsidRPr="00D51072">
        <w:rPr>
          <w:i/>
          <w:lang w:val="es-CR" w:eastAsia="es-CR"/>
        </w:rPr>
        <w:t xml:space="preserve"> (“REF”) ante la Suprema Corte de la Provincia de Buenos Aires (“SCJBA”)</w:t>
      </w:r>
      <w:bookmarkEnd w:id="86"/>
    </w:p>
    <w:p w14:paraId="27C3C328" w14:textId="0363301A" w:rsidR="004853EC" w:rsidRPr="00D51072" w:rsidRDefault="004853EC" w:rsidP="004853EC">
      <w:pPr>
        <w:pStyle w:val="Prrafodelista"/>
        <w:numPr>
          <w:ilvl w:val="0"/>
          <w:numId w:val="2"/>
        </w:numPr>
        <w:spacing w:before="120" w:after="120"/>
        <w:ind w:left="0" w:firstLine="0"/>
        <w:contextualSpacing w:val="0"/>
        <w:rPr>
          <w:rFonts w:cs="Times New Roman"/>
          <w:szCs w:val="20"/>
          <w:lang w:val="es-AR"/>
        </w:rPr>
      </w:pPr>
      <w:r w:rsidRPr="00D51072">
        <w:rPr>
          <w:rFonts w:cs="Times New Roman"/>
          <w:szCs w:val="20"/>
          <w:lang w:val="es-AR"/>
        </w:rPr>
        <w:t xml:space="preserve">El 22 de septiembre de 2000 el señor Rico presentó este recurso ante </w:t>
      </w:r>
      <w:r w:rsidRPr="00D51072">
        <w:rPr>
          <w:rFonts w:cs="Times New Roman"/>
          <w:szCs w:val="20"/>
          <w:lang w:val="es-CR"/>
        </w:rPr>
        <w:t xml:space="preserve">la </w:t>
      </w:r>
      <w:r w:rsidR="00933FEE" w:rsidRPr="00D51072">
        <w:rPr>
          <w:rFonts w:cs="Times New Roman"/>
          <w:szCs w:val="20"/>
          <w:lang w:val="es-AR"/>
        </w:rPr>
        <w:t>SCJBA</w:t>
      </w:r>
      <w:r w:rsidRPr="00D51072">
        <w:rPr>
          <w:rFonts w:cs="Times New Roman"/>
          <w:szCs w:val="20"/>
          <w:lang w:val="es-AR"/>
        </w:rPr>
        <w:t xml:space="preserve">. </w:t>
      </w:r>
      <w:r w:rsidR="00D17689" w:rsidRPr="00D51072">
        <w:rPr>
          <w:rFonts w:cs="Times New Roman"/>
          <w:szCs w:val="20"/>
          <w:lang w:val="es-AR"/>
        </w:rPr>
        <w:t>R</w:t>
      </w:r>
      <w:r w:rsidRPr="00D51072">
        <w:rPr>
          <w:rFonts w:cs="Times New Roman"/>
          <w:szCs w:val="20"/>
          <w:lang w:val="es-AR"/>
        </w:rPr>
        <w:t xml:space="preserve">eiteró que la decisión del Jurado de Enjuiciamiento afectó el debido proceso y se refirió a la inconstitucionalidad </w:t>
      </w:r>
      <w:r w:rsidR="00A47111" w:rsidRPr="00D51072">
        <w:rPr>
          <w:rFonts w:cs="Times New Roman"/>
          <w:szCs w:val="20"/>
          <w:lang w:val="es-AR"/>
        </w:rPr>
        <w:t xml:space="preserve">de la </w:t>
      </w:r>
      <w:r w:rsidR="00E01F41" w:rsidRPr="00D51072">
        <w:rPr>
          <w:rFonts w:cs="Times New Roman"/>
          <w:szCs w:val="20"/>
          <w:lang w:val="es-AR"/>
        </w:rPr>
        <w:t>L</w:t>
      </w:r>
      <w:r w:rsidR="00A47111" w:rsidRPr="00D51072">
        <w:rPr>
          <w:rFonts w:cs="Times New Roman"/>
          <w:szCs w:val="20"/>
          <w:lang w:val="es-AR"/>
        </w:rPr>
        <w:t>ey 8085 que deniega la posibilidad de revisión de los fallos de los jurados de enjuiciamiento</w:t>
      </w:r>
      <w:r w:rsidRPr="00D51072">
        <w:rPr>
          <w:rFonts w:cs="Times New Roman"/>
          <w:szCs w:val="20"/>
          <w:lang w:val="es-AR"/>
        </w:rPr>
        <w:t xml:space="preserve">. </w:t>
      </w:r>
    </w:p>
    <w:p w14:paraId="25BEC2DB" w14:textId="12E38854" w:rsidR="004E316B" w:rsidRPr="00D51072" w:rsidRDefault="004853EC" w:rsidP="004853EC">
      <w:pPr>
        <w:pStyle w:val="Prrafodelista"/>
        <w:numPr>
          <w:ilvl w:val="0"/>
          <w:numId w:val="2"/>
        </w:numPr>
        <w:spacing w:before="120" w:after="120"/>
        <w:ind w:left="0" w:firstLine="0"/>
        <w:contextualSpacing w:val="0"/>
        <w:rPr>
          <w:szCs w:val="20"/>
        </w:rPr>
      </w:pPr>
      <w:r w:rsidRPr="00D51072">
        <w:rPr>
          <w:rFonts w:cs="Times New Roman"/>
          <w:szCs w:val="20"/>
          <w:lang w:val="es-AR"/>
        </w:rPr>
        <w:t xml:space="preserve">El 29 de noviembre de 2000, la </w:t>
      </w:r>
      <w:r w:rsidR="003B491A" w:rsidRPr="00D51072">
        <w:rPr>
          <w:rFonts w:cs="Times New Roman"/>
          <w:szCs w:val="20"/>
          <w:lang w:val="es-AR"/>
        </w:rPr>
        <w:t>SCJBA</w:t>
      </w:r>
      <w:r w:rsidRPr="00D51072">
        <w:rPr>
          <w:rFonts w:cs="Times New Roman"/>
          <w:szCs w:val="20"/>
          <w:lang w:val="es-AR"/>
        </w:rPr>
        <w:t xml:space="preserve"> denegó el recurso federal interpuesto en todos sus extremos, sosteniendo que el recurso no reunía los recaudos mínimos exigidos</w:t>
      </w:r>
      <w:r w:rsidR="003710FE" w:rsidRPr="00D51072">
        <w:rPr>
          <w:rFonts w:cs="Times New Roman"/>
          <w:szCs w:val="20"/>
          <w:lang w:val="es-AR"/>
        </w:rPr>
        <w:t xml:space="preserve">. Indicó en particular que </w:t>
      </w:r>
      <w:r w:rsidR="00B561C4" w:rsidRPr="00D51072">
        <w:rPr>
          <w:rFonts w:cs="Times New Roman"/>
          <w:szCs w:val="20"/>
          <w:lang w:val="es-AR"/>
        </w:rPr>
        <w:t>“</w:t>
      </w:r>
      <w:r w:rsidR="003710FE" w:rsidRPr="00D51072">
        <w:rPr>
          <w:szCs w:val="20"/>
        </w:rPr>
        <w:t>s</w:t>
      </w:r>
      <w:r w:rsidR="00B7392F">
        <w:rPr>
          <w:szCs w:val="20"/>
        </w:rPr>
        <w:t>o</w:t>
      </w:r>
      <w:r w:rsidR="003710FE" w:rsidRPr="00D51072">
        <w:rPr>
          <w:szCs w:val="20"/>
        </w:rPr>
        <w:t>lo trasuntan su personal discrepancia con los del tribunal sentenciante”. R</w:t>
      </w:r>
      <w:r w:rsidRPr="00D51072">
        <w:rPr>
          <w:rFonts w:cs="Times New Roman"/>
          <w:szCs w:val="20"/>
          <w:lang w:val="es-AR"/>
        </w:rPr>
        <w:t xml:space="preserve">especto </w:t>
      </w:r>
      <w:r w:rsidR="003370A6" w:rsidRPr="00D51072">
        <w:rPr>
          <w:rFonts w:cs="Times New Roman"/>
          <w:szCs w:val="20"/>
          <w:lang w:val="es-AR"/>
        </w:rPr>
        <w:t>de</w:t>
      </w:r>
      <w:r w:rsidRPr="00D51072">
        <w:rPr>
          <w:rFonts w:cs="Times New Roman"/>
          <w:szCs w:val="20"/>
          <w:lang w:val="es-AR"/>
        </w:rPr>
        <w:t xml:space="preserve"> la </w:t>
      </w:r>
      <w:r w:rsidR="003370A6" w:rsidRPr="00D51072">
        <w:rPr>
          <w:rFonts w:cs="Times New Roman"/>
          <w:szCs w:val="20"/>
          <w:lang w:val="es-AR"/>
        </w:rPr>
        <w:t xml:space="preserve">alegada </w:t>
      </w:r>
      <w:r w:rsidRPr="00D51072">
        <w:rPr>
          <w:rFonts w:cs="Times New Roman"/>
          <w:szCs w:val="20"/>
          <w:lang w:val="es-AR"/>
        </w:rPr>
        <w:t xml:space="preserve">inconstitucionalidad, </w:t>
      </w:r>
      <w:r w:rsidR="003710FE" w:rsidRPr="00D51072">
        <w:rPr>
          <w:rFonts w:cs="Times New Roman"/>
          <w:szCs w:val="20"/>
          <w:lang w:val="es-AR"/>
        </w:rPr>
        <w:t xml:space="preserve">encontró </w:t>
      </w:r>
      <w:r w:rsidRPr="00D51072">
        <w:rPr>
          <w:rFonts w:cs="Times New Roman"/>
          <w:szCs w:val="20"/>
          <w:lang w:val="es-AR"/>
        </w:rPr>
        <w:t>que la misma no se había alegado en el recurso de nulidad planteado con anterioridad</w:t>
      </w:r>
      <w:r w:rsidR="00D17689" w:rsidRPr="00D51072">
        <w:rPr>
          <w:rFonts w:cs="Times New Roman"/>
          <w:szCs w:val="20"/>
          <w:lang w:val="es-AR"/>
        </w:rPr>
        <w:t xml:space="preserve"> (</w:t>
      </w:r>
      <w:r w:rsidR="00D17689" w:rsidRPr="00D51072">
        <w:rPr>
          <w:rFonts w:cs="Times New Roman"/>
          <w:i/>
          <w:szCs w:val="20"/>
          <w:lang w:val="es-AR"/>
        </w:rPr>
        <w:t>supra</w:t>
      </w:r>
      <w:r w:rsidR="00D17689" w:rsidRPr="00D51072">
        <w:rPr>
          <w:rFonts w:cs="Times New Roman"/>
          <w:szCs w:val="20"/>
          <w:lang w:val="es-AR"/>
        </w:rPr>
        <w:t xml:space="preserve"> párr.</w:t>
      </w:r>
      <w:r w:rsidR="001F104C" w:rsidRPr="00D51072">
        <w:rPr>
          <w:rFonts w:cs="Times New Roman"/>
          <w:szCs w:val="20"/>
          <w:lang w:val="es-AR"/>
        </w:rPr>
        <w:t xml:space="preserve"> 34</w:t>
      </w:r>
      <w:r w:rsidR="00D17689" w:rsidRPr="00D51072">
        <w:rPr>
          <w:rFonts w:cs="Times New Roman"/>
          <w:szCs w:val="20"/>
          <w:lang w:val="es-AR"/>
        </w:rPr>
        <w:t>)</w:t>
      </w:r>
      <w:r w:rsidR="004E316B" w:rsidRPr="00D51072">
        <w:rPr>
          <w:szCs w:val="20"/>
        </w:rPr>
        <w:t>.</w:t>
      </w:r>
    </w:p>
    <w:p w14:paraId="3CACC8FB" w14:textId="641188AE" w:rsidR="00BD53D7" w:rsidRPr="00D51072" w:rsidRDefault="00DB53CA" w:rsidP="00E31A34">
      <w:pPr>
        <w:spacing w:before="240" w:after="240"/>
        <w:ind w:firstLine="708"/>
        <w:outlineLvl w:val="2"/>
        <w:rPr>
          <w:i/>
          <w:szCs w:val="20"/>
        </w:rPr>
      </w:pPr>
      <w:bookmarkStart w:id="91" w:name="_Toc23414999"/>
      <w:r w:rsidRPr="00D51072">
        <w:rPr>
          <w:i/>
          <w:szCs w:val="20"/>
        </w:rPr>
        <w:t>C.</w:t>
      </w:r>
      <w:r w:rsidR="004E316B" w:rsidRPr="00D51072">
        <w:rPr>
          <w:i/>
          <w:szCs w:val="20"/>
        </w:rPr>
        <w:t>3</w:t>
      </w:r>
      <w:r w:rsidR="00BD53D7" w:rsidRPr="00D51072">
        <w:rPr>
          <w:i/>
          <w:szCs w:val="20"/>
        </w:rPr>
        <w:t xml:space="preserve">. </w:t>
      </w:r>
      <w:bookmarkEnd w:id="87"/>
      <w:bookmarkEnd w:id="88"/>
      <w:bookmarkEnd w:id="89"/>
      <w:bookmarkEnd w:id="90"/>
      <w:r w:rsidR="004853EC" w:rsidRPr="00D51072">
        <w:rPr>
          <w:i/>
          <w:lang w:val="es-CR" w:eastAsia="es-CR"/>
        </w:rPr>
        <w:t xml:space="preserve">Recurso de </w:t>
      </w:r>
      <w:r w:rsidR="00570F31">
        <w:rPr>
          <w:i/>
          <w:lang w:val="es-CR" w:eastAsia="es-CR"/>
        </w:rPr>
        <w:t>Q</w:t>
      </w:r>
      <w:r w:rsidR="004853EC" w:rsidRPr="00D51072">
        <w:rPr>
          <w:i/>
          <w:lang w:val="es-CR" w:eastAsia="es-CR"/>
        </w:rPr>
        <w:t>ueja</w:t>
      </w:r>
      <w:r w:rsidR="001558D9" w:rsidRPr="00D51072">
        <w:rPr>
          <w:i/>
          <w:lang w:val="es-CR" w:eastAsia="es-CR"/>
        </w:rPr>
        <w:t xml:space="preserve"> </w:t>
      </w:r>
      <w:r w:rsidR="001558D9" w:rsidRPr="00D51072">
        <w:rPr>
          <w:rFonts w:cs="Times New Roman"/>
          <w:i/>
          <w:szCs w:val="20"/>
          <w:lang w:val="es-AR"/>
        </w:rPr>
        <w:t>ante la Corte Suprema de Justicia de la Nación</w:t>
      </w:r>
      <w:r w:rsidR="00933FEE" w:rsidRPr="00D51072">
        <w:rPr>
          <w:rFonts w:cs="Times New Roman"/>
          <w:i/>
          <w:szCs w:val="20"/>
          <w:lang w:val="es-AR"/>
        </w:rPr>
        <w:t xml:space="preserve"> (“CSJN”)</w:t>
      </w:r>
      <w:bookmarkEnd w:id="91"/>
    </w:p>
    <w:p w14:paraId="3EF81D9C" w14:textId="7363969C" w:rsidR="004853EC" w:rsidRPr="00D51072" w:rsidRDefault="004853EC" w:rsidP="004853EC">
      <w:pPr>
        <w:pStyle w:val="Prrafodelista"/>
        <w:numPr>
          <w:ilvl w:val="0"/>
          <w:numId w:val="2"/>
        </w:numPr>
        <w:spacing w:before="120" w:after="120"/>
        <w:ind w:left="0" w:firstLine="0"/>
        <w:contextualSpacing w:val="0"/>
        <w:rPr>
          <w:rFonts w:cs="Times New Roman"/>
          <w:bCs/>
          <w:szCs w:val="20"/>
          <w:lang w:val="es-AR"/>
        </w:rPr>
      </w:pPr>
      <w:r w:rsidRPr="00D51072">
        <w:rPr>
          <w:rFonts w:cs="Times New Roman"/>
          <w:szCs w:val="20"/>
          <w:lang w:val="es-AR"/>
        </w:rPr>
        <w:t xml:space="preserve">Este recurso fue presentado el 7 de febrero de 2001 ante la </w:t>
      </w:r>
      <w:r w:rsidR="00686572" w:rsidRPr="00D51072">
        <w:rPr>
          <w:rFonts w:cs="Calibri"/>
          <w:szCs w:val="20"/>
          <w:lang w:val="es-CO"/>
        </w:rPr>
        <w:t>CSJN</w:t>
      </w:r>
      <w:r w:rsidRPr="00D51072">
        <w:rPr>
          <w:rFonts w:cs="Times New Roman"/>
          <w:szCs w:val="20"/>
          <w:lang w:val="es-AR"/>
        </w:rPr>
        <w:t xml:space="preserve"> como respuesta a </w:t>
      </w:r>
      <w:r w:rsidRPr="00D51072">
        <w:rPr>
          <w:rFonts w:cs="Times New Roman"/>
          <w:szCs w:val="20"/>
          <w:lang w:val="es-CO"/>
        </w:rPr>
        <w:t xml:space="preserve">la denegatoria del </w:t>
      </w:r>
      <w:r w:rsidR="003B491A" w:rsidRPr="00D51072">
        <w:rPr>
          <w:rFonts w:cs="Times New Roman"/>
          <w:szCs w:val="20"/>
          <w:lang w:val="es-CO"/>
        </w:rPr>
        <w:t>REF</w:t>
      </w:r>
      <w:r w:rsidRPr="00D51072">
        <w:rPr>
          <w:rFonts w:cs="Times New Roman"/>
          <w:szCs w:val="20"/>
          <w:lang w:val="es-CO"/>
        </w:rPr>
        <w:t>. En dicho recurso, la presunta víctima argumentó que</w:t>
      </w:r>
      <w:r w:rsidR="00AF3E80" w:rsidRPr="00D51072">
        <w:rPr>
          <w:rFonts w:cs="Times New Roman"/>
          <w:szCs w:val="20"/>
          <w:lang w:val="es-CO"/>
        </w:rPr>
        <w:t xml:space="preserve"> el recurso Extraordinario ante la </w:t>
      </w:r>
      <w:r w:rsidR="003B491A" w:rsidRPr="00D51072">
        <w:rPr>
          <w:rFonts w:cs="Times New Roman"/>
          <w:szCs w:val="20"/>
          <w:lang w:val="es-AR"/>
        </w:rPr>
        <w:t>SCJBA</w:t>
      </w:r>
      <w:r w:rsidRPr="00D51072">
        <w:rPr>
          <w:rFonts w:cs="Times New Roman"/>
          <w:szCs w:val="20"/>
          <w:lang w:val="es-CO"/>
        </w:rPr>
        <w:t xml:space="preserve"> </w:t>
      </w:r>
      <w:r w:rsidR="00AF3E80" w:rsidRPr="00D51072">
        <w:rPr>
          <w:rFonts w:cs="Times New Roman"/>
          <w:szCs w:val="20"/>
          <w:lang w:val="es-CO"/>
        </w:rPr>
        <w:t>había sido “mal denegado”</w:t>
      </w:r>
      <w:r w:rsidRPr="00D51072">
        <w:rPr>
          <w:rFonts w:cs="Times New Roman"/>
          <w:szCs w:val="20"/>
          <w:lang w:val="es-CO"/>
        </w:rPr>
        <w:t xml:space="preserve">. Asimismo, reiteró su pedido de inconstitucionalidad del artículo 45 de la </w:t>
      </w:r>
      <w:r w:rsidR="00E01F41" w:rsidRPr="00D51072">
        <w:rPr>
          <w:rFonts w:cs="Times New Roman"/>
          <w:szCs w:val="20"/>
          <w:lang w:val="es-CO"/>
        </w:rPr>
        <w:t>L</w:t>
      </w:r>
      <w:r w:rsidRPr="00D51072">
        <w:rPr>
          <w:rFonts w:cs="Times New Roman"/>
          <w:szCs w:val="20"/>
          <w:lang w:val="es-CO"/>
        </w:rPr>
        <w:t>ey 8085 y reiteró que sufrió una serie de violaciones al debido proceso, como la denegación de recepción de prueba de descargo</w:t>
      </w:r>
      <w:r w:rsidRPr="00D51072">
        <w:rPr>
          <w:rFonts w:cs="Times New Roman"/>
          <w:bCs/>
          <w:szCs w:val="20"/>
          <w:lang w:val="es-AR"/>
        </w:rPr>
        <w:t>.</w:t>
      </w:r>
    </w:p>
    <w:p w14:paraId="46EF79F3" w14:textId="42CE4990" w:rsidR="00F63903" w:rsidRPr="00D51072" w:rsidRDefault="004853EC" w:rsidP="004853EC">
      <w:pPr>
        <w:pStyle w:val="Prrafodelista"/>
        <w:numPr>
          <w:ilvl w:val="0"/>
          <w:numId w:val="2"/>
        </w:numPr>
        <w:spacing w:before="120" w:after="120"/>
        <w:ind w:left="0" w:firstLine="0"/>
        <w:contextualSpacing w:val="0"/>
        <w:rPr>
          <w:rFonts w:cs="Times New Roman"/>
          <w:bCs/>
          <w:szCs w:val="20"/>
          <w:lang w:val="es-AR"/>
        </w:rPr>
      </w:pPr>
      <w:r w:rsidRPr="00D51072">
        <w:rPr>
          <w:rFonts w:cs="Times New Roman"/>
          <w:bCs/>
          <w:szCs w:val="20"/>
          <w:lang w:val="es-AR"/>
        </w:rPr>
        <w:t xml:space="preserve">El recurso fue desestimado por la </w:t>
      </w:r>
      <w:r w:rsidR="00686572" w:rsidRPr="00D51072">
        <w:rPr>
          <w:rFonts w:cs="Calibri"/>
          <w:szCs w:val="20"/>
          <w:lang w:val="es-CO"/>
        </w:rPr>
        <w:t>CSJN</w:t>
      </w:r>
      <w:r w:rsidRPr="00D51072">
        <w:rPr>
          <w:rFonts w:cs="Times New Roman"/>
          <w:bCs/>
          <w:szCs w:val="20"/>
          <w:lang w:val="es-AR"/>
        </w:rPr>
        <w:t xml:space="preserve">, argumentando </w:t>
      </w:r>
      <w:r w:rsidRPr="00D51072">
        <w:rPr>
          <w:rFonts w:cs="Times New Roman"/>
          <w:bCs/>
          <w:szCs w:val="20"/>
          <w:lang w:val="es-CO"/>
        </w:rPr>
        <w:t xml:space="preserve">que el recurrente no había acreditado la violación del artículo 18 de la Constitución Nacional. </w:t>
      </w:r>
      <w:r w:rsidR="00F63903" w:rsidRPr="00D51072">
        <w:rPr>
          <w:rFonts w:cs="Times New Roman"/>
          <w:bCs/>
          <w:szCs w:val="20"/>
          <w:lang w:val="es-CO"/>
        </w:rPr>
        <w:t xml:space="preserve">En lo que respecta </w:t>
      </w:r>
      <w:r w:rsidR="0062318A">
        <w:rPr>
          <w:rFonts w:cs="Times New Roman"/>
          <w:bCs/>
          <w:szCs w:val="20"/>
          <w:lang w:val="es-CO"/>
        </w:rPr>
        <w:t>a</w:t>
      </w:r>
      <w:r w:rsidR="00F63903" w:rsidRPr="00D51072">
        <w:rPr>
          <w:rFonts w:cs="Times New Roman"/>
          <w:bCs/>
          <w:szCs w:val="20"/>
          <w:lang w:val="es-CO"/>
        </w:rPr>
        <w:t xml:space="preserve">l pedido de inconstitucionalidad, la Corte reiteró que el señor Rico había omitido formular tal inconstitucionalidad en el recurso de nulidad local. En consecuencia estimó que la “cuestión federal es tardía en la medida en que el agravio que se invoca obedece a la conducta discrecional del recurrente”. </w:t>
      </w:r>
      <w:r w:rsidR="00F63903" w:rsidRPr="00D51072">
        <w:rPr>
          <w:rFonts w:cs="Times New Roman"/>
          <w:bCs/>
          <w:szCs w:val="20"/>
          <w:lang w:val="es-AR"/>
        </w:rPr>
        <w:t xml:space="preserve">Sobre los alegatos </w:t>
      </w:r>
      <w:r w:rsidR="009470C2" w:rsidRPr="00D51072">
        <w:rPr>
          <w:rFonts w:cs="Times New Roman"/>
          <w:bCs/>
          <w:szCs w:val="20"/>
          <w:lang w:val="es-AR"/>
        </w:rPr>
        <w:t>relacionados con los agravios causados por la valorac</w:t>
      </w:r>
      <w:r w:rsidR="000974BA" w:rsidRPr="00D51072">
        <w:rPr>
          <w:rFonts w:cs="Times New Roman"/>
          <w:bCs/>
          <w:szCs w:val="20"/>
          <w:lang w:val="es-AR"/>
        </w:rPr>
        <w:t>ión de la prueba por parte del J</w:t>
      </w:r>
      <w:r w:rsidR="009470C2" w:rsidRPr="00D51072">
        <w:rPr>
          <w:rFonts w:cs="Times New Roman"/>
          <w:bCs/>
          <w:szCs w:val="20"/>
          <w:lang w:val="es-AR"/>
        </w:rPr>
        <w:t xml:space="preserve">urado de </w:t>
      </w:r>
      <w:r w:rsidR="000974BA" w:rsidRPr="00D51072">
        <w:rPr>
          <w:rFonts w:cs="Times New Roman"/>
          <w:bCs/>
          <w:szCs w:val="20"/>
          <w:lang w:val="es-AR"/>
        </w:rPr>
        <w:t>E</w:t>
      </w:r>
      <w:r w:rsidR="009470C2" w:rsidRPr="00D51072">
        <w:rPr>
          <w:rFonts w:cs="Times New Roman"/>
          <w:bCs/>
          <w:szCs w:val="20"/>
          <w:lang w:val="es-AR"/>
        </w:rPr>
        <w:t xml:space="preserve">njuiciamiento, </w:t>
      </w:r>
      <w:r w:rsidR="00B561C4" w:rsidRPr="00D51072">
        <w:rPr>
          <w:rFonts w:cs="Times New Roman"/>
          <w:bCs/>
          <w:szCs w:val="20"/>
          <w:lang w:val="es-AR"/>
        </w:rPr>
        <w:t>se refirió a</w:t>
      </w:r>
      <w:r w:rsidR="009470C2" w:rsidRPr="00D51072">
        <w:rPr>
          <w:rFonts w:cs="Times New Roman"/>
          <w:bCs/>
          <w:szCs w:val="20"/>
          <w:lang w:val="es-AR"/>
        </w:rPr>
        <w:t xml:space="preserve"> la “naturaleza procesal y local de la cuestión planteada y la falta de demostración nítida, inequívoca y concluyente del menoscabo de las garantías constitucionales”. </w:t>
      </w:r>
    </w:p>
    <w:p w14:paraId="3D5EC554" w14:textId="0F9C3FEF" w:rsidR="002E256A" w:rsidRPr="00D51072" w:rsidRDefault="00E751FF" w:rsidP="002E256A">
      <w:pPr>
        <w:pStyle w:val="Ttulo1"/>
        <w:rPr>
          <w:lang w:val="es-ES"/>
        </w:rPr>
      </w:pPr>
      <w:bookmarkStart w:id="92" w:name="_Toc486693383"/>
      <w:bookmarkStart w:id="93" w:name="_Toc486842799"/>
      <w:bookmarkStart w:id="94" w:name="_Toc486842937"/>
      <w:bookmarkStart w:id="95" w:name="_Toc23415000"/>
      <w:r w:rsidRPr="00D51072">
        <w:rPr>
          <w:caps w:val="0"/>
          <w:lang w:val="es-ES"/>
        </w:rPr>
        <w:t>VII</w:t>
      </w:r>
      <w:r w:rsidR="00D736C5" w:rsidRPr="00D51072">
        <w:rPr>
          <w:color w:val="FFFFFF" w:themeColor="background1"/>
          <w:lang w:val="es-ES"/>
        </w:rPr>
        <w:t>.</w:t>
      </w:r>
      <w:r w:rsidR="00D736C5" w:rsidRPr="00D51072">
        <w:rPr>
          <w:lang w:val="es-ES"/>
        </w:rPr>
        <w:br/>
      </w:r>
      <w:r w:rsidR="002E256A" w:rsidRPr="00D51072">
        <w:rPr>
          <w:lang w:val="es-ES"/>
        </w:rPr>
        <w:t>FONDO</w:t>
      </w:r>
      <w:bookmarkEnd w:id="92"/>
      <w:bookmarkEnd w:id="93"/>
      <w:bookmarkEnd w:id="94"/>
      <w:bookmarkEnd w:id="95"/>
    </w:p>
    <w:p w14:paraId="77C50C84" w14:textId="7EE8E9EF" w:rsidR="00DC58EE" w:rsidRPr="00D51072" w:rsidRDefault="002226C5" w:rsidP="00C07323">
      <w:pPr>
        <w:pStyle w:val="Prrafodelista"/>
        <w:numPr>
          <w:ilvl w:val="0"/>
          <w:numId w:val="2"/>
        </w:numPr>
        <w:tabs>
          <w:tab w:val="left" w:pos="0"/>
          <w:tab w:val="left" w:pos="567"/>
          <w:tab w:val="left" w:pos="1134"/>
        </w:tabs>
        <w:spacing w:before="120" w:after="120"/>
        <w:ind w:left="0" w:right="-6" w:firstLine="0"/>
        <w:contextualSpacing w:val="0"/>
        <w:rPr>
          <w:lang w:val="es-ES" w:eastAsia="es-ES"/>
        </w:rPr>
      </w:pPr>
      <w:r w:rsidRPr="00D51072">
        <w:rPr>
          <w:lang w:val="es-CR" w:eastAsia="es-CR"/>
        </w:rPr>
        <w:t xml:space="preserve">En el presente </w:t>
      </w:r>
      <w:r w:rsidRPr="00D51072">
        <w:rPr>
          <w:rFonts w:cs="Times New Roman"/>
          <w:szCs w:val="20"/>
          <w:lang w:val="es-CO"/>
        </w:rPr>
        <w:t>caso</w:t>
      </w:r>
      <w:r w:rsidRPr="00D51072">
        <w:rPr>
          <w:lang w:val="es-CR" w:eastAsia="es-CR"/>
        </w:rPr>
        <w:t xml:space="preserve">, la Corte debe analizar </w:t>
      </w:r>
      <w:r w:rsidR="00881E12" w:rsidRPr="00D51072">
        <w:rPr>
          <w:szCs w:val="20"/>
          <w:lang w:val="es-ES"/>
        </w:rPr>
        <w:t xml:space="preserve">la responsabilidad internacional del Estado por </w:t>
      </w:r>
      <w:r w:rsidR="00881E12" w:rsidRPr="00D51072">
        <w:rPr>
          <w:lang w:val="es-CR" w:eastAsia="es-CR"/>
        </w:rPr>
        <w:t xml:space="preserve">la </w:t>
      </w:r>
      <w:r w:rsidR="00643836" w:rsidRPr="00D51072">
        <w:rPr>
          <w:lang w:val="es-CR" w:eastAsia="es-CR"/>
        </w:rPr>
        <w:t xml:space="preserve">alegada </w:t>
      </w:r>
      <w:r w:rsidR="00881E12" w:rsidRPr="00D51072">
        <w:rPr>
          <w:lang w:val="es-CR" w:eastAsia="es-CR"/>
        </w:rPr>
        <w:t xml:space="preserve">violación a diversos derechos convencionales en relación </w:t>
      </w:r>
      <w:r w:rsidR="0062318A">
        <w:rPr>
          <w:lang w:val="es-CR" w:eastAsia="es-CR"/>
        </w:rPr>
        <w:t xml:space="preserve">con </w:t>
      </w:r>
      <w:r w:rsidR="00781EDA">
        <w:rPr>
          <w:lang w:val="es-CR" w:eastAsia="es-CR"/>
        </w:rPr>
        <w:t xml:space="preserve">el proceso de destitución del señor </w:t>
      </w:r>
      <w:r w:rsidR="00221F21" w:rsidRPr="00D51072">
        <w:rPr>
          <w:lang w:val="es-CR" w:eastAsia="es-CR"/>
        </w:rPr>
        <w:t>Eduardo Rico por un Jurado de Enjuiciamiento</w:t>
      </w:r>
      <w:r w:rsidR="00881E12" w:rsidRPr="00D51072">
        <w:rPr>
          <w:lang w:val="es-CR" w:eastAsia="es-CR"/>
        </w:rPr>
        <w:t>.</w:t>
      </w:r>
      <w:r w:rsidR="00C72B63" w:rsidRPr="00D51072">
        <w:rPr>
          <w:lang w:val="es-CR" w:eastAsia="es-CR"/>
        </w:rPr>
        <w:t xml:space="preserve"> De acuerdo con</w:t>
      </w:r>
      <w:r w:rsidR="00C72B63" w:rsidRPr="00D51072">
        <w:rPr>
          <w:szCs w:val="20"/>
        </w:rPr>
        <w:t xml:space="preserve"> lo alegado, </w:t>
      </w:r>
      <w:r w:rsidR="00221F21" w:rsidRPr="00D51072">
        <w:rPr>
          <w:szCs w:val="20"/>
        </w:rPr>
        <w:t xml:space="preserve">el Estado habría </w:t>
      </w:r>
      <w:r w:rsidR="00EA183A">
        <w:rPr>
          <w:szCs w:val="20"/>
        </w:rPr>
        <w:t>vulnerado</w:t>
      </w:r>
      <w:r w:rsidR="00221F21" w:rsidRPr="00D51072">
        <w:rPr>
          <w:szCs w:val="20"/>
        </w:rPr>
        <w:t xml:space="preserve"> </w:t>
      </w:r>
      <w:r w:rsidR="001C0FFF">
        <w:rPr>
          <w:szCs w:val="20"/>
        </w:rPr>
        <w:t xml:space="preserve">el principio de independencia judicial, de imparcialidad, </w:t>
      </w:r>
      <w:r w:rsidR="00221F21" w:rsidRPr="00D51072">
        <w:rPr>
          <w:szCs w:val="20"/>
        </w:rPr>
        <w:t xml:space="preserve">el derecho a recurrir del fallo, </w:t>
      </w:r>
      <w:r w:rsidR="00EA183A">
        <w:rPr>
          <w:szCs w:val="20"/>
        </w:rPr>
        <w:t>e</w:t>
      </w:r>
      <w:r w:rsidR="001C0FFF">
        <w:rPr>
          <w:szCs w:val="20"/>
        </w:rPr>
        <w:t xml:space="preserve">l derecho de defensa, </w:t>
      </w:r>
      <w:r w:rsidR="00221F21" w:rsidRPr="00D51072">
        <w:rPr>
          <w:szCs w:val="20"/>
        </w:rPr>
        <w:t>a contar con decisiones debidamente motivadas</w:t>
      </w:r>
      <w:r w:rsidR="00EA183A">
        <w:rPr>
          <w:szCs w:val="20"/>
        </w:rPr>
        <w:t>,</w:t>
      </w:r>
      <w:r w:rsidR="00221F21" w:rsidRPr="00D51072">
        <w:rPr>
          <w:szCs w:val="20"/>
        </w:rPr>
        <w:t xml:space="preserve"> el principio de legalidad, </w:t>
      </w:r>
      <w:r w:rsidR="00EA183A">
        <w:rPr>
          <w:szCs w:val="20"/>
        </w:rPr>
        <w:t>e</w:t>
      </w:r>
      <w:r w:rsidR="0089183E" w:rsidRPr="00D51072">
        <w:rPr>
          <w:szCs w:val="20"/>
        </w:rPr>
        <w:t>l derecho a la protección judicial y a los derechos políticos</w:t>
      </w:r>
      <w:r w:rsidR="00221F21" w:rsidRPr="00D51072">
        <w:rPr>
          <w:szCs w:val="20"/>
        </w:rPr>
        <w:t xml:space="preserve">. </w:t>
      </w:r>
      <w:r w:rsidR="009B4A33" w:rsidRPr="00D51072">
        <w:rPr>
          <w:szCs w:val="20"/>
        </w:rPr>
        <w:t>A continuación, el Tribunal pasa a considerar y resolver el fondo de la controversia. Para ello, analizará</w:t>
      </w:r>
      <w:r w:rsidR="00C02BC8" w:rsidRPr="00D51072">
        <w:rPr>
          <w:szCs w:val="20"/>
        </w:rPr>
        <w:t xml:space="preserve"> l</w:t>
      </w:r>
      <w:r w:rsidR="00AD6F23" w:rsidRPr="00D51072">
        <w:rPr>
          <w:szCs w:val="20"/>
        </w:rPr>
        <w:t>a</w:t>
      </w:r>
      <w:r w:rsidR="00C02BC8" w:rsidRPr="00D51072">
        <w:rPr>
          <w:szCs w:val="20"/>
        </w:rPr>
        <w:t>s</w:t>
      </w:r>
      <w:r w:rsidR="0015709C" w:rsidRPr="00D51072">
        <w:rPr>
          <w:szCs w:val="20"/>
        </w:rPr>
        <w:t xml:space="preserve"> violaciones alegadas de la siguiente forma</w:t>
      </w:r>
      <w:r w:rsidR="00944FF0" w:rsidRPr="00D51072">
        <w:rPr>
          <w:szCs w:val="20"/>
        </w:rPr>
        <w:t>:</w:t>
      </w:r>
      <w:r w:rsidR="009B4A33" w:rsidRPr="00D51072">
        <w:rPr>
          <w:szCs w:val="20"/>
        </w:rPr>
        <w:t xml:space="preserve"> a) </w:t>
      </w:r>
      <w:r w:rsidR="00C02BC8" w:rsidRPr="00D51072">
        <w:rPr>
          <w:szCs w:val="20"/>
        </w:rPr>
        <w:t>D</w:t>
      </w:r>
      <w:r w:rsidR="006C382F" w:rsidRPr="00D51072">
        <w:rPr>
          <w:szCs w:val="20"/>
        </w:rPr>
        <w:t>erecho a las gara</w:t>
      </w:r>
      <w:r w:rsidR="00AD6F23" w:rsidRPr="00D51072">
        <w:rPr>
          <w:szCs w:val="20"/>
        </w:rPr>
        <w:t>ntías judiciales del señor Rico;</w:t>
      </w:r>
      <w:r w:rsidR="006C382F" w:rsidRPr="00D51072">
        <w:rPr>
          <w:szCs w:val="20"/>
        </w:rPr>
        <w:t xml:space="preserve"> b) Derecho a la protección judicial del señor Rico</w:t>
      </w:r>
      <w:r w:rsidR="00AD6F23" w:rsidRPr="00D51072">
        <w:rPr>
          <w:szCs w:val="20"/>
        </w:rPr>
        <w:t>, y</w:t>
      </w:r>
      <w:r w:rsidR="006C382F" w:rsidRPr="00D51072">
        <w:rPr>
          <w:szCs w:val="20"/>
        </w:rPr>
        <w:t xml:space="preserve"> c) Principio de legalidad</w:t>
      </w:r>
      <w:r w:rsidR="0073242E" w:rsidRPr="00D51072">
        <w:rPr>
          <w:szCs w:val="20"/>
        </w:rPr>
        <w:t>,</w:t>
      </w:r>
      <w:r w:rsidR="006C382F" w:rsidRPr="00D51072">
        <w:rPr>
          <w:szCs w:val="20"/>
        </w:rPr>
        <w:t xml:space="preserve"> y Derechos Políticos del señor Rico</w:t>
      </w:r>
      <w:r w:rsidR="00D766AA" w:rsidRPr="00D51072">
        <w:rPr>
          <w:szCs w:val="20"/>
        </w:rPr>
        <w:t>.</w:t>
      </w:r>
    </w:p>
    <w:p w14:paraId="11C5FC41" w14:textId="4D1E1918" w:rsidR="00CC5302" w:rsidRPr="00D51072" w:rsidRDefault="00E751FF" w:rsidP="00AE7650">
      <w:pPr>
        <w:pStyle w:val="Ttulo1"/>
        <w:rPr>
          <w:rStyle w:val="Ttulo1Car"/>
          <w:b/>
        </w:rPr>
      </w:pPr>
      <w:bookmarkStart w:id="96" w:name="_Toc23415001"/>
      <w:bookmarkStart w:id="97" w:name="_Toc486693384"/>
      <w:bookmarkStart w:id="98" w:name="_Toc486842800"/>
      <w:bookmarkStart w:id="99" w:name="_Toc486842938"/>
      <w:r w:rsidRPr="00D51072">
        <w:rPr>
          <w:rStyle w:val="AsuntodelcomentarioCar"/>
          <w:b/>
          <w:caps w:val="0"/>
        </w:rPr>
        <w:lastRenderedPageBreak/>
        <w:t>VII</w:t>
      </w:r>
      <w:r w:rsidR="00DC58EE" w:rsidRPr="00D51072">
        <w:rPr>
          <w:rStyle w:val="AsuntodelcomentarioCar"/>
          <w:b/>
        </w:rPr>
        <w:t>.1</w:t>
      </w:r>
      <w:r w:rsidR="00DC58EE" w:rsidRPr="00D51072">
        <w:rPr>
          <w:rStyle w:val="AsuntodelcomentarioCar"/>
          <w:b/>
          <w:color w:val="FFFFFF" w:themeColor="background1"/>
        </w:rPr>
        <w:t>.</w:t>
      </w:r>
      <w:r w:rsidR="00DC58EE" w:rsidRPr="00D51072">
        <w:rPr>
          <w:rStyle w:val="AsuntodelcomentarioCar"/>
          <w:b/>
        </w:rPr>
        <w:br/>
      </w:r>
      <w:r w:rsidR="00C10BA6" w:rsidRPr="00D51072">
        <w:rPr>
          <w:rFonts w:cs="Arial"/>
          <w:caps w:val="0"/>
        </w:rPr>
        <w:t>DERECHO A LAS GARANTÍAS JUDICIALES</w:t>
      </w:r>
      <w:r w:rsidR="00091CFE" w:rsidRPr="00D51072">
        <w:rPr>
          <w:rStyle w:val="Ttulo1Car"/>
          <w:b/>
        </w:rPr>
        <w:t xml:space="preserve"> </w:t>
      </w:r>
      <w:r w:rsidR="00C10BA6" w:rsidRPr="00D51072">
        <w:rPr>
          <w:rFonts w:cs="Arial"/>
          <w:caps w:val="0"/>
        </w:rPr>
        <w:t>DEL SEÑOR RICO</w:t>
      </w:r>
      <w:bookmarkEnd w:id="96"/>
      <w:r w:rsidR="00CC5302" w:rsidRPr="00D51072">
        <w:rPr>
          <w:rStyle w:val="Ttulo1Car"/>
          <w:b/>
        </w:rPr>
        <w:t xml:space="preserve"> </w:t>
      </w:r>
    </w:p>
    <w:p w14:paraId="4C1B3A3F" w14:textId="4C80F80E" w:rsidR="006D122D" w:rsidRPr="00D51072" w:rsidRDefault="00944D65" w:rsidP="00035C05">
      <w:pPr>
        <w:pStyle w:val="Ttulo2"/>
        <w:keepLines w:val="0"/>
        <w:numPr>
          <w:ilvl w:val="0"/>
          <w:numId w:val="15"/>
        </w:numPr>
        <w:spacing w:before="240" w:after="240"/>
        <w:rPr>
          <w:rFonts w:ascii="Verdana" w:hAnsi="Verdana" w:cs="Tahoma"/>
          <w:i/>
          <w:color w:val="auto"/>
          <w:sz w:val="20"/>
          <w:lang w:eastAsia="x-none"/>
        </w:rPr>
      </w:pPr>
      <w:bookmarkStart w:id="100" w:name="_Toc486693385"/>
      <w:bookmarkStart w:id="101" w:name="_Toc486842801"/>
      <w:bookmarkStart w:id="102" w:name="_Toc486842939"/>
      <w:bookmarkStart w:id="103" w:name="_Toc23415002"/>
      <w:bookmarkEnd w:id="97"/>
      <w:bookmarkEnd w:id="98"/>
      <w:bookmarkEnd w:id="99"/>
      <w:r>
        <w:rPr>
          <w:rFonts w:ascii="Verdana" w:hAnsi="Verdana" w:cs="Tahoma"/>
          <w:i/>
          <w:color w:val="auto"/>
          <w:sz w:val="20"/>
          <w:lang w:eastAsia="x-none"/>
        </w:rPr>
        <w:t>Alegatos</w:t>
      </w:r>
      <w:r w:rsidR="006D122D" w:rsidRPr="00D51072">
        <w:rPr>
          <w:rFonts w:ascii="Verdana" w:hAnsi="Verdana" w:cs="Tahoma"/>
          <w:i/>
          <w:color w:val="auto"/>
          <w:sz w:val="20"/>
          <w:lang w:eastAsia="x-none"/>
        </w:rPr>
        <w:t xml:space="preserve"> de la Comisión y de las partes</w:t>
      </w:r>
      <w:bookmarkEnd w:id="100"/>
      <w:bookmarkEnd w:id="101"/>
      <w:bookmarkEnd w:id="102"/>
      <w:bookmarkEnd w:id="103"/>
    </w:p>
    <w:p w14:paraId="05D38795" w14:textId="52778BF3" w:rsidR="00610D04" w:rsidRPr="00D51072" w:rsidRDefault="00610D04" w:rsidP="00F85E38">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 xml:space="preserve">Los </w:t>
      </w:r>
      <w:r w:rsidRPr="00D51072">
        <w:rPr>
          <w:szCs w:val="20"/>
        </w:rPr>
        <w:t>representantes</w:t>
      </w:r>
      <w:r w:rsidRPr="00D51072">
        <w:rPr>
          <w:i w:val="0"/>
          <w:szCs w:val="20"/>
        </w:rPr>
        <w:t xml:space="preserve"> consideraron que el proceso adelantado con el propósito de destituir a Eduardo Rico, </w:t>
      </w:r>
      <w:r w:rsidR="002C55B5">
        <w:rPr>
          <w:i w:val="0"/>
          <w:szCs w:val="20"/>
        </w:rPr>
        <w:t>vulneró</w:t>
      </w:r>
      <w:r w:rsidRPr="00D51072">
        <w:rPr>
          <w:i w:val="0"/>
          <w:szCs w:val="20"/>
        </w:rPr>
        <w:t xml:space="preserve"> las garantías </w:t>
      </w:r>
      <w:r w:rsidR="008A5CFA">
        <w:rPr>
          <w:i w:val="0"/>
          <w:szCs w:val="20"/>
        </w:rPr>
        <w:t>contenidas</w:t>
      </w:r>
      <w:r w:rsidRPr="00D51072">
        <w:rPr>
          <w:i w:val="0"/>
          <w:szCs w:val="20"/>
        </w:rPr>
        <w:t xml:space="preserve"> en </w:t>
      </w:r>
      <w:r w:rsidR="002C55B5">
        <w:rPr>
          <w:i w:val="0"/>
          <w:szCs w:val="20"/>
        </w:rPr>
        <w:t>los</w:t>
      </w:r>
      <w:r w:rsidRPr="00D51072">
        <w:rPr>
          <w:i w:val="0"/>
          <w:szCs w:val="20"/>
        </w:rPr>
        <w:t xml:space="preserve"> artículo</w:t>
      </w:r>
      <w:r w:rsidR="002C55B5">
        <w:rPr>
          <w:i w:val="0"/>
          <w:szCs w:val="20"/>
        </w:rPr>
        <w:t>s</w:t>
      </w:r>
      <w:r w:rsidRPr="00D51072">
        <w:rPr>
          <w:i w:val="0"/>
          <w:szCs w:val="20"/>
        </w:rPr>
        <w:t xml:space="preserve"> 8.1 y 8.2 de la Convención, en particular</w:t>
      </w:r>
      <w:r w:rsidR="00F7690D">
        <w:rPr>
          <w:i w:val="0"/>
          <w:szCs w:val="20"/>
        </w:rPr>
        <w:t>,</w:t>
      </w:r>
      <w:r w:rsidRPr="00D51072">
        <w:rPr>
          <w:i w:val="0"/>
          <w:szCs w:val="20"/>
        </w:rPr>
        <w:t xml:space="preserve"> el derecho a contar con un juez competente, independiente e imparcial; el derecho a la defensa y otras garantías judiciales; el derecho a contar con un fallo motivado</w:t>
      </w:r>
      <w:r w:rsidR="00BF556B" w:rsidRPr="00D51072">
        <w:rPr>
          <w:i w:val="0"/>
          <w:szCs w:val="20"/>
        </w:rPr>
        <w:t>,</w:t>
      </w:r>
      <w:r w:rsidRPr="00D51072">
        <w:rPr>
          <w:i w:val="0"/>
          <w:szCs w:val="20"/>
        </w:rPr>
        <w:t xml:space="preserve"> y el derecho a recurrir el fallo ante un juez o tribunal superior</w:t>
      </w:r>
      <w:r w:rsidR="001330C8">
        <w:rPr>
          <w:i w:val="0"/>
          <w:szCs w:val="20"/>
        </w:rPr>
        <w:t xml:space="preserve"> en perjuicio del señor Rico</w:t>
      </w:r>
      <w:r w:rsidRPr="00D51072">
        <w:rPr>
          <w:i w:val="0"/>
          <w:szCs w:val="20"/>
        </w:rPr>
        <w:t>.</w:t>
      </w:r>
      <w:r w:rsidR="00823F10" w:rsidRPr="00D51072">
        <w:rPr>
          <w:i w:val="0"/>
          <w:szCs w:val="20"/>
        </w:rPr>
        <w:t xml:space="preserve"> Por su parte,</w:t>
      </w:r>
      <w:r w:rsidR="00BE5878" w:rsidRPr="00D51072">
        <w:rPr>
          <w:i w:val="0"/>
          <w:szCs w:val="20"/>
        </w:rPr>
        <w:t xml:space="preserve"> la </w:t>
      </w:r>
      <w:r w:rsidR="00BE5878" w:rsidRPr="00D51072">
        <w:rPr>
          <w:szCs w:val="20"/>
        </w:rPr>
        <w:t>Comisión</w:t>
      </w:r>
      <w:r w:rsidR="00BE5878" w:rsidRPr="00D51072">
        <w:rPr>
          <w:i w:val="0"/>
          <w:szCs w:val="20"/>
        </w:rPr>
        <w:t xml:space="preserve"> consideró que el Estado era responsable por una vulneración al derecho a contar con un fallo motivado, y al derecho a recurrir el fallo ante un juez o tribunal superior en perjuicio del señor Rico.</w:t>
      </w:r>
    </w:p>
    <w:p w14:paraId="04E7C707" w14:textId="7168985C" w:rsidR="00610D04" w:rsidRPr="00D51072" w:rsidRDefault="00610D04" w:rsidP="002D7AA2">
      <w:pPr>
        <w:pStyle w:val="Estilo1"/>
        <w:numPr>
          <w:ilvl w:val="1"/>
          <w:numId w:val="2"/>
        </w:numPr>
        <w:tabs>
          <w:tab w:val="left" w:pos="0"/>
          <w:tab w:val="left" w:pos="567"/>
          <w:tab w:val="left" w:pos="1134"/>
        </w:tabs>
        <w:spacing w:before="240" w:after="240"/>
        <w:ind w:right="-6"/>
        <w:rPr>
          <w:szCs w:val="20"/>
        </w:rPr>
      </w:pPr>
      <w:r w:rsidRPr="00D51072">
        <w:rPr>
          <w:szCs w:val="20"/>
        </w:rPr>
        <w:t xml:space="preserve">Derecho a un juez competente, independiente e imparcial </w:t>
      </w:r>
    </w:p>
    <w:p w14:paraId="457AF08A" w14:textId="01E7D62B" w:rsidR="00EC5160" w:rsidRPr="00D51072" w:rsidRDefault="00EC5160" w:rsidP="00EC5160">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 xml:space="preserve">Frente a la alegada vulneración al derecho a contar con un juez independiente, la </w:t>
      </w:r>
      <w:r w:rsidRPr="00D51072">
        <w:rPr>
          <w:szCs w:val="20"/>
        </w:rPr>
        <w:t>Comisión</w:t>
      </w:r>
      <w:r w:rsidR="00B03D3C">
        <w:rPr>
          <w:i w:val="0"/>
          <w:szCs w:val="20"/>
        </w:rPr>
        <w:t xml:space="preserve"> señaló</w:t>
      </w:r>
      <w:r w:rsidRPr="00D51072">
        <w:rPr>
          <w:i w:val="0"/>
          <w:szCs w:val="20"/>
        </w:rPr>
        <w:t xml:space="preserve"> que la participación de manera decisiva del órgano legislativo en los procesos sancionatorios contra jueces es problemática y constituye, en sí misma, una fuente de riesgo para el ejercicio de dicha función de manera independiente. Sin embargo, reconoció en el caso no existen elementos de prueba para inferir una afectación real a este derecho. Indicó que en el presente caso las reglas de </w:t>
      </w:r>
      <w:r w:rsidR="00927C1D" w:rsidRPr="00D51072">
        <w:rPr>
          <w:i w:val="0"/>
          <w:szCs w:val="20"/>
        </w:rPr>
        <w:t>conformación del J</w:t>
      </w:r>
      <w:r w:rsidRPr="00D51072">
        <w:rPr>
          <w:i w:val="0"/>
          <w:szCs w:val="20"/>
        </w:rPr>
        <w:t xml:space="preserve">urado de </w:t>
      </w:r>
      <w:r w:rsidR="00927C1D" w:rsidRPr="00D51072">
        <w:rPr>
          <w:i w:val="0"/>
          <w:szCs w:val="20"/>
        </w:rPr>
        <w:t>E</w:t>
      </w:r>
      <w:r w:rsidRPr="00D51072">
        <w:rPr>
          <w:i w:val="0"/>
          <w:szCs w:val="20"/>
        </w:rPr>
        <w:t>njuiciamiento estaban previamente establecidas en la ley. Con respecto a la garantía de imparcialidad, no encontró elementos concretos que apunten a que el Jurado de Enjuiciamiento que conoció el caso haya actuado motivado políticamente de forma que su imparcialidad subjetiva estuviera comprometida.</w:t>
      </w:r>
    </w:p>
    <w:p w14:paraId="55E9AF02" w14:textId="6A6F7F67" w:rsidR="00610D04" w:rsidRPr="00D51072" w:rsidRDefault="00EC5160" w:rsidP="00610D04">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Por su parte, los</w:t>
      </w:r>
      <w:r w:rsidR="00610D04" w:rsidRPr="00D51072">
        <w:rPr>
          <w:szCs w:val="20"/>
        </w:rPr>
        <w:t xml:space="preserve"> representantes</w:t>
      </w:r>
      <w:r w:rsidR="00610D04" w:rsidRPr="00D51072">
        <w:rPr>
          <w:i w:val="0"/>
          <w:szCs w:val="20"/>
        </w:rPr>
        <w:t xml:space="preserve"> sostuvieron que el </w:t>
      </w:r>
      <w:r w:rsidR="004503D8" w:rsidRPr="00D51072">
        <w:rPr>
          <w:i w:val="0"/>
          <w:szCs w:val="20"/>
        </w:rPr>
        <w:t>J</w:t>
      </w:r>
      <w:r w:rsidR="00610D04" w:rsidRPr="00D51072">
        <w:rPr>
          <w:i w:val="0"/>
          <w:szCs w:val="20"/>
        </w:rPr>
        <w:t xml:space="preserve">urado de </w:t>
      </w:r>
      <w:r w:rsidR="004503D8" w:rsidRPr="00D51072">
        <w:rPr>
          <w:i w:val="0"/>
          <w:szCs w:val="20"/>
        </w:rPr>
        <w:t>E</w:t>
      </w:r>
      <w:r w:rsidR="00610D04" w:rsidRPr="00D51072">
        <w:rPr>
          <w:i w:val="0"/>
          <w:szCs w:val="20"/>
        </w:rPr>
        <w:t>njuiciamiento no es un tribunal de justicia que dicte actos de carácter jurisdiccional por su composición y criterio de decisión. Además</w:t>
      </w:r>
      <w:r w:rsidR="00F7690D">
        <w:rPr>
          <w:i w:val="0"/>
          <w:szCs w:val="20"/>
        </w:rPr>
        <w:t>,</w:t>
      </w:r>
      <w:r w:rsidR="00610D04" w:rsidRPr="00D51072">
        <w:rPr>
          <w:i w:val="0"/>
          <w:szCs w:val="20"/>
        </w:rPr>
        <w:t xml:space="preserve"> argumentaron que existieron afectaciones a este derecho porque el mecanismo de conformación del Jurado mediante sorteo posterior a la denuncia generaba dificultades para resistir a presiones externas. En lo relativo al derecho a un juez imparcial sustentaron la vulneración en los cargos que ostentaban algunos miembros del jurado, en quien elevó la acusación y era el Vicepresidente del Consejo de la Magistratura, y </w:t>
      </w:r>
      <w:r w:rsidRPr="00D51072">
        <w:rPr>
          <w:i w:val="0"/>
          <w:szCs w:val="20"/>
        </w:rPr>
        <w:t xml:space="preserve">que por otra parte, </w:t>
      </w:r>
      <w:r w:rsidR="00610D04" w:rsidRPr="00D51072">
        <w:rPr>
          <w:i w:val="0"/>
          <w:szCs w:val="20"/>
        </w:rPr>
        <w:t xml:space="preserve">el Presidente del Jurado </w:t>
      </w:r>
      <w:r w:rsidR="006F5BBB" w:rsidRPr="00D51072">
        <w:rPr>
          <w:i w:val="0"/>
          <w:szCs w:val="20"/>
        </w:rPr>
        <w:t xml:space="preserve">era </w:t>
      </w:r>
      <w:r w:rsidRPr="00D51072">
        <w:rPr>
          <w:i w:val="0"/>
          <w:szCs w:val="20"/>
        </w:rPr>
        <w:t xml:space="preserve">también </w:t>
      </w:r>
      <w:r w:rsidR="006F5BBB" w:rsidRPr="00D51072">
        <w:rPr>
          <w:i w:val="0"/>
          <w:szCs w:val="20"/>
        </w:rPr>
        <w:t xml:space="preserve">Presidente </w:t>
      </w:r>
      <w:r w:rsidRPr="00D51072">
        <w:rPr>
          <w:i w:val="0"/>
          <w:szCs w:val="20"/>
        </w:rPr>
        <w:t xml:space="preserve">del </w:t>
      </w:r>
      <w:r w:rsidR="00610D04" w:rsidRPr="00D51072">
        <w:rPr>
          <w:i w:val="0"/>
          <w:szCs w:val="20"/>
        </w:rPr>
        <w:t>Consejo de la Magistratura.</w:t>
      </w:r>
    </w:p>
    <w:p w14:paraId="43D5CF88" w14:textId="0D7F2117" w:rsidR="00F85E38" w:rsidRPr="00D51072" w:rsidRDefault="00D30B1D" w:rsidP="005059EE">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E</w:t>
      </w:r>
      <w:r w:rsidR="002D7AA2" w:rsidRPr="00D51072">
        <w:rPr>
          <w:i w:val="0"/>
          <w:szCs w:val="20"/>
        </w:rPr>
        <w:t xml:space="preserve">l </w:t>
      </w:r>
      <w:r w:rsidR="002D7AA2" w:rsidRPr="00D51072">
        <w:rPr>
          <w:szCs w:val="20"/>
        </w:rPr>
        <w:t>Estado</w:t>
      </w:r>
      <w:r w:rsidR="002D7AA2" w:rsidRPr="00D51072">
        <w:rPr>
          <w:i w:val="0"/>
          <w:szCs w:val="20"/>
        </w:rPr>
        <w:t xml:space="preserve"> reiteró la postura de la Comisión en relación con la ausencia de elementos de prueba que acreditaren la vulneración de la imparcialidad o la afectación de la independencia por la presencia de legisladores en el jurado. Además hizo énfasis en que </w:t>
      </w:r>
      <w:r w:rsidR="005059EE" w:rsidRPr="00D51072">
        <w:rPr>
          <w:i w:val="0"/>
          <w:szCs w:val="20"/>
          <w:lang w:eastAsia="es-CR"/>
        </w:rPr>
        <w:t>la existencia de un elemento político en la constitución del tribunal obedece a razo</w:t>
      </w:r>
      <w:r w:rsidR="00944D65">
        <w:rPr>
          <w:i w:val="0"/>
          <w:szCs w:val="20"/>
          <w:lang w:eastAsia="es-CR"/>
        </w:rPr>
        <w:t>nes de equilibrio institucional, lo cual e</w:t>
      </w:r>
      <w:r w:rsidR="005059EE" w:rsidRPr="00D51072">
        <w:rPr>
          <w:i w:val="0"/>
          <w:szCs w:val="20"/>
          <w:lang w:eastAsia="es-CR"/>
        </w:rPr>
        <w:t xml:space="preserve">s </w:t>
      </w:r>
      <w:r w:rsidR="005059EE" w:rsidRPr="00D51072">
        <w:rPr>
          <w:i w:val="0"/>
          <w:szCs w:val="20"/>
        </w:rPr>
        <w:t>ajeno</w:t>
      </w:r>
      <w:r w:rsidR="005059EE" w:rsidRPr="00D51072">
        <w:rPr>
          <w:i w:val="0"/>
          <w:szCs w:val="20"/>
          <w:lang w:eastAsia="es-CR"/>
        </w:rPr>
        <w:t xml:space="preserve"> a la competencia material de la Corte y </w:t>
      </w:r>
      <w:r w:rsidR="00944D65">
        <w:rPr>
          <w:i w:val="0"/>
          <w:szCs w:val="20"/>
          <w:lang w:eastAsia="es-CR"/>
        </w:rPr>
        <w:t>no</w:t>
      </w:r>
      <w:r w:rsidR="005059EE" w:rsidRPr="00D51072">
        <w:rPr>
          <w:i w:val="0"/>
          <w:szCs w:val="20"/>
          <w:lang w:eastAsia="es-CR"/>
        </w:rPr>
        <w:t xml:space="preserve"> puede constituir una </w:t>
      </w:r>
      <w:r w:rsidR="00944D65">
        <w:rPr>
          <w:i w:val="0"/>
          <w:szCs w:val="20"/>
          <w:lang w:eastAsia="es-CR"/>
        </w:rPr>
        <w:t>vulneración a</w:t>
      </w:r>
      <w:r w:rsidR="005059EE" w:rsidRPr="00D51072">
        <w:rPr>
          <w:i w:val="0"/>
          <w:szCs w:val="20"/>
          <w:lang w:eastAsia="es-CR"/>
        </w:rPr>
        <w:t xml:space="preserve"> la Convención.</w:t>
      </w:r>
    </w:p>
    <w:p w14:paraId="3ECA88ED" w14:textId="6BECC61E" w:rsidR="002D7AA2" w:rsidRPr="00D51072" w:rsidRDefault="002D7AA2" w:rsidP="002D7AA2">
      <w:pPr>
        <w:pStyle w:val="Estilo1"/>
        <w:numPr>
          <w:ilvl w:val="5"/>
          <w:numId w:val="1"/>
        </w:numPr>
        <w:tabs>
          <w:tab w:val="left" w:pos="0"/>
          <w:tab w:val="left" w:pos="567"/>
          <w:tab w:val="left" w:pos="1134"/>
        </w:tabs>
        <w:spacing w:before="240" w:after="240"/>
        <w:ind w:left="1134" w:right="-6"/>
        <w:rPr>
          <w:szCs w:val="20"/>
        </w:rPr>
      </w:pPr>
      <w:bookmarkStart w:id="104" w:name="_Toc486693386"/>
      <w:bookmarkStart w:id="105" w:name="_Toc486842802"/>
      <w:bookmarkStart w:id="106" w:name="_Toc486842940"/>
      <w:r w:rsidRPr="00D51072">
        <w:rPr>
          <w:szCs w:val="20"/>
        </w:rPr>
        <w:t>Derecho a la defensa y otras garantías judiciales</w:t>
      </w:r>
    </w:p>
    <w:p w14:paraId="2D40EE00" w14:textId="1D2DFEFA" w:rsidR="000875EF" w:rsidRPr="00D51072" w:rsidRDefault="000875EF" w:rsidP="000875EF">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Los</w:t>
      </w:r>
      <w:r w:rsidRPr="00D51072">
        <w:rPr>
          <w:szCs w:val="20"/>
        </w:rPr>
        <w:t xml:space="preserve"> representantes</w:t>
      </w:r>
      <w:r w:rsidRPr="00D51072">
        <w:rPr>
          <w:i w:val="0"/>
          <w:szCs w:val="20"/>
        </w:rPr>
        <w:t xml:space="preserve"> afirmaron que, en el marco del proceso sancionatorio en perjuicio del señor Rico se vulneró su derecho a la defensa establecido en el artículo 8.2 de la Convención, por la ampliación de manera arbitraria</w:t>
      </w:r>
      <w:r w:rsidR="00DA2860">
        <w:rPr>
          <w:i w:val="0"/>
          <w:szCs w:val="20"/>
        </w:rPr>
        <w:t xml:space="preserve"> del plazo de información sumari</w:t>
      </w:r>
      <w:r w:rsidRPr="00D51072">
        <w:rPr>
          <w:i w:val="0"/>
          <w:szCs w:val="20"/>
        </w:rPr>
        <w:t>a en perjuicio de la parte acusada y por la denegatori</w:t>
      </w:r>
      <w:r w:rsidR="000B74B2" w:rsidRPr="00D51072">
        <w:rPr>
          <w:i w:val="0"/>
          <w:szCs w:val="20"/>
        </w:rPr>
        <w:t>a</w:t>
      </w:r>
      <w:r w:rsidRPr="00D51072">
        <w:rPr>
          <w:i w:val="0"/>
          <w:szCs w:val="20"/>
        </w:rPr>
        <w:t xml:space="preserve"> de prueba esencial para su defensa con base en argumentos meramente formalistas. Sobre ese punto, la </w:t>
      </w:r>
      <w:r w:rsidRPr="00D51072">
        <w:rPr>
          <w:szCs w:val="20"/>
        </w:rPr>
        <w:t>Comisión</w:t>
      </w:r>
      <w:r w:rsidRPr="00D51072">
        <w:rPr>
          <w:i w:val="0"/>
          <w:szCs w:val="20"/>
        </w:rPr>
        <w:t xml:space="preserve"> no encontró ninguna vulneración, afirmó que a lo largo del procedimiento </w:t>
      </w:r>
      <w:r w:rsidR="00DA2860">
        <w:rPr>
          <w:i w:val="0"/>
          <w:szCs w:val="20"/>
        </w:rPr>
        <w:t>hubo</w:t>
      </w:r>
      <w:r w:rsidRPr="00D51072">
        <w:rPr>
          <w:i w:val="0"/>
          <w:szCs w:val="20"/>
        </w:rPr>
        <w:t xml:space="preserve"> lugar una ampliación del plazo de información sumaria</w:t>
      </w:r>
      <w:r w:rsidR="000B74B2" w:rsidRPr="00D51072">
        <w:rPr>
          <w:i w:val="0"/>
          <w:szCs w:val="20"/>
        </w:rPr>
        <w:t>,</w:t>
      </w:r>
      <w:r w:rsidRPr="00D51072">
        <w:rPr>
          <w:i w:val="0"/>
          <w:szCs w:val="20"/>
        </w:rPr>
        <w:t xml:space="preserve"> pero consideró que esa posibi</w:t>
      </w:r>
      <w:r w:rsidR="004F0AA2" w:rsidRPr="00D51072">
        <w:rPr>
          <w:i w:val="0"/>
          <w:szCs w:val="20"/>
        </w:rPr>
        <w:t xml:space="preserve">lidad estaba contemplada en la </w:t>
      </w:r>
      <w:r w:rsidR="00501F8C" w:rsidRPr="00D51072">
        <w:rPr>
          <w:i w:val="0"/>
          <w:szCs w:val="20"/>
        </w:rPr>
        <w:t>l</w:t>
      </w:r>
      <w:r w:rsidRPr="00D51072">
        <w:rPr>
          <w:i w:val="0"/>
          <w:szCs w:val="20"/>
        </w:rPr>
        <w:t xml:space="preserve">ey y que el peticionario no explicó de qué manera dicha ampliación perjudicó su derecho de </w:t>
      </w:r>
      <w:r w:rsidRPr="00D51072">
        <w:rPr>
          <w:i w:val="0"/>
          <w:szCs w:val="20"/>
        </w:rPr>
        <w:lastRenderedPageBreak/>
        <w:t xml:space="preserve">defensa. Respecto de la denegación de pruebas sostuvo que los motivos que sustentaron el rechazo no resultan manifiestamente irrazonables o incompatibles con los estándares aplicables. El </w:t>
      </w:r>
      <w:r w:rsidRPr="00D51072">
        <w:rPr>
          <w:szCs w:val="20"/>
        </w:rPr>
        <w:t>Estado</w:t>
      </w:r>
      <w:r w:rsidRPr="00D51072">
        <w:rPr>
          <w:i w:val="0"/>
          <w:szCs w:val="20"/>
        </w:rPr>
        <w:t xml:space="preserve"> </w:t>
      </w:r>
      <w:r w:rsidR="00DA2860">
        <w:rPr>
          <w:i w:val="0"/>
          <w:szCs w:val="20"/>
        </w:rPr>
        <w:t>coincidió con</w:t>
      </w:r>
      <w:r w:rsidRPr="00D51072">
        <w:rPr>
          <w:i w:val="0"/>
          <w:szCs w:val="20"/>
        </w:rPr>
        <w:t xml:space="preserve"> la postura de la Comisión. </w:t>
      </w:r>
    </w:p>
    <w:p w14:paraId="1171EF7D" w14:textId="71FABCFD" w:rsidR="000875EF" w:rsidRPr="00D51072" w:rsidRDefault="000875EF" w:rsidP="000875EF">
      <w:pPr>
        <w:pStyle w:val="Estilo1"/>
        <w:numPr>
          <w:ilvl w:val="5"/>
          <w:numId w:val="1"/>
        </w:numPr>
        <w:tabs>
          <w:tab w:val="left" w:pos="0"/>
          <w:tab w:val="left" w:pos="567"/>
          <w:tab w:val="left" w:pos="1134"/>
        </w:tabs>
        <w:spacing w:before="240" w:after="240"/>
        <w:ind w:left="1134" w:right="-6"/>
        <w:rPr>
          <w:szCs w:val="20"/>
        </w:rPr>
      </w:pPr>
      <w:r w:rsidRPr="00D51072">
        <w:rPr>
          <w:szCs w:val="20"/>
        </w:rPr>
        <w:t>Derecho a contar con un fallo motivado</w:t>
      </w:r>
    </w:p>
    <w:p w14:paraId="6C6B4E2B" w14:textId="4027400C" w:rsidR="000875EF" w:rsidRPr="00D51072" w:rsidRDefault="000875EF" w:rsidP="00393EF1">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 xml:space="preserve">La </w:t>
      </w:r>
      <w:r w:rsidRPr="00D51072">
        <w:rPr>
          <w:szCs w:val="20"/>
        </w:rPr>
        <w:t>Comisión</w:t>
      </w:r>
      <w:r w:rsidR="001130C6">
        <w:rPr>
          <w:i w:val="0"/>
          <w:szCs w:val="20"/>
        </w:rPr>
        <w:t xml:space="preserve"> y los </w:t>
      </w:r>
      <w:r w:rsidR="001130C6" w:rsidRPr="001130C6">
        <w:rPr>
          <w:szCs w:val="20"/>
        </w:rPr>
        <w:t>representantes</w:t>
      </w:r>
      <w:r w:rsidRPr="00D51072">
        <w:rPr>
          <w:i w:val="0"/>
          <w:szCs w:val="20"/>
        </w:rPr>
        <w:t xml:space="preserve"> indic</w:t>
      </w:r>
      <w:r w:rsidR="000B1BCC">
        <w:rPr>
          <w:i w:val="0"/>
          <w:szCs w:val="20"/>
        </w:rPr>
        <w:t>aron</w:t>
      </w:r>
      <w:r w:rsidRPr="00D51072">
        <w:rPr>
          <w:i w:val="0"/>
          <w:szCs w:val="20"/>
        </w:rPr>
        <w:t xml:space="preserve"> que la forma de motivación afectó las posibilidades de conocer con claridad y certeza los hechos que el jurado consideró acreditados, y las razones por las que se encuadraban en las causales disciplinarias que se estimaron probadas. El </w:t>
      </w:r>
      <w:r w:rsidRPr="00D51072">
        <w:rPr>
          <w:szCs w:val="20"/>
        </w:rPr>
        <w:t>Estado</w:t>
      </w:r>
      <w:r w:rsidRPr="00D51072">
        <w:rPr>
          <w:i w:val="0"/>
          <w:szCs w:val="20"/>
        </w:rPr>
        <w:t xml:space="preserve"> hizo una reseña de las respuestas de los miembros del jurado a algunas de las preguntas realizadas en el debate previo al veredicto y a partir de ello, sostuvo que existió una motivación fundada tanto en los hechos, como en las reglas de derecho aplicables. </w:t>
      </w:r>
      <w:r w:rsidR="005059EE" w:rsidRPr="00D51072">
        <w:rPr>
          <w:i w:val="0"/>
          <w:szCs w:val="20"/>
        </w:rPr>
        <w:t>Por último</w:t>
      </w:r>
      <w:r w:rsidR="00D3581F">
        <w:rPr>
          <w:i w:val="0"/>
          <w:szCs w:val="20"/>
        </w:rPr>
        <w:t>,</w:t>
      </w:r>
      <w:r w:rsidR="005059EE" w:rsidRPr="00D51072">
        <w:rPr>
          <w:i w:val="0"/>
          <w:szCs w:val="20"/>
        </w:rPr>
        <w:t xml:space="preserve"> señaló que la forma de estructuración del fallo o la redacción del mismo es materia ajena a la competencia de </w:t>
      </w:r>
      <w:r w:rsidR="001130C6">
        <w:rPr>
          <w:i w:val="0"/>
          <w:szCs w:val="20"/>
        </w:rPr>
        <w:t>la</w:t>
      </w:r>
      <w:r w:rsidR="005059EE" w:rsidRPr="00D51072">
        <w:rPr>
          <w:i w:val="0"/>
          <w:szCs w:val="20"/>
        </w:rPr>
        <w:t xml:space="preserve"> Corte</w:t>
      </w:r>
      <w:r w:rsidR="000B0EAB" w:rsidRPr="00D51072">
        <w:rPr>
          <w:i w:val="0"/>
          <w:szCs w:val="20"/>
        </w:rPr>
        <w:t>.</w:t>
      </w:r>
    </w:p>
    <w:p w14:paraId="6F9F2E0D" w14:textId="77777777" w:rsidR="009D1C09" w:rsidRPr="00D51072" w:rsidRDefault="009D1C09" w:rsidP="009D1C09">
      <w:pPr>
        <w:pStyle w:val="Estilo1"/>
        <w:numPr>
          <w:ilvl w:val="5"/>
          <w:numId w:val="1"/>
        </w:numPr>
        <w:tabs>
          <w:tab w:val="left" w:pos="0"/>
          <w:tab w:val="left" w:pos="567"/>
          <w:tab w:val="left" w:pos="1134"/>
        </w:tabs>
        <w:spacing w:before="240" w:after="240"/>
        <w:ind w:left="1134" w:right="-6"/>
        <w:rPr>
          <w:szCs w:val="20"/>
        </w:rPr>
      </w:pPr>
      <w:r w:rsidRPr="00D51072">
        <w:rPr>
          <w:szCs w:val="20"/>
        </w:rPr>
        <w:t>Derecho a recurrir el fallo ante un juez o tribunal superior</w:t>
      </w:r>
    </w:p>
    <w:p w14:paraId="3852F089" w14:textId="669D243A" w:rsidR="00B93339" w:rsidRPr="00D51072" w:rsidRDefault="00B93339" w:rsidP="00B93339">
      <w:pPr>
        <w:pStyle w:val="Estilo1"/>
        <w:numPr>
          <w:ilvl w:val="0"/>
          <w:numId w:val="2"/>
        </w:numPr>
        <w:tabs>
          <w:tab w:val="left" w:pos="0"/>
          <w:tab w:val="left" w:pos="567"/>
          <w:tab w:val="left" w:pos="1134"/>
        </w:tabs>
        <w:spacing w:before="120"/>
        <w:ind w:left="0" w:right="-6" w:firstLine="0"/>
        <w:rPr>
          <w:rFonts w:cs="Times New Roman"/>
          <w:i w:val="0"/>
          <w:szCs w:val="20"/>
        </w:rPr>
      </w:pPr>
      <w:r w:rsidRPr="00D51072">
        <w:rPr>
          <w:rFonts w:cs="Times New Roman"/>
          <w:i w:val="0"/>
          <w:szCs w:val="20"/>
        </w:rPr>
        <w:t xml:space="preserve">La </w:t>
      </w:r>
      <w:r w:rsidRPr="00D51072">
        <w:rPr>
          <w:rFonts w:cs="Times New Roman"/>
          <w:szCs w:val="20"/>
        </w:rPr>
        <w:t>Comisión</w:t>
      </w:r>
      <w:r w:rsidRPr="00D51072">
        <w:rPr>
          <w:rFonts w:cs="Times New Roman"/>
          <w:i w:val="0"/>
          <w:szCs w:val="20"/>
        </w:rPr>
        <w:t xml:space="preserve"> y los </w:t>
      </w:r>
      <w:r w:rsidRPr="00D51072">
        <w:rPr>
          <w:rFonts w:cs="Times New Roman"/>
          <w:szCs w:val="20"/>
        </w:rPr>
        <w:t>representantes</w:t>
      </w:r>
      <w:r w:rsidRPr="00D51072">
        <w:rPr>
          <w:rFonts w:cs="Times New Roman"/>
          <w:i w:val="0"/>
          <w:szCs w:val="20"/>
        </w:rPr>
        <w:t xml:space="preserve"> consideraron que la jurisprudencia de la Corte reconoce la aplicación del artículo 8.2.h) a juicios de naturaleza sancionatoria no penal, dando la posibilidad de recurrir ante una autoridad superior jerárquica para obtener una revisión de los hechos establecidos, de la prueba utilizada o de las causales aplicadas. Sin embargo</w:t>
      </w:r>
      <w:r w:rsidR="002D6414">
        <w:rPr>
          <w:rFonts w:cs="Times New Roman"/>
          <w:i w:val="0"/>
          <w:szCs w:val="20"/>
        </w:rPr>
        <w:t>,</w:t>
      </w:r>
      <w:r w:rsidRPr="00D51072">
        <w:rPr>
          <w:rFonts w:cs="Times New Roman"/>
          <w:i w:val="0"/>
          <w:szCs w:val="20"/>
        </w:rPr>
        <w:t xml:space="preserve"> </w:t>
      </w:r>
      <w:r w:rsidR="000B0EAB" w:rsidRPr="00D51072">
        <w:rPr>
          <w:rFonts w:cs="Times New Roman"/>
          <w:i w:val="0"/>
          <w:szCs w:val="20"/>
        </w:rPr>
        <w:t>encontraron</w:t>
      </w:r>
      <w:r w:rsidRPr="00D51072">
        <w:rPr>
          <w:rFonts w:cs="Times New Roman"/>
          <w:i w:val="0"/>
          <w:szCs w:val="20"/>
        </w:rPr>
        <w:t xml:space="preserve"> probado que la sanción impuesta por el Jurado de Enjuiciamiento no tenía la posibilidad de ser revisada judicialmente, sino únicamente en caso de vulneración del debido proceso, lo que no satisface esta garantía. </w:t>
      </w:r>
    </w:p>
    <w:p w14:paraId="757953EC" w14:textId="086E07DF" w:rsidR="002D7AA2" w:rsidRPr="00D51072" w:rsidRDefault="00B93339" w:rsidP="005059EE">
      <w:pPr>
        <w:pStyle w:val="Estilo1"/>
        <w:numPr>
          <w:ilvl w:val="0"/>
          <w:numId w:val="2"/>
        </w:numPr>
        <w:tabs>
          <w:tab w:val="left" w:pos="0"/>
          <w:tab w:val="left" w:pos="567"/>
          <w:tab w:val="left" w:pos="1134"/>
        </w:tabs>
        <w:spacing w:before="120"/>
        <w:ind w:left="0" w:right="-6" w:firstLine="0"/>
        <w:rPr>
          <w:rFonts w:cs="Times New Roman"/>
          <w:i w:val="0"/>
          <w:szCs w:val="20"/>
        </w:rPr>
      </w:pPr>
      <w:r w:rsidRPr="00D51072">
        <w:rPr>
          <w:rFonts w:cs="Times New Roman"/>
          <w:i w:val="0"/>
          <w:szCs w:val="20"/>
        </w:rPr>
        <w:t>E</w:t>
      </w:r>
      <w:r w:rsidRPr="00D51072">
        <w:rPr>
          <w:i w:val="0"/>
          <w:szCs w:val="20"/>
        </w:rPr>
        <w:t xml:space="preserve">l </w:t>
      </w:r>
      <w:r w:rsidRPr="00D51072">
        <w:rPr>
          <w:szCs w:val="20"/>
        </w:rPr>
        <w:t>Estado</w:t>
      </w:r>
      <w:r w:rsidRPr="00D51072">
        <w:rPr>
          <w:i w:val="0"/>
          <w:szCs w:val="20"/>
        </w:rPr>
        <w:t xml:space="preserve"> señaló que no existen fundamentos que permitan extender el campo de aplicación del artículo 8.2.h)</w:t>
      </w:r>
      <w:r w:rsidR="000B0EAB" w:rsidRPr="00D51072">
        <w:rPr>
          <w:i w:val="0"/>
          <w:szCs w:val="20"/>
        </w:rPr>
        <w:t xml:space="preserve"> de la </w:t>
      </w:r>
      <w:r w:rsidR="00195C4F">
        <w:rPr>
          <w:i w:val="0"/>
          <w:szCs w:val="20"/>
        </w:rPr>
        <w:t>Convención</w:t>
      </w:r>
      <w:r w:rsidRPr="00D51072">
        <w:rPr>
          <w:i w:val="0"/>
          <w:szCs w:val="20"/>
        </w:rPr>
        <w:t xml:space="preserve"> </w:t>
      </w:r>
      <w:r w:rsidR="00F428E7">
        <w:rPr>
          <w:i w:val="0"/>
          <w:szCs w:val="20"/>
        </w:rPr>
        <w:t>a</w:t>
      </w:r>
      <w:r w:rsidRPr="00D51072">
        <w:rPr>
          <w:i w:val="0"/>
          <w:szCs w:val="20"/>
        </w:rPr>
        <w:t xml:space="preserve"> los procesos en los que se evalúa la conducta de </w:t>
      </w:r>
      <w:r w:rsidRPr="00D51072">
        <w:rPr>
          <w:rFonts w:cs="Times New Roman"/>
          <w:i w:val="0"/>
          <w:szCs w:val="20"/>
        </w:rPr>
        <w:t>un</w:t>
      </w:r>
      <w:r w:rsidRPr="00D51072">
        <w:rPr>
          <w:i w:val="0"/>
          <w:szCs w:val="20"/>
        </w:rPr>
        <w:t xml:space="preserve"> magistrado y eventualmente se decide su destitución. </w:t>
      </w:r>
      <w:r w:rsidR="00F428E7">
        <w:rPr>
          <w:i w:val="0"/>
          <w:szCs w:val="20"/>
        </w:rPr>
        <w:t>H</w:t>
      </w:r>
      <w:r w:rsidRPr="00D51072">
        <w:rPr>
          <w:i w:val="0"/>
          <w:szCs w:val="20"/>
        </w:rPr>
        <w:t xml:space="preserve">izo mención a que por vía jurisprudencial existe un recurso, el </w:t>
      </w:r>
      <w:r w:rsidR="00F428E7">
        <w:rPr>
          <w:i w:val="0"/>
          <w:szCs w:val="20"/>
        </w:rPr>
        <w:t>REF</w:t>
      </w:r>
      <w:r w:rsidRPr="00D51072">
        <w:rPr>
          <w:i w:val="0"/>
          <w:szCs w:val="20"/>
        </w:rPr>
        <w:t>, en virtud del cual se puede lograr la revisión</w:t>
      </w:r>
      <w:r w:rsidR="003E237C" w:rsidRPr="00D51072">
        <w:rPr>
          <w:i w:val="0"/>
          <w:szCs w:val="20"/>
        </w:rPr>
        <w:t xml:space="preserve"> judicial del fallo</w:t>
      </w:r>
      <w:r w:rsidRPr="00D51072">
        <w:rPr>
          <w:i w:val="0"/>
          <w:szCs w:val="20"/>
        </w:rPr>
        <w:t>. Además</w:t>
      </w:r>
      <w:r w:rsidR="000B0EAB" w:rsidRPr="00D51072">
        <w:rPr>
          <w:i w:val="0"/>
          <w:szCs w:val="20"/>
        </w:rPr>
        <w:t>,</w:t>
      </w:r>
      <w:r w:rsidRPr="00D51072">
        <w:rPr>
          <w:i w:val="0"/>
          <w:szCs w:val="20"/>
        </w:rPr>
        <w:t xml:space="preserve"> sostuvo que el texto de los Principios Básicos Relativos a la Independencia de la Judicatura de </w:t>
      </w:r>
      <w:r w:rsidR="00F428E7">
        <w:rPr>
          <w:i w:val="0"/>
          <w:szCs w:val="20"/>
        </w:rPr>
        <w:t>O</w:t>
      </w:r>
      <w:r w:rsidRPr="00D51072">
        <w:rPr>
          <w:i w:val="0"/>
          <w:szCs w:val="20"/>
        </w:rPr>
        <w:t xml:space="preserve">NU no contiene ninguna referencia expresa a una revisión de la decisión de destitución por un superior jerárquico en los términos del artículo 8.2.h) de la Convención, sino </w:t>
      </w:r>
      <w:r w:rsidRPr="00D51072">
        <w:rPr>
          <w:rFonts w:cs="Times New Roman"/>
          <w:i w:val="0"/>
          <w:szCs w:val="20"/>
        </w:rPr>
        <w:t>que</w:t>
      </w:r>
      <w:r w:rsidRPr="00D51072">
        <w:rPr>
          <w:i w:val="0"/>
          <w:szCs w:val="20"/>
        </w:rPr>
        <w:t xml:space="preserve"> se refiere </w:t>
      </w:r>
      <w:r w:rsidR="000B74B2" w:rsidRPr="00D51072">
        <w:rPr>
          <w:i w:val="0"/>
          <w:szCs w:val="20"/>
        </w:rPr>
        <w:t>a “</w:t>
      </w:r>
      <w:r w:rsidRPr="00D51072">
        <w:rPr>
          <w:i w:val="0"/>
          <w:szCs w:val="20"/>
        </w:rPr>
        <w:t>una revisión independiente</w:t>
      </w:r>
      <w:r w:rsidR="000B74B2" w:rsidRPr="00D51072">
        <w:rPr>
          <w:i w:val="0"/>
          <w:szCs w:val="20"/>
        </w:rPr>
        <w:t>”</w:t>
      </w:r>
      <w:r w:rsidRPr="00D51072">
        <w:rPr>
          <w:i w:val="0"/>
          <w:szCs w:val="20"/>
        </w:rPr>
        <w:t>, exigencia que perfectamente se encuentra cubierta por una revisión judicial</w:t>
      </w:r>
      <w:r w:rsidR="003E237C" w:rsidRPr="00D51072">
        <w:rPr>
          <w:i w:val="0"/>
          <w:szCs w:val="20"/>
        </w:rPr>
        <w:t>.</w:t>
      </w:r>
      <w:r w:rsidR="005059EE" w:rsidRPr="00D51072">
        <w:rPr>
          <w:i w:val="0"/>
          <w:szCs w:val="20"/>
        </w:rPr>
        <w:t xml:space="preserve"> Agregó</w:t>
      </w:r>
      <w:r w:rsidR="000B0EAB" w:rsidRPr="00D51072">
        <w:rPr>
          <w:i w:val="0"/>
          <w:szCs w:val="20"/>
        </w:rPr>
        <w:t>,</w:t>
      </w:r>
      <w:r w:rsidR="005059EE" w:rsidRPr="00D51072">
        <w:rPr>
          <w:i w:val="0"/>
          <w:szCs w:val="20"/>
        </w:rPr>
        <w:t xml:space="preserve"> que </w:t>
      </w:r>
      <w:r w:rsidR="006A0B0F">
        <w:rPr>
          <w:i w:val="0"/>
          <w:szCs w:val="20"/>
        </w:rPr>
        <w:t xml:space="preserve">la </w:t>
      </w:r>
      <w:r w:rsidR="005059EE" w:rsidRPr="00D51072">
        <w:rPr>
          <w:i w:val="0"/>
          <w:szCs w:val="20"/>
        </w:rPr>
        <w:t>postura asumida por la Comisión supone un involucramiento indebido en aspectos vedados a su competencia, tales como el diseño institucional de este tipo de mecanismos que apuntan a la determinación de responsabilidades de tipo político y no judiciales propiamente dichas.</w:t>
      </w:r>
    </w:p>
    <w:p w14:paraId="3364BA0F" w14:textId="206C380F" w:rsidR="00930C30" w:rsidRPr="00D51072" w:rsidRDefault="006D122D" w:rsidP="00930C30">
      <w:pPr>
        <w:pStyle w:val="Ttulo2"/>
        <w:keepLines w:val="0"/>
        <w:numPr>
          <w:ilvl w:val="0"/>
          <w:numId w:val="15"/>
        </w:numPr>
        <w:spacing w:before="240" w:after="240"/>
        <w:rPr>
          <w:rFonts w:ascii="Verdana" w:hAnsi="Verdana" w:cs="Tahoma"/>
          <w:i/>
          <w:color w:val="auto"/>
          <w:sz w:val="20"/>
          <w:lang w:eastAsia="x-none"/>
        </w:rPr>
      </w:pPr>
      <w:bookmarkStart w:id="107" w:name="_Toc23415003"/>
      <w:r w:rsidRPr="00D51072">
        <w:rPr>
          <w:rFonts w:ascii="Verdana" w:hAnsi="Verdana" w:cs="Tahoma"/>
          <w:i/>
          <w:color w:val="auto"/>
          <w:sz w:val="20"/>
          <w:lang w:eastAsia="x-none"/>
        </w:rPr>
        <w:t>Consideraciones de la Corte</w:t>
      </w:r>
      <w:bookmarkEnd w:id="104"/>
      <w:bookmarkEnd w:id="105"/>
      <w:bookmarkEnd w:id="106"/>
      <w:bookmarkEnd w:id="107"/>
      <w:r w:rsidR="004C1C25" w:rsidRPr="00D51072">
        <w:rPr>
          <w:rFonts w:ascii="Verdana" w:hAnsi="Verdana" w:cs="Tahoma"/>
          <w:i/>
          <w:color w:val="auto"/>
          <w:sz w:val="20"/>
          <w:lang w:eastAsia="x-none"/>
        </w:rPr>
        <w:t xml:space="preserve"> </w:t>
      </w:r>
    </w:p>
    <w:p w14:paraId="65ED17A6" w14:textId="27791E69" w:rsidR="007F088C" w:rsidRPr="00D51072" w:rsidRDefault="007F088C" w:rsidP="007F088C">
      <w:pPr>
        <w:pStyle w:val="Estilo1"/>
        <w:numPr>
          <w:ilvl w:val="0"/>
          <w:numId w:val="2"/>
        </w:numPr>
        <w:tabs>
          <w:tab w:val="left" w:pos="0"/>
          <w:tab w:val="left" w:pos="567"/>
          <w:tab w:val="left" w:pos="1134"/>
        </w:tabs>
        <w:spacing w:before="120"/>
        <w:ind w:left="0" w:right="-6" w:firstLine="0"/>
        <w:rPr>
          <w:i w:val="0"/>
          <w:szCs w:val="20"/>
        </w:rPr>
      </w:pPr>
      <w:r w:rsidRPr="00D51072">
        <w:rPr>
          <w:i w:val="0"/>
          <w:szCs w:val="20"/>
          <w:lang w:eastAsia="es-MX"/>
        </w:rPr>
        <w:t xml:space="preserve">La </w:t>
      </w:r>
      <w:r w:rsidRPr="00D51072">
        <w:rPr>
          <w:i w:val="0"/>
          <w:szCs w:val="20"/>
        </w:rPr>
        <w:t>Corte</w:t>
      </w:r>
      <w:r w:rsidRPr="00D51072">
        <w:rPr>
          <w:i w:val="0"/>
          <w:szCs w:val="20"/>
          <w:lang w:eastAsia="es-MX"/>
        </w:rPr>
        <w:t xml:space="preserve"> ha definido el debido proceso legal, a partir de lo establecido en el artículo 8 de la Convención</w:t>
      </w:r>
      <w:r w:rsidRPr="00D51072">
        <w:rPr>
          <w:i w:val="0"/>
          <w:szCs w:val="20"/>
        </w:rPr>
        <w:t>, como el conjunto de requisitos que deben observarse en las instancias procesales a efectos de que las personas estén en condiciones de defender adecuadamente sus derechos ante cualquier tipo de acto del Estado que pueda afectarlos</w:t>
      </w:r>
      <w:r w:rsidRPr="00D51072">
        <w:rPr>
          <w:rStyle w:val="Refdenotaalpie"/>
          <w:i w:val="0"/>
        </w:rPr>
        <w:footnoteReference w:id="28"/>
      </w:r>
      <w:r w:rsidRPr="00D51072">
        <w:rPr>
          <w:i w:val="0"/>
          <w:szCs w:val="20"/>
        </w:rPr>
        <w:t xml:space="preserve">. </w:t>
      </w:r>
      <w:bookmarkStart w:id="108" w:name="_Ref536635506"/>
      <w:r w:rsidR="00322D21" w:rsidRPr="00D51072">
        <w:rPr>
          <w:i w:val="0"/>
        </w:rPr>
        <w:t xml:space="preserve">De acuerdo a lo dispuesto en el artículo 8.1 de la Convención, en la determinación de los derechos y obligaciones de todas las personas, de </w:t>
      </w:r>
      <w:r w:rsidR="00322D21" w:rsidRPr="00D51072">
        <w:rPr>
          <w:i w:val="0"/>
          <w:szCs w:val="20"/>
        </w:rPr>
        <w:t xml:space="preserve">orden penal, civil, laboral, fiscal o de cualquier otro carácter, se deben observar “las debidas garantías” que aseguren, según el procedimiento de </w:t>
      </w:r>
      <w:r w:rsidR="00322D21" w:rsidRPr="00D51072">
        <w:rPr>
          <w:i w:val="0"/>
          <w:szCs w:val="20"/>
        </w:rPr>
        <w:lastRenderedPageBreak/>
        <w:t>que se trate, el derecho al debido proceso. El incumplimiento de una de esas garantías conlleva una violación de dicha disposición convencional</w:t>
      </w:r>
      <w:r w:rsidR="00322D21" w:rsidRPr="00D51072">
        <w:rPr>
          <w:rStyle w:val="Refdenotaalpie"/>
          <w:i w:val="0"/>
        </w:rPr>
        <w:footnoteReference w:id="29"/>
      </w:r>
      <w:r w:rsidR="00322D21" w:rsidRPr="00D51072">
        <w:rPr>
          <w:i w:val="0"/>
          <w:szCs w:val="20"/>
        </w:rPr>
        <w:t>.</w:t>
      </w:r>
      <w:bookmarkEnd w:id="108"/>
    </w:p>
    <w:p w14:paraId="502828B3" w14:textId="40CE0391" w:rsidR="007F088C" w:rsidRPr="00D51072" w:rsidRDefault="007F088C" w:rsidP="00C07323">
      <w:pPr>
        <w:pStyle w:val="Estilo1"/>
        <w:numPr>
          <w:ilvl w:val="0"/>
          <w:numId w:val="2"/>
        </w:numPr>
        <w:tabs>
          <w:tab w:val="left" w:pos="0"/>
          <w:tab w:val="left" w:pos="567"/>
          <w:tab w:val="left" w:pos="1134"/>
        </w:tabs>
        <w:spacing w:before="120"/>
        <w:ind w:left="0" w:right="-6" w:firstLine="0"/>
        <w:rPr>
          <w:i w:val="0"/>
          <w:szCs w:val="20"/>
        </w:rPr>
      </w:pPr>
      <w:r w:rsidRPr="00D51072">
        <w:rPr>
          <w:i w:val="0"/>
          <w:szCs w:val="20"/>
          <w:lang w:eastAsia="es-MX"/>
        </w:rPr>
        <w:t>E</w:t>
      </w:r>
      <w:r w:rsidR="000D3A7F" w:rsidRPr="00D51072">
        <w:rPr>
          <w:i w:val="0"/>
          <w:szCs w:val="20"/>
          <w:lang w:eastAsia="es-MX"/>
        </w:rPr>
        <w:t>ste</w:t>
      </w:r>
      <w:r w:rsidRPr="00D51072">
        <w:rPr>
          <w:i w:val="0"/>
          <w:szCs w:val="20"/>
          <w:lang w:eastAsia="es-MX"/>
        </w:rPr>
        <w:t xml:space="preserve"> </w:t>
      </w:r>
      <w:r w:rsidR="000353D2">
        <w:rPr>
          <w:i w:val="0"/>
          <w:szCs w:val="20"/>
          <w:lang w:eastAsia="es-MX"/>
        </w:rPr>
        <w:t>T</w:t>
      </w:r>
      <w:r w:rsidRPr="00D51072">
        <w:rPr>
          <w:i w:val="0"/>
          <w:szCs w:val="20"/>
          <w:lang w:eastAsia="es-MX"/>
        </w:rPr>
        <w:t xml:space="preserve">ribunal ha señalado </w:t>
      </w:r>
      <w:r w:rsidR="00135B0D" w:rsidRPr="00D51072">
        <w:rPr>
          <w:i w:val="0"/>
        </w:rPr>
        <w:t xml:space="preserve">que las </w:t>
      </w:r>
      <w:r w:rsidR="00135B0D" w:rsidRPr="00D51072">
        <w:rPr>
          <w:i w:val="0"/>
          <w:color w:val="000000"/>
        </w:rPr>
        <w:t xml:space="preserve">garantías contempladas en el artículo 8.1 de la Convención son también aplicables al supuesto en que alguna autoridad no judicial adopte decisiones que afecten la determinación de </w:t>
      </w:r>
      <w:r w:rsidR="00135B0D" w:rsidRPr="00D51072">
        <w:rPr>
          <w:i w:val="0"/>
        </w:rPr>
        <w:t>los derechos de las personas,</w:t>
      </w:r>
      <w:r w:rsidR="00135B0D" w:rsidRPr="00D51072">
        <w:rPr>
          <w:i w:val="0"/>
          <w:color w:val="000000"/>
        </w:rPr>
        <w:t xml:space="preserve"> tomando en cuenta que no le son exigibles aquellas propias de un órgano jurisdiccional, pero sí debe cumplir con aquellas destinadas a asegurar que la decisión no sea arbitraria</w:t>
      </w:r>
      <w:r w:rsidR="00135B0D" w:rsidRPr="00D51072">
        <w:rPr>
          <w:i w:val="0"/>
          <w:vertAlign w:val="superscript"/>
        </w:rPr>
        <w:footnoteReference w:id="30"/>
      </w:r>
      <w:r w:rsidR="00135B0D" w:rsidRPr="00D51072">
        <w:rPr>
          <w:i w:val="0"/>
          <w:color w:val="000000"/>
        </w:rPr>
        <w:t>.</w:t>
      </w:r>
      <w:r w:rsidRPr="00D51072">
        <w:rPr>
          <w:i w:val="0"/>
          <w:szCs w:val="20"/>
        </w:rPr>
        <w:t xml:space="preserve"> </w:t>
      </w:r>
    </w:p>
    <w:p w14:paraId="7B90DB6F" w14:textId="14CFC91A" w:rsidR="007F088C" w:rsidRPr="00D51072" w:rsidRDefault="007F088C" w:rsidP="007F088C">
      <w:pPr>
        <w:pStyle w:val="Estilo1"/>
        <w:numPr>
          <w:ilvl w:val="0"/>
          <w:numId w:val="2"/>
        </w:numPr>
        <w:tabs>
          <w:tab w:val="left" w:pos="0"/>
          <w:tab w:val="left" w:pos="567"/>
          <w:tab w:val="left" w:pos="1134"/>
        </w:tabs>
        <w:spacing w:before="120"/>
        <w:ind w:left="0" w:right="-6" w:firstLine="0"/>
        <w:rPr>
          <w:rFonts w:cs="Arial"/>
          <w:i w:val="0"/>
          <w:szCs w:val="20"/>
        </w:rPr>
      </w:pPr>
      <w:r w:rsidRPr="00D51072">
        <w:rPr>
          <w:i w:val="0"/>
          <w:lang w:val="es-CR" w:eastAsia="es-CR"/>
        </w:rPr>
        <w:t xml:space="preserve">A continuación, la Corte se referirá a las alegaciones de las partes </w:t>
      </w:r>
      <w:r w:rsidR="000D3A7F" w:rsidRPr="00D51072">
        <w:rPr>
          <w:i w:val="0"/>
          <w:lang w:val="es-CR" w:eastAsia="es-CR"/>
        </w:rPr>
        <w:t>en</w:t>
      </w:r>
      <w:r w:rsidRPr="00D51072">
        <w:rPr>
          <w:i w:val="0"/>
          <w:lang w:val="es-CR" w:eastAsia="es-CR"/>
        </w:rPr>
        <w:t xml:space="preserve"> el siguiente orden: 1. </w:t>
      </w:r>
      <w:r w:rsidR="005817C6">
        <w:rPr>
          <w:i w:val="0"/>
          <w:lang w:val="es-CR" w:eastAsia="es-CR"/>
        </w:rPr>
        <w:t>L</w:t>
      </w:r>
      <w:r w:rsidRPr="00D51072">
        <w:rPr>
          <w:i w:val="0"/>
          <w:lang w:val="es-CR" w:eastAsia="es-CR"/>
        </w:rPr>
        <w:t xml:space="preserve">a </w:t>
      </w:r>
      <w:r w:rsidR="00FD2B8D">
        <w:rPr>
          <w:i w:val="0"/>
          <w:lang w:val="es-CR" w:eastAsia="es-CR"/>
        </w:rPr>
        <w:t>a</w:t>
      </w:r>
      <w:r w:rsidRPr="00D51072">
        <w:rPr>
          <w:i w:val="0"/>
          <w:lang w:val="es-CR" w:eastAsia="es-CR"/>
        </w:rPr>
        <w:t xml:space="preserve">legada violación a </w:t>
      </w:r>
      <w:r w:rsidR="007303BE">
        <w:rPr>
          <w:i w:val="0"/>
          <w:lang w:val="es-CR" w:eastAsia="es-CR"/>
        </w:rPr>
        <w:t>la garantía del juez competente</w:t>
      </w:r>
      <w:r w:rsidRPr="00D51072">
        <w:rPr>
          <w:i w:val="0"/>
          <w:lang w:val="es-CR" w:eastAsia="es-CR"/>
        </w:rPr>
        <w:t xml:space="preserve"> </w:t>
      </w:r>
      <w:r w:rsidR="00CD6688" w:rsidRPr="00D51072">
        <w:rPr>
          <w:i w:val="0"/>
          <w:lang w:val="es-CR" w:eastAsia="es-CR"/>
        </w:rPr>
        <w:t xml:space="preserve">e </w:t>
      </w:r>
      <w:r w:rsidRPr="00D51072">
        <w:rPr>
          <w:i w:val="0"/>
          <w:lang w:val="es-CR" w:eastAsia="es-CR"/>
        </w:rPr>
        <w:t xml:space="preserve">independiente; </w:t>
      </w:r>
      <w:r w:rsidR="00CD6688" w:rsidRPr="00D51072">
        <w:rPr>
          <w:i w:val="0"/>
          <w:lang w:val="es-CR" w:eastAsia="es-CR"/>
        </w:rPr>
        <w:t xml:space="preserve">2. </w:t>
      </w:r>
      <w:r w:rsidR="005817C6">
        <w:rPr>
          <w:i w:val="0"/>
          <w:lang w:val="es-CR" w:eastAsia="es-CR"/>
        </w:rPr>
        <w:t>L</w:t>
      </w:r>
      <w:r w:rsidR="00CD6688" w:rsidRPr="00D51072">
        <w:rPr>
          <w:i w:val="0"/>
          <w:lang w:val="es-CR" w:eastAsia="es-CR"/>
        </w:rPr>
        <w:t>a alegada violación a la garantía de un juez imparcial</w:t>
      </w:r>
      <w:r w:rsidR="00FD2B8D">
        <w:rPr>
          <w:i w:val="0"/>
          <w:lang w:val="es-CR" w:eastAsia="es-CR"/>
        </w:rPr>
        <w:t>;</w:t>
      </w:r>
      <w:r w:rsidR="00CD6688" w:rsidRPr="00D51072">
        <w:rPr>
          <w:i w:val="0"/>
          <w:lang w:val="es-CR" w:eastAsia="es-CR"/>
        </w:rPr>
        <w:t xml:space="preserve"> 3</w:t>
      </w:r>
      <w:r w:rsidRPr="00D51072">
        <w:rPr>
          <w:i w:val="0"/>
          <w:lang w:val="es-CR" w:eastAsia="es-CR"/>
        </w:rPr>
        <w:t xml:space="preserve">. </w:t>
      </w:r>
      <w:r w:rsidR="005817C6">
        <w:rPr>
          <w:i w:val="0"/>
          <w:lang w:val="es-CR" w:eastAsia="es-CR"/>
        </w:rPr>
        <w:t>E</w:t>
      </w:r>
      <w:r w:rsidRPr="00D51072">
        <w:rPr>
          <w:i w:val="0"/>
          <w:lang w:val="es-CR" w:eastAsia="es-CR"/>
        </w:rPr>
        <w:t xml:space="preserve">l derecho a contar con un </w:t>
      </w:r>
      <w:r w:rsidRPr="00D51072">
        <w:rPr>
          <w:i w:val="0"/>
          <w:szCs w:val="20"/>
        </w:rPr>
        <w:t>fallo</w:t>
      </w:r>
      <w:r w:rsidRPr="00D51072">
        <w:rPr>
          <w:i w:val="0"/>
          <w:lang w:val="es-CR" w:eastAsia="es-CR"/>
        </w:rPr>
        <w:t xml:space="preserve"> motivado</w:t>
      </w:r>
      <w:r w:rsidR="00FD2B8D">
        <w:rPr>
          <w:i w:val="0"/>
          <w:lang w:val="es-CR" w:eastAsia="es-CR"/>
        </w:rPr>
        <w:t>;</w:t>
      </w:r>
      <w:r w:rsidRPr="00D51072">
        <w:rPr>
          <w:i w:val="0"/>
          <w:lang w:val="es-CR" w:eastAsia="es-CR"/>
        </w:rPr>
        <w:t xml:space="preserve"> </w:t>
      </w:r>
      <w:r w:rsidR="00CD6688" w:rsidRPr="00D51072">
        <w:rPr>
          <w:i w:val="0"/>
          <w:lang w:val="es-CR" w:eastAsia="es-CR"/>
        </w:rPr>
        <w:t>4</w:t>
      </w:r>
      <w:r w:rsidRPr="00D51072">
        <w:rPr>
          <w:i w:val="0"/>
          <w:lang w:val="es-CR" w:eastAsia="es-CR"/>
        </w:rPr>
        <w:t xml:space="preserve">. </w:t>
      </w:r>
      <w:r w:rsidR="005817C6">
        <w:rPr>
          <w:i w:val="0"/>
          <w:lang w:val="es-CR" w:eastAsia="es-CR"/>
        </w:rPr>
        <w:t>L</w:t>
      </w:r>
      <w:r w:rsidRPr="00D51072">
        <w:rPr>
          <w:i w:val="0"/>
          <w:lang w:val="es-CR" w:eastAsia="es-CR"/>
        </w:rPr>
        <w:t>a alegada violación al derecho de defensa</w:t>
      </w:r>
      <w:r w:rsidR="00C347D4">
        <w:rPr>
          <w:i w:val="0"/>
          <w:lang w:val="es-CR" w:eastAsia="es-CR"/>
        </w:rPr>
        <w:t>,</w:t>
      </w:r>
      <w:r w:rsidRPr="00D51072">
        <w:rPr>
          <w:i w:val="0"/>
          <w:lang w:val="es-CR" w:eastAsia="es-CR"/>
        </w:rPr>
        <w:t xml:space="preserve"> a otras garantías judiciales y a recurrir el fallo</w:t>
      </w:r>
      <w:r w:rsidR="005C38F3" w:rsidRPr="00D51072">
        <w:rPr>
          <w:i w:val="0"/>
          <w:lang w:val="es-CR" w:eastAsia="es-CR"/>
        </w:rPr>
        <w:t>, y 5. Conclusión</w:t>
      </w:r>
      <w:r w:rsidRPr="00D51072">
        <w:rPr>
          <w:i w:val="0"/>
          <w:lang w:val="es-CR" w:eastAsia="es-CR"/>
        </w:rPr>
        <w:t xml:space="preserve">. </w:t>
      </w:r>
    </w:p>
    <w:p w14:paraId="01A64F1E" w14:textId="40B3AFF4" w:rsidR="006D122D" w:rsidRPr="00D51072" w:rsidRDefault="00AE7650" w:rsidP="00AE7650">
      <w:pPr>
        <w:pStyle w:val="Prrafodelista"/>
        <w:spacing w:before="240" w:after="240"/>
        <w:ind w:left="708"/>
        <w:contextualSpacing w:val="0"/>
        <w:outlineLvl w:val="2"/>
        <w:rPr>
          <w:i/>
          <w:szCs w:val="20"/>
          <w:lang w:val="es-CR" w:eastAsia="es-ES"/>
        </w:rPr>
      </w:pPr>
      <w:bookmarkStart w:id="109" w:name="_Toc459158120"/>
      <w:bookmarkStart w:id="110" w:name="_Toc486693387"/>
      <w:bookmarkStart w:id="111" w:name="_Toc486842803"/>
      <w:bookmarkStart w:id="112" w:name="_Toc486842941"/>
      <w:bookmarkStart w:id="113" w:name="_Toc23415004"/>
      <w:r w:rsidRPr="00D51072">
        <w:rPr>
          <w:i/>
          <w:szCs w:val="20"/>
          <w:lang w:val="es-CR" w:eastAsia="es-ES"/>
        </w:rPr>
        <w:t xml:space="preserve">B.1. </w:t>
      </w:r>
      <w:bookmarkEnd w:id="109"/>
      <w:bookmarkEnd w:id="110"/>
      <w:bookmarkEnd w:id="111"/>
      <w:bookmarkEnd w:id="112"/>
      <w:r w:rsidR="007F088C" w:rsidRPr="00D51072">
        <w:rPr>
          <w:i/>
          <w:szCs w:val="20"/>
          <w:lang w:val="es-CR" w:eastAsia="es-ES"/>
        </w:rPr>
        <w:t xml:space="preserve">La </w:t>
      </w:r>
      <w:r w:rsidR="00FD2B8D">
        <w:rPr>
          <w:i/>
          <w:szCs w:val="20"/>
          <w:lang w:val="es-CR" w:eastAsia="es-ES"/>
        </w:rPr>
        <w:t>a</w:t>
      </w:r>
      <w:r w:rsidR="007F088C" w:rsidRPr="00D51072">
        <w:rPr>
          <w:i/>
          <w:szCs w:val="20"/>
          <w:lang w:val="es-CR" w:eastAsia="es-ES"/>
        </w:rPr>
        <w:t xml:space="preserve">legada violación a la garantía del juez competente </w:t>
      </w:r>
      <w:r w:rsidR="00CD6688" w:rsidRPr="00D51072">
        <w:rPr>
          <w:i/>
          <w:szCs w:val="20"/>
          <w:lang w:val="es-CR" w:eastAsia="es-ES"/>
        </w:rPr>
        <w:t xml:space="preserve">e </w:t>
      </w:r>
      <w:r w:rsidR="007F088C" w:rsidRPr="00D51072">
        <w:rPr>
          <w:i/>
          <w:szCs w:val="20"/>
          <w:lang w:val="es-CR" w:eastAsia="es-ES"/>
        </w:rPr>
        <w:t>independiente</w:t>
      </w:r>
      <w:bookmarkEnd w:id="113"/>
      <w:r w:rsidR="007F088C" w:rsidRPr="00D51072">
        <w:rPr>
          <w:i/>
          <w:szCs w:val="20"/>
          <w:lang w:val="es-CR" w:eastAsia="es-ES"/>
        </w:rPr>
        <w:t xml:space="preserve"> </w:t>
      </w:r>
    </w:p>
    <w:p w14:paraId="72178479" w14:textId="78F21B6B" w:rsidR="00135B0D" w:rsidRPr="00D51072" w:rsidRDefault="000353D2" w:rsidP="00C07323">
      <w:pPr>
        <w:pStyle w:val="Estilo1"/>
        <w:numPr>
          <w:ilvl w:val="0"/>
          <w:numId w:val="2"/>
        </w:numPr>
        <w:tabs>
          <w:tab w:val="left" w:pos="0"/>
          <w:tab w:val="left" w:pos="567"/>
          <w:tab w:val="left" w:pos="1134"/>
        </w:tabs>
        <w:spacing w:before="120"/>
        <w:ind w:left="0" w:right="-6" w:firstLine="0"/>
        <w:rPr>
          <w:i w:val="0"/>
          <w:szCs w:val="20"/>
        </w:rPr>
      </w:pPr>
      <w:r>
        <w:rPr>
          <w:i w:val="0"/>
        </w:rPr>
        <w:t>Esta Corte ha indicado</w:t>
      </w:r>
      <w:r w:rsidR="00135B0D" w:rsidRPr="00D51072">
        <w:rPr>
          <w:i w:val="0"/>
        </w:rPr>
        <w:t xml:space="preserve"> </w:t>
      </w:r>
      <w:r>
        <w:rPr>
          <w:i w:val="0"/>
        </w:rPr>
        <w:t>que</w:t>
      </w:r>
      <w:r w:rsidR="00135B0D" w:rsidRPr="00D51072">
        <w:rPr>
          <w:i w:val="0"/>
        </w:rPr>
        <w:t xml:space="preserve"> el </w:t>
      </w:r>
      <w:r w:rsidR="00135B0D" w:rsidRPr="00D51072">
        <w:rPr>
          <w:i w:val="0"/>
          <w:szCs w:val="20"/>
        </w:rPr>
        <w:t>alcance de las garantías judiciales y de la protección judicial efectiva</w:t>
      </w:r>
      <w:r w:rsidR="000B1BCC">
        <w:rPr>
          <w:i w:val="0"/>
          <w:szCs w:val="20"/>
        </w:rPr>
        <w:t xml:space="preserve"> en los procedimientos contra autoridades judiciales </w:t>
      </w:r>
      <w:r w:rsidR="00135B0D" w:rsidRPr="00D51072">
        <w:rPr>
          <w:i w:val="0"/>
          <w:szCs w:val="20"/>
        </w:rPr>
        <w:t xml:space="preserve">debe ser analizado en relación con los estándares sobre independencia judicial. </w:t>
      </w:r>
      <w:bookmarkStart w:id="114" w:name="_Ref230072788"/>
      <w:r w:rsidR="00135B0D" w:rsidRPr="00D51072">
        <w:rPr>
          <w:i w:val="0"/>
          <w:szCs w:val="20"/>
        </w:rPr>
        <w:t>L</w:t>
      </w:r>
      <w:r w:rsidR="00135B0D" w:rsidRPr="00D51072">
        <w:rPr>
          <w:rFonts w:cs="Tahoma"/>
          <w:i w:val="0"/>
          <w:szCs w:val="20"/>
        </w:rPr>
        <w:t xml:space="preserve">a Corte ha precisado que </w:t>
      </w:r>
      <w:r w:rsidR="00135B0D" w:rsidRPr="00D51072">
        <w:rPr>
          <w:i w:val="0"/>
          <w:szCs w:val="20"/>
        </w:rPr>
        <w:t>l</w:t>
      </w:r>
      <w:r w:rsidR="00135B0D" w:rsidRPr="00D51072">
        <w:rPr>
          <w:rFonts w:cs="Tahoma"/>
          <w:i w:val="0"/>
          <w:szCs w:val="20"/>
        </w:rPr>
        <w:t>os jueces</w:t>
      </w:r>
      <w:r w:rsidR="000B1BCC">
        <w:rPr>
          <w:rFonts w:cs="Tahoma"/>
          <w:i w:val="0"/>
          <w:szCs w:val="20"/>
        </w:rPr>
        <w:t xml:space="preserve"> y juezas</w:t>
      </w:r>
      <w:r w:rsidR="00135B0D" w:rsidRPr="00D51072">
        <w:rPr>
          <w:rFonts w:cs="Tahoma"/>
          <w:i w:val="0"/>
          <w:szCs w:val="20"/>
        </w:rPr>
        <w:t xml:space="preserve"> cuentan con garantías específicas debido a la independencia necesaria del Poder Judicial, lo cual la Corte ha entendido como “esencial para el ejercicio de la función judicial”.</w:t>
      </w:r>
      <w:bookmarkEnd w:id="114"/>
      <w:r w:rsidR="00135B0D" w:rsidRPr="00D51072">
        <w:rPr>
          <w:rFonts w:cs="Tahoma"/>
          <w:i w:val="0"/>
          <w:szCs w:val="20"/>
        </w:rPr>
        <w:t xml:space="preserve"> </w:t>
      </w:r>
      <w:r w:rsidR="00135B0D" w:rsidRPr="00D51072">
        <w:rPr>
          <w:i w:val="0"/>
          <w:szCs w:val="20"/>
        </w:rPr>
        <w:t xml:space="preserve">De la independencia judicial derivan las </w:t>
      </w:r>
      <w:r w:rsidR="003D7DE2">
        <w:rPr>
          <w:i w:val="0"/>
          <w:szCs w:val="20"/>
        </w:rPr>
        <w:t>garantías a</w:t>
      </w:r>
      <w:r w:rsidR="00135B0D" w:rsidRPr="00D51072">
        <w:rPr>
          <w:i w:val="0"/>
          <w:szCs w:val="20"/>
        </w:rPr>
        <w:t xml:space="preserve"> un adecuado proceso de nombramiento, </w:t>
      </w:r>
      <w:r w:rsidR="003D7DE2">
        <w:rPr>
          <w:i w:val="0"/>
          <w:szCs w:val="20"/>
        </w:rPr>
        <w:t xml:space="preserve">a </w:t>
      </w:r>
      <w:r w:rsidR="00135B0D" w:rsidRPr="00D51072">
        <w:rPr>
          <w:i w:val="0"/>
          <w:szCs w:val="20"/>
        </w:rPr>
        <w:t xml:space="preserve">la inamovilidad en el cargo y </w:t>
      </w:r>
      <w:r w:rsidR="003D7DE2">
        <w:rPr>
          <w:i w:val="0"/>
          <w:szCs w:val="20"/>
        </w:rPr>
        <w:t xml:space="preserve">a </w:t>
      </w:r>
      <w:r w:rsidR="00135B0D" w:rsidRPr="00D51072">
        <w:rPr>
          <w:i w:val="0"/>
          <w:szCs w:val="20"/>
        </w:rPr>
        <w:t>la garantía contra presiones externas</w:t>
      </w:r>
      <w:r w:rsidR="00135B0D" w:rsidRPr="00D51072">
        <w:rPr>
          <w:rStyle w:val="Refdenotaalpie"/>
          <w:i w:val="0"/>
        </w:rPr>
        <w:footnoteReference w:id="31"/>
      </w:r>
      <w:r w:rsidR="00135B0D" w:rsidRPr="00D51072">
        <w:rPr>
          <w:i w:val="0"/>
          <w:szCs w:val="20"/>
        </w:rPr>
        <w:t xml:space="preserve">. </w:t>
      </w:r>
    </w:p>
    <w:p w14:paraId="3725BF0B" w14:textId="5E0E92EA" w:rsidR="000A708F" w:rsidRPr="00D51072" w:rsidRDefault="00C07323" w:rsidP="00C07323">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 xml:space="preserve">Adicionalmente, el Tribunal ha afirmado que uno de los objetivos principales que tiene la separación de los poderes públicos es la garantía de la independencia </w:t>
      </w:r>
      <w:r w:rsidR="000B1BCC">
        <w:rPr>
          <w:i w:val="0"/>
          <w:szCs w:val="20"/>
        </w:rPr>
        <w:t>judicial</w:t>
      </w:r>
      <w:r w:rsidRPr="00D51072">
        <w:rPr>
          <w:rStyle w:val="Refdenotaalpie"/>
          <w:i w:val="0"/>
        </w:rPr>
        <w:footnoteReference w:id="32"/>
      </w:r>
      <w:r w:rsidRPr="00D51072">
        <w:rPr>
          <w:i w:val="0"/>
          <w:szCs w:val="20"/>
        </w:rPr>
        <w:t xml:space="preserve">. Dicho ejercicio autónomo debe ser garantizado por el Estado tanto en su faceta institucional, esto es, en relación con el Poder Judicial como sistema, </w:t>
      </w:r>
      <w:r w:rsidR="00BF05BC">
        <w:rPr>
          <w:i w:val="0"/>
          <w:szCs w:val="20"/>
        </w:rPr>
        <w:t>aunque</w:t>
      </w:r>
      <w:r w:rsidRPr="00D51072">
        <w:rPr>
          <w:i w:val="0"/>
          <w:szCs w:val="20"/>
        </w:rPr>
        <w:t xml:space="preserve"> también en conexión </w:t>
      </w:r>
      <w:r w:rsidR="00BF05BC">
        <w:rPr>
          <w:i w:val="0"/>
          <w:szCs w:val="20"/>
        </w:rPr>
        <w:t>con</w:t>
      </w:r>
      <w:r w:rsidRPr="00D51072">
        <w:rPr>
          <w:i w:val="0"/>
          <w:szCs w:val="20"/>
        </w:rPr>
        <w:t xml:space="preserve"> su vertiente individual, es decir, con relación a la persona del juez específico. El objetivo de la protección radica en evitar que el sistema judicial en general y sus integrantes en particular, se vean sometidos a posibles restricciones indebidas en el ejercicio de su función por parte de órganos ajenos al Poder Judicial o incluso por parte de </w:t>
      </w:r>
      <w:r w:rsidR="000B1BCC">
        <w:rPr>
          <w:i w:val="0"/>
          <w:szCs w:val="20"/>
        </w:rPr>
        <w:t xml:space="preserve">quienes </w:t>
      </w:r>
      <w:r w:rsidRPr="00D51072">
        <w:rPr>
          <w:i w:val="0"/>
          <w:szCs w:val="20"/>
        </w:rPr>
        <w:t>ejercen funciones de revisión o apelación</w:t>
      </w:r>
      <w:r w:rsidRPr="00D51072">
        <w:rPr>
          <w:rStyle w:val="Refdenotaalpie"/>
          <w:i w:val="0"/>
        </w:rPr>
        <w:footnoteReference w:id="33"/>
      </w:r>
      <w:r w:rsidR="000A708F" w:rsidRPr="00D51072">
        <w:rPr>
          <w:i w:val="0"/>
          <w:szCs w:val="20"/>
        </w:rPr>
        <w:t>.</w:t>
      </w:r>
    </w:p>
    <w:p w14:paraId="1E2C2223" w14:textId="702706AD" w:rsidR="00E10898" w:rsidRDefault="00C07323" w:rsidP="00C07323">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Partiendo de lo anterior, le corresponde a la Corte analizar las posibles afectaciones al derecho a contar con un</w:t>
      </w:r>
      <w:r w:rsidR="00335F9A">
        <w:rPr>
          <w:i w:val="0"/>
          <w:szCs w:val="20"/>
        </w:rPr>
        <w:t xml:space="preserve"> juez</w:t>
      </w:r>
      <w:r w:rsidR="000B1BCC">
        <w:rPr>
          <w:i w:val="0"/>
          <w:szCs w:val="20"/>
        </w:rPr>
        <w:t xml:space="preserve"> </w:t>
      </w:r>
      <w:r w:rsidRPr="00D51072">
        <w:rPr>
          <w:i w:val="0"/>
          <w:szCs w:val="20"/>
        </w:rPr>
        <w:t xml:space="preserve">independiente desde dos perspectivas diferentes. Por una parte, se deberá determinar si el </w:t>
      </w:r>
      <w:r w:rsidR="00E10898">
        <w:rPr>
          <w:i w:val="0"/>
          <w:szCs w:val="20"/>
        </w:rPr>
        <w:t xml:space="preserve">procedimiento ante el </w:t>
      </w:r>
      <w:r w:rsidRPr="00D51072">
        <w:rPr>
          <w:i w:val="0"/>
          <w:szCs w:val="20"/>
        </w:rPr>
        <w:t xml:space="preserve">Jurado de Enjuiciamiento </w:t>
      </w:r>
      <w:r w:rsidR="00E10898">
        <w:rPr>
          <w:i w:val="0"/>
          <w:szCs w:val="20"/>
        </w:rPr>
        <w:t>afecta de forma abstracta</w:t>
      </w:r>
      <w:r w:rsidR="00E10898" w:rsidRPr="00D51072">
        <w:rPr>
          <w:i w:val="0"/>
          <w:szCs w:val="20"/>
        </w:rPr>
        <w:t xml:space="preserve"> la independencia judicial y la garantía de inamovilidad del cargo</w:t>
      </w:r>
      <w:r w:rsidR="00E10898">
        <w:rPr>
          <w:i w:val="0"/>
          <w:szCs w:val="20"/>
        </w:rPr>
        <w:t>, y en segundo lugar si el proceso que se llevó a cabo contra el señor Rico vulneró el principio de independencia.</w:t>
      </w:r>
    </w:p>
    <w:p w14:paraId="265362C3" w14:textId="24381BBA" w:rsidR="00C67834" w:rsidRPr="00D51072" w:rsidRDefault="00C67834" w:rsidP="00C07323">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 xml:space="preserve">La Corte ha dicho que la garantía de inamovilidad como parte de la independencia judicial se compone de varios elementos: (i) que la separación del cargo obedezca </w:t>
      </w:r>
      <w:r w:rsidRPr="00D51072">
        <w:rPr>
          <w:i w:val="0"/>
          <w:szCs w:val="20"/>
        </w:rPr>
        <w:lastRenderedPageBreak/>
        <w:t>exclusivamente a las causales permitidas, ya sea por medio de un proceso que cumpla con las garantías judiciales o porque se ha cumplido el término o período de su mandato; (ii) que los jueces y juezas solo pueden ser destituidos por faltas de disciplina graves o incompetencia; (iii) que todo proceso seguido en contra de jueces o juezas se resuelva de acuerdo con las normas de comportamiento judicial establecidas y mediante procedimientos justos que aseguren la objetividad e imparciali</w:t>
      </w:r>
      <w:r w:rsidR="004F0AA2" w:rsidRPr="00D51072">
        <w:rPr>
          <w:i w:val="0"/>
          <w:szCs w:val="20"/>
        </w:rPr>
        <w:t xml:space="preserve">dad según la Constitución o la </w:t>
      </w:r>
      <w:r w:rsidR="00225B13">
        <w:rPr>
          <w:i w:val="0"/>
          <w:szCs w:val="20"/>
        </w:rPr>
        <w:t>ley, puesto</w:t>
      </w:r>
      <w:r w:rsidRPr="00D51072">
        <w:rPr>
          <w:i w:val="0"/>
          <w:szCs w:val="20"/>
        </w:rPr>
        <w:t xml:space="preserve"> que la libre remoción de </w:t>
      </w:r>
      <w:r w:rsidR="00335F9A">
        <w:rPr>
          <w:i w:val="0"/>
          <w:szCs w:val="20"/>
        </w:rPr>
        <w:t xml:space="preserve">las autoridades judiciales </w:t>
      </w:r>
      <w:r w:rsidRPr="00D51072">
        <w:rPr>
          <w:i w:val="0"/>
          <w:szCs w:val="20"/>
        </w:rPr>
        <w:t>fomenta la duda objetiva sobre la posibilidad efectiva de aquellos de decidir controversias concretas sin temor a represalias</w:t>
      </w:r>
      <w:r w:rsidR="00887476" w:rsidRPr="00D51072">
        <w:rPr>
          <w:i w:val="0"/>
          <w:szCs w:val="20"/>
          <w:vertAlign w:val="superscript"/>
          <w:lang w:val="en-US"/>
        </w:rPr>
        <w:footnoteReference w:id="34"/>
      </w:r>
      <w:r w:rsidRPr="00D51072">
        <w:rPr>
          <w:i w:val="0"/>
          <w:szCs w:val="20"/>
        </w:rPr>
        <w:t>.</w:t>
      </w:r>
    </w:p>
    <w:p w14:paraId="477BC6C6" w14:textId="178C723C" w:rsidR="00C67834" w:rsidRPr="00D51072" w:rsidRDefault="00225B13" w:rsidP="00C67834">
      <w:pPr>
        <w:pStyle w:val="Estilo1"/>
        <w:numPr>
          <w:ilvl w:val="0"/>
          <w:numId w:val="2"/>
        </w:numPr>
        <w:tabs>
          <w:tab w:val="left" w:pos="0"/>
          <w:tab w:val="left" w:pos="567"/>
          <w:tab w:val="left" w:pos="1134"/>
        </w:tabs>
        <w:spacing w:before="120"/>
        <w:ind w:left="0" w:right="-6" w:firstLine="0"/>
        <w:rPr>
          <w:i w:val="0"/>
          <w:szCs w:val="20"/>
        </w:rPr>
      </w:pPr>
      <w:r>
        <w:rPr>
          <w:i w:val="0"/>
          <w:szCs w:val="20"/>
        </w:rPr>
        <w:t>En esa misma línea</w:t>
      </w:r>
      <w:r w:rsidR="00C67834" w:rsidRPr="00D51072">
        <w:rPr>
          <w:i w:val="0"/>
          <w:szCs w:val="20"/>
        </w:rPr>
        <w:t xml:space="preserve">, la Corte ha analizado el juicio político y sus posibles injerencias al principio de independencia judicial. En el </w:t>
      </w:r>
      <w:r w:rsidR="00C67834" w:rsidRPr="00D51072">
        <w:rPr>
          <w:szCs w:val="20"/>
        </w:rPr>
        <w:t>caso Tribunal Constitucional Vs. Perú</w:t>
      </w:r>
      <w:r w:rsidR="00874585">
        <w:rPr>
          <w:i w:val="0"/>
          <w:szCs w:val="20"/>
        </w:rPr>
        <w:t>,</w:t>
      </w:r>
      <w:r w:rsidR="00C67834" w:rsidRPr="00D51072">
        <w:rPr>
          <w:i w:val="0"/>
          <w:szCs w:val="20"/>
        </w:rPr>
        <w:t xml:space="preserve"> la Corte precisó el contenido del juicio político </w:t>
      </w:r>
      <w:r w:rsidR="00887476" w:rsidRPr="00D51072">
        <w:rPr>
          <w:i w:val="0"/>
          <w:szCs w:val="20"/>
        </w:rPr>
        <w:t xml:space="preserve">e indicó que </w:t>
      </w:r>
      <w:r w:rsidR="00A85120" w:rsidRPr="00D51072">
        <w:rPr>
          <w:i w:val="0"/>
          <w:szCs w:val="20"/>
        </w:rPr>
        <w:t xml:space="preserve">se trata de </w:t>
      </w:r>
      <w:r w:rsidR="00887476" w:rsidRPr="00D51072">
        <w:rPr>
          <w:i w:val="0"/>
          <w:szCs w:val="20"/>
        </w:rPr>
        <w:t xml:space="preserve">una forma de control que ejerce el Poder Legislativo con respecto a los funcionarios superiores tanto del Poder Ejecutivo como de otros órganos estatales cuya finalidad es someter a </w:t>
      </w:r>
      <w:r w:rsidR="00335F9A">
        <w:rPr>
          <w:i w:val="0"/>
          <w:szCs w:val="20"/>
        </w:rPr>
        <w:t>f</w:t>
      </w:r>
      <w:r w:rsidR="00887476" w:rsidRPr="00D51072">
        <w:rPr>
          <w:i w:val="0"/>
          <w:szCs w:val="20"/>
        </w:rPr>
        <w:t>uncionarios</w:t>
      </w:r>
      <w:r w:rsidR="00335F9A">
        <w:rPr>
          <w:i w:val="0"/>
          <w:szCs w:val="20"/>
        </w:rPr>
        <w:t xml:space="preserve"> y funcionarias de alta jerarquía</w:t>
      </w:r>
      <w:r w:rsidR="00887476" w:rsidRPr="00D51072">
        <w:rPr>
          <w:i w:val="0"/>
          <w:szCs w:val="20"/>
        </w:rPr>
        <w:t xml:space="preserve"> a examen y decisión sobre sus actuaciones por parte de la representación popular</w:t>
      </w:r>
      <w:r w:rsidR="00887476" w:rsidRPr="00D51072">
        <w:rPr>
          <w:rStyle w:val="Refdenotaalpie"/>
          <w:i w:val="0"/>
          <w:sz w:val="18"/>
        </w:rPr>
        <w:footnoteReference w:id="35"/>
      </w:r>
      <w:r w:rsidR="00887476" w:rsidRPr="00D51072">
        <w:rPr>
          <w:i w:val="0"/>
          <w:sz w:val="18"/>
          <w:szCs w:val="20"/>
        </w:rPr>
        <w:t>.</w:t>
      </w:r>
    </w:p>
    <w:p w14:paraId="18DD1D0B" w14:textId="58F89C11" w:rsidR="00C67834" w:rsidRPr="00D51072" w:rsidRDefault="00C67834" w:rsidP="001E6EA9">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 xml:space="preserve">A pesar de lo anterior, la Corte no encontró que en abstracto el mecanismo de remoción de jueces </w:t>
      </w:r>
      <w:r w:rsidR="00335F9A">
        <w:rPr>
          <w:i w:val="0"/>
          <w:szCs w:val="20"/>
        </w:rPr>
        <w:t xml:space="preserve">y juezas </w:t>
      </w:r>
      <w:r w:rsidRPr="00D51072">
        <w:rPr>
          <w:i w:val="0"/>
          <w:szCs w:val="20"/>
        </w:rPr>
        <w:t>por medio de un juicio político fuere contrario a la Convención y en particular al principio de independencia judicial, sino que analizó en qué medida las circunstancias fácticas fueron constitutivas de violaciones a las garantías del artículo 8.1</w:t>
      </w:r>
      <w:r w:rsidRPr="00D51072">
        <w:rPr>
          <w:rStyle w:val="Refdenotaalpie"/>
          <w:i w:val="0"/>
        </w:rPr>
        <w:footnoteReference w:id="36"/>
      </w:r>
      <w:r w:rsidRPr="00D51072">
        <w:rPr>
          <w:i w:val="0"/>
          <w:szCs w:val="20"/>
        </w:rPr>
        <w:t xml:space="preserve">. </w:t>
      </w:r>
      <w:r w:rsidR="00A85120" w:rsidRPr="00D51072">
        <w:rPr>
          <w:i w:val="0"/>
          <w:szCs w:val="20"/>
        </w:rPr>
        <w:t>L</w:t>
      </w:r>
      <w:r w:rsidRPr="00D51072">
        <w:rPr>
          <w:i w:val="0"/>
          <w:szCs w:val="20"/>
        </w:rPr>
        <w:t xml:space="preserve">os juicios políticos en los que se discute la remoción de miembros del </w:t>
      </w:r>
      <w:r w:rsidR="00874585">
        <w:rPr>
          <w:i w:val="0"/>
          <w:szCs w:val="20"/>
        </w:rPr>
        <w:t>P</w:t>
      </w:r>
      <w:r w:rsidRPr="00D51072">
        <w:rPr>
          <w:i w:val="0"/>
          <w:szCs w:val="20"/>
        </w:rPr>
        <w:t xml:space="preserve">oder </w:t>
      </w:r>
      <w:r w:rsidR="00874585">
        <w:rPr>
          <w:i w:val="0"/>
          <w:szCs w:val="20"/>
        </w:rPr>
        <w:t>J</w:t>
      </w:r>
      <w:r w:rsidRPr="00D51072">
        <w:rPr>
          <w:i w:val="0"/>
          <w:szCs w:val="20"/>
        </w:rPr>
        <w:t xml:space="preserve">udicial no son contrarios a la Convención </w:t>
      </w:r>
      <w:r w:rsidRPr="00D51072">
        <w:rPr>
          <w:szCs w:val="20"/>
        </w:rPr>
        <w:t>per se</w:t>
      </w:r>
      <w:r w:rsidRPr="00D51072">
        <w:rPr>
          <w:i w:val="0"/>
          <w:szCs w:val="20"/>
        </w:rPr>
        <w:t xml:space="preserve">, siempre y cuando en el marco de aquellos, se cumplan las garantías del artículo 8 y existan criterios que limiten la discrecionalidad del juzgador con miras a proteger la garantía de independencia. </w:t>
      </w:r>
    </w:p>
    <w:p w14:paraId="75AFF61A" w14:textId="76504932" w:rsidR="00C67834" w:rsidRPr="00D51072" w:rsidRDefault="00C67834" w:rsidP="00C67834">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 xml:space="preserve">A su vez, lo anterior encuentra sentido en el hecho </w:t>
      </w:r>
      <w:r w:rsidR="00E20441">
        <w:rPr>
          <w:i w:val="0"/>
          <w:szCs w:val="20"/>
        </w:rPr>
        <w:t xml:space="preserve">de </w:t>
      </w:r>
      <w:r w:rsidRPr="00D51072">
        <w:rPr>
          <w:i w:val="0"/>
          <w:szCs w:val="20"/>
        </w:rPr>
        <w:t xml:space="preserve">que este Tribunal no ha establecido un sistema procesal particular en el marco del cual se satisfagan de manera “correcta” las garantías </w:t>
      </w:r>
      <w:r w:rsidR="00887476" w:rsidRPr="00D51072">
        <w:rPr>
          <w:i w:val="0"/>
          <w:szCs w:val="20"/>
        </w:rPr>
        <w:t>contenidas</w:t>
      </w:r>
      <w:r w:rsidRPr="00D51072">
        <w:rPr>
          <w:i w:val="0"/>
          <w:szCs w:val="20"/>
        </w:rPr>
        <w:t xml:space="preserve"> en la Convención, sino que ha respetado la libertad de los Estados para determinar el que consideren adecuado, siempre que en el marco de aquellos se cumplan </w:t>
      </w:r>
      <w:r w:rsidR="0006371B">
        <w:rPr>
          <w:i w:val="0"/>
          <w:szCs w:val="20"/>
        </w:rPr>
        <w:t xml:space="preserve">con esas </w:t>
      </w:r>
      <w:r w:rsidRPr="00D51072">
        <w:rPr>
          <w:i w:val="0"/>
          <w:szCs w:val="20"/>
        </w:rPr>
        <w:t>garantías</w:t>
      </w:r>
      <w:r w:rsidRPr="00D51072">
        <w:rPr>
          <w:i w:val="0"/>
          <w:vertAlign w:val="superscript"/>
        </w:rPr>
        <w:footnoteReference w:id="37"/>
      </w:r>
      <w:r w:rsidRPr="00D51072">
        <w:rPr>
          <w:i w:val="0"/>
          <w:szCs w:val="20"/>
        </w:rPr>
        <w:t>.</w:t>
      </w:r>
    </w:p>
    <w:p w14:paraId="192FCF8B" w14:textId="1847EA73" w:rsidR="000353D2" w:rsidRPr="000353D2" w:rsidRDefault="00C67834" w:rsidP="000353D2">
      <w:pPr>
        <w:pStyle w:val="Estilo1"/>
        <w:numPr>
          <w:ilvl w:val="0"/>
          <w:numId w:val="2"/>
        </w:numPr>
        <w:tabs>
          <w:tab w:val="left" w:pos="0"/>
          <w:tab w:val="left" w:pos="567"/>
          <w:tab w:val="left" w:pos="1134"/>
        </w:tabs>
        <w:spacing w:before="120"/>
        <w:ind w:left="0" w:right="-6" w:firstLine="0"/>
        <w:rPr>
          <w:i w:val="0"/>
          <w:szCs w:val="20"/>
        </w:rPr>
      </w:pPr>
      <w:r w:rsidRPr="000353D2">
        <w:rPr>
          <w:i w:val="0"/>
          <w:szCs w:val="20"/>
        </w:rPr>
        <w:t>En este sentido es importante hacer mención a</w:t>
      </w:r>
      <w:r w:rsidR="00814F96">
        <w:rPr>
          <w:i w:val="0"/>
          <w:szCs w:val="20"/>
        </w:rPr>
        <w:t>l significado particular d</w:t>
      </w:r>
      <w:r w:rsidRPr="000353D2">
        <w:rPr>
          <w:i w:val="0"/>
          <w:szCs w:val="20"/>
        </w:rPr>
        <w:t xml:space="preserve">el juicio político en el derecho argentino. Según fue expuesto por el Estado: </w:t>
      </w:r>
      <w:r w:rsidR="000353D2" w:rsidRPr="000353D2">
        <w:rPr>
          <w:i w:val="0"/>
          <w:szCs w:val="20"/>
        </w:rPr>
        <w:t xml:space="preserve">“el elemento democráticamente representativo de integración del [jurado], se ajusta a la naturaleza de su competencia y a los principios que emergen de la democracia republicana. […] el sistema de </w:t>
      </w:r>
      <w:r w:rsidR="000353D2">
        <w:rPr>
          <w:i w:val="0"/>
          <w:szCs w:val="20"/>
        </w:rPr>
        <w:t>‘</w:t>
      </w:r>
      <w:r w:rsidR="000353D2" w:rsidRPr="000353D2">
        <w:rPr>
          <w:i w:val="0"/>
          <w:szCs w:val="20"/>
        </w:rPr>
        <w:t>pesos y contrapesos</w:t>
      </w:r>
      <w:r w:rsidR="000353D2">
        <w:rPr>
          <w:i w:val="0"/>
          <w:szCs w:val="20"/>
        </w:rPr>
        <w:t>’</w:t>
      </w:r>
      <w:r w:rsidR="000353D2" w:rsidRPr="000353D2">
        <w:rPr>
          <w:i w:val="0"/>
          <w:szCs w:val="20"/>
        </w:rPr>
        <w:t xml:space="preserve"> propio de la organización constitucional republicana sugiere que el órgano a cargo del trámite sea precisamente uno distinto del que se encuentra cuestionado”</w:t>
      </w:r>
      <w:r w:rsidR="000353D2" w:rsidRPr="000353D2">
        <w:rPr>
          <w:rStyle w:val="Refdenotaalpie"/>
          <w:i w:val="0"/>
        </w:rPr>
        <w:footnoteReference w:id="38"/>
      </w:r>
      <w:r w:rsidR="000353D2" w:rsidRPr="000353D2">
        <w:rPr>
          <w:i w:val="0"/>
          <w:szCs w:val="20"/>
        </w:rPr>
        <w:t>.</w:t>
      </w:r>
    </w:p>
    <w:p w14:paraId="46DAC522" w14:textId="1AD1BAD9" w:rsidR="00E15B43" w:rsidRPr="00D51072" w:rsidRDefault="00C67834" w:rsidP="00393EF1">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 xml:space="preserve">En el presente caso </w:t>
      </w:r>
      <w:r w:rsidR="00887476" w:rsidRPr="00D51072">
        <w:rPr>
          <w:i w:val="0"/>
          <w:szCs w:val="20"/>
        </w:rPr>
        <w:t>los</w:t>
      </w:r>
      <w:r w:rsidRPr="00D51072">
        <w:rPr>
          <w:i w:val="0"/>
          <w:szCs w:val="20"/>
        </w:rPr>
        <w:t xml:space="preserve"> representante</w:t>
      </w:r>
      <w:r w:rsidR="00887476" w:rsidRPr="00D51072">
        <w:rPr>
          <w:i w:val="0"/>
          <w:szCs w:val="20"/>
        </w:rPr>
        <w:t>s</w:t>
      </w:r>
      <w:r w:rsidRPr="00D51072">
        <w:rPr>
          <w:i w:val="0"/>
          <w:szCs w:val="20"/>
        </w:rPr>
        <w:t xml:space="preserve"> aleg</w:t>
      </w:r>
      <w:r w:rsidR="00887476" w:rsidRPr="00D51072">
        <w:rPr>
          <w:i w:val="0"/>
          <w:szCs w:val="20"/>
        </w:rPr>
        <w:t>aron</w:t>
      </w:r>
      <w:r w:rsidRPr="00D51072">
        <w:rPr>
          <w:i w:val="0"/>
          <w:szCs w:val="20"/>
        </w:rPr>
        <w:t xml:space="preserve"> una vulneración al derecho a contar con un juez independiente en razón de la conformación del </w:t>
      </w:r>
      <w:r w:rsidR="004503D8" w:rsidRPr="00D51072">
        <w:rPr>
          <w:i w:val="0"/>
          <w:szCs w:val="20"/>
        </w:rPr>
        <w:t>J</w:t>
      </w:r>
      <w:r w:rsidRPr="00D51072">
        <w:rPr>
          <w:i w:val="0"/>
          <w:szCs w:val="20"/>
        </w:rPr>
        <w:t xml:space="preserve">urado de </w:t>
      </w:r>
      <w:r w:rsidR="004503D8" w:rsidRPr="00D51072">
        <w:rPr>
          <w:i w:val="0"/>
          <w:szCs w:val="20"/>
        </w:rPr>
        <w:t>E</w:t>
      </w:r>
      <w:r w:rsidRPr="00D51072">
        <w:rPr>
          <w:i w:val="0"/>
          <w:szCs w:val="20"/>
        </w:rPr>
        <w:t xml:space="preserve">njuiciamiento y del criterio de discrecionalidad política con base en el cual fallan. </w:t>
      </w:r>
      <w:r w:rsidR="00E15B43" w:rsidRPr="00D51072">
        <w:rPr>
          <w:i w:val="0"/>
          <w:szCs w:val="20"/>
        </w:rPr>
        <w:t>A partir de lo expuesto, la Corte debe establecer si el procedimiento desarrollado ante el Jurado de Enjuiciamiento de la Provincia de Buenos Air</w:t>
      </w:r>
      <w:r w:rsidR="00A6338A">
        <w:rPr>
          <w:i w:val="0"/>
          <w:szCs w:val="20"/>
        </w:rPr>
        <w:t>es vulnera el artículo 8.1 y</w:t>
      </w:r>
      <w:r w:rsidR="00E15B43" w:rsidRPr="00D51072">
        <w:rPr>
          <w:i w:val="0"/>
          <w:szCs w:val="20"/>
        </w:rPr>
        <w:t xml:space="preserve"> en particular el principio de independencia judicial.  </w:t>
      </w:r>
    </w:p>
    <w:p w14:paraId="041CAB11" w14:textId="3F4DD354" w:rsidR="00E15B43" w:rsidRPr="000353D2" w:rsidRDefault="00E15B43" w:rsidP="000353D2">
      <w:pPr>
        <w:pStyle w:val="Estilo1"/>
        <w:numPr>
          <w:ilvl w:val="0"/>
          <w:numId w:val="2"/>
        </w:numPr>
        <w:tabs>
          <w:tab w:val="left" w:pos="0"/>
          <w:tab w:val="left" w:pos="567"/>
          <w:tab w:val="left" w:pos="1134"/>
        </w:tabs>
        <w:spacing w:before="120"/>
        <w:ind w:left="0" w:right="-6" w:firstLine="0"/>
        <w:rPr>
          <w:i w:val="0"/>
          <w:sz w:val="18"/>
          <w:szCs w:val="20"/>
        </w:rPr>
      </w:pPr>
      <w:r w:rsidRPr="000353D2">
        <w:rPr>
          <w:i w:val="0"/>
          <w:szCs w:val="20"/>
        </w:rPr>
        <w:lastRenderedPageBreak/>
        <w:t xml:space="preserve">En primer término, </w:t>
      </w:r>
      <w:r w:rsidR="00814F96">
        <w:rPr>
          <w:i w:val="0"/>
          <w:szCs w:val="20"/>
        </w:rPr>
        <w:t>sobre</w:t>
      </w:r>
      <w:r w:rsidRPr="000353D2">
        <w:rPr>
          <w:i w:val="0"/>
          <w:szCs w:val="20"/>
        </w:rPr>
        <w:t xml:space="preserve"> la composición del Jurado de Enjuiciamiento, el Tribunal constata que “el elemento político” o la proporción de jurados que provienen del </w:t>
      </w:r>
      <w:r w:rsidR="00DE4195" w:rsidRPr="000353D2">
        <w:rPr>
          <w:i w:val="0"/>
          <w:szCs w:val="20"/>
        </w:rPr>
        <w:t>P</w:t>
      </w:r>
      <w:r w:rsidRPr="000353D2">
        <w:rPr>
          <w:i w:val="0"/>
          <w:szCs w:val="20"/>
        </w:rPr>
        <w:t xml:space="preserve">oder </w:t>
      </w:r>
      <w:r w:rsidR="00DE4195" w:rsidRPr="000353D2">
        <w:rPr>
          <w:i w:val="0"/>
          <w:szCs w:val="20"/>
        </w:rPr>
        <w:t>L</w:t>
      </w:r>
      <w:r w:rsidRPr="000353D2">
        <w:rPr>
          <w:i w:val="0"/>
          <w:szCs w:val="20"/>
        </w:rPr>
        <w:t xml:space="preserve">egislativo no es mayoritaria y se modula con el requisito de que </w:t>
      </w:r>
      <w:r w:rsidR="00405975">
        <w:rPr>
          <w:i w:val="0"/>
          <w:szCs w:val="20"/>
        </w:rPr>
        <w:t>son elegidos</w:t>
      </w:r>
      <w:r w:rsidRPr="000353D2">
        <w:rPr>
          <w:i w:val="0"/>
          <w:szCs w:val="20"/>
        </w:rPr>
        <w:t xml:space="preserve"> de una lista compuesta únicamente por aquellos que sean abogados y cumplen los requisitos para ser </w:t>
      </w:r>
      <w:r w:rsidRPr="000353D2">
        <w:rPr>
          <w:i w:val="0"/>
          <w:color w:val="000000"/>
          <w:szCs w:val="20"/>
        </w:rPr>
        <w:t xml:space="preserve">miembro de la </w:t>
      </w:r>
      <w:r w:rsidR="003B491A" w:rsidRPr="000353D2">
        <w:rPr>
          <w:rFonts w:cs="Times New Roman"/>
          <w:i w:val="0"/>
          <w:szCs w:val="20"/>
          <w:lang w:val="es-AR"/>
        </w:rPr>
        <w:t>SCJBA</w:t>
      </w:r>
      <w:r w:rsidRPr="000353D2">
        <w:rPr>
          <w:rStyle w:val="Refdenotaalpie"/>
          <w:i w:val="0"/>
          <w:color w:val="000000"/>
        </w:rPr>
        <w:footnoteReference w:id="39"/>
      </w:r>
      <w:r w:rsidRPr="000353D2">
        <w:rPr>
          <w:i w:val="0"/>
          <w:color w:val="000000"/>
          <w:szCs w:val="20"/>
        </w:rPr>
        <w:t>.</w:t>
      </w:r>
      <w:r w:rsidR="00EB529E" w:rsidRPr="000353D2">
        <w:rPr>
          <w:i w:val="0"/>
          <w:color w:val="000000"/>
          <w:szCs w:val="20"/>
        </w:rPr>
        <w:t xml:space="preserve"> Es así como </w:t>
      </w:r>
      <w:r w:rsidRPr="000353D2">
        <w:rPr>
          <w:i w:val="0"/>
          <w:szCs w:val="20"/>
        </w:rPr>
        <w:t>el artículo 182 de la Constitución de la Provincia de Buenos Aires dispone</w:t>
      </w:r>
      <w:r w:rsidR="00A85120" w:rsidRPr="000353D2">
        <w:rPr>
          <w:i w:val="0"/>
          <w:szCs w:val="20"/>
        </w:rPr>
        <w:t xml:space="preserve"> que</w:t>
      </w:r>
      <w:r w:rsidRPr="000353D2">
        <w:rPr>
          <w:i w:val="0"/>
          <w:szCs w:val="20"/>
        </w:rPr>
        <w:t>:</w:t>
      </w:r>
      <w:r w:rsidRPr="000353D2">
        <w:rPr>
          <w:i w:val="0"/>
          <w:sz w:val="18"/>
          <w:szCs w:val="20"/>
        </w:rPr>
        <w:t xml:space="preserve"> </w:t>
      </w:r>
      <w:r w:rsidRPr="000353D2">
        <w:rPr>
          <w:i w:val="0"/>
          <w:szCs w:val="20"/>
        </w:rPr>
        <w:t>“</w:t>
      </w:r>
      <w:r w:rsidR="00A85120" w:rsidRPr="000353D2">
        <w:rPr>
          <w:i w:val="0"/>
          <w:szCs w:val="20"/>
        </w:rPr>
        <w:t>[l]</w:t>
      </w:r>
      <w:r w:rsidRPr="000353D2">
        <w:rPr>
          <w:i w:val="0"/>
          <w:szCs w:val="20"/>
        </w:rPr>
        <w:t xml:space="preserve">os jueces de las Cámaras de Apelación y de primera instancia </w:t>
      </w:r>
      <w:r w:rsidR="00814F96">
        <w:rPr>
          <w:i w:val="0"/>
          <w:szCs w:val="20"/>
        </w:rPr>
        <w:t>[…]</w:t>
      </w:r>
      <w:r w:rsidRPr="000353D2">
        <w:rPr>
          <w:i w:val="0"/>
          <w:szCs w:val="20"/>
        </w:rPr>
        <w:t xml:space="preserve"> pueden ser denunciados o acusados por cualquiera del pueblo, por delitos o faltas cometidas en el desempeño de sus funciones, ante un jurado de once miembros que podrá funcionar con número no inferior a seis, integrado por el presidente de la Suprema Corte de Justicia que lo presidirá, cinco abogados inscriptos en la matrícula que reúnan las condiciones para ser miembro de dicho tribunal, y hasta cinco legisladores abogados”.</w:t>
      </w:r>
    </w:p>
    <w:p w14:paraId="5ADB6CA9" w14:textId="78AB983E" w:rsidR="00E15B43" w:rsidRPr="00D51072" w:rsidRDefault="00E15B43" w:rsidP="00E15B43">
      <w:pPr>
        <w:pStyle w:val="Estilo1"/>
        <w:numPr>
          <w:ilvl w:val="0"/>
          <w:numId w:val="2"/>
        </w:numPr>
        <w:tabs>
          <w:tab w:val="left" w:pos="0"/>
          <w:tab w:val="left" w:pos="567"/>
          <w:tab w:val="left" w:pos="1134"/>
        </w:tabs>
        <w:spacing w:before="120"/>
        <w:ind w:left="0" w:right="-6" w:firstLine="0"/>
        <w:rPr>
          <w:szCs w:val="20"/>
        </w:rPr>
      </w:pPr>
      <w:r w:rsidRPr="00D51072">
        <w:rPr>
          <w:i w:val="0"/>
          <w:color w:val="000000"/>
          <w:szCs w:val="20"/>
        </w:rPr>
        <w:t xml:space="preserve">Esto se verificó en el caso concreto, donde cuatro de los nueve miembros del jurado fueron </w:t>
      </w:r>
      <w:r w:rsidRPr="00D51072">
        <w:rPr>
          <w:i w:val="0"/>
          <w:szCs w:val="20"/>
        </w:rPr>
        <w:t>legisladores</w:t>
      </w:r>
      <w:r w:rsidRPr="00D51072">
        <w:rPr>
          <w:i w:val="0"/>
          <w:color w:val="000000"/>
          <w:szCs w:val="20"/>
        </w:rPr>
        <w:t xml:space="preserve"> elegidos por sorteo de las listas de abogados conformadas por el Consejo de la Magistratura</w:t>
      </w:r>
      <w:r w:rsidRPr="00D51072">
        <w:rPr>
          <w:color w:val="000000"/>
          <w:szCs w:val="20"/>
        </w:rPr>
        <w:t xml:space="preserve"> </w:t>
      </w:r>
      <w:r w:rsidRPr="00D51072">
        <w:rPr>
          <w:i w:val="0"/>
          <w:color w:val="000000"/>
          <w:szCs w:val="20"/>
        </w:rPr>
        <w:t>(</w:t>
      </w:r>
      <w:r w:rsidRPr="00D51072">
        <w:rPr>
          <w:color w:val="000000"/>
          <w:szCs w:val="20"/>
        </w:rPr>
        <w:t>supra</w:t>
      </w:r>
      <w:r w:rsidRPr="00D51072">
        <w:rPr>
          <w:i w:val="0"/>
          <w:color w:val="000000"/>
          <w:szCs w:val="20"/>
        </w:rPr>
        <w:t xml:space="preserve"> párr.</w:t>
      </w:r>
      <w:r w:rsidR="001F104C" w:rsidRPr="00D51072">
        <w:rPr>
          <w:i w:val="0"/>
          <w:color w:val="000000"/>
          <w:szCs w:val="20"/>
        </w:rPr>
        <w:t xml:space="preserve"> 30</w:t>
      </w:r>
      <w:r w:rsidRPr="00D51072">
        <w:rPr>
          <w:i w:val="0"/>
          <w:color w:val="000000"/>
          <w:szCs w:val="20"/>
        </w:rPr>
        <w:t>).</w:t>
      </w:r>
      <w:r w:rsidRPr="00D51072">
        <w:rPr>
          <w:i w:val="0"/>
          <w:color w:val="000000"/>
          <w:szCs w:val="20"/>
          <w:shd w:val="clear" w:color="auto" w:fill="FFFFFF"/>
        </w:rPr>
        <w:t xml:space="preserve"> </w:t>
      </w:r>
    </w:p>
    <w:p w14:paraId="2EE48628" w14:textId="5B2DF0C9" w:rsidR="00E15B43" w:rsidRPr="00D51072" w:rsidRDefault="00E15B43" w:rsidP="00E15B43">
      <w:pPr>
        <w:pStyle w:val="Estilo1"/>
        <w:numPr>
          <w:ilvl w:val="0"/>
          <w:numId w:val="2"/>
        </w:numPr>
        <w:tabs>
          <w:tab w:val="left" w:pos="0"/>
          <w:tab w:val="left" w:pos="567"/>
          <w:tab w:val="left" w:pos="1134"/>
        </w:tabs>
        <w:spacing w:before="120"/>
        <w:ind w:left="0" w:right="-6" w:firstLine="0"/>
        <w:rPr>
          <w:i w:val="0"/>
          <w:szCs w:val="20"/>
        </w:rPr>
      </w:pPr>
      <w:r w:rsidRPr="00D51072">
        <w:rPr>
          <w:i w:val="0"/>
          <w:color w:val="000000"/>
          <w:szCs w:val="20"/>
        </w:rPr>
        <w:t>En segundo lugar, la Corte advierte que existe un límite en relación con el</w:t>
      </w:r>
      <w:r w:rsidRPr="00D51072">
        <w:rPr>
          <w:i w:val="0"/>
          <w:szCs w:val="20"/>
        </w:rPr>
        <w:t xml:space="preserve"> ejercicio de las competencias del </w:t>
      </w:r>
      <w:r w:rsidR="004503D8" w:rsidRPr="00D51072">
        <w:rPr>
          <w:i w:val="0"/>
          <w:szCs w:val="20"/>
        </w:rPr>
        <w:t>J</w:t>
      </w:r>
      <w:r w:rsidRPr="00D51072">
        <w:rPr>
          <w:i w:val="0"/>
          <w:szCs w:val="20"/>
        </w:rPr>
        <w:t xml:space="preserve">urado de </w:t>
      </w:r>
      <w:r w:rsidR="004503D8" w:rsidRPr="00D51072">
        <w:rPr>
          <w:i w:val="0"/>
          <w:szCs w:val="20"/>
        </w:rPr>
        <w:t>E</w:t>
      </w:r>
      <w:r w:rsidRPr="00D51072">
        <w:rPr>
          <w:i w:val="0"/>
          <w:szCs w:val="20"/>
        </w:rPr>
        <w:t xml:space="preserve">njuiciamiento. En particular, el artículo 184 de la Constitución de la Provincia de Buenos Aires establece que: </w:t>
      </w:r>
      <w:r w:rsidR="00A51074" w:rsidRPr="00D51072">
        <w:rPr>
          <w:i w:val="0"/>
          <w:szCs w:val="20"/>
        </w:rPr>
        <w:t>“[e]l jurado dará su veredicto con arreglo a derecho, declarando al juez acusado culpable o no culpable del hecho o hechos que se le imputen”.</w:t>
      </w:r>
    </w:p>
    <w:p w14:paraId="3ECC22C8" w14:textId="1372B676" w:rsidR="00E15B43" w:rsidRPr="00D51072" w:rsidRDefault="00E15B43" w:rsidP="00E15B43">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 xml:space="preserve">En desarrollo de este mandato, la </w:t>
      </w:r>
      <w:r w:rsidR="001C4988" w:rsidRPr="00D51072">
        <w:rPr>
          <w:i w:val="0"/>
          <w:szCs w:val="20"/>
        </w:rPr>
        <w:t>L</w:t>
      </w:r>
      <w:r w:rsidRPr="00D51072">
        <w:rPr>
          <w:i w:val="0"/>
          <w:szCs w:val="20"/>
        </w:rPr>
        <w:t>ey 8085 contiene causales taxativas como fundamento para la acusación y la posterior condena. Entre las mencionadas se encuentra</w:t>
      </w:r>
      <w:r w:rsidR="00CA35BA" w:rsidRPr="00D51072">
        <w:rPr>
          <w:i w:val="0"/>
          <w:szCs w:val="20"/>
        </w:rPr>
        <w:t>n</w:t>
      </w:r>
      <w:r w:rsidRPr="00D51072">
        <w:rPr>
          <w:i w:val="0"/>
          <w:szCs w:val="20"/>
        </w:rPr>
        <w:t xml:space="preserve">: no reunir las condiciones que la Constitución y la Leyes determinan para el ejercicio del cargo, </w:t>
      </w:r>
      <w:r w:rsidR="002A44B4">
        <w:rPr>
          <w:i w:val="0"/>
          <w:szCs w:val="20"/>
        </w:rPr>
        <w:t xml:space="preserve">tener una </w:t>
      </w:r>
      <w:r w:rsidRPr="00D51072">
        <w:rPr>
          <w:i w:val="0"/>
          <w:szCs w:val="20"/>
        </w:rPr>
        <w:t>inhabilidad física o mental, haberse acogido a los beneficios de la jubilación o goce de pensión nacional, provincial o municipal, incompetencia o negligencia reiteradamente demostrada en el ejercicio de sus funciones, incumplimiento reiterado de los deberes inherentes al cargo, entre otras</w:t>
      </w:r>
      <w:r w:rsidRPr="00D51072">
        <w:rPr>
          <w:rStyle w:val="Refdenotaalpie"/>
          <w:i w:val="0"/>
        </w:rPr>
        <w:footnoteReference w:id="40"/>
      </w:r>
      <w:r w:rsidRPr="00D51072">
        <w:rPr>
          <w:i w:val="0"/>
          <w:szCs w:val="20"/>
        </w:rPr>
        <w:t xml:space="preserve">. </w:t>
      </w:r>
    </w:p>
    <w:p w14:paraId="50C6B7EE" w14:textId="1C0ECE4E" w:rsidR="00E15B43" w:rsidRPr="00D51072" w:rsidRDefault="00E15B43" w:rsidP="001E6EA9">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A su vez, la Ley 8085 dispone que inmediatamente después de producidos los alegatos, el Presidente citará al jurado a sesión reservada para dictar el veredicto</w:t>
      </w:r>
      <w:r w:rsidRPr="00D51072">
        <w:rPr>
          <w:i w:val="0"/>
          <w:vertAlign w:val="superscript"/>
        </w:rPr>
        <w:footnoteReference w:id="41"/>
      </w:r>
      <w:r w:rsidRPr="00D51072">
        <w:rPr>
          <w:i w:val="0"/>
          <w:szCs w:val="20"/>
        </w:rPr>
        <w:t xml:space="preserve"> el cual será producto de las respuestas que cada uno de los jurados concedan</w:t>
      </w:r>
      <w:r w:rsidR="004F0AA2" w:rsidRPr="00D51072">
        <w:rPr>
          <w:i w:val="0"/>
          <w:szCs w:val="20"/>
        </w:rPr>
        <w:t xml:space="preserve"> a preguntas </w:t>
      </w:r>
      <w:r w:rsidR="008A5CFA">
        <w:rPr>
          <w:i w:val="0"/>
          <w:szCs w:val="20"/>
        </w:rPr>
        <w:t>establecidas</w:t>
      </w:r>
      <w:r w:rsidR="004F0AA2" w:rsidRPr="00D51072">
        <w:rPr>
          <w:i w:val="0"/>
          <w:szCs w:val="20"/>
        </w:rPr>
        <w:t xml:space="preserve"> en la </w:t>
      </w:r>
      <w:r w:rsidR="00F93A46" w:rsidRPr="00D51072">
        <w:rPr>
          <w:i w:val="0"/>
          <w:szCs w:val="20"/>
        </w:rPr>
        <w:t>l</w:t>
      </w:r>
      <w:r w:rsidRPr="00D51072">
        <w:rPr>
          <w:i w:val="0"/>
          <w:szCs w:val="20"/>
        </w:rPr>
        <w:t>ey</w:t>
      </w:r>
      <w:r w:rsidR="008A5CFA">
        <w:rPr>
          <w:i w:val="0"/>
          <w:szCs w:val="20"/>
        </w:rPr>
        <w:t xml:space="preserve"> 8085</w:t>
      </w:r>
      <w:r w:rsidRPr="00D51072">
        <w:rPr>
          <w:rStyle w:val="Refdenotaalpie"/>
          <w:i w:val="0"/>
        </w:rPr>
        <w:footnoteReference w:id="42"/>
      </w:r>
      <w:r w:rsidRPr="00D51072">
        <w:rPr>
          <w:i w:val="0"/>
          <w:szCs w:val="20"/>
        </w:rPr>
        <w:t>. Estas preguntas</w:t>
      </w:r>
      <w:r w:rsidR="00EB529E" w:rsidRPr="00D51072">
        <w:rPr>
          <w:i w:val="0"/>
          <w:szCs w:val="20"/>
        </w:rPr>
        <w:t>,</w:t>
      </w:r>
      <w:r w:rsidRPr="00D51072">
        <w:rPr>
          <w:i w:val="0"/>
          <w:szCs w:val="20"/>
        </w:rPr>
        <w:t xml:space="preserve"> que han de guiar la deliberación privada que desarrolla el jurado, son elementos que enmarcan su juicio</w:t>
      </w:r>
      <w:r w:rsidR="00645F9A" w:rsidRPr="00D51072">
        <w:rPr>
          <w:i w:val="0"/>
          <w:szCs w:val="20"/>
        </w:rPr>
        <w:t xml:space="preserve">, y a la postre pueden ser clasificados como </w:t>
      </w:r>
      <w:r w:rsidRPr="00D51072">
        <w:rPr>
          <w:i w:val="0"/>
          <w:szCs w:val="20"/>
        </w:rPr>
        <w:t>un elemento propio del control jurídico.</w:t>
      </w:r>
      <w:r w:rsidRPr="00D51072">
        <w:rPr>
          <w:szCs w:val="20"/>
        </w:rPr>
        <w:t xml:space="preserve"> </w:t>
      </w:r>
      <w:r w:rsidRPr="00D51072">
        <w:rPr>
          <w:i w:val="0"/>
          <w:szCs w:val="20"/>
        </w:rPr>
        <w:t xml:space="preserve">Adicionalmente, la </w:t>
      </w:r>
      <w:r w:rsidR="00F93A46" w:rsidRPr="00D51072">
        <w:rPr>
          <w:i w:val="0"/>
          <w:szCs w:val="20"/>
        </w:rPr>
        <w:t>l</w:t>
      </w:r>
      <w:r w:rsidRPr="00D51072">
        <w:rPr>
          <w:i w:val="0"/>
          <w:szCs w:val="20"/>
        </w:rPr>
        <w:t xml:space="preserve">ey </w:t>
      </w:r>
      <w:r w:rsidR="00232383" w:rsidRPr="00D51072">
        <w:rPr>
          <w:i w:val="0"/>
          <w:szCs w:val="20"/>
        </w:rPr>
        <w:t>establece</w:t>
      </w:r>
      <w:r w:rsidRPr="00D51072">
        <w:rPr>
          <w:i w:val="0"/>
          <w:szCs w:val="20"/>
        </w:rPr>
        <w:t xml:space="preserve"> la posibilidad de contar con un abogado para el correcto ejercicio del derecho a la defensa</w:t>
      </w:r>
      <w:r w:rsidRPr="00D51072">
        <w:rPr>
          <w:rStyle w:val="Refdenotaalpie"/>
          <w:i w:val="0"/>
        </w:rPr>
        <w:footnoteReference w:id="43"/>
      </w:r>
      <w:r w:rsidRPr="00D51072">
        <w:rPr>
          <w:i w:val="0"/>
          <w:szCs w:val="20"/>
        </w:rPr>
        <w:t xml:space="preserve"> y prevé la existencia de un juicio oral para la práctica de pruebas y alegatos finales de las partes, todo ello en tiempos prestablecidos</w:t>
      </w:r>
      <w:r w:rsidRPr="00D51072">
        <w:rPr>
          <w:rStyle w:val="Refdenotaalpie"/>
          <w:i w:val="0"/>
        </w:rPr>
        <w:footnoteReference w:id="44"/>
      </w:r>
      <w:r w:rsidRPr="00D51072">
        <w:rPr>
          <w:i w:val="0"/>
          <w:szCs w:val="20"/>
        </w:rPr>
        <w:t xml:space="preserve">. </w:t>
      </w:r>
    </w:p>
    <w:p w14:paraId="58E424FB" w14:textId="193757D2" w:rsidR="00E15B43" w:rsidRPr="00D51072" w:rsidRDefault="00232383" w:rsidP="00FB362B">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lastRenderedPageBreak/>
        <w:t>Por todo lo anterior, el Tribuna</w:t>
      </w:r>
      <w:r w:rsidR="00F502D6" w:rsidRPr="00D51072">
        <w:rPr>
          <w:i w:val="0"/>
          <w:szCs w:val="20"/>
        </w:rPr>
        <w:t>l</w:t>
      </w:r>
      <w:r w:rsidRPr="00D51072">
        <w:rPr>
          <w:i w:val="0"/>
          <w:szCs w:val="20"/>
        </w:rPr>
        <w:t xml:space="preserve"> encuentra que no es posible</w:t>
      </w:r>
      <w:r w:rsidR="00E15B43" w:rsidRPr="00D51072">
        <w:rPr>
          <w:i w:val="0"/>
          <w:szCs w:val="20"/>
        </w:rPr>
        <w:t xml:space="preserve"> afirmar que el </w:t>
      </w:r>
      <w:r w:rsidR="00405975">
        <w:rPr>
          <w:i w:val="0"/>
          <w:szCs w:val="20"/>
        </w:rPr>
        <w:t xml:space="preserve">proceso ante un </w:t>
      </w:r>
      <w:r w:rsidR="00E15B43" w:rsidRPr="00D51072">
        <w:rPr>
          <w:i w:val="0"/>
          <w:szCs w:val="20"/>
        </w:rPr>
        <w:t xml:space="preserve">Jurado de Enjuiciamiento, en razón de </w:t>
      </w:r>
      <w:r w:rsidR="00405975">
        <w:rPr>
          <w:i w:val="0"/>
          <w:szCs w:val="20"/>
        </w:rPr>
        <w:t xml:space="preserve">la </w:t>
      </w:r>
      <w:r w:rsidR="00E15B43" w:rsidRPr="00D51072">
        <w:rPr>
          <w:i w:val="0"/>
          <w:szCs w:val="20"/>
        </w:rPr>
        <w:t>composición</w:t>
      </w:r>
      <w:r w:rsidR="00405975">
        <w:rPr>
          <w:i w:val="0"/>
          <w:szCs w:val="20"/>
        </w:rPr>
        <w:t xml:space="preserve"> del jurado</w:t>
      </w:r>
      <w:r w:rsidR="00E15B43" w:rsidRPr="00D51072">
        <w:rPr>
          <w:i w:val="0"/>
          <w:szCs w:val="20"/>
        </w:rPr>
        <w:t>, no prev</w:t>
      </w:r>
      <w:r w:rsidR="00F502D6" w:rsidRPr="00D51072">
        <w:rPr>
          <w:i w:val="0"/>
          <w:szCs w:val="20"/>
        </w:rPr>
        <w:t>é</w:t>
      </w:r>
      <w:r w:rsidR="00E15B43" w:rsidRPr="00D51072">
        <w:rPr>
          <w:i w:val="0"/>
          <w:szCs w:val="20"/>
        </w:rPr>
        <w:t xml:space="preserve"> mecanismos procesales para el aseguramiento de las garantías del debido proceso. Por el contrario, en </w:t>
      </w:r>
      <w:r w:rsidRPr="00D51072">
        <w:rPr>
          <w:i w:val="0"/>
          <w:szCs w:val="20"/>
        </w:rPr>
        <w:t xml:space="preserve">opinión de esta </w:t>
      </w:r>
      <w:r w:rsidR="00E15B43" w:rsidRPr="00D51072">
        <w:rPr>
          <w:i w:val="0"/>
          <w:szCs w:val="20"/>
        </w:rPr>
        <w:t>Corte</w:t>
      </w:r>
      <w:r w:rsidR="00B360C9">
        <w:rPr>
          <w:i w:val="0"/>
          <w:szCs w:val="20"/>
        </w:rPr>
        <w:t>,</w:t>
      </w:r>
      <w:r w:rsidR="00E15B43" w:rsidRPr="00D51072">
        <w:rPr>
          <w:i w:val="0"/>
          <w:szCs w:val="20"/>
        </w:rPr>
        <w:t xml:space="preserve"> los elementos a los que se ha hecho referencia permiten afirmar que el ejercicio de las funciones del Jurado no se ejercen de manera subjetiva ni con base en discrecionalidad política, pues existen criterios previos, claros y ob</w:t>
      </w:r>
      <w:r w:rsidR="001C4988" w:rsidRPr="00D51072">
        <w:rPr>
          <w:i w:val="0"/>
          <w:szCs w:val="20"/>
        </w:rPr>
        <w:t xml:space="preserve">jetivos </w:t>
      </w:r>
      <w:r w:rsidR="00645F9A" w:rsidRPr="00D51072">
        <w:rPr>
          <w:i w:val="0"/>
          <w:szCs w:val="20"/>
        </w:rPr>
        <w:t>contenidos</w:t>
      </w:r>
      <w:r w:rsidR="001C4988" w:rsidRPr="00D51072">
        <w:rPr>
          <w:i w:val="0"/>
          <w:szCs w:val="20"/>
        </w:rPr>
        <w:t xml:space="preserve"> en la </w:t>
      </w:r>
      <w:r w:rsidR="00F93A46" w:rsidRPr="00D51072">
        <w:rPr>
          <w:i w:val="0"/>
          <w:szCs w:val="20"/>
        </w:rPr>
        <w:t>l</w:t>
      </w:r>
      <w:r w:rsidR="00E15B43" w:rsidRPr="00D51072">
        <w:rPr>
          <w:i w:val="0"/>
          <w:szCs w:val="20"/>
        </w:rPr>
        <w:t xml:space="preserve">ey </w:t>
      </w:r>
      <w:r w:rsidR="00645F9A" w:rsidRPr="00D51072">
        <w:rPr>
          <w:i w:val="0"/>
          <w:szCs w:val="20"/>
        </w:rPr>
        <w:t xml:space="preserve">y la Constitución de la Provincia </w:t>
      </w:r>
      <w:r w:rsidR="00E15B43" w:rsidRPr="00D51072">
        <w:rPr>
          <w:i w:val="0"/>
          <w:szCs w:val="20"/>
        </w:rPr>
        <w:t xml:space="preserve">que limitan la actividad del jurado y </w:t>
      </w:r>
      <w:r w:rsidR="00645F9A" w:rsidRPr="00D51072">
        <w:rPr>
          <w:i w:val="0"/>
          <w:szCs w:val="20"/>
        </w:rPr>
        <w:t>refuerzan</w:t>
      </w:r>
      <w:r w:rsidR="00E15B43" w:rsidRPr="00D51072">
        <w:rPr>
          <w:i w:val="0"/>
          <w:szCs w:val="20"/>
        </w:rPr>
        <w:t xml:space="preserve"> el control ejercido. </w:t>
      </w:r>
      <w:r w:rsidRPr="00D51072">
        <w:rPr>
          <w:i w:val="0"/>
          <w:szCs w:val="20"/>
        </w:rPr>
        <w:t xml:space="preserve">En mérito de lo expuesto, la Corte considera que no se verificó que el </w:t>
      </w:r>
      <w:r w:rsidR="00405975">
        <w:rPr>
          <w:i w:val="0"/>
          <w:szCs w:val="20"/>
        </w:rPr>
        <w:t xml:space="preserve">proceso ante el </w:t>
      </w:r>
      <w:r w:rsidRPr="00D51072">
        <w:rPr>
          <w:i w:val="0"/>
          <w:szCs w:val="20"/>
        </w:rPr>
        <w:t>Jurado de Enjuiciamiento en su configuración normativa ni en el caso concreto haya vulnerado el principio de independencia judicial.</w:t>
      </w:r>
    </w:p>
    <w:p w14:paraId="6F05EB26" w14:textId="3B390254" w:rsidR="00232383" w:rsidRPr="00FE1F3E" w:rsidRDefault="00232383" w:rsidP="00232383">
      <w:pPr>
        <w:pStyle w:val="Estilo1"/>
        <w:numPr>
          <w:ilvl w:val="0"/>
          <w:numId w:val="2"/>
        </w:numPr>
        <w:tabs>
          <w:tab w:val="left" w:pos="0"/>
          <w:tab w:val="left" w:pos="567"/>
          <w:tab w:val="left" w:pos="1134"/>
        </w:tabs>
        <w:spacing w:before="120"/>
        <w:ind w:left="0" w:right="-6" w:firstLine="0"/>
        <w:rPr>
          <w:i w:val="0"/>
          <w:szCs w:val="20"/>
        </w:rPr>
      </w:pPr>
      <w:r w:rsidRPr="00FE1F3E">
        <w:rPr>
          <w:i w:val="0"/>
          <w:szCs w:val="20"/>
        </w:rPr>
        <w:t>En lo que se refiere a la garantía contra presiones externas como elemento de la independencia judicial</w:t>
      </w:r>
      <w:r w:rsidR="00645F9A" w:rsidRPr="00FE1F3E">
        <w:rPr>
          <w:i w:val="0"/>
          <w:szCs w:val="20"/>
        </w:rPr>
        <w:t>,</w:t>
      </w:r>
      <w:r w:rsidRPr="00FE1F3E">
        <w:rPr>
          <w:i w:val="0"/>
          <w:szCs w:val="20"/>
        </w:rPr>
        <w:t xml:space="preserve"> </w:t>
      </w:r>
      <w:r w:rsidR="00E549CF" w:rsidRPr="00FE1F3E">
        <w:rPr>
          <w:i w:val="0"/>
          <w:szCs w:val="20"/>
        </w:rPr>
        <w:t>e</w:t>
      </w:r>
      <w:r w:rsidR="00645F9A" w:rsidRPr="00FE1F3E">
        <w:rPr>
          <w:i w:val="0"/>
          <w:szCs w:val="20"/>
        </w:rPr>
        <w:t>st</w:t>
      </w:r>
      <w:r w:rsidR="00FE1F3E" w:rsidRPr="00FE1F3E">
        <w:rPr>
          <w:i w:val="0"/>
          <w:szCs w:val="20"/>
        </w:rPr>
        <w:t>o</w:t>
      </w:r>
      <w:r w:rsidR="00645F9A" w:rsidRPr="00FE1F3E">
        <w:rPr>
          <w:i w:val="0"/>
          <w:szCs w:val="20"/>
        </w:rPr>
        <w:t xml:space="preserve"> </w:t>
      </w:r>
      <w:r w:rsidR="00FE1F3E" w:rsidRPr="00FE1F3E">
        <w:rPr>
          <w:i w:val="0"/>
          <w:szCs w:val="20"/>
        </w:rPr>
        <w:t xml:space="preserve">supone </w:t>
      </w:r>
      <w:r w:rsidRPr="00FE1F3E">
        <w:rPr>
          <w:i w:val="0"/>
          <w:szCs w:val="20"/>
        </w:rPr>
        <w:t>que el Estado debe abstenerse de realizar injerencias indebidas en el Poder Judicial o en sus integrantes</w:t>
      </w:r>
      <w:r w:rsidR="00FE1F3E" w:rsidRPr="00FE1F3E">
        <w:rPr>
          <w:i w:val="0"/>
          <w:szCs w:val="20"/>
        </w:rPr>
        <w:t xml:space="preserve">. Lo anterior implica que </w:t>
      </w:r>
      <w:r w:rsidRPr="00FE1F3E">
        <w:rPr>
          <w:i w:val="0"/>
          <w:szCs w:val="20"/>
        </w:rPr>
        <w:t xml:space="preserve">con relación a la persona del juez específico, </w:t>
      </w:r>
      <w:r w:rsidR="00FE1F3E" w:rsidRPr="00FE1F3E">
        <w:rPr>
          <w:i w:val="0"/>
          <w:szCs w:val="20"/>
        </w:rPr>
        <w:t xml:space="preserve">el Estado </w:t>
      </w:r>
      <w:r w:rsidRPr="00FE1F3E">
        <w:rPr>
          <w:i w:val="0"/>
          <w:szCs w:val="20"/>
        </w:rPr>
        <w:t>debe prevenir dichas injerencias</w:t>
      </w:r>
      <w:r w:rsidRPr="00FE1F3E">
        <w:rPr>
          <w:rStyle w:val="Refdenotaalpie"/>
          <w:i w:val="0"/>
        </w:rPr>
        <w:footnoteReference w:id="45"/>
      </w:r>
      <w:r w:rsidRPr="00FE1F3E">
        <w:rPr>
          <w:i w:val="0"/>
          <w:szCs w:val="20"/>
        </w:rPr>
        <w:t>.</w:t>
      </w:r>
    </w:p>
    <w:p w14:paraId="06CB1800" w14:textId="4DC2B27D" w:rsidR="00232383" w:rsidRPr="00D51072" w:rsidRDefault="00A85120" w:rsidP="00232383">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 xml:space="preserve">Sobre </w:t>
      </w:r>
      <w:r w:rsidR="00232383" w:rsidRPr="00D51072">
        <w:rPr>
          <w:i w:val="0"/>
          <w:szCs w:val="20"/>
        </w:rPr>
        <w:t xml:space="preserve">la </w:t>
      </w:r>
      <w:r w:rsidRPr="00D51072">
        <w:rPr>
          <w:i w:val="0"/>
          <w:szCs w:val="20"/>
        </w:rPr>
        <w:t xml:space="preserve">alegada </w:t>
      </w:r>
      <w:r w:rsidR="00232383" w:rsidRPr="00D51072">
        <w:rPr>
          <w:i w:val="0"/>
          <w:szCs w:val="20"/>
        </w:rPr>
        <w:t xml:space="preserve">vulneración al principio de independencia judicial </w:t>
      </w:r>
      <w:r w:rsidR="00FE1F3E">
        <w:rPr>
          <w:i w:val="0"/>
          <w:szCs w:val="20"/>
        </w:rPr>
        <w:t>debido al</w:t>
      </w:r>
      <w:r w:rsidR="00232383" w:rsidRPr="00D51072">
        <w:rPr>
          <w:i w:val="0"/>
          <w:szCs w:val="20"/>
        </w:rPr>
        <w:t xml:space="preserve"> mecanismo de s</w:t>
      </w:r>
      <w:r w:rsidRPr="00D51072">
        <w:rPr>
          <w:i w:val="0"/>
          <w:szCs w:val="20"/>
        </w:rPr>
        <w:t>elección de miembros del jurado, l</w:t>
      </w:r>
      <w:r w:rsidR="00232383" w:rsidRPr="00D51072">
        <w:rPr>
          <w:i w:val="0"/>
          <w:szCs w:val="20"/>
        </w:rPr>
        <w:t>os representantes afirmaron que “</w:t>
      </w:r>
      <w:r w:rsidR="00232383" w:rsidRPr="00D51072">
        <w:rPr>
          <w:bCs/>
          <w:i w:val="0"/>
          <w:szCs w:val="20"/>
        </w:rPr>
        <w:t>el Jurado de Enjuiciamiento no reviste el carácter de tribunal imparcial ni independiente</w:t>
      </w:r>
      <w:r w:rsidR="00232383" w:rsidRPr="00D51072">
        <w:rPr>
          <w:i w:val="0"/>
          <w:szCs w:val="20"/>
        </w:rPr>
        <w:t>, dado que sus miembros son elegidos para cada caso y tampoco gozan de estabilidad en sus puestos, de lo cual se deduce que tampoco se encuentran en posición de resistir las presiones que sobre ellos se ejerzan o de no caer en componendas del momento”</w:t>
      </w:r>
      <w:r w:rsidR="00232383" w:rsidRPr="00D51072">
        <w:rPr>
          <w:rStyle w:val="Refdenotaalpie"/>
          <w:i w:val="0"/>
        </w:rPr>
        <w:footnoteReference w:id="46"/>
      </w:r>
      <w:r w:rsidR="00232383" w:rsidRPr="00D51072">
        <w:rPr>
          <w:i w:val="0"/>
          <w:szCs w:val="20"/>
        </w:rPr>
        <w:t xml:space="preserve">. </w:t>
      </w:r>
    </w:p>
    <w:p w14:paraId="2A83091A" w14:textId="75474E00" w:rsidR="00232383" w:rsidRPr="00D51072" w:rsidRDefault="00232383" w:rsidP="00393EF1">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 xml:space="preserve">Con respecto a este alegato, la Corte </w:t>
      </w:r>
      <w:r w:rsidR="0062493E" w:rsidRPr="00D51072">
        <w:rPr>
          <w:i w:val="0"/>
          <w:szCs w:val="20"/>
        </w:rPr>
        <w:t xml:space="preserve">encuentra que </w:t>
      </w:r>
      <w:r w:rsidRPr="00D51072">
        <w:rPr>
          <w:i w:val="0"/>
          <w:szCs w:val="20"/>
        </w:rPr>
        <w:t xml:space="preserve">el </w:t>
      </w:r>
      <w:r w:rsidR="00CD6688" w:rsidRPr="00D51072">
        <w:rPr>
          <w:i w:val="0"/>
          <w:szCs w:val="20"/>
        </w:rPr>
        <w:t xml:space="preserve">señor Rico </w:t>
      </w:r>
      <w:r w:rsidR="00937AB5" w:rsidRPr="00D51072">
        <w:rPr>
          <w:i w:val="0"/>
          <w:szCs w:val="20"/>
        </w:rPr>
        <w:t>únicamente</w:t>
      </w:r>
      <w:r w:rsidR="00CD6688" w:rsidRPr="00D51072">
        <w:rPr>
          <w:i w:val="0"/>
          <w:szCs w:val="20"/>
        </w:rPr>
        <w:t xml:space="preserve"> había indicado </w:t>
      </w:r>
      <w:r w:rsidRPr="00D51072">
        <w:rPr>
          <w:i w:val="0"/>
          <w:szCs w:val="20"/>
        </w:rPr>
        <w:t>en términos genéricos que por su forma de designación, los miembros del Jurado de Enjuiciamiento no estaban protegidos frente a presiones externas sin explicar qué tipo de presiones habría recibido ni la manera en que las mismas pudieron</w:t>
      </w:r>
      <w:r w:rsidR="00645F9A" w:rsidRPr="00D51072">
        <w:rPr>
          <w:i w:val="0"/>
          <w:szCs w:val="20"/>
        </w:rPr>
        <w:t xml:space="preserve"> haber incidido </w:t>
      </w:r>
      <w:r w:rsidRPr="00D51072">
        <w:rPr>
          <w:i w:val="0"/>
          <w:szCs w:val="20"/>
        </w:rPr>
        <w:t>en la decisión.</w:t>
      </w:r>
      <w:r w:rsidR="00EB529E" w:rsidRPr="00D51072">
        <w:rPr>
          <w:i w:val="0"/>
          <w:szCs w:val="20"/>
        </w:rPr>
        <w:t xml:space="preserve"> </w:t>
      </w:r>
      <w:r w:rsidRPr="00D51072">
        <w:rPr>
          <w:i w:val="0"/>
          <w:szCs w:val="20"/>
        </w:rPr>
        <w:t xml:space="preserve">Por lo anterior, el Tribunal considera que en el presente caso no se vulneró el derecho a contar con un juez independiente. </w:t>
      </w:r>
    </w:p>
    <w:p w14:paraId="74EE1440" w14:textId="61E5254B" w:rsidR="009B1AA4" w:rsidRPr="00D51072" w:rsidRDefault="00AE7650" w:rsidP="004C6F25">
      <w:pPr>
        <w:pStyle w:val="Prrafodelista"/>
        <w:spacing w:before="240" w:after="240"/>
        <w:ind w:left="708" w:firstLine="12"/>
        <w:contextualSpacing w:val="0"/>
        <w:outlineLvl w:val="2"/>
        <w:rPr>
          <w:i/>
          <w:szCs w:val="20"/>
          <w:lang w:val="es-CR" w:eastAsia="es-ES"/>
        </w:rPr>
      </w:pPr>
      <w:bookmarkStart w:id="115" w:name="_Toc486693388"/>
      <w:bookmarkStart w:id="116" w:name="_Toc486842804"/>
      <w:bookmarkStart w:id="117" w:name="_Toc486842942"/>
      <w:bookmarkStart w:id="118" w:name="_Toc23415005"/>
      <w:r w:rsidRPr="00D51072">
        <w:rPr>
          <w:i/>
          <w:szCs w:val="20"/>
          <w:lang w:val="es-CR" w:eastAsia="es-ES"/>
        </w:rPr>
        <w:t xml:space="preserve">B.2. </w:t>
      </w:r>
      <w:bookmarkEnd w:id="115"/>
      <w:bookmarkEnd w:id="116"/>
      <w:bookmarkEnd w:id="117"/>
      <w:r w:rsidR="00CD6688" w:rsidRPr="00D51072">
        <w:rPr>
          <w:i/>
          <w:szCs w:val="20"/>
          <w:lang w:val="es-CR" w:eastAsia="es-ES"/>
        </w:rPr>
        <w:t>La alegada violación a la garantía de un juez imparcial</w:t>
      </w:r>
      <w:bookmarkEnd w:id="118"/>
    </w:p>
    <w:p w14:paraId="00017D38" w14:textId="5498FD33" w:rsidR="00FB362B" w:rsidRPr="00D51072" w:rsidRDefault="00FB362B" w:rsidP="00FB362B">
      <w:pPr>
        <w:pStyle w:val="Estilo1"/>
        <w:numPr>
          <w:ilvl w:val="0"/>
          <w:numId w:val="2"/>
        </w:numPr>
        <w:tabs>
          <w:tab w:val="left" w:pos="0"/>
          <w:tab w:val="left" w:pos="567"/>
          <w:tab w:val="left" w:pos="1134"/>
        </w:tabs>
        <w:spacing w:before="120"/>
        <w:ind w:left="0" w:right="-6" w:firstLine="0"/>
        <w:rPr>
          <w:i w:val="0"/>
          <w:lang w:val="es-ES"/>
        </w:rPr>
      </w:pPr>
      <w:r w:rsidRPr="00D51072">
        <w:rPr>
          <w:rFonts w:cs="Arial"/>
          <w:i w:val="0"/>
          <w:lang w:val="es-ES"/>
        </w:rPr>
        <w:t xml:space="preserve">Este Tribunal ha establecido que </w:t>
      </w:r>
      <w:r w:rsidRPr="00D51072">
        <w:rPr>
          <w:i w:val="0"/>
          <w:lang w:val="es-ES"/>
        </w:rPr>
        <w:t xml:space="preserve">la imparcialidad exige que </w:t>
      </w:r>
      <w:r w:rsidR="00335F9A">
        <w:rPr>
          <w:i w:val="0"/>
          <w:lang w:val="es-ES"/>
        </w:rPr>
        <w:t>la autoridad judicial</w:t>
      </w:r>
      <w:r w:rsidRPr="00D51072">
        <w:rPr>
          <w:i w:val="0"/>
          <w:lang w:val="es-ES"/>
        </w:rPr>
        <w:t xml:space="preserve"> que interviene en una contienda particular se aproxime a los hechos de la causa careciendo, de manera subjetiva, de </w:t>
      </w:r>
      <w:r w:rsidRPr="00D51072">
        <w:rPr>
          <w:rFonts w:eastAsia="Calibri"/>
          <w:i w:val="0"/>
          <w:kern w:val="1"/>
          <w:lang w:val="es-ES"/>
        </w:rPr>
        <w:t>todo</w:t>
      </w:r>
      <w:r w:rsidRPr="00D51072">
        <w:rPr>
          <w:i w:val="0"/>
          <w:lang w:val="es-ES"/>
        </w:rPr>
        <w:t xml:space="preserve"> prejuicio y, asimismo, ofreciendo garantías suficientes de índole objetiva que permitan desterrar toda duda que el justiciable pueda albergar respecto de la ausencia de imparcialidad</w:t>
      </w:r>
      <w:r w:rsidRPr="00D51072">
        <w:rPr>
          <w:i w:val="0"/>
          <w:vertAlign w:val="superscript"/>
          <w:lang w:val="es-ES"/>
        </w:rPr>
        <w:footnoteReference w:id="47"/>
      </w:r>
      <w:r w:rsidRPr="00D51072">
        <w:rPr>
          <w:i w:val="0"/>
          <w:lang w:val="es-ES"/>
        </w:rPr>
        <w:t>. En este sentido, la recusación y la excusación son instrumentos procesales que permiten proteger el derecho a ser juzgado por un órgano imparcial.</w:t>
      </w:r>
      <w:r w:rsidRPr="00D51072">
        <w:rPr>
          <w:rFonts w:eastAsiaTheme="minorHAnsi"/>
          <w:i w:val="0"/>
          <w:lang w:val="es-ES"/>
        </w:rPr>
        <w:t xml:space="preserve"> </w:t>
      </w:r>
      <w:r w:rsidRPr="00D51072">
        <w:rPr>
          <w:i w:val="0"/>
          <w:lang w:val="es-ES"/>
        </w:rPr>
        <w:t xml:space="preserve">La garantía de imparcialidad implica que </w:t>
      </w:r>
      <w:r w:rsidR="00335F9A">
        <w:rPr>
          <w:i w:val="0"/>
          <w:lang w:val="es-ES"/>
        </w:rPr>
        <w:t xml:space="preserve">quienes integran </w:t>
      </w:r>
      <w:r w:rsidRPr="00D51072">
        <w:rPr>
          <w:i w:val="0"/>
          <w:lang w:val="es-ES"/>
        </w:rPr>
        <w:t xml:space="preserve">el tribunal no tengan un interés directo, una posición tomada, una preferencia por alguna de las partes y que no se encuentren involucrados en la controversia, y que inspiren la confianza necesaria a las partes en el caso, así como a los ciudadanos en una sociedad democrática. La imparcialidad </w:t>
      </w:r>
      <w:r w:rsidRPr="00D51072">
        <w:rPr>
          <w:i w:val="0"/>
          <w:iCs/>
          <w:lang w:val="es-ES"/>
        </w:rPr>
        <w:t>personal</w:t>
      </w:r>
      <w:r w:rsidRPr="00D51072">
        <w:rPr>
          <w:i w:val="0"/>
          <w:lang w:val="es-ES"/>
        </w:rPr>
        <w:t xml:space="preserve"> o subjetiva se presume</w:t>
      </w:r>
      <w:r w:rsidR="00E72249">
        <w:rPr>
          <w:i w:val="0"/>
          <w:lang w:val="es-ES"/>
        </w:rPr>
        <w:t>,</w:t>
      </w:r>
      <w:r w:rsidRPr="00D51072">
        <w:rPr>
          <w:i w:val="0"/>
          <w:lang w:val="es-ES"/>
        </w:rPr>
        <w:t xml:space="preserve"> a menos que exista p</w:t>
      </w:r>
      <w:r w:rsidR="00E72249">
        <w:rPr>
          <w:i w:val="0"/>
          <w:lang w:val="es-ES"/>
        </w:rPr>
        <w:t xml:space="preserve">rueba en contrario, consistente, </w:t>
      </w:r>
      <w:r w:rsidRPr="00D51072">
        <w:rPr>
          <w:i w:val="0"/>
          <w:lang w:val="es-ES"/>
        </w:rPr>
        <w:t xml:space="preserve">por ejemplo en la demostración de que algún miembro de un tribunal o juez guarda prejuicios o parcialidades de índole personal contra los litigantes. Por su parte, la denominada imparcialidad objetiva </w:t>
      </w:r>
      <w:r w:rsidR="002B79DA">
        <w:rPr>
          <w:i w:val="0"/>
          <w:lang w:val="es-ES"/>
        </w:rPr>
        <w:t xml:space="preserve">involucra la determinación de </w:t>
      </w:r>
      <w:r w:rsidRPr="00D51072">
        <w:rPr>
          <w:i w:val="0"/>
          <w:lang w:val="es-ES"/>
        </w:rPr>
        <w:t xml:space="preserve">si </w:t>
      </w:r>
      <w:r w:rsidR="00335F9A">
        <w:rPr>
          <w:i w:val="0"/>
          <w:lang w:val="es-ES"/>
        </w:rPr>
        <w:t xml:space="preserve">la autoridad judicial </w:t>
      </w:r>
      <w:r w:rsidRPr="00D51072">
        <w:rPr>
          <w:i w:val="0"/>
          <w:lang w:val="es-ES"/>
        </w:rPr>
        <w:t>cuestionad</w:t>
      </w:r>
      <w:r w:rsidR="00335F9A">
        <w:rPr>
          <w:i w:val="0"/>
          <w:lang w:val="es-ES"/>
        </w:rPr>
        <w:t>a</w:t>
      </w:r>
      <w:r w:rsidRPr="00D51072">
        <w:rPr>
          <w:i w:val="0"/>
          <w:lang w:val="es-ES"/>
        </w:rPr>
        <w:t xml:space="preserve"> brindó elementos </w:t>
      </w:r>
      <w:r w:rsidRPr="00D51072">
        <w:rPr>
          <w:i w:val="0"/>
          <w:lang w:val="es-ES"/>
        </w:rPr>
        <w:lastRenderedPageBreak/>
        <w:t>convincentes que permitan eliminar temores legítimos o fundadas sospechas de parcialidad sobre su persona</w:t>
      </w:r>
      <w:r w:rsidRPr="00D51072">
        <w:rPr>
          <w:i w:val="0"/>
          <w:vertAlign w:val="superscript"/>
          <w:lang w:val="es-ES"/>
        </w:rPr>
        <w:footnoteReference w:id="48"/>
      </w:r>
      <w:r w:rsidRPr="00D51072">
        <w:rPr>
          <w:i w:val="0"/>
          <w:lang w:val="es-ES"/>
        </w:rPr>
        <w:t xml:space="preserve">. </w:t>
      </w:r>
      <w:r w:rsidR="006B265D">
        <w:rPr>
          <w:i w:val="0"/>
          <w:lang w:val="es-ES"/>
        </w:rPr>
        <w:t>Esos</w:t>
      </w:r>
      <w:r w:rsidRPr="00D51072">
        <w:rPr>
          <w:i w:val="0"/>
          <w:lang w:val="es-ES"/>
        </w:rPr>
        <w:t xml:space="preserve"> parámetros son </w:t>
      </w:r>
      <w:r w:rsidR="006B265D" w:rsidRPr="00D51072">
        <w:rPr>
          <w:i w:val="0"/>
          <w:lang w:val="es-ES"/>
        </w:rPr>
        <w:t xml:space="preserve">también </w:t>
      </w:r>
      <w:r w:rsidRPr="00D51072">
        <w:rPr>
          <w:i w:val="0"/>
          <w:lang w:val="es-ES"/>
        </w:rPr>
        <w:t xml:space="preserve">aplicables a los miembros </w:t>
      </w:r>
      <w:r w:rsidR="006B265D">
        <w:rPr>
          <w:i w:val="0"/>
          <w:lang w:val="es-ES"/>
        </w:rPr>
        <w:t>de un</w:t>
      </w:r>
      <w:r w:rsidRPr="00D51072">
        <w:rPr>
          <w:i w:val="0"/>
          <w:lang w:val="es-ES"/>
        </w:rPr>
        <w:t xml:space="preserve"> jurado</w:t>
      </w:r>
      <w:r w:rsidRPr="00D51072">
        <w:rPr>
          <w:rStyle w:val="Refdenotaalpie"/>
          <w:i w:val="0"/>
          <w:lang w:val="es-ES"/>
        </w:rPr>
        <w:footnoteReference w:id="49"/>
      </w:r>
      <w:r w:rsidRPr="00D51072">
        <w:rPr>
          <w:i w:val="0"/>
          <w:lang w:val="es-ES"/>
        </w:rPr>
        <w:t>.</w:t>
      </w:r>
    </w:p>
    <w:p w14:paraId="7C4636FD" w14:textId="1D0BF36D" w:rsidR="00CD6688" w:rsidRPr="00D51072" w:rsidRDefault="00CD6688" w:rsidP="007F2E45">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Los representantes alegaron que se vulneró el derecho a contar con un juez imparcial, dadas las relaciones existentes entre miembros del jurado y del Colegio de Abogados. Puntualmente</w:t>
      </w:r>
      <w:r w:rsidR="006E21F6">
        <w:rPr>
          <w:i w:val="0"/>
          <w:szCs w:val="20"/>
        </w:rPr>
        <w:t>,</w:t>
      </w:r>
      <w:r w:rsidRPr="00D51072">
        <w:rPr>
          <w:i w:val="0"/>
          <w:szCs w:val="20"/>
        </w:rPr>
        <w:t xml:space="preserve"> afirm</w:t>
      </w:r>
      <w:r w:rsidR="00E549CF" w:rsidRPr="00D51072">
        <w:rPr>
          <w:i w:val="0"/>
          <w:szCs w:val="20"/>
        </w:rPr>
        <w:t>aron</w:t>
      </w:r>
      <w:r w:rsidRPr="00D51072">
        <w:rPr>
          <w:i w:val="0"/>
          <w:szCs w:val="20"/>
        </w:rPr>
        <w:t xml:space="preserve"> que </w:t>
      </w:r>
      <w:r w:rsidR="00BD0427" w:rsidRPr="00D51072">
        <w:rPr>
          <w:i w:val="0"/>
          <w:szCs w:val="20"/>
        </w:rPr>
        <w:t>G</w:t>
      </w:r>
      <w:r w:rsidR="00BD0427">
        <w:rPr>
          <w:i w:val="0"/>
          <w:szCs w:val="20"/>
        </w:rPr>
        <w:t>.</w:t>
      </w:r>
      <w:r w:rsidR="00BD0427" w:rsidRPr="00D51072">
        <w:rPr>
          <w:i w:val="0"/>
          <w:szCs w:val="20"/>
        </w:rPr>
        <w:t>E.S</w:t>
      </w:r>
      <w:r w:rsidR="00BD0427">
        <w:rPr>
          <w:i w:val="0"/>
          <w:szCs w:val="20"/>
        </w:rPr>
        <w:t>,</w:t>
      </w:r>
      <w:r w:rsidR="00BD0427" w:rsidRPr="00D51072">
        <w:rPr>
          <w:i w:val="0"/>
          <w:szCs w:val="20"/>
        </w:rPr>
        <w:t xml:space="preserve"> </w:t>
      </w:r>
      <w:r w:rsidRPr="00D51072">
        <w:rPr>
          <w:i w:val="0"/>
          <w:szCs w:val="20"/>
        </w:rPr>
        <w:t>quien elevó la acusación era paralelamente el Vicepresidente del Consejo de la Magistratura, persona que aglutinó el poder de todos los Colegios de Abogados de la Provincia</w:t>
      </w:r>
      <w:r w:rsidR="006E21F6">
        <w:rPr>
          <w:i w:val="0"/>
          <w:szCs w:val="20"/>
        </w:rPr>
        <w:t>,</w:t>
      </w:r>
      <w:r w:rsidRPr="00D51072">
        <w:rPr>
          <w:i w:val="0"/>
          <w:szCs w:val="20"/>
        </w:rPr>
        <w:t xml:space="preserve"> y que </w:t>
      </w:r>
      <w:r w:rsidR="006E21F6" w:rsidRPr="00564964">
        <w:rPr>
          <w:i w:val="0"/>
          <w:szCs w:val="20"/>
        </w:rPr>
        <w:t>G.D.S.M</w:t>
      </w:r>
      <w:r w:rsidR="006E21F6">
        <w:rPr>
          <w:i w:val="0"/>
          <w:szCs w:val="20"/>
        </w:rPr>
        <w:t>,</w:t>
      </w:r>
      <w:r w:rsidR="006E21F6" w:rsidRPr="00D51072">
        <w:rPr>
          <w:i w:val="0"/>
          <w:szCs w:val="20"/>
        </w:rPr>
        <w:t xml:space="preserve"> </w:t>
      </w:r>
      <w:r w:rsidRPr="00D51072">
        <w:rPr>
          <w:i w:val="0"/>
          <w:szCs w:val="20"/>
        </w:rPr>
        <w:t>el Presidente del Jurado de Enjuiciamiento</w:t>
      </w:r>
      <w:r w:rsidR="00405975">
        <w:rPr>
          <w:i w:val="0"/>
          <w:szCs w:val="20"/>
        </w:rPr>
        <w:t>,</w:t>
      </w:r>
      <w:r w:rsidRPr="00D51072">
        <w:rPr>
          <w:i w:val="0"/>
          <w:szCs w:val="20"/>
        </w:rPr>
        <w:t xml:space="preserve"> era a la vez el Presidente del Consejo de la Magistratura.</w:t>
      </w:r>
      <w:r w:rsidR="007F2E45" w:rsidRPr="00D51072">
        <w:rPr>
          <w:i w:val="0"/>
          <w:szCs w:val="20"/>
        </w:rPr>
        <w:t xml:space="preserve"> </w:t>
      </w:r>
    </w:p>
    <w:p w14:paraId="3C76074A" w14:textId="0860CE00" w:rsidR="00CD6688" w:rsidRPr="00D51072" w:rsidRDefault="00405975" w:rsidP="00564964">
      <w:pPr>
        <w:pStyle w:val="Estilo1"/>
        <w:numPr>
          <w:ilvl w:val="0"/>
          <w:numId w:val="2"/>
        </w:numPr>
        <w:tabs>
          <w:tab w:val="left" w:pos="0"/>
          <w:tab w:val="left" w:pos="567"/>
          <w:tab w:val="left" w:pos="1134"/>
        </w:tabs>
        <w:spacing w:before="120"/>
        <w:ind w:left="0" w:right="-6" w:firstLine="0"/>
        <w:rPr>
          <w:i w:val="0"/>
          <w:szCs w:val="20"/>
        </w:rPr>
      </w:pPr>
      <w:r>
        <w:rPr>
          <w:i w:val="0"/>
          <w:szCs w:val="20"/>
        </w:rPr>
        <w:t>Sobre ese alegato</w:t>
      </w:r>
      <w:r w:rsidR="00E549CF" w:rsidRPr="00D51072">
        <w:rPr>
          <w:i w:val="0"/>
          <w:szCs w:val="20"/>
        </w:rPr>
        <w:t>,</w:t>
      </w:r>
      <w:r w:rsidR="00CD6688" w:rsidRPr="00D51072">
        <w:rPr>
          <w:i w:val="0"/>
          <w:szCs w:val="20"/>
        </w:rPr>
        <w:t xml:space="preserve"> la Corte observa que no existe prueba de que la pertenencia de G</w:t>
      </w:r>
      <w:r w:rsidR="00564964">
        <w:rPr>
          <w:i w:val="0"/>
          <w:szCs w:val="20"/>
        </w:rPr>
        <w:t>.</w:t>
      </w:r>
      <w:r w:rsidR="00CD6688" w:rsidRPr="00D51072">
        <w:rPr>
          <w:i w:val="0"/>
          <w:szCs w:val="20"/>
        </w:rPr>
        <w:t>E.S</w:t>
      </w:r>
      <w:r w:rsidR="00564964">
        <w:rPr>
          <w:i w:val="0"/>
          <w:szCs w:val="20"/>
        </w:rPr>
        <w:t>.</w:t>
      </w:r>
      <w:r w:rsidR="00CD6688" w:rsidRPr="00D51072">
        <w:rPr>
          <w:i w:val="0"/>
          <w:szCs w:val="20"/>
        </w:rPr>
        <w:t xml:space="preserve"> tanto al Consejo de la Magistratura como al Colegio de Abogados de la Provincia hubiere empañado el nombramiento de los jurados. </w:t>
      </w:r>
      <w:r w:rsidR="006B265D">
        <w:rPr>
          <w:i w:val="0"/>
          <w:szCs w:val="20"/>
        </w:rPr>
        <w:t>Por tanto</w:t>
      </w:r>
      <w:r w:rsidRPr="00D51072">
        <w:rPr>
          <w:i w:val="0"/>
          <w:szCs w:val="20"/>
        </w:rPr>
        <w:t>, la Corte coincide con la Comisión y considera que a partir de los elementos que obran en el expediente, no es posible afirmar que alguno de los integrantes del jurado tuviere un interés directo o una posición previa respecto de</w:t>
      </w:r>
      <w:r>
        <w:rPr>
          <w:i w:val="0"/>
          <w:szCs w:val="20"/>
        </w:rPr>
        <w:t xml:space="preserve">l señor </w:t>
      </w:r>
      <w:r w:rsidRPr="00D51072">
        <w:rPr>
          <w:i w:val="0"/>
          <w:szCs w:val="20"/>
        </w:rPr>
        <w:t>Rico y en esa medi</w:t>
      </w:r>
      <w:r>
        <w:rPr>
          <w:i w:val="0"/>
          <w:szCs w:val="20"/>
        </w:rPr>
        <w:t>d</w:t>
      </w:r>
      <w:r w:rsidRPr="00D51072">
        <w:rPr>
          <w:i w:val="0"/>
          <w:szCs w:val="20"/>
        </w:rPr>
        <w:t xml:space="preserve">a no encuentra desvirtuada la presunción de imparcialidad subjetiva. </w:t>
      </w:r>
      <w:r w:rsidR="00CD6688" w:rsidRPr="00D51072">
        <w:rPr>
          <w:i w:val="0"/>
          <w:szCs w:val="20"/>
        </w:rPr>
        <w:t xml:space="preserve">Tampoco encuentra que se haya demostrado </w:t>
      </w:r>
      <w:r w:rsidR="00D626D2">
        <w:rPr>
          <w:i w:val="0"/>
          <w:szCs w:val="20"/>
        </w:rPr>
        <w:t xml:space="preserve">alguna </w:t>
      </w:r>
      <w:r w:rsidR="00CD6688" w:rsidRPr="00D51072">
        <w:rPr>
          <w:i w:val="0"/>
          <w:szCs w:val="20"/>
        </w:rPr>
        <w:t>afectación en razón de los cargos que ostentaba G</w:t>
      </w:r>
      <w:r w:rsidR="00564964">
        <w:rPr>
          <w:i w:val="0"/>
          <w:szCs w:val="20"/>
        </w:rPr>
        <w:t>.</w:t>
      </w:r>
      <w:r w:rsidR="00CD6688" w:rsidRPr="00D51072">
        <w:rPr>
          <w:i w:val="0"/>
          <w:szCs w:val="20"/>
        </w:rPr>
        <w:t>D</w:t>
      </w:r>
      <w:r w:rsidR="00564964">
        <w:rPr>
          <w:i w:val="0"/>
          <w:szCs w:val="20"/>
        </w:rPr>
        <w:t>.</w:t>
      </w:r>
      <w:r w:rsidR="00CD6688" w:rsidRPr="00D51072">
        <w:rPr>
          <w:i w:val="0"/>
          <w:szCs w:val="20"/>
        </w:rPr>
        <w:t>S</w:t>
      </w:r>
      <w:r w:rsidR="00564964">
        <w:rPr>
          <w:i w:val="0"/>
          <w:szCs w:val="20"/>
        </w:rPr>
        <w:t>.</w:t>
      </w:r>
      <w:r w:rsidR="00CD6688" w:rsidRPr="00D51072">
        <w:rPr>
          <w:i w:val="0"/>
          <w:szCs w:val="20"/>
        </w:rPr>
        <w:t>M</w:t>
      </w:r>
      <w:r w:rsidR="00564964">
        <w:rPr>
          <w:i w:val="0"/>
          <w:szCs w:val="20"/>
        </w:rPr>
        <w:t>.</w:t>
      </w:r>
      <w:r w:rsidR="00CD6688" w:rsidRPr="00D51072">
        <w:rPr>
          <w:i w:val="0"/>
          <w:szCs w:val="20"/>
        </w:rPr>
        <w:t xml:space="preserve">, dado que no </w:t>
      </w:r>
      <w:r w:rsidR="00D626D2">
        <w:rPr>
          <w:i w:val="0"/>
          <w:szCs w:val="20"/>
        </w:rPr>
        <w:t xml:space="preserve">se </w:t>
      </w:r>
      <w:r w:rsidR="00CD6688" w:rsidRPr="00D51072">
        <w:rPr>
          <w:i w:val="0"/>
          <w:szCs w:val="20"/>
        </w:rPr>
        <w:t>identific</w:t>
      </w:r>
      <w:r w:rsidR="00D626D2">
        <w:rPr>
          <w:i w:val="0"/>
          <w:szCs w:val="20"/>
        </w:rPr>
        <w:t>aron</w:t>
      </w:r>
      <w:r w:rsidR="00CD6688" w:rsidRPr="00D51072">
        <w:rPr>
          <w:i w:val="0"/>
          <w:szCs w:val="20"/>
        </w:rPr>
        <w:t xml:space="preserve"> elemento</w:t>
      </w:r>
      <w:r w:rsidR="00D626D2">
        <w:rPr>
          <w:i w:val="0"/>
          <w:szCs w:val="20"/>
        </w:rPr>
        <w:t>s</w:t>
      </w:r>
      <w:r w:rsidR="00CD6688" w:rsidRPr="00D51072">
        <w:rPr>
          <w:i w:val="0"/>
          <w:szCs w:val="20"/>
        </w:rPr>
        <w:t xml:space="preserve"> que vincule</w:t>
      </w:r>
      <w:r w:rsidR="00D626D2">
        <w:rPr>
          <w:i w:val="0"/>
          <w:szCs w:val="20"/>
        </w:rPr>
        <w:t>n</w:t>
      </w:r>
      <w:r w:rsidR="00BD0427">
        <w:rPr>
          <w:i w:val="0"/>
          <w:szCs w:val="20"/>
        </w:rPr>
        <w:t xml:space="preserve"> </w:t>
      </w:r>
      <w:r w:rsidR="00BD0427" w:rsidRPr="00564964">
        <w:rPr>
          <w:i w:val="0"/>
          <w:szCs w:val="20"/>
        </w:rPr>
        <w:t>G.D.S.M</w:t>
      </w:r>
      <w:r w:rsidR="00CD6688" w:rsidRPr="00D51072">
        <w:rPr>
          <w:i w:val="0"/>
          <w:szCs w:val="20"/>
        </w:rPr>
        <w:t xml:space="preserve">, en ejercicio de sus funciones como </w:t>
      </w:r>
      <w:r w:rsidR="00BD0427">
        <w:rPr>
          <w:i w:val="0"/>
          <w:szCs w:val="20"/>
        </w:rPr>
        <w:t>P</w:t>
      </w:r>
      <w:r w:rsidR="00CD6688" w:rsidRPr="00D51072">
        <w:rPr>
          <w:i w:val="0"/>
          <w:szCs w:val="20"/>
        </w:rPr>
        <w:t xml:space="preserve">residente del Consejo de la Magistratura, al proceso de destitución de la presunta víctima. </w:t>
      </w:r>
      <w:r w:rsidR="00821853" w:rsidRPr="00D51072">
        <w:rPr>
          <w:i w:val="0"/>
          <w:szCs w:val="20"/>
        </w:rPr>
        <w:t>Por último, no fue remitido a este Tribunal ningún documento en el cual conste que el señor Rico hubiese presentado una recusación de conformidad con lo establecido en los artículos 13 a 16 de la Ley 8085. Únicamente</w:t>
      </w:r>
      <w:r w:rsidR="000862E2" w:rsidRPr="00D51072">
        <w:rPr>
          <w:i w:val="0"/>
          <w:szCs w:val="20"/>
        </w:rPr>
        <w:t xml:space="preserve"> consta que se presentó una</w:t>
      </w:r>
      <w:r w:rsidR="00821853" w:rsidRPr="00D51072">
        <w:rPr>
          <w:i w:val="0"/>
          <w:szCs w:val="20"/>
        </w:rPr>
        <w:t xml:space="preserve"> “recusación” </w:t>
      </w:r>
      <w:r w:rsidR="000862E2" w:rsidRPr="00D51072">
        <w:rPr>
          <w:i w:val="0"/>
          <w:szCs w:val="20"/>
        </w:rPr>
        <w:t>contra</w:t>
      </w:r>
      <w:r w:rsidR="00821853" w:rsidRPr="00D51072">
        <w:rPr>
          <w:i w:val="0"/>
          <w:szCs w:val="20"/>
        </w:rPr>
        <w:t xml:space="preserve"> alguno de los jurados</w:t>
      </w:r>
      <w:r w:rsidR="000862E2" w:rsidRPr="00D51072">
        <w:rPr>
          <w:i w:val="0"/>
          <w:szCs w:val="20"/>
        </w:rPr>
        <w:t>,</w:t>
      </w:r>
      <w:r w:rsidR="00821853" w:rsidRPr="00D51072">
        <w:rPr>
          <w:i w:val="0"/>
          <w:szCs w:val="20"/>
        </w:rPr>
        <w:t xml:space="preserve"> una vez que se produjo la decisión </w:t>
      </w:r>
      <w:r w:rsidR="000862E2" w:rsidRPr="00D51072">
        <w:rPr>
          <w:i w:val="0"/>
          <w:szCs w:val="20"/>
        </w:rPr>
        <w:t xml:space="preserve">cuando se presentó el </w:t>
      </w:r>
      <w:r w:rsidR="00FC490D">
        <w:rPr>
          <w:i w:val="0"/>
          <w:szCs w:val="20"/>
        </w:rPr>
        <w:t>REN</w:t>
      </w:r>
      <w:r w:rsidR="00821853" w:rsidRPr="00D51072">
        <w:rPr>
          <w:i w:val="0"/>
          <w:szCs w:val="20"/>
        </w:rPr>
        <w:t xml:space="preserve"> ante la </w:t>
      </w:r>
      <w:r w:rsidR="003B491A" w:rsidRPr="00D51072">
        <w:rPr>
          <w:i w:val="0"/>
          <w:szCs w:val="20"/>
        </w:rPr>
        <w:t>SC</w:t>
      </w:r>
      <w:r w:rsidR="00821853" w:rsidRPr="00D51072">
        <w:rPr>
          <w:i w:val="0"/>
          <w:szCs w:val="20"/>
        </w:rPr>
        <w:t>JBA</w:t>
      </w:r>
      <w:r w:rsidR="00821853" w:rsidRPr="00D51072">
        <w:rPr>
          <w:rStyle w:val="Refdenotaalpie"/>
          <w:i w:val="0"/>
        </w:rPr>
        <w:footnoteReference w:id="50"/>
      </w:r>
      <w:r w:rsidR="00821853" w:rsidRPr="00D51072">
        <w:rPr>
          <w:i w:val="0"/>
          <w:szCs w:val="20"/>
        </w:rPr>
        <w:t xml:space="preserve">.  </w:t>
      </w:r>
    </w:p>
    <w:p w14:paraId="17026878" w14:textId="48B7F140" w:rsidR="00CD6688" w:rsidRPr="00D51072" w:rsidRDefault="00CD6688" w:rsidP="00CD6688">
      <w:pPr>
        <w:pStyle w:val="Estilo1"/>
        <w:numPr>
          <w:ilvl w:val="0"/>
          <w:numId w:val="2"/>
        </w:numPr>
        <w:tabs>
          <w:tab w:val="left" w:pos="0"/>
          <w:tab w:val="left" w:pos="567"/>
          <w:tab w:val="left" w:pos="1134"/>
        </w:tabs>
        <w:spacing w:before="120"/>
        <w:ind w:left="0" w:right="-6" w:firstLine="0"/>
        <w:rPr>
          <w:i w:val="0"/>
          <w:szCs w:val="20"/>
        </w:rPr>
      </w:pPr>
      <w:r w:rsidRPr="00D51072">
        <w:rPr>
          <w:i w:val="0"/>
          <w:szCs w:val="20"/>
        </w:rPr>
        <w:t xml:space="preserve">En razón de lo expuesto </w:t>
      </w:r>
      <w:r w:rsidR="000862E2" w:rsidRPr="00D51072">
        <w:rPr>
          <w:i w:val="0"/>
          <w:szCs w:val="20"/>
        </w:rPr>
        <w:t xml:space="preserve">anteriormente, </w:t>
      </w:r>
      <w:r w:rsidRPr="00D51072">
        <w:rPr>
          <w:i w:val="0"/>
          <w:szCs w:val="20"/>
        </w:rPr>
        <w:t xml:space="preserve">la Corte encuentra que no se vulneró el derecho a un juez imparcial en perjuicio del señor Rico. </w:t>
      </w:r>
    </w:p>
    <w:p w14:paraId="148AA28E" w14:textId="28EFDB3B" w:rsidR="00002549" w:rsidRPr="00D51072" w:rsidRDefault="00166035" w:rsidP="004C6F25">
      <w:pPr>
        <w:spacing w:before="240" w:after="240"/>
        <w:ind w:left="708"/>
        <w:outlineLvl w:val="2"/>
        <w:rPr>
          <w:rFonts w:cs="Times New Roman"/>
          <w:i/>
          <w:szCs w:val="20"/>
          <w:lang w:val="es-CR"/>
        </w:rPr>
      </w:pPr>
      <w:bookmarkStart w:id="119" w:name="_Toc486842808"/>
      <w:bookmarkStart w:id="120" w:name="_Toc23415006"/>
      <w:r w:rsidRPr="00D51072">
        <w:rPr>
          <w:rFonts w:cs="Times New Roman"/>
          <w:i/>
          <w:szCs w:val="20"/>
        </w:rPr>
        <w:t xml:space="preserve">B.3. </w:t>
      </w:r>
      <w:bookmarkEnd w:id="119"/>
      <w:r w:rsidR="00903775" w:rsidRPr="00D51072">
        <w:rPr>
          <w:rFonts w:cs="Times New Roman"/>
          <w:i/>
          <w:szCs w:val="20"/>
          <w:lang w:val="es-CR"/>
        </w:rPr>
        <w:t>El derecho a contar con un fallo motivado</w:t>
      </w:r>
      <w:bookmarkEnd w:id="120"/>
    </w:p>
    <w:p w14:paraId="11E503DA" w14:textId="73360C5F" w:rsidR="00E3539A" w:rsidRPr="00D51072" w:rsidRDefault="00E3539A" w:rsidP="001E6EA9">
      <w:pPr>
        <w:pStyle w:val="Estilo1"/>
        <w:numPr>
          <w:ilvl w:val="0"/>
          <w:numId w:val="2"/>
        </w:numPr>
        <w:tabs>
          <w:tab w:val="left" w:pos="0"/>
          <w:tab w:val="left" w:pos="567"/>
          <w:tab w:val="left" w:pos="1134"/>
        </w:tabs>
        <w:spacing w:before="120"/>
        <w:ind w:left="0" w:right="-6" w:firstLine="0"/>
        <w:rPr>
          <w:i w:val="0"/>
          <w:szCs w:val="20"/>
          <w:lang w:val="es-ES"/>
        </w:rPr>
      </w:pPr>
      <w:r w:rsidRPr="00D51072">
        <w:rPr>
          <w:i w:val="0"/>
          <w:lang w:val="es-ES"/>
        </w:rPr>
        <w:t xml:space="preserve">La </w:t>
      </w:r>
      <w:r w:rsidRPr="00D51072">
        <w:rPr>
          <w:i w:val="0"/>
          <w:szCs w:val="20"/>
        </w:rPr>
        <w:t>Corte</w:t>
      </w:r>
      <w:r w:rsidRPr="00D51072">
        <w:rPr>
          <w:i w:val="0"/>
          <w:lang w:val="es-ES"/>
        </w:rPr>
        <w:t xml:space="preserve"> ha señalado que el deber de motivación es una de las debidas garantías</w:t>
      </w:r>
      <w:r w:rsidR="00843E42">
        <w:rPr>
          <w:i w:val="0"/>
          <w:lang w:val="es-ES"/>
        </w:rPr>
        <w:t xml:space="preserve"> </w:t>
      </w:r>
      <w:r w:rsidRPr="00D51072">
        <w:rPr>
          <w:i w:val="0"/>
          <w:lang w:val="es-ES"/>
        </w:rPr>
        <w:t xml:space="preserve">incluidas en el artículo 8.1 para salvaguardar el derecho a un debido proceso. La Corte ha precisado que la motivación “es la exteriorización de la justificación razonada que permite llegar a una conclusión” y conlleva una exposición racional de las razones que llevan al juzgador a adoptar una decisión. La </w:t>
      </w:r>
      <w:r w:rsidRPr="00D51072">
        <w:rPr>
          <w:rFonts w:cs="MSTT3132dbeaafO05102100"/>
          <w:i w:val="0"/>
          <w:lang w:val="es-ES"/>
        </w:rPr>
        <w:t xml:space="preserve">relevancia de esta garantía </w:t>
      </w:r>
      <w:r w:rsidRPr="00D51072">
        <w:rPr>
          <w:i w:val="0"/>
          <w:lang w:val="es-ES"/>
        </w:rPr>
        <w:t>se encuentra ligada a la correcta administración de justicia y a evitar que se emitan decisiones arbitrarias. Asimismo, la motivación otorga credibilidad de las decisiones jurídicas en el marco de una sociedad democrática</w:t>
      </w:r>
      <w:bookmarkStart w:id="121" w:name="_ftnref67"/>
      <w:r w:rsidRPr="00D51072">
        <w:rPr>
          <w:i w:val="0"/>
          <w:lang w:val="es-ES"/>
        </w:rPr>
        <w:t xml:space="preserve"> </w:t>
      </w:r>
      <w:r w:rsidRPr="00D51072">
        <w:rPr>
          <w:rFonts w:eastAsia="Calibri"/>
          <w:i w:val="0"/>
          <w:lang w:val="es-ES"/>
        </w:rPr>
        <w:t xml:space="preserve">y demuestra a las partes que </w:t>
      </w:r>
      <w:r w:rsidR="00E549CF" w:rsidRPr="00D51072">
        <w:rPr>
          <w:rFonts w:eastAsia="Calibri"/>
          <w:i w:val="0"/>
          <w:lang w:val="es-ES"/>
        </w:rPr>
        <w:t>e</w:t>
      </w:r>
      <w:r w:rsidRPr="00D51072">
        <w:rPr>
          <w:rFonts w:eastAsia="Calibri"/>
          <w:i w:val="0"/>
          <w:lang w:val="es-ES"/>
        </w:rPr>
        <w:t>stas han sido oídas</w:t>
      </w:r>
      <w:r w:rsidR="005F2A93" w:rsidRPr="00D51072">
        <w:rPr>
          <w:i w:val="0"/>
          <w:vertAlign w:val="superscript"/>
          <w:lang w:val="es-ES"/>
        </w:rPr>
        <w:footnoteReference w:id="51"/>
      </w:r>
      <w:hyperlink r:id="rId11" w:anchor="_ftn67" w:history="1"/>
      <w:bookmarkEnd w:id="121"/>
      <w:r w:rsidRPr="00D51072">
        <w:rPr>
          <w:i w:val="0"/>
          <w:lang w:val="es-ES"/>
        </w:rPr>
        <w:t>.</w:t>
      </w:r>
    </w:p>
    <w:p w14:paraId="19D177D9" w14:textId="4A9BE0FD" w:rsidR="00E3539A" w:rsidRPr="00D51072" w:rsidRDefault="004234FF" w:rsidP="00E3539A">
      <w:pPr>
        <w:pStyle w:val="Estilo1"/>
        <w:numPr>
          <w:ilvl w:val="0"/>
          <w:numId w:val="2"/>
        </w:numPr>
        <w:tabs>
          <w:tab w:val="left" w:pos="0"/>
          <w:tab w:val="left" w:pos="567"/>
          <w:tab w:val="left" w:pos="1134"/>
        </w:tabs>
        <w:spacing w:before="120"/>
        <w:ind w:left="0" w:right="-6" w:firstLine="0"/>
        <w:rPr>
          <w:rFonts w:eastAsia="Calibri"/>
          <w:i w:val="0"/>
          <w:lang w:val="es-ES"/>
        </w:rPr>
      </w:pPr>
      <w:r>
        <w:rPr>
          <w:i w:val="0"/>
          <w:lang w:val="es-ES"/>
        </w:rPr>
        <w:t xml:space="preserve">Lo anterior se </w:t>
      </w:r>
      <w:r w:rsidR="00E3539A" w:rsidRPr="00D51072">
        <w:rPr>
          <w:i w:val="0"/>
          <w:szCs w:val="20"/>
          <w:lang w:val="es-ES"/>
        </w:rPr>
        <w:t>encuentra</w:t>
      </w:r>
      <w:r w:rsidR="00E3539A" w:rsidRPr="00D51072">
        <w:rPr>
          <w:i w:val="0"/>
          <w:lang w:val="es-ES"/>
        </w:rPr>
        <w:t xml:space="preserve"> </w:t>
      </w:r>
      <w:r w:rsidRPr="00D51072">
        <w:rPr>
          <w:i w:val="0"/>
          <w:lang w:val="es-ES"/>
        </w:rPr>
        <w:t>unido</w:t>
      </w:r>
      <w:r w:rsidR="00E3539A" w:rsidRPr="00D51072">
        <w:rPr>
          <w:i w:val="0"/>
          <w:lang w:val="es-ES"/>
        </w:rPr>
        <w:t xml:space="preserve"> con otro de los aspectos que realzan el valor de la motivación como garantía, que es</w:t>
      </w:r>
      <w:r>
        <w:rPr>
          <w:i w:val="0"/>
          <w:lang w:val="es-ES"/>
        </w:rPr>
        <w:t xml:space="preserve"> el de</w:t>
      </w:r>
      <w:r w:rsidR="00E3539A" w:rsidRPr="00D51072">
        <w:rPr>
          <w:i w:val="0"/>
          <w:lang w:val="es-ES"/>
        </w:rPr>
        <w:t xml:space="preserve"> proporcionar la posibilidad de criticar la resolución y lograr un nuevo examen de la cuestión ante las instancias superiores</w:t>
      </w:r>
      <w:r w:rsidRPr="004234FF">
        <w:rPr>
          <w:rFonts w:eastAsia="Calibri" w:cs="Arial"/>
          <w:i w:val="0"/>
          <w:snapToGrid w:val="0"/>
          <w:lang w:val="es-ES" w:eastAsia="es-ES"/>
        </w:rPr>
        <w:t xml:space="preserve"> </w:t>
      </w:r>
      <w:r w:rsidRPr="00D51072">
        <w:rPr>
          <w:rFonts w:eastAsia="Calibri" w:cs="Arial"/>
          <w:i w:val="0"/>
          <w:snapToGrid w:val="0"/>
          <w:lang w:val="es-ES" w:eastAsia="es-ES"/>
        </w:rPr>
        <w:t>en aquellos casos en que las decisiones son recurribles</w:t>
      </w:r>
      <w:r w:rsidR="00E3539A" w:rsidRPr="00D51072">
        <w:rPr>
          <w:i w:val="0"/>
          <w:lang w:val="es-ES"/>
        </w:rPr>
        <w:t xml:space="preserve">. </w:t>
      </w:r>
      <w:r w:rsidR="00E3539A" w:rsidRPr="00D51072">
        <w:rPr>
          <w:rFonts w:eastAsia="Calibri" w:cs="Arial"/>
          <w:i w:val="0"/>
          <w:snapToGrid w:val="0"/>
          <w:lang w:val="es-ES" w:eastAsia="es-ES"/>
        </w:rPr>
        <w:t xml:space="preserve">De este modo, </w:t>
      </w:r>
      <w:r w:rsidR="00E3539A" w:rsidRPr="00D51072">
        <w:rPr>
          <w:rFonts w:eastAsia="Calibri"/>
          <w:i w:val="0"/>
          <w:lang w:val="es-ES"/>
        </w:rPr>
        <w:t xml:space="preserve">la Corte ya ha señalado que “la motivación de la decisión </w:t>
      </w:r>
      <w:r w:rsidR="00E3539A" w:rsidRPr="00D51072">
        <w:rPr>
          <w:i w:val="0"/>
          <w:lang w:val="es-ES"/>
        </w:rPr>
        <w:t>judicial</w:t>
      </w:r>
      <w:r w:rsidR="00E3539A" w:rsidRPr="00D51072">
        <w:rPr>
          <w:rFonts w:eastAsia="Calibri"/>
          <w:i w:val="0"/>
          <w:lang w:val="es-ES"/>
        </w:rPr>
        <w:t xml:space="preserve"> es condición de posibilidad para garantizar el derecho de defensa”</w:t>
      </w:r>
      <w:r w:rsidR="00E3539A" w:rsidRPr="00D51072">
        <w:rPr>
          <w:rFonts w:eastAsia="Calibri"/>
          <w:i w:val="0"/>
          <w:vertAlign w:val="superscript"/>
          <w:lang w:val="es-ES"/>
        </w:rPr>
        <w:footnoteReference w:id="52"/>
      </w:r>
      <w:r w:rsidR="00E3539A" w:rsidRPr="00D51072">
        <w:rPr>
          <w:rFonts w:eastAsia="Calibri"/>
          <w:i w:val="0"/>
          <w:lang w:val="es-ES"/>
        </w:rPr>
        <w:t xml:space="preserve">. Sin embargo, el deber de motivar no exige una respuesta detallada a todo argumento de las </w:t>
      </w:r>
      <w:r w:rsidR="00E3539A" w:rsidRPr="00D51072">
        <w:rPr>
          <w:rFonts w:eastAsia="Calibri"/>
          <w:i w:val="0"/>
          <w:lang w:val="es-ES"/>
        </w:rPr>
        <w:lastRenderedPageBreak/>
        <w:t>partes, sino que puede variar según la naturaleza de la decisión, y que corresponde analizar en cada caso si dicha garantía ha sido satisfecha</w:t>
      </w:r>
      <w:r w:rsidR="00E3539A" w:rsidRPr="00D51072">
        <w:rPr>
          <w:rFonts w:eastAsia="Calibri"/>
          <w:i w:val="0"/>
          <w:vertAlign w:val="superscript"/>
          <w:lang w:val="es-ES"/>
        </w:rPr>
        <w:footnoteReference w:id="53"/>
      </w:r>
      <w:r w:rsidR="00E3539A" w:rsidRPr="00D51072">
        <w:rPr>
          <w:rFonts w:eastAsia="Calibri"/>
          <w:i w:val="0"/>
          <w:lang w:val="es-ES"/>
        </w:rPr>
        <w:t>.</w:t>
      </w:r>
    </w:p>
    <w:p w14:paraId="603F70C5" w14:textId="68019382" w:rsidR="00E3539A" w:rsidRPr="00D51072" w:rsidRDefault="00E3539A" w:rsidP="00E3539A">
      <w:pPr>
        <w:pStyle w:val="Estilo1"/>
        <w:numPr>
          <w:ilvl w:val="0"/>
          <w:numId w:val="2"/>
        </w:numPr>
        <w:tabs>
          <w:tab w:val="left" w:pos="0"/>
          <w:tab w:val="left" w:pos="567"/>
          <w:tab w:val="left" w:pos="1134"/>
        </w:tabs>
        <w:spacing w:before="120"/>
        <w:ind w:left="0" w:right="-6" w:firstLine="0"/>
        <w:rPr>
          <w:i w:val="0"/>
          <w:szCs w:val="20"/>
          <w:lang w:val="es-ES"/>
        </w:rPr>
      </w:pPr>
      <w:r w:rsidRPr="00D51072">
        <w:rPr>
          <w:i w:val="0"/>
          <w:szCs w:val="20"/>
        </w:rPr>
        <w:t xml:space="preserve">En cuanto al deber de motivación y su relación con los juicios por jurado, esta Corte ha indicado que </w:t>
      </w:r>
      <w:r w:rsidRPr="00D51072">
        <w:rPr>
          <w:i w:val="0"/>
          <w:szCs w:val="20"/>
          <w:lang w:val="es-ES"/>
        </w:rPr>
        <w:t>el veredicto del jurado en un sentido clásico no exigía una motivación o exteriorización de la fundamentación. Asimismo, la Corte estimó, al igual que el Tribunal Europeo de Derechos Humanos</w:t>
      </w:r>
      <w:r w:rsidR="006B265D">
        <w:rPr>
          <w:i w:val="0"/>
          <w:szCs w:val="20"/>
          <w:lang w:val="es-ES"/>
        </w:rPr>
        <w:t xml:space="preserve"> (TEDH)</w:t>
      </w:r>
      <w:r w:rsidRPr="00D51072">
        <w:rPr>
          <w:i w:val="0"/>
          <w:szCs w:val="20"/>
          <w:lang w:val="es-ES"/>
        </w:rPr>
        <w:t xml:space="preserve">, </w:t>
      </w:r>
      <w:r w:rsidRPr="00D51072">
        <w:rPr>
          <w:rFonts w:eastAsia="Calibri"/>
          <w:i w:val="0"/>
          <w:kern w:val="1"/>
          <w:lang w:val="es-ES"/>
        </w:rPr>
        <w:t>que</w:t>
      </w:r>
      <w:r w:rsidRPr="00D51072">
        <w:rPr>
          <w:i w:val="0"/>
          <w:szCs w:val="20"/>
          <w:lang w:val="es-ES"/>
        </w:rPr>
        <w:t xml:space="preserve"> la falta de exteriorización de la fundamentación del veredicto no vulnera en sí misma la garantía de la motivación. En efecto, todo veredicto siempre tiene motivación, aunque como corresponde a la esencia del jurado, no se expresa</w:t>
      </w:r>
      <w:r w:rsidRPr="00D51072">
        <w:rPr>
          <w:rStyle w:val="Refdenotaalpie"/>
          <w:i w:val="0"/>
          <w:lang w:val="es-ES"/>
        </w:rPr>
        <w:footnoteReference w:id="54"/>
      </w:r>
      <w:r w:rsidRPr="00D51072">
        <w:rPr>
          <w:i w:val="0"/>
          <w:szCs w:val="20"/>
          <w:lang w:val="es-ES"/>
        </w:rPr>
        <w:t>.</w:t>
      </w:r>
    </w:p>
    <w:p w14:paraId="06A0FABE" w14:textId="20617937" w:rsidR="00CB394D" w:rsidRPr="00D51072" w:rsidRDefault="00D626D2" w:rsidP="00CB394D">
      <w:pPr>
        <w:pStyle w:val="Estilo1"/>
        <w:numPr>
          <w:ilvl w:val="0"/>
          <w:numId w:val="2"/>
        </w:numPr>
        <w:tabs>
          <w:tab w:val="left" w:pos="0"/>
          <w:tab w:val="left" w:pos="567"/>
          <w:tab w:val="left" w:pos="1134"/>
        </w:tabs>
        <w:spacing w:before="120"/>
        <w:ind w:left="0" w:right="-6" w:firstLine="0"/>
        <w:rPr>
          <w:i w:val="0"/>
          <w:sz w:val="16"/>
          <w:szCs w:val="16"/>
          <w:lang w:val="es-ES"/>
        </w:rPr>
      </w:pPr>
      <w:r>
        <w:rPr>
          <w:i w:val="0"/>
          <w:szCs w:val="20"/>
          <w:lang w:val="es-ES"/>
        </w:rPr>
        <w:t>E</w:t>
      </w:r>
      <w:r w:rsidR="00E3539A" w:rsidRPr="00D51072">
        <w:rPr>
          <w:i w:val="0"/>
          <w:szCs w:val="20"/>
          <w:lang w:val="es-ES"/>
        </w:rPr>
        <w:t xml:space="preserve">n el </w:t>
      </w:r>
      <w:r w:rsidR="00E3539A" w:rsidRPr="00D51072">
        <w:rPr>
          <w:szCs w:val="20"/>
          <w:lang w:val="es-ES"/>
        </w:rPr>
        <w:t>caso VRP Vs. Nicaragua</w:t>
      </w:r>
      <w:r w:rsidR="00E3539A" w:rsidRPr="00D51072">
        <w:rPr>
          <w:i w:val="0"/>
          <w:szCs w:val="20"/>
          <w:lang w:val="es-ES"/>
        </w:rPr>
        <w:t xml:space="preserve">, </w:t>
      </w:r>
      <w:r>
        <w:rPr>
          <w:i w:val="0"/>
          <w:szCs w:val="20"/>
          <w:lang w:val="es-ES"/>
        </w:rPr>
        <w:t>se</w:t>
      </w:r>
      <w:r w:rsidR="005C2754" w:rsidRPr="00D51072">
        <w:rPr>
          <w:i w:val="0"/>
          <w:szCs w:val="20"/>
          <w:lang w:val="es-ES"/>
        </w:rPr>
        <w:t xml:space="preserve"> recordó que algunos</w:t>
      </w:r>
      <w:r w:rsidR="00E3539A" w:rsidRPr="00D51072">
        <w:rPr>
          <w:i w:val="0"/>
          <w:szCs w:val="20"/>
          <w:lang w:val="es-ES"/>
        </w:rPr>
        <w:t xml:space="preserve"> Estados de la OEA </w:t>
      </w:r>
      <w:r>
        <w:rPr>
          <w:i w:val="0"/>
          <w:szCs w:val="20"/>
          <w:lang w:val="es-ES"/>
        </w:rPr>
        <w:t>con</w:t>
      </w:r>
      <w:r w:rsidR="00E3539A" w:rsidRPr="00D51072">
        <w:rPr>
          <w:i w:val="0"/>
          <w:szCs w:val="20"/>
          <w:lang w:val="es-ES"/>
        </w:rPr>
        <w:t xml:space="preserve"> sistema de enjuiciamiento por jurados establecen diferentes garantías de interdicción de la arbitrariedad en la decisión</w:t>
      </w:r>
      <w:r w:rsidR="005C2754" w:rsidRPr="00D51072">
        <w:rPr>
          <w:i w:val="0"/>
          <w:szCs w:val="20"/>
          <w:lang w:val="es-ES"/>
        </w:rPr>
        <w:t xml:space="preserve"> y que las instrucciones</w:t>
      </w:r>
      <w:r w:rsidR="00E3539A" w:rsidRPr="00D51072">
        <w:rPr>
          <w:i w:val="0"/>
          <w:szCs w:val="20"/>
          <w:lang w:val="es-ES"/>
        </w:rPr>
        <w:t xml:space="preserve"> judiciales al jurado</w:t>
      </w:r>
      <w:r w:rsidR="005C2754" w:rsidRPr="00D51072">
        <w:rPr>
          <w:i w:val="0"/>
          <w:szCs w:val="20"/>
          <w:lang w:val="es-ES"/>
        </w:rPr>
        <w:t xml:space="preserve">, o incluso la entrega de cuestionarios a los jurados con las cuestiones a resolver </w:t>
      </w:r>
      <w:r w:rsidR="00E3539A" w:rsidRPr="00D51072">
        <w:rPr>
          <w:i w:val="0"/>
          <w:szCs w:val="20"/>
          <w:lang w:val="es-ES"/>
        </w:rPr>
        <w:t xml:space="preserve">están previstas en las legislaciones procesales de </w:t>
      </w:r>
      <w:r w:rsidR="005C2754" w:rsidRPr="00D51072">
        <w:rPr>
          <w:i w:val="0"/>
          <w:szCs w:val="20"/>
          <w:lang w:val="es-ES"/>
        </w:rPr>
        <w:t>algunos Estados</w:t>
      </w:r>
      <w:r w:rsidR="00E3539A" w:rsidRPr="00D51072">
        <w:rPr>
          <w:i w:val="0"/>
          <w:szCs w:val="20"/>
          <w:lang w:val="es-ES"/>
        </w:rPr>
        <w:t xml:space="preserve">. </w:t>
      </w:r>
      <w:r w:rsidR="005C2754" w:rsidRPr="00D51072">
        <w:rPr>
          <w:i w:val="0"/>
          <w:szCs w:val="20"/>
          <w:lang w:val="es-ES"/>
        </w:rPr>
        <w:t>La Corte también indicó que el sistema de decisión por íntima convicción no vulnera en sí el derecho a un juicio justo siempre que, del conjunto de actuaciones realizadas en el procedimiento, la persona interesada pueda entender las razones de la decisión.</w:t>
      </w:r>
      <w:r w:rsidR="00197F73" w:rsidRPr="00D51072">
        <w:rPr>
          <w:i w:val="0"/>
          <w:szCs w:val="20"/>
          <w:lang w:val="es-ES"/>
        </w:rPr>
        <w:t xml:space="preserve"> </w:t>
      </w:r>
      <w:r w:rsidR="00CB394D" w:rsidRPr="00D51072">
        <w:rPr>
          <w:i w:val="0"/>
          <w:szCs w:val="20"/>
          <w:lang w:val="es-ES"/>
        </w:rPr>
        <w:t xml:space="preserve">Asimismo, </w:t>
      </w:r>
      <w:r>
        <w:rPr>
          <w:i w:val="0"/>
          <w:szCs w:val="20"/>
          <w:lang w:val="es-ES"/>
        </w:rPr>
        <w:t>recordó</w:t>
      </w:r>
      <w:r w:rsidR="00CB394D" w:rsidRPr="00D51072">
        <w:rPr>
          <w:i w:val="0"/>
          <w:szCs w:val="20"/>
          <w:lang w:val="es-ES"/>
        </w:rPr>
        <w:t xml:space="preserve"> que la íntima convicci</w:t>
      </w:r>
      <w:r>
        <w:rPr>
          <w:i w:val="0"/>
          <w:szCs w:val="20"/>
          <w:lang w:val="es-ES"/>
        </w:rPr>
        <w:t>ón no es un criterio arbitrario.</w:t>
      </w:r>
      <w:r w:rsidR="00CB394D" w:rsidRPr="00D51072">
        <w:rPr>
          <w:i w:val="0"/>
          <w:szCs w:val="20"/>
          <w:lang w:val="es-ES"/>
        </w:rPr>
        <w:t xml:space="preserve"> La libre valoración que hace el jurado no es sustancialmente diferente de la que puede hacer un</w:t>
      </w:r>
      <w:r w:rsidR="00335F9A">
        <w:rPr>
          <w:i w:val="0"/>
          <w:szCs w:val="20"/>
          <w:lang w:val="es-ES"/>
        </w:rPr>
        <w:t xml:space="preserve">a autoridad judicial </w:t>
      </w:r>
      <w:r w:rsidR="00CB394D" w:rsidRPr="00D51072">
        <w:rPr>
          <w:i w:val="0"/>
          <w:szCs w:val="20"/>
          <w:lang w:val="es-ES"/>
        </w:rPr>
        <w:t>técnic</w:t>
      </w:r>
      <w:r w:rsidR="00335F9A">
        <w:rPr>
          <w:i w:val="0"/>
          <w:szCs w:val="20"/>
          <w:lang w:val="es-ES"/>
        </w:rPr>
        <w:t>a</w:t>
      </w:r>
      <w:r w:rsidR="00CB394D" w:rsidRPr="00D51072">
        <w:rPr>
          <w:i w:val="0"/>
          <w:szCs w:val="20"/>
          <w:lang w:val="es-ES"/>
        </w:rPr>
        <w:t>, s</w:t>
      </w:r>
      <w:r w:rsidR="00B7392F">
        <w:rPr>
          <w:i w:val="0"/>
          <w:szCs w:val="20"/>
          <w:lang w:val="es-ES"/>
        </w:rPr>
        <w:t>o</w:t>
      </w:r>
      <w:r w:rsidR="00CB394D" w:rsidRPr="00D51072">
        <w:rPr>
          <w:i w:val="0"/>
          <w:szCs w:val="20"/>
          <w:lang w:val="es-ES"/>
        </w:rPr>
        <w:t>lo que no lo expresa. En definitiva, cualquier tribunal (técnico o popular) debe reconstruir un hecho pasado, para lo cual utiliza la lógica metodológica que es común a cualquier persona, pues no depende de que tenga o no formación o entrenamiento jurídico. Toda persona que debe reconstruir un hecho del pasado, consciente o inconscientemente, emplea el método histórico, o sea, en un primer paso delimita las pruebas que tendrá en cuenta; a continuación valora si esas pruebas no son materialmente falsas; luego valora la verosimilitud del contenido de las pruebas</w:t>
      </w:r>
      <w:r w:rsidR="00AF3B25">
        <w:rPr>
          <w:i w:val="0"/>
          <w:szCs w:val="20"/>
          <w:lang w:val="es-ES"/>
        </w:rPr>
        <w:t>,</w:t>
      </w:r>
      <w:r w:rsidR="00CB394D" w:rsidRPr="00D51072">
        <w:rPr>
          <w:i w:val="0"/>
          <w:szCs w:val="20"/>
          <w:lang w:val="es-ES"/>
        </w:rPr>
        <w:t xml:space="preserve"> y finalmente</w:t>
      </w:r>
      <w:r w:rsidR="008C7A30">
        <w:rPr>
          <w:i w:val="0"/>
          <w:szCs w:val="20"/>
          <w:lang w:val="es-ES"/>
        </w:rPr>
        <w:t>,</w:t>
      </w:r>
      <w:r w:rsidR="00CB394D" w:rsidRPr="00D51072">
        <w:rPr>
          <w:i w:val="0"/>
          <w:szCs w:val="20"/>
          <w:lang w:val="es-ES"/>
        </w:rPr>
        <w:t xml:space="preserve"> llega a la síntesis. Quien valora el veredicto de un jurado, necesariamente debe reconstruir este camino, no bastando para descartarlo cualquier criterio diferente acerca de las críticas. Para descartar el veredicto de un jurado debe verificarse que la síntesis se aparte directamente de la lógica metodológica histórica antes referida</w:t>
      </w:r>
      <w:r w:rsidR="00CB394D" w:rsidRPr="00D51072">
        <w:rPr>
          <w:rStyle w:val="Refdenotaalpie"/>
          <w:i w:val="0"/>
          <w:lang w:val="es-ES"/>
        </w:rPr>
        <w:footnoteReference w:id="55"/>
      </w:r>
      <w:r w:rsidR="00CB394D" w:rsidRPr="00D51072">
        <w:rPr>
          <w:i w:val="0"/>
          <w:szCs w:val="20"/>
          <w:lang w:val="es-ES"/>
        </w:rPr>
        <w:t>.</w:t>
      </w:r>
    </w:p>
    <w:p w14:paraId="45027863" w14:textId="77777777" w:rsidR="00057A1C" w:rsidRPr="00D51072" w:rsidRDefault="005C2754" w:rsidP="00057A1C">
      <w:pPr>
        <w:pStyle w:val="Estilo1"/>
        <w:numPr>
          <w:ilvl w:val="0"/>
          <w:numId w:val="2"/>
        </w:numPr>
        <w:tabs>
          <w:tab w:val="left" w:pos="0"/>
          <w:tab w:val="left" w:pos="567"/>
          <w:tab w:val="left" w:pos="1134"/>
        </w:tabs>
        <w:spacing w:before="120"/>
        <w:ind w:left="0" w:right="-6" w:firstLine="0"/>
        <w:rPr>
          <w:i w:val="0"/>
          <w:sz w:val="16"/>
          <w:szCs w:val="16"/>
          <w:lang w:val="es-ES"/>
        </w:rPr>
      </w:pPr>
      <w:r w:rsidRPr="00D51072">
        <w:rPr>
          <w:i w:val="0"/>
          <w:szCs w:val="20"/>
          <w:lang w:val="es-ES"/>
        </w:rPr>
        <w:t xml:space="preserve">En el presente caso, la Comisión y los representantes sostuvieron que </w:t>
      </w:r>
      <w:r w:rsidR="00057A1C" w:rsidRPr="00D51072">
        <w:rPr>
          <w:i w:val="0"/>
          <w:szCs w:val="20"/>
          <w:lang w:val="es-ES"/>
        </w:rPr>
        <w:t xml:space="preserve">la forma de motivación afectó las posibilidades de conocer con claridad y certeza los hechos que el jurado consideró acreditados y las razones por las que se encuadraban en las causales disciplinarias que se estimaron probadas. </w:t>
      </w:r>
    </w:p>
    <w:p w14:paraId="3D83724E" w14:textId="50BF8131" w:rsidR="00C340E0" w:rsidRPr="00D51072" w:rsidRDefault="00057A1C" w:rsidP="001E6EA9">
      <w:pPr>
        <w:pStyle w:val="Estilo1"/>
        <w:numPr>
          <w:ilvl w:val="0"/>
          <w:numId w:val="2"/>
        </w:numPr>
        <w:tabs>
          <w:tab w:val="left" w:pos="0"/>
          <w:tab w:val="left" w:pos="567"/>
          <w:tab w:val="left" w:pos="1134"/>
        </w:tabs>
        <w:spacing w:before="120"/>
        <w:ind w:left="0" w:right="-6" w:firstLine="0"/>
        <w:rPr>
          <w:i w:val="0"/>
          <w:sz w:val="16"/>
          <w:szCs w:val="16"/>
          <w:lang w:val="es-ES"/>
        </w:rPr>
      </w:pPr>
      <w:r w:rsidRPr="00D51072">
        <w:rPr>
          <w:i w:val="0"/>
          <w:szCs w:val="20"/>
          <w:lang w:val="es-ES"/>
        </w:rPr>
        <w:t xml:space="preserve">Con respecto a </w:t>
      </w:r>
      <w:r w:rsidR="00AF3B25">
        <w:rPr>
          <w:i w:val="0"/>
          <w:szCs w:val="20"/>
          <w:lang w:val="es-ES"/>
        </w:rPr>
        <w:t>ello</w:t>
      </w:r>
      <w:r w:rsidRPr="00D51072">
        <w:rPr>
          <w:i w:val="0"/>
          <w:szCs w:val="20"/>
          <w:lang w:val="es-ES"/>
        </w:rPr>
        <w:t xml:space="preserve">, la Corte </w:t>
      </w:r>
      <w:r w:rsidR="00C340E0" w:rsidRPr="00D51072">
        <w:rPr>
          <w:i w:val="0"/>
          <w:szCs w:val="20"/>
          <w:lang w:val="es-ES"/>
        </w:rPr>
        <w:t>nota</w:t>
      </w:r>
      <w:r w:rsidRPr="00D51072">
        <w:rPr>
          <w:i w:val="0"/>
          <w:szCs w:val="20"/>
          <w:lang w:val="es-ES"/>
        </w:rPr>
        <w:t xml:space="preserve"> que: a) </w:t>
      </w:r>
      <w:r w:rsidR="00E941B5" w:rsidRPr="00D51072">
        <w:rPr>
          <w:i w:val="0"/>
          <w:szCs w:val="20"/>
          <w:lang w:val="es-ES"/>
        </w:rPr>
        <w:t xml:space="preserve">de conformidad con el artículo 184 de la Constitución de la Provincia de Buenos Aires, </w:t>
      </w:r>
      <w:r w:rsidRPr="00D51072">
        <w:rPr>
          <w:i w:val="0"/>
          <w:szCs w:val="20"/>
          <w:lang w:val="es-ES"/>
        </w:rPr>
        <w:t xml:space="preserve">el veredicto del </w:t>
      </w:r>
      <w:r w:rsidR="004503D8" w:rsidRPr="00D51072">
        <w:rPr>
          <w:i w:val="0"/>
          <w:szCs w:val="20"/>
          <w:lang w:val="es-ES"/>
        </w:rPr>
        <w:t>J</w:t>
      </w:r>
      <w:r w:rsidRPr="00D51072">
        <w:rPr>
          <w:i w:val="0"/>
          <w:szCs w:val="20"/>
          <w:lang w:val="es-ES"/>
        </w:rPr>
        <w:t xml:space="preserve">urado de </w:t>
      </w:r>
      <w:r w:rsidR="004503D8" w:rsidRPr="00D51072">
        <w:rPr>
          <w:i w:val="0"/>
          <w:szCs w:val="20"/>
          <w:lang w:val="es-ES"/>
        </w:rPr>
        <w:t>E</w:t>
      </w:r>
      <w:r w:rsidRPr="00D51072">
        <w:rPr>
          <w:i w:val="0"/>
          <w:szCs w:val="20"/>
          <w:lang w:val="es-ES"/>
        </w:rPr>
        <w:t>njuiciamiento se toma “con arreglo a derecho, declarando al juez acusado culpable o no culpable del hecho o hechos que se le imputen”</w:t>
      </w:r>
      <w:r w:rsidR="00AF3B25">
        <w:rPr>
          <w:i w:val="0"/>
          <w:szCs w:val="20"/>
          <w:lang w:val="es-ES"/>
        </w:rPr>
        <w:t>;</w:t>
      </w:r>
      <w:r w:rsidRPr="00D51072">
        <w:rPr>
          <w:i w:val="0"/>
          <w:szCs w:val="20"/>
          <w:lang w:val="es-ES"/>
        </w:rPr>
        <w:t xml:space="preserve"> </w:t>
      </w:r>
      <w:r w:rsidR="005C38F3" w:rsidRPr="00D51072">
        <w:rPr>
          <w:i w:val="0"/>
          <w:szCs w:val="20"/>
          <w:lang w:val="es-ES"/>
        </w:rPr>
        <w:t xml:space="preserve">b) cada uno de los jurados </w:t>
      </w:r>
      <w:r w:rsidR="00AF3B25">
        <w:rPr>
          <w:i w:val="0"/>
          <w:szCs w:val="20"/>
          <w:lang w:val="es-ES"/>
        </w:rPr>
        <w:t>tuvo</w:t>
      </w:r>
      <w:r w:rsidR="005C38F3" w:rsidRPr="00D51072">
        <w:rPr>
          <w:i w:val="0"/>
          <w:szCs w:val="20"/>
          <w:lang w:val="es-ES"/>
        </w:rPr>
        <w:t xml:space="preserve"> que rendir su veredicto contestando a 16 preguntas que conocían con anterioridad al proceso (</w:t>
      </w:r>
      <w:r w:rsidR="005C38F3" w:rsidRPr="00D51072">
        <w:rPr>
          <w:szCs w:val="20"/>
          <w:lang w:val="es-ES"/>
        </w:rPr>
        <w:t>supra</w:t>
      </w:r>
      <w:r w:rsidR="005C38F3" w:rsidRPr="00D51072">
        <w:rPr>
          <w:i w:val="0"/>
          <w:szCs w:val="20"/>
          <w:lang w:val="es-ES"/>
        </w:rPr>
        <w:t xml:space="preserve"> párr.</w:t>
      </w:r>
      <w:r w:rsidR="002C7953" w:rsidRPr="00D51072">
        <w:rPr>
          <w:i w:val="0"/>
          <w:szCs w:val="20"/>
          <w:lang w:val="es-ES"/>
        </w:rPr>
        <w:t xml:space="preserve"> 31</w:t>
      </w:r>
      <w:r w:rsidR="005C38F3" w:rsidRPr="00D51072">
        <w:rPr>
          <w:i w:val="0"/>
          <w:szCs w:val="20"/>
          <w:lang w:val="es-ES"/>
        </w:rPr>
        <w:t>)</w:t>
      </w:r>
      <w:r w:rsidR="00AF3B25">
        <w:rPr>
          <w:i w:val="0"/>
          <w:szCs w:val="20"/>
          <w:lang w:val="es-ES"/>
        </w:rPr>
        <w:t>;</w:t>
      </w:r>
      <w:r w:rsidR="005C38F3" w:rsidRPr="00D51072">
        <w:rPr>
          <w:i w:val="0"/>
          <w:szCs w:val="20"/>
          <w:lang w:val="es-ES"/>
        </w:rPr>
        <w:t xml:space="preserve"> c</w:t>
      </w:r>
      <w:r w:rsidRPr="00D51072">
        <w:rPr>
          <w:i w:val="0"/>
          <w:szCs w:val="20"/>
          <w:lang w:val="es-ES"/>
        </w:rPr>
        <w:t>) en el presente caso, el contenido de la resolución del Jurado de Enjuiciamiento contiene los fundamentos de hecho y de derecho de cada uno de los jurados a cada una de las preguntas</w:t>
      </w:r>
      <w:r w:rsidRPr="00D51072">
        <w:rPr>
          <w:rStyle w:val="Refdenotaalpie"/>
          <w:i w:val="0"/>
          <w:lang w:val="es-ES"/>
        </w:rPr>
        <w:footnoteReference w:id="56"/>
      </w:r>
      <w:r w:rsidR="00C340E0" w:rsidRPr="00D51072">
        <w:rPr>
          <w:i w:val="0"/>
          <w:szCs w:val="20"/>
          <w:lang w:val="es-ES"/>
        </w:rPr>
        <w:t xml:space="preserve">, y </w:t>
      </w:r>
      <w:r w:rsidR="005C38F3" w:rsidRPr="00D51072">
        <w:rPr>
          <w:i w:val="0"/>
          <w:szCs w:val="20"/>
          <w:lang w:val="es-ES"/>
        </w:rPr>
        <w:t>d</w:t>
      </w:r>
      <w:r w:rsidR="00C340E0" w:rsidRPr="00D51072">
        <w:rPr>
          <w:i w:val="0"/>
          <w:szCs w:val="20"/>
          <w:lang w:val="es-ES"/>
        </w:rPr>
        <w:t>) en la Sentencia del Jurado de Enjuiciamiento de 15 de junio de 2000</w:t>
      </w:r>
      <w:r w:rsidR="00C340E0" w:rsidRPr="00D51072">
        <w:rPr>
          <w:rStyle w:val="Refdenotaalpie"/>
          <w:i w:val="0"/>
          <w:lang w:val="es-ES"/>
        </w:rPr>
        <w:footnoteReference w:id="57"/>
      </w:r>
      <w:r w:rsidR="00C340E0" w:rsidRPr="00D51072">
        <w:rPr>
          <w:i w:val="0"/>
          <w:szCs w:val="20"/>
          <w:lang w:val="es-ES"/>
        </w:rPr>
        <w:t xml:space="preserve">, contrariamente a lo señalado por la Comisión, se procedió a </w:t>
      </w:r>
      <w:r w:rsidR="005C38F3" w:rsidRPr="00D51072">
        <w:rPr>
          <w:i w:val="0"/>
          <w:szCs w:val="20"/>
          <w:lang w:val="es-ES"/>
        </w:rPr>
        <w:t xml:space="preserve">un </w:t>
      </w:r>
      <w:r w:rsidR="00C340E0" w:rsidRPr="00D51072">
        <w:rPr>
          <w:i w:val="0"/>
          <w:szCs w:val="20"/>
          <w:lang w:val="es-ES"/>
        </w:rPr>
        <w:t xml:space="preserve">ejercicio de integración sustancial de las respuestas proporcionadas por cada uno de sus miembros, y se indicó que </w:t>
      </w:r>
      <w:r w:rsidR="00887476" w:rsidRPr="00D51072">
        <w:rPr>
          <w:i w:val="0"/>
          <w:szCs w:val="20"/>
          <w:lang w:val="es-ES"/>
        </w:rPr>
        <w:t>e</w:t>
      </w:r>
      <w:r w:rsidR="00C340E0" w:rsidRPr="00D51072">
        <w:rPr>
          <w:i w:val="0"/>
          <w:szCs w:val="20"/>
          <w:lang w:val="es-ES"/>
        </w:rPr>
        <w:t xml:space="preserve">l </w:t>
      </w:r>
      <w:r w:rsidR="00887476" w:rsidRPr="00D51072">
        <w:rPr>
          <w:i w:val="0"/>
          <w:szCs w:val="20"/>
          <w:lang w:val="es-ES"/>
        </w:rPr>
        <w:t>t</w:t>
      </w:r>
      <w:r w:rsidR="00C340E0" w:rsidRPr="00D51072">
        <w:rPr>
          <w:i w:val="0"/>
          <w:szCs w:val="20"/>
          <w:lang w:val="es-ES"/>
        </w:rPr>
        <w:t xml:space="preserve">ribunal había concluido por “unanimidad de los miembros presentes que el acusado se encuentra incurso en la causales previstas en el artículo 21, incisos e), f) y k) de la </w:t>
      </w:r>
      <w:r w:rsidR="00130397" w:rsidRPr="00D51072">
        <w:rPr>
          <w:i w:val="0"/>
          <w:szCs w:val="20"/>
          <w:lang w:val="es-ES"/>
        </w:rPr>
        <w:t>L</w:t>
      </w:r>
      <w:r w:rsidR="00C340E0" w:rsidRPr="00D51072">
        <w:rPr>
          <w:i w:val="0"/>
          <w:szCs w:val="20"/>
          <w:lang w:val="es-ES"/>
        </w:rPr>
        <w:t xml:space="preserve">ey 8085 </w:t>
      </w:r>
      <w:r w:rsidR="00AF3B25">
        <w:rPr>
          <w:i w:val="0"/>
          <w:szCs w:val="20"/>
          <w:lang w:val="es-ES"/>
        </w:rPr>
        <w:t>[…]</w:t>
      </w:r>
      <w:r w:rsidR="00C340E0" w:rsidRPr="00D51072">
        <w:rPr>
          <w:i w:val="0"/>
          <w:szCs w:val="20"/>
          <w:lang w:val="es-ES"/>
        </w:rPr>
        <w:t xml:space="preserve">, con las </w:t>
      </w:r>
      <w:r w:rsidR="00C340E0" w:rsidRPr="00D51072">
        <w:rPr>
          <w:i w:val="0"/>
          <w:szCs w:val="20"/>
          <w:lang w:val="es-ES"/>
        </w:rPr>
        <w:lastRenderedPageBreak/>
        <w:t>reservas y disidencias parciales que se señalan en los votos que integran el veredicto de la presente”</w:t>
      </w:r>
      <w:r w:rsidR="002C7953" w:rsidRPr="00D51072">
        <w:rPr>
          <w:szCs w:val="20"/>
          <w:lang w:val="es-ES"/>
        </w:rPr>
        <w:t xml:space="preserve"> (supra </w:t>
      </w:r>
      <w:r w:rsidR="002C7953" w:rsidRPr="00D51072">
        <w:rPr>
          <w:i w:val="0"/>
          <w:szCs w:val="20"/>
          <w:lang w:val="es-ES"/>
        </w:rPr>
        <w:t>párr. 32</w:t>
      </w:r>
      <w:r w:rsidR="002C7953" w:rsidRPr="00D51072">
        <w:rPr>
          <w:szCs w:val="20"/>
          <w:lang w:val="es-ES"/>
        </w:rPr>
        <w:t>)</w:t>
      </w:r>
      <w:r w:rsidR="00C340E0" w:rsidRPr="00D51072">
        <w:rPr>
          <w:i w:val="0"/>
          <w:szCs w:val="20"/>
          <w:lang w:val="es-ES"/>
        </w:rPr>
        <w:t xml:space="preserve">. </w:t>
      </w:r>
    </w:p>
    <w:p w14:paraId="53E6E986" w14:textId="7F602961" w:rsidR="00E941B5" w:rsidRPr="00D51072" w:rsidRDefault="00E941B5" w:rsidP="001E6EA9">
      <w:pPr>
        <w:pStyle w:val="Estilo1"/>
        <w:numPr>
          <w:ilvl w:val="0"/>
          <w:numId w:val="2"/>
        </w:numPr>
        <w:tabs>
          <w:tab w:val="left" w:pos="0"/>
          <w:tab w:val="left" w:pos="567"/>
          <w:tab w:val="left" w:pos="1134"/>
        </w:tabs>
        <w:spacing w:before="120"/>
        <w:ind w:left="0" w:right="-6" w:firstLine="0"/>
        <w:rPr>
          <w:i w:val="0"/>
          <w:sz w:val="16"/>
          <w:szCs w:val="16"/>
          <w:lang w:val="es-ES"/>
        </w:rPr>
      </w:pPr>
      <w:r w:rsidRPr="00D51072">
        <w:rPr>
          <w:i w:val="0"/>
          <w:szCs w:val="20"/>
          <w:lang w:val="es-ES"/>
        </w:rPr>
        <w:t xml:space="preserve">De acuerdo con lo expresado, el Tribunal </w:t>
      </w:r>
      <w:r w:rsidR="005C38F3" w:rsidRPr="00D51072">
        <w:rPr>
          <w:i w:val="0"/>
          <w:szCs w:val="20"/>
          <w:lang w:val="es-ES"/>
        </w:rPr>
        <w:t>no cuenta con</w:t>
      </w:r>
      <w:r w:rsidRPr="00D51072">
        <w:rPr>
          <w:i w:val="0"/>
          <w:szCs w:val="20"/>
          <w:lang w:val="es-ES"/>
        </w:rPr>
        <w:t xml:space="preserve"> elementos para concluir que la Sentencia del Jurado de Enjuiciamiento hubiese sido </w:t>
      </w:r>
      <w:r w:rsidR="005C38F3" w:rsidRPr="00D51072">
        <w:rPr>
          <w:i w:val="0"/>
          <w:szCs w:val="20"/>
          <w:lang w:val="es-ES"/>
        </w:rPr>
        <w:t xml:space="preserve">decidida de forma </w:t>
      </w:r>
      <w:r w:rsidRPr="00D51072">
        <w:rPr>
          <w:i w:val="0"/>
          <w:szCs w:val="20"/>
          <w:lang w:val="es-ES"/>
        </w:rPr>
        <w:t xml:space="preserve">arbitraria o </w:t>
      </w:r>
      <w:r w:rsidR="005C38F3" w:rsidRPr="00D51072">
        <w:rPr>
          <w:i w:val="0"/>
          <w:szCs w:val="20"/>
          <w:lang w:val="es-ES"/>
        </w:rPr>
        <w:t>careciera de la motivación necesaria e inherente a la naturaleza de esos procesos. En consecuencia, esta Cor</w:t>
      </w:r>
      <w:r w:rsidR="004156E6" w:rsidRPr="00D51072">
        <w:rPr>
          <w:i w:val="0"/>
          <w:szCs w:val="20"/>
          <w:lang w:val="es-ES"/>
        </w:rPr>
        <w:t>t</w:t>
      </w:r>
      <w:r w:rsidR="005C38F3" w:rsidRPr="00D51072">
        <w:rPr>
          <w:i w:val="0"/>
          <w:szCs w:val="20"/>
          <w:lang w:val="es-ES"/>
        </w:rPr>
        <w:t>e concluye que</w:t>
      </w:r>
      <w:r w:rsidRPr="00D51072">
        <w:rPr>
          <w:i w:val="0"/>
          <w:szCs w:val="20"/>
          <w:lang w:val="es-ES"/>
        </w:rPr>
        <w:t xml:space="preserve"> el Estado no vulneró el derecho a una decisión motivada contenido en el artículo 8.1 de la Convención en perjuicio de</w:t>
      </w:r>
      <w:r w:rsidR="004E0D00">
        <w:rPr>
          <w:i w:val="0"/>
          <w:szCs w:val="20"/>
          <w:lang w:val="es-ES"/>
        </w:rPr>
        <w:t>l</w:t>
      </w:r>
      <w:r w:rsidRPr="00D51072">
        <w:rPr>
          <w:i w:val="0"/>
          <w:szCs w:val="20"/>
          <w:lang w:val="es-ES"/>
        </w:rPr>
        <w:t xml:space="preserve"> señor Rico</w:t>
      </w:r>
      <w:r w:rsidR="005C38F3" w:rsidRPr="00D51072">
        <w:rPr>
          <w:i w:val="0"/>
          <w:szCs w:val="20"/>
          <w:lang w:val="es-ES"/>
        </w:rPr>
        <w:t>.</w:t>
      </w:r>
      <w:r w:rsidRPr="00D51072">
        <w:rPr>
          <w:i w:val="0"/>
          <w:szCs w:val="20"/>
          <w:lang w:val="es-ES"/>
        </w:rPr>
        <w:t xml:space="preserve"> </w:t>
      </w:r>
    </w:p>
    <w:p w14:paraId="62CE38DA" w14:textId="1BCFDE3A" w:rsidR="005C38F3" w:rsidRPr="00D51072" w:rsidRDefault="005C38F3" w:rsidP="005C38F3">
      <w:pPr>
        <w:spacing w:before="240" w:after="240"/>
        <w:ind w:left="708"/>
        <w:outlineLvl w:val="2"/>
        <w:rPr>
          <w:rFonts w:cs="Times New Roman"/>
          <w:i/>
          <w:szCs w:val="20"/>
        </w:rPr>
      </w:pPr>
      <w:bookmarkStart w:id="122" w:name="_Toc23415007"/>
      <w:r w:rsidRPr="00D51072">
        <w:rPr>
          <w:rFonts w:cs="Times New Roman"/>
          <w:i/>
          <w:szCs w:val="20"/>
        </w:rPr>
        <w:t>B.4. La alegada violación al derecho de defensa</w:t>
      </w:r>
      <w:r w:rsidR="00C347D4">
        <w:rPr>
          <w:rFonts w:cs="Times New Roman"/>
          <w:i/>
          <w:szCs w:val="20"/>
        </w:rPr>
        <w:t>,</w:t>
      </w:r>
      <w:r w:rsidRPr="00D51072">
        <w:rPr>
          <w:rFonts w:cs="Times New Roman"/>
          <w:i/>
          <w:szCs w:val="20"/>
        </w:rPr>
        <w:t xml:space="preserve"> a otras garantías judiciales y a recurrir el fallo</w:t>
      </w:r>
      <w:r w:rsidR="00FD116F" w:rsidRPr="00D51072">
        <w:rPr>
          <w:rFonts w:cs="Times New Roman"/>
          <w:i/>
          <w:szCs w:val="20"/>
        </w:rPr>
        <w:t xml:space="preserve"> </w:t>
      </w:r>
      <w:r w:rsidR="009E1728" w:rsidRPr="00D51072">
        <w:rPr>
          <w:rFonts w:cs="Times New Roman"/>
          <w:i/>
          <w:szCs w:val="20"/>
        </w:rPr>
        <w:t>por un tribunal superior</w:t>
      </w:r>
      <w:bookmarkEnd w:id="122"/>
    </w:p>
    <w:p w14:paraId="6747EF27" w14:textId="4459542E" w:rsidR="008C5351" w:rsidRPr="00D51072" w:rsidRDefault="00E30AAC" w:rsidP="008C5351">
      <w:pPr>
        <w:pStyle w:val="Estilo1"/>
        <w:numPr>
          <w:ilvl w:val="0"/>
          <w:numId w:val="2"/>
        </w:numPr>
        <w:tabs>
          <w:tab w:val="left" w:pos="0"/>
          <w:tab w:val="left" w:pos="567"/>
          <w:tab w:val="left" w:pos="1134"/>
        </w:tabs>
        <w:spacing w:before="120"/>
        <w:ind w:left="0" w:right="-6" w:firstLine="0"/>
        <w:rPr>
          <w:rFonts w:cs="Times New Roman"/>
          <w:i w:val="0"/>
          <w:szCs w:val="20"/>
        </w:rPr>
      </w:pPr>
      <w:r w:rsidRPr="00D51072">
        <w:rPr>
          <w:rFonts w:cs="Times New Roman"/>
          <w:i w:val="0"/>
          <w:szCs w:val="20"/>
        </w:rPr>
        <w:t>E</w:t>
      </w:r>
      <w:r w:rsidR="008C5351" w:rsidRPr="00D51072">
        <w:rPr>
          <w:rFonts w:cs="Times New Roman"/>
          <w:i w:val="0"/>
          <w:szCs w:val="20"/>
        </w:rPr>
        <w:t xml:space="preserve">ste Tribunal recuerda que el </w:t>
      </w:r>
      <w:r w:rsidR="008C5351" w:rsidRPr="00D51072">
        <w:rPr>
          <w:rFonts w:cs="Times New Roman"/>
          <w:i w:val="0"/>
          <w:szCs w:val="20"/>
          <w:lang w:val="es-VE"/>
        </w:rPr>
        <w:t xml:space="preserve">5 de octubre de 1999 quedó conformado el Jurado de Enjuiciamiento que se encargó de juzgar al señor Rico y que </w:t>
      </w:r>
      <w:r w:rsidR="00E549CF" w:rsidRPr="00D51072">
        <w:rPr>
          <w:rFonts w:cs="Times New Roman"/>
          <w:i w:val="0"/>
          <w:szCs w:val="20"/>
          <w:lang w:val="es-VE"/>
        </w:rPr>
        <w:t>e</w:t>
      </w:r>
      <w:r w:rsidR="008C5351" w:rsidRPr="00D51072">
        <w:rPr>
          <w:rFonts w:cs="Times New Roman"/>
          <w:i w:val="0"/>
          <w:szCs w:val="20"/>
          <w:lang w:val="es-VE"/>
        </w:rPr>
        <w:t xml:space="preserve">ste prorrogó por 15 días el plazo del procedimiento previsto en el artículo 28 de la Ley de Enjuiciamiento. Además, admitió la totalidad de la prueba testimonial e informativa ofrecida por la parte acusadora y respecto a la prueba ofrecida por la presunta víctima, la admitió parcialmente. El 18 de mayo de 2000 el señor Rico </w:t>
      </w:r>
      <w:r w:rsidR="008C5351" w:rsidRPr="00D51072">
        <w:rPr>
          <w:rFonts w:cs="Times New Roman"/>
          <w:i w:val="0"/>
          <w:szCs w:val="20"/>
          <w:lang w:val="es-CR"/>
        </w:rPr>
        <w:t xml:space="preserve">planteó un recurso de nulidad en contra de la decisión que denegó parcialmente la prueba ofrecida, argumentando una serie de violaciones al debido proceso. El </w:t>
      </w:r>
      <w:r w:rsidR="008C5351" w:rsidRPr="00D51072">
        <w:rPr>
          <w:rFonts w:cs="Times New Roman"/>
          <w:i w:val="0"/>
          <w:szCs w:val="20"/>
          <w:lang w:val="es-VE"/>
        </w:rPr>
        <w:t>1 de junio de 2000 el Jurado de Enjuiciamiento resolvió desestimar las nulidades articuladas por la parte acusada y continuar con el proceso (</w:t>
      </w:r>
      <w:r w:rsidR="008C5351" w:rsidRPr="00D51072">
        <w:rPr>
          <w:rFonts w:cs="Times New Roman"/>
          <w:szCs w:val="20"/>
          <w:lang w:val="es-VE"/>
        </w:rPr>
        <w:t>supra</w:t>
      </w:r>
      <w:r w:rsidR="008C5351" w:rsidRPr="00D51072">
        <w:rPr>
          <w:rFonts w:cs="Times New Roman"/>
          <w:i w:val="0"/>
          <w:szCs w:val="20"/>
          <w:lang w:val="es-VE"/>
        </w:rPr>
        <w:t xml:space="preserve"> párr. </w:t>
      </w:r>
      <w:r w:rsidR="002C7953" w:rsidRPr="00D51072">
        <w:rPr>
          <w:rFonts w:cs="Times New Roman"/>
          <w:i w:val="0"/>
          <w:szCs w:val="20"/>
          <w:lang w:val="es-VE"/>
        </w:rPr>
        <w:t>30</w:t>
      </w:r>
      <w:r w:rsidR="008C5351" w:rsidRPr="00D51072">
        <w:rPr>
          <w:rFonts w:cs="Times New Roman"/>
          <w:i w:val="0"/>
          <w:szCs w:val="20"/>
          <w:lang w:val="es-VE"/>
        </w:rPr>
        <w:t>)</w:t>
      </w:r>
      <w:r w:rsidRPr="00D51072">
        <w:rPr>
          <w:rFonts w:cs="Times New Roman"/>
          <w:i w:val="0"/>
          <w:szCs w:val="20"/>
          <w:lang w:val="es-VE"/>
        </w:rPr>
        <w:t>.</w:t>
      </w:r>
    </w:p>
    <w:p w14:paraId="1387B227" w14:textId="4DCAEAA2" w:rsidR="0098685E" w:rsidRPr="00D51072" w:rsidRDefault="00E30AAC" w:rsidP="00D8621A">
      <w:pPr>
        <w:pStyle w:val="Estilo1"/>
        <w:numPr>
          <w:ilvl w:val="0"/>
          <w:numId w:val="2"/>
        </w:numPr>
        <w:tabs>
          <w:tab w:val="left" w:pos="0"/>
          <w:tab w:val="left" w:pos="567"/>
          <w:tab w:val="left" w:pos="1134"/>
        </w:tabs>
        <w:spacing w:before="120"/>
        <w:ind w:left="0" w:right="-6" w:firstLine="0"/>
        <w:rPr>
          <w:rFonts w:cs="Times New Roman"/>
          <w:i w:val="0"/>
          <w:szCs w:val="20"/>
        </w:rPr>
      </w:pPr>
      <w:r w:rsidRPr="00D51072">
        <w:rPr>
          <w:rFonts w:cs="Times New Roman"/>
          <w:i w:val="0"/>
          <w:szCs w:val="20"/>
        </w:rPr>
        <w:t>E</w:t>
      </w:r>
      <w:r w:rsidR="009C248A" w:rsidRPr="00D51072">
        <w:rPr>
          <w:rFonts w:cs="Times New Roman"/>
          <w:i w:val="0"/>
          <w:szCs w:val="20"/>
        </w:rPr>
        <w:t xml:space="preserve">sta Corte coincide con lo expresado </w:t>
      </w:r>
      <w:r w:rsidRPr="00D51072">
        <w:rPr>
          <w:rFonts w:cs="Times New Roman"/>
          <w:i w:val="0"/>
          <w:szCs w:val="20"/>
        </w:rPr>
        <w:t>por</w:t>
      </w:r>
      <w:r w:rsidR="009C248A" w:rsidRPr="00D51072">
        <w:rPr>
          <w:rFonts w:cs="Times New Roman"/>
          <w:i w:val="0"/>
          <w:szCs w:val="20"/>
        </w:rPr>
        <w:t xml:space="preserve"> la Comisión cuando esta señaló que la posibilidad de la ampli</w:t>
      </w:r>
      <w:r w:rsidR="004F0AA2" w:rsidRPr="00D51072">
        <w:rPr>
          <w:rFonts w:cs="Times New Roman"/>
          <w:i w:val="0"/>
          <w:szCs w:val="20"/>
        </w:rPr>
        <w:t xml:space="preserve">ación estaba contemplada en la </w:t>
      </w:r>
      <w:r w:rsidR="00F93A46" w:rsidRPr="00D51072">
        <w:rPr>
          <w:rFonts w:cs="Times New Roman"/>
          <w:i w:val="0"/>
          <w:szCs w:val="20"/>
        </w:rPr>
        <w:t>l</w:t>
      </w:r>
      <w:r w:rsidR="009C248A" w:rsidRPr="00D51072">
        <w:rPr>
          <w:rFonts w:cs="Times New Roman"/>
          <w:i w:val="0"/>
          <w:szCs w:val="20"/>
        </w:rPr>
        <w:t xml:space="preserve">ey y que el señor Rico no había explicado claramente en qué medida ese hecho significó un perjuicio a su derecho de defensa. Por otra parte, en </w:t>
      </w:r>
      <w:r w:rsidR="001E6EA9" w:rsidRPr="00D51072">
        <w:rPr>
          <w:rFonts w:cs="Times New Roman"/>
          <w:i w:val="0"/>
          <w:szCs w:val="20"/>
        </w:rPr>
        <w:t xml:space="preserve">lo que respecta </w:t>
      </w:r>
      <w:r w:rsidR="009C248A" w:rsidRPr="00D51072">
        <w:rPr>
          <w:rFonts w:cs="Times New Roman"/>
          <w:i w:val="0"/>
          <w:szCs w:val="20"/>
        </w:rPr>
        <w:t xml:space="preserve">a la denegación de ciertas pruebas por parte del Jurado de Enjuiciamiento, este Tribunal concuerda con la Comisión cuando </w:t>
      </w:r>
      <w:r w:rsidR="00E549CF" w:rsidRPr="00D51072">
        <w:rPr>
          <w:rFonts w:cs="Times New Roman"/>
          <w:i w:val="0"/>
          <w:szCs w:val="20"/>
        </w:rPr>
        <w:t>e</w:t>
      </w:r>
      <w:r w:rsidRPr="00D51072">
        <w:rPr>
          <w:rFonts w:cs="Times New Roman"/>
          <w:i w:val="0"/>
          <w:szCs w:val="20"/>
        </w:rPr>
        <w:t xml:space="preserve">sta </w:t>
      </w:r>
      <w:r w:rsidR="009C248A" w:rsidRPr="00D51072">
        <w:rPr>
          <w:rFonts w:cs="Times New Roman"/>
          <w:i w:val="0"/>
          <w:szCs w:val="20"/>
        </w:rPr>
        <w:t>expres</w:t>
      </w:r>
      <w:r w:rsidR="002032A1" w:rsidRPr="00D51072">
        <w:rPr>
          <w:rFonts w:cs="Times New Roman"/>
          <w:i w:val="0"/>
          <w:szCs w:val="20"/>
        </w:rPr>
        <w:t>a</w:t>
      </w:r>
      <w:r w:rsidR="009C248A" w:rsidRPr="00D51072">
        <w:rPr>
          <w:rFonts w:cs="Times New Roman"/>
          <w:i w:val="0"/>
          <w:szCs w:val="20"/>
        </w:rPr>
        <w:t xml:space="preserve"> que </w:t>
      </w:r>
      <w:r w:rsidR="002032A1" w:rsidRPr="00D51072">
        <w:rPr>
          <w:rFonts w:cs="Times New Roman"/>
          <w:i w:val="0"/>
          <w:szCs w:val="20"/>
        </w:rPr>
        <w:t xml:space="preserve">esa decisión judicial </w:t>
      </w:r>
      <w:r w:rsidR="009C248A" w:rsidRPr="00D51072">
        <w:rPr>
          <w:rFonts w:cs="Times New Roman"/>
          <w:i w:val="0"/>
          <w:szCs w:val="20"/>
        </w:rPr>
        <w:t xml:space="preserve">debe sustentarse en motivos “manifiestamente </w:t>
      </w:r>
      <w:r w:rsidR="009C248A" w:rsidRPr="00D51072">
        <w:rPr>
          <w:i w:val="0"/>
          <w:szCs w:val="20"/>
        </w:rPr>
        <w:t>irrazonables o incompatibles con los estándares aplicables”</w:t>
      </w:r>
      <w:r w:rsidR="002032A1" w:rsidRPr="00D51072">
        <w:rPr>
          <w:i w:val="0"/>
          <w:szCs w:val="20"/>
        </w:rPr>
        <w:t xml:space="preserve"> para constituir una vulneración a las garantías judiciales</w:t>
      </w:r>
      <w:r w:rsidR="00FD6FEA" w:rsidRPr="00D51072">
        <w:rPr>
          <w:i w:val="0"/>
          <w:szCs w:val="20"/>
        </w:rPr>
        <w:t>, las cuales no se verifican en el presente caso</w:t>
      </w:r>
      <w:r w:rsidR="002032A1" w:rsidRPr="00D51072">
        <w:rPr>
          <w:i w:val="0"/>
          <w:szCs w:val="20"/>
        </w:rPr>
        <w:t xml:space="preserve">. </w:t>
      </w:r>
      <w:r w:rsidR="00FD6FEA" w:rsidRPr="00D51072">
        <w:rPr>
          <w:i w:val="0"/>
          <w:szCs w:val="20"/>
        </w:rPr>
        <w:t>Al respecto</w:t>
      </w:r>
      <w:r w:rsidR="002032A1" w:rsidRPr="00D51072">
        <w:rPr>
          <w:i w:val="0"/>
          <w:szCs w:val="20"/>
        </w:rPr>
        <w:t xml:space="preserve">, </w:t>
      </w:r>
      <w:r w:rsidR="00E549CF" w:rsidRPr="00D51072">
        <w:rPr>
          <w:i w:val="0"/>
          <w:szCs w:val="20"/>
        </w:rPr>
        <w:t>el Tribunal</w:t>
      </w:r>
      <w:r w:rsidR="002032A1" w:rsidRPr="00D51072">
        <w:rPr>
          <w:i w:val="0"/>
          <w:szCs w:val="20"/>
        </w:rPr>
        <w:t xml:space="preserve"> constata que </w:t>
      </w:r>
      <w:r w:rsidR="001E6EA9" w:rsidRPr="00D51072">
        <w:rPr>
          <w:i w:val="0"/>
          <w:szCs w:val="20"/>
        </w:rPr>
        <w:t xml:space="preserve">el Jurado de Enjuiciamiento </w:t>
      </w:r>
      <w:r w:rsidR="00FD6FEA" w:rsidRPr="00D51072">
        <w:rPr>
          <w:i w:val="0"/>
          <w:szCs w:val="20"/>
        </w:rPr>
        <w:t xml:space="preserve">señaló que </w:t>
      </w:r>
      <w:r w:rsidR="001E6EA9" w:rsidRPr="00D51072">
        <w:rPr>
          <w:i w:val="0"/>
          <w:szCs w:val="20"/>
        </w:rPr>
        <w:t xml:space="preserve">había procedido a admitir </w:t>
      </w:r>
      <w:r w:rsidR="00E549CF" w:rsidRPr="00D51072">
        <w:rPr>
          <w:i w:val="0"/>
          <w:szCs w:val="20"/>
        </w:rPr>
        <w:t>“</w:t>
      </w:r>
      <w:r w:rsidR="001E6EA9" w:rsidRPr="00D51072">
        <w:rPr>
          <w:i w:val="0"/>
          <w:szCs w:val="20"/>
        </w:rPr>
        <w:t>todas las declaraciones testimoniales que reunieron los requisitos legales pre</w:t>
      </w:r>
      <w:r w:rsidR="001C4988" w:rsidRPr="00D51072">
        <w:rPr>
          <w:i w:val="0"/>
          <w:szCs w:val="20"/>
        </w:rPr>
        <w:t xml:space="preserve">vistos en el artículo 25 de la </w:t>
      </w:r>
      <w:r w:rsidR="00F93A46" w:rsidRPr="00D51072">
        <w:rPr>
          <w:i w:val="0"/>
          <w:szCs w:val="20"/>
        </w:rPr>
        <w:t>L</w:t>
      </w:r>
      <w:r w:rsidR="001E6EA9" w:rsidRPr="00D51072">
        <w:rPr>
          <w:i w:val="0"/>
          <w:szCs w:val="20"/>
        </w:rPr>
        <w:t xml:space="preserve">ey adjetiva”. Agregó que fueron desestimadas las que </w:t>
      </w:r>
      <w:r w:rsidR="00FD6FEA" w:rsidRPr="00D51072">
        <w:rPr>
          <w:i w:val="0"/>
          <w:szCs w:val="20"/>
        </w:rPr>
        <w:t>“</w:t>
      </w:r>
      <w:r w:rsidR="001E6EA9" w:rsidRPr="00D51072">
        <w:rPr>
          <w:i w:val="0"/>
          <w:szCs w:val="20"/>
        </w:rPr>
        <w:t>no guardan adecuado encuadre legal</w:t>
      </w:r>
      <w:r w:rsidR="00FD6FEA" w:rsidRPr="00D51072">
        <w:rPr>
          <w:i w:val="0"/>
          <w:szCs w:val="20"/>
        </w:rPr>
        <w:t>”</w:t>
      </w:r>
      <w:r w:rsidR="001E6EA9" w:rsidRPr="00D51072">
        <w:rPr>
          <w:i w:val="0"/>
          <w:szCs w:val="20"/>
        </w:rPr>
        <w:t xml:space="preserve"> o que fueran </w:t>
      </w:r>
      <w:r w:rsidR="00FD6FEA" w:rsidRPr="00D51072">
        <w:rPr>
          <w:i w:val="0"/>
          <w:szCs w:val="20"/>
        </w:rPr>
        <w:t>“</w:t>
      </w:r>
      <w:r w:rsidR="001E6EA9" w:rsidRPr="00D51072">
        <w:rPr>
          <w:i w:val="0"/>
          <w:szCs w:val="20"/>
        </w:rPr>
        <w:t>manifiestamente inconducentes</w:t>
      </w:r>
      <w:r w:rsidR="00FD6FEA" w:rsidRPr="00D51072">
        <w:rPr>
          <w:i w:val="0"/>
          <w:szCs w:val="20"/>
        </w:rPr>
        <w:t>”</w:t>
      </w:r>
      <w:r w:rsidR="001E6EA9" w:rsidRPr="00D51072">
        <w:rPr>
          <w:rStyle w:val="Refdenotaalpie"/>
          <w:i w:val="0"/>
        </w:rPr>
        <w:footnoteReference w:id="58"/>
      </w:r>
      <w:r w:rsidR="001E6EA9" w:rsidRPr="00D51072">
        <w:rPr>
          <w:i w:val="0"/>
          <w:szCs w:val="20"/>
        </w:rPr>
        <w:t xml:space="preserve">. </w:t>
      </w:r>
    </w:p>
    <w:p w14:paraId="3AB47D04" w14:textId="17D91DFD" w:rsidR="00362395" w:rsidRPr="00D51072" w:rsidRDefault="00E30AAC" w:rsidP="00D8621A">
      <w:pPr>
        <w:pStyle w:val="Estilo1"/>
        <w:numPr>
          <w:ilvl w:val="0"/>
          <w:numId w:val="2"/>
        </w:numPr>
        <w:tabs>
          <w:tab w:val="left" w:pos="0"/>
          <w:tab w:val="left" w:pos="567"/>
          <w:tab w:val="left" w:pos="1134"/>
        </w:tabs>
        <w:spacing w:before="120"/>
        <w:ind w:left="0" w:right="-6" w:firstLine="0"/>
        <w:rPr>
          <w:rFonts w:cs="Times New Roman"/>
          <w:i w:val="0"/>
          <w:szCs w:val="20"/>
        </w:rPr>
      </w:pPr>
      <w:r w:rsidRPr="00D51072">
        <w:rPr>
          <w:i w:val="0"/>
          <w:szCs w:val="20"/>
        </w:rPr>
        <w:t xml:space="preserve">En consecuencia, esta Corte encuentra que el Estado no es responsable por una vulneración a las garantías procesales del señor Rico y en particular </w:t>
      </w:r>
      <w:r w:rsidR="004E0D00">
        <w:rPr>
          <w:i w:val="0"/>
          <w:szCs w:val="20"/>
        </w:rPr>
        <w:t>de</w:t>
      </w:r>
      <w:r w:rsidRPr="00D51072">
        <w:rPr>
          <w:i w:val="0"/>
          <w:szCs w:val="20"/>
        </w:rPr>
        <w:t xml:space="preserve"> su derecho de defensa por la extensión del plazo del procedimiento y la inadmisión parcial de la prueba testimonial que </w:t>
      </w:r>
      <w:r w:rsidR="00E549CF" w:rsidRPr="00D51072">
        <w:rPr>
          <w:i w:val="0"/>
          <w:szCs w:val="20"/>
        </w:rPr>
        <w:t>e</w:t>
      </w:r>
      <w:r w:rsidRPr="00D51072">
        <w:rPr>
          <w:i w:val="0"/>
          <w:szCs w:val="20"/>
        </w:rPr>
        <w:t>ste presentó en el juicio.</w:t>
      </w:r>
    </w:p>
    <w:p w14:paraId="51BBB6B4" w14:textId="7A09F903" w:rsidR="009E1728" w:rsidRPr="00D51072" w:rsidRDefault="00362395" w:rsidP="001E6EA9">
      <w:pPr>
        <w:pStyle w:val="Estilo1"/>
        <w:numPr>
          <w:ilvl w:val="0"/>
          <w:numId w:val="2"/>
        </w:numPr>
        <w:tabs>
          <w:tab w:val="left" w:pos="0"/>
          <w:tab w:val="left" w:pos="567"/>
          <w:tab w:val="left" w:pos="1134"/>
        </w:tabs>
        <w:spacing w:before="120"/>
        <w:ind w:left="0" w:right="-6" w:firstLine="0"/>
        <w:rPr>
          <w:rFonts w:cs="Times New Roman"/>
          <w:i w:val="0"/>
          <w:szCs w:val="20"/>
        </w:rPr>
      </w:pPr>
      <w:r w:rsidRPr="00D51072">
        <w:rPr>
          <w:i w:val="0"/>
          <w:szCs w:val="20"/>
        </w:rPr>
        <w:t xml:space="preserve">En </w:t>
      </w:r>
      <w:r w:rsidR="008A406A">
        <w:rPr>
          <w:i w:val="0"/>
          <w:szCs w:val="20"/>
        </w:rPr>
        <w:t>cuanto a</w:t>
      </w:r>
      <w:r w:rsidRPr="00D51072">
        <w:rPr>
          <w:i w:val="0"/>
          <w:szCs w:val="20"/>
        </w:rPr>
        <w:t xml:space="preserve"> </w:t>
      </w:r>
      <w:r w:rsidR="003A6E1E" w:rsidRPr="00D51072">
        <w:rPr>
          <w:i w:val="0"/>
          <w:szCs w:val="20"/>
        </w:rPr>
        <w:t xml:space="preserve">la alegada vulneración al derecho de recurrir del fallo por parte de un tribunal superior, este Tribunal </w:t>
      </w:r>
      <w:r w:rsidR="009E1728" w:rsidRPr="00D51072">
        <w:rPr>
          <w:i w:val="0"/>
          <w:szCs w:val="20"/>
        </w:rPr>
        <w:t xml:space="preserve">se remite al análisis de los alegatos relacionados con el derecho a la protección judicial en el marco del cual serán analizados los recursos Extraordinario Federal y de Queja que </w:t>
      </w:r>
      <w:r w:rsidR="00013E71">
        <w:rPr>
          <w:i w:val="0"/>
          <w:szCs w:val="20"/>
        </w:rPr>
        <w:t>han sido</w:t>
      </w:r>
      <w:r w:rsidR="009E1728" w:rsidRPr="00D51072">
        <w:rPr>
          <w:i w:val="0"/>
          <w:szCs w:val="20"/>
        </w:rPr>
        <w:t xml:space="preserve"> incoados por el señor Rico para recurrir la decisión del Jurado de Enjuiciamiento en su perjuicio. </w:t>
      </w:r>
      <w:r w:rsidR="001E6EA9" w:rsidRPr="00D51072">
        <w:rPr>
          <w:i w:val="0"/>
          <w:szCs w:val="20"/>
        </w:rPr>
        <w:t xml:space="preserve"> </w:t>
      </w:r>
    </w:p>
    <w:p w14:paraId="2E582906" w14:textId="2E0AEE40" w:rsidR="005C38F3" w:rsidRPr="00D51072" w:rsidRDefault="005C38F3" w:rsidP="005C38F3">
      <w:pPr>
        <w:spacing w:before="240" w:after="240"/>
        <w:ind w:left="708"/>
        <w:outlineLvl w:val="2"/>
        <w:rPr>
          <w:rFonts w:cs="Times New Roman"/>
          <w:i/>
          <w:szCs w:val="20"/>
        </w:rPr>
      </w:pPr>
      <w:bookmarkStart w:id="123" w:name="_Toc23415008"/>
      <w:r w:rsidRPr="00D51072">
        <w:rPr>
          <w:rFonts w:cs="Times New Roman"/>
          <w:i/>
          <w:szCs w:val="20"/>
        </w:rPr>
        <w:t>B.5. Conclusión</w:t>
      </w:r>
      <w:bookmarkEnd w:id="123"/>
    </w:p>
    <w:p w14:paraId="08A7F266" w14:textId="5F37F6EB" w:rsidR="005C38F3" w:rsidRPr="00D51072" w:rsidRDefault="005C38F3" w:rsidP="00FD116F">
      <w:pPr>
        <w:pStyle w:val="Estilo1"/>
        <w:numPr>
          <w:ilvl w:val="0"/>
          <w:numId w:val="2"/>
        </w:numPr>
        <w:tabs>
          <w:tab w:val="left" w:pos="0"/>
          <w:tab w:val="left" w:pos="567"/>
          <w:tab w:val="left" w:pos="1134"/>
        </w:tabs>
        <w:spacing w:before="120"/>
        <w:ind w:left="0" w:right="-6" w:firstLine="0"/>
        <w:rPr>
          <w:rFonts w:cs="Times New Roman"/>
          <w:i w:val="0"/>
          <w:szCs w:val="20"/>
        </w:rPr>
      </w:pPr>
      <w:r w:rsidRPr="00D51072">
        <w:rPr>
          <w:rFonts w:cs="Times New Roman"/>
          <w:i w:val="0"/>
          <w:szCs w:val="20"/>
        </w:rPr>
        <w:t xml:space="preserve">De conformidad con las consideraciones anteriores, la Corte encuentra que </w:t>
      </w:r>
      <w:r w:rsidR="00FD116F" w:rsidRPr="00D51072">
        <w:rPr>
          <w:rFonts w:cs="Times New Roman"/>
          <w:i w:val="0"/>
          <w:szCs w:val="20"/>
        </w:rPr>
        <w:t xml:space="preserve">el Estado no es responsable por una vulneración a las garantías judiciales contenidas en </w:t>
      </w:r>
      <w:r w:rsidR="00C23436" w:rsidRPr="00D51072">
        <w:rPr>
          <w:rFonts w:cs="Times New Roman"/>
          <w:i w:val="0"/>
          <w:szCs w:val="20"/>
        </w:rPr>
        <w:t>el</w:t>
      </w:r>
      <w:r w:rsidR="00FD116F" w:rsidRPr="00D51072">
        <w:rPr>
          <w:rFonts w:cs="Times New Roman"/>
          <w:i w:val="0"/>
          <w:szCs w:val="20"/>
        </w:rPr>
        <w:t xml:space="preserve"> artículo 8</w:t>
      </w:r>
      <w:r w:rsidR="00C23436" w:rsidRPr="00D51072">
        <w:rPr>
          <w:rFonts w:cs="Times New Roman"/>
          <w:i w:val="0"/>
          <w:szCs w:val="20"/>
        </w:rPr>
        <w:t xml:space="preserve"> </w:t>
      </w:r>
      <w:r w:rsidR="00234CB6" w:rsidRPr="00D51072">
        <w:rPr>
          <w:rFonts w:cs="Times New Roman"/>
          <w:i w:val="0"/>
          <w:szCs w:val="20"/>
        </w:rPr>
        <w:t xml:space="preserve">de la Convención Americana </w:t>
      </w:r>
      <w:r w:rsidR="00FD116F" w:rsidRPr="00D51072">
        <w:rPr>
          <w:rFonts w:cs="Times New Roman"/>
          <w:i w:val="0"/>
          <w:szCs w:val="20"/>
        </w:rPr>
        <w:t>en perjuicio del señor Rico.</w:t>
      </w:r>
    </w:p>
    <w:p w14:paraId="6D06C8C3" w14:textId="5A7F95F6" w:rsidR="00577335" w:rsidRPr="00D51072" w:rsidRDefault="00E751FF" w:rsidP="00577335">
      <w:pPr>
        <w:pStyle w:val="Ttulo1"/>
        <w:rPr>
          <w:rFonts w:cs="Arial"/>
        </w:rPr>
      </w:pPr>
      <w:bookmarkStart w:id="124" w:name="_Toc23415009"/>
      <w:bookmarkStart w:id="125" w:name="_Toc486693391"/>
      <w:bookmarkStart w:id="126" w:name="_Toc486842811"/>
      <w:bookmarkStart w:id="127" w:name="_Toc486842945"/>
      <w:r w:rsidRPr="00D51072">
        <w:rPr>
          <w:rFonts w:cs="Arial"/>
          <w:caps w:val="0"/>
        </w:rPr>
        <w:lastRenderedPageBreak/>
        <w:t>VII</w:t>
      </w:r>
      <w:r w:rsidR="004C1C13" w:rsidRPr="00D51072">
        <w:rPr>
          <w:rFonts w:cs="Arial"/>
          <w:caps w:val="0"/>
        </w:rPr>
        <w:t>.</w:t>
      </w:r>
      <w:r w:rsidR="00E66C1F" w:rsidRPr="00D51072">
        <w:rPr>
          <w:rFonts w:cs="Arial"/>
          <w:caps w:val="0"/>
        </w:rPr>
        <w:t>2</w:t>
      </w:r>
      <w:r w:rsidR="004C1C13" w:rsidRPr="00D51072">
        <w:rPr>
          <w:rFonts w:cs="Arial"/>
          <w:caps w:val="0"/>
          <w:color w:val="FFFFFF" w:themeColor="background1"/>
        </w:rPr>
        <w:t>.</w:t>
      </w:r>
      <w:r w:rsidR="004C1C13" w:rsidRPr="00D51072">
        <w:rPr>
          <w:rFonts w:cs="Arial"/>
          <w:caps w:val="0"/>
        </w:rPr>
        <w:br/>
      </w:r>
      <w:r w:rsidR="00A21913" w:rsidRPr="00D51072">
        <w:rPr>
          <w:rFonts w:cs="Arial"/>
          <w:caps w:val="0"/>
        </w:rPr>
        <w:t>EL DERECHO A LA</w:t>
      </w:r>
      <w:r w:rsidR="004C1C13" w:rsidRPr="00D51072">
        <w:rPr>
          <w:rFonts w:cs="Arial"/>
          <w:caps w:val="0"/>
        </w:rPr>
        <w:t xml:space="preserve"> </w:t>
      </w:r>
      <w:r w:rsidR="004C5C59" w:rsidRPr="00D51072">
        <w:rPr>
          <w:rFonts w:cs="Arial"/>
          <w:caps w:val="0"/>
        </w:rPr>
        <w:t>PROTECCIÓN JUDICIAL</w:t>
      </w:r>
      <w:r w:rsidR="00A21913" w:rsidRPr="00D51072">
        <w:rPr>
          <w:rFonts w:cs="Arial"/>
          <w:caps w:val="0"/>
        </w:rPr>
        <w:t xml:space="preserve"> DEL SEÑOR RICO</w:t>
      </w:r>
      <w:bookmarkEnd w:id="124"/>
      <w:r w:rsidR="00245417" w:rsidRPr="00D51072">
        <w:rPr>
          <w:rFonts w:cs="Arial"/>
          <w:caps w:val="0"/>
        </w:rPr>
        <w:t xml:space="preserve"> </w:t>
      </w:r>
      <w:bookmarkEnd w:id="125"/>
      <w:bookmarkEnd w:id="126"/>
      <w:bookmarkEnd w:id="127"/>
    </w:p>
    <w:p w14:paraId="3850C565" w14:textId="202E50A9" w:rsidR="00577335" w:rsidRPr="00D51072" w:rsidRDefault="00944D65" w:rsidP="00035C05">
      <w:pPr>
        <w:pStyle w:val="Prrafodelista"/>
        <w:numPr>
          <w:ilvl w:val="0"/>
          <w:numId w:val="13"/>
        </w:numPr>
        <w:tabs>
          <w:tab w:val="left" w:pos="567"/>
        </w:tabs>
        <w:autoSpaceDE w:val="0"/>
        <w:autoSpaceDN w:val="0"/>
        <w:adjustRightInd w:val="0"/>
        <w:spacing w:before="240" w:after="240"/>
        <w:contextualSpacing w:val="0"/>
        <w:outlineLvl w:val="1"/>
        <w:rPr>
          <w:b/>
          <w:i/>
          <w:szCs w:val="20"/>
        </w:rPr>
      </w:pPr>
      <w:bookmarkStart w:id="128" w:name="_Toc470105106"/>
      <w:bookmarkStart w:id="129" w:name="_Toc486693392"/>
      <w:bookmarkStart w:id="130" w:name="_Toc486842812"/>
      <w:bookmarkStart w:id="131" w:name="_Toc486842946"/>
      <w:bookmarkStart w:id="132" w:name="_Toc23415010"/>
      <w:r>
        <w:rPr>
          <w:b/>
          <w:i/>
          <w:szCs w:val="20"/>
        </w:rPr>
        <w:t>Alegatos</w:t>
      </w:r>
      <w:r w:rsidR="00577335" w:rsidRPr="00D51072">
        <w:rPr>
          <w:b/>
          <w:i/>
          <w:szCs w:val="20"/>
        </w:rPr>
        <w:t xml:space="preserve"> de las partes y de la Comisión</w:t>
      </w:r>
      <w:bookmarkEnd w:id="128"/>
      <w:bookmarkEnd w:id="129"/>
      <w:bookmarkEnd w:id="130"/>
      <w:bookmarkEnd w:id="131"/>
      <w:bookmarkEnd w:id="132"/>
    </w:p>
    <w:p w14:paraId="08588E54" w14:textId="5E97A663" w:rsidR="00EA55BC" w:rsidRPr="00D51072" w:rsidRDefault="00C80551" w:rsidP="00C80551">
      <w:pPr>
        <w:pStyle w:val="Estilo1"/>
        <w:numPr>
          <w:ilvl w:val="0"/>
          <w:numId w:val="2"/>
        </w:numPr>
        <w:tabs>
          <w:tab w:val="left" w:pos="0"/>
          <w:tab w:val="left" w:pos="567"/>
          <w:tab w:val="left" w:pos="1134"/>
        </w:tabs>
        <w:spacing w:before="120"/>
        <w:ind w:left="0" w:right="-6" w:firstLine="0"/>
        <w:rPr>
          <w:rFonts w:cs="Arial"/>
          <w:i w:val="0"/>
          <w:szCs w:val="20"/>
        </w:rPr>
      </w:pPr>
      <w:r w:rsidRPr="00D51072">
        <w:rPr>
          <w:rFonts w:cs="Arial"/>
          <w:i w:val="0"/>
          <w:szCs w:val="20"/>
        </w:rPr>
        <w:t xml:space="preserve">La </w:t>
      </w:r>
      <w:r w:rsidRPr="00D51072">
        <w:rPr>
          <w:rFonts w:cs="Arial"/>
          <w:szCs w:val="20"/>
        </w:rPr>
        <w:t>Comisión</w:t>
      </w:r>
      <w:r w:rsidRPr="00D51072">
        <w:rPr>
          <w:rFonts w:cs="Arial"/>
          <w:i w:val="0"/>
          <w:szCs w:val="20"/>
        </w:rPr>
        <w:t xml:space="preserve"> alegó que luego de emitirse la sentencia en la que se determinó su destitución e inhabilitación, el señor Rico presentó un recurso de nulidad, un </w:t>
      </w:r>
      <w:r w:rsidR="003B491A" w:rsidRPr="00D51072">
        <w:rPr>
          <w:rFonts w:cs="Arial"/>
          <w:i w:val="0"/>
          <w:szCs w:val="20"/>
        </w:rPr>
        <w:t>REF</w:t>
      </w:r>
      <w:r w:rsidRPr="00D51072">
        <w:rPr>
          <w:rFonts w:cs="Arial"/>
          <w:i w:val="0"/>
          <w:szCs w:val="20"/>
        </w:rPr>
        <w:t xml:space="preserve">, y un </w:t>
      </w:r>
      <w:r w:rsidR="00570F31">
        <w:rPr>
          <w:rFonts w:cs="Arial"/>
          <w:i w:val="0"/>
          <w:szCs w:val="20"/>
        </w:rPr>
        <w:t>R</w:t>
      </w:r>
      <w:r w:rsidRPr="00D51072">
        <w:rPr>
          <w:rFonts w:cs="Arial"/>
          <w:i w:val="0"/>
          <w:szCs w:val="20"/>
        </w:rPr>
        <w:t xml:space="preserve">ecurso de </w:t>
      </w:r>
      <w:r w:rsidR="00570F31">
        <w:rPr>
          <w:rFonts w:cs="Arial"/>
          <w:i w:val="0"/>
          <w:szCs w:val="20"/>
        </w:rPr>
        <w:t>Q</w:t>
      </w:r>
      <w:r w:rsidRPr="00D51072">
        <w:rPr>
          <w:rFonts w:cs="Arial"/>
          <w:i w:val="0"/>
          <w:szCs w:val="20"/>
        </w:rPr>
        <w:t xml:space="preserve">ueja. Alegó que en ninguno de los recursos interpuestos, los órganos judiciales efectuaron un análisis sustantivo sobre la existencia o no de violaciones al debido proceso en el procedimiento sancionatorio. Indicó que el debate, se centró en la posibilidad o no de interponer un recurso de apelación, indicándose que no estaba bien fundamentado el </w:t>
      </w:r>
      <w:r w:rsidR="003B491A" w:rsidRPr="00D51072">
        <w:rPr>
          <w:rFonts w:cs="Arial"/>
          <w:i w:val="0"/>
          <w:szCs w:val="20"/>
        </w:rPr>
        <w:t>REF</w:t>
      </w:r>
      <w:r w:rsidR="00CE0FB8" w:rsidRPr="00D51072">
        <w:rPr>
          <w:rFonts w:cs="Arial"/>
          <w:i w:val="0"/>
          <w:szCs w:val="20"/>
        </w:rPr>
        <w:t xml:space="preserve">. Sostuvo que de conformidad con la jurisprudencia de la SCJN, </w:t>
      </w:r>
      <w:r w:rsidRPr="00D51072">
        <w:rPr>
          <w:rFonts w:cs="Arial"/>
          <w:i w:val="0"/>
          <w:szCs w:val="20"/>
        </w:rPr>
        <w:t xml:space="preserve">las decisiones </w:t>
      </w:r>
      <w:r w:rsidR="00CE0FB8" w:rsidRPr="00D51072">
        <w:rPr>
          <w:rFonts w:cs="Arial"/>
          <w:i w:val="0"/>
          <w:szCs w:val="20"/>
        </w:rPr>
        <w:t xml:space="preserve">de los Jurados de Enjuiciamiento </w:t>
      </w:r>
      <w:r w:rsidRPr="00D51072">
        <w:rPr>
          <w:rFonts w:cs="Arial"/>
          <w:i w:val="0"/>
          <w:szCs w:val="20"/>
        </w:rPr>
        <w:t xml:space="preserve">son recurribles, pero </w:t>
      </w:r>
      <w:r w:rsidR="00CE0FB8" w:rsidRPr="00D51072">
        <w:rPr>
          <w:rFonts w:cs="Arial"/>
          <w:i w:val="0"/>
          <w:szCs w:val="20"/>
        </w:rPr>
        <w:t xml:space="preserve">que </w:t>
      </w:r>
      <w:r w:rsidRPr="00D51072">
        <w:rPr>
          <w:rFonts w:cs="Arial"/>
          <w:i w:val="0"/>
          <w:szCs w:val="20"/>
        </w:rPr>
        <w:t>en el presente caso</w:t>
      </w:r>
      <w:r w:rsidR="00CE0FB8" w:rsidRPr="00D51072">
        <w:rPr>
          <w:rFonts w:cs="Arial"/>
          <w:i w:val="0"/>
          <w:szCs w:val="20"/>
        </w:rPr>
        <w:t xml:space="preserve"> no se pudo concretar pues no </w:t>
      </w:r>
      <w:r w:rsidRPr="00D51072">
        <w:rPr>
          <w:rFonts w:cs="Arial"/>
          <w:i w:val="0"/>
          <w:szCs w:val="20"/>
        </w:rPr>
        <w:t xml:space="preserve">se acreditaron violaciones al debido proceso. </w:t>
      </w:r>
      <w:r w:rsidR="003E3E9B">
        <w:rPr>
          <w:rFonts w:cs="Arial"/>
          <w:i w:val="0"/>
          <w:szCs w:val="20"/>
        </w:rPr>
        <w:t>D</w:t>
      </w:r>
      <w:r w:rsidRPr="00D51072">
        <w:rPr>
          <w:rFonts w:cs="Arial"/>
          <w:i w:val="0"/>
          <w:szCs w:val="20"/>
        </w:rPr>
        <w:t xml:space="preserve">estacó que esta última decisión rechazó la admisibilidad de un recurso porque no se probaron violaciones al debido proceso, cuando precisamente esa era la materia de fondo que se pretendía que fuera evaluada mediante el referido recurso. En virtud de las anteriores consideraciones, concluyó que el Estado violó el derecho a </w:t>
      </w:r>
      <w:r w:rsidR="005507ED">
        <w:rPr>
          <w:rFonts w:cs="Arial"/>
          <w:i w:val="0"/>
          <w:szCs w:val="20"/>
        </w:rPr>
        <w:t xml:space="preserve">la </w:t>
      </w:r>
      <w:r w:rsidRPr="00D51072">
        <w:rPr>
          <w:rFonts w:cs="Arial"/>
          <w:i w:val="0"/>
          <w:szCs w:val="20"/>
        </w:rPr>
        <w:t>protección judi</w:t>
      </w:r>
      <w:r w:rsidR="003A37EF">
        <w:rPr>
          <w:rFonts w:cs="Arial"/>
          <w:i w:val="0"/>
          <w:szCs w:val="20"/>
        </w:rPr>
        <w:t>cial establecido en el artículo</w:t>
      </w:r>
      <w:r w:rsidRPr="00D51072">
        <w:rPr>
          <w:rFonts w:cs="Arial"/>
          <w:i w:val="0"/>
          <w:szCs w:val="20"/>
        </w:rPr>
        <w:t xml:space="preserve"> 25.1 de la Convención</w:t>
      </w:r>
      <w:r w:rsidR="00B348C9" w:rsidRPr="00D51072">
        <w:rPr>
          <w:rFonts w:cs="Arial"/>
          <w:i w:val="0"/>
          <w:szCs w:val="20"/>
        </w:rPr>
        <w:t>,</w:t>
      </w:r>
      <w:r w:rsidRPr="00D51072">
        <w:rPr>
          <w:rFonts w:cs="Arial"/>
          <w:i w:val="0"/>
          <w:szCs w:val="20"/>
        </w:rPr>
        <w:t xml:space="preserve"> en perjuicio del señor Rico.</w:t>
      </w:r>
      <w:r w:rsidRPr="00D51072">
        <w:rPr>
          <w:i w:val="0"/>
          <w:szCs w:val="20"/>
          <w:lang w:eastAsia="es-CR"/>
        </w:rPr>
        <w:t xml:space="preserve"> Los </w:t>
      </w:r>
      <w:r w:rsidRPr="00D51072">
        <w:rPr>
          <w:szCs w:val="20"/>
          <w:lang w:eastAsia="es-CR"/>
        </w:rPr>
        <w:t>representantes</w:t>
      </w:r>
      <w:r w:rsidRPr="00D51072">
        <w:rPr>
          <w:i w:val="0"/>
          <w:szCs w:val="20"/>
          <w:lang w:eastAsia="es-CR"/>
        </w:rPr>
        <w:t xml:space="preserve"> compartieron estos argumentos.</w:t>
      </w:r>
    </w:p>
    <w:p w14:paraId="53A00620" w14:textId="211BDA26" w:rsidR="00C80551" w:rsidRPr="00D51072" w:rsidRDefault="00C80551" w:rsidP="00C80551">
      <w:pPr>
        <w:pStyle w:val="Estilo1"/>
        <w:numPr>
          <w:ilvl w:val="0"/>
          <w:numId w:val="2"/>
        </w:numPr>
        <w:tabs>
          <w:tab w:val="left" w:pos="0"/>
          <w:tab w:val="left" w:pos="567"/>
          <w:tab w:val="left" w:pos="1134"/>
        </w:tabs>
        <w:spacing w:before="120"/>
        <w:ind w:left="0" w:right="-6" w:firstLine="0"/>
        <w:rPr>
          <w:rFonts w:cs="Arial"/>
          <w:i w:val="0"/>
          <w:szCs w:val="20"/>
        </w:rPr>
      </w:pPr>
      <w:r w:rsidRPr="00D51072">
        <w:rPr>
          <w:i w:val="0"/>
          <w:szCs w:val="20"/>
          <w:lang w:val="es-CO"/>
        </w:rPr>
        <w:t>Al respecto</w:t>
      </w:r>
      <w:r w:rsidR="00B348C9" w:rsidRPr="00D51072">
        <w:rPr>
          <w:i w:val="0"/>
          <w:szCs w:val="20"/>
          <w:lang w:val="es-CO"/>
        </w:rPr>
        <w:t>,</w:t>
      </w:r>
      <w:r w:rsidRPr="00D51072">
        <w:rPr>
          <w:i w:val="0"/>
          <w:szCs w:val="20"/>
          <w:lang w:val="es-CO"/>
        </w:rPr>
        <w:t xml:space="preserve"> el </w:t>
      </w:r>
      <w:r w:rsidRPr="00D51072">
        <w:rPr>
          <w:szCs w:val="20"/>
          <w:lang w:val="es-CO"/>
        </w:rPr>
        <w:t>Estado</w:t>
      </w:r>
      <w:r w:rsidRPr="00D51072">
        <w:rPr>
          <w:i w:val="0"/>
          <w:szCs w:val="20"/>
          <w:lang w:val="es-CO"/>
        </w:rPr>
        <w:t xml:space="preserve"> expresó que la vía extraordinaria se presentaba en el presente caso como el recurso idóneo y efectivo en el ámbito interno para subsanar eventuales violaciones al debido proceso que pudiera haber padecido el señor Rico en el trámite ante el Jurado de Enjuiciamiento. </w:t>
      </w:r>
      <w:r w:rsidR="00CA4F2A">
        <w:rPr>
          <w:i w:val="0"/>
          <w:szCs w:val="20"/>
          <w:lang w:val="es-CO"/>
        </w:rPr>
        <w:t>S</w:t>
      </w:r>
      <w:r w:rsidR="00CA4F2A" w:rsidRPr="00D51072">
        <w:rPr>
          <w:i w:val="0"/>
          <w:szCs w:val="20"/>
          <w:lang w:val="es-CO"/>
        </w:rPr>
        <w:t>in embargo</w:t>
      </w:r>
      <w:r w:rsidR="00CA4F2A">
        <w:rPr>
          <w:i w:val="0"/>
          <w:szCs w:val="20"/>
          <w:lang w:val="es-CO"/>
        </w:rPr>
        <w:t>,</w:t>
      </w:r>
      <w:r w:rsidR="00CA4F2A" w:rsidRPr="00D51072">
        <w:rPr>
          <w:i w:val="0"/>
          <w:szCs w:val="20"/>
          <w:lang w:val="es-CO"/>
        </w:rPr>
        <w:t xml:space="preserve"> </w:t>
      </w:r>
      <w:r w:rsidR="00CA4F2A">
        <w:rPr>
          <w:i w:val="0"/>
          <w:szCs w:val="20"/>
          <w:lang w:val="es-CO"/>
        </w:rPr>
        <w:t>s</w:t>
      </w:r>
      <w:r w:rsidRPr="00D51072">
        <w:rPr>
          <w:i w:val="0"/>
          <w:szCs w:val="20"/>
          <w:lang w:val="es-CO"/>
        </w:rPr>
        <w:t xml:space="preserve">eñaló que, fue el propio peticionario el que atentó contra la eficacia del </w:t>
      </w:r>
      <w:r w:rsidR="00BA2A45">
        <w:rPr>
          <w:i w:val="0"/>
          <w:szCs w:val="20"/>
          <w:lang w:val="es-CO"/>
        </w:rPr>
        <w:t>REF</w:t>
      </w:r>
      <w:r w:rsidRPr="00D51072">
        <w:rPr>
          <w:i w:val="0"/>
          <w:szCs w:val="20"/>
          <w:lang w:val="es-CO"/>
        </w:rPr>
        <w:t xml:space="preserve"> al incumplir con el requisito de acreditar debidamente dichas supuestas lesiones, en tanto ello se presentaba como un requisito de admisibilidad de la propia vía recursiva a la luz de la jurisprudencia vigente. </w:t>
      </w:r>
      <w:r w:rsidR="00BA2A45">
        <w:rPr>
          <w:i w:val="0"/>
          <w:szCs w:val="20"/>
          <w:lang w:val="es-CO"/>
        </w:rPr>
        <w:t>C</w:t>
      </w:r>
      <w:r w:rsidRPr="00D51072">
        <w:rPr>
          <w:i w:val="0"/>
          <w:szCs w:val="20"/>
          <w:lang w:val="es-CO"/>
        </w:rPr>
        <w:t xml:space="preserve">oncluyó que </w:t>
      </w:r>
      <w:r w:rsidR="00BA2A45">
        <w:rPr>
          <w:i w:val="0"/>
          <w:szCs w:val="20"/>
          <w:lang w:val="es-CO"/>
        </w:rPr>
        <w:t xml:space="preserve">por ello, </w:t>
      </w:r>
      <w:r w:rsidRPr="00D51072">
        <w:rPr>
          <w:i w:val="0"/>
          <w:szCs w:val="20"/>
          <w:lang w:val="es-CO"/>
        </w:rPr>
        <w:t xml:space="preserve">no es posible atribuirle responsabilidad por la </w:t>
      </w:r>
      <w:r w:rsidR="00BA2A45">
        <w:rPr>
          <w:i w:val="0"/>
          <w:szCs w:val="20"/>
          <w:lang w:val="es-CO"/>
        </w:rPr>
        <w:t>vulneración</w:t>
      </w:r>
      <w:r w:rsidRPr="00D51072">
        <w:rPr>
          <w:i w:val="0"/>
          <w:szCs w:val="20"/>
          <w:lang w:val="es-CO"/>
        </w:rPr>
        <w:t xml:space="preserve"> del artículo 25.1 de la Convención. </w:t>
      </w:r>
    </w:p>
    <w:p w14:paraId="1D9C18CA" w14:textId="5F2DDB5B" w:rsidR="00577335" w:rsidRPr="00D51072" w:rsidRDefault="00577335" w:rsidP="00035C05">
      <w:pPr>
        <w:pStyle w:val="Prrafodelista"/>
        <w:numPr>
          <w:ilvl w:val="0"/>
          <w:numId w:val="13"/>
        </w:numPr>
        <w:tabs>
          <w:tab w:val="left" w:pos="567"/>
        </w:tabs>
        <w:autoSpaceDE w:val="0"/>
        <w:autoSpaceDN w:val="0"/>
        <w:adjustRightInd w:val="0"/>
        <w:spacing w:before="240" w:after="240"/>
        <w:ind w:left="896" w:hanging="357"/>
        <w:contextualSpacing w:val="0"/>
        <w:outlineLvl w:val="1"/>
        <w:rPr>
          <w:b/>
          <w:i/>
          <w:szCs w:val="20"/>
        </w:rPr>
      </w:pPr>
      <w:bookmarkStart w:id="133" w:name="_Toc470105117"/>
      <w:bookmarkStart w:id="134" w:name="_Toc486693393"/>
      <w:bookmarkStart w:id="135" w:name="_Toc486842813"/>
      <w:bookmarkStart w:id="136" w:name="_Toc486842947"/>
      <w:bookmarkStart w:id="137" w:name="_Toc23415011"/>
      <w:r w:rsidRPr="00D51072">
        <w:rPr>
          <w:b/>
          <w:i/>
          <w:szCs w:val="20"/>
        </w:rPr>
        <w:t>Consideraciones de la Corte</w:t>
      </w:r>
      <w:bookmarkEnd w:id="133"/>
      <w:bookmarkEnd w:id="134"/>
      <w:bookmarkEnd w:id="135"/>
      <w:bookmarkEnd w:id="136"/>
      <w:bookmarkEnd w:id="137"/>
      <w:r w:rsidRPr="00D51072">
        <w:rPr>
          <w:b/>
          <w:i/>
          <w:szCs w:val="20"/>
        </w:rPr>
        <w:t xml:space="preserve"> </w:t>
      </w:r>
    </w:p>
    <w:p w14:paraId="2172DE21" w14:textId="774B79B4" w:rsidR="00EA08BD" w:rsidRPr="00D51072" w:rsidRDefault="00887142" w:rsidP="00EA08BD">
      <w:pPr>
        <w:pStyle w:val="Prrafodelista"/>
        <w:numPr>
          <w:ilvl w:val="0"/>
          <w:numId w:val="2"/>
        </w:numPr>
        <w:spacing w:before="120" w:after="120"/>
        <w:ind w:left="0" w:firstLine="0"/>
        <w:contextualSpacing w:val="0"/>
        <w:rPr>
          <w:rFonts w:cs="Calibri"/>
          <w:szCs w:val="20"/>
          <w:lang w:val="es-CR"/>
        </w:rPr>
      </w:pPr>
      <w:r w:rsidRPr="00D51072">
        <w:rPr>
          <w:szCs w:val="20"/>
          <w:lang w:val="es-CR"/>
        </w:rPr>
        <w:t xml:space="preserve">En relación con el artículo 25.1 </w:t>
      </w:r>
      <w:r w:rsidRPr="00D51072">
        <w:rPr>
          <w:rFonts w:cs="Verdana"/>
          <w:bCs/>
          <w:iCs/>
          <w:szCs w:val="20"/>
        </w:rPr>
        <w:t xml:space="preserve">de la Convención, la Corte ha señalado que dicha norma </w:t>
      </w:r>
      <w:r w:rsidRPr="00D51072">
        <w:rPr>
          <w:szCs w:val="20"/>
        </w:rPr>
        <w:t>contempla la obligación de garantizar, a todas las personas bajo su jurisdicción, un recurso judicial efectivo contra actos violatorios de sus derechos fundamentales</w:t>
      </w:r>
      <w:r w:rsidRPr="00D51072">
        <w:rPr>
          <w:rFonts w:eastAsiaTheme="minorHAnsi"/>
          <w:szCs w:val="20"/>
          <w:vertAlign w:val="superscript"/>
          <w:lang w:val="es-AR"/>
        </w:rPr>
        <w:footnoteReference w:id="59"/>
      </w:r>
      <w:r w:rsidRPr="00D51072">
        <w:rPr>
          <w:szCs w:val="20"/>
        </w:rPr>
        <w:t xml:space="preserve">. Dicha efectividad supone que, además de la existencia formal de </w:t>
      </w:r>
      <w:r w:rsidRPr="00D51072">
        <w:rPr>
          <w:rFonts w:cs="Arial"/>
          <w:szCs w:val="20"/>
        </w:rPr>
        <w:t>los</w:t>
      </w:r>
      <w:r w:rsidRPr="00D51072">
        <w:rPr>
          <w:szCs w:val="20"/>
        </w:rPr>
        <w:t xml:space="preserve"> recursos, </w:t>
      </w:r>
      <w:r w:rsidR="00E549CF" w:rsidRPr="00D51072">
        <w:rPr>
          <w:szCs w:val="20"/>
        </w:rPr>
        <w:t>e</w:t>
      </w:r>
      <w:r w:rsidRPr="00D51072">
        <w:rPr>
          <w:szCs w:val="20"/>
        </w:rPr>
        <w:t xml:space="preserve">stos den resultados o respuestas a las violaciones de derechos contemplados ya sea en la Convención, en la Constitución o en las leyes. </w:t>
      </w:r>
      <w:r w:rsidR="003E3E9B">
        <w:rPr>
          <w:szCs w:val="20"/>
        </w:rPr>
        <w:t>L</w:t>
      </w:r>
      <w:r w:rsidRPr="00D51072">
        <w:rPr>
          <w:rFonts w:cs="Verdana"/>
          <w:bCs/>
          <w:iCs/>
          <w:szCs w:val="20"/>
        </w:rPr>
        <w:t xml:space="preserve">a Corte ha establecido que para que exista un recurso efectivo no </w:t>
      </w:r>
      <w:r w:rsidR="00570F31">
        <w:rPr>
          <w:rFonts w:cs="Verdana"/>
          <w:bCs/>
          <w:iCs/>
          <w:szCs w:val="20"/>
        </w:rPr>
        <w:t xml:space="preserve">es suficiente </w:t>
      </w:r>
      <w:r w:rsidRPr="00D51072">
        <w:rPr>
          <w:rFonts w:cs="Verdana"/>
          <w:bCs/>
          <w:iCs/>
          <w:szCs w:val="20"/>
        </w:rPr>
        <w:t xml:space="preserve">con que </w:t>
      </w:r>
      <w:r w:rsidR="00E549CF" w:rsidRPr="00D51072">
        <w:rPr>
          <w:rFonts w:cs="Verdana"/>
          <w:bCs/>
          <w:iCs/>
          <w:szCs w:val="20"/>
        </w:rPr>
        <w:t>e</w:t>
      </w:r>
      <w:r w:rsidRPr="00D51072">
        <w:rPr>
          <w:rFonts w:cs="Verdana"/>
          <w:bCs/>
          <w:iCs/>
          <w:szCs w:val="20"/>
        </w:rPr>
        <w:t xml:space="preserve">ste exista formalmente. Esto implica que el recurso debe ser idóneo para combatir la violación y que sea efectiva su aplicación por la autoridad competente. Lo anterior no implica que se evalúe la efectividad de un recurso en función de que </w:t>
      </w:r>
      <w:r w:rsidR="00E549CF" w:rsidRPr="00D51072">
        <w:rPr>
          <w:rFonts w:cs="Verdana"/>
          <w:bCs/>
          <w:iCs/>
          <w:szCs w:val="20"/>
        </w:rPr>
        <w:t>e</w:t>
      </w:r>
      <w:r w:rsidRPr="00D51072">
        <w:rPr>
          <w:rFonts w:cs="Verdana"/>
          <w:bCs/>
          <w:iCs/>
          <w:szCs w:val="20"/>
        </w:rPr>
        <w:t>ste produzca un resultado favorable para el demandante</w:t>
      </w:r>
      <w:r w:rsidR="005F2A93" w:rsidRPr="00D51072">
        <w:rPr>
          <w:rFonts w:cs="Verdana"/>
          <w:bCs/>
          <w:iCs/>
          <w:szCs w:val="20"/>
          <w:vertAlign w:val="superscript"/>
        </w:rPr>
        <w:footnoteReference w:id="60"/>
      </w:r>
      <w:r w:rsidRPr="00D51072">
        <w:rPr>
          <w:rFonts w:cs="Verdana"/>
          <w:bCs/>
          <w:iCs/>
          <w:szCs w:val="20"/>
        </w:rPr>
        <w:t>.</w:t>
      </w:r>
      <w:r w:rsidR="00177E3F" w:rsidRPr="00D51072">
        <w:rPr>
          <w:szCs w:val="20"/>
        </w:rPr>
        <w:t xml:space="preserve"> </w:t>
      </w:r>
    </w:p>
    <w:p w14:paraId="4BBD99FB" w14:textId="5A700317" w:rsidR="00EA08BD" w:rsidRPr="00D51072" w:rsidRDefault="00EA08BD" w:rsidP="00D0190D">
      <w:pPr>
        <w:pStyle w:val="Prrafodelista"/>
        <w:numPr>
          <w:ilvl w:val="0"/>
          <w:numId w:val="2"/>
        </w:numPr>
        <w:spacing w:before="120" w:after="120"/>
        <w:ind w:left="0" w:firstLine="0"/>
        <w:contextualSpacing w:val="0"/>
        <w:rPr>
          <w:rFonts w:cs="Calibri"/>
          <w:szCs w:val="20"/>
          <w:lang w:val="es-CR"/>
        </w:rPr>
      </w:pPr>
      <w:r w:rsidRPr="00D51072">
        <w:rPr>
          <w:rFonts w:cs="Verdana"/>
          <w:bCs/>
          <w:iCs/>
          <w:szCs w:val="20"/>
        </w:rPr>
        <w:t xml:space="preserve">En el presente caso, ni la Comisión ni los representantes presentaron alegatos </w:t>
      </w:r>
      <w:r w:rsidR="005F2A93" w:rsidRPr="00D51072">
        <w:rPr>
          <w:rFonts w:cs="Verdana"/>
          <w:bCs/>
          <w:iCs/>
          <w:szCs w:val="20"/>
        </w:rPr>
        <w:t>o</w:t>
      </w:r>
      <w:r w:rsidRPr="00D51072">
        <w:rPr>
          <w:rFonts w:cs="Verdana"/>
          <w:bCs/>
          <w:iCs/>
          <w:szCs w:val="20"/>
        </w:rPr>
        <w:t xml:space="preserve"> pruebas para sostener que el </w:t>
      </w:r>
      <w:r w:rsidR="0052198A">
        <w:rPr>
          <w:rFonts w:cs="Verdana"/>
          <w:bCs/>
          <w:iCs/>
          <w:szCs w:val="20"/>
        </w:rPr>
        <w:t>REN</w:t>
      </w:r>
      <w:r w:rsidR="00207639" w:rsidRPr="00D51072">
        <w:rPr>
          <w:rFonts w:cs="Verdana"/>
          <w:bCs/>
          <w:iCs/>
          <w:szCs w:val="20"/>
        </w:rPr>
        <w:t xml:space="preserve">, el </w:t>
      </w:r>
      <w:r w:rsidR="003B491A" w:rsidRPr="00D51072">
        <w:rPr>
          <w:rFonts w:cs="Verdana"/>
          <w:bCs/>
          <w:iCs/>
          <w:szCs w:val="20"/>
        </w:rPr>
        <w:t>REF</w:t>
      </w:r>
      <w:r w:rsidR="00207639" w:rsidRPr="00D51072">
        <w:rPr>
          <w:rFonts w:cs="Verdana"/>
          <w:bCs/>
          <w:iCs/>
          <w:szCs w:val="20"/>
        </w:rPr>
        <w:t xml:space="preserve">, y el </w:t>
      </w:r>
      <w:r w:rsidR="00570F31">
        <w:rPr>
          <w:rFonts w:cs="Verdana"/>
          <w:bCs/>
          <w:iCs/>
          <w:szCs w:val="20"/>
        </w:rPr>
        <w:t>R</w:t>
      </w:r>
      <w:r w:rsidR="00207639" w:rsidRPr="00D51072">
        <w:rPr>
          <w:rFonts w:cs="Verdana"/>
          <w:bCs/>
          <w:iCs/>
          <w:szCs w:val="20"/>
        </w:rPr>
        <w:t>ecurso de Queja</w:t>
      </w:r>
      <w:r w:rsidRPr="00D51072">
        <w:rPr>
          <w:rFonts w:cs="Verdana"/>
          <w:bCs/>
          <w:iCs/>
          <w:szCs w:val="20"/>
        </w:rPr>
        <w:t xml:space="preserve"> </w:t>
      </w:r>
      <w:r w:rsidR="00207639" w:rsidRPr="00D51072">
        <w:rPr>
          <w:rFonts w:cs="Verdana"/>
          <w:bCs/>
          <w:iCs/>
          <w:szCs w:val="20"/>
        </w:rPr>
        <w:t xml:space="preserve">son </w:t>
      </w:r>
      <w:r w:rsidRPr="00D51072">
        <w:rPr>
          <w:rFonts w:cs="Verdana"/>
          <w:bCs/>
          <w:iCs/>
          <w:szCs w:val="20"/>
        </w:rPr>
        <w:t>inadecuado</w:t>
      </w:r>
      <w:r w:rsidR="00207639" w:rsidRPr="00D51072">
        <w:rPr>
          <w:rFonts w:cs="Verdana"/>
          <w:bCs/>
          <w:iCs/>
          <w:szCs w:val="20"/>
        </w:rPr>
        <w:t>s</w:t>
      </w:r>
      <w:r w:rsidRPr="00D51072">
        <w:rPr>
          <w:rFonts w:cs="Verdana"/>
          <w:bCs/>
          <w:iCs/>
          <w:szCs w:val="20"/>
        </w:rPr>
        <w:t xml:space="preserve"> para corregir este tipo de situaciones jurídicas en abstracto. Presentaron alegaciones relacionadas con supuestas vulneraciones en el caso concreto del señor Rico. </w:t>
      </w:r>
      <w:r w:rsidR="00207639" w:rsidRPr="00D51072">
        <w:rPr>
          <w:rFonts w:cs="Verdana"/>
          <w:bCs/>
          <w:iCs/>
          <w:szCs w:val="20"/>
        </w:rPr>
        <w:t xml:space="preserve">La Comisión reconoció que las decisiones de los Jurados de Enjuiciamiento son recurribles, pero que en el presente caso ello no se pudo concretar pues no se acreditaron violaciones al debido proceso. </w:t>
      </w:r>
      <w:r w:rsidRPr="00D51072">
        <w:rPr>
          <w:rFonts w:cs="Verdana"/>
          <w:bCs/>
          <w:iCs/>
          <w:szCs w:val="20"/>
        </w:rPr>
        <w:t xml:space="preserve">Asimismo, el Estado, a pedido de este Tribunal, presentó junto con su escrito de alegatos finales escritos, </w:t>
      </w:r>
      <w:r w:rsidRPr="00D51072">
        <w:rPr>
          <w:rFonts w:cs="Verdana"/>
          <w:bCs/>
          <w:iCs/>
          <w:szCs w:val="20"/>
        </w:rPr>
        <w:lastRenderedPageBreak/>
        <w:t>sentencias en las cuales el REF fue efectivo para recurrir decisiones de Jurados de Enjuiciamientos (</w:t>
      </w:r>
      <w:r w:rsidRPr="00D51072">
        <w:rPr>
          <w:rFonts w:cs="Verdana"/>
          <w:bCs/>
          <w:i/>
          <w:iCs/>
          <w:szCs w:val="20"/>
        </w:rPr>
        <w:t>supra</w:t>
      </w:r>
      <w:r w:rsidRPr="00D51072">
        <w:rPr>
          <w:rFonts w:cs="Verdana"/>
          <w:bCs/>
          <w:iCs/>
          <w:szCs w:val="20"/>
        </w:rPr>
        <w:t xml:space="preserve"> párr. </w:t>
      </w:r>
      <w:r w:rsidR="002C7953" w:rsidRPr="00D51072">
        <w:rPr>
          <w:rFonts w:cs="Verdana"/>
          <w:bCs/>
          <w:iCs/>
          <w:szCs w:val="20"/>
        </w:rPr>
        <w:t>24</w:t>
      </w:r>
      <w:r w:rsidRPr="00D51072">
        <w:rPr>
          <w:rFonts w:cs="Verdana"/>
          <w:bCs/>
          <w:iCs/>
          <w:szCs w:val="20"/>
        </w:rPr>
        <w:t xml:space="preserve">). En consecuencia, esta Corte no se pronunciará en abstracto sobre la idoneidad </w:t>
      </w:r>
      <w:r w:rsidR="00207639" w:rsidRPr="00D51072">
        <w:rPr>
          <w:rFonts w:cs="Verdana"/>
          <w:bCs/>
          <w:iCs/>
          <w:szCs w:val="20"/>
        </w:rPr>
        <w:t>de esos recursos</w:t>
      </w:r>
      <w:r w:rsidRPr="00D51072">
        <w:rPr>
          <w:rFonts w:cs="Verdana"/>
          <w:bCs/>
          <w:iCs/>
          <w:szCs w:val="20"/>
        </w:rPr>
        <w:t xml:space="preserve"> para recurrir ese tipo de decisiones, únicamente lo hará con respecto a las decisiones relacionadas con el señor Rico.  </w:t>
      </w:r>
    </w:p>
    <w:p w14:paraId="1A4A37FC" w14:textId="25C17907" w:rsidR="00135C5E" w:rsidRPr="00D51072" w:rsidRDefault="00F646B3" w:rsidP="003B491A">
      <w:pPr>
        <w:pStyle w:val="Prrafodelista"/>
        <w:numPr>
          <w:ilvl w:val="0"/>
          <w:numId w:val="2"/>
        </w:numPr>
        <w:spacing w:before="120" w:after="120"/>
        <w:ind w:left="0" w:firstLine="0"/>
        <w:contextualSpacing w:val="0"/>
        <w:rPr>
          <w:rFonts w:cs="Arial"/>
          <w:i/>
          <w:szCs w:val="20"/>
        </w:rPr>
      </w:pPr>
      <w:r>
        <w:rPr>
          <w:rFonts w:cs="Arial"/>
          <w:szCs w:val="20"/>
        </w:rPr>
        <w:t>E</w:t>
      </w:r>
      <w:r w:rsidR="00887142" w:rsidRPr="00D51072">
        <w:rPr>
          <w:rFonts w:cs="Arial"/>
          <w:szCs w:val="20"/>
        </w:rPr>
        <w:t xml:space="preserve">l señor Rico presentó </w:t>
      </w:r>
      <w:r w:rsidR="00FB26F7" w:rsidRPr="00D51072">
        <w:rPr>
          <w:rFonts w:cs="Arial"/>
          <w:szCs w:val="20"/>
        </w:rPr>
        <w:t>distintos recursos para impugnar la decisión en su contra por parte del Jurado de Enjuiciamiento (</w:t>
      </w:r>
      <w:r w:rsidR="00FB26F7" w:rsidRPr="00D51072">
        <w:rPr>
          <w:rFonts w:cs="Arial"/>
          <w:i/>
          <w:szCs w:val="20"/>
        </w:rPr>
        <w:t>supra</w:t>
      </w:r>
      <w:r w:rsidR="00FB26F7" w:rsidRPr="00D51072">
        <w:rPr>
          <w:rFonts w:cs="Arial"/>
          <w:szCs w:val="20"/>
        </w:rPr>
        <w:t xml:space="preserve"> párr. </w:t>
      </w:r>
      <w:r w:rsidR="002C7953" w:rsidRPr="00D51072">
        <w:rPr>
          <w:rFonts w:cs="Arial"/>
          <w:szCs w:val="20"/>
        </w:rPr>
        <w:t>33</w:t>
      </w:r>
      <w:r w:rsidR="00FB26F7" w:rsidRPr="00D51072">
        <w:rPr>
          <w:rFonts w:cs="Arial"/>
          <w:szCs w:val="20"/>
        </w:rPr>
        <w:t xml:space="preserve">). </w:t>
      </w:r>
      <w:r w:rsidR="00207639" w:rsidRPr="00D51072">
        <w:rPr>
          <w:rFonts w:cs="Times New Roman"/>
          <w:szCs w:val="20"/>
          <w:lang w:val="es-AR"/>
        </w:rPr>
        <w:t>E</w:t>
      </w:r>
      <w:r w:rsidR="00135C5E" w:rsidRPr="00D51072">
        <w:rPr>
          <w:rFonts w:cs="Times New Roman"/>
          <w:szCs w:val="20"/>
          <w:lang w:val="es-AR"/>
        </w:rPr>
        <w:t xml:space="preserve">l 6 de julio de 2000 </w:t>
      </w:r>
      <w:r w:rsidR="00207639" w:rsidRPr="00D51072">
        <w:rPr>
          <w:rFonts w:cs="Times New Roman"/>
          <w:szCs w:val="20"/>
          <w:lang w:val="es-AR"/>
        </w:rPr>
        <w:t xml:space="preserve">interpuso </w:t>
      </w:r>
      <w:r w:rsidR="00135C5E" w:rsidRPr="00D51072">
        <w:rPr>
          <w:rFonts w:cs="Times New Roman"/>
          <w:szCs w:val="20"/>
          <w:lang w:val="es-CR"/>
        </w:rPr>
        <w:t xml:space="preserve">un </w:t>
      </w:r>
      <w:r w:rsidR="0052198A">
        <w:rPr>
          <w:rFonts w:cs="Times New Roman"/>
          <w:szCs w:val="20"/>
          <w:lang w:val="es-CR"/>
        </w:rPr>
        <w:t>REN</w:t>
      </w:r>
      <w:r w:rsidR="00135C5E" w:rsidRPr="00D51072">
        <w:rPr>
          <w:rFonts w:cs="Times New Roman"/>
          <w:szCs w:val="20"/>
          <w:lang w:val="es-CR"/>
        </w:rPr>
        <w:t xml:space="preserve"> ante </w:t>
      </w:r>
      <w:r w:rsidR="00135C5E" w:rsidRPr="00D51072">
        <w:rPr>
          <w:rFonts w:cs="Arial"/>
          <w:szCs w:val="20"/>
        </w:rPr>
        <w:t xml:space="preserve">la </w:t>
      </w:r>
      <w:r w:rsidR="003B491A" w:rsidRPr="00D51072">
        <w:rPr>
          <w:rFonts w:cs="Arial"/>
          <w:szCs w:val="20"/>
        </w:rPr>
        <w:t>SCJBA</w:t>
      </w:r>
      <w:r w:rsidR="00135C5E" w:rsidRPr="00D51072">
        <w:rPr>
          <w:rFonts w:cs="Arial"/>
          <w:szCs w:val="20"/>
        </w:rPr>
        <w:t xml:space="preserve">, el 22 de </w:t>
      </w:r>
      <w:r w:rsidR="00135C5E" w:rsidRPr="00D51072">
        <w:rPr>
          <w:rFonts w:cs="Verdana"/>
          <w:bCs/>
          <w:iCs/>
          <w:szCs w:val="20"/>
        </w:rPr>
        <w:t>septiembre</w:t>
      </w:r>
      <w:r w:rsidR="00DC0DCD">
        <w:rPr>
          <w:rFonts w:cs="Arial"/>
          <w:szCs w:val="20"/>
        </w:rPr>
        <w:t xml:space="preserve"> de 2000, </w:t>
      </w:r>
      <w:r w:rsidR="00135C5E" w:rsidRPr="00D51072">
        <w:rPr>
          <w:rFonts w:cs="Arial"/>
          <w:szCs w:val="20"/>
        </w:rPr>
        <w:t xml:space="preserve">un </w:t>
      </w:r>
      <w:r w:rsidR="00933FEE" w:rsidRPr="00D51072">
        <w:rPr>
          <w:rFonts w:cs="Arial"/>
          <w:szCs w:val="20"/>
        </w:rPr>
        <w:t>Recurso Extraordinario Federal</w:t>
      </w:r>
      <w:r w:rsidR="00135C5E" w:rsidRPr="00D51072">
        <w:rPr>
          <w:rFonts w:cs="Arial"/>
          <w:szCs w:val="20"/>
        </w:rPr>
        <w:t xml:space="preserve"> ante la </w:t>
      </w:r>
      <w:r w:rsidR="003B491A" w:rsidRPr="00D51072">
        <w:rPr>
          <w:rFonts w:cs="Times New Roman"/>
          <w:szCs w:val="20"/>
          <w:lang w:val="es-AR"/>
        </w:rPr>
        <w:t>SCJBA</w:t>
      </w:r>
      <w:r w:rsidR="00135C5E" w:rsidRPr="00D51072">
        <w:rPr>
          <w:rFonts w:cs="Arial"/>
          <w:szCs w:val="20"/>
        </w:rPr>
        <w:t>, y el 7 de febrero de 2001</w:t>
      </w:r>
      <w:r w:rsidR="00DC0DCD">
        <w:rPr>
          <w:rFonts w:cs="Arial"/>
          <w:szCs w:val="20"/>
        </w:rPr>
        <w:t>,</w:t>
      </w:r>
      <w:r w:rsidR="00135C5E" w:rsidRPr="00D51072">
        <w:rPr>
          <w:rFonts w:cs="Arial"/>
          <w:szCs w:val="20"/>
        </w:rPr>
        <w:t xml:space="preserve"> un </w:t>
      </w:r>
      <w:r w:rsidR="00570F31">
        <w:rPr>
          <w:rFonts w:cs="Arial"/>
          <w:szCs w:val="20"/>
        </w:rPr>
        <w:t>R</w:t>
      </w:r>
      <w:r w:rsidR="00135C5E" w:rsidRPr="00D51072">
        <w:rPr>
          <w:rFonts w:cs="Arial"/>
          <w:szCs w:val="20"/>
        </w:rPr>
        <w:t xml:space="preserve">ecurso de Queja ante la </w:t>
      </w:r>
      <w:r w:rsidR="0012278E" w:rsidRPr="00D51072">
        <w:rPr>
          <w:rFonts w:cs="Calibri"/>
          <w:szCs w:val="20"/>
          <w:lang w:val="es-CO"/>
        </w:rPr>
        <w:t>CSJN</w:t>
      </w:r>
      <w:r w:rsidR="00135C5E" w:rsidRPr="00D51072">
        <w:rPr>
          <w:rFonts w:cs="Arial"/>
          <w:szCs w:val="20"/>
        </w:rPr>
        <w:t xml:space="preserve"> (</w:t>
      </w:r>
      <w:r w:rsidR="00135C5E" w:rsidRPr="00D51072">
        <w:rPr>
          <w:rFonts w:cs="Arial"/>
          <w:i/>
          <w:szCs w:val="20"/>
        </w:rPr>
        <w:t>supra</w:t>
      </w:r>
      <w:r w:rsidR="00135C5E" w:rsidRPr="00D51072">
        <w:rPr>
          <w:rFonts w:cs="Arial"/>
          <w:szCs w:val="20"/>
        </w:rPr>
        <w:t xml:space="preserve"> párr</w:t>
      </w:r>
      <w:r>
        <w:rPr>
          <w:rFonts w:cs="Arial"/>
          <w:szCs w:val="20"/>
        </w:rPr>
        <w:t>s</w:t>
      </w:r>
      <w:r w:rsidR="00135C5E" w:rsidRPr="00D51072">
        <w:rPr>
          <w:rFonts w:cs="Arial"/>
          <w:szCs w:val="20"/>
        </w:rPr>
        <w:t xml:space="preserve">. </w:t>
      </w:r>
      <w:r>
        <w:rPr>
          <w:rFonts w:cs="Arial"/>
          <w:szCs w:val="20"/>
        </w:rPr>
        <w:t xml:space="preserve">34 a </w:t>
      </w:r>
      <w:r w:rsidR="002C7953" w:rsidRPr="00D51072">
        <w:rPr>
          <w:rFonts w:cs="Arial"/>
          <w:szCs w:val="20"/>
        </w:rPr>
        <w:t>38</w:t>
      </w:r>
      <w:r w:rsidR="00135C5E" w:rsidRPr="00D51072">
        <w:rPr>
          <w:rFonts w:cs="Arial"/>
          <w:szCs w:val="20"/>
        </w:rPr>
        <w:t>).</w:t>
      </w:r>
    </w:p>
    <w:p w14:paraId="6485808D" w14:textId="4EF305E2" w:rsidR="00135C5E" w:rsidRPr="00D51072" w:rsidRDefault="00135C5E" w:rsidP="00A47111">
      <w:pPr>
        <w:pStyle w:val="Estilo1"/>
        <w:numPr>
          <w:ilvl w:val="0"/>
          <w:numId w:val="2"/>
        </w:numPr>
        <w:tabs>
          <w:tab w:val="left" w:pos="0"/>
          <w:tab w:val="left" w:pos="567"/>
          <w:tab w:val="left" w:pos="1134"/>
        </w:tabs>
        <w:spacing w:before="120"/>
        <w:ind w:left="0" w:right="-6" w:firstLine="0"/>
        <w:rPr>
          <w:rFonts w:cs="Arial"/>
          <w:i w:val="0"/>
          <w:szCs w:val="20"/>
        </w:rPr>
      </w:pPr>
      <w:r w:rsidRPr="00D51072">
        <w:rPr>
          <w:rFonts w:cs="Arial"/>
          <w:i w:val="0"/>
          <w:szCs w:val="20"/>
        </w:rPr>
        <w:t xml:space="preserve">En el primer recurso, el señor Rico </w:t>
      </w:r>
      <w:r w:rsidRPr="00D51072">
        <w:rPr>
          <w:rFonts w:cs="Times New Roman"/>
          <w:i w:val="0"/>
          <w:szCs w:val="20"/>
          <w:lang w:val="es-AR"/>
        </w:rPr>
        <w:t xml:space="preserve">argumentó que se afectó el principio de legalidad y el debido proceso al forzar el encuadre de los hechos en los tipos previstos en </w:t>
      </w:r>
      <w:r w:rsidRPr="00D51072">
        <w:rPr>
          <w:rFonts w:cs="Times New Roman"/>
          <w:i w:val="0"/>
          <w:szCs w:val="20"/>
          <w:lang w:val="es-VE"/>
        </w:rPr>
        <w:t xml:space="preserve">la Ley </w:t>
      </w:r>
      <w:r w:rsidRPr="00D51072">
        <w:rPr>
          <w:rFonts w:cs="Times New Roman"/>
          <w:i w:val="0"/>
          <w:szCs w:val="20"/>
          <w:lang w:val="es-CR"/>
        </w:rPr>
        <w:t>8085;</w:t>
      </w:r>
      <w:r w:rsidR="00A47111" w:rsidRPr="00D51072">
        <w:rPr>
          <w:rFonts w:cs="Times New Roman"/>
          <w:i w:val="0"/>
          <w:szCs w:val="20"/>
          <w:lang w:val="es-CR"/>
        </w:rPr>
        <w:t xml:space="preserve"> y</w:t>
      </w:r>
      <w:r w:rsidRPr="00D51072">
        <w:rPr>
          <w:rFonts w:cs="Times New Roman"/>
          <w:i w:val="0"/>
          <w:szCs w:val="20"/>
          <w:lang w:val="es-CR"/>
        </w:rPr>
        <w:t xml:space="preserve"> la inconstitucionalidad de la sanción de inhabilitación para ocupar otro cargo judicial y la denegación de los testimonios. En el segundo recurso reiteró que la decisión del Jurado de Enjuiciamiento afectó el debido proceso y se refirió a </w:t>
      </w:r>
      <w:r w:rsidR="00A47111" w:rsidRPr="00D51072">
        <w:rPr>
          <w:rFonts w:cs="Times New Roman"/>
          <w:i w:val="0"/>
          <w:szCs w:val="20"/>
          <w:lang w:val="es-CR"/>
        </w:rPr>
        <w:t xml:space="preserve">la inconstitucionalidad del artículo 45 de la </w:t>
      </w:r>
      <w:r w:rsidR="00077B3C" w:rsidRPr="00D51072">
        <w:rPr>
          <w:rFonts w:cs="Times New Roman"/>
          <w:i w:val="0"/>
          <w:szCs w:val="20"/>
          <w:lang w:val="es-CR"/>
        </w:rPr>
        <w:t>L</w:t>
      </w:r>
      <w:r w:rsidR="00A47111" w:rsidRPr="00D51072">
        <w:rPr>
          <w:rFonts w:cs="Times New Roman"/>
          <w:i w:val="0"/>
          <w:szCs w:val="20"/>
          <w:lang w:val="es-CR"/>
        </w:rPr>
        <w:t xml:space="preserve">ey 8085 que deniega la posibilidad de revisión de los fallos de los jurados de enjuiciamiento. En el tercer recurso ante la </w:t>
      </w:r>
      <w:r w:rsidR="0012278E" w:rsidRPr="00D51072">
        <w:rPr>
          <w:rFonts w:cs="Calibri"/>
          <w:i w:val="0"/>
          <w:szCs w:val="20"/>
          <w:lang w:val="es-CO"/>
        </w:rPr>
        <w:t>CSJN</w:t>
      </w:r>
      <w:r w:rsidR="00A47111" w:rsidRPr="00D51072">
        <w:rPr>
          <w:rFonts w:cs="Times New Roman"/>
          <w:i w:val="0"/>
          <w:szCs w:val="20"/>
          <w:lang w:val="es-CR"/>
        </w:rPr>
        <w:t xml:space="preserve">, el señor Rico indicó que </w:t>
      </w:r>
      <w:r w:rsidR="003B491A" w:rsidRPr="00D51072">
        <w:rPr>
          <w:rFonts w:cs="Times New Roman"/>
          <w:i w:val="0"/>
          <w:szCs w:val="20"/>
          <w:lang w:val="es-AR"/>
        </w:rPr>
        <w:t>SCJBA</w:t>
      </w:r>
      <w:r w:rsidR="00A47111" w:rsidRPr="00D51072">
        <w:rPr>
          <w:rFonts w:cs="Times New Roman"/>
          <w:i w:val="0"/>
          <w:szCs w:val="20"/>
          <w:lang w:val="es-CR"/>
        </w:rPr>
        <w:t xml:space="preserve"> cometió una violación al declarar en la denegatoria del recurso extraordinario que las decisiones del Jurado de Enjuiciamiento son irrecurribles. Asimismo, reiteró su pedido de inconstitucionalidad del artículo 45 de la Ley 8085 y reiteró que sufrió una serie de violaciones al debido proceso, como la denegación de recepción de prueba de descargo.</w:t>
      </w:r>
    </w:p>
    <w:p w14:paraId="4F8CADE2" w14:textId="7F9C2F75" w:rsidR="0034406B" w:rsidRPr="00D51072" w:rsidRDefault="00A47111" w:rsidP="00EA08BD">
      <w:pPr>
        <w:pStyle w:val="Prrafodelista"/>
        <w:numPr>
          <w:ilvl w:val="0"/>
          <w:numId w:val="2"/>
        </w:numPr>
        <w:spacing w:before="120" w:after="120"/>
        <w:ind w:left="0" w:firstLine="0"/>
        <w:contextualSpacing w:val="0"/>
        <w:rPr>
          <w:szCs w:val="20"/>
        </w:rPr>
      </w:pPr>
      <w:r w:rsidRPr="00D51072">
        <w:rPr>
          <w:rFonts w:cs="Times New Roman"/>
          <w:szCs w:val="20"/>
          <w:lang w:val="es-CR"/>
        </w:rPr>
        <w:t>A su vez, e</w:t>
      </w:r>
      <w:r w:rsidR="00135C5E" w:rsidRPr="00D51072">
        <w:rPr>
          <w:rFonts w:cs="Times New Roman"/>
          <w:szCs w:val="20"/>
          <w:lang w:val="es-CR"/>
        </w:rPr>
        <w:t xml:space="preserve">l 30 de agosto de 2000 la </w:t>
      </w:r>
      <w:r w:rsidR="00933FEE" w:rsidRPr="00D51072">
        <w:rPr>
          <w:rFonts w:cs="Times New Roman"/>
          <w:szCs w:val="20"/>
          <w:lang w:val="es-AR"/>
        </w:rPr>
        <w:t>SCJBA</w:t>
      </w:r>
      <w:r w:rsidR="00135C5E" w:rsidRPr="00D51072">
        <w:rPr>
          <w:rFonts w:cs="Times New Roman"/>
          <w:szCs w:val="20"/>
          <w:lang w:val="es-CR"/>
        </w:rPr>
        <w:t xml:space="preserve"> desestimó el recurso interpuesto, argumentando que el Jurado creado por el artículo 182 de dicha Constitución para el enjuiciamiento de magistrados no constituye un tribunal judicial ordinario de grado inferior a la Suprema Corte, sino un órgano especial e independiente que ejerce atribuciones de carácter político atinente a la responsabilidad de quienes están sometidos al mismo, que escapa al contralor judicial</w:t>
      </w:r>
      <w:r w:rsidRPr="00D51072">
        <w:rPr>
          <w:rFonts w:cs="Times New Roman"/>
          <w:szCs w:val="20"/>
          <w:lang w:val="es-CR"/>
        </w:rPr>
        <w:t xml:space="preserve">. Por otra parte, </w:t>
      </w:r>
      <w:r w:rsidRPr="00D51072">
        <w:rPr>
          <w:rFonts w:cs="Times New Roman"/>
          <w:szCs w:val="20"/>
          <w:lang w:val="es-AR"/>
        </w:rPr>
        <w:t>e</w:t>
      </w:r>
      <w:r w:rsidR="00135C5E" w:rsidRPr="00D51072">
        <w:rPr>
          <w:rFonts w:cs="Times New Roman"/>
          <w:szCs w:val="20"/>
          <w:lang w:val="es-AR"/>
        </w:rPr>
        <w:t xml:space="preserve">l 29 de noviembre de 2000, la </w:t>
      </w:r>
      <w:r w:rsidR="00933FEE" w:rsidRPr="00D51072">
        <w:rPr>
          <w:rFonts w:cs="Times New Roman"/>
          <w:szCs w:val="20"/>
          <w:lang w:val="es-AR"/>
        </w:rPr>
        <w:t>SCJBA</w:t>
      </w:r>
      <w:r w:rsidR="00135C5E" w:rsidRPr="00D51072">
        <w:rPr>
          <w:rFonts w:cs="Times New Roman"/>
          <w:szCs w:val="20"/>
          <w:lang w:val="es-AR"/>
        </w:rPr>
        <w:t xml:space="preserve"> denegó el recurso federal interpuesto en todos sus extremos, sosteniendo que el recurso no reunía los recaudos mínimos exigidos. Indicó en particular que “</w:t>
      </w:r>
      <w:r w:rsidR="00135C5E" w:rsidRPr="00D51072">
        <w:rPr>
          <w:szCs w:val="20"/>
        </w:rPr>
        <w:t>s</w:t>
      </w:r>
      <w:r w:rsidR="00B7392F">
        <w:rPr>
          <w:szCs w:val="20"/>
        </w:rPr>
        <w:t>o</w:t>
      </w:r>
      <w:r w:rsidR="00135C5E" w:rsidRPr="00D51072">
        <w:rPr>
          <w:szCs w:val="20"/>
        </w:rPr>
        <w:t xml:space="preserve">lo trasuntan su personal discrepancia con los del tribunal sentenciante”. </w:t>
      </w:r>
      <w:r w:rsidR="00570F31">
        <w:rPr>
          <w:szCs w:val="20"/>
        </w:rPr>
        <w:t xml:space="preserve">Sobre </w:t>
      </w:r>
      <w:r w:rsidR="00135C5E" w:rsidRPr="00D51072">
        <w:rPr>
          <w:rFonts w:cs="Times New Roman"/>
          <w:szCs w:val="20"/>
          <w:lang w:val="es-AR"/>
        </w:rPr>
        <w:t>la inconstitucionalidad, encontró que la misma no se había alegado en el recurso de nulidad planteado con anterioridad</w:t>
      </w:r>
      <w:r w:rsidR="00135C5E" w:rsidRPr="00D51072">
        <w:rPr>
          <w:szCs w:val="20"/>
        </w:rPr>
        <w:t>.</w:t>
      </w:r>
      <w:r w:rsidRPr="00D51072">
        <w:rPr>
          <w:szCs w:val="20"/>
        </w:rPr>
        <w:t xml:space="preserve"> </w:t>
      </w:r>
    </w:p>
    <w:p w14:paraId="6C8C839A" w14:textId="286E0FE1" w:rsidR="00135C5E" w:rsidRPr="00D51072" w:rsidRDefault="003E3E9B" w:rsidP="00EA08BD">
      <w:pPr>
        <w:pStyle w:val="Prrafodelista"/>
        <w:numPr>
          <w:ilvl w:val="0"/>
          <w:numId w:val="2"/>
        </w:numPr>
        <w:spacing w:before="120" w:after="120"/>
        <w:ind w:left="0" w:firstLine="0"/>
        <w:contextualSpacing w:val="0"/>
        <w:rPr>
          <w:szCs w:val="20"/>
        </w:rPr>
      </w:pPr>
      <w:r>
        <w:rPr>
          <w:szCs w:val="20"/>
        </w:rPr>
        <w:t>C</w:t>
      </w:r>
      <w:r w:rsidR="00A47111" w:rsidRPr="00D51072">
        <w:rPr>
          <w:szCs w:val="20"/>
        </w:rPr>
        <w:t xml:space="preserve">on respecto al </w:t>
      </w:r>
      <w:r w:rsidR="00570F31">
        <w:rPr>
          <w:szCs w:val="20"/>
        </w:rPr>
        <w:t>R</w:t>
      </w:r>
      <w:r w:rsidR="00A47111" w:rsidRPr="00D51072">
        <w:rPr>
          <w:szCs w:val="20"/>
        </w:rPr>
        <w:t xml:space="preserve">ecurso de </w:t>
      </w:r>
      <w:r w:rsidR="0034406B" w:rsidRPr="00D51072">
        <w:rPr>
          <w:szCs w:val="20"/>
        </w:rPr>
        <w:t>Q</w:t>
      </w:r>
      <w:r w:rsidR="00A47111" w:rsidRPr="00D51072">
        <w:rPr>
          <w:szCs w:val="20"/>
        </w:rPr>
        <w:t xml:space="preserve">ueja </w:t>
      </w:r>
      <w:r w:rsidR="0034406B" w:rsidRPr="00D51072">
        <w:rPr>
          <w:szCs w:val="20"/>
        </w:rPr>
        <w:t xml:space="preserve">ante la </w:t>
      </w:r>
      <w:r w:rsidR="0012278E" w:rsidRPr="00D51072">
        <w:rPr>
          <w:rFonts w:cs="Calibri"/>
          <w:szCs w:val="20"/>
          <w:lang w:val="es-CO"/>
        </w:rPr>
        <w:t>CSJN</w:t>
      </w:r>
      <w:r w:rsidR="0034406B" w:rsidRPr="00D51072">
        <w:rPr>
          <w:szCs w:val="20"/>
        </w:rPr>
        <w:t xml:space="preserve">, el mismo fue desestimado </w:t>
      </w:r>
      <w:r w:rsidR="0034406B" w:rsidRPr="00D51072">
        <w:rPr>
          <w:rFonts w:cs="Times New Roman"/>
          <w:bCs/>
          <w:szCs w:val="20"/>
          <w:lang w:val="es-AR"/>
        </w:rPr>
        <w:t xml:space="preserve">argumentando </w:t>
      </w:r>
      <w:r w:rsidR="0034406B" w:rsidRPr="00D51072">
        <w:rPr>
          <w:rFonts w:cs="Times New Roman"/>
          <w:bCs/>
          <w:szCs w:val="20"/>
          <w:lang w:val="es-CO"/>
        </w:rPr>
        <w:t xml:space="preserve">que el recurrente no había acreditado la violación del artículo 18 de la Constitución. En lo que respecta el pedido de inconstitucionalidad, la Corte reiteró que </w:t>
      </w:r>
      <w:r>
        <w:rPr>
          <w:rFonts w:cs="Times New Roman"/>
          <w:bCs/>
          <w:szCs w:val="20"/>
          <w:lang w:val="es-CO"/>
        </w:rPr>
        <w:t>se</w:t>
      </w:r>
      <w:r w:rsidR="0034406B" w:rsidRPr="00D51072">
        <w:rPr>
          <w:rFonts w:cs="Times New Roman"/>
          <w:bCs/>
          <w:szCs w:val="20"/>
          <w:lang w:val="es-CO"/>
        </w:rPr>
        <w:t xml:space="preserve"> había omitido formular tal inconstitucionalidad en el </w:t>
      </w:r>
      <w:r w:rsidR="005D6B16">
        <w:rPr>
          <w:rFonts w:cs="Times New Roman"/>
          <w:bCs/>
          <w:szCs w:val="20"/>
          <w:lang w:val="es-CO"/>
        </w:rPr>
        <w:t>REN</w:t>
      </w:r>
      <w:r w:rsidR="0034406B" w:rsidRPr="00D51072">
        <w:rPr>
          <w:rFonts w:cs="Times New Roman"/>
          <w:bCs/>
          <w:szCs w:val="20"/>
          <w:lang w:val="es-CO"/>
        </w:rPr>
        <w:t>. En consecuencia</w:t>
      </w:r>
      <w:r w:rsidR="00A5457E">
        <w:rPr>
          <w:rFonts w:cs="Times New Roman"/>
          <w:bCs/>
          <w:szCs w:val="20"/>
          <w:lang w:val="es-CO"/>
        </w:rPr>
        <w:t>,</w:t>
      </w:r>
      <w:r w:rsidR="0034406B" w:rsidRPr="00D51072">
        <w:rPr>
          <w:rFonts w:cs="Times New Roman"/>
          <w:bCs/>
          <w:szCs w:val="20"/>
          <w:lang w:val="es-CO"/>
        </w:rPr>
        <w:t xml:space="preserve"> estimó que la “cuestión federal es tardía en la medida en que el agravio que se invoca obedece a la conducta discrecional del recurrente”. </w:t>
      </w:r>
      <w:r w:rsidR="0034406B" w:rsidRPr="00D51072">
        <w:rPr>
          <w:rFonts w:cs="Times New Roman"/>
          <w:bCs/>
          <w:szCs w:val="20"/>
          <w:lang w:val="es-AR"/>
        </w:rPr>
        <w:t>Sobre los alegatos relacionados con los agravios causados por la valorac</w:t>
      </w:r>
      <w:r w:rsidR="004503D8" w:rsidRPr="00D51072">
        <w:rPr>
          <w:rFonts w:cs="Times New Roman"/>
          <w:bCs/>
          <w:szCs w:val="20"/>
          <w:lang w:val="es-AR"/>
        </w:rPr>
        <w:t>ión de la prueba por parte del J</w:t>
      </w:r>
      <w:r w:rsidR="0034406B" w:rsidRPr="00D51072">
        <w:rPr>
          <w:rFonts w:cs="Times New Roman"/>
          <w:bCs/>
          <w:szCs w:val="20"/>
          <w:lang w:val="es-AR"/>
        </w:rPr>
        <w:t xml:space="preserve">urado de </w:t>
      </w:r>
      <w:r w:rsidR="004503D8" w:rsidRPr="00D51072">
        <w:rPr>
          <w:rFonts w:cs="Times New Roman"/>
          <w:bCs/>
          <w:szCs w:val="20"/>
          <w:lang w:val="es-AR"/>
        </w:rPr>
        <w:t>E</w:t>
      </w:r>
      <w:r w:rsidR="0034406B" w:rsidRPr="00D51072">
        <w:rPr>
          <w:rFonts w:cs="Times New Roman"/>
          <w:bCs/>
          <w:szCs w:val="20"/>
          <w:lang w:val="es-AR"/>
        </w:rPr>
        <w:t>njuiciamiento, se refirió a la “naturaleza procesal y local de la cuestión planteada y la falta de demostración nítida, inequívoca y concluyente del menoscabo de las garantías constitucionales”.</w:t>
      </w:r>
    </w:p>
    <w:p w14:paraId="4EF1710B" w14:textId="0EA51CE4" w:rsidR="0034406B" w:rsidRPr="00D51072" w:rsidRDefault="0034406B" w:rsidP="00EA08BD">
      <w:pPr>
        <w:pStyle w:val="Prrafodelista"/>
        <w:numPr>
          <w:ilvl w:val="0"/>
          <w:numId w:val="2"/>
        </w:numPr>
        <w:spacing w:before="120" w:after="120"/>
        <w:ind w:left="0" w:firstLine="0"/>
        <w:contextualSpacing w:val="0"/>
        <w:rPr>
          <w:szCs w:val="20"/>
        </w:rPr>
      </w:pPr>
      <w:r w:rsidRPr="00D51072">
        <w:rPr>
          <w:rFonts w:cs="Times New Roman"/>
          <w:bCs/>
          <w:szCs w:val="20"/>
          <w:lang w:val="es-AR"/>
        </w:rPr>
        <w:t>En cuanto a lo anterior, la Corte constata que el señor Rico planteó alegatos de inconstitucionalidad diferentes en los recursos de Nulidad Extraordinario y Extraordinario Federal. En el primero</w:t>
      </w:r>
      <w:r w:rsidR="00A5457E">
        <w:rPr>
          <w:rFonts w:cs="Times New Roman"/>
          <w:bCs/>
          <w:szCs w:val="20"/>
          <w:lang w:val="es-AR"/>
        </w:rPr>
        <w:t>,</w:t>
      </w:r>
      <w:r w:rsidRPr="00D51072">
        <w:rPr>
          <w:rFonts w:cs="Times New Roman"/>
          <w:bCs/>
          <w:szCs w:val="20"/>
          <w:lang w:val="es-AR"/>
        </w:rPr>
        <w:t xml:space="preserve"> se refirió a la inconstitucionalidad de la sanción de inhabilitación que le fuera aplicada mientras que en el segundo</w:t>
      </w:r>
      <w:r w:rsidR="00A5457E">
        <w:rPr>
          <w:rFonts w:cs="Times New Roman"/>
          <w:bCs/>
          <w:szCs w:val="20"/>
          <w:lang w:val="es-AR"/>
        </w:rPr>
        <w:t>,</w:t>
      </w:r>
      <w:r w:rsidRPr="00D51072">
        <w:rPr>
          <w:rFonts w:cs="Times New Roman"/>
          <w:bCs/>
          <w:szCs w:val="20"/>
          <w:lang w:val="es-AR"/>
        </w:rPr>
        <w:t xml:space="preserve"> únicamente se refiere a la inconstitucionalidad </w:t>
      </w:r>
      <w:r w:rsidR="002D6FC7" w:rsidRPr="00D51072">
        <w:rPr>
          <w:rFonts w:cs="Times New Roman"/>
          <w:bCs/>
          <w:szCs w:val="20"/>
          <w:lang w:val="es-AR"/>
        </w:rPr>
        <w:t>de la irrecurribilidad de las decisiones de los Jurados de Enjuiciamiento establecida en la Ley 8085</w:t>
      </w:r>
      <w:r w:rsidRPr="00D51072">
        <w:rPr>
          <w:rFonts w:cs="Times New Roman"/>
          <w:bCs/>
          <w:szCs w:val="20"/>
          <w:lang w:val="es-AR"/>
        </w:rPr>
        <w:t xml:space="preserve">. En consecuencia, las consideraciones de </w:t>
      </w:r>
      <w:r w:rsidR="007F5C05" w:rsidRPr="00D51072">
        <w:rPr>
          <w:rFonts w:cs="Times New Roman"/>
          <w:bCs/>
          <w:szCs w:val="20"/>
          <w:lang w:val="es-AR"/>
        </w:rPr>
        <w:t xml:space="preserve">la </w:t>
      </w:r>
      <w:r w:rsidR="0012278E" w:rsidRPr="00D51072">
        <w:rPr>
          <w:rFonts w:cs="Times New Roman"/>
          <w:bCs/>
          <w:szCs w:val="20"/>
          <w:lang w:val="es-AR"/>
        </w:rPr>
        <w:t>SCJBA</w:t>
      </w:r>
      <w:r w:rsidRPr="00D51072">
        <w:rPr>
          <w:rFonts w:cs="Times New Roman"/>
          <w:bCs/>
          <w:szCs w:val="20"/>
          <w:lang w:val="es-AR"/>
        </w:rPr>
        <w:t xml:space="preserve"> y de la </w:t>
      </w:r>
      <w:r w:rsidR="007F5C05" w:rsidRPr="00D51072">
        <w:rPr>
          <w:rFonts w:cs="Calibri"/>
          <w:szCs w:val="20"/>
          <w:lang w:val="es-CO"/>
        </w:rPr>
        <w:t>CSJN</w:t>
      </w:r>
      <w:r w:rsidRPr="00D51072">
        <w:rPr>
          <w:rFonts w:cs="Times New Roman"/>
          <w:bCs/>
          <w:szCs w:val="20"/>
          <w:lang w:val="es-AR"/>
        </w:rPr>
        <w:t xml:space="preserve"> sobre la falta de consistencia de ese alegato sobre los dos cargos de inconstitucionalidad diferentes que fueron presentados en esos recursos resultan acordes con lo ocurrido.</w:t>
      </w:r>
    </w:p>
    <w:p w14:paraId="7E8F1AF6" w14:textId="58FFB6E5" w:rsidR="00386182" w:rsidRPr="00386182" w:rsidRDefault="00E14CB8" w:rsidP="00EA08BD">
      <w:pPr>
        <w:pStyle w:val="Prrafodelista"/>
        <w:numPr>
          <w:ilvl w:val="0"/>
          <w:numId w:val="2"/>
        </w:numPr>
        <w:spacing w:before="120" w:after="120"/>
        <w:ind w:left="0" w:firstLine="0"/>
        <w:contextualSpacing w:val="0"/>
        <w:rPr>
          <w:szCs w:val="20"/>
        </w:rPr>
      </w:pPr>
      <w:r w:rsidRPr="00D51072">
        <w:rPr>
          <w:rFonts w:cs="Times New Roman"/>
          <w:bCs/>
          <w:szCs w:val="20"/>
          <w:lang w:val="es-AR"/>
        </w:rPr>
        <w:t xml:space="preserve">Sobre ese punto, ya se indicó que </w:t>
      </w:r>
      <w:r w:rsidRPr="00D51072">
        <w:rPr>
          <w:rFonts w:cs="Calibri"/>
          <w:szCs w:val="20"/>
          <w:lang w:val="es-CR"/>
        </w:rPr>
        <w:t xml:space="preserve">de conformidad con la jurisprudencia de la </w:t>
      </w:r>
      <w:r w:rsidR="007F5C05" w:rsidRPr="00D51072">
        <w:rPr>
          <w:rFonts w:cs="Calibri"/>
          <w:szCs w:val="20"/>
          <w:lang w:val="es-CO"/>
        </w:rPr>
        <w:t>CSJN</w:t>
      </w:r>
      <w:r w:rsidRPr="00D51072">
        <w:rPr>
          <w:rFonts w:cs="Calibri"/>
          <w:szCs w:val="20"/>
          <w:lang w:val="es-CR"/>
        </w:rPr>
        <w:t xml:space="preserve">, “las decisiones en materia de los llamados juicios políticos o enjuiciamientos de magistrados en la esfera provincial, dictados por órganos ajenos a los poderes locales, configuran una cuestión justiciable cuando se invoca por parte interesada la violación del debido proceso” y </w:t>
      </w:r>
      <w:r w:rsidRPr="00D51072">
        <w:rPr>
          <w:rFonts w:cs="Calibri"/>
          <w:szCs w:val="20"/>
          <w:lang w:val="es-CR"/>
        </w:rPr>
        <w:lastRenderedPageBreak/>
        <w:t>que “tales decisiones no escapan a la revisión judicial por dichos poderes ni a la posterior intervención de la Corte por vía del recurso extraordinario”</w:t>
      </w:r>
      <w:r w:rsidR="005D6B16">
        <w:rPr>
          <w:rFonts w:cs="Calibri"/>
          <w:szCs w:val="20"/>
          <w:lang w:val="es-CR"/>
        </w:rPr>
        <w:t xml:space="preserve"> </w:t>
      </w:r>
      <w:r w:rsidR="005D6B16" w:rsidRPr="00D51072">
        <w:rPr>
          <w:rFonts w:cs="Calibri"/>
          <w:szCs w:val="20"/>
          <w:lang w:val="es-CO"/>
        </w:rPr>
        <w:t>(</w:t>
      </w:r>
      <w:r w:rsidR="005D6B16" w:rsidRPr="00D51072">
        <w:rPr>
          <w:rFonts w:cs="Calibri"/>
          <w:i/>
          <w:szCs w:val="20"/>
          <w:lang w:val="es-CO"/>
        </w:rPr>
        <w:t>supra</w:t>
      </w:r>
      <w:r w:rsidR="005D6B16" w:rsidRPr="00D51072">
        <w:rPr>
          <w:rFonts w:cs="Calibri"/>
          <w:szCs w:val="20"/>
          <w:lang w:val="es-CO"/>
        </w:rPr>
        <w:t xml:space="preserve"> párr. 17)</w:t>
      </w:r>
      <w:r w:rsidRPr="00D51072">
        <w:rPr>
          <w:rFonts w:cs="Calibri"/>
          <w:szCs w:val="20"/>
          <w:lang w:val="es-CR"/>
        </w:rPr>
        <w:t xml:space="preserve">. </w:t>
      </w:r>
    </w:p>
    <w:p w14:paraId="34680A2F" w14:textId="740657EA" w:rsidR="00E14CB8" w:rsidRPr="00D51072" w:rsidRDefault="00E14CB8" w:rsidP="00EA08BD">
      <w:pPr>
        <w:pStyle w:val="Prrafodelista"/>
        <w:numPr>
          <w:ilvl w:val="0"/>
          <w:numId w:val="2"/>
        </w:numPr>
        <w:spacing w:before="120" w:after="120"/>
        <w:ind w:left="0" w:firstLine="0"/>
        <w:contextualSpacing w:val="0"/>
        <w:rPr>
          <w:szCs w:val="20"/>
        </w:rPr>
      </w:pPr>
      <w:r w:rsidRPr="00D51072">
        <w:rPr>
          <w:rFonts w:cs="Calibri"/>
          <w:szCs w:val="20"/>
          <w:lang w:val="es-CR"/>
        </w:rPr>
        <w:t xml:space="preserve">A su vez, </w:t>
      </w:r>
      <w:r w:rsidR="00F646B3">
        <w:rPr>
          <w:rFonts w:cs="Calibri"/>
          <w:szCs w:val="20"/>
          <w:lang w:val="es-CR"/>
        </w:rPr>
        <w:t xml:space="preserve">la </w:t>
      </w:r>
      <w:r w:rsidR="007F5C05" w:rsidRPr="00D51072">
        <w:rPr>
          <w:rFonts w:cs="Calibri"/>
          <w:szCs w:val="20"/>
          <w:lang w:val="es-CO"/>
        </w:rPr>
        <w:t>CSJN</w:t>
      </w:r>
      <w:r w:rsidRPr="00D51072">
        <w:rPr>
          <w:rFonts w:cs="Calibri"/>
          <w:szCs w:val="20"/>
          <w:lang w:val="es-CR"/>
        </w:rPr>
        <w:t xml:space="preserve"> sostuvo que </w:t>
      </w:r>
      <w:r w:rsidRPr="00D51072">
        <w:rPr>
          <w:rFonts w:cs="Calibri"/>
          <w:szCs w:val="20"/>
          <w:lang w:val="es-CO"/>
        </w:rPr>
        <w:t>“quien pretenda el ejercicio de aquel escrutinio deberá demostrar en forma nítida, inequívoca y concluyente, con flagrancia, un grave menoscabo a las reglas del debido proceso y a la garantía del debido proceso y a la garantía de defensa en juicio que, asimismo, exhiba relevancia bastante para variar la suerte de la causa en función de la directa e inmediata relación que debe tener la cuestión federal invocada con la materia del juicio” (</w:t>
      </w:r>
      <w:r w:rsidRPr="00D51072">
        <w:rPr>
          <w:rFonts w:cs="Calibri"/>
          <w:i/>
          <w:szCs w:val="20"/>
          <w:lang w:val="es-CO"/>
        </w:rPr>
        <w:t>supra</w:t>
      </w:r>
      <w:r w:rsidRPr="00D51072">
        <w:rPr>
          <w:rFonts w:cs="Calibri"/>
          <w:szCs w:val="20"/>
          <w:lang w:val="es-CO"/>
        </w:rPr>
        <w:t xml:space="preserve"> párr. </w:t>
      </w:r>
      <w:r w:rsidR="002C7953" w:rsidRPr="00D51072">
        <w:rPr>
          <w:rFonts w:cs="Calibri"/>
          <w:szCs w:val="20"/>
          <w:lang w:val="es-CO"/>
        </w:rPr>
        <w:t>17</w:t>
      </w:r>
      <w:r w:rsidRPr="00D51072">
        <w:rPr>
          <w:rFonts w:cs="Calibri"/>
          <w:szCs w:val="20"/>
          <w:lang w:val="es-CO"/>
        </w:rPr>
        <w:t>).</w:t>
      </w:r>
    </w:p>
    <w:p w14:paraId="42873BE1" w14:textId="36861943" w:rsidR="00E14CB8" w:rsidRPr="00D51072" w:rsidRDefault="00E14CB8" w:rsidP="007A447E">
      <w:pPr>
        <w:pStyle w:val="Prrafodelista"/>
        <w:numPr>
          <w:ilvl w:val="0"/>
          <w:numId w:val="2"/>
        </w:numPr>
        <w:spacing w:before="120" w:after="120"/>
        <w:ind w:left="0" w:firstLine="0"/>
        <w:contextualSpacing w:val="0"/>
        <w:rPr>
          <w:rFonts w:cs="Calibri"/>
          <w:szCs w:val="20"/>
          <w:lang w:val="es-CR"/>
        </w:rPr>
      </w:pPr>
      <w:r w:rsidRPr="00D51072">
        <w:rPr>
          <w:rFonts w:cs="Calibri"/>
          <w:szCs w:val="20"/>
          <w:lang w:val="es-CR"/>
        </w:rPr>
        <w:t xml:space="preserve">En el presente caso, la </w:t>
      </w:r>
      <w:r w:rsidR="00933FEE" w:rsidRPr="00D51072">
        <w:rPr>
          <w:rFonts w:cs="Times New Roman"/>
          <w:szCs w:val="20"/>
          <w:lang w:val="es-AR"/>
        </w:rPr>
        <w:t>SCJBA</w:t>
      </w:r>
      <w:r w:rsidRPr="00D51072">
        <w:rPr>
          <w:rFonts w:cs="Calibri"/>
          <w:szCs w:val="20"/>
          <w:lang w:val="es-CR"/>
        </w:rPr>
        <w:t xml:space="preserve"> indicó en su decisión mediante la cual rechazó el REF incoado por el señor Rico que </w:t>
      </w:r>
      <w:r w:rsidR="004E786C" w:rsidRPr="00D51072">
        <w:rPr>
          <w:rFonts w:cs="Calibri"/>
          <w:szCs w:val="20"/>
          <w:lang w:val="es-CR"/>
        </w:rPr>
        <w:t xml:space="preserve">la apelación no reúne los recaudos mínimos que “en orden a una adecuada fundamentación exige el artículo 15 de la </w:t>
      </w:r>
      <w:r w:rsidR="00130397" w:rsidRPr="00D51072">
        <w:rPr>
          <w:rFonts w:cs="Calibri"/>
          <w:szCs w:val="20"/>
          <w:lang w:val="es-CR"/>
        </w:rPr>
        <w:t>L</w:t>
      </w:r>
      <w:r w:rsidR="004E786C" w:rsidRPr="00D51072">
        <w:rPr>
          <w:rFonts w:cs="Calibri"/>
          <w:szCs w:val="20"/>
          <w:lang w:val="es-CR"/>
        </w:rPr>
        <w:t>ey 48 desde que los argumentos del recurrente sólo trasuntan su personal discrepancia con los del tribunal sentenciante</w:t>
      </w:r>
      <w:r w:rsidR="005D6B16">
        <w:rPr>
          <w:rFonts w:cs="Calibri"/>
          <w:szCs w:val="20"/>
          <w:lang w:val="es-CR"/>
        </w:rPr>
        <w:t>”</w:t>
      </w:r>
      <w:r w:rsidR="00386182">
        <w:rPr>
          <w:rFonts w:cs="Calibri"/>
          <w:szCs w:val="20"/>
          <w:lang w:val="es-CR"/>
        </w:rPr>
        <w:t>. Asimismo</w:t>
      </w:r>
      <w:r w:rsidR="00EA08BD" w:rsidRPr="00D51072">
        <w:rPr>
          <w:rFonts w:cs="Calibri"/>
          <w:szCs w:val="20"/>
          <w:lang w:val="es-CR"/>
        </w:rPr>
        <w:t>,</w:t>
      </w:r>
      <w:r w:rsidR="004E786C" w:rsidRPr="00D51072">
        <w:rPr>
          <w:rFonts w:cs="Calibri"/>
          <w:szCs w:val="20"/>
          <w:lang w:val="es-CR"/>
        </w:rPr>
        <w:t xml:space="preserve"> la </w:t>
      </w:r>
      <w:r w:rsidR="007F5C05" w:rsidRPr="00D51072">
        <w:rPr>
          <w:rFonts w:cs="Calibri"/>
          <w:szCs w:val="20"/>
          <w:lang w:val="es-CO"/>
        </w:rPr>
        <w:t>CSJN</w:t>
      </w:r>
      <w:r w:rsidR="007F5C05" w:rsidRPr="00D51072">
        <w:rPr>
          <w:rFonts w:cs="Calibri"/>
          <w:szCs w:val="20"/>
          <w:lang w:val="es-CR"/>
        </w:rPr>
        <w:t xml:space="preserve"> </w:t>
      </w:r>
      <w:r w:rsidR="004E786C" w:rsidRPr="00D51072">
        <w:rPr>
          <w:rFonts w:cs="Calibri"/>
          <w:szCs w:val="20"/>
          <w:lang w:val="es-CR"/>
        </w:rPr>
        <w:t>señal</w:t>
      </w:r>
      <w:r w:rsidR="007A447E" w:rsidRPr="00D51072">
        <w:rPr>
          <w:rFonts w:cs="Calibri"/>
          <w:szCs w:val="20"/>
          <w:lang w:val="es-CR"/>
        </w:rPr>
        <w:t xml:space="preserve">ó, </w:t>
      </w:r>
      <w:r w:rsidR="004E786C" w:rsidRPr="00D51072">
        <w:rPr>
          <w:rFonts w:cs="Calibri"/>
          <w:szCs w:val="20"/>
          <w:lang w:val="es-CR"/>
        </w:rPr>
        <w:t xml:space="preserve">en su decisión sobre el </w:t>
      </w:r>
      <w:r w:rsidR="00570F31">
        <w:rPr>
          <w:rFonts w:cs="Calibri"/>
          <w:szCs w:val="20"/>
          <w:lang w:val="es-CR"/>
        </w:rPr>
        <w:t>R</w:t>
      </w:r>
      <w:r w:rsidR="004E786C" w:rsidRPr="00D51072">
        <w:rPr>
          <w:rFonts w:cs="Calibri"/>
          <w:szCs w:val="20"/>
          <w:lang w:val="es-CR"/>
        </w:rPr>
        <w:t>e</w:t>
      </w:r>
      <w:r w:rsidR="007A447E" w:rsidRPr="00D51072">
        <w:rPr>
          <w:rFonts w:cs="Calibri"/>
          <w:szCs w:val="20"/>
          <w:lang w:val="es-CR"/>
        </w:rPr>
        <w:t>curso de Queja, que “el recurrente no ha cumplido con uno de los requisitos para que resulte pertinente; el acreditar que se ha violado en autos el art. 18 de la Constitución Nacional”. Agreg</w:t>
      </w:r>
      <w:r w:rsidR="00EA08BD" w:rsidRPr="00D51072">
        <w:rPr>
          <w:rFonts w:cs="Calibri"/>
          <w:szCs w:val="20"/>
          <w:lang w:val="es-CR"/>
        </w:rPr>
        <w:t>ó</w:t>
      </w:r>
      <w:r w:rsidR="007A447E" w:rsidRPr="00D51072">
        <w:rPr>
          <w:rFonts w:cs="Calibri"/>
          <w:szCs w:val="20"/>
          <w:lang w:val="es-CR"/>
        </w:rPr>
        <w:t xml:space="preserve"> más adelante que la decisión del Jurado de Enjuiciamiento </w:t>
      </w:r>
      <w:r w:rsidR="00EA08BD" w:rsidRPr="00D51072">
        <w:rPr>
          <w:rFonts w:cs="Calibri"/>
          <w:szCs w:val="20"/>
          <w:lang w:val="es-CR"/>
        </w:rPr>
        <w:t xml:space="preserve">fue recurrida por el señor Rico </w:t>
      </w:r>
      <w:r w:rsidR="007A447E" w:rsidRPr="00D51072">
        <w:rPr>
          <w:rFonts w:cs="Calibri"/>
          <w:szCs w:val="20"/>
          <w:lang w:val="es-CR"/>
        </w:rPr>
        <w:t xml:space="preserve">“por la valoración </w:t>
      </w:r>
      <w:r w:rsidR="00D53766" w:rsidRPr="00D51072">
        <w:rPr>
          <w:rFonts w:cs="Calibri"/>
          <w:szCs w:val="20"/>
          <w:lang w:val="es-CR"/>
        </w:rPr>
        <w:t>de la prueba</w:t>
      </w:r>
      <w:r w:rsidR="00083EEA">
        <w:rPr>
          <w:rFonts w:cs="Calibri"/>
          <w:szCs w:val="20"/>
          <w:lang w:val="es-CR"/>
        </w:rPr>
        <w:t>”. Afirmó al respecto que la “</w:t>
      </w:r>
      <w:r w:rsidR="007A447E" w:rsidRPr="00D51072">
        <w:rPr>
          <w:rFonts w:cs="Calibri"/>
          <w:szCs w:val="20"/>
          <w:lang w:val="es-CR"/>
        </w:rPr>
        <w:t xml:space="preserve">naturaleza procesal y local de la cuestión planteada y la falta de demostración nítida, inequívoca y concluyente del menoscabo de las garantías constitucionales invocadas impiden </w:t>
      </w:r>
      <w:r w:rsidR="00083EEA">
        <w:rPr>
          <w:rFonts w:cs="Calibri"/>
          <w:szCs w:val="20"/>
          <w:lang w:val="es-CR"/>
        </w:rPr>
        <w:t>[…]</w:t>
      </w:r>
      <w:r w:rsidR="007A447E" w:rsidRPr="00D51072">
        <w:rPr>
          <w:rFonts w:cs="Calibri"/>
          <w:szCs w:val="20"/>
          <w:lang w:val="es-CR"/>
        </w:rPr>
        <w:t xml:space="preserve"> hacer variar la suerte de la Litis”</w:t>
      </w:r>
      <w:r w:rsidR="007A447E" w:rsidRPr="00D51072">
        <w:rPr>
          <w:rStyle w:val="Refdenotaalpie"/>
          <w:lang w:val="es-CR"/>
        </w:rPr>
        <w:footnoteReference w:id="61"/>
      </w:r>
      <w:r w:rsidR="007A447E" w:rsidRPr="00D51072">
        <w:rPr>
          <w:rFonts w:cs="Calibri"/>
          <w:szCs w:val="20"/>
          <w:lang w:val="es-CR"/>
        </w:rPr>
        <w:t>.</w:t>
      </w:r>
    </w:p>
    <w:p w14:paraId="39DBE2A0" w14:textId="4D979557" w:rsidR="001B7911" w:rsidRPr="00D51072" w:rsidRDefault="007A447E" w:rsidP="00DA799D">
      <w:pPr>
        <w:pStyle w:val="Prrafodelista"/>
        <w:numPr>
          <w:ilvl w:val="0"/>
          <w:numId w:val="2"/>
        </w:numPr>
        <w:spacing w:before="120" w:after="120"/>
        <w:ind w:left="0" w:firstLine="0"/>
        <w:contextualSpacing w:val="0"/>
        <w:rPr>
          <w:rFonts w:cs="Calibri"/>
          <w:szCs w:val="20"/>
          <w:lang w:val="es-CR"/>
        </w:rPr>
      </w:pPr>
      <w:r w:rsidRPr="00D51072">
        <w:rPr>
          <w:rFonts w:cs="Calibri"/>
          <w:szCs w:val="20"/>
          <w:lang w:val="es-CR"/>
        </w:rPr>
        <w:t xml:space="preserve">De acuerdo con lo expresado, este Tribunal entiende que </w:t>
      </w:r>
      <w:r w:rsidR="00EA08BD" w:rsidRPr="00D51072">
        <w:rPr>
          <w:rFonts w:cs="Calibri"/>
          <w:szCs w:val="20"/>
          <w:lang w:val="es-CR"/>
        </w:rPr>
        <w:t xml:space="preserve">las dos Cortes </w:t>
      </w:r>
      <w:r w:rsidR="00083EEA">
        <w:rPr>
          <w:rFonts w:cs="Calibri"/>
          <w:szCs w:val="20"/>
          <w:lang w:val="es-CR"/>
        </w:rPr>
        <w:t>concluyeron</w:t>
      </w:r>
      <w:r w:rsidR="00EA08BD" w:rsidRPr="00D51072">
        <w:rPr>
          <w:rFonts w:cs="Calibri"/>
          <w:szCs w:val="20"/>
          <w:lang w:val="es-CR"/>
        </w:rPr>
        <w:t xml:space="preserve"> que </w:t>
      </w:r>
      <w:r w:rsidRPr="00D51072">
        <w:rPr>
          <w:rFonts w:cs="Calibri"/>
          <w:szCs w:val="20"/>
          <w:lang w:val="es-CR"/>
        </w:rPr>
        <w:t xml:space="preserve">si bien </w:t>
      </w:r>
      <w:r w:rsidR="00EA08BD" w:rsidRPr="00D51072">
        <w:rPr>
          <w:rFonts w:cs="Calibri"/>
          <w:szCs w:val="20"/>
          <w:lang w:val="es-CR"/>
        </w:rPr>
        <w:t xml:space="preserve">el señor Rico </w:t>
      </w:r>
      <w:r w:rsidRPr="00D51072">
        <w:rPr>
          <w:rFonts w:cs="Calibri"/>
          <w:szCs w:val="20"/>
          <w:lang w:val="es-CR"/>
        </w:rPr>
        <w:t xml:space="preserve">alegó en su escrito de 22 de septiembre de 2000 mediante el cual interpuso un REF que la decisión del Jurado de Enjuiciamiento había vulnerado su derecho de defensa protegido por el artículo 18 de la Constitución Nacional, </w:t>
      </w:r>
      <w:r w:rsidR="00E549CF" w:rsidRPr="00D51072">
        <w:rPr>
          <w:rFonts w:cs="Calibri"/>
          <w:szCs w:val="20"/>
          <w:lang w:val="es-CR"/>
        </w:rPr>
        <w:t>e</w:t>
      </w:r>
      <w:r w:rsidRPr="00D51072">
        <w:rPr>
          <w:rFonts w:cs="Calibri"/>
          <w:szCs w:val="20"/>
          <w:lang w:val="es-CR"/>
        </w:rPr>
        <w:t>ste no acreditó ni fundamentó los motivos por los cuales ello había ocurrido, y se limitó a manifestar cu</w:t>
      </w:r>
      <w:r w:rsidR="00E3235A">
        <w:rPr>
          <w:rFonts w:cs="Calibri"/>
          <w:szCs w:val="20"/>
          <w:lang w:val="es-CR"/>
        </w:rPr>
        <w:t>á</w:t>
      </w:r>
      <w:r w:rsidRPr="00D51072">
        <w:rPr>
          <w:rFonts w:cs="Calibri"/>
          <w:szCs w:val="20"/>
          <w:lang w:val="es-CR"/>
        </w:rPr>
        <w:t>les eran sus discrepancias en relación con alguno</w:t>
      </w:r>
      <w:r w:rsidR="00652592" w:rsidRPr="00D51072">
        <w:rPr>
          <w:rFonts w:cs="Calibri"/>
          <w:szCs w:val="20"/>
          <w:lang w:val="es-CR"/>
        </w:rPr>
        <w:t>s</w:t>
      </w:r>
      <w:r w:rsidRPr="00D51072">
        <w:rPr>
          <w:rFonts w:cs="Calibri"/>
          <w:szCs w:val="20"/>
          <w:lang w:val="es-CR"/>
        </w:rPr>
        <w:t xml:space="preserve"> aspectos de la Sentencia en su contra. </w:t>
      </w:r>
    </w:p>
    <w:p w14:paraId="10AFC9A1" w14:textId="59FA9FA3" w:rsidR="001B7911" w:rsidRPr="00D51072" w:rsidRDefault="005240FD" w:rsidP="007A447E">
      <w:pPr>
        <w:pStyle w:val="Prrafodelista"/>
        <w:numPr>
          <w:ilvl w:val="0"/>
          <w:numId w:val="2"/>
        </w:numPr>
        <w:spacing w:before="120" w:after="120"/>
        <w:ind w:left="0" w:firstLine="0"/>
        <w:contextualSpacing w:val="0"/>
        <w:rPr>
          <w:rFonts w:cs="Calibri"/>
          <w:szCs w:val="20"/>
          <w:lang w:val="es-CR"/>
        </w:rPr>
      </w:pPr>
      <w:r w:rsidRPr="00D51072">
        <w:rPr>
          <w:rFonts w:cs="Calibri"/>
          <w:szCs w:val="20"/>
          <w:lang w:val="es-CR"/>
        </w:rPr>
        <w:t>De conformidad con lo anterior</w:t>
      </w:r>
      <w:r w:rsidR="007A447E" w:rsidRPr="00D51072">
        <w:rPr>
          <w:rFonts w:cs="Calibri"/>
          <w:szCs w:val="20"/>
          <w:lang w:val="es-CR"/>
        </w:rPr>
        <w:t>, est</w:t>
      </w:r>
      <w:r w:rsidR="001B7911" w:rsidRPr="00D51072">
        <w:rPr>
          <w:rFonts w:cs="Calibri"/>
          <w:szCs w:val="20"/>
          <w:lang w:val="es-CR"/>
        </w:rPr>
        <w:t>a</w:t>
      </w:r>
      <w:r w:rsidR="007A447E" w:rsidRPr="00D51072">
        <w:rPr>
          <w:rFonts w:cs="Calibri"/>
          <w:szCs w:val="20"/>
          <w:lang w:val="es-CR"/>
        </w:rPr>
        <w:t xml:space="preserve"> </w:t>
      </w:r>
      <w:r w:rsidR="001B7911" w:rsidRPr="00D51072">
        <w:rPr>
          <w:rFonts w:cs="Calibri"/>
          <w:szCs w:val="20"/>
          <w:lang w:val="es-CR"/>
        </w:rPr>
        <w:t>Corte</w:t>
      </w:r>
      <w:r w:rsidR="007A447E" w:rsidRPr="00D51072">
        <w:rPr>
          <w:rFonts w:cs="Calibri"/>
          <w:szCs w:val="20"/>
          <w:lang w:val="es-CR"/>
        </w:rPr>
        <w:t xml:space="preserve"> entiende que no puede pronunciarse sobre la efectividad del REF y el </w:t>
      </w:r>
      <w:r w:rsidR="00570F31">
        <w:rPr>
          <w:rFonts w:cs="Calibri"/>
          <w:szCs w:val="20"/>
          <w:lang w:val="es-CR"/>
        </w:rPr>
        <w:t>R</w:t>
      </w:r>
      <w:r w:rsidR="007A447E" w:rsidRPr="00D51072">
        <w:rPr>
          <w:rFonts w:cs="Calibri"/>
          <w:szCs w:val="20"/>
          <w:lang w:val="es-CR"/>
        </w:rPr>
        <w:t xml:space="preserve">ecurso de Queja presentados en contra de la Sentencia del Jurado de Enjuiciamiento toda vez que </w:t>
      </w:r>
      <w:r w:rsidR="00083EEA">
        <w:rPr>
          <w:rFonts w:cs="Calibri"/>
          <w:szCs w:val="20"/>
          <w:lang w:val="es-CR"/>
        </w:rPr>
        <w:t>esos</w:t>
      </w:r>
      <w:r w:rsidR="007A447E" w:rsidRPr="00D51072">
        <w:rPr>
          <w:rFonts w:cs="Calibri"/>
          <w:szCs w:val="20"/>
          <w:lang w:val="es-CR"/>
        </w:rPr>
        <w:t xml:space="preserve"> recurso</w:t>
      </w:r>
      <w:r w:rsidR="00083EEA">
        <w:rPr>
          <w:rFonts w:cs="Calibri"/>
          <w:szCs w:val="20"/>
          <w:lang w:val="es-CR"/>
        </w:rPr>
        <w:t>s</w:t>
      </w:r>
      <w:r w:rsidR="007A447E" w:rsidRPr="00D51072">
        <w:rPr>
          <w:rFonts w:cs="Calibri"/>
          <w:szCs w:val="20"/>
          <w:lang w:val="es-CR"/>
        </w:rPr>
        <w:t xml:space="preserve"> fue</w:t>
      </w:r>
      <w:r w:rsidR="00083EEA">
        <w:rPr>
          <w:rFonts w:cs="Calibri"/>
          <w:szCs w:val="20"/>
          <w:lang w:val="es-CR"/>
        </w:rPr>
        <w:t>ron</w:t>
      </w:r>
      <w:r w:rsidR="007A447E" w:rsidRPr="00D51072">
        <w:rPr>
          <w:rFonts w:cs="Calibri"/>
          <w:szCs w:val="20"/>
          <w:lang w:val="es-CR"/>
        </w:rPr>
        <w:t xml:space="preserve"> </w:t>
      </w:r>
      <w:r w:rsidR="001B7911" w:rsidRPr="00D51072">
        <w:rPr>
          <w:rFonts w:cs="Calibri"/>
          <w:szCs w:val="20"/>
          <w:lang w:val="es-CR"/>
        </w:rPr>
        <w:t>declarado</w:t>
      </w:r>
      <w:r w:rsidR="00083EEA">
        <w:rPr>
          <w:rFonts w:cs="Calibri"/>
          <w:szCs w:val="20"/>
          <w:lang w:val="es-CR"/>
        </w:rPr>
        <w:t>s</w:t>
      </w:r>
      <w:r w:rsidR="001B7911" w:rsidRPr="00D51072">
        <w:rPr>
          <w:rFonts w:cs="Calibri"/>
          <w:szCs w:val="20"/>
          <w:lang w:val="es-CR"/>
        </w:rPr>
        <w:t xml:space="preserve"> inadmisible</w:t>
      </w:r>
      <w:r w:rsidR="00083EEA">
        <w:rPr>
          <w:rFonts w:cs="Calibri"/>
          <w:szCs w:val="20"/>
          <w:lang w:val="es-CR"/>
        </w:rPr>
        <w:t xml:space="preserve">s por </w:t>
      </w:r>
      <w:r w:rsidR="00933FEE" w:rsidRPr="00D51072">
        <w:rPr>
          <w:rFonts w:cs="Times New Roman"/>
          <w:szCs w:val="20"/>
          <w:lang w:val="es-AR"/>
        </w:rPr>
        <w:t>SCJBA</w:t>
      </w:r>
      <w:r w:rsidR="00446A62" w:rsidRPr="00D51072">
        <w:rPr>
          <w:rFonts w:cs="Calibri"/>
          <w:szCs w:val="20"/>
          <w:lang w:val="es-CR"/>
        </w:rPr>
        <w:t xml:space="preserve"> y de la </w:t>
      </w:r>
      <w:r w:rsidR="00933FEE" w:rsidRPr="00D51072">
        <w:rPr>
          <w:rFonts w:cs="Calibri"/>
          <w:szCs w:val="20"/>
          <w:lang w:val="es-CR"/>
        </w:rPr>
        <w:t>CSJN</w:t>
      </w:r>
      <w:r w:rsidRPr="00D51072">
        <w:rPr>
          <w:rFonts w:cs="Calibri"/>
          <w:szCs w:val="20"/>
          <w:lang w:val="es-CR"/>
        </w:rPr>
        <w:t xml:space="preserve">. </w:t>
      </w:r>
      <w:r w:rsidR="001B7911" w:rsidRPr="00D51072">
        <w:rPr>
          <w:rFonts w:cs="Calibri"/>
          <w:szCs w:val="20"/>
          <w:lang w:val="es-CR"/>
        </w:rPr>
        <w:t>A juicio de este Tribunal, las conclusiones a las cuales arribaron esas dos Cortes nacionales</w:t>
      </w:r>
      <w:r w:rsidR="00D2634F" w:rsidRPr="00D51072">
        <w:rPr>
          <w:rFonts w:cs="Calibri"/>
          <w:szCs w:val="20"/>
          <w:lang w:val="es-CR"/>
        </w:rPr>
        <w:t xml:space="preserve"> para </w:t>
      </w:r>
      <w:r w:rsidR="00446A62" w:rsidRPr="00D51072">
        <w:rPr>
          <w:rFonts w:cs="Calibri"/>
          <w:szCs w:val="20"/>
          <w:lang w:val="es-CR"/>
        </w:rPr>
        <w:t xml:space="preserve">considerar improcedentes </w:t>
      </w:r>
      <w:r w:rsidR="00D2634F" w:rsidRPr="00D51072">
        <w:rPr>
          <w:rFonts w:cs="Calibri"/>
          <w:szCs w:val="20"/>
          <w:lang w:val="es-CR"/>
        </w:rPr>
        <w:t>esos recursos</w:t>
      </w:r>
      <w:r w:rsidR="001B7911" w:rsidRPr="00D51072">
        <w:rPr>
          <w:rFonts w:cs="Calibri"/>
          <w:szCs w:val="20"/>
          <w:lang w:val="es-CR"/>
        </w:rPr>
        <w:t>, no resultan manifiestamente arbitrarias o irrazonables</w:t>
      </w:r>
      <w:r w:rsidR="00446A62" w:rsidRPr="00D51072">
        <w:rPr>
          <w:rFonts w:cs="Calibri"/>
          <w:szCs w:val="20"/>
          <w:lang w:val="es-CR"/>
        </w:rPr>
        <w:t xml:space="preserve"> y por tanto contrarias a la Convención Americana</w:t>
      </w:r>
      <w:r w:rsidR="00D2634F" w:rsidRPr="00D51072">
        <w:rPr>
          <w:rFonts w:cs="Calibri"/>
          <w:szCs w:val="20"/>
          <w:lang w:val="es-CR"/>
        </w:rPr>
        <w:t>. En consecuencia, este Tribunal considera que el Estado no es responsable por una violación al artículo 25 de la Convención Americana en perjuicio del señor Rico.</w:t>
      </w:r>
    </w:p>
    <w:p w14:paraId="0456A574" w14:textId="0AA96A04" w:rsidR="00CE4D25" w:rsidRPr="00D51072" w:rsidRDefault="002A5136" w:rsidP="00CE4D25">
      <w:pPr>
        <w:pStyle w:val="Ttulo1"/>
        <w:rPr>
          <w:lang w:val="es-ES_tradnl"/>
        </w:rPr>
      </w:pPr>
      <w:bookmarkStart w:id="138" w:name="_Toc433564900"/>
      <w:bookmarkStart w:id="139" w:name="_Toc486693406"/>
      <w:bookmarkStart w:id="140" w:name="_Toc486842826"/>
      <w:bookmarkStart w:id="141" w:name="_Toc486842960"/>
      <w:bookmarkStart w:id="142" w:name="_Toc23415012"/>
      <w:r w:rsidRPr="00D51072">
        <w:rPr>
          <w:caps w:val="0"/>
          <w:lang w:val="es-ES_tradnl"/>
        </w:rPr>
        <w:t>VII.3</w:t>
      </w:r>
      <w:r w:rsidR="00524907" w:rsidRPr="00524907">
        <w:rPr>
          <w:caps w:val="0"/>
          <w:color w:val="FFFFFF" w:themeColor="background1"/>
          <w:lang w:val="es-ES_tradnl"/>
        </w:rPr>
        <w:t>.</w:t>
      </w:r>
      <w:r w:rsidRPr="00D51072">
        <w:rPr>
          <w:caps w:val="0"/>
          <w:lang w:val="es-ES_tradnl"/>
        </w:rPr>
        <w:br/>
      </w:r>
      <w:bookmarkEnd w:id="138"/>
      <w:bookmarkEnd w:id="139"/>
      <w:bookmarkEnd w:id="140"/>
      <w:bookmarkEnd w:id="141"/>
      <w:r w:rsidRPr="00D51072">
        <w:rPr>
          <w:caps w:val="0"/>
        </w:rPr>
        <w:t>PRINCIPIO DE LEGALIDAD, Y DERECHOS POLÍTICOS DEL SEÑOR RICO</w:t>
      </w:r>
      <w:bookmarkEnd w:id="142"/>
      <w:r w:rsidRPr="00D51072">
        <w:rPr>
          <w:caps w:val="0"/>
          <w:lang w:val="es-ES_tradnl"/>
        </w:rPr>
        <w:t xml:space="preserve"> </w:t>
      </w:r>
    </w:p>
    <w:p w14:paraId="0B15FF0D" w14:textId="74030327" w:rsidR="00CE4D25" w:rsidRPr="00D51072" w:rsidRDefault="00944D65" w:rsidP="00035C05">
      <w:pPr>
        <w:pStyle w:val="Prrafodelista"/>
        <w:numPr>
          <w:ilvl w:val="0"/>
          <w:numId w:val="7"/>
        </w:numPr>
        <w:tabs>
          <w:tab w:val="left" w:pos="567"/>
        </w:tabs>
        <w:autoSpaceDE w:val="0"/>
        <w:autoSpaceDN w:val="0"/>
        <w:adjustRightInd w:val="0"/>
        <w:spacing w:before="240" w:after="240"/>
        <w:contextualSpacing w:val="0"/>
        <w:outlineLvl w:val="1"/>
        <w:rPr>
          <w:b/>
          <w:i/>
          <w:szCs w:val="20"/>
          <w:lang w:eastAsia="es-ES"/>
        </w:rPr>
      </w:pPr>
      <w:bookmarkStart w:id="143" w:name="_Toc433564901"/>
      <w:bookmarkStart w:id="144" w:name="_Toc486693407"/>
      <w:bookmarkStart w:id="145" w:name="_Toc486842827"/>
      <w:bookmarkStart w:id="146" w:name="_Toc486842961"/>
      <w:bookmarkStart w:id="147" w:name="_Toc23415013"/>
      <w:r>
        <w:rPr>
          <w:b/>
          <w:i/>
          <w:szCs w:val="20"/>
        </w:rPr>
        <w:t>Alegatos</w:t>
      </w:r>
      <w:r w:rsidR="00CE4D25" w:rsidRPr="00D51072">
        <w:rPr>
          <w:b/>
          <w:i/>
          <w:szCs w:val="20"/>
          <w:lang w:eastAsia="es-ES"/>
        </w:rPr>
        <w:t xml:space="preserve"> de las partes y de la Comisión</w:t>
      </w:r>
      <w:bookmarkEnd w:id="143"/>
      <w:bookmarkEnd w:id="144"/>
      <w:bookmarkEnd w:id="145"/>
      <w:bookmarkEnd w:id="146"/>
      <w:bookmarkEnd w:id="147"/>
      <w:r w:rsidR="003304AA" w:rsidRPr="00D51072">
        <w:rPr>
          <w:b/>
          <w:i/>
          <w:szCs w:val="20"/>
          <w:lang w:eastAsia="es-ES"/>
        </w:rPr>
        <w:t xml:space="preserve"> </w:t>
      </w:r>
    </w:p>
    <w:p w14:paraId="01F195F6" w14:textId="5D56E539" w:rsidR="009C1BFC" w:rsidRPr="00D51072" w:rsidRDefault="00316116" w:rsidP="00316116">
      <w:pPr>
        <w:pStyle w:val="Estilo1"/>
        <w:numPr>
          <w:ilvl w:val="0"/>
          <w:numId w:val="2"/>
        </w:numPr>
        <w:tabs>
          <w:tab w:val="left" w:pos="0"/>
          <w:tab w:val="left" w:pos="567"/>
          <w:tab w:val="left" w:pos="1134"/>
        </w:tabs>
        <w:spacing w:before="120"/>
        <w:ind w:left="0" w:right="-6" w:firstLine="0"/>
        <w:rPr>
          <w:i w:val="0"/>
          <w:szCs w:val="20"/>
        </w:rPr>
      </w:pPr>
      <w:r w:rsidRPr="00D51072">
        <w:rPr>
          <w:i w:val="0"/>
          <w:szCs w:val="20"/>
          <w:lang w:val="es-CO"/>
        </w:rPr>
        <w:t xml:space="preserve">La </w:t>
      </w:r>
      <w:r w:rsidRPr="00D51072">
        <w:rPr>
          <w:szCs w:val="20"/>
          <w:lang w:val="es-CO"/>
        </w:rPr>
        <w:t>Comisión</w:t>
      </w:r>
      <w:r w:rsidRPr="00D51072">
        <w:rPr>
          <w:i w:val="0"/>
          <w:szCs w:val="20"/>
          <w:lang w:val="es-CO"/>
        </w:rPr>
        <w:t xml:space="preserve"> observó que las causales por las que la presunta víctima fue acusada y posteriormente destituida, tienen carácter genérico, sin que en algunas de ellas sea posible establecer con claridad las conductas concretas que constituyen faltas. Agregó que tal es el caso de las causales e) y f) relativas a </w:t>
      </w:r>
      <w:r w:rsidR="003E3E9B">
        <w:rPr>
          <w:i w:val="0"/>
          <w:szCs w:val="20"/>
          <w:lang w:val="es-CO"/>
        </w:rPr>
        <w:t>“</w:t>
      </w:r>
      <w:r w:rsidRPr="00D51072">
        <w:rPr>
          <w:i w:val="0"/>
          <w:szCs w:val="20"/>
          <w:lang w:val="es-CO"/>
        </w:rPr>
        <w:t>incompetencia</w:t>
      </w:r>
      <w:r w:rsidR="003E3E9B">
        <w:rPr>
          <w:i w:val="0"/>
          <w:szCs w:val="20"/>
          <w:lang w:val="es-CO"/>
        </w:rPr>
        <w:t>”</w:t>
      </w:r>
      <w:r w:rsidRPr="00D51072">
        <w:rPr>
          <w:i w:val="0"/>
          <w:szCs w:val="20"/>
          <w:lang w:val="es-CO"/>
        </w:rPr>
        <w:t xml:space="preserve"> y </w:t>
      </w:r>
      <w:r w:rsidR="003E3E9B">
        <w:rPr>
          <w:i w:val="0"/>
          <w:szCs w:val="20"/>
          <w:lang w:val="es-CO"/>
        </w:rPr>
        <w:t>“</w:t>
      </w:r>
      <w:r w:rsidRPr="00D51072">
        <w:rPr>
          <w:i w:val="0"/>
          <w:szCs w:val="20"/>
          <w:lang w:val="es-CO"/>
        </w:rPr>
        <w:t>negligencia</w:t>
      </w:r>
      <w:r w:rsidR="003E3E9B">
        <w:rPr>
          <w:i w:val="0"/>
          <w:szCs w:val="20"/>
          <w:lang w:val="es-CO"/>
        </w:rPr>
        <w:t>”</w:t>
      </w:r>
      <w:r w:rsidRPr="00D51072">
        <w:rPr>
          <w:i w:val="0"/>
          <w:szCs w:val="20"/>
          <w:lang w:val="es-CO"/>
        </w:rPr>
        <w:t xml:space="preserve">, así como al incumplimiento de los deberes </w:t>
      </w:r>
      <w:r w:rsidR="003E3E9B">
        <w:rPr>
          <w:i w:val="0"/>
          <w:szCs w:val="20"/>
          <w:lang w:val="es-CO"/>
        </w:rPr>
        <w:t>“</w:t>
      </w:r>
      <w:r w:rsidRPr="00D51072">
        <w:rPr>
          <w:i w:val="0"/>
          <w:szCs w:val="20"/>
          <w:lang w:val="es-CO"/>
        </w:rPr>
        <w:t>inherentes al cargo</w:t>
      </w:r>
      <w:r w:rsidR="003E3E9B">
        <w:rPr>
          <w:i w:val="0"/>
          <w:szCs w:val="20"/>
          <w:lang w:val="es-CO"/>
        </w:rPr>
        <w:t>”</w:t>
      </w:r>
      <w:r w:rsidRPr="00D51072">
        <w:rPr>
          <w:i w:val="0"/>
          <w:szCs w:val="20"/>
          <w:lang w:val="es-CO"/>
        </w:rPr>
        <w:t xml:space="preserve">. </w:t>
      </w:r>
      <w:r w:rsidR="00D53766" w:rsidRPr="00D51072">
        <w:rPr>
          <w:i w:val="0"/>
          <w:szCs w:val="20"/>
          <w:lang w:val="es-CO"/>
        </w:rPr>
        <w:t>C</w:t>
      </w:r>
      <w:r w:rsidRPr="00D51072">
        <w:rPr>
          <w:i w:val="0"/>
          <w:szCs w:val="20"/>
          <w:lang w:val="es-CO"/>
        </w:rPr>
        <w:t xml:space="preserve">onsideró que la formulación de dichas causales deja un excesivo margen de discrecionalidad para que la autoridad sancionadora establezca las conductas concretas que se ajustan a dichas formulaciones genéricas, abriendo el espacio a que se incluyan apreciaciones subjetivas. </w:t>
      </w:r>
      <w:r w:rsidR="00D53766" w:rsidRPr="00D51072">
        <w:rPr>
          <w:i w:val="0"/>
          <w:szCs w:val="20"/>
          <w:lang w:val="es-CO"/>
        </w:rPr>
        <w:t>C</w:t>
      </w:r>
      <w:r w:rsidRPr="00D51072">
        <w:rPr>
          <w:i w:val="0"/>
          <w:szCs w:val="20"/>
          <w:lang w:val="es-CO"/>
        </w:rPr>
        <w:t xml:space="preserve">oncluyó que esta situación resulta violatoria del principio de legalidad el cual debe operar de manera reforzada en procesos </w:t>
      </w:r>
      <w:r w:rsidRPr="00D51072">
        <w:rPr>
          <w:i w:val="0"/>
          <w:szCs w:val="20"/>
          <w:lang w:val="es-CO"/>
        </w:rPr>
        <w:lastRenderedPageBreak/>
        <w:t>sancionatorios de jueces y juezas</w:t>
      </w:r>
      <w:r w:rsidR="002632BE" w:rsidRPr="00D51072">
        <w:rPr>
          <w:i w:val="0"/>
          <w:szCs w:val="20"/>
        </w:rPr>
        <w:t>.</w:t>
      </w:r>
      <w:r w:rsidR="009C1BFC" w:rsidRPr="00D51072">
        <w:rPr>
          <w:i w:val="0"/>
          <w:szCs w:val="20"/>
        </w:rPr>
        <w:t xml:space="preserve"> </w:t>
      </w:r>
      <w:r w:rsidR="00D53766" w:rsidRPr="00D51072">
        <w:rPr>
          <w:i w:val="0"/>
          <w:szCs w:val="20"/>
        </w:rPr>
        <w:t xml:space="preserve">Por otra parte, </w:t>
      </w:r>
      <w:r w:rsidR="00D53766" w:rsidRPr="00D51072">
        <w:rPr>
          <w:i w:val="0"/>
          <w:szCs w:val="20"/>
          <w:lang w:val="es-CO"/>
        </w:rPr>
        <w:t>indicó que ha</w:t>
      </w:r>
      <w:r w:rsidR="003E3E9B">
        <w:rPr>
          <w:i w:val="0"/>
          <w:szCs w:val="20"/>
          <w:lang w:val="es-CO"/>
        </w:rPr>
        <w:t>bía</w:t>
      </w:r>
      <w:r w:rsidR="00D53766" w:rsidRPr="00D51072">
        <w:rPr>
          <w:i w:val="0"/>
          <w:szCs w:val="20"/>
          <w:lang w:val="es-CO"/>
        </w:rPr>
        <w:t xml:space="preserve"> quedado establecido que el señor Rico fue separado del cargo en un proceso arbitrario en el cual se cometieron diversas violaciones tanto al debido proceso como al principio de legalidad. Por tanto</w:t>
      </w:r>
      <w:r w:rsidR="00353C12">
        <w:rPr>
          <w:i w:val="0"/>
          <w:szCs w:val="20"/>
          <w:lang w:val="es-CO"/>
        </w:rPr>
        <w:t>,</w:t>
      </w:r>
      <w:r w:rsidR="00D53766" w:rsidRPr="00D51072">
        <w:rPr>
          <w:i w:val="0"/>
          <w:szCs w:val="20"/>
          <w:lang w:val="es-CO"/>
        </w:rPr>
        <w:t xml:space="preserve"> consideró que el Estado también violó el artículo 23.1 c) de la Convención, en su perjuicio. </w:t>
      </w:r>
      <w:r w:rsidRPr="00D51072">
        <w:rPr>
          <w:i w:val="0"/>
          <w:szCs w:val="20"/>
        </w:rPr>
        <w:t xml:space="preserve">Los </w:t>
      </w:r>
      <w:r w:rsidRPr="00D51072">
        <w:rPr>
          <w:szCs w:val="20"/>
        </w:rPr>
        <w:t>representantes</w:t>
      </w:r>
      <w:r w:rsidRPr="00D51072">
        <w:rPr>
          <w:i w:val="0"/>
          <w:szCs w:val="20"/>
        </w:rPr>
        <w:t xml:space="preserve"> compartieron los argumentos presentados por la Comisión.</w:t>
      </w:r>
    </w:p>
    <w:p w14:paraId="0C74C6BC" w14:textId="7D55A09E" w:rsidR="00316116" w:rsidRPr="00D51072" w:rsidRDefault="00316116" w:rsidP="001C6842">
      <w:pPr>
        <w:pStyle w:val="Estilo1"/>
        <w:numPr>
          <w:ilvl w:val="0"/>
          <w:numId w:val="2"/>
        </w:numPr>
        <w:tabs>
          <w:tab w:val="left" w:pos="0"/>
          <w:tab w:val="left" w:pos="567"/>
          <w:tab w:val="left" w:pos="1134"/>
        </w:tabs>
        <w:spacing w:before="120"/>
        <w:ind w:left="0" w:right="-6" w:firstLine="0"/>
        <w:rPr>
          <w:i w:val="0"/>
          <w:szCs w:val="20"/>
          <w:lang w:val="es-CO"/>
        </w:rPr>
      </w:pPr>
      <w:r w:rsidRPr="00D51072">
        <w:rPr>
          <w:i w:val="0"/>
          <w:szCs w:val="20"/>
          <w:lang w:val="es-CO"/>
        </w:rPr>
        <w:t xml:space="preserve">El </w:t>
      </w:r>
      <w:r w:rsidRPr="00D51072">
        <w:rPr>
          <w:szCs w:val="20"/>
          <w:lang w:val="es-CO"/>
        </w:rPr>
        <w:t>Estado</w:t>
      </w:r>
      <w:r w:rsidRPr="00D51072">
        <w:rPr>
          <w:i w:val="0"/>
          <w:szCs w:val="20"/>
          <w:lang w:val="es-CO"/>
        </w:rPr>
        <w:t xml:space="preserve"> </w:t>
      </w:r>
      <w:r w:rsidR="00353C12">
        <w:rPr>
          <w:i w:val="0"/>
          <w:szCs w:val="20"/>
          <w:lang w:val="es-CO"/>
        </w:rPr>
        <w:t>s</w:t>
      </w:r>
      <w:r w:rsidRPr="00D51072">
        <w:rPr>
          <w:i w:val="0"/>
          <w:szCs w:val="20"/>
          <w:lang w:val="es-CO"/>
        </w:rPr>
        <w:t>eñaló que el señor Rico fue destituido porque el Jurado de Enjuiciamiento concluyó que se hallaba incurso en las causales de destitución previstas en el artículo 21 incisos e), f)</w:t>
      </w:r>
      <w:r w:rsidRPr="00D51072">
        <w:rPr>
          <w:i w:val="0"/>
          <w:szCs w:val="20"/>
          <w:vertAlign w:val="superscript"/>
        </w:rPr>
        <w:t xml:space="preserve"> </w:t>
      </w:r>
      <w:r w:rsidRPr="00D51072">
        <w:rPr>
          <w:i w:val="0"/>
          <w:szCs w:val="20"/>
          <w:lang w:val="es-CO"/>
        </w:rPr>
        <w:t>y k) de la Ley 8085 y consideró que las citadas previsiones legales que no contravienen el principio de legalidad según los estándares de la Corte. Agregó que cada causal se encuentra prevista en una Ley dictada por el Congreso de la Provincia de Buenos Aires,</w:t>
      </w:r>
      <w:r w:rsidR="00862DDE">
        <w:rPr>
          <w:i w:val="0"/>
          <w:szCs w:val="20"/>
          <w:lang w:val="es-CO"/>
        </w:rPr>
        <w:t xml:space="preserve"> y</w:t>
      </w:r>
      <w:r w:rsidRPr="00D51072">
        <w:rPr>
          <w:i w:val="0"/>
          <w:szCs w:val="20"/>
          <w:lang w:val="es-CO"/>
        </w:rPr>
        <w:t xml:space="preserve"> que fue sancionada con anterioridad al momento de los hechos. Sostuvo que </w:t>
      </w:r>
      <w:r w:rsidR="00862DDE">
        <w:rPr>
          <w:i w:val="0"/>
          <w:szCs w:val="20"/>
          <w:lang w:val="es-CO"/>
        </w:rPr>
        <w:t>esas</w:t>
      </w:r>
      <w:r w:rsidRPr="00D51072">
        <w:rPr>
          <w:i w:val="0"/>
          <w:szCs w:val="20"/>
          <w:lang w:val="es-CO"/>
        </w:rPr>
        <w:t xml:space="preserve"> causales contienen criterios objetivos que permiten adecuar la propia conducta, y que a su vez limitan la discrecionalidad en el ejercicio de la potestad disciplinaria.</w:t>
      </w:r>
      <w:r w:rsidRPr="00862DDE">
        <w:rPr>
          <w:i w:val="0"/>
          <w:szCs w:val="20"/>
          <w:lang w:val="es-CO"/>
        </w:rPr>
        <w:t xml:space="preserve"> </w:t>
      </w:r>
      <w:r w:rsidR="00862DDE" w:rsidRPr="00862DDE">
        <w:rPr>
          <w:i w:val="0"/>
          <w:szCs w:val="20"/>
          <w:lang w:val="es-CO"/>
        </w:rPr>
        <w:t>S</w:t>
      </w:r>
      <w:r w:rsidR="00862DDE">
        <w:rPr>
          <w:i w:val="0"/>
          <w:szCs w:val="20"/>
          <w:lang w:val="es-CO"/>
        </w:rPr>
        <w:t>obre</w:t>
      </w:r>
      <w:r w:rsidRPr="00D51072">
        <w:rPr>
          <w:i w:val="0"/>
          <w:szCs w:val="20"/>
          <w:lang w:val="es-CO"/>
        </w:rPr>
        <w:t xml:space="preserve"> los derechos políticos, sostuvo que </w:t>
      </w:r>
      <w:r w:rsidR="0026673A" w:rsidRPr="00D51072">
        <w:rPr>
          <w:i w:val="0"/>
          <w:szCs w:val="20"/>
          <w:lang w:val="es-CO"/>
        </w:rPr>
        <w:t xml:space="preserve">no </w:t>
      </w:r>
      <w:r w:rsidRPr="00D51072">
        <w:rPr>
          <w:i w:val="0"/>
          <w:szCs w:val="20"/>
          <w:lang w:val="es-CO"/>
        </w:rPr>
        <w:t xml:space="preserve">se fundamentó en forma autónoma la violación </w:t>
      </w:r>
      <w:r w:rsidR="003E3E9B">
        <w:rPr>
          <w:i w:val="0"/>
          <w:szCs w:val="20"/>
          <w:lang w:val="es-CO"/>
        </w:rPr>
        <w:t>de ese derecho</w:t>
      </w:r>
      <w:r w:rsidRPr="00D51072">
        <w:rPr>
          <w:i w:val="0"/>
          <w:szCs w:val="20"/>
          <w:lang w:val="es-CO"/>
        </w:rPr>
        <w:t>, considerándola una consecuencia de la destitución pretendidamente arbitraria por lo que se remitió a lo desarrollado al respecto en los apartados correspondientes</w:t>
      </w:r>
      <w:r w:rsidR="00CA4B14" w:rsidRPr="00D51072">
        <w:rPr>
          <w:i w:val="0"/>
          <w:szCs w:val="20"/>
          <w:lang w:val="es-CO"/>
        </w:rPr>
        <w:t>.</w:t>
      </w:r>
    </w:p>
    <w:p w14:paraId="51E52835" w14:textId="2A212272" w:rsidR="00CE4D25" w:rsidRPr="00D51072" w:rsidRDefault="00CE4D25" w:rsidP="00035C05">
      <w:pPr>
        <w:pStyle w:val="Prrafodelista"/>
        <w:numPr>
          <w:ilvl w:val="0"/>
          <w:numId w:val="7"/>
        </w:numPr>
        <w:tabs>
          <w:tab w:val="left" w:pos="567"/>
        </w:tabs>
        <w:autoSpaceDE w:val="0"/>
        <w:autoSpaceDN w:val="0"/>
        <w:adjustRightInd w:val="0"/>
        <w:spacing w:before="240" w:after="240"/>
        <w:contextualSpacing w:val="0"/>
        <w:outlineLvl w:val="1"/>
        <w:rPr>
          <w:b/>
          <w:i/>
          <w:szCs w:val="20"/>
        </w:rPr>
      </w:pPr>
      <w:bookmarkStart w:id="148" w:name="_Toc433564902"/>
      <w:bookmarkStart w:id="149" w:name="_Toc486693408"/>
      <w:bookmarkStart w:id="150" w:name="_Toc486842828"/>
      <w:bookmarkStart w:id="151" w:name="_Toc486842962"/>
      <w:bookmarkStart w:id="152" w:name="_Toc23415014"/>
      <w:r w:rsidRPr="00D51072">
        <w:rPr>
          <w:b/>
          <w:i/>
          <w:szCs w:val="20"/>
        </w:rPr>
        <w:t>Consideraciones de la Corte</w:t>
      </w:r>
      <w:bookmarkEnd w:id="148"/>
      <w:bookmarkEnd w:id="149"/>
      <w:bookmarkEnd w:id="150"/>
      <w:bookmarkEnd w:id="151"/>
      <w:bookmarkEnd w:id="152"/>
    </w:p>
    <w:p w14:paraId="42BC3134" w14:textId="4BC4674C" w:rsidR="0078591C" w:rsidRPr="00D51072" w:rsidRDefault="009E1FCD" w:rsidP="00AF3B64">
      <w:pPr>
        <w:pStyle w:val="Prrafodelista"/>
        <w:spacing w:before="240" w:after="240"/>
        <w:ind w:left="708" w:firstLine="12"/>
        <w:contextualSpacing w:val="0"/>
        <w:outlineLvl w:val="2"/>
        <w:rPr>
          <w:i/>
          <w:szCs w:val="20"/>
          <w:lang w:val="es-CR" w:eastAsia="es-ES"/>
        </w:rPr>
      </w:pPr>
      <w:bookmarkStart w:id="153" w:name="_Toc23415015"/>
      <w:bookmarkStart w:id="154" w:name="_Ref318188208"/>
      <w:r w:rsidRPr="00D51072">
        <w:rPr>
          <w:i/>
          <w:szCs w:val="20"/>
          <w:lang w:val="es-CR" w:eastAsia="es-ES"/>
        </w:rPr>
        <w:t>B.1. Principio de Legalidad</w:t>
      </w:r>
      <w:bookmarkEnd w:id="153"/>
      <w:r w:rsidRPr="00D51072">
        <w:rPr>
          <w:i/>
          <w:szCs w:val="20"/>
          <w:lang w:val="es-CR" w:eastAsia="es-ES"/>
        </w:rPr>
        <w:t xml:space="preserve"> </w:t>
      </w:r>
    </w:p>
    <w:p w14:paraId="0E9A4123" w14:textId="57E2FB69" w:rsidR="00CE4D25" w:rsidRPr="00D51072" w:rsidRDefault="00E10BEF" w:rsidP="00CA4B14">
      <w:pPr>
        <w:pStyle w:val="Estilo1"/>
        <w:numPr>
          <w:ilvl w:val="0"/>
          <w:numId w:val="2"/>
        </w:numPr>
        <w:tabs>
          <w:tab w:val="left" w:pos="0"/>
          <w:tab w:val="left" w:pos="567"/>
          <w:tab w:val="left" w:pos="1134"/>
        </w:tabs>
        <w:spacing w:before="120"/>
        <w:ind w:left="0" w:right="-6" w:firstLine="0"/>
        <w:rPr>
          <w:rFonts w:eastAsia="Times"/>
          <w:i w:val="0"/>
          <w:szCs w:val="20"/>
          <w:lang w:eastAsia="es-ES"/>
        </w:rPr>
      </w:pPr>
      <w:r w:rsidRPr="00D51072">
        <w:rPr>
          <w:i w:val="0"/>
          <w:lang w:val="es-CR"/>
        </w:rPr>
        <w:t xml:space="preserve">Con relación al principio de legalidad, la Corte ha señalado </w:t>
      </w:r>
      <w:r w:rsidR="00FB25B8">
        <w:rPr>
          <w:i w:val="0"/>
          <w:lang w:val="es-CR"/>
        </w:rPr>
        <w:t xml:space="preserve">que </w:t>
      </w:r>
      <w:r w:rsidRPr="00D51072">
        <w:rPr>
          <w:i w:val="0"/>
          <w:lang w:val="es-CR"/>
        </w:rPr>
        <w:t>también tiene vigencia en materia disciplinaria, no obstante su alcance depende considerablemente de la materia regulada. La precisión de una norma sancionatoria de naturaleza disciplinaria puede ser diferente a la requerida por el principio de legalidad en materia penal, por la naturaleza de los conflictos que cada una está destinada a resolver</w:t>
      </w:r>
      <w:r w:rsidRPr="00D51072">
        <w:rPr>
          <w:rStyle w:val="Refdenotaalpie"/>
          <w:i w:val="0"/>
          <w:lang w:val="es-CR"/>
        </w:rPr>
        <w:footnoteReference w:id="62"/>
      </w:r>
      <w:r w:rsidR="00CE4D25" w:rsidRPr="00D51072">
        <w:rPr>
          <w:rFonts w:eastAsia="Times"/>
          <w:i w:val="0"/>
          <w:szCs w:val="20"/>
          <w:lang w:eastAsia="es-ES"/>
        </w:rPr>
        <w:t>.</w:t>
      </w:r>
      <w:bookmarkEnd w:id="154"/>
      <w:r w:rsidR="006B6574" w:rsidRPr="00D51072">
        <w:rPr>
          <w:rFonts w:eastAsia="Times"/>
          <w:i w:val="0"/>
          <w:szCs w:val="20"/>
          <w:lang w:eastAsia="es-ES"/>
        </w:rPr>
        <w:t xml:space="preserve"> </w:t>
      </w:r>
      <w:r w:rsidR="00CE4D25" w:rsidRPr="00D51072">
        <w:rPr>
          <w:i w:val="0"/>
          <w:szCs w:val="20"/>
        </w:rPr>
        <w:t xml:space="preserve"> </w:t>
      </w:r>
    </w:p>
    <w:p w14:paraId="5E9DEC44" w14:textId="614525A0" w:rsidR="00E10BEF" w:rsidRPr="00D51072" w:rsidRDefault="00D65C5E" w:rsidP="00E10BEF">
      <w:pPr>
        <w:pStyle w:val="Estilo1"/>
        <w:numPr>
          <w:ilvl w:val="0"/>
          <w:numId w:val="2"/>
        </w:numPr>
        <w:tabs>
          <w:tab w:val="left" w:pos="0"/>
          <w:tab w:val="left" w:pos="567"/>
          <w:tab w:val="left" w:pos="1134"/>
        </w:tabs>
        <w:spacing w:before="120"/>
        <w:ind w:left="0" w:right="-6" w:firstLine="0"/>
        <w:rPr>
          <w:i w:val="0"/>
          <w:lang w:val="es-CR"/>
        </w:rPr>
      </w:pPr>
      <w:r>
        <w:rPr>
          <w:i w:val="0"/>
          <w:lang w:val="es-CR"/>
        </w:rPr>
        <w:t>Del mismo modo</w:t>
      </w:r>
      <w:r w:rsidR="00E10BEF" w:rsidRPr="00D51072">
        <w:rPr>
          <w:i w:val="0"/>
          <w:lang w:val="es-CR"/>
        </w:rPr>
        <w:t xml:space="preserve">, esta Corte expresó en el caso </w:t>
      </w:r>
      <w:r w:rsidR="00E10BEF" w:rsidRPr="00D51072">
        <w:rPr>
          <w:lang w:val="es-CR"/>
        </w:rPr>
        <w:t>López Mendoza Vs. Venezuela</w:t>
      </w:r>
      <w:r w:rsidR="00E10BEF" w:rsidRPr="00D51072">
        <w:rPr>
          <w:i w:val="0"/>
          <w:lang w:val="es-CR"/>
        </w:rPr>
        <w:t xml:space="preserve"> que los problemas de indeterminación del tipo sancionatorio no generan, </w:t>
      </w:r>
      <w:r w:rsidR="00E10BEF" w:rsidRPr="00D51072">
        <w:rPr>
          <w:lang w:val="es-CR"/>
        </w:rPr>
        <w:t>per se</w:t>
      </w:r>
      <w:r w:rsidR="00E10BEF" w:rsidRPr="00D51072">
        <w:rPr>
          <w:i w:val="0"/>
          <w:lang w:val="es-CR"/>
        </w:rPr>
        <w:t>, una violación de la Convención, es decir, que el hecho de que una norma conceda algún tipo de discrecionalidad no es incompatible con el grado de previsibilidad que debe ostentar la norma, siempre y cuando el alcance de la discrecionalidad y la manera en que se debe ejercer sea indicado con suficiente claridad con el fin de brindar una adecuada protección para que una interferencia arbitraria no se produzca</w:t>
      </w:r>
      <w:r w:rsidR="00E10BEF" w:rsidRPr="00D51072">
        <w:rPr>
          <w:rStyle w:val="Refdenotaalpie"/>
          <w:i w:val="0"/>
          <w:lang w:val="es-CR"/>
        </w:rPr>
        <w:footnoteReference w:id="63"/>
      </w:r>
      <w:r w:rsidR="00E10BEF" w:rsidRPr="00D51072">
        <w:rPr>
          <w:i w:val="0"/>
          <w:lang w:val="es-CR"/>
        </w:rPr>
        <w:t xml:space="preserve">. </w:t>
      </w:r>
    </w:p>
    <w:p w14:paraId="229ED430" w14:textId="016726CF" w:rsidR="00F276B9" w:rsidRPr="00D51072" w:rsidRDefault="00F276B9" w:rsidP="00D40F6B">
      <w:pPr>
        <w:pStyle w:val="Estilo1"/>
        <w:numPr>
          <w:ilvl w:val="0"/>
          <w:numId w:val="2"/>
        </w:numPr>
        <w:tabs>
          <w:tab w:val="left" w:pos="0"/>
          <w:tab w:val="left" w:pos="567"/>
          <w:tab w:val="left" w:pos="1134"/>
        </w:tabs>
        <w:spacing w:before="120"/>
        <w:ind w:left="0" w:right="-6" w:firstLine="0"/>
        <w:rPr>
          <w:i w:val="0"/>
          <w:lang w:val="es-CR"/>
        </w:rPr>
      </w:pPr>
      <w:r w:rsidRPr="00D51072">
        <w:rPr>
          <w:i w:val="0"/>
          <w:lang w:val="es-CR"/>
        </w:rPr>
        <w:t xml:space="preserve">En el presente caso la Corte constata que el señor Rico fue sancionado por encontrarse “incurso en las causales previstas en el </w:t>
      </w:r>
      <w:r w:rsidR="00077B3C" w:rsidRPr="00D51072">
        <w:rPr>
          <w:i w:val="0"/>
          <w:lang w:val="es-CR"/>
        </w:rPr>
        <w:t>artículo</w:t>
      </w:r>
      <w:r w:rsidR="001C4988" w:rsidRPr="00D51072">
        <w:rPr>
          <w:i w:val="0"/>
          <w:lang w:val="es-CR"/>
        </w:rPr>
        <w:t xml:space="preserve"> 21, incisos e), f) y k) de la L</w:t>
      </w:r>
      <w:r w:rsidRPr="00D51072">
        <w:rPr>
          <w:i w:val="0"/>
          <w:lang w:val="es-CR"/>
        </w:rPr>
        <w:t>ey 8085</w:t>
      </w:r>
      <w:r w:rsidR="00F71688" w:rsidRPr="00D51072">
        <w:rPr>
          <w:i w:val="0"/>
          <w:lang w:val="es-CR"/>
        </w:rPr>
        <w:t>”</w:t>
      </w:r>
      <w:r w:rsidRPr="00D51072">
        <w:rPr>
          <w:i w:val="0"/>
          <w:lang w:val="es-CR"/>
        </w:rPr>
        <w:t>. Como fuera advertido (</w:t>
      </w:r>
      <w:r w:rsidRPr="00D51072">
        <w:rPr>
          <w:lang w:val="es-CR"/>
        </w:rPr>
        <w:t>supra</w:t>
      </w:r>
      <w:r w:rsidRPr="00D51072">
        <w:rPr>
          <w:i w:val="0"/>
          <w:lang w:val="es-CR"/>
        </w:rPr>
        <w:t xml:space="preserve"> párr. </w:t>
      </w:r>
      <w:r w:rsidR="00AD5155" w:rsidRPr="00D51072">
        <w:rPr>
          <w:i w:val="0"/>
          <w:lang w:val="es-CR"/>
        </w:rPr>
        <w:t>28</w:t>
      </w:r>
      <w:r w:rsidRPr="00D51072">
        <w:rPr>
          <w:i w:val="0"/>
          <w:lang w:val="es-CR"/>
        </w:rPr>
        <w:t>), es</w:t>
      </w:r>
      <w:r w:rsidR="00652592" w:rsidRPr="00D51072">
        <w:rPr>
          <w:i w:val="0"/>
          <w:lang w:val="es-CR"/>
        </w:rPr>
        <w:t>a</w:t>
      </w:r>
      <w:r w:rsidRPr="00D51072">
        <w:rPr>
          <w:i w:val="0"/>
          <w:lang w:val="es-CR"/>
        </w:rPr>
        <w:t xml:space="preserve">s tres </w:t>
      </w:r>
      <w:r w:rsidR="00F71688" w:rsidRPr="00D51072">
        <w:rPr>
          <w:i w:val="0"/>
          <w:lang w:val="es-CR"/>
        </w:rPr>
        <w:t>causales</w:t>
      </w:r>
      <w:r w:rsidR="00D65C5E">
        <w:rPr>
          <w:i w:val="0"/>
          <w:lang w:val="es-CR"/>
        </w:rPr>
        <w:t xml:space="preserve"> que</w:t>
      </w:r>
      <w:r w:rsidR="004C52E7" w:rsidRPr="00D51072">
        <w:rPr>
          <w:i w:val="0"/>
          <w:lang w:val="es-CR"/>
        </w:rPr>
        <w:t xml:space="preserve"> ya se encontraban establecidas de manera previa a la ocurrencia de los distintos hechos que se le acreditaron al señor Rico,</w:t>
      </w:r>
      <w:r w:rsidRPr="00D51072">
        <w:rPr>
          <w:i w:val="0"/>
          <w:lang w:val="es-CR"/>
        </w:rPr>
        <w:t xml:space="preserve"> se refieren a: “e) incompetencia o negligencia reiteradamente demostrada en el ejercicio de sus funciones”; “f) el incumplimiento reiterado de los deberes inherentes al cargo”, y k) dejar transcurrir los términos legales reiteradamente, sin pronunciarse en las cuestiones sometidas a su decisión o dictamen</w:t>
      </w:r>
      <w:r w:rsidR="00D65C5E">
        <w:rPr>
          <w:i w:val="0"/>
          <w:lang w:val="es-CR"/>
        </w:rPr>
        <w:t>”</w:t>
      </w:r>
      <w:r w:rsidR="00F71688" w:rsidRPr="00D51072">
        <w:rPr>
          <w:i w:val="0"/>
          <w:lang w:val="es-CR"/>
        </w:rPr>
        <w:t>.</w:t>
      </w:r>
      <w:r w:rsidR="00D40F6B">
        <w:rPr>
          <w:i w:val="0"/>
          <w:lang w:val="es-CR"/>
        </w:rPr>
        <w:t xml:space="preserve"> A continuación se analizará</w:t>
      </w:r>
      <w:r w:rsidR="00D40F6B" w:rsidRPr="00D40F6B">
        <w:rPr>
          <w:i w:val="0"/>
          <w:lang w:val="es-CR"/>
        </w:rPr>
        <w:t xml:space="preserve"> la legalidad de cada una de las causales disciplinarias por las cuales el señor Rico fue sancionado</w:t>
      </w:r>
      <w:r w:rsidR="00D40F6B">
        <w:rPr>
          <w:i w:val="0"/>
          <w:lang w:val="es-CR"/>
        </w:rPr>
        <w:t>.</w:t>
      </w:r>
    </w:p>
    <w:p w14:paraId="089BF03A" w14:textId="1D076469" w:rsidR="0026673A" w:rsidRPr="00D51072" w:rsidRDefault="0078591C" w:rsidP="00F646B3">
      <w:pPr>
        <w:pStyle w:val="Estilo1"/>
        <w:numPr>
          <w:ilvl w:val="1"/>
          <w:numId w:val="5"/>
        </w:numPr>
        <w:tabs>
          <w:tab w:val="left" w:pos="0"/>
          <w:tab w:val="left" w:pos="567"/>
          <w:tab w:val="left" w:pos="1134"/>
        </w:tabs>
        <w:spacing w:before="240" w:after="240"/>
        <w:ind w:left="426" w:right="0" w:hanging="77"/>
        <w:rPr>
          <w:lang w:val="es-CR"/>
        </w:rPr>
      </w:pPr>
      <w:r w:rsidRPr="00D51072">
        <w:rPr>
          <w:lang w:val="es-CR"/>
        </w:rPr>
        <w:t>Causal de incumplimiento reiterado de los deberes inherentes al cargo (artículo 21.f)</w:t>
      </w:r>
    </w:p>
    <w:p w14:paraId="7A3CD8E7" w14:textId="446EF7AF" w:rsidR="00F71688" w:rsidRPr="00D51072" w:rsidRDefault="00F71688" w:rsidP="00E4556C">
      <w:pPr>
        <w:pStyle w:val="Estilo1"/>
        <w:numPr>
          <w:ilvl w:val="0"/>
          <w:numId w:val="2"/>
        </w:numPr>
        <w:tabs>
          <w:tab w:val="left" w:pos="0"/>
          <w:tab w:val="left" w:pos="567"/>
          <w:tab w:val="left" w:pos="1134"/>
        </w:tabs>
        <w:spacing w:before="120"/>
        <w:ind w:left="0" w:right="-6" w:firstLine="0"/>
        <w:rPr>
          <w:i w:val="0"/>
          <w:lang w:val="es-CR"/>
        </w:rPr>
      </w:pPr>
      <w:r w:rsidRPr="00D51072">
        <w:rPr>
          <w:i w:val="0"/>
          <w:lang w:val="es-CR"/>
        </w:rPr>
        <w:lastRenderedPageBreak/>
        <w:t xml:space="preserve">A su vez, este Tribunal constata que </w:t>
      </w:r>
      <w:r w:rsidR="00E4556C" w:rsidRPr="00D51072">
        <w:rPr>
          <w:i w:val="0"/>
          <w:lang w:val="es-CR"/>
        </w:rPr>
        <w:t xml:space="preserve">el Jurado de Enjuiciamiento encontró que se había configurado la causal de incumplimiento reiterado de los deberes inherentes al cargo (artículo 21.f) debido a que se tuvo por probado que el señor Rico: a) se negó a suscribir un acuerdo de formalización de cambio de Presidencia del Tribunal que integraba, calificando a sus colegas como </w:t>
      </w:r>
      <w:r w:rsidR="00E827A5" w:rsidRPr="00D51072">
        <w:rPr>
          <w:i w:val="0"/>
          <w:lang w:val="es-CR"/>
        </w:rPr>
        <w:t>“</w:t>
      </w:r>
      <w:r w:rsidR="00E4556C" w:rsidRPr="00D51072">
        <w:rPr>
          <w:i w:val="0"/>
          <w:lang w:val="es-CR"/>
        </w:rPr>
        <w:t>Presidente de facto y Vice de facto</w:t>
      </w:r>
      <w:r w:rsidR="00E827A5" w:rsidRPr="00D51072">
        <w:rPr>
          <w:i w:val="0"/>
          <w:lang w:val="es-CR"/>
        </w:rPr>
        <w:t>”;</w:t>
      </w:r>
      <w:r w:rsidR="00E4556C" w:rsidRPr="00D51072">
        <w:rPr>
          <w:i w:val="0"/>
          <w:lang w:val="es-CR"/>
        </w:rPr>
        <w:t xml:space="preserve"> b) obstaculizó la celebración de audiencias porque tenía la costumbre de leer los expedientes minutos antes de la celebración de cada acto</w:t>
      </w:r>
      <w:r w:rsidR="00E827A5" w:rsidRPr="00D51072">
        <w:rPr>
          <w:i w:val="0"/>
          <w:lang w:val="es-CR"/>
        </w:rPr>
        <w:t>;</w:t>
      </w:r>
      <w:r w:rsidR="00E4556C" w:rsidRPr="00D51072">
        <w:rPr>
          <w:i w:val="0"/>
          <w:lang w:val="es-CR"/>
        </w:rPr>
        <w:t xml:space="preserve"> c) ordenó la reserva de todos los expedientes en los que intervenía un abogado del foro. Dispuso además que la consulta de las actuaciones debía llevarse a cabo bajo estricto control, hasta el momento en que médicos psiquiatras se expidieran sobre la salud mental del letrado</w:t>
      </w:r>
      <w:r w:rsidR="00E827A5" w:rsidRPr="00D51072">
        <w:rPr>
          <w:i w:val="0"/>
          <w:lang w:val="es-CR"/>
        </w:rPr>
        <w:t>;</w:t>
      </w:r>
      <w:r w:rsidR="00E4556C" w:rsidRPr="00D51072">
        <w:rPr>
          <w:i w:val="0"/>
          <w:lang w:val="es-CR"/>
        </w:rPr>
        <w:t xml:space="preserve"> d) se había negado a jurar promesa de lealtad a la bandera de la Provincia de Buenos Aires</w:t>
      </w:r>
      <w:r w:rsidR="00E827A5" w:rsidRPr="00D51072">
        <w:rPr>
          <w:i w:val="0"/>
          <w:lang w:val="es-CR"/>
        </w:rPr>
        <w:t>;</w:t>
      </w:r>
      <w:r w:rsidR="00E4556C" w:rsidRPr="00D51072">
        <w:rPr>
          <w:i w:val="0"/>
          <w:lang w:val="es-CR"/>
        </w:rPr>
        <w:t xml:space="preserve"> e)</w:t>
      </w:r>
      <w:r w:rsidR="00E827A5" w:rsidRPr="00D51072">
        <w:rPr>
          <w:i w:val="0"/>
          <w:lang w:val="es-CR"/>
        </w:rPr>
        <w:t xml:space="preserve"> se</w:t>
      </w:r>
      <w:r w:rsidR="00E4556C" w:rsidRPr="00D51072">
        <w:rPr>
          <w:i w:val="0"/>
          <w:lang w:val="es-CR"/>
        </w:rPr>
        <w:t xml:space="preserve"> negó a emitir su voto en causas mediando una obligación legal. Al respecto, se advirtió que en varios expedientes </w:t>
      </w:r>
      <w:r w:rsidR="00E549CF" w:rsidRPr="00D51072">
        <w:rPr>
          <w:i w:val="0"/>
          <w:lang w:val="es-CR"/>
        </w:rPr>
        <w:t>e</w:t>
      </w:r>
      <w:r w:rsidR="00E4556C" w:rsidRPr="00D51072">
        <w:rPr>
          <w:i w:val="0"/>
          <w:lang w:val="es-CR"/>
        </w:rPr>
        <w:t>ste se negó a firmar las resoluciones, aduciendo en algunos que la intervención de sus colegas había sido adulterada, y en otro que los montos de conciliación homologados por las partes eran exiguos negándose sin embargo a dictaminar en disidencia</w:t>
      </w:r>
      <w:r w:rsidR="00E827A5" w:rsidRPr="00D51072">
        <w:rPr>
          <w:i w:val="0"/>
          <w:lang w:val="es-CR"/>
        </w:rPr>
        <w:t>;</w:t>
      </w:r>
      <w:r w:rsidR="00E4556C" w:rsidRPr="00D51072">
        <w:rPr>
          <w:i w:val="0"/>
          <w:lang w:val="es-CR"/>
        </w:rPr>
        <w:t xml:space="preserve"> f) trató en forma inapropiada a empleados del Tribunal y a abogados litigantes, y g) había utilizado una </w:t>
      </w:r>
      <w:r w:rsidR="00E827A5" w:rsidRPr="00D51072">
        <w:rPr>
          <w:i w:val="0"/>
          <w:lang w:val="es-CR"/>
        </w:rPr>
        <w:t>placa</w:t>
      </w:r>
      <w:r w:rsidR="00E4556C" w:rsidRPr="00D51072">
        <w:rPr>
          <w:i w:val="0"/>
          <w:lang w:val="es-CR"/>
        </w:rPr>
        <w:t xml:space="preserve"> patente oficial del Poder Judicial sin autorización. Asimismo se apreció que existieron quejas de profesionales y partes que veían alterados los horarios previstos en las causas y que ello trasuntaba falta de consideración hacia ellos, y que existía prueba documental que acreditaba las inconductas, según surgía de actuaciones disciplinarias previas</w:t>
      </w:r>
      <w:r w:rsidR="00E4556C" w:rsidRPr="00D51072">
        <w:rPr>
          <w:rStyle w:val="Refdenotaalpie"/>
          <w:i w:val="0"/>
          <w:lang w:val="es-CR"/>
        </w:rPr>
        <w:footnoteReference w:id="64"/>
      </w:r>
      <w:r w:rsidR="00E4556C" w:rsidRPr="00D51072">
        <w:rPr>
          <w:i w:val="0"/>
          <w:lang w:val="es-CR"/>
        </w:rPr>
        <w:t>.</w:t>
      </w:r>
    </w:p>
    <w:p w14:paraId="38CCCCDB" w14:textId="62B33FE6" w:rsidR="0017078C" w:rsidRPr="00D51072" w:rsidRDefault="003E3E9B" w:rsidP="00EA08BD">
      <w:pPr>
        <w:pStyle w:val="Estilo1"/>
        <w:numPr>
          <w:ilvl w:val="0"/>
          <w:numId w:val="2"/>
        </w:numPr>
        <w:tabs>
          <w:tab w:val="left" w:pos="0"/>
          <w:tab w:val="left" w:pos="567"/>
          <w:tab w:val="left" w:pos="1134"/>
        </w:tabs>
        <w:spacing w:before="120"/>
        <w:ind w:left="0" w:right="-6" w:firstLine="0"/>
        <w:rPr>
          <w:i w:val="0"/>
          <w:lang w:val="es-CR"/>
        </w:rPr>
      </w:pPr>
      <w:r>
        <w:rPr>
          <w:i w:val="0"/>
          <w:lang w:val="es-CR"/>
        </w:rPr>
        <w:t>Sobre</w:t>
      </w:r>
      <w:r w:rsidR="004C52E7" w:rsidRPr="00D51072">
        <w:rPr>
          <w:i w:val="0"/>
          <w:lang w:val="es-CR"/>
        </w:rPr>
        <w:t xml:space="preserve"> esta causal, el Tribunal nota que varias de las conductas que </w:t>
      </w:r>
      <w:r>
        <w:rPr>
          <w:i w:val="0"/>
          <w:lang w:val="es-CR"/>
        </w:rPr>
        <w:t>se atribuyeron</w:t>
      </w:r>
      <w:r w:rsidR="004C52E7" w:rsidRPr="00D51072">
        <w:rPr>
          <w:i w:val="0"/>
          <w:lang w:val="es-CR"/>
        </w:rPr>
        <w:t xml:space="preserve"> </w:t>
      </w:r>
      <w:r w:rsidR="0017078C" w:rsidRPr="00D51072">
        <w:rPr>
          <w:i w:val="0"/>
          <w:lang w:val="es-CR"/>
        </w:rPr>
        <w:t xml:space="preserve">al señor </w:t>
      </w:r>
      <w:r w:rsidR="00E827A5" w:rsidRPr="00D51072">
        <w:rPr>
          <w:i w:val="0"/>
          <w:lang w:val="es-CR"/>
        </w:rPr>
        <w:t>R</w:t>
      </w:r>
      <w:r w:rsidR="0017078C" w:rsidRPr="00D51072">
        <w:rPr>
          <w:i w:val="0"/>
          <w:lang w:val="es-CR"/>
        </w:rPr>
        <w:t xml:space="preserve">ico y que </w:t>
      </w:r>
      <w:r>
        <w:rPr>
          <w:i w:val="0"/>
          <w:lang w:val="es-CR"/>
        </w:rPr>
        <w:t xml:space="preserve">se </w:t>
      </w:r>
      <w:r w:rsidR="0017078C" w:rsidRPr="00D51072">
        <w:rPr>
          <w:i w:val="0"/>
          <w:lang w:val="es-CR"/>
        </w:rPr>
        <w:t>conside</w:t>
      </w:r>
      <w:r>
        <w:rPr>
          <w:i w:val="0"/>
          <w:lang w:val="es-CR"/>
        </w:rPr>
        <w:t>raron</w:t>
      </w:r>
      <w:r w:rsidR="0017078C" w:rsidRPr="00D51072">
        <w:rPr>
          <w:i w:val="0"/>
          <w:lang w:val="es-CR"/>
        </w:rPr>
        <w:t xml:space="preserve"> acreditadas</w:t>
      </w:r>
      <w:r>
        <w:rPr>
          <w:i w:val="0"/>
          <w:lang w:val="es-CR"/>
        </w:rPr>
        <w:t>,</w:t>
      </w:r>
      <w:r w:rsidR="0017078C" w:rsidRPr="00D51072">
        <w:rPr>
          <w:i w:val="0"/>
          <w:lang w:val="es-CR"/>
        </w:rPr>
        <w:t xml:space="preserve"> </w:t>
      </w:r>
      <w:r w:rsidR="004C52E7" w:rsidRPr="00D51072">
        <w:rPr>
          <w:i w:val="0"/>
          <w:lang w:val="es-CR"/>
        </w:rPr>
        <w:t xml:space="preserve">se refieren </w:t>
      </w:r>
      <w:r w:rsidR="0017078C" w:rsidRPr="00D51072">
        <w:rPr>
          <w:i w:val="0"/>
          <w:lang w:val="es-CR"/>
        </w:rPr>
        <w:t xml:space="preserve">a incumplimientos de actividades que constituyen funciones propias de la </w:t>
      </w:r>
      <w:r w:rsidR="00EE6E05">
        <w:rPr>
          <w:i w:val="0"/>
          <w:lang w:val="es-CR"/>
        </w:rPr>
        <w:t>labor</w:t>
      </w:r>
      <w:r w:rsidR="0017078C" w:rsidRPr="00D51072">
        <w:rPr>
          <w:i w:val="0"/>
          <w:lang w:val="es-CR"/>
        </w:rPr>
        <w:t xml:space="preserve"> de un juez. A juicio de esta Corte</w:t>
      </w:r>
      <w:r w:rsidR="00652592" w:rsidRPr="00D51072">
        <w:rPr>
          <w:i w:val="0"/>
          <w:lang w:val="es-CR"/>
        </w:rPr>
        <w:t>,</w:t>
      </w:r>
      <w:r w:rsidR="0017078C" w:rsidRPr="00D51072">
        <w:rPr>
          <w:i w:val="0"/>
          <w:lang w:val="es-CR"/>
        </w:rPr>
        <w:t xml:space="preserve"> resulta razonable sostener que el señor Rico</w:t>
      </w:r>
      <w:r w:rsidR="008E7C19" w:rsidRPr="00D51072">
        <w:rPr>
          <w:i w:val="0"/>
          <w:lang w:val="es-CR"/>
        </w:rPr>
        <w:t xml:space="preserve">, </w:t>
      </w:r>
      <w:r w:rsidR="0017078C" w:rsidRPr="00D51072">
        <w:rPr>
          <w:i w:val="0"/>
          <w:lang w:val="es-CR"/>
        </w:rPr>
        <w:t xml:space="preserve">estaba en medida de prever que </w:t>
      </w:r>
      <w:r w:rsidR="008E7C19" w:rsidRPr="00D51072">
        <w:rPr>
          <w:i w:val="0"/>
          <w:lang w:val="es-CR"/>
        </w:rPr>
        <w:t xml:space="preserve">la causal de </w:t>
      </w:r>
      <w:r w:rsidR="0017078C" w:rsidRPr="00D51072">
        <w:rPr>
          <w:i w:val="0"/>
          <w:lang w:val="es-CR"/>
        </w:rPr>
        <w:t xml:space="preserve">incumplimiento </w:t>
      </w:r>
      <w:r w:rsidR="008E7C19" w:rsidRPr="00D51072">
        <w:rPr>
          <w:i w:val="0"/>
          <w:lang w:val="es-CR"/>
        </w:rPr>
        <w:t xml:space="preserve">reiterado de los deberes inherentes al cargo </w:t>
      </w:r>
      <w:r w:rsidR="0017078C" w:rsidRPr="00D51072">
        <w:rPr>
          <w:i w:val="0"/>
          <w:lang w:val="es-CR"/>
        </w:rPr>
        <w:t xml:space="preserve">se relaciona con las funciones principales que debe </w:t>
      </w:r>
      <w:r w:rsidR="008E7C19" w:rsidRPr="00D51072">
        <w:rPr>
          <w:i w:val="0"/>
          <w:lang w:val="es-CR"/>
        </w:rPr>
        <w:t>cumplir como juez, y que sin duda la celebración de audiencias o la emisión de votos en diversas causas, forma</w:t>
      </w:r>
      <w:r>
        <w:rPr>
          <w:i w:val="0"/>
          <w:lang w:val="es-CR"/>
        </w:rPr>
        <w:t>n</w:t>
      </w:r>
      <w:r w:rsidR="008E7C19" w:rsidRPr="00D51072">
        <w:rPr>
          <w:i w:val="0"/>
          <w:lang w:val="es-CR"/>
        </w:rPr>
        <w:t xml:space="preserve"> parte de esos deberes. En ese sentido, est</w:t>
      </w:r>
      <w:r w:rsidR="00652592" w:rsidRPr="00D51072">
        <w:rPr>
          <w:i w:val="0"/>
          <w:lang w:val="es-CR"/>
        </w:rPr>
        <w:t>e</w:t>
      </w:r>
      <w:r w:rsidR="008E7C19" w:rsidRPr="00D51072">
        <w:rPr>
          <w:i w:val="0"/>
          <w:lang w:val="es-CR"/>
        </w:rPr>
        <w:t xml:space="preserve"> </w:t>
      </w:r>
      <w:r w:rsidR="00652592" w:rsidRPr="00D51072">
        <w:rPr>
          <w:i w:val="0"/>
          <w:lang w:val="es-CR"/>
        </w:rPr>
        <w:t>Tribunal</w:t>
      </w:r>
      <w:r w:rsidR="008E7C19" w:rsidRPr="00D51072">
        <w:rPr>
          <w:i w:val="0"/>
          <w:lang w:val="es-CR"/>
        </w:rPr>
        <w:t xml:space="preserve"> no encuentra que el Jurado de Enjuiciamiento hubiese hecho uso de manera evidente y notoria de una discrecionalidad incompatible con el grado de previsibilidad que debe ostentar la norma o que la misma se hubiese materializado en una decisión arbitraria en violación del principio de legalidad contenido en el artículo 9 de la Convención.</w:t>
      </w:r>
    </w:p>
    <w:p w14:paraId="1E6C1F68" w14:textId="068A9E52" w:rsidR="0078591C" w:rsidRPr="00D51072" w:rsidRDefault="0078591C" w:rsidP="00F646B3">
      <w:pPr>
        <w:pStyle w:val="Estilo1"/>
        <w:numPr>
          <w:ilvl w:val="1"/>
          <w:numId w:val="5"/>
        </w:numPr>
        <w:tabs>
          <w:tab w:val="left" w:pos="0"/>
          <w:tab w:val="left" w:pos="567"/>
          <w:tab w:val="left" w:pos="1134"/>
        </w:tabs>
        <w:spacing w:before="240" w:after="240"/>
        <w:ind w:left="426" w:right="0" w:hanging="77"/>
        <w:rPr>
          <w:lang w:val="es-CR"/>
        </w:rPr>
      </w:pPr>
      <w:r w:rsidRPr="00D51072">
        <w:rPr>
          <w:lang w:val="es-CR"/>
        </w:rPr>
        <w:t>Causal contenida en el artículo 21.e, sobre incompetencia o negligencia reiteradamente demostrada en el ejercicio de sus funciones</w:t>
      </w:r>
    </w:p>
    <w:p w14:paraId="60D4DC81" w14:textId="22D70B5D" w:rsidR="00F86E8F" w:rsidRPr="00D51072" w:rsidRDefault="00F86E8F" w:rsidP="00D97035">
      <w:pPr>
        <w:pStyle w:val="Estilo1"/>
        <w:numPr>
          <w:ilvl w:val="0"/>
          <w:numId w:val="2"/>
        </w:numPr>
        <w:tabs>
          <w:tab w:val="left" w:pos="0"/>
          <w:tab w:val="left" w:pos="567"/>
          <w:tab w:val="left" w:pos="1134"/>
        </w:tabs>
        <w:spacing w:before="120"/>
        <w:ind w:left="0" w:right="-6" w:firstLine="0"/>
        <w:rPr>
          <w:i w:val="0"/>
          <w:lang w:val="es-CR"/>
        </w:rPr>
      </w:pPr>
      <w:r w:rsidRPr="00D51072">
        <w:rPr>
          <w:i w:val="0"/>
          <w:lang w:val="es-CR"/>
        </w:rPr>
        <w:t xml:space="preserve">Por otra parte, </w:t>
      </w:r>
      <w:r w:rsidR="003E3E9B">
        <w:rPr>
          <w:i w:val="0"/>
          <w:lang w:val="es-CR"/>
        </w:rPr>
        <w:t>sobre</w:t>
      </w:r>
      <w:r w:rsidRPr="00D51072">
        <w:rPr>
          <w:i w:val="0"/>
          <w:lang w:val="es-CR"/>
        </w:rPr>
        <w:t xml:space="preserve"> la causal contenida en el artículo 21.e, </w:t>
      </w:r>
      <w:r w:rsidR="00D97035" w:rsidRPr="00D51072">
        <w:rPr>
          <w:i w:val="0"/>
          <w:lang w:val="es-CR"/>
        </w:rPr>
        <w:t xml:space="preserve">sobre </w:t>
      </w:r>
      <w:r w:rsidRPr="00D51072">
        <w:rPr>
          <w:i w:val="0"/>
          <w:lang w:val="es-CR"/>
        </w:rPr>
        <w:t xml:space="preserve">incompetencia o negligencia reiteradamente demostrada en el ejercicio de sus funciones, </w:t>
      </w:r>
      <w:r w:rsidR="00D97035" w:rsidRPr="00D51072">
        <w:rPr>
          <w:i w:val="0"/>
          <w:lang w:val="es-CR"/>
        </w:rPr>
        <w:t xml:space="preserve">se pudo comprobar que el señor Rico recusó a sus colegas para que se abstuvieran de intervenir en las causas en las que él mismo hubiese sido recusado. Según las consideraciones vertidas por el Jurado de Enjuiciamiento, la materialidad del hecho surgía de las constancias de varios expedientes agregadas al proceso, en los que el señor Rico solicitó reiteradamente a sus colegas que se abstuvieran de intervenir en causas en las que actuara el abogado González Rubio, quien había recusado a la presunta víctima en esas causas indicando que había </w:t>
      </w:r>
      <w:r w:rsidR="003E3E9B">
        <w:rPr>
          <w:i w:val="0"/>
          <w:lang w:val="es-CR"/>
        </w:rPr>
        <w:t>“</w:t>
      </w:r>
      <w:r w:rsidR="00D97035" w:rsidRPr="00D51072">
        <w:rPr>
          <w:i w:val="0"/>
          <w:lang w:val="es-CR"/>
        </w:rPr>
        <w:t>perdido su jurisdicción</w:t>
      </w:r>
      <w:r w:rsidR="003E3E9B">
        <w:rPr>
          <w:i w:val="0"/>
          <w:lang w:val="es-CR"/>
        </w:rPr>
        <w:t>”</w:t>
      </w:r>
      <w:r w:rsidR="00D97035" w:rsidRPr="00D51072">
        <w:rPr>
          <w:i w:val="0"/>
          <w:lang w:val="es-CR"/>
        </w:rPr>
        <w:t xml:space="preserve"> por entender que estaban vencidos los plazos para dictar sentencia</w:t>
      </w:r>
      <w:r w:rsidR="00687A8A" w:rsidRPr="00D51072">
        <w:rPr>
          <w:rStyle w:val="Refdenotaalpie"/>
          <w:i w:val="0"/>
          <w:lang w:val="es-CR"/>
        </w:rPr>
        <w:footnoteReference w:id="65"/>
      </w:r>
      <w:r w:rsidR="00D97035" w:rsidRPr="00D51072">
        <w:rPr>
          <w:i w:val="0"/>
          <w:lang w:val="es-CR"/>
        </w:rPr>
        <w:t>.</w:t>
      </w:r>
    </w:p>
    <w:p w14:paraId="1AC43CBA" w14:textId="674473BC" w:rsidR="00261E7D" w:rsidRPr="00D51072" w:rsidRDefault="00AA1B8B" w:rsidP="00261E7D">
      <w:pPr>
        <w:pStyle w:val="Estilo1"/>
        <w:numPr>
          <w:ilvl w:val="0"/>
          <w:numId w:val="2"/>
        </w:numPr>
        <w:tabs>
          <w:tab w:val="left" w:pos="0"/>
          <w:tab w:val="left" w:pos="567"/>
          <w:tab w:val="left" w:pos="1134"/>
        </w:tabs>
        <w:spacing w:before="120"/>
        <w:ind w:left="0" w:right="-6" w:firstLine="0"/>
        <w:rPr>
          <w:i w:val="0"/>
          <w:lang w:val="es-CR"/>
        </w:rPr>
      </w:pPr>
      <w:r w:rsidRPr="00D51072">
        <w:rPr>
          <w:i w:val="0"/>
          <w:lang w:val="es-CR"/>
        </w:rPr>
        <w:t>Sobre este punto</w:t>
      </w:r>
      <w:r w:rsidR="00BE29BF" w:rsidRPr="00D51072">
        <w:rPr>
          <w:i w:val="0"/>
          <w:lang w:val="es-CR"/>
        </w:rPr>
        <w:t xml:space="preserve">, el Tribunal advierte que </w:t>
      </w:r>
      <w:r w:rsidR="00261E7D" w:rsidRPr="00D51072">
        <w:rPr>
          <w:i w:val="0"/>
          <w:lang w:val="es-CR"/>
        </w:rPr>
        <w:t>los</w:t>
      </w:r>
      <w:r w:rsidR="00BE29BF" w:rsidRPr="00D51072">
        <w:rPr>
          <w:i w:val="0"/>
          <w:lang w:val="es-CR"/>
        </w:rPr>
        <w:t xml:space="preserve"> </w:t>
      </w:r>
      <w:r w:rsidR="00261E7D" w:rsidRPr="00D51072">
        <w:rPr>
          <w:i w:val="0"/>
          <w:lang w:val="es-CR"/>
        </w:rPr>
        <w:t xml:space="preserve">comportamientos </w:t>
      </w:r>
      <w:r w:rsidR="00BE29BF" w:rsidRPr="00D51072">
        <w:rPr>
          <w:i w:val="0"/>
          <w:lang w:val="es-CR"/>
        </w:rPr>
        <w:t xml:space="preserve">que </w:t>
      </w:r>
      <w:r w:rsidR="003E3E9B">
        <w:rPr>
          <w:i w:val="0"/>
          <w:lang w:val="es-CR"/>
        </w:rPr>
        <w:t>se</w:t>
      </w:r>
      <w:r w:rsidR="00BE29BF" w:rsidRPr="00D51072">
        <w:rPr>
          <w:i w:val="0"/>
          <w:lang w:val="es-CR"/>
        </w:rPr>
        <w:t xml:space="preserve"> imput</w:t>
      </w:r>
      <w:r w:rsidR="003E3E9B">
        <w:rPr>
          <w:i w:val="0"/>
          <w:lang w:val="es-CR"/>
        </w:rPr>
        <w:t>aron</w:t>
      </w:r>
      <w:r w:rsidR="00261E7D" w:rsidRPr="00D51072">
        <w:rPr>
          <w:i w:val="0"/>
          <w:lang w:val="es-CR"/>
        </w:rPr>
        <w:t xml:space="preserve"> al señor R</w:t>
      </w:r>
      <w:r w:rsidR="00BE29BF" w:rsidRPr="00D51072">
        <w:rPr>
          <w:i w:val="0"/>
          <w:lang w:val="es-CR"/>
        </w:rPr>
        <w:t xml:space="preserve">ico y que </w:t>
      </w:r>
      <w:r w:rsidR="003E3E9B">
        <w:rPr>
          <w:i w:val="0"/>
          <w:lang w:val="es-CR"/>
        </w:rPr>
        <w:t xml:space="preserve">se </w:t>
      </w:r>
      <w:r w:rsidR="00BE29BF" w:rsidRPr="00D51072">
        <w:rPr>
          <w:i w:val="0"/>
          <w:lang w:val="es-CR"/>
        </w:rPr>
        <w:t>consider</w:t>
      </w:r>
      <w:r w:rsidR="003E3E9B">
        <w:rPr>
          <w:i w:val="0"/>
          <w:lang w:val="es-CR"/>
        </w:rPr>
        <w:t>aron</w:t>
      </w:r>
      <w:r w:rsidR="00BE29BF" w:rsidRPr="00D51072">
        <w:rPr>
          <w:i w:val="0"/>
          <w:lang w:val="es-CR"/>
        </w:rPr>
        <w:t xml:space="preserve"> </w:t>
      </w:r>
      <w:r w:rsidR="00FB362B" w:rsidRPr="00D51072">
        <w:rPr>
          <w:i w:val="0"/>
          <w:lang w:val="es-CR"/>
        </w:rPr>
        <w:t xml:space="preserve">acreditados </w:t>
      </w:r>
      <w:r w:rsidR="00BE29BF" w:rsidRPr="00D51072">
        <w:rPr>
          <w:i w:val="0"/>
          <w:lang w:val="es-CR"/>
        </w:rPr>
        <w:t xml:space="preserve">se refieren a conductas inapropiadas en el ejercicio de </w:t>
      </w:r>
      <w:r w:rsidR="00261E7D" w:rsidRPr="00D51072">
        <w:rPr>
          <w:i w:val="0"/>
          <w:lang w:val="es-CR"/>
        </w:rPr>
        <w:t>su cargo como juez</w:t>
      </w:r>
      <w:r w:rsidR="00BE29BF" w:rsidRPr="00D51072">
        <w:rPr>
          <w:i w:val="0"/>
          <w:lang w:val="es-CR"/>
        </w:rPr>
        <w:t>.</w:t>
      </w:r>
      <w:r w:rsidR="00261E7D" w:rsidRPr="00D51072">
        <w:rPr>
          <w:i w:val="0"/>
          <w:lang w:val="es-CR"/>
        </w:rPr>
        <w:t xml:space="preserve"> En ese sentido, la Corte entiende que cuando el señor Rico recusó a sus colegas para que se abstuvieran de intervenir en las causas en las que él mismo hubiese sido recusado, era accesible y previsible para él que ello podría constituir una forma </w:t>
      </w:r>
      <w:r w:rsidR="00261E7D" w:rsidRPr="00D51072">
        <w:rPr>
          <w:i w:val="0"/>
          <w:lang w:val="es-CR"/>
        </w:rPr>
        <w:lastRenderedPageBreak/>
        <w:t>de incompetencia o negligencia en el ejercicio de sus funciones. Por tanto, este Tribunal no encuentra que el Jurado de Enjuiciamiento hubiese hecho uso de manera evidente y notoria de una discrecionalidad incompatible con el grado de previsibilidad que debe ostentar la norma o que la misma se hubiese materializado en una decisión arbitraria en violación del principio de legalidad contenido en el artículo 9 de la Convención.</w:t>
      </w:r>
    </w:p>
    <w:p w14:paraId="397DF5BC" w14:textId="4E844D3D" w:rsidR="0078591C" w:rsidRPr="00D51072" w:rsidRDefault="0078591C" w:rsidP="00F646B3">
      <w:pPr>
        <w:pStyle w:val="Estilo1"/>
        <w:numPr>
          <w:ilvl w:val="1"/>
          <w:numId w:val="5"/>
        </w:numPr>
        <w:tabs>
          <w:tab w:val="left" w:pos="0"/>
          <w:tab w:val="left" w:pos="567"/>
          <w:tab w:val="left" w:pos="1134"/>
        </w:tabs>
        <w:spacing w:before="240" w:after="240"/>
        <w:ind w:left="426" w:right="0" w:hanging="77"/>
        <w:rPr>
          <w:lang w:val="es-CR"/>
        </w:rPr>
      </w:pPr>
      <w:r w:rsidRPr="00D51072">
        <w:rPr>
          <w:lang w:val="es-CR"/>
        </w:rPr>
        <w:t>Causal contenida en el artículo 21.k (dejar transcurrir los términos legales reiteradamente, sin pronunciarse en las cuestiones sometidas a su decisión o dictamen)</w:t>
      </w:r>
    </w:p>
    <w:p w14:paraId="057B7C45" w14:textId="17E83126" w:rsidR="00261E7D" w:rsidRPr="00D51072" w:rsidRDefault="00D97035" w:rsidP="00EA08BD">
      <w:pPr>
        <w:pStyle w:val="Estilo1"/>
        <w:numPr>
          <w:ilvl w:val="0"/>
          <w:numId w:val="2"/>
        </w:numPr>
        <w:tabs>
          <w:tab w:val="left" w:pos="0"/>
          <w:tab w:val="left" w:pos="567"/>
          <w:tab w:val="left" w:pos="1134"/>
        </w:tabs>
        <w:spacing w:before="120"/>
        <w:ind w:left="0" w:right="-6" w:firstLine="0"/>
        <w:rPr>
          <w:i w:val="0"/>
          <w:lang w:val="es-CR"/>
        </w:rPr>
      </w:pPr>
      <w:r w:rsidRPr="00D51072">
        <w:rPr>
          <w:i w:val="0"/>
          <w:lang w:val="es-CR"/>
        </w:rPr>
        <w:t xml:space="preserve">Por último, el </w:t>
      </w:r>
      <w:r w:rsidR="000974BA" w:rsidRPr="00D51072">
        <w:rPr>
          <w:i w:val="0"/>
          <w:lang w:val="es-CR"/>
        </w:rPr>
        <w:t>J</w:t>
      </w:r>
      <w:r w:rsidRPr="00D51072">
        <w:rPr>
          <w:i w:val="0"/>
          <w:lang w:val="es-CR"/>
        </w:rPr>
        <w:t xml:space="preserve">urado de </w:t>
      </w:r>
      <w:r w:rsidR="000974BA" w:rsidRPr="00D51072">
        <w:rPr>
          <w:i w:val="0"/>
          <w:lang w:val="es-CR"/>
        </w:rPr>
        <w:t>E</w:t>
      </w:r>
      <w:r w:rsidRPr="00D51072">
        <w:rPr>
          <w:i w:val="0"/>
          <w:lang w:val="es-CR"/>
        </w:rPr>
        <w:t>njuiciamiento encontró con respecto a la causal contenida en el artículo 21.k (dejar transcurrir los términos legales reiteradamente, sin pronunciarse en las cuestiones sometidas a su decisión o dictamen) que el señor Rico dejó vencer términos procesales para el dictado de sentencias, y que se pronunció después de que las partes efectuaban reclamos de pronto despacho</w:t>
      </w:r>
      <w:r w:rsidR="00687A8A" w:rsidRPr="00D51072">
        <w:rPr>
          <w:rStyle w:val="Refdenotaalpie"/>
          <w:i w:val="0"/>
          <w:lang w:val="es-CR"/>
        </w:rPr>
        <w:footnoteReference w:id="66"/>
      </w:r>
      <w:r w:rsidRPr="00D51072">
        <w:rPr>
          <w:i w:val="0"/>
          <w:lang w:val="es-CR"/>
        </w:rPr>
        <w:t>.</w:t>
      </w:r>
      <w:r w:rsidR="00BE29BF" w:rsidRPr="00D51072">
        <w:rPr>
          <w:i w:val="0"/>
          <w:lang w:val="es-CR"/>
        </w:rPr>
        <w:t xml:space="preserve"> </w:t>
      </w:r>
      <w:r w:rsidR="00AA1B8B" w:rsidRPr="00D51072">
        <w:rPr>
          <w:i w:val="0"/>
          <w:lang w:val="es-CR"/>
        </w:rPr>
        <w:t>A juicio del Tribunal, no cabe duda que la enunciaci</w:t>
      </w:r>
      <w:r w:rsidR="00BE29BF" w:rsidRPr="00D51072">
        <w:rPr>
          <w:i w:val="0"/>
          <w:lang w:val="es-CR"/>
        </w:rPr>
        <w:t>ón del artículo 21.k resulta inequív</w:t>
      </w:r>
      <w:r w:rsidR="00E827A5" w:rsidRPr="00D51072">
        <w:rPr>
          <w:i w:val="0"/>
          <w:lang w:val="es-CR"/>
        </w:rPr>
        <w:t>oca, y que la causal se refiere</w:t>
      </w:r>
      <w:r w:rsidR="00BE29BF" w:rsidRPr="00D51072">
        <w:rPr>
          <w:i w:val="0"/>
          <w:lang w:val="es-CR"/>
        </w:rPr>
        <w:t xml:space="preserve"> a situaciones precisas y determinadas. En el caso concreto, el Jurado de Enjuiciamiento encontró que el señor Rico había dejado vencer términos procesales, situación que corresponde con el tipo sancionatorio previsto en el artículo 21.k de la </w:t>
      </w:r>
      <w:r w:rsidR="00130397" w:rsidRPr="00D51072">
        <w:rPr>
          <w:i w:val="0"/>
          <w:lang w:val="es-CR"/>
        </w:rPr>
        <w:t>L</w:t>
      </w:r>
      <w:r w:rsidR="00BE29BF" w:rsidRPr="00D51072">
        <w:rPr>
          <w:i w:val="0"/>
          <w:lang w:val="es-CR"/>
        </w:rPr>
        <w:t xml:space="preserve">ey 8085. En consecuencia, la Corte concluye que el Estado no vulneró el principio de legalidad en relación con esta causal. </w:t>
      </w:r>
    </w:p>
    <w:p w14:paraId="058B0100" w14:textId="4C0A16A9" w:rsidR="0078591C" w:rsidRPr="00D51072" w:rsidRDefault="0026673A" w:rsidP="00AF3B64">
      <w:pPr>
        <w:pStyle w:val="Prrafodelista"/>
        <w:spacing w:before="240" w:after="240"/>
        <w:ind w:left="708" w:firstLine="12"/>
        <w:contextualSpacing w:val="0"/>
        <w:outlineLvl w:val="2"/>
        <w:rPr>
          <w:i/>
          <w:lang w:val="es-CR"/>
        </w:rPr>
      </w:pPr>
      <w:bookmarkStart w:id="155" w:name="_Toc23415016"/>
      <w:r w:rsidRPr="00D51072">
        <w:rPr>
          <w:i/>
          <w:lang w:val="es-CR"/>
        </w:rPr>
        <w:t xml:space="preserve">B.2. </w:t>
      </w:r>
      <w:r w:rsidRPr="00D51072">
        <w:rPr>
          <w:i/>
          <w:szCs w:val="20"/>
          <w:lang w:val="es-CR" w:eastAsia="es-ES"/>
        </w:rPr>
        <w:t>Derechos</w:t>
      </w:r>
      <w:r w:rsidRPr="00D51072">
        <w:rPr>
          <w:i/>
          <w:lang w:val="es-CR"/>
        </w:rPr>
        <w:t xml:space="preserve"> Políticos</w:t>
      </w:r>
      <w:r w:rsidR="0078591C" w:rsidRPr="00D51072">
        <w:rPr>
          <w:i/>
          <w:lang w:val="es-CR"/>
        </w:rPr>
        <w:t xml:space="preserve"> del señor Rico</w:t>
      </w:r>
      <w:bookmarkEnd w:id="155"/>
    </w:p>
    <w:p w14:paraId="4AF09971" w14:textId="2A125C76" w:rsidR="00695649" w:rsidRPr="00D51072" w:rsidRDefault="00695649" w:rsidP="00695649">
      <w:pPr>
        <w:pStyle w:val="Estilo1"/>
        <w:numPr>
          <w:ilvl w:val="0"/>
          <w:numId w:val="2"/>
        </w:numPr>
        <w:tabs>
          <w:tab w:val="left" w:pos="0"/>
          <w:tab w:val="left" w:pos="567"/>
          <w:tab w:val="left" w:pos="1134"/>
        </w:tabs>
        <w:spacing w:before="120"/>
        <w:ind w:left="0" w:right="-6" w:firstLine="0"/>
        <w:rPr>
          <w:i w:val="0"/>
          <w:lang w:val="es-CR"/>
        </w:rPr>
      </w:pPr>
      <w:r w:rsidRPr="00D51072">
        <w:rPr>
          <w:i w:val="0"/>
          <w:lang w:val="es-CR"/>
        </w:rPr>
        <w:t xml:space="preserve">En lo que se refiere al alegato sobre la vulneración a los derechos políticos del señor Rico, este Tribunal constata que </w:t>
      </w:r>
      <w:r w:rsidR="00E549CF" w:rsidRPr="00D51072">
        <w:rPr>
          <w:i w:val="0"/>
          <w:lang w:val="es-CR"/>
        </w:rPr>
        <w:t>e</w:t>
      </w:r>
      <w:r w:rsidRPr="00D51072">
        <w:rPr>
          <w:i w:val="0"/>
          <w:lang w:val="es-CR"/>
        </w:rPr>
        <w:t>ste no se refiere a una violación autónoma a ese derecho sino que derivaría de una vulneración a los otros derechos alegados en este caso. En consecuencia, la Corte se remite</w:t>
      </w:r>
      <w:r w:rsidR="00652592" w:rsidRPr="00D51072">
        <w:rPr>
          <w:i w:val="0"/>
          <w:lang w:val="es-CR"/>
        </w:rPr>
        <w:t xml:space="preserve"> a</w:t>
      </w:r>
      <w:r w:rsidRPr="00D51072">
        <w:rPr>
          <w:i w:val="0"/>
          <w:lang w:val="es-CR"/>
        </w:rPr>
        <w:t xml:space="preserve"> sus consideraciones sobre el derecho a las garantías judiciales, a la protección judicial y sobre el principio de legalidad y establece que el Estado no es responsable por una violación a los derechos políticos contenidos en el artículo 23 de la Convención, en perjuicio del señor Rico.</w:t>
      </w:r>
    </w:p>
    <w:p w14:paraId="680650AD" w14:textId="1F256C27" w:rsidR="00695649" w:rsidRPr="00D51072" w:rsidRDefault="00695649" w:rsidP="00695649">
      <w:pPr>
        <w:pStyle w:val="Estilo1"/>
        <w:numPr>
          <w:ilvl w:val="0"/>
          <w:numId w:val="2"/>
        </w:numPr>
        <w:tabs>
          <w:tab w:val="left" w:pos="0"/>
          <w:tab w:val="left" w:pos="567"/>
          <w:tab w:val="left" w:pos="1134"/>
        </w:tabs>
        <w:spacing w:before="120"/>
        <w:ind w:left="0" w:right="-6" w:firstLine="0"/>
        <w:rPr>
          <w:i w:val="0"/>
          <w:lang w:val="es-CR"/>
        </w:rPr>
      </w:pPr>
      <w:r w:rsidRPr="00D51072">
        <w:rPr>
          <w:i w:val="0"/>
          <w:lang w:val="es-CR"/>
        </w:rPr>
        <w:t>Sin perjuicio de ello</w:t>
      </w:r>
      <w:r w:rsidR="0052740B" w:rsidRPr="00D51072">
        <w:rPr>
          <w:i w:val="0"/>
          <w:lang w:val="es-CR"/>
        </w:rPr>
        <w:t xml:space="preserve">, </w:t>
      </w:r>
      <w:r w:rsidR="00A8402F" w:rsidRPr="00D51072">
        <w:rPr>
          <w:i w:val="0"/>
          <w:lang w:val="es-CR"/>
        </w:rPr>
        <w:t xml:space="preserve">esta Corte </w:t>
      </w:r>
      <w:r w:rsidRPr="00D51072">
        <w:rPr>
          <w:i w:val="0"/>
          <w:lang w:val="es-CR"/>
        </w:rPr>
        <w:t xml:space="preserve">recuerda lo señalado en el Capítulo IV de esta Sentencia en torno al hecho que tanto </w:t>
      </w:r>
      <w:r w:rsidR="003370A6" w:rsidRPr="00D51072">
        <w:rPr>
          <w:i w:val="0"/>
          <w:lang w:val="es-CR"/>
        </w:rPr>
        <w:t xml:space="preserve">la </w:t>
      </w:r>
      <w:r w:rsidR="00464020">
        <w:rPr>
          <w:i w:val="0"/>
          <w:lang w:val="es-CR"/>
        </w:rPr>
        <w:t>SCPBA</w:t>
      </w:r>
      <w:r w:rsidR="003370A6" w:rsidRPr="00D51072">
        <w:rPr>
          <w:i w:val="0"/>
          <w:lang w:val="es-CR"/>
        </w:rPr>
        <w:t xml:space="preserve"> y la </w:t>
      </w:r>
      <w:r w:rsidR="00464020">
        <w:rPr>
          <w:i w:val="0"/>
          <w:lang w:val="es-CR"/>
        </w:rPr>
        <w:t>CSJN</w:t>
      </w:r>
      <w:r w:rsidR="003370A6" w:rsidRPr="00D51072">
        <w:rPr>
          <w:i w:val="0"/>
          <w:lang w:val="es-CR"/>
        </w:rPr>
        <w:t xml:space="preserve"> </w:t>
      </w:r>
      <w:r w:rsidRPr="00D51072">
        <w:rPr>
          <w:i w:val="0"/>
          <w:lang w:val="es-CR"/>
        </w:rPr>
        <w:t xml:space="preserve">indicaron </w:t>
      </w:r>
      <w:r w:rsidR="0052740B" w:rsidRPr="00D51072">
        <w:rPr>
          <w:i w:val="0"/>
          <w:lang w:val="es-CR"/>
        </w:rPr>
        <w:t xml:space="preserve">que el señor Rico no había impugnado </w:t>
      </w:r>
      <w:r w:rsidR="00B85D21" w:rsidRPr="00D51072">
        <w:rPr>
          <w:i w:val="0"/>
          <w:lang w:val="es-CR"/>
        </w:rPr>
        <w:t xml:space="preserve">la </w:t>
      </w:r>
      <w:r w:rsidR="0052740B" w:rsidRPr="00D51072">
        <w:rPr>
          <w:i w:val="0"/>
          <w:lang w:val="es-CR"/>
        </w:rPr>
        <w:t>constituciona</w:t>
      </w:r>
      <w:r w:rsidR="00B85D21" w:rsidRPr="00D51072">
        <w:rPr>
          <w:i w:val="0"/>
          <w:lang w:val="es-CR"/>
        </w:rPr>
        <w:t>lidad</w:t>
      </w:r>
      <w:r w:rsidR="0052740B" w:rsidRPr="00D51072">
        <w:rPr>
          <w:i w:val="0"/>
          <w:lang w:val="es-CR"/>
        </w:rPr>
        <w:t xml:space="preserve"> de la pena </w:t>
      </w:r>
      <w:r w:rsidR="0026673A" w:rsidRPr="00D51072">
        <w:rPr>
          <w:i w:val="0"/>
          <w:lang w:val="es-CR"/>
        </w:rPr>
        <w:t xml:space="preserve">de </w:t>
      </w:r>
      <w:r w:rsidR="0052740B" w:rsidRPr="00D51072">
        <w:rPr>
          <w:i w:val="0"/>
          <w:lang w:val="es-CR"/>
        </w:rPr>
        <w:t xml:space="preserve">inhabilitación que le fue impuesta cuando interpuso el </w:t>
      </w:r>
      <w:r w:rsidR="00464020">
        <w:rPr>
          <w:i w:val="0"/>
          <w:lang w:val="es-CR"/>
        </w:rPr>
        <w:t>REF</w:t>
      </w:r>
      <w:r w:rsidRPr="00D51072">
        <w:rPr>
          <w:i w:val="0"/>
          <w:lang w:val="es-CR"/>
        </w:rPr>
        <w:t xml:space="preserve">, ni tampoco en otro recurso que podría haber presentado por otras vías. A su vez, ni la Comisión ni los representantes presentaron elementos o alegatos específicos que le permitan a esta Corte analizar y determinar si la pena de inhabilitación que le fue impuesta al señor Rico pudo haber constituido o no una afectación a sus derechos políticos en los términos del artículo 23.1.c de la Convención Americana. </w:t>
      </w:r>
    </w:p>
    <w:p w14:paraId="31F31A24" w14:textId="4E301F07" w:rsidR="002F35F5" w:rsidRPr="00D51072" w:rsidRDefault="00CA4B14" w:rsidP="002F35F5">
      <w:pPr>
        <w:pStyle w:val="Ttulo1"/>
        <w:rPr>
          <w:lang w:val="es-ES"/>
        </w:rPr>
      </w:pPr>
      <w:bookmarkStart w:id="156" w:name="_Toc442082560"/>
      <w:bookmarkStart w:id="157" w:name="_Toc486693417"/>
      <w:bookmarkStart w:id="158" w:name="_Toc486842837"/>
      <w:bookmarkStart w:id="159" w:name="_Toc486842971"/>
      <w:bookmarkStart w:id="160" w:name="_Toc527019246"/>
      <w:bookmarkStart w:id="161" w:name="_Toc23415017"/>
      <w:r w:rsidRPr="00B40E94">
        <w:rPr>
          <w:lang w:val="es-ES"/>
        </w:rPr>
        <w:t>VIII</w:t>
      </w:r>
      <w:r w:rsidR="002F35F5" w:rsidRPr="00B40E94">
        <w:rPr>
          <w:caps w:val="0"/>
          <w:color w:val="FFFFFF" w:themeColor="background1"/>
          <w:shd w:val="clear" w:color="auto" w:fill="FFFFFF" w:themeFill="background1"/>
          <w:lang w:val="es-ES"/>
        </w:rPr>
        <w:t>.</w:t>
      </w:r>
      <w:r w:rsidR="002F35F5" w:rsidRPr="00B40E94">
        <w:rPr>
          <w:lang w:val="es-ES"/>
        </w:rPr>
        <w:br/>
        <w:t>PUNTOS RESOLUTIVOS</w:t>
      </w:r>
      <w:bookmarkEnd w:id="156"/>
      <w:bookmarkEnd w:id="157"/>
      <w:bookmarkEnd w:id="158"/>
      <w:bookmarkEnd w:id="159"/>
      <w:bookmarkEnd w:id="160"/>
      <w:bookmarkEnd w:id="161"/>
    </w:p>
    <w:p w14:paraId="563E950B" w14:textId="77777777" w:rsidR="002F35F5" w:rsidRPr="00D51072" w:rsidRDefault="002F35F5" w:rsidP="00CA4B14">
      <w:pPr>
        <w:pStyle w:val="Estilo1"/>
        <w:numPr>
          <w:ilvl w:val="0"/>
          <w:numId w:val="2"/>
        </w:numPr>
        <w:tabs>
          <w:tab w:val="left" w:pos="0"/>
          <w:tab w:val="left" w:pos="567"/>
          <w:tab w:val="left" w:pos="1134"/>
        </w:tabs>
        <w:spacing w:before="120"/>
        <w:ind w:left="0" w:right="-6" w:firstLine="0"/>
        <w:rPr>
          <w:i w:val="0"/>
          <w:lang w:val="es-ES"/>
        </w:rPr>
      </w:pPr>
      <w:r w:rsidRPr="00D51072">
        <w:rPr>
          <w:i w:val="0"/>
          <w:lang w:val="es-ES" w:eastAsia="es-ES"/>
        </w:rPr>
        <w:t>Por tanto,</w:t>
      </w:r>
    </w:p>
    <w:p w14:paraId="39E8A927" w14:textId="77777777" w:rsidR="002F35F5" w:rsidRPr="00D51072" w:rsidRDefault="002F35F5" w:rsidP="00154412">
      <w:pPr>
        <w:spacing w:before="360" w:after="360"/>
        <w:rPr>
          <w:lang w:val="es-ES"/>
        </w:rPr>
      </w:pPr>
      <w:r w:rsidRPr="00D51072">
        <w:rPr>
          <w:b/>
          <w:lang w:val="es-ES" w:eastAsia="es-ES"/>
        </w:rPr>
        <w:t>LA CORTE</w:t>
      </w:r>
    </w:p>
    <w:p w14:paraId="0A6ABCC4" w14:textId="77777777" w:rsidR="002F35F5" w:rsidRPr="00D51072" w:rsidRDefault="002F35F5" w:rsidP="00154412">
      <w:pPr>
        <w:spacing w:before="360" w:after="360"/>
        <w:rPr>
          <w:lang w:val="es-ES"/>
        </w:rPr>
      </w:pPr>
      <w:r w:rsidRPr="00D51072">
        <w:rPr>
          <w:b/>
          <w:lang w:val="es-ES" w:eastAsia="es-ES"/>
        </w:rPr>
        <w:t>DECIDE,</w:t>
      </w:r>
    </w:p>
    <w:p w14:paraId="7573195D" w14:textId="446AE00C" w:rsidR="002F35F5" w:rsidRPr="00D51072" w:rsidRDefault="002F35F5" w:rsidP="00154412">
      <w:pPr>
        <w:pStyle w:val="Prrafodelista"/>
        <w:widowControl w:val="0"/>
        <w:autoSpaceDE w:val="0"/>
        <w:autoSpaceDN w:val="0"/>
        <w:adjustRightInd w:val="0"/>
        <w:spacing w:before="240" w:after="240"/>
        <w:ind w:left="0"/>
        <w:contextualSpacing w:val="0"/>
        <w:rPr>
          <w:lang w:val="es-ES"/>
        </w:rPr>
      </w:pPr>
      <w:r w:rsidRPr="00D51072">
        <w:rPr>
          <w:lang w:val="es-ES" w:eastAsia="es-ES"/>
        </w:rPr>
        <w:lastRenderedPageBreak/>
        <w:t xml:space="preserve">Por </w:t>
      </w:r>
      <w:r w:rsidR="00AF3B64" w:rsidRPr="00D51072">
        <w:rPr>
          <w:rFonts w:eastAsia="Times"/>
          <w:szCs w:val="20"/>
          <w:lang w:eastAsia="es-ES"/>
        </w:rPr>
        <w:t>unanimidad</w:t>
      </w:r>
      <w:r w:rsidR="00FB0E85" w:rsidRPr="00D51072">
        <w:rPr>
          <w:lang w:val="es-ES" w:eastAsia="es-ES"/>
        </w:rPr>
        <w:t>,</w:t>
      </w:r>
    </w:p>
    <w:p w14:paraId="39207EC7" w14:textId="77777777" w:rsidR="007D6726" w:rsidRPr="00D51072" w:rsidRDefault="007D6726" w:rsidP="007D6726">
      <w:pPr>
        <w:widowControl w:val="0"/>
        <w:numPr>
          <w:ilvl w:val="0"/>
          <w:numId w:val="22"/>
        </w:numPr>
        <w:tabs>
          <w:tab w:val="left" w:pos="720"/>
        </w:tabs>
        <w:adjustRightInd w:val="0"/>
        <w:ind w:right="-90"/>
        <w:contextualSpacing/>
        <w:textAlignment w:val="baseline"/>
        <w:rPr>
          <w:lang w:val="es-ES" w:eastAsia="es-ES"/>
        </w:rPr>
      </w:pPr>
      <w:r w:rsidRPr="00D51072">
        <w:rPr>
          <w:lang w:val="es-ES" w:eastAsia="es-ES"/>
        </w:rPr>
        <w:t xml:space="preserve">Declarar procedente la excepción preliminar en los términos del párrafo 20 de esta Sentencia. </w:t>
      </w:r>
    </w:p>
    <w:p w14:paraId="3DB94168" w14:textId="77777777" w:rsidR="007D6726" w:rsidRPr="00D51072" w:rsidRDefault="007D6726" w:rsidP="00AF3B64">
      <w:pPr>
        <w:widowControl w:val="0"/>
        <w:tabs>
          <w:tab w:val="left" w:pos="720"/>
        </w:tabs>
        <w:adjustRightInd w:val="0"/>
        <w:ind w:right="-90"/>
        <w:contextualSpacing/>
        <w:textAlignment w:val="baseline"/>
        <w:rPr>
          <w:lang w:val="es-ES" w:eastAsia="es-ES"/>
        </w:rPr>
      </w:pPr>
    </w:p>
    <w:p w14:paraId="3A5D7C16" w14:textId="68B2D89D" w:rsidR="009E6829" w:rsidRPr="00D51072" w:rsidRDefault="00862C3C" w:rsidP="009E1FCD">
      <w:pPr>
        <w:widowControl w:val="0"/>
        <w:numPr>
          <w:ilvl w:val="0"/>
          <w:numId w:val="22"/>
        </w:numPr>
        <w:tabs>
          <w:tab w:val="left" w:pos="720"/>
        </w:tabs>
        <w:adjustRightInd w:val="0"/>
        <w:ind w:right="-90"/>
        <w:contextualSpacing/>
        <w:textAlignment w:val="baseline"/>
        <w:rPr>
          <w:lang w:val="es-ES" w:eastAsia="es-ES"/>
        </w:rPr>
      </w:pPr>
      <w:r w:rsidRPr="00D51072">
        <w:rPr>
          <w:lang w:val="es-ES" w:eastAsia="es-ES"/>
        </w:rPr>
        <w:t xml:space="preserve">Desestimar </w:t>
      </w:r>
      <w:r w:rsidR="002F35F5" w:rsidRPr="00D51072">
        <w:rPr>
          <w:lang w:val="es-ES" w:eastAsia="es-ES"/>
        </w:rPr>
        <w:t>la excepción preliminar</w:t>
      </w:r>
      <w:r w:rsidR="0068565E" w:rsidRPr="00D51072">
        <w:rPr>
          <w:lang w:val="es-ES" w:eastAsia="es-ES"/>
        </w:rPr>
        <w:t xml:space="preserve"> </w:t>
      </w:r>
      <w:r w:rsidR="002F35F5" w:rsidRPr="00D51072">
        <w:rPr>
          <w:lang w:val="es-ES" w:eastAsia="es-ES"/>
        </w:rPr>
        <w:t>interpuesta por el Estado</w:t>
      </w:r>
      <w:r w:rsidR="002F35F5" w:rsidRPr="00D51072">
        <w:rPr>
          <w:szCs w:val="20"/>
          <w:lang w:val="es-ES" w:eastAsia="es-ES"/>
        </w:rPr>
        <w:t>,</w:t>
      </w:r>
      <w:r w:rsidR="002F35F5" w:rsidRPr="00D51072">
        <w:rPr>
          <w:lang w:val="es-ES" w:eastAsia="es-ES"/>
        </w:rPr>
        <w:t xml:space="preserve"> en los términos de los párrafos </w:t>
      </w:r>
      <w:r w:rsidR="00082750" w:rsidRPr="00D51072">
        <w:rPr>
          <w:lang w:val="es-ES" w:eastAsia="es-ES"/>
        </w:rPr>
        <w:t>15</w:t>
      </w:r>
      <w:r w:rsidR="002F35F5" w:rsidRPr="00D51072">
        <w:rPr>
          <w:lang w:val="es-ES" w:eastAsia="es-ES"/>
        </w:rPr>
        <w:t xml:space="preserve"> </w:t>
      </w:r>
      <w:r w:rsidR="00FD6859" w:rsidRPr="00D51072">
        <w:rPr>
          <w:lang w:val="es-ES" w:eastAsia="es-ES"/>
        </w:rPr>
        <w:t>a</w:t>
      </w:r>
      <w:r w:rsidR="002F35F5" w:rsidRPr="00D51072">
        <w:rPr>
          <w:lang w:val="es-ES" w:eastAsia="es-ES"/>
        </w:rPr>
        <w:t xml:space="preserve"> </w:t>
      </w:r>
      <w:r w:rsidR="009E6829" w:rsidRPr="00D51072">
        <w:rPr>
          <w:lang w:val="es-ES" w:eastAsia="es-ES"/>
        </w:rPr>
        <w:t xml:space="preserve">19 </w:t>
      </w:r>
      <w:r w:rsidR="002F35F5" w:rsidRPr="00D51072">
        <w:rPr>
          <w:lang w:val="es-ES" w:eastAsia="es-ES"/>
        </w:rPr>
        <w:t>de esta Sentencia</w:t>
      </w:r>
      <w:r w:rsidR="009E6829" w:rsidRPr="00D51072">
        <w:rPr>
          <w:lang w:val="es-ES" w:eastAsia="es-ES"/>
        </w:rPr>
        <w:t>.</w:t>
      </w:r>
      <w:r w:rsidR="009E1FCD" w:rsidRPr="00D51072">
        <w:rPr>
          <w:lang w:val="es-ES" w:eastAsia="es-ES"/>
        </w:rPr>
        <w:t xml:space="preserve"> </w:t>
      </w:r>
    </w:p>
    <w:p w14:paraId="74008875" w14:textId="77777777" w:rsidR="002F35F5" w:rsidRPr="00D51072" w:rsidRDefault="002F35F5" w:rsidP="00154412">
      <w:pPr>
        <w:tabs>
          <w:tab w:val="left" w:pos="0"/>
        </w:tabs>
        <w:spacing w:before="360" w:after="360"/>
        <w:rPr>
          <w:lang w:val="es-ES"/>
        </w:rPr>
      </w:pPr>
      <w:r w:rsidRPr="00D51072">
        <w:rPr>
          <w:b/>
          <w:lang w:val="es-ES" w:eastAsia="es-ES"/>
        </w:rPr>
        <w:t>DECLARA,</w:t>
      </w:r>
    </w:p>
    <w:p w14:paraId="6CACD3A9" w14:textId="7E1277D1" w:rsidR="002F35F5" w:rsidRPr="00D51072" w:rsidRDefault="002F35F5" w:rsidP="00154412">
      <w:pPr>
        <w:pStyle w:val="Prrafodelista"/>
        <w:widowControl w:val="0"/>
        <w:autoSpaceDE w:val="0"/>
        <w:autoSpaceDN w:val="0"/>
        <w:adjustRightInd w:val="0"/>
        <w:spacing w:before="240" w:after="240"/>
        <w:ind w:left="0"/>
        <w:contextualSpacing w:val="0"/>
        <w:rPr>
          <w:lang w:val="es-ES" w:eastAsia="es-ES"/>
        </w:rPr>
      </w:pPr>
      <w:r w:rsidRPr="00D51072">
        <w:rPr>
          <w:lang w:val="es-ES" w:eastAsia="es-ES"/>
        </w:rPr>
        <w:t xml:space="preserve">Por </w:t>
      </w:r>
      <w:r w:rsidR="00AF3B64" w:rsidRPr="00D51072">
        <w:rPr>
          <w:rFonts w:eastAsia="Times"/>
          <w:szCs w:val="20"/>
          <w:lang w:eastAsia="es-ES"/>
        </w:rPr>
        <w:t>unanimidad</w:t>
      </w:r>
      <w:r w:rsidRPr="00D51072">
        <w:rPr>
          <w:lang w:val="es-ES" w:eastAsia="es-ES"/>
        </w:rPr>
        <w:t>, que:</w:t>
      </w:r>
    </w:p>
    <w:p w14:paraId="6725B948" w14:textId="2656D57B" w:rsidR="00854BF8" w:rsidRPr="00D51072" w:rsidRDefault="00B50F2D" w:rsidP="00B50F2D">
      <w:pPr>
        <w:pStyle w:val="Prrafodelista"/>
        <w:widowControl w:val="0"/>
        <w:numPr>
          <w:ilvl w:val="0"/>
          <w:numId w:val="22"/>
        </w:numPr>
        <w:autoSpaceDE w:val="0"/>
        <w:autoSpaceDN w:val="0"/>
        <w:adjustRightInd w:val="0"/>
        <w:spacing w:before="120" w:after="120"/>
        <w:contextualSpacing w:val="0"/>
      </w:pPr>
      <w:r w:rsidRPr="00D51072">
        <w:t>El Estado no es responsable de la violación del artículo 8</w:t>
      </w:r>
      <w:r w:rsidR="00837752" w:rsidRPr="00D51072">
        <w:t xml:space="preserve"> </w:t>
      </w:r>
      <w:r w:rsidRPr="00D51072">
        <w:t>de la Convención</w:t>
      </w:r>
      <w:r w:rsidR="00E827A5" w:rsidRPr="00D51072">
        <w:t xml:space="preserve"> Americana </w:t>
      </w:r>
      <w:r w:rsidR="00826CFF">
        <w:t>sobre</w:t>
      </w:r>
      <w:r w:rsidR="00E827A5" w:rsidRPr="00D51072">
        <w:t xml:space="preserve"> </w:t>
      </w:r>
      <w:r w:rsidR="00652592" w:rsidRPr="00D51072">
        <w:t>D</w:t>
      </w:r>
      <w:r w:rsidR="00E827A5" w:rsidRPr="00D51072">
        <w:t>erechos Humanos</w:t>
      </w:r>
      <w:r w:rsidRPr="00D51072">
        <w:t xml:space="preserve">, en relación con el artículo 1.1 del mismo instrumento, en los términos de los párrafos </w:t>
      </w:r>
      <w:r w:rsidR="00082750" w:rsidRPr="00D51072">
        <w:t>49</w:t>
      </w:r>
      <w:r w:rsidRPr="00D51072">
        <w:t xml:space="preserve"> a </w:t>
      </w:r>
      <w:r w:rsidR="00082750" w:rsidRPr="00D51072">
        <w:t>85</w:t>
      </w:r>
      <w:r w:rsidRPr="00D51072">
        <w:t xml:space="preserve"> de la presente Sentencia</w:t>
      </w:r>
      <w:r w:rsidR="00854BF8" w:rsidRPr="00D51072">
        <w:rPr>
          <w:rFonts w:eastAsia="Times"/>
          <w:szCs w:val="20"/>
          <w:lang w:eastAsia="es-ES"/>
        </w:rPr>
        <w:t>.</w:t>
      </w:r>
    </w:p>
    <w:p w14:paraId="3FD28806" w14:textId="1C649D29" w:rsidR="00B50F2D" w:rsidRPr="00D51072" w:rsidRDefault="00B50F2D" w:rsidP="00B50F2D">
      <w:pPr>
        <w:pStyle w:val="Prrafodelista"/>
        <w:widowControl w:val="0"/>
        <w:numPr>
          <w:ilvl w:val="0"/>
          <w:numId w:val="22"/>
        </w:numPr>
        <w:autoSpaceDE w:val="0"/>
        <w:autoSpaceDN w:val="0"/>
        <w:adjustRightInd w:val="0"/>
        <w:spacing w:before="120" w:after="120"/>
        <w:contextualSpacing w:val="0"/>
      </w:pPr>
      <w:r w:rsidRPr="00D51072">
        <w:t>El Estado no es responsable de la violación del artículo 9 de la Convención</w:t>
      </w:r>
      <w:r w:rsidR="00E827A5" w:rsidRPr="00D51072">
        <w:t xml:space="preserve"> Americana </w:t>
      </w:r>
      <w:r w:rsidR="00826CFF">
        <w:t>sobre</w:t>
      </w:r>
      <w:r w:rsidR="00E827A5" w:rsidRPr="00D51072">
        <w:t xml:space="preserve"> </w:t>
      </w:r>
      <w:r w:rsidR="00652592" w:rsidRPr="00D51072">
        <w:t>D</w:t>
      </w:r>
      <w:r w:rsidR="00E827A5" w:rsidRPr="00D51072">
        <w:t>erechos Humanos</w:t>
      </w:r>
      <w:r w:rsidRPr="00D51072">
        <w:t xml:space="preserve">, en relación con el artículo 1.1 del mismo instrumento, en los términos de los párrafos </w:t>
      </w:r>
      <w:r w:rsidR="00082750" w:rsidRPr="00D51072">
        <w:t>102</w:t>
      </w:r>
      <w:r w:rsidRPr="00D51072">
        <w:t xml:space="preserve"> a </w:t>
      </w:r>
      <w:r w:rsidR="00082750" w:rsidRPr="00D51072">
        <w:t>109</w:t>
      </w:r>
      <w:r w:rsidRPr="00D51072">
        <w:t xml:space="preserve"> de la presente Sentencia</w:t>
      </w:r>
      <w:r w:rsidR="00826CFF">
        <w:t>.</w:t>
      </w:r>
    </w:p>
    <w:p w14:paraId="3602B7E0" w14:textId="42E61C49" w:rsidR="002E2571" w:rsidRPr="00D51072" w:rsidRDefault="00B50F2D" w:rsidP="00B50F2D">
      <w:pPr>
        <w:pStyle w:val="Prrafodelista"/>
        <w:widowControl w:val="0"/>
        <w:numPr>
          <w:ilvl w:val="0"/>
          <w:numId w:val="22"/>
        </w:numPr>
        <w:autoSpaceDE w:val="0"/>
        <w:autoSpaceDN w:val="0"/>
        <w:adjustRightInd w:val="0"/>
        <w:spacing w:before="120" w:after="120"/>
        <w:contextualSpacing w:val="0"/>
      </w:pPr>
      <w:r w:rsidRPr="00D51072">
        <w:t>El Estado no es responsable de la violación del artículo 23 de la Convención</w:t>
      </w:r>
      <w:r w:rsidR="00E827A5" w:rsidRPr="00D51072">
        <w:t xml:space="preserve"> Americana </w:t>
      </w:r>
      <w:r w:rsidR="00826CFF">
        <w:t>sobre</w:t>
      </w:r>
      <w:r w:rsidR="00E827A5" w:rsidRPr="00D51072">
        <w:t xml:space="preserve"> </w:t>
      </w:r>
      <w:r w:rsidR="00652592" w:rsidRPr="00D51072">
        <w:t>D</w:t>
      </w:r>
      <w:r w:rsidR="00E827A5" w:rsidRPr="00D51072">
        <w:t>erechos Humanos</w:t>
      </w:r>
      <w:r w:rsidRPr="00D51072">
        <w:t xml:space="preserve">, en relación con el artículo 1.1 del mismo instrumento, en los términos de los párrafos </w:t>
      </w:r>
      <w:r w:rsidR="00082750" w:rsidRPr="00D51072">
        <w:t>110</w:t>
      </w:r>
      <w:r w:rsidRPr="00D51072">
        <w:t xml:space="preserve"> a </w:t>
      </w:r>
      <w:r w:rsidR="00082750" w:rsidRPr="00D51072">
        <w:t>111</w:t>
      </w:r>
      <w:r w:rsidRPr="00D51072">
        <w:t xml:space="preserve"> de la presente Sentencia</w:t>
      </w:r>
      <w:r w:rsidR="00DB23AA" w:rsidRPr="00D51072">
        <w:rPr>
          <w:rFonts w:cs="Arial"/>
          <w:szCs w:val="20"/>
          <w:lang w:val="es-CR"/>
        </w:rPr>
        <w:t>.</w:t>
      </w:r>
    </w:p>
    <w:p w14:paraId="79EB3463" w14:textId="6D59B509" w:rsidR="00B50F2D" w:rsidRPr="00D51072" w:rsidRDefault="00B50F2D" w:rsidP="00B50F2D">
      <w:pPr>
        <w:pStyle w:val="Prrafodelista"/>
        <w:widowControl w:val="0"/>
        <w:numPr>
          <w:ilvl w:val="0"/>
          <w:numId w:val="22"/>
        </w:numPr>
        <w:autoSpaceDE w:val="0"/>
        <w:autoSpaceDN w:val="0"/>
        <w:adjustRightInd w:val="0"/>
        <w:spacing w:before="120" w:after="120"/>
        <w:contextualSpacing w:val="0"/>
      </w:pPr>
      <w:r w:rsidRPr="00D51072">
        <w:t>El Estado no es responsable de la violación del artículo 25 de la Convención</w:t>
      </w:r>
      <w:r w:rsidR="00E827A5" w:rsidRPr="00D51072">
        <w:t xml:space="preserve"> Americana </w:t>
      </w:r>
      <w:r w:rsidR="00826CFF">
        <w:t>sobre</w:t>
      </w:r>
      <w:r w:rsidR="00E827A5" w:rsidRPr="00D51072">
        <w:t xml:space="preserve"> </w:t>
      </w:r>
      <w:r w:rsidR="00652592" w:rsidRPr="00D51072">
        <w:t>D</w:t>
      </w:r>
      <w:r w:rsidR="00E827A5" w:rsidRPr="00D51072">
        <w:t>erechos Humanos</w:t>
      </w:r>
      <w:r w:rsidRPr="00D51072">
        <w:t xml:space="preserve">, en relación con el artículo 1.1 del mismo instrumento, en los términos de los párrafos </w:t>
      </w:r>
      <w:r w:rsidR="00082750" w:rsidRPr="00D51072">
        <w:t>88</w:t>
      </w:r>
      <w:r w:rsidRPr="00D51072">
        <w:t xml:space="preserve"> a </w:t>
      </w:r>
      <w:r w:rsidR="00AF3B64" w:rsidRPr="00D51072">
        <w:t>99</w:t>
      </w:r>
      <w:r w:rsidRPr="00D51072">
        <w:t xml:space="preserve"> de la presente Sentencia</w:t>
      </w:r>
      <w:r w:rsidR="00826CFF">
        <w:t>.</w:t>
      </w:r>
    </w:p>
    <w:p w14:paraId="56F9B605" w14:textId="77777777" w:rsidR="002F35F5" w:rsidRPr="00D51072" w:rsidRDefault="002F35F5" w:rsidP="00154412">
      <w:pPr>
        <w:pStyle w:val="Prrafodelista"/>
        <w:widowControl w:val="0"/>
        <w:autoSpaceDE w:val="0"/>
        <w:autoSpaceDN w:val="0"/>
        <w:adjustRightInd w:val="0"/>
        <w:spacing w:before="360" w:after="360"/>
        <w:ind w:left="0"/>
        <w:contextualSpacing w:val="0"/>
        <w:rPr>
          <w:rFonts w:eastAsia="Times"/>
        </w:rPr>
      </w:pPr>
      <w:r w:rsidRPr="00D51072">
        <w:rPr>
          <w:rFonts w:eastAsia="Times"/>
          <w:b/>
          <w:szCs w:val="20"/>
          <w:lang w:eastAsia="es-ES"/>
        </w:rPr>
        <w:t>Y DISPONE:</w:t>
      </w:r>
    </w:p>
    <w:p w14:paraId="44C8CE35" w14:textId="27FD0353" w:rsidR="002F35F5" w:rsidRPr="00D51072" w:rsidRDefault="002F35F5" w:rsidP="00154412">
      <w:pPr>
        <w:pStyle w:val="Prrafodelista"/>
        <w:widowControl w:val="0"/>
        <w:autoSpaceDE w:val="0"/>
        <w:autoSpaceDN w:val="0"/>
        <w:adjustRightInd w:val="0"/>
        <w:spacing w:before="240" w:after="240"/>
        <w:ind w:left="0"/>
        <w:contextualSpacing w:val="0"/>
        <w:rPr>
          <w:rFonts w:eastAsia="Times"/>
          <w:szCs w:val="20"/>
          <w:lang w:eastAsia="es-ES"/>
        </w:rPr>
      </w:pPr>
      <w:r w:rsidRPr="00D51072">
        <w:rPr>
          <w:rFonts w:eastAsia="Times"/>
          <w:szCs w:val="20"/>
          <w:lang w:eastAsia="es-ES"/>
        </w:rPr>
        <w:t xml:space="preserve">Por </w:t>
      </w:r>
      <w:r w:rsidR="00AF3B64" w:rsidRPr="00D51072">
        <w:rPr>
          <w:rFonts w:eastAsia="Times"/>
          <w:szCs w:val="20"/>
          <w:lang w:eastAsia="es-ES"/>
        </w:rPr>
        <w:t>unanimidad</w:t>
      </w:r>
      <w:r w:rsidRPr="00D51072">
        <w:rPr>
          <w:rFonts w:eastAsia="Times"/>
          <w:szCs w:val="20"/>
          <w:lang w:eastAsia="es-ES"/>
        </w:rPr>
        <w:t>, que:</w:t>
      </w:r>
    </w:p>
    <w:p w14:paraId="332E2E0F" w14:textId="0A442F5F" w:rsidR="00B50F2D" w:rsidRPr="00D51072" w:rsidRDefault="00E827A5" w:rsidP="00154412">
      <w:pPr>
        <w:pStyle w:val="Prrafodelista"/>
        <w:numPr>
          <w:ilvl w:val="0"/>
          <w:numId w:val="22"/>
        </w:numPr>
        <w:tabs>
          <w:tab w:val="left" w:pos="567"/>
        </w:tabs>
        <w:spacing w:before="120" w:after="120"/>
        <w:contextualSpacing w:val="0"/>
        <w:rPr>
          <w:rFonts w:eastAsia="Times New Roman"/>
          <w:szCs w:val="20"/>
        </w:rPr>
      </w:pPr>
      <w:r w:rsidRPr="00D51072">
        <w:rPr>
          <w:rFonts w:eastAsia="Times New Roman"/>
          <w:szCs w:val="20"/>
        </w:rPr>
        <w:t>L</w:t>
      </w:r>
      <w:r w:rsidR="00B50F2D" w:rsidRPr="00D51072">
        <w:rPr>
          <w:rFonts w:eastAsia="Times New Roman"/>
          <w:szCs w:val="20"/>
        </w:rPr>
        <w:t>a Secretaría de la Corte notifique la presente Sentencia a la República de Argentina, a los representantes de</w:t>
      </w:r>
      <w:r w:rsidR="00826CFF">
        <w:rPr>
          <w:rFonts w:eastAsia="Times New Roman"/>
          <w:szCs w:val="20"/>
        </w:rPr>
        <w:t>l</w:t>
      </w:r>
      <w:r w:rsidR="00B50F2D" w:rsidRPr="00D51072">
        <w:rPr>
          <w:rFonts w:eastAsia="Times New Roman"/>
          <w:szCs w:val="20"/>
        </w:rPr>
        <w:t xml:space="preserve"> </w:t>
      </w:r>
      <w:r w:rsidR="00826CFF">
        <w:rPr>
          <w:rFonts w:eastAsia="Times New Roman"/>
          <w:szCs w:val="20"/>
        </w:rPr>
        <w:t>señor Rico</w:t>
      </w:r>
      <w:r w:rsidR="00B50F2D" w:rsidRPr="00D51072">
        <w:rPr>
          <w:rFonts w:eastAsia="Times New Roman"/>
          <w:szCs w:val="20"/>
        </w:rPr>
        <w:t xml:space="preserve"> y a la Comisión Interamericana de Derechos Humanos.</w:t>
      </w:r>
    </w:p>
    <w:p w14:paraId="4673BC34" w14:textId="77777777" w:rsidR="00B50F2D" w:rsidRPr="00D51072" w:rsidRDefault="00B50F2D" w:rsidP="00AF3B64">
      <w:pPr>
        <w:pStyle w:val="Prrafodelista"/>
        <w:numPr>
          <w:ilvl w:val="0"/>
          <w:numId w:val="22"/>
        </w:numPr>
        <w:tabs>
          <w:tab w:val="left" w:pos="567"/>
        </w:tabs>
        <w:ind w:left="567" w:hanging="567"/>
      </w:pPr>
      <w:r w:rsidRPr="00D51072">
        <w:t>Archivar el expediente.</w:t>
      </w:r>
    </w:p>
    <w:p w14:paraId="12F6D6F5" w14:textId="31791853" w:rsidR="002F35F5" w:rsidRPr="00D51072" w:rsidRDefault="002F35F5" w:rsidP="00BA1F21">
      <w:pPr>
        <w:spacing w:before="360" w:after="360"/>
        <w:rPr>
          <w:rFonts w:eastAsia="Times"/>
          <w:szCs w:val="20"/>
        </w:rPr>
      </w:pPr>
      <w:r w:rsidRPr="00D51072">
        <w:rPr>
          <w:rFonts w:eastAsia="Times"/>
          <w:szCs w:val="20"/>
        </w:rPr>
        <w:t xml:space="preserve">Sentencia de la Corte Interamericana de Derechos Humanos. </w:t>
      </w:r>
      <w:r w:rsidRPr="00D51072">
        <w:rPr>
          <w:rFonts w:eastAsia="Times"/>
          <w:i/>
          <w:szCs w:val="20"/>
        </w:rPr>
        <w:t xml:space="preserve">Caso </w:t>
      </w:r>
      <w:r w:rsidR="000957BD" w:rsidRPr="00D51072">
        <w:rPr>
          <w:rFonts w:eastAsia="Times"/>
          <w:i/>
          <w:szCs w:val="20"/>
        </w:rPr>
        <w:t>Rico</w:t>
      </w:r>
      <w:r w:rsidRPr="00D51072">
        <w:rPr>
          <w:rFonts w:eastAsia="Times"/>
          <w:i/>
          <w:szCs w:val="20"/>
        </w:rPr>
        <w:t xml:space="preserve"> Vs. </w:t>
      </w:r>
      <w:r w:rsidR="000957BD" w:rsidRPr="00D51072">
        <w:rPr>
          <w:rFonts w:eastAsia="Times"/>
          <w:i/>
          <w:szCs w:val="20"/>
        </w:rPr>
        <w:t>Argentina</w:t>
      </w:r>
      <w:r w:rsidRPr="00D51072">
        <w:rPr>
          <w:rFonts w:eastAsia="Times"/>
          <w:szCs w:val="20"/>
        </w:rPr>
        <w:t>. Excepci</w:t>
      </w:r>
      <w:r w:rsidR="00C75410" w:rsidRPr="00D51072">
        <w:rPr>
          <w:rFonts w:eastAsia="Times"/>
          <w:szCs w:val="20"/>
        </w:rPr>
        <w:t>ón</w:t>
      </w:r>
      <w:r w:rsidRPr="00D51072">
        <w:rPr>
          <w:rFonts w:eastAsia="Times"/>
          <w:szCs w:val="20"/>
        </w:rPr>
        <w:t xml:space="preserve"> preliminar </w:t>
      </w:r>
      <w:r w:rsidR="00831938" w:rsidRPr="00D51072">
        <w:rPr>
          <w:rFonts w:eastAsia="Times"/>
          <w:szCs w:val="20"/>
        </w:rPr>
        <w:t xml:space="preserve">y </w:t>
      </w:r>
      <w:r w:rsidRPr="00D51072">
        <w:rPr>
          <w:rFonts w:eastAsia="Times"/>
          <w:szCs w:val="20"/>
        </w:rPr>
        <w:t>Fondo.</w:t>
      </w:r>
    </w:p>
    <w:p w14:paraId="1AE89060" w14:textId="222588E7" w:rsidR="002F35F5" w:rsidRPr="00D51072" w:rsidRDefault="002F35F5" w:rsidP="000E552F">
      <w:pPr>
        <w:rPr>
          <w:szCs w:val="20"/>
        </w:rPr>
      </w:pPr>
      <w:r w:rsidRPr="00D51072">
        <w:rPr>
          <w:szCs w:val="20"/>
        </w:rPr>
        <w:t xml:space="preserve">Redactada en español en </w:t>
      </w:r>
      <w:r w:rsidR="00ED6F36">
        <w:rPr>
          <w:szCs w:val="20"/>
        </w:rPr>
        <w:t xml:space="preserve">la </w:t>
      </w:r>
      <w:r w:rsidRPr="00D51072">
        <w:rPr>
          <w:szCs w:val="20"/>
        </w:rPr>
        <w:t xml:space="preserve">Ciudad de </w:t>
      </w:r>
      <w:r w:rsidR="00941958" w:rsidRPr="00D51072">
        <w:rPr>
          <w:szCs w:val="20"/>
        </w:rPr>
        <w:t>Barranquilla</w:t>
      </w:r>
      <w:r w:rsidRPr="00D51072">
        <w:rPr>
          <w:szCs w:val="20"/>
        </w:rPr>
        <w:t xml:space="preserve">, </w:t>
      </w:r>
      <w:r w:rsidR="00941958" w:rsidRPr="00D51072">
        <w:rPr>
          <w:szCs w:val="20"/>
        </w:rPr>
        <w:t>Colombia</w:t>
      </w:r>
      <w:r w:rsidRPr="00D51072">
        <w:rPr>
          <w:szCs w:val="20"/>
        </w:rPr>
        <w:t xml:space="preserve">, el </w:t>
      </w:r>
      <w:r w:rsidR="00AF3B64" w:rsidRPr="00D51072">
        <w:rPr>
          <w:szCs w:val="20"/>
        </w:rPr>
        <w:t>2</w:t>
      </w:r>
      <w:r w:rsidR="00FB0E85" w:rsidRPr="00D51072">
        <w:rPr>
          <w:szCs w:val="20"/>
        </w:rPr>
        <w:t xml:space="preserve"> </w:t>
      </w:r>
      <w:r w:rsidRPr="00D51072">
        <w:rPr>
          <w:szCs w:val="20"/>
        </w:rPr>
        <w:t xml:space="preserve">de </w:t>
      </w:r>
      <w:r w:rsidR="0065418C" w:rsidRPr="00D51072">
        <w:rPr>
          <w:szCs w:val="20"/>
        </w:rPr>
        <w:t>septiembre</w:t>
      </w:r>
      <w:r w:rsidRPr="00D51072">
        <w:rPr>
          <w:szCs w:val="20"/>
        </w:rPr>
        <w:t xml:space="preserve"> de </w:t>
      </w:r>
      <w:r w:rsidR="00CA4B14" w:rsidRPr="00D51072">
        <w:rPr>
          <w:szCs w:val="20"/>
        </w:rPr>
        <w:t>2019</w:t>
      </w:r>
      <w:r w:rsidRPr="00D51072">
        <w:rPr>
          <w:szCs w:val="20"/>
        </w:rPr>
        <w:t>.</w:t>
      </w:r>
    </w:p>
    <w:p w14:paraId="6189B75C" w14:textId="7C9B77B6" w:rsidR="004F7CA7" w:rsidRDefault="004F7CA7">
      <w:pPr>
        <w:spacing w:after="200" w:line="276" w:lineRule="auto"/>
        <w:jc w:val="left"/>
        <w:rPr>
          <w:lang w:val="es-ES"/>
        </w:rPr>
      </w:pPr>
      <w:r>
        <w:rPr>
          <w:lang w:val="es-ES"/>
        </w:rPr>
        <w:br w:type="page"/>
      </w:r>
    </w:p>
    <w:p w14:paraId="57E1E5C8" w14:textId="77553601" w:rsidR="004F7CA7" w:rsidRPr="002319C0" w:rsidRDefault="004F7CA7" w:rsidP="004F7CA7">
      <w:pPr>
        <w:keepNext/>
        <w:outlineLvl w:val="0"/>
        <w:rPr>
          <w:lang w:val="es-CR"/>
        </w:rPr>
      </w:pPr>
      <w:r w:rsidRPr="00A12B6B">
        <w:rPr>
          <w:lang w:val="pt-BR"/>
        </w:rPr>
        <w:lastRenderedPageBreak/>
        <w:t xml:space="preserve">Corte IDH. </w:t>
      </w:r>
      <w:r w:rsidRPr="00A12B6B">
        <w:rPr>
          <w:i/>
          <w:lang w:val="pt-BR"/>
        </w:rPr>
        <w:t xml:space="preserve">Caso Rico Vs. </w:t>
      </w:r>
      <w:r w:rsidRPr="002319C0">
        <w:rPr>
          <w:i/>
          <w:lang w:val="es-ES"/>
        </w:rPr>
        <w:t>Argentina. Excepción Preliminar</w:t>
      </w:r>
      <w:r w:rsidR="00A12B6B">
        <w:rPr>
          <w:i/>
          <w:lang w:val="es-ES"/>
        </w:rPr>
        <w:t xml:space="preserve"> y </w:t>
      </w:r>
      <w:r w:rsidRPr="002319C0">
        <w:rPr>
          <w:i/>
          <w:lang w:val="es-ES"/>
        </w:rPr>
        <w:t xml:space="preserve">Fondo. </w:t>
      </w:r>
      <w:r w:rsidRPr="002319C0">
        <w:rPr>
          <w:lang w:val="es-ES"/>
        </w:rPr>
        <w:t>Sentencia de 3 de septiembre de 2019.</w:t>
      </w:r>
    </w:p>
    <w:p w14:paraId="10390599" w14:textId="77777777" w:rsidR="004F7CA7" w:rsidRDefault="004F7CA7" w:rsidP="004F7CA7">
      <w:pPr>
        <w:jc w:val="center"/>
        <w:rPr>
          <w:lang w:val="es-ES"/>
        </w:rPr>
      </w:pPr>
    </w:p>
    <w:p w14:paraId="76986D2F" w14:textId="77777777" w:rsidR="004F7CA7" w:rsidRDefault="004F7CA7" w:rsidP="004F7CA7">
      <w:pPr>
        <w:jc w:val="center"/>
        <w:rPr>
          <w:lang w:val="es-ES"/>
        </w:rPr>
      </w:pPr>
    </w:p>
    <w:p w14:paraId="50A1A387" w14:textId="77777777" w:rsidR="004F7CA7" w:rsidRDefault="004F7CA7" w:rsidP="004F7CA7">
      <w:pPr>
        <w:jc w:val="center"/>
        <w:rPr>
          <w:lang w:val="es-ES"/>
        </w:rPr>
      </w:pPr>
    </w:p>
    <w:p w14:paraId="640B4AD5" w14:textId="77777777" w:rsidR="004F7CA7" w:rsidRPr="00D51072" w:rsidRDefault="004F7CA7" w:rsidP="004F7CA7">
      <w:pPr>
        <w:jc w:val="center"/>
        <w:rPr>
          <w:lang w:val="es-ES"/>
        </w:rPr>
      </w:pPr>
    </w:p>
    <w:p w14:paraId="2042B096" w14:textId="77777777" w:rsidR="004F7CA7" w:rsidRPr="00D51072" w:rsidRDefault="004F7CA7" w:rsidP="004F7CA7">
      <w:pPr>
        <w:jc w:val="center"/>
        <w:rPr>
          <w:lang w:val="es-ES"/>
        </w:rPr>
      </w:pPr>
    </w:p>
    <w:p w14:paraId="397D30DA" w14:textId="77777777" w:rsidR="004F7CA7" w:rsidRPr="00A12B6B" w:rsidRDefault="004F7CA7" w:rsidP="004F7CA7">
      <w:pPr>
        <w:jc w:val="center"/>
        <w:rPr>
          <w:lang w:val="pt-BR"/>
        </w:rPr>
      </w:pPr>
      <w:r w:rsidRPr="00D51072">
        <w:rPr>
          <w:lang w:val="es-ES"/>
        </w:rPr>
        <w:t xml:space="preserve">  </w:t>
      </w:r>
      <w:r w:rsidRPr="00A12B6B">
        <w:rPr>
          <w:lang w:val="pt-BR"/>
        </w:rPr>
        <w:t>Eduardo Ferrer Mac-Gregor Poisot</w:t>
      </w:r>
    </w:p>
    <w:p w14:paraId="12C7E42E" w14:textId="77777777" w:rsidR="004F7CA7" w:rsidRPr="00A12B6B" w:rsidRDefault="004F7CA7" w:rsidP="004F7CA7">
      <w:pPr>
        <w:jc w:val="center"/>
        <w:rPr>
          <w:lang w:val="pt-BR"/>
        </w:rPr>
      </w:pPr>
      <w:r w:rsidRPr="00A12B6B">
        <w:rPr>
          <w:lang w:val="pt-BR"/>
        </w:rPr>
        <w:t xml:space="preserve">Presidente </w:t>
      </w:r>
    </w:p>
    <w:p w14:paraId="1989690B" w14:textId="77777777" w:rsidR="004F7CA7" w:rsidRPr="00A12B6B" w:rsidRDefault="004F7CA7" w:rsidP="004F7CA7">
      <w:pPr>
        <w:rPr>
          <w:lang w:val="pt-BR"/>
        </w:rPr>
      </w:pPr>
    </w:p>
    <w:p w14:paraId="478F848A" w14:textId="77777777" w:rsidR="004F7CA7" w:rsidRPr="00A12B6B" w:rsidRDefault="004F7CA7" w:rsidP="004F7CA7">
      <w:pPr>
        <w:rPr>
          <w:lang w:val="pt-BR"/>
        </w:rPr>
      </w:pPr>
    </w:p>
    <w:p w14:paraId="67DC8F27" w14:textId="77777777" w:rsidR="004F7CA7" w:rsidRPr="00A12B6B" w:rsidRDefault="004F7CA7" w:rsidP="004F7CA7">
      <w:pPr>
        <w:rPr>
          <w:lang w:val="pt-BR"/>
        </w:rPr>
      </w:pPr>
    </w:p>
    <w:p w14:paraId="136CB006" w14:textId="77777777" w:rsidR="004F7CA7" w:rsidRPr="00A12B6B" w:rsidRDefault="004F7CA7" w:rsidP="004F7CA7">
      <w:pPr>
        <w:rPr>
          <w:lang w:val="pt-BR"/>
        </w:rPr>
      </w:pPr>
    </w:p>
    <w:p w14:paraId="4BA99C63" w14:textId="77777777" w:rsidR="004F7CA7" w:rsidRPr="00A12B6B" w:rsidRDefault="004F7CA7" w:rsidP="004F7CA7">
      <w:pPr>
        <w:rPr>
          <w:lang w:val="pt-BR"/>
        </w:rPr>
      </w:pPr>
    </w:p>
    <w:p w14:paraId="44E1635F" w14:textId="77777777" w:rsidR="004F7CA7" w:rsidRPr="00A12B6B" w:rsidRDefault="004F7CA7" w:rsidP="004F7CA7">
      <w:pPr>
        <w:rPr>
          <w:lang w:val="pt-BR"/>
        </w:rPr>
      </w:pPr>
      <w:r w:rsidRPr="00A12B6B">
        <w:rPr>
          <w:lang w:val="pt-BR"/>
        </w:rPr>
        <w:t>Eduardo Vio Grossi</w:t>
      </w:r>
      <w:r w:rsidRPr="00A12B6B">
        <w:rPr>
          <w:lang w:val="pt-BR"/>
        </w:rPr>
        <w:tab/>
      </w:r>
      <w:r w:rsidRPr="00A12B6B">
        <w:rPr>
          <w:lang w:val="pt-BR"/>
        </w:rPr>
        <w:tab/>
      </w:r>
      <w:r w:rsidRPr="00A12B6B">
        <w:rPr>
          <w:lang w:val="pt-BR"/>
        </w:rPr>
        <w:tab/>
      </w:r>
      <w:r w:rsidRPr="00A12B6B">
        <w:rPr>
          <w:lang w:val="pt-BR"/>
        </w:rPr>
        <w:tab/>
      </w:r>
      <w:r w:rsidRPr="00A12B6B">
        <w:rPr>
          <w:lang w:val="pt-BR"/>
        </w:rPr>
        <w:tab/>
      </w:r>
      <w:r w:rsidRPr="00A12B6B">
        <w:rPr>
          <w:lang w:val="pt-BR"/>
        </w:rPr>
        <w:tab/>
      </w:r>
      <w:r w:rsidRPr="00A12B6B">
        <w:rPr>
          <w:lang w:val="pt-BR"/>
        </w:rPr>
        <w:tab/>
      </w:r>
      <w:r w:rsidRPr="00D51072">
        <w:rPr>
          <w:lang w:val="pt-BR"/>
        </w:rPr>
        <w:t>Humberto A. Sierra Porto</w:t>
      </w:r>
      <w:r w:rsidRPr="00D51072">
        <w:rPr>
          <w:lang w:val="pt-BR"/>
        </w:rPr>
        <w:tab/>
      </w:r>
      <w:r w:rsidRPr="00A12B6B">
        <w:rPr>
          <w:lang w:val="pt-BR"/>
        </w:rPr>
        <w:t xml:space="preserve">                                                             </w:t>
      </w:r>
    </w:p>
    <w:p w14:paraId="15AE1273" w14:textId="77777777" w:rsidR="004F7CA7" w:rsidRPr="00A12B6B" w:rsidRDefault="004F7CA7" w:rsidP="004F7CA7">
      <w:pPr>
        <w:rPr>
          <w:lang w:val="pt-BR"/>
        </w:rPr>
      </w:pPr>
    </w:p>
    <w:p w14:paraId="52067E92" w14:textId="77777777" w:rsidR="004F7CA7" w:rsidRPr="00A12B6B" w:rsidRDefault="004F7CA7" w:rsidP="004F7CA7">
      <w:pPr>
        <w:rPr>
          <w:lang w:val="pt-BR"/>
        </w:rPr>
      </w:pPr>
    </w:p>
    <w:p w14:paraId="5E329B1A" w14:textId="77777777" w:rsidR="004F7CA7" w:rsidRPr="00A12B6B" w:rsidRDefault="004F7CA7" w:rsidP="004F7CA7">
      <w:pPr>
        <w:rPr>
          <w:lang w:val="pt-BR"/>
        </w:rPr>
      </w:pPr>
    </w:p>
    <w:p w14:paraId="56751C25" w14:textId="77777777" w:rsidR="004F7CA7" w:rsidRPr="00A12B6B" w:rsidRDefault="004F7CA7" w:rsidP="004F7CA7">
      <w:pPr>
        <w:rPr>
          <w:lang w:val="pt-BR"/>
        </w:rPr>
      </w:pPr>
    </w:p>
    <w:p w14:paraId="65C5A044" w14:textId="77777777" w:rsidR="004F7CA7" w:rsidRPr="00A12B6B" w:rsidRDefault="004F7CA7" w:rsidP="004F7CA7">
      <w:pPr>
        <w:rPr>
          <w:lang w:val="pt-BR"/>
        </w:rPr>
      </w:pPr>
    </w:p>
    <w:p w14:paraId="69A22EF6" w14:textId="77777777" w:rsidR="004F7CA7" w:rsidRPr="00A12B6B" w:rsidRDefault="004F7CA7" w:rsidP="004F7CA7">
      <w:pPr>
        <w:rPr>
          <w:lang w:val="pt-BR"/>
        </w:rPr>
      </w:pPr>
      <w:r w:rsidRPr="00A12B6B">
        <w:rPr>
          <w:lang w:val="pt-BR"/>
        </w:rPr>
        <w:t xml:space="preserve">Elizabeth Odio Benito    </w:t>
      </w:r>
      <w:r w:rsidRPr="00A12B6B">
        <w:rPr>
          <w:lang w:val="pt-BR"/>
        </w:rPr>
        <w:tab/>
      </w:r>
      <w:r w:rsidRPr="00A12B6B">
        <w:rPr>
          <w:lang w:val="pt-BR"/>
        </w:rPr>
        <w:tab/>
      </w:r>
      <w:r w:rsidRPr="00A12B6B">
        <w:rPr>
          <w:lang w:val="pt-BR"/>
        </w:rPr>
        <w:tab/>
      </w:r>
      <w:r w:rsidRPr="00A12B6B">
        <w:rPr>
          <w:lang w:val="pt-BR"/>
        </w:rPr>
        <w:tab/>
      </w:r>
      <w:r w:rsidRPr="00A12B6B">
        <w:rPr>
          <w:lang w:val="pt-BR"/>
        </w:rPr>
        <w:tab/>
      </w:r>
      <w:r w:rsidRPr="00A12B6B">
        <w:rPr>
          <w:lang w:val="pt-BR"/>
        </w:rPr>
        <w:tab/>
        <w:t>L. Patricio Pazmiño Freire</w:t>
      </w:r>
    </w:p>
    <w:p w14:paraId="0DF0808B" w14:textId="77777777" w:rsidR="004F7CA7" w:rsidRPr="00A12B6B" w:rsidRDefault="004F7CA7" w:rsidP="004F7CA7">
      <w:pPr>
        <w:rPr>
          <w:lang w:val="pt-BR"/>
        </w:rPr>
      </w:pPr>
    </w:p>
    <w:p w14:paraId="5E7FFA8F" w14:textId="77777777" w:rsidR="004F7CA7" w:rsidRPr="00A12B6B" w:rsidRDefault="004F7CA7" w:rsidP="004F7CA7">
      <w:pPr>
        <w:rPr>
          <w:lang w:val="pt-BR"/>
        </w:rPr>
      </w:pPr>
    </w:p>
    <w:p w14:paraId="6EBC2447" w14:textId="77777777" w:rsidR="004F7CA7" w:rsidRPr="00A12B6B" w:rsidRDefault="004F7CA7" w:rsidP="004F7CA7">
      <w:pPr>
        <w:rPr>
          <w:lang w:val="pt-BR"/>
        </w:rPr>
      </w:pPr>
    </w:p>
    <w:p w14:paraId="42C899F3" w14:textId="77777777" w:rsidR="004F7CA7" w:rsidRPr="00A12B6B" w:rsidRDefault="004F7CA7" w:rsidP="004F7CA7">
      <w:pPr>
        <w:rPr>
          <w:lang w:val="pt-BR"/>
        </w:rPr>
      </w:pPr>
    </w:p>
    <w:p w14:paraId="24C6D752" w14:textId="77777777" w:rsidR="004F7CA7" w:rsidRPr="00A12B6B" w:rsidRDefault="004F7CA7" w:rsidP="004F7CA7">
      <w:pPr>
        <w:rPr>
          <w:lang w:val="pt-BR"/>
        </w:rPr>
      </w:pPr>
    </w:p>
    <w:p w14:paraId="7B3F28AC" w14:textId="77777777" w:rsidR="004F7CA7" w:rsidRPr="00D51072" w:rsidRDefault="004F7CA7" w:rsidP="004F7CA7">
      <w:pPr>
        <w:tabs>
          <w:tab w:val="left" w:pos="2895"/>
          <w:tab w:val="center" w:pos="4680"/>
        </w:tabs>
        <w:jc w:val="left"/>
        <w:rPr>
          <w:lang w:val="pt-BR"/>
        </w:rPr>
      </w:pPr>
      <w:r w:rsidRPr="00D51072">
        <w:rPr>
          <w:lang w:val="pt-BR"/>
        </w:rPr>
        <w:tab/>
        <w:t>Pablo Saavedra Alessandri</w:t>
      </w:r>
    </w:p>
    <w:p w14:paraId="41083E0E" w14:textId="77777777" w:rsidR="004F7CA7" w:rsidRPr="00D51072" w:rsidRDefault="004F7CA7" w:rsidP="004F7CA7">
      <w:pPr>
        <w:tabs>
          <w:tab w:val="left" w:pos="3544"/>
          <w:tab w:val="center" w:pos="4680"/>
        </w:tabs>
        <w:jc w:val="left"/>
        <w:rPr>
          <w:lang w:val="pt-BR"/>
        </w:rPr>
      </w:pPr>
      <w:r w:rsidRPr="00D51072">
        <w:rPr>
          <w:lang w:val="pt-BR"/>
        </w:rPr>
        <w:tab/>
        <w:t xml:space="preserve"> Secretario</w:t>
      </w:r>
    </w:p>
    <w:p w14:paraId="74416464" w14:textId="77777777" w:rsidR="004F7CA7" w:rsidRPr="00D51072" w:rsidRDefault="004F7CA7" w:rsidP="004F7CA7">
      <w:pPr>
        <w:rPr>
          <w:lang w:val="pt-BR"/>
        </w:rPr>
      </w:pPr>
    </w:p>
    <w:p w14:paraId="0BB55135" w14:textId="77777777" w:rsidR="004F7CA7" w:rsidRPr="00D51072" w:rsidRDefault="004F7CA7" w:rsidP="004F7CA7">
      <w:pPr>
        <w:rPr>
          <w:lang w:val="pt-BR"/>
        </w:rPr>
      </w:pPr>
    </w:p>
    <w:p w14:paraId="45F921EA" w14:textId="77777777" w:rsidR="004F7CA7" w:rsidRPr="00D51072" w:rsidRDefault="004F7CA7" w:rsidP="004F7CA7">
      <w:pPr>
        <w:rPr>
          <w:lang w:val="pt-BR"/>
        </w:rPr>
      </w:pPr>
    </w:p>
    <w:p w14:paraId="0196E8AD" w14:textId="77777777" w:rsidR="004F7CA7" w:rsidRPr="00D51072" w:rsidRDefault="004F7CA7" w:rsidP="004F7CA7">
      <w:pPr>
        <w:rPr>
          <w:lang w:val="pt-BR"/>
        </w:rPr>
      </w:pPr>
    </w:p>
    <w:p w14:paraId="1568E016" w14:textId="77777777" w:rsidR="004F7CA7" w:rsidRPr="00D51072" w:rsidRDefault="004F7CA7" w:rsidP="004F7CA7">
      <w:pPr>
        <w:rPr>
          <w:lang w:val="pt-BR"/>
        </w:rPr>
      </w:pPr>
    </w:p>
    <w:p w14:paraId="7369580C" w14:textId="77777777" w:rsidR="004F7CA7" w:rsidRPr="00D51072" w:rsidRDefault="004F7CA7" w:rsidP="004F7CA7">
      <w:pPr>
        <w:rPr>
          <w:lang w:val="pt-BR"/>
        </w:rPr>
      </w:pPr>
      <w:r w:rsidRPr="00D51072">
        <w:rPr>
          <w:lang w:val="pt-BR"/>
        </w:rPr>
        <w:t>Comuníquese y ejecútese,</w:t>
      </w:r>
    </w:p>
    <w:p w14:paraId="2B63C892" w14:textId="77777777" w:rsidR="004F7CA7" w:rsidRPr="00D51072" w:rsidRDefault="004F7CA7" w:rsidP="004F7CA7">
      <w:pPr>
        <w:rPr>
          <w:lang w:val="pt-BR"/>
        </w:rPr>
      </w:pPr>
    </w:p>
    <w:p w14:paraId="2E12632E" w14:textId="77777777" w:rsidR="004F7CA7" w:rsidRPr="00D51072" w:rsidRDefault="004F7CA7" w:rsidP="004F7CA7">
      <w:pPr>
        <w:rPr>
          <w:lang w:val="pt-BR"/>
        </w:rPr>
      </w:pPr>
    </w:p>
    <w:p w14:paraId="1273A2E5" w14:textId="77777777" w:rsidR="004F7CA7" w:rsidRPr="00D51072" w:rsidRDefault="004F7CA7" w:rsidP="004F7CA7">
      <w:pPr>
        <w:rPr>
          <w:lang w:val="pt-BR"/>
        </w:rPr>
      </w:pPr>
    </w:p>
    <w:p w14:paraId="793CF418" w14:textId="77777777" w:rsidR="004F7CA7" w:rsidRPr="00D51072" w:rsidRDefault="004F7CA7" w:rsidP="004F7CA7">
      <w:pPr>
        <w:ind w:left="5664"/>
        <w:jc w:val="center"/>
        <w:rPr>
          <w:lang w:val="pt-BR"/>
        </w:rPr>
      </w:pPr>
    </w:p>
    <w:p w14:paraId="326D32CF" w14:textId="77777777" w:rsidR="004F7CA7" w:rsidRPr="00D51072" w:rsidRDefault="004F7CA7" w:rsidP="004F7CA7">
      <w:pPr>
        <w:ind w:left="5664"/>
        <w:jc w:val="center"/>
        <w:rPr>
          <w:lang w:val="pt-BR"/>
        </w:rPr>
      </w:pPr>
    </w:p>
    <w:p w14:paraId="2242ECDE" w14:textId="77777777" w:rsidR="004F7CA7" w:rsidRPr="00D51072" w:rsidRDefault="004F7CA7" w:rsidP="004F7CA7">
      <w:pPr>
        <w:ind w:left="5664"/>
        <w:jc w:val="center"/>
        <w:rPr>
          <w:lang w:val="pt-BR"/>
        </w:rPr>
      </w:pPr>
      <w:r w:rsidRPr="00D51072">
        <w:rPr>
          <w:lang w:val="pt-BR"/>
        </w:rPr>
        <w:t>Eduardo Ferrer Mac-Gregor Poisot</w:t>
      </w:r>
    </w:p>
    <w:p w14:paraId="7C85C6EE" w14:textId="77777777" w:rsidR="004F7CA7" w:rsidRPr="00D51072" w:rsidRDefault="004F7CA7" w:rsidP="004F7CA7">
      <w:pPr>
        <w:ind w:left="5664"/>
        <w:jc w:val="center"/>
        <w:rPr>
          <w:lang w:val="pt-BR"/>
        </w:rPr>
      </w:pPr>
      <w:r w:rsidRPr="00D51072">
        <w:rPr>
          <w:lang w:val="pt-BR"/>
        </w:rPr>
        <w:t>Presidente</w:t>
      </w:r>
    </w:p>
    <w:p w14:paraId="332D80D6" w14:textId="77777777" w:rsidR="004F7CA7" w:rsidRPr="00D51072" w:rsidRDefault="004F7CA7" w:rsidP="004F7CA7">
      <w:pPr>
        <w:rPr>
          <w:lang w:val="pt-BR"/>
        </w:rPr>
      </w:pPr>
    </w:p>
    <w:p w14:paraId="73B46CA1" w14:textId="77777777" w:rsidR="004F7CA7" w:rsidRPr="00D51072" w:rsidRDefault="004F7CA7" w:rsidP="004F7CA7">
      <w:pPr>
        <w:rPr>
          <w:lang w:val="pt-BR"/>
        </w:rPr>
      </w:pPr>
    </w:p>
    <w:p w14:paraId="6BB842FD" w14:textId="77777777" w:rsidR="004F7CA7" w:rsidRPr="00D51072" w:rsidRDefault="004F7CA7" w:rsidP="004F7CA7">
      <w:pPr>
        <w:rPr>
          <w:lang w:val="pt-BR"/>
        </w:rPr>
      </w:pPr>
    </w:p>
    <w:p w14:paraId="16EED056" w14:textId="77777777" w:rsidR="004F7CA7" w:rsidRPr="00D51072" w:rsidRDefault="004F7CA7" w:rsidP="004F7CA7">
      <w:pPr>
        <w:rPr>
          <w:lang w:val="pt-BR"/>
        </w:rPr>
      </w:pPr>
    </w:p>
    <w:p w14:paraId="62BB206C" w14:textId="77777777" w:rsidR="004F7CA7" w:rsidRPr="00D51072" w:rsidRDefault="004F7CA7" w:rsidP="004F7CA7">
      <w:pPr>
        <w:rPr>
          <w:lang w:val="pt-BR"/>
        </w:rPr>
      </w:pPr>
    </w:p>
    <w:p w14:paraId="3FD7BD61" w14:textId="77777777" w:rsidR="004F7CA7" w:rsidRPr="00D51072" w:rsidRDefault="004F7CA7" w:rsidP="004F7CA7">
      <w:pPr>
        <w:rPr>
          <w:lang w:val="pt-BR"/>
        </w:rPr>
      </w:pPr>
      <w:r w:rsidRPr="00D51072">
        <w:rPr>
          <w:lang w:val="pt-BR"/>
        </w:rPr>
        <w:t>Pablo Saavedra Alessandri</w:t>
      </w:r>
    </w:p>
    <w:p w14:paraId="52890C87" w14:textId="77777777" w:rsidR="004F7CA7" w:rsidRPr="005E52DB" w:rsidRDefault="004F7CA7" w:rsidP="004F7CA7">
      <w:pPr>
        <w:rPr>
          <w:lang w:val="pt-BR"/>
        </w:rPr>
      </w:pPr>
      <w:r w:rsidRPr="00D51072">
        <w:rPr>
          <w:lang w:val="pt-BR"/>
        </w:rPr>
        <w:tab/>
        <w:t>Secretario</w:t>
      </w:r>
    </w:p>
    <w:p w14:paraId="734C7999" w14:textId="77777777" w:rsidR="004F7CA7" w:rsidRDefault="004F7CA7" w:rsidP="00704B48">
      <w:pPr>
        <w:keepNext/>
        <w:outlineLvl w:val="0"/>
        <w:rPr>
          <w:lang w:val="es-ES"/>
        </w:rPr>
      </w:pPr>
    </w:p>
    <w:sectPr w:rsidR="004F7CA7" w:rsidSect="005D1131">
      <w:footerReference w:type="even" r:id="rId12"/>
      <w:footerReference w:type="default" r:id="rId13"/>
      <w:headerReference w:type="first" r:id="rId14"/>
      <w:footnotePr>
        <w:numRestart w:val="eachSect"/>
      </w:footnotePr>
      <w:type w:val="continuous"/>
      <w:pgSz w:w="12240" w:h="15840" w:code="1"/>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BC99" w14:textId="77777777" w:rsidR="00610F49" w:rsidRDefault="00610F49" w:rsidP="009403BF">
      <w:r>
        <w:separator/>
      </w:r>
    </w:p>
  </w:endnote>
  <w:endnote w:type="continuationSeparator" w:id="0">
    <w:p w14:paraId="52089536" w14:textId="77777777" w:rsidR="00610F49" w:rsidRDefault="00610F49" w:rsidP="0094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Italic">
    <w:altName w:val="Malgun Gothic Semilight"/>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Apple Chancery">
    <w:charset w:val="00"/>
    <w:family w:val="script"/>
    <w:pitch w:val="variable"/>
    <w:sig w:usb0="80000867" w:usb1="00000003" w:usb2="00000000" w:usb3="00000000" w:csb0="000001F3"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Verdana Bold">
    <w:altName w:val="Verdan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TT3132dbeaafO051021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0D69" w14:textId="77777777" w:rsidR="009B2823" w:rsidRDefault="009B2823" w:rsidP="00E141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DF3F79" w14:textId="77777777" w:rsidR="009B2823" w:rsidRDefault="009B2823" w:rsidP="00E1419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352320"/>
      <w:docPartObj>
        <w:docPartGallery w:val="Page Numbers (Bottom of Page)"/>
        <w:docPartUnique/>
      </w:docPartObj>
    </w:sdtPr>
    <w:sdtEndPr>
      <w:rPr>
        <w:noProof/>
        <w:sz w:val="16"/>
        <w:szCs w:val="16"/>
      </w:rPr>
    </w:sdtEndPr>
    <w:sdtContent>
      <w:p w14:paraId="5BC31032" w14:textId="4EF05DAE" w:rsidR="009B2823" w:rsidRPr="00BD65D3" w:rsidRDefault="009B2823">
        <w:pPr>
          <w:pStyle w:val="Piedepgina"/>
          <w:jc w:val="center"/>
          <w:rPr>
            <w:sz w:val="16"/>
            <w:szCs w:val="16"/>
          </w:rPr>
        </w:pPr>
        <w:r w:rsidRPr="00BD65D3">
          <w:rPr>
            <w:sz w:val="16"/>
            <w:szCs w:val="16"/>
          </w:rPr>
          <w:t>-</w:t>
        </w:r>
        <w:r w:rsidRPr="00BD65D3">
          <w:rPr>
            <w:sz w:val="16"/>
            <w:szCs w:val="16"/>
          </w:rPr>
          <w:fldChar w:fldCharType="begin"/>
        </w:r>
        <w:r w:rsidRPr="00BD65D3">
          <w:rPr>
            <w:sz w:val="16"/>
            <w:szCs w:val="16"/>
          </w:rPr>
          <w:instrText xml:space="preserve"> PAGE   \* MERGEFORMAT </w:instrText>
        </w:r>
        <w:r w:rsidRPr="00BD65D3">
          <w:rPr>
            <w:sz w:val="16"/>
            <w:szCs w:val="16"/>
          </w:rPr>
          <w:fldChar w:fldCharType="separate"/>
        </w:r>
        <w:r w:rsidR="001B2C76">
          <w:rPr>
            <w:noProof/>
            <w:sz w:val="16"/>
            <w:szCs w:val="16"/>
          </w:rPr>
          <w:t>2</w:t>
        </w:r>
        <w:r w:rsidRPr="00BD65D3">
          <w:rPr>
            <w:noProof/>
            <w:sz w:val="16"/>
            <w:szCs w:val="16"/>
          </w:rPr>
          <w:fldChar w:fldCharType="end"/>
        </w:r>
        <w:r w:rsidRPr="00BD65D3">
          <w:rPr>
            <w:noProof/>
            <w:sz w:val="16"/>
            <w:szCs w:val="16"/>
          </w:rPr>
          <w:t>-</w:t>
        </w:r>
      </w:p>
    </w:sdtContent>
  </w:sdt>
  <w:p w14:paraId="563DCC8C" w14:textId="77777777" w:rsidR="009B2823" w:rsidRDefault="009B2823" w:rsidP="00E1419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25B1" w14:textId="77777777" w:rsidR="00610F49" w:rsidRDefault="00610F49" w:rsidP="009403BF">
      <w:r>
        <w:separator/>
      </w:r>
    </w:p>
  </w:footnote>
  <w:footnote w:type="continuationSeparator" w:id="0">
    <w:p w14:paraId="56D2DB28" w14:textId="77777777" w:rsidR="00610F49" w:rsidRDefault="00610F49" w:rsidP="009403BF">
      <w:r>
        <w:continuationSeparator/>
      </w:r>
    </w:p>
  </w:footnote>
  <w:footnote w:id="1">
    <w:p w14:paraId="0575C526" w14:textId="254B14C8" w:rsidR="009B2823" w:rsidRPr="0009075E" w:rsidRDefault="009B2823" w:rsidP="00F646B3">
      <w:pPr>
        <w:spacing w:before="40" w:after="40"/>
        <w:ind w:right="-144"/>
        <w:rPr>
          <w:i/>
          <w:sz w:val="16"/>
          <w:szCs w:val="16"/>
          <w:lang w:val="es-CR"/>
        </w:rPr>
      </w:pPr>
      <w:r w:rsidRPr="0009075E">
        <w:rPr>
          <w:rStyle w:val="Refdenotaalpie"/>
          <w:sz w:val="16"/>
          <w:szCs w:val="16"/>
          <w:lang w:val="es-CR"/>
        </w:rPr>
        <w:t>*</w:t>
      </w:r>
      <w:r w:rsidRPr="0009075E">
        <w:rPr>
          <w:sz w:val="16"/>
          <w:szCs w:val="16"/>
          <w:lang w:val="es-CR"/>
        </w:rPr>
        <w:t xml:space="preserve"> </w:t>
      </w:r>
      <w:r w:rsidRPr="0009075E">
        <w:rPr>
          <w:sz w:val="16"/>
          <w:szCs w:val="16"/>
          <w:lang w:val="es-CR"/>
        </w:rPr>
        <w:tab/>
      </w:r>
      <w:r w:rsidRPr="0009075E">
        <w:rPr>
          <w:rFonts w:cs="Arial"/>
          <w:spacing w:val="-4"/>
          <w:sz w:val="16"/>
          <w:szCs w:val="16"/>
          <w:lang w:val="es-CR"/>
        </w:rPr>
        <w:t xml:space="preserve">El Juez </w:t>
      </w:r>
      <w:r w:rsidRPr="00091FE0">
        <w:rPr>
          <w:spacing w:val="-4"/>
          <w:sz w:val="16"/>
          <w:szCs w:val="16"/>
          <w:lang w:val="es-CR"/>
        </w:rPr>
        <w:t xml:space="preserve">Eugenio Raúl Zaffaroni, </w:t>
      </w:r>
      <w:r w:rsidRPr="0009075E">
        <w:rPr>
          <w:rFonts w:cs="Arial"/>
          <w:spacing w:val="-4"/>
          <w:sz w:val="16"/>
          <w:szCs w:val="16"/>
          <w:lang w:val="es-CR"/>
        </w:rPr>
        <w:t xml:space="preserve">de nacionalidad </w:t>
      </w:r>
      <w:r>
        <w:rPr>
          <w:rFonts w:cs="Arial"/>
          <w:spacing w:val="-4"/>
          <w:sz w:val="16"/>
          <w:szCs w:val="16"/>
          <w:lang w:val="es-CR"/>
        </w:rPr>
        <w:t>argentina</w:t>
      </w:r>
      <w:r w:rsidRPr="0009075E">
        <w:rPr>
          <w:rFonts w:cs="Arial"/>
          <w:spacing w:val="-4"/>
          <w:sz w:val="16"/>
          <w:szCs w:val="16"/>
          <w:lang w:val="es-CR"/>
        </w:rPr>
        <w:t xml:space="preserve">, no participó en la deliberación de la presente Sentencia, de conformidad con lo dispuesto en los artículos 19.2 del Estatuto y 19.1 del Reglamento de la Corte. </w:t>
      </w:r>
      <w:r w:rsidRPr="00E44CAE">
        <w:rPr>
          <w:rFonts w:cs="Arial"/>
          <w:spacing w:val="-4"/>
          <w:sz w:val="16"/>
          <w:szCs w:val="16"/>
          <w:lang w:val="es-CR"/>
        </w:rPr>
        <w:t>El Juez Ricardo Pérez Manrique no participó de la audiencia ni de la deliberación del presente caso.</w:t>
      </w:r>
    </w:p>
  </w:footnote>
  <w:footnote w:id="2">
    <w:p w14:paraId="5A481725" w14:textId="261BBF3D" w:rsidR="009B2823" w:rsidRPr="00DE441A" w:rsidRDefault="009B2823" w:rsidP="00F646B3">
      <w:pPr>
        <w:pStyle w:val="Textonotapie"/>
        <w:spacing w:before="40" w:after="40"/>
      </w:pPr>
      <w:r w:rsidRPr="00DE441A">
        <w:rPr>
          <w:rStyle w:val="Refdenotaalpie"/>
        </w:rPr>
        <w:footnoteRef/>
      </w:r>
      <w:r w:rsidRPr="00DE441A">
        <w:t xml:space="preserve"> </w:t>
      </w:r>
      <w:r w:rsidRPr="00DE441A">
        <w:tab/>
      </w:r>
      <w:r>
        <w:t>E</w:t>
      </w:r>
      <w:r w:rsidRPr="00BA5C32">
        <w:t>l 22 de octubre de 2004 se incorporó como peticionario el abogado Carlos Federico Bossi Ballester.</w:t>
      </w:r>
      <w:r w:rsidRPr="00DE441A">
        <w:rPr>
          <w:rFonts w:ascii="Cambria" w:hAnsi="Cambria"/>
          <w:szCs w:val="16"/>
          <w:lang w:val="es-VE"/>
        </w:rPr>
        <w:t xml:space="preserve"> </w:t>
      </w:r>
    </w:p>
  </w:footnote>
  <w:footnote w:id="3">
    <w:p w14:paraId="3F87C119" w14:textId="3B1D94D8" w:rsidR="009B2823" w:rsidRPr="00DE441A" w:rsidRDefault="009B2823" w:rsidP="00F646B3">
      <w:pPr>
        <w:pStyle w:val="Textonotapie"/>
        <w:spacing w:before="40" w:after="40"/>
        <w:rPr>
          <w:szCs w:val="16"/>
        </w:rPr>
      </w:pPr>
      <w:r w:rsidRPr="00DE441A">
        <w:rPr>
          <w:rStyle w:val="Refdenotaalpie"/>
          <w:szCs w:val="16"/>
        </w:rPr>
        <w:footnoteRef/>
      </w:r>
      <w:r w:rsidRPr="00DE441A">
        <w:rPr>
          <w:szCs w:val="16"/>
        </w:rPr>
        <w:t xml:space="preserve"> </w:t>
      </w:r>
      <w:r w:rsidRPr="00DE441A">
        <w:rPr>
          <w:szCs w:val="16"/>
        </w:rPr>
        <w:tab/>
        <w:t xml:space="preserve">En dicho Informe, la Comisión </w:t>
      </w:r>
      <w:r w:rsidRPr="00DE441A">
        <w:rPr>
          <w:szCs w:val="16"/>
          <w:lang w:val="es-CR"/>
        </w:rPr>
        <w:t xml:space="preserve">declaró </w:t>
      </w:r>
      <w:r>
        <w:rPr>
          <w:szCs w:val="16"/>
          <w:lang w:val="es-CR"/>
        </w:rPr>
        <w:t xml:space="preserve">admisible </w:t>
      </w:r>
      <w:r w:rsidRPr="00DE441A">
        <w:rPr>
          <w:szCs w:val="16"/>
          <w:lang w:val="es-CR"/>
        </w:rPr>
        <w:t>la petición</w:t>
      </w:r>
      <w:r>
        <w:rPr>
          <w:szCs w:val="16"/>
          <w:lang w:val="es-CR"/>
        </w:rPr>
        <w:t>,</w:t>
      </w:r>
      <w:r w:rsidRPr="00DE441A">
        <w:rPr>
          <w:szCs w:val="16"/>
          <w:lang w:val="es-CR"/>
        </w:rPr>
        <w:t xml:space="preserve"> con el fin de examinar la posible violación de los derechos </w:t>
      </w:r>
      <w:r>
        <w:rPr>
          <w:szCs w:val="16"/>
          <w:lang w:val="es-CR"/>
        </w:rPr>
        <w:t>contenidos</w:t>
      </w:r>
      <w:r w:rsidRPr="00DE441A">
        <w:rPr>
          <w:szCs w:val="16"/>
          <w:lang w:val="es-CR"/>
        </w:rPr>
        <w:t xml:space="preserve"> en los artículos 8, 9 y 25 de la Convención</w:t>
      </w:r>
      <w:r w:rsidRPr="00DE441A">
        <w:rPr>
          <w:szCs w:val="16"/>
        </w:rPr>
        <w:t>. A su vez, declaró inadmisible la petición en relación con los artículos 11, 21 y 24 de la Convención</w:t>
      </w:r>
      <w:r>
        <w:rPr>
          <w:szCs w:val="16"/>
        </w:rPr>
        <w:t>.</w:t>
      </w:r>
      <w:r w:rsidRPr="00DE441A">
        <w:rPr>
          <w:szCs w:val="16"/>
        </w:rPr>
        <w:tab/>
        <w:t xml:space="preserve"> </w:t>
      </w:r>
    </w:p>
  </w:footnote>
  <w:footnote w:id="4">
    <w:p w14:paraId="3132CEF9" w14:textId="4F565760" w:rsidR="009B2823" w:rsidRPr="00DE441A" w:rsidRDefault="009B2823" w:rsidP="00F646B3">
      <w:pPr>
        <w:pStyle w:val="Textonotapie"/>
        <w:spacing w:before="40" w:after="40"/>
        <w:rPr>
          <w:szCs w:val="16"/>
        </w:rPr>
      </w:pPr>
      <w:r w:rsidRPr="00DE441A">
        <w:rPr>
          <w:rStyle w:val="Refdenotaalpie"/>
          <w:szCs w:val="16"/>
        </w:rPr>
        <w:footnoteRef/>
      </w:r>
      <w:r w:rsidRPr="00DE441A">
        <w:rPr>
          <w:szCs w:val="16"/>
        </w:rPr>
        <w:t xml:space="preserve"> </w:t>
      </w:r>
      <w:r w:rsidRPr="00DE441A">
        <w:rPr>
          <w:szCs w:val="16"/>
        </w:rPr>
        <w:tab/>
        <w:t>Concluyó que Argentina era responsable por la violación a los derechos establecidos en los artículos 8.1, 8.2 h)</w:t>
      </w:r>
      <w:r>
        <w:rPr>
          <w:szCs w:val="16"/>
        </w:rPr>
        <w:t>, 9, 23 y 25.1 de la Convención.</w:t>
      </w:r>
    </w:p>
  </w:footnote>
  <w:footnote w:id="5">
    <w:p w14:paraId="0E51A96B" w14:textId="2E29A45E" w:rsidR="009B2823" w:rsidRPr="00DE441A" w:rsidRDefault="009B2823" w:rsidP="00F646B3">
      <w:pPr>
        <w:pStyle w:val="Textonotapie"/>
        <w:spacing w:before="40" w:after="40"/>
        <w:rPr>
          <w:szCs w:val="16"/>
        </w:rPr>
      </w:pPr>
      <w:r w:rsidRPr="00DE441A">
        <w:rPr>
          <w:rStyle w:val="Refdenotaalpie"/>
          <w:szCs w:val="16"/>
        </w:rPr>
        <w:footnoteRef/>
      </w:r>
      <w:r w:rsidRPr="00DE441A">
        <w:rPr>
          <w:szCs w:val="16"/>
        </w:rPr>
        <w:t xml:space="preserve"> </w:t>
      </w:r>
      <w:r w:rsidRPr="00DE441A">
        <w:rPr>
          <w:szCs w:val="16"/>
        </w:rPr>
        <w:tab/>
        <w:t xml:space="preserve">Los representantes de la presunta víctima son: Susana María Barneix y Carlos Federico Bossi Ballester. </w:t>
      </w:r>
      <w:r>
        <w:rPr>
          <w:szCs w:val="16"/>
        </w:rPr>
        <w:t xml:space="preserve">El 26 de abril de 2019, el señor Rico remitió una nota en la cual ratificó las presentaciones realizadas por el doctor </w:t>
      </w:r>
      <w:r w:rsidRPr="00141EA6">
        <w:rPr>
          <w:szCs w:val="16"/>
        </w:rPr>
        <w:t>Eduardo S. Barcesat</w:t>
      </w:r>
      <w:r>
        <w:rPr>
          <w:szCs w:val="16"/>
        </w:rPr>
        <w:t xml:space="preserve">, a quien también reconoce como su representante. </w:t>
      </w:r>
    </w:p>
  </w:footnote>
  <w:footnote w:id="6">
    <w:p w14:paraId="4E5C0A16" w14:textId="2C2EA8C6" w:rsidR="009B2823" w:rsidRPr="00DE441A" w:rsidRDefault="009B2823" w:rsidP="00F646B3">
      <w:pPr>
        <w:pStyle w:val="Textonotapie"/>
        <w:spacing w:before="40" w:after="40"/>
        <w:rPr>
          <w:szCs w:val="16"/>
          <w:lang w:val="es-CR"/>
        </w:rPr>
      </w:pPr>
      <w:r w:rsidRPr="00DE441A">
        <w:rPr>
          <w:rStyle w:val="Refdenotaalpie"/>
          <w:szCs w:val="16"/>
        </w:rPr>
        <w:footnoteRef/>
      </w:r>
      <w:r w:rsidRPr="00DE441A">
        <w:rPr>
          <w:szCs w:val="16"/>
        </w:rPr>
        <w:t xml:space="preserve"> </w:t>
      </w:r>
      <w:r w:rsidRPr="00DE441A">
        <w:rPr>
          <w:szCs w:val="16"/>
        </w:rPr>
        <w:tab/>
      </w:r>
      <w:r w:rsidRPr="00DE441A">
        <w:rPr>
          <w:szCs w:val="16"/>
          <w:lang w:val="es-CR"/>
        </w:rPr>
        <w:t xml:space="preserve">El Estado designó como Agente </w:t>
      </w:r>
      <w:r>
        <w:rPr>
          <w:szCs w:val="16"/>
          <w:lang w:val="es-CR"/>
        </w:rPr>
        <w:t xml:space="preserve">titular </w:t>
      </w:r>
      <w:r w:rsidRPr="00DE441A">
        <w:rPr>
          <w:szCs w:val="16"/>
          <w:lang w:val="es-CR"/>
        </w:rPr>
        <w:t>para el presente caso a Alberto Javier Salgado, y como Agente alterno a Ramiro Cristóbal Badía.</w:t>
      </w:r>
    </w:p>
  </w:footnote>
  <w:footnote w:id="7">
    <w:p w14:paraId="352F6953" w14:textId="0900B171" w:rsidR="009B2823" w:rsidRPr="0009075E" w:rsidRDefault="009B2823" w:rsidP="00F646B3">
      <w:pPr>
        <w:pStyle w:val="Textonotapie"/>
        <w:spacing w:before="40" w:after="40"/>
        <w:rPr>
          <w:rFonts w:eastAsia="Times New Roman" w:cs="Times New Roman"/>
          <w:bCs/>
          <w:iCs/>
          <w:szCs w:val="16"/>
          <w:lang w:val="es-ES"/>
        </w:rPr>
      </w:pPr>
      <w:r w:rsidRPr="00DE441A">
        <w:rPr>
          <w:rStyle w:val="Refdenotaalpie"/>
          <w:szCs w:val="16"/>
        </w:rPr>
        <w:footnoteRef/>
      </w:r>
      <w:r w:rsidRPr="00DE441A">
        <w:rPr>
          <w:szCs w:val="16"/>
        </w:rPr>
        <w:t xml:space="preserve"> </w:t>
      </w:r>
      <w:r w:rsidRPr="00DE441A">
        <w:rPr>
          <w:szCs w:val="16"/>
        </w:rPr>
        <w:tab/>
      </w:r>
      <w:r w:rsidRPr="00DE441A">
        <w:rPr>
          <w:rFonts w:eastAsia="Times New Roman" w:cs="Times New Roman"/>
          <w:bCs/>
          <w:iCs/>
          <w:szCs w:val="16"/>
          <w:lang w:val="es-ES"/>
        </w:rPr>
        <w:t xml:space="preserve">A esta audiencia comparecieron: a) por la Comisión Interamericana: Luis Ernesto Vargas Silva, Christian González Chacón y Silvia Serrano Guzmán; b) por la representación de la presunta víctima: Eduardo Rico y Carlos Federico Bossi Ballester, y c) por el Estado de Argentina: Alberto Javier Salgado y Ramiro Cristóbal Badía. </w:t>
      </w:r>
    </w:p>
  </w:footnote>
  <w:footnote w:id="8">
    <w:p w14:paraId="7FCC6C89" w14:textId="500F1E2B" w:rsidR="009B2823" w:rsidRDefault="009B2823" w:rsidP="00F646B3">
      <w:pPr>
        <w:pStyle w:val="Textonotapie"/>
        <w:spacing w:before="40" w:after="40"/>
      </w:pPr>
      <w:r>
        <w:rPr>
          <w:rStyle w:val="Refdenotaalpie"/>
        </w:rPr>
        <w:footnoteRef/>
      </w:r>
      <w:r>
        <w:t xml:space="preserve"> </w:t>
      </w:r>
      <w:r>
        <w:tab/>
      </w:r>
      <w:r w:rsidRPr="00192A9F">
        <w:rPr>
          <w:i/>
        </w:rPr>
        <w:t>Cfr.</w:t>
      </w:r>
      <w:r>
        <w:t xml:space="preserve"> </w:t>
      </w:r>
      <w:r w:rsidRPr="002E0D00">
        <w:rPr>
          <w:i/>
        </w:rPr>
        <w:t>Caso Velásquez Rodríguez Vs. Honduras. Excepciones Preliminares</w:t>
      </w:r>
      <w:r w:rsidRPr="00192A9F">
        <w:t>. Sentencia de 26 de junio de 1987. Serie C No. 1</w:t>
      </w:r>
      <w:r>
        <w:t xml:space="preserve">, párrs. 85 y 88, y </w:t>
      </w:r>
      <w:r w:rsidRPr="002E0D00">
        <w:rPr>
          <w:i/>
        </w:rPr>
        <w:t xml:space="preserve">Caso Amrhein y otros </w:t>
      </w:r>
      <w:r>
        <w:rPr>
          <w:i/>
        </w:rPr>
        <w:t>V</w:t>
      </w:r>
      <w:r w:rsidRPr="002E0D00">
        <w:rPr>
          <w:i/>
        </w:rPr>
        <w:t>s. Costa Rica. Excepciones Preliminares, Fondo, Reparaciones y Costas</w:t>
      </w:r>
      <w:r>
        <w:t xml:space="preserve">. Sentencia de 25 de abril de 2018. Serie C No. 354, párr. 39. Asimismo, </w:t>
      </w:r>
      <w:r w:rsidRPr="002E0D00">
        <w:rPr>
          <w:i/>
        </w:rPr>
        <w:t>Caso Gonzales Lluy y otros Vs. Ecuador. Excepciones Preliminares, Fondo, Reparaciones y Costas</w:t>
      </w:r>
      <w:r>
        <w:t xml:space="preserve">. Sentencia de 1 de septiembre de 2015. Serie C No. 298, párr. 28, </w:t>
      </w:r>
      <w:r w:rsidRPr="002E0D00">
        <w:rPr>
          <w:i/>
        </w:rPr>
        <w:t xml:space="preserve">Caso Herzog y otros </w:t>
      </w:r>
      <w:r>
        <w:rPr>
          <w:i/>
        </w:rPr>
        <w:t>V</w:t>
      </w:r>
      <w:r w:rsidRPr="002E0D00">
        <w:rPr>
          <w:i/>
        </w:rPr>
        <w:t>s. Brasil. Excepciones Preliminares, Fondo, Reparaciones y Costas</w:t>
      </w:r>
      <w:r w:rsidRPr="00192A9F">
        <w:t>. Sentencia de 15 de marzo de 2018. Serie C No. 353</w:t>
      </w:r>
      <w:r>
        <w:t>, párr</w:t>
      </w:r>
      <w:r w:rsidRPr="00192A9F">
        <w:t>.</w:t>
      </w:r>
      <w:r>
        <w:t xml:space="preserve"> 51, y</w:t>
      </w:r>
      <w:r w:rsidRPr="00E87B5D">
        <w:rPr>
          <w:i/>
        </w:rPr>
        <w:t xml:space="preserve"> </w:t>
      </w:r>
      <w:r w:rsidRPr="002E0D00">
        <w:rPr>
          <w:i/>
        </w:rPr>
        <w:t>Caso Reverón Trujillo Vs. Venezuela. Excepción Preliminar, Fondo, Reparaciones y Costas</w:t>
      </w:r>
      <w:r>
        <w:t xml:space="preserve">. Sentencia de 30 de junio de 2009. Serie C No. 197, párr. 23. Del mismo modo, véase </w:t>
      </w:r>
      <w:r w:rsidRPr="002E0D00">
        <w:rPr>
          <w:i/>
        </w:rPr>
        <w:t>Caso Furlan y Familiares Vs. Argentina. Excepciones Preliminares, Fondo, Reparaciones y Costas</w:t>
      </w:r>
      <w:r w:rsidRPr="00F4551C">
        <w:t>.</w:t>
      </w:r>
      <w:r>
        <w:t xml:space="preserve"> </w:t>
      </w:r>
      <w:r w:rsidRPr="003472AB">
        <w:rPr>
          <w:lang w:val="pt-BR"/>
        </w:rPr>
        <w:t>Sentencia de 31 de agosto de 2012. Serie C No. 246, párr. 29</w:t>
      </w:r>
      <w:r>
        <w:rPr>
          <w:lang w:val="pt-BR"/>
        </w:rPr>
        <w:t>,</w:t>
      </w:r>
      <w:r w:rsidRPr="003472AB">
        <w:rPr>
          <w:lang w:val="pt-BR"/>
        </w:rPr>
        <w:t xml:space="preserve"> y </w:t>
      </w:r>
      <w:r w:rsidRPr="002E0D00">
        <w:rPr>
          <w:i/>
          <w:lang w:val="pt-BR"/>
        </w:rPr>
        <w:t xml:space="preserve">Caso Favela Nova Brasília Vs. </w:t>
      </w:r>
      <w:r w:rsidRPr="002E0D00">
        <w:rPr>
          <w:i/>
        </w:rPr>
        <w:t>Brasil. Excepciones Preliminares, Fondo, Reparaciones y Costas</w:t>
      </w:r>
      <w:r w:rsidRPr="00387602">
        <w:t>. Sentencia de 16 de febrero de 2017. Serie C No. 333</w:t>
      </w:r>
      <w:r>
        <w:t>, párr. 78.</w:t>
      </w:r>
    </w:p>
  </w:footnote>
  <w:footnote w:id="9">
    <w:p w14:paraId="56CFF9DB" w14:textId="6460AA49" w:rsidR="009B2823" w:rsidRPr="005A5196" w:rsidRDefault="009B2823" w:rsidP="00F646B3">
      <w:pPr>
        <w:pStyle w:val="Textonotapie"/>
        <w:spacing w:before="40" w:after="40"/>
      </w:pPr>
      <w:r>
        <w:rPr>
          <w:rStyle w:val="Refdenotaalpie"/>
        </w:rPr>
        <w:footnoteRef/>
      </w:r>
      <w:r>
        <w:t xml:space="preserve"> </w:t>
      </w:r>
      <w:r>
        <w:tab/>
        <w:t>CSJN. Causa</w:t>
      </w:r>
      <w:r w:rsidRPr="005A5196">
        <w:t xml:space="preserve"> </w:t>
      </w:r>
      <w:r>
        <w:t>“</w:t>
      </w:r>
      <w:r w:rsidRPr="005A5196">
        <w:t>Graffigna Latino</w:t>
      </w:r>
      <w:r>
        <w:t>”</w:t>
      </w:r>
      <w:r w:rsidRPr="005A5196">
        <w:t xml:space="preserve"> (Fallos: 308:961)</w:t>
      </w:r>
      <w:r>
        <w:t>. Caso referenciado por los Representantes y el Estado en sus escritos principales.</w:t>
      </w:r>
    </w:p>
  </w:footnote>
  <w:footnote w:id="10">
    <w:p w14:paraId="4AD14471" w14:textId="5EF33929" w:rsidR="009B2823" w:rsidRPr="005A5196" w:rsidRDefault="009B2823" w:rsidP="00F646B3">
      <w:pPr>
        <w:pStyle w:val="Textonotapie"/>
        <w:spacing w:before="40" w:after="40"/>
      </w:pPr>
      <w:r>
        <w:rPr>
          <w:rStyle w:val="Refdenotaalpie"/>
        </w:rPr>
        <w:footnoteRef/>
      </w:r>
      <w:r>
        <w:t xml:space="preserve"> </w:t>
      </w:r>
      <w:r>
        <w:tab/>
        <w:t>CSJN. C</w:t>
      </w:r>
      <w:r w:rsidRPr="005A5196">
        <w:t xml:space="preserve">ausas </w:t>
      </w:r>
      <w:r>
        <w:t>“</w:t>
      </w:r>
      <w:r w:rsidRPr="005A5196">
        <w:t>Paredes, Eduardo y Pessoa,</w:t>
      </w:r>
      <w:r>
        <w:t xml:space="preserve"> </w:t>
      </w:r>
      <w:r w:rsidRPr="005A5196">
        <w:t>Nelson</w:t>
      </w:r>
      <w:r>
        <w:t>”</w:t>
      </w:r>
      <w:r w:rsidRPr="005A5196">
        <w:t xml:space="preserve"> (Fallos: 329:3027); </w:t>
      </w:r>
      <w:r>
        <w:t>“</w:t>
      </w:r>
      <w:r w:rsidRPr="005A5196">
        <w:t>Acuña</w:t>
      </w:r>
      <w:r>
        <w:t>”</w:t>
      </w:r>
      <w:r w:rsidRPr="005A5196">
        <w:t xml:space="preserve"> (Fallos: 328:3148); </w:t>
      </w:r>
      <w:r>
        <w:t>“</w:t>
      </w:r>
      <w:r w:rsidRPr="005A5196">
        <w:t>De la</w:t>
      </w:r>
      <w:r>
        <w:t xml:space="preserve"> </w:t>
      </w:r>
      <w:r w:rsidRPr="005A5196">
        <w:t>Cruz</w:t>
      </w:r>
      <w:r>
        <w:t>”</w:t>
      </w:r>
      <w:r w:rsidRPr="005A5196">
        <w:t xml:space="preserve"> (Fallos: 331:810); </w:t>
      </w:r>
      <w:r>
        <w:t>“</w:t>
      </w:r>
      <w:r w:rsidRPr="005A5196">
        <w:t>Rodríguez</w:t>
      </w:r>
      <w:r>
        <w:t>”</w:t>
      </w:r>
      <w:r w:rsidRPr="005A5196">
        <w:t xml:space="preserve"> (Fallos: 331:2156); </w:t>
      </w:r>
      <w:r>
        <w:t>“</w:t>
      </w:r>
      <w:r w:rsidRPr="005A5196">
        <w:t>Rojas</w:t>
      </w:r>
      <w:r>
        <w:t xml:space="preserve">” </w:t>
      </w:r>
      <w:r w:rsidRPr="005A5196">
        <w:t xml:space="preserve">(Fallos: 331:2195); </w:t>
      </w:r>
      <w:r>
        <w:t>“</w:t>
      </w:r>
      <w:r w:rsidRPr="005A5196">
        <w:t>Trova</w:t>
      </w:r>
      <w:r>
        <w:t>”</w:t>
      </w:r>
      <w:r w:rsidRPr="005A5196">
        <w:t xml:space="preserve"> (Fallos: 332:2504); causas CSJ936/20.09 (45-A) /CS1 "Agente Fiscal s/ solicita instrucción de sumario</w:t>
      </w:r>
      <w:r>
        <w:t>”</w:t>
      </w:r>
      <w:r w:rsidRPr="005A5196">
        <w:t xml:space="preserve">, del 1° de junio de 2010; </w:t>
      </w:r>
      <w:r>
        <w:t>“</w:t>
      </w:r>
      <w:r w:rsidRPr="005A5196">
        <w:t>Parrilli</w:t>
      </w:r>
      <w:r>
        <w:t>”</w:t>
      </w:r>
      <w:r w:rsidRPr="005A5196">
        <w:t xml:space="preserve"> (Fallos: </w:t>
      </w:r>
      <w:r>
        <w:t>335:1779) y CSJ 1070/2012 (48-B)</w:t>
      </w:r>
      <w:r w:rsidRPr="005A5196">
        <w:t xml:space="preserve">/CS1 </w:t>
      </w:r>
      <w:r>
        <w:t>“</w:t>
      </w:r>
      <w:r w:rsidRPr="005A5196">
        <w:t>Bordón, Miguel Ángel s/causa n°69115/10</w:t>
      </w:r>
      <w:r>
        <w:t>”</w:t>
      </w:r>
      <w:r w:rsidRPr="005A5196">
        <w:t xml:space="preserve">, sentencia del 27 de agosto de 2013 y sus citas); </w:t>
      </w:r>
      <w:r>
        <w:t>“</w:t>
      </w:r>
      <w:r w:rsidRPr="005A5196">
        <w:t>Fiscal de Estado Guilleimo H. De Sanctis y otro</w:t>
      </w:r>
      <w:r>
        <w:t>”</w:t>
      </w:r>
      <w:r w:rsidRPr="005A5196">
        <w:t xml:space="preserve"> (Fallos:</w:t>
      </w:r>
      <w:r>
        <w:t xml:space="preserve"> </w:t>
      </w:r>
      <w:r w:rsidRPr="005A5196">
        <w:t xml:space="preserve">339:1048); </w:t>
      </w:r>
      <w:r>
        <w:t>“</w:t>
      </w:r>
      <w:r w:rsidRPr="005A5196">
        <w:t>Procurador General Corte Suprema de Justicia Dr.</w:t>
      </w:r>
      <w:r>
        <w:t xml:space="preserve"> </w:t>
      </w:r>
      <w:r w:rsidRPr="005A5196">
        <w:t>Jorge Alberto Barraguirre</w:t>
      </w:r>
      <w:r>
        <w:t>”</w:t>
      </w:r>
      <w:r w:rsidRPr="005A5196">
        <w:t xml:space="preserve"> (Fallos: 339:1463 y sus citas)</w:t>
      </w:r>
      <w:r>
        <w:t xml:space="preserve">. Asimismo, véase </w:t>
      </w:r>
      <w:r w:rsidRPr="004520F8">
        <w:t>“Ramírez, Ramón Francisco Tomás s/ acusación por mal desempeño del cargo de juez de instrucción y correccional de la ciudad de Saladas - Pcia. de Corrientes” del 8 de Mayo del 2018</w:t>
      </w:r>
      <w:r>
        <w:t>.</w:t>
      </w:r>
      <w:r w:rsidRPr="00A47178">
        <w:t xml:space="preserve"> </w:t>
      </w:r>
      <w:r>
        <w:t>Caso referenciado por los Representantes y el Estado en sus escritos principales.</w:t>
      </w:r>
    </w:p>
  </w:footnote>
  <w:footnote w:id="11">
    <w:p w14:paraId="1E29845F" w14:textId="108C4615" w:rsidR="009B2823" w:rsidRPr="009A2AB9" w:rsidRDefault="009B2823" w:rsidP="00F646B3">
      <w:pPr>
        <w:pStyle w:val="Textonotapie"/>
        <w:spacing w:before="40" w:after="40"/>
        <w:rPr>
          <w:szCs w:val="16"/>
        </w:rPr>
      </w:pPr>
      <w:r w:rsidRPr="009A2AB9">
        <w:rPr>
          <w:rStyle w:val="Refdenotaalpie"/>
          <w:szCs w:val="16"/>
        </w:rPr>
        <w:footnoteRef/>
      </w:r>
      <w:r w:rsidRPr="009A2AB9">
        <w:rPr>
          <w:szCs w:val="16"/>
        </w:rPr>
        <w:t xml:space="preserve"> </w:t>
      </w:r>
      <w:r w:rsidRPr="009A2AB9">
        <w:rPr>
          <w:szCs w:val="16"/>
        </w:rPr>
        <w:tab/>
      </w:r>
      <w:r w:rsidRPr="009A2AB9">
        <w:rPr>
          <w:i/>
          <w:szCs w:val="16"/>
        </w:rPr>
        <w:t>Cfr. Caso Velásquez Rodríguez Vs. Honduras. Fondo.</w:t>
      </w:r>
      <w:r w:rsidRPr="009A2AB9">
        <w:rPr>
          <w:szCs w:val="16"/>
        </w:rPr>
        <w:t xml:space="preserve"> Sentencia de 29 de julio de 1988. Serie C No. 4, párr. 140, y </w:t>
      </w:r>
      <w:r w:rsidRPr="000C50AF">
        <w:rPr>
          <w:i/>
          <w:szCs w:val="16"/>
        </w:rPr>
        <w:t>Caso Martínez Coronado Vs. Guatemala. Fondo, Reparaciones y Costas</w:t>
      </w:r>
      <w:r w:rsidRPr="000C50AF">
        <w:rPr>
          <w:szCs w:val="16"/>
        </w:rPr>
        <w:t>. Sentencia de 10 de mayo de 2019. Serie C No. 376,</w:t>
      </w:r>
      <w:r w:rsidRPr="009A2AB9">
        <w:rPr>
          <w:szCs w:val="16"/>
        </w:rPr>
        <w:t xml:space="preserve"> párr. </w:t>
      </w:r>
      <w:r>
        <w:rPr>
          <w:szCs w:val="16"/>
        </w:rPr>
        <w:t>20</w:t>
      </w:r>
      <w:r w:rsidRPr="009A2AB9">
        <w:rPr>
          <w:szCs w:val="16"/>
        </w:rPr>
        <w:t>.</w:t>
      </w:r>
    </w:p>
  </w:footnote>
  <w:footnote w:id="12">
    <w:p w14:paraId="39C7FC1D" w14:textId="4C272857" w:rsidR="009B2823" w:rsidRPr="009A2AB9" w:rsidRDefault="009B2823" w:rsidP="00F646B3">
      <w:pPr>
        <w:pStyle w:val="Textonotapie"/>
        <w:spacing w:before="40" w:after="40"/>
        <w:rPr>
          <w:szCs w:val="16"/>
        </w:rPr>
      </w:pPr>
      <w:r w:rsidRPr="009A2AB9">
        <w:rPr>
          <w:rStyle w:val="Refdenotaalpie"/>
          <w:szCs w:val="16"/>
        </w:rPr>
        <w:footnoteRef/>
      </w:r>
      <w:r w:rsidRPr="009A2AB9">
        <w:rPr>
          <w:szCs w:val="16"/>
        </w:rPr>
        <w:t xml:space="preserve"> </w:t>
      </w:r>
      <w:r w:rsidRPr="009A2AB9">
        <w:rPr>
          <w:szCs w:val="16"/>
        </w:rPr>
        <w:tab/>
        <w:t xml:space="preserve">Las mismas fueron presentadas por: </w:t>
      </w:r>
      <w:r w:rsidRPr="009A2AB9">
        <w:rPr>
          <w:rFonts w:cs="Arial Narrow"/>
          <w:szCs w:val="16"/>
          <w:lang w:val="es-ES"/>
        </w:rPr>
        <w:t>Eduardo Rico, Gerardo Ignacio Eugenio Martíne</w:t>
      </w:r>
      <w:r>
        <w:rPr>
          <w:rFonts w:cs="Arial Narrow"/>
          <w:szCs w:val="16"/>
          <w:lang w:val="es-ES"/>
        </w:rPr>
        <w:t>z</w:t>
      </w:r>
      <w:r w:rsidRPr="009A2AB9">
        <w:rPr>
          <w:rFonts w:cs="Arial Narrow"/>
          <w:szCs w:val="16"/>
          <w:lang w:val="es-ES"/>
        </w:rPr>
        <w:t xml:space="preserve"> Grijalba y Fernando Daniel Bardinella, propuestos por los representantes, y Rodrigo Uprimny Yepes</w:t>
      </w:r>
      <w:r w:rsidRPr="009A2AB9">
        <w:rPr>
          <w:szCs w:val="16"/>
          <w:lang w:val="es-ES"/>
        </w:rPr>
        <w:t>, propuesto por la Comisión</w:t>
      </w:r>
      <w:r w:rsidRPr="009A2AB9">
        <w:rPr>
          <w:rFonts w:cs="Arial Narrow"/>
          <w:szCs w:val="16"/>
          <w:lang w:val="es-ES"/>
        </w:rPr>
        <w:t xml:space="preserve">. </w:t>
      </w:r>
      <w:r w:rsidRPr="009A2AB9">
        <w:rPr>
          <w:szCs w:val="16"/>
        </w:rPr>
        <w:t>Los objetos de las declaraciones se encuentran establecidos en la Resolución del Presidente de la Corte de 9 de julio de 2018.</w:t>
      </w:r>
      <w:r w:rsidRPr="000E3CA1">
        <w:rPr>
          <w:lang w:eastAsia="es-ES"/>
        </w:rPr>
        <w:t xml:space="preserve"> En esa Resolución, el Presidente ordenó recibir declaraciones rendidas ante fedatario público (</w:t>
      </w:r>
      <w:r w:rsidRPr="00003FED">
        <w:rPr>
          <w:i/>
          <w:lang w:eastAsia="es-ES"/>
        </w:rPr>
        <w:t>affidavit</w:t>
      </w:r>
      <w:r w:rsidRPr="000E3CA1">
        <w:rPr>
          <w:lang w:eastAsia="es-ES"/>
        </w:rPr>
        <w:t>) de un (1) testigo y un (1) perito</w:t>
      </w:r>
      <w:r w:rsidRPr="000E3CA1">
        <w:t xml:space="preserve"> propuestos por los representantes</w:t>
      </w:r>
      <w:r>
        <w:t>.</w:t>
      </w:r>
    </w:p>
  </w:footnote>
  <w:footnote w:id="13">
    <w:p w14:paraId="481FC8F0" w14:textId="6CA4A209" w:rsidR="009B2823" w:rsidRPr="0009075E" w:rsidRDefault="009B2823" w:rsidP="00F646B3">
      <w:pPr>
        <w:pStyle w:val="Textonotapie"/>
        <w:spacing w:before="40" w:after="40"/>
        <w:rPr>
          <w:szCs w:val="16"/>
          <w:lang w:val="es-ES"/>
        </w:rPr>
      </w:pPr>
      <w:r w:rsidRPr="009A2AB9">
        <w:rPr>
          <w:rStyle w:val="Refdenotaalpie"/>
          <w:szCs w:val="16"/>
          <w:lang w:val="es-ES"/>
        </w:rPr>
        <w:footnoteRef/>
      </w:r>
      <w:r w:rsidRPr="009A2AB9">
        <w:rPr>
          <w:szCs w:val="16"/>
          <w:lang w:val="es-ES"/>
        </w:rPr>
        <w:t xml:space="preserve"> </w:t>
      </w:r>
      <w:r w:rsidRPr="009A2AB9">
        <w:rPr>
          <w:szCs w:val="16"/>
          <w:lang w:val="es-ES"/>
        </w:rPr>
        <w:tab/>
      </w:r>
      <w:r w:rsidRPr="009A2AB9">
        <w:rPr>
          <w:i/>
          <w:szCs w:val="16"/>
          <w:lang w:val="es-ES"/>
        </w:rPr>
        <w:t xml:space="preserve">Cfr. </w:t>
      </w:r>
      <w:r w:rsidRPr="009A2AB9">
        <w:rPr>
          <w:bCs/>
          <w:i/>
          <w:color w:val="000000"/>
          <w:szCs w:val="16"/>
        </w:rPr>
        <w:t xml:space="preserve">Caso Barbani Duarte y otros Vs. Uruguay. Fondo Reparaciones y costas. </w:t>
      </w:r>
      <w:r w:rsidRPr="009A2AB9">
        <w:rPr>
          <w:bCs/>
          <w:color w:val="000000"/>
          <w:szCs w:val="16"/>
        </w:rPr>
        <w:t>Sentencia de 13 de octubre de 2011. Serie C No. 234, párr. 22</w:t>
      </w:r>
      <w:r w:rsidRPr="009A2AB9">
        <w:rPr>
          <w:szCs w:val="16"/>
          <w:lang w:val="es-ES"/>
        </w:rPr>
        <w:t xml:space="preserve">, </w:t>
      </w:r>
      <w:r w:rsidRPr="009A2AB9">
        <w:rPr>
          <w:szCs w:val="16"/>
        </w:rPr>
        <w:t xml:space="preserve">y </w:t>
      </w:r>
      <w:r w:rsidRPr="00DF2A3A">
        <w:rPr>
          <w:i/>
          <w:szCs w:val="16"/>
        </w:rPr>
        <w:t>Caso Arrom Suhurt y otros Vs. Paraguay. Fondo</w:t>
      </w:r>
      <w:r w:rsidRPr="00DF2A3A">
        <w:rPr>
          <w:szCs w:val="16"/>
        </w:rPr>
        <w:t>. Sentencia de 13 de mayo de 2019. Serie C No. 377</w:t>
      </w:r>
      <w:r w:rsidRPr="009A2AB9">
        <w:rPr>
          <w:szCs w:val="16"/>
        </w:rPr>
        <w:t>, párr. 53.</w:t>
      </w:r>
    </w:p>
  </w:footnote>
  <w:footnote w:id="14">
    <w:p w14:paraId="5A62EF34" w14:textId="021F122E" w:rsidR="009B2823" w:rsidRPr="00115A7C" w:rsidRDefault="009B2823" w:rsidP="00F646B3">
      <w:pPr>
        <w:pStyle w:val="Textonotapie"/>
        <w:spacing w:before="40" w:after="40"/>
        <w:rPr>
          <w:b/>
        </w:rPr>
      </w:pPr>
      <w:r>
        <w:rPr>
          <w:rStyle w:val="Refdenotaalpie"/>
        </w:rPr>
        <w:footnoteRef/>
      </w:r>
      <w:r>
        <w:t xml:space="preserve"> </w:t>
      </w:r>
      <w:r>
        <w:tab/>
        <w:t xml:space="preserve">Esos documentos consistieron en: i) Detalles de los ingresos que hubieran correspondido desde el año 2000 hasta la fecha; ii) Informe Instituto Previsión Social: Periodo agosto 2017 a julio 2018; iii) Colegio de Abogados de la provincia de Buenos Aires, periodo junio 2015 a agosto 2018; iv) Diferencia entre suma Inst. Prev. Social y el Colegio Público Abogados Provincia de Buenos Aires; v) facturas relativas a gastos de hospedaje, transporte, alimentación y honorarios del perito contador, y vi) recibo del Contador Público Fernando Bardinella. </w:t>
      </w:r>
    </w:p>
  </w:footnote>
  <w:footnote w:id="15">
    <w:p w14:paraId="207F7B67" w14:textId="0464B278" w:rsidR="009B2823" w:rsidRPr="00102B9B" w:rsidRDefault="009B2823" w:rsidP="00F646B3">
      <w:pPr>
        <w:pStyle w:val="Textonotapie"/>
        <w:spacing w:before="40" w:after="40"/>
      </w:pPr>
      <w:r w:rsidRPr="009A2AB9">
        <w:rPr>
          <w:rStyle w:val="Refdenotaalpie"/>
        </w:rPr>
        <w:footnoteRef/>
      </w:r>
      <w:r w:rsidRPr="009A2AB9">
        <w:t xml:space="preserve"> </w:t>
      </w:r>
      <w:r>
        <w:tab/>
      </w:r>
      <w:r w:rsidRPr="009A2AB9">
        <w:t>E</w:t>
      </w:r>
      <w:r w:rsidRPr="009A2AB9">
        <w:rPr>
          <w:lang w:val="es-ES"/>
        </w:rPr>
        <w:t>l Estado solicitó rechazar el recibo del contador público Fernando Bardinella por no explicar los parámetros sobre los que sustenta los honorarios que factura y resultar excesivos.</w:t>
      </w:r>
      <w:r>
        <w:rPr>
          <w:lang w:val="es-ES"/>
        </w:rPr>
        <w:t xml:space="preserve"> </w:t>
      </w:r>
    </w:p>
  </w:footnote>
  <w:footnote w:id="16">
    <w:p w14:paraId="55ADEC44" w14:textId="77777777" w:rsidR="009B2823" w:rsidRPr="00D15E25" w:rsidRDefault="009B2823" w:rsidP="00F646B3">
      <w:pPr>
        <w:pStyle w:val="Textonotapie"/>
        <w:spacing w:before="40" w:after="40"/>
        <w:rPr>
          <w:szCs w:val="16"/>
          <w:lang w:val="es-ES"/>
        </w:rPr>
      </w:pPr>
      <w:r w:rsidRPr="00D15E25">
        <w:rPr>
          <w:rStyle w:val="Refdenotaalpie"/>
          <w:szCs w:val="16"/>
        </w:rPr>
        <w:footnoteRef/>
      </w:r>
      <w:r w:rsidRPr="00D15E25">
        <w:rPr>
          <w:szCs w:val="16"/>
        </w:rPr>
        <w:t xml:space="preserve"> </w:t>
      </w:r>
      <w:r w:rsidRPr="00D15E25">
        <w:rPr>
          <w:szCs w:val="16"/>
          <w:lang w:val="es-CR"/>
        </w:rPr>
        <w:tab/>
        <w:t>Esos documentos consistieron en: i) Debates Ley 8085; ii) A.T.E. San Juan Juicio Político; iii) Acuerdo Gallo, Careaga, Maluf, y iv) Gutiérrez, Patricia. Juicio Político.</w:t>
      </w:r>
    </w:p>
  </w:footnote>
  <w:footnote w:id="17">
    <w:p w14:paraId="0DA96281" w14:textId="77777777" w:rsidR="009B2823" w:rsidRPr="0009075E" w:rsidRDefault="009B2823" w:rsidP="00F646B3">
      <w:pPr>
        <w:pStyle w:val="Textonotapie"/>
        <w:spacing w:before="40" w:after="40"/>
        <w:rPr>
          <w:szCs w:val="16"/>
          <w:lang w:val="es-CR"/>
        </w:rPr>
      </w:pPr>
      <w:r w:rsidRPr="00C81ED2">
        <w:rPr>
          <w:rStyle w:val="Refdenotaalpie"/>
          <w:szCs w:val="16"/>
        </w:rPr>
        <w:footnoteRef/>
      </w:r>
      <w:r w:rsidRPr="00C81ED2">
        <w:rPr>
          <w:szCs w:val="16"/>
          <w:lang w:val="es-ES"/>
        </w:rPr>
        <w:tab/>
      </w:r>
      <w:r w:rsidRPr="00C81ED2">
        <w:rPr>
          <w:i/>
          <w:szCs w:val="16"/>
          <w:lang w:val="es-ES"/>
        </w:rPr>
        <w:t xml:space="preserve">Cfr. Caso “Cinco Pensionistas” Vs. </w:t>
      </w:r>
      <w:r w:rsidRPr="00C81ED2">
        <w:rPr>
          <w:i/>
          <w:szCs w:val="16"/>
          <w:lang w:val="es-CR"/>
        </w:rPr>
        <w:t>Perú.</w:t>
      </w:r>
      <w:r w:rsidRPr="00C81ED2">
        <w:rPr>
          <w:szCs w:val="16"/>
          <w:lang w:val="es-CR"/>
        </w:rPr>
        <w:t xml:space="preserve"> </w:t>
      </w:r>
      <w:r w:rsidRPr="00C81ED2">
        <w:rPr>
          <w:i/>
          <w:szCs w:val="16"/>
          <w:lang w:val="es-CR"/>
        </w:rPr>
        <w:t>Fondo, Reparaciones y Costas.</w:t>
      </w:r>
      <w:r w:rsidRPr="00C81ED2">
        <w:rPr>
          <w:szCs w:val="16"/>
          <w:lang w:val="es-CR"/>
        </w:rPr>
        <w:t xml:space="preserve"> Sentencia de 28 de febrero de 2003. Serie C No. 98, párr. 153, </w:t>
      </w:r>
      <w:r w:rsidRPr="00C81ED2">
        <w:rPr>
          <w:szCs w:val="16"/>
          <w:lang w:val="es-MX"/>
        </w:rPr>
        <w:t xml:space="preserve">y </w:t>
      </w:r>
      <w:r w:rsidRPr="00C81ED2">
        <w:rPr>
          <w:i/>
          <w:szCs w:val="16"/>
        </w:rPr>
        <w:t>Caso Villamizar y otros Vs. Colombia. Excepción Preliminar, Fondo, Reparaciones y Costas</w:t>
      </w:r>
      <w:r w:rsidRPr="00C81ED2">
        <w:rPr>
          <w:szCs w:val="16"/>
        </w:rPr>
        <w:t>. Sentencia de 20 de noviembre de 2018. Serie C No. 364</w:t>
      </w:r>
      <w:r w:rsidRPr="00C81ED2">
        <w:rPr>
          <w:bCs/>
          <w:szCs w:val="16"/>
        </w:rPr>
        <w:t>, párr. 57.</w:t>
      </w:r>
    </w:p>
  </w:footnote>
  <w:footnote w:id="18">
    <w:p w14:paraId="4102B5E5" w14:textId="0C3BCBDA" w:rsidR="009B2823" w:rsidRPr="00EC5746" w:rsidRDefault="009B2823" w:rsidP="00F646B3">
      <w:pPr>
        <w:pStyle w:val="Textonotapie"/>
        <w:spacing w:before="40" w:after="40"/>
        <w:rPr>
          <w:b/>
          <w:lang w:val="es-CR"/>
        </w:rPr>
      </w:pPr>
      <w:r w:rsidRPr="00EC5746">
        <w:rPr>
          <w:rStyle w:val="Refdenotaalpie"/>
        </w:rPr>
        <w:footnoteRef/>
      </w:r>
      <w:r w:rsidRPr="00EC5746">
        <w:t xml:space="preserve"> </w:t>
      </w:r>
      <w:r w:rsidRPr="00EC5746">
        <w:tab/>
      </w:r>
      <w:r>
        <w:t xml:space="preserve">A su vez, la Corte nota que el </w:t>
      </w:r>
      <w:r w:rsidRPr="00EC5746">
        <w:t xml:space="preserve">artículo 115 de la Constitución Nacional Argentina señala: </w:t>
      </w:r>
      <w:r>
        <w:t>“</w:t>
      </w:r>
      <w:r w:rsidRPr="00EC5746">
        <w:rPr>
          <w:lang w:val="es-CR"/>
        </w:rPr>
        <w:t xml:space="preserve">Los jueces de los tribunales inferiores de la nación serán removidos por las causales expresadas en el artículo 53, por un </w:t>
      </w:r>
      <w:r>
        <w:rPr>
          <w:lang w:val="es-CR"/>
        </w:rPr>
        <w:t>J</w:t>
      </w:r>
      <w:r w:rsidRPr="00EC5746">
        <w:rPr>
          <w:lang w:val="es-CR"/>
        </w:rPr>
        <w:t xml:space="preserve">urado de </w:t>
      </w:r>
      <w:r>
        <w:rPr>
          <w:lang w:val="es-CR"/>
        </w:rPr>
        <w:t>E</w:t>
      </w:r>
      <w:r w:rsidRPr="00EC5746">
        <w:rPr>
          <w:lang w:val="es-CR"/>
        </w:rPr>
        <w:t xml:space="preserve">njuiciamiento integrado por legisladores, magistrados y abogados de la matrícula federal. Su fallo, que será irrecurrible, no tendrá más efecto que destituir al acusado. Pero la parte condenada quedará no obstante sujeta a acusación, juicio y castigo conforme a las leyes ante los tribunales ordinarios. Corresponderá archivar las actuaciones y, en su caso, reponer al juez suspendido si transcurrieren ciento ochenta días contados desde la decisión de abrir el procedimiento de remoción, sin que haya sido dictado el fallo. En la </w:t>
      </w:r>
      <w:r>
        <w:rPr>
          <w:lang w:val="es-CR"/>
        </w:rPr>
        <w:t>l</w:t>
      </w:r>
      <w:r w:rsidRPr="00EC5746">
        <w:rPr>
          <w:lang w:val="es-CR"/>
        </w:rPr>
        <w:t xml:space="preserve">ey especial a que se refiere </w:t>
      </w:r>
      <w:r>
        <w:rPr>
          <w:lang w:val="es-CR"/>
        </w:rPr>
        <w:t>a</w:t>
      </w:r>
      <w:r w:rsidRPr="00EC5746">
        <w:rPr>
          <w:lang w:val="es-CR"/>
        </w:rPr>
        <w:t xml:space="preserve">l </w:t>
      </w:r>
      <w:r>
        <w:rPr>
          <w:lang w:val="es-CR"/>
        </w:rPr>
        <w:t>a</w:t>
      </w:r>
      <w:r w:rsidRPr="00EC5746">
        <w:rPr>
          <w:lang w:val="es-CR"/>
        </w:rPr>
        <w:t>rtículo 114, se determinará la integración y procedimiento de este jurado</w:t>
      </w:r>
      <w:r>
        <w:rPr>
          <w:lang w:val="es-PE"/>
        </w:rPr>
        <w:t>”</w:t>
      </w:r>
      <w:r w:rsidRPr="00EC5746">
        <w:rPr>
          <w:lang w:val="es-CR"/>
        </w:rPr>
        <w:t xml:space="preserve">. </w:t>
      </w:r>
    </w:p>
  </w:footnote>
  <w:footnote w:id="19">
    <w:p w14:paraId="4EE867A0" w14:textId="00F1B4B4" w:rsidR="009B2823" w:rsidRPr="00C81ED2" w:rsidRDefault="009B2823" w:rsidP="00F646B3">
      <w:pPr>
        <w:pStyle w:val="Textonotapie"/>
        <w:spacing w:before="40" w:after="40"/>
        <w:rPr>
          <w:lang w:val="es-CR"/>
        </w:rPr>
      </w:pPr>
      <w:r w:rsidRPr="00C81ED2">
        <w:rPr>
          <w:rStyle w:val="Refdenotaalpie"/>
        </w:rPr>
        <w:footnoteRef/>
      </w:r>
      <w:r w:rsidRPr="00C81ED2">
        <w:t xml:space="preserve"> </w:t>
      </w:r>
      <w:r w:rsidRPr="00C81ED2">
        <w:tab/>
        <w:t>El artículo 182 de la Constitución de la Provincia de Buenos Aires estipula: “</w:t>
      </w:r>
      <w:r w:rsidRPr="00C81ED2">
        <w:rPr>
          <w:lang w:val="es-CR"/>
        </w:rPr>
        <w:t xml:space="preserve">Los jueces de las Cámaras de Apelación y de primera instancia y los miembros del Ministerio Público pueden ser denunciados o acusados por cualquiera del pueblo, por delitos o faltas cometidas en el desempeño de sus funciones, ante un jurado de once miembros que podrá funcionar con número no inferior a seis, integrado por el presidente de la Suprema Corte de Justicia que </w:t>
      </w:r>
      <w:r>
        <w:rPr>
          <w:lang w:val="es-CR"/>
        </w:rPr>
        <w:t>l</w:t>
      </w:r>
      <w:r w:rsidRPr="00C81ED2">
        <w:rPr>
          <w:lang w:val="es-CR"/>
        </w:rPr>
        <w:t>o presidirá, cinco abogados inscriptos en la matrícula que reúnan las condiciones para ser miembro de dicho tribunal, y hasta cinco legisladores abogados. Los legisladores y abogados que deban integrar el jurado se designarán por sorteo, en acto público, en cada caso; los legisladores por el presidente del Senado y los abogados por la Suprema Corte de Justicia, a cuyo cargo estará la confección de la lista de todos los abogados que reúnan las condiciones para ser conjueces”. El artículo 184 establece</w:t>
      </w:r>
      <w:r>
        <w:rPr>
          <w:lang w:val="es-CR"/>
        </w:rPr>
        <w:t>:</w:t>
      </w:r>
      <w:r w:rsidRPr="00C81ED2">
        <w:rPr>
          <w:lang w:val="es-CR"/>
        </w:rPr>
        <w:t xml:space="preserve"> “</w:t>
      </w:r>
      <w:r>
        <w:rPr>
          <w:lang w:val="es-CR"/>
        </w:rPr>
        <w:t>E</w:t>
      </w:r>
      <w:r w:rsidRPr="00C81ED2">
        <w:rPr>
          <w:lang w:val="es-CR"/>
        </w:rPr>
        <w:t>l jurado dará su veredicto con arreglo a derecho, declarando al juez acusado culpable o no culpable del hecho o hechos que se le imputen”.</w:t>
      </w:r>
    </w:p>
  </w:footnote>
  <w:footnote w:id="20">
    <w:p w14:paraId="1D1E827D" w14:textId="277FCE1A" w:rsidR="009B2823" w:rsidRPr="00C81ED2" w:rsidRDefault="009B2823" w:rsidP="00F646B3">
      <w:pPr>
        <w:pStyle w:val="Textonotapie"/>
        <w:spacing w:before="40" w:after="40"/>
        <w:rPr>
          <w:lang w:val="es-CR"/>
        </w:rPr>
      </w:pPr>
      <w:r w:rsidRPr="00C81ED2">
        <w:rPr>
          <w:rStyle w:val="Refdenotaalpie"/>
        </w:rPr>
        <w:footnoteRef/>
      </w:r>
      <w:r w:rsidRPr="00C81ED2">
        <w:t xml:space="preserve"> </w:t>
      </w:r>
      <w:r w:rsidRPr="00C81ED2">
        <w:tab/>
        <w:t xml:space="preserve">La Ley 8085 contiene varias disposiciones respecto al proceso sancionatorio, los más relevantes para el caso se citan a continuación: Artículo 1: </w:t>
      </w:r>
      <w:r w:rsidRPr="00C81ED2">
        <w:rPr>
          <w:lang w:val="es-CR"/>
        </w:rPr>
        <w:t>En la primera sesión ordinaria de cada año el Presidente del Senado formará una lista de todos los legisladores abogados que se hayan incorporado a sus respectivos cuerpos. Esta lista será ampliada o reducida de acuerdo con las incorporaciones o retiro de legisladores abogados debiendo comunicarse a la Suprema Corte de Justicia y a ambas Cámaras legislativas, a los efectos de las reclamaciones a que hubiere lugar por exclusión o inclusión indebida. Se utilizará para todos los sorteos que deban tener lugar hasta la primera sesión ordinaria del año siguiente. (…) Artículo 3: Cada vez que se produzca acusación o requerimiento judicial contra los magistrados o funcionarios a que se refieren los artículos 159 y 182 de la Constitución, el Presidente de la Suprema Corte de Justicia lo pondrá inmediatamente en conocimiento de este Tribunal y del Presidente del Senado. Hasta tanto tome conocimiento el Tribunal de la denuncia o acusación las actuaciones mantendrán el carácter de reservadas. Artículo 4: Recibida la comunicación, el Presidente del Senado procederá a practicar en acto público, entre los legisladores que integren la lista del artículo 1, el sorteo de los cinco miembros que deben formar parte del Jurado de Enjuiciamiento a cuyo fin se notificará a las partes-acusador y acusado- con anticipación de tres (3) días y con citación especial de los Presidentes de las Comisiones de Asuntos Constitucionales y Acuerdos y Legislación General. El resultado del sorteo se pondrá en conocimiento del Presidente del Jurado de Enjuiciamiento y de ambas Cámaras. Artículo 21: Son igualmente acusables por las siguientes causales: a) No reunir las condici</w:t>
      </w:r>
      <w:r>
        <w:rPr>
          <w:lang w:val="es-CR"/>
        </w:rPr>
        <w:t>ones que la Constitución y las l</w:t>
      </w:r>
      <w:r w:rsidRPr="00C81ED2">
        <w:rPr>
          <w:lang w:val="es-CR"/>
        </w:rPr>
        <w:t>eyes determinan para el ejercicio del cargo; e) incompetencia o negligencia reiteradamente demostrada en el ejercicio de sus funciones; f) el incumplimiento reiterado de los deberes inherentes al cargo; g) La realización de hechos o desarrollo de actividades incompatibles con la dignidad y austeridad que el cargo judicial impone; j) los actos reiterados de parcialidad manifiesta; k) dejar transcurrir los términos legales reiteradamente, sin pronunciarse en las cuestiones sometidas a su decisión o dictamen, sin que pueda servir de excusa el exceso de trabajo ni la falta de reclamación de parte interesada; l) La reiteración de graves irregularidades en el procedimiento</w:t>
      </w:r>
      <w:r w:rsidRPr="00360978">
        <w:t>; ll) la intervención activa en política; m) para los funcionarios judiciales, ejercer la abogacía o la procuración, aunque sea en otra jurisdicción, salvo en causa propia de la esposa o de los descendientes y ascendientes; n) aceptar el cargo de árbitro arbitrador; o) contraer obligaciones civiles con los litigantes o profesionales que actúen en su Juzgado o Tribunal; p) ejercer el comercio o industria; q) desempeñar otra función pública no encomendada por ley, excepto el profesorado; r) estar concursado civilmente por causa imputable al funcionario. Artículo 28: Podrá el Jurado, antes de expedirse sobre la procedencia del traslado a que se refiere el artículo anterior, levantar una información sumaria sobre los hechos en que se funde la acusación. Dicha información deberá estar concluida</w:t>
      </w:r>
      <w:r w:rsidRPr="00C81ED2">
        <w:rPr>
          <w:lang w:val="es-CR"/>
        </w:rPr>
        <w:t xml:space="preserve"> dentro de los quince (15) días posteriores a la integración del Jurado. Vencido dicho término deberá pronunciarse sobre la procedencia del traslado con los antecedentes que obren en su poder. Artículo 42: </w:t>
      </w:r>
      <w:r w:rsidRPr="0014530C">
        <w:t>Constituido el Jurado en sesión reservada a efectos de dictar el veredicto, el Presidente adoptará las medidas pertinentes para que ninguno de los jurados pueda retirarse de la casa hasta que el mismo sea dictado, e inmediatamente someterá al jurado las siguientes cuestiones:</w:t>
      </w:r>
      <w:r w:rsidRPr="00C81ED2">
        <w:rPr>
          <w:lang w:val="es-CR"/>
        </w:rPr>
        <w:t xml:space="preserve">a) ¿Está probado el hecho imputado? b) ¿Constituye este hecho el delito establecido </w:t>
      </w:r>
      <w:r>
        <w:rPr>
          <w:lang w:val="es-CR"/>
        </w:rPr>
        <w:t>en el artículo 20 inciso … de la L</w:t>
      </w:r>
      <w:r w:rsidRPr="00C81ED2">
        <w:rPr>
          <w:lang w:val="es-CR"/>
        </w:rPr>
        <w:t xml:space="preserve">ey de enjuiciamiento? c) ¿Constituye este hecho la falta establecida en el artículo 21 inciso </w:t>
      </w:r>
      <w:r>
        <w:rPr>
          <w:lang w:val="es-CR"/>
        </w:rPr>
        <w:t xml:space="preserve">… </w:t>
      </w:r>
      <w:r w:rsidRPr="00C81ED2">
        <w:rPr>
          <w:lang w:val="es-CR"/>
        </w:rPr>
        <w:t xml:space="preserve">de la </w:t>
      </w:r>
      <w:r>
        <w:rPr>
          <w:lang w:val="es-CR"/>
        </w:rPr>
        <w:t>L</w:t>
      </w:r>
      <w:r w:rsidRPr="00C81ED2">
        <w:rPr>
          <w:lang w:val="es-CR"/>
        </w:rPr>
        <w:t>ey de enjuiciamiento? d) ¿Es el acusado responsable del delito que se ha declarado probado? e) ¿Es el acusado responsable de la falta que se ha declarado probada? Estas cuestiones se propondrán tantas veces como delitos o faltas se imputen a cada acusado. El Presidente someterá también al Jurado las siguientes cuestiones: f) ¿Debe ser destituido el acusado? g) ¿Deben declararse las costas a cargo del acusado? h) ¿Deben declararse las costas a cargo del acusador? Artículo 56: Son aplicables supletoriamente las disposiciones del Código de Procedimiento en lo Penal, en cuanto no se opongan a</w:t>
      </w:r>
      <w:r>
        <w:rPr>
          <w:lang w:val="es-CR"/>
        </w:rPr>
        <w:t xml:space="preserve"> las contenidas en esta l</w:t>
      </w:r>
      <w:r w:rsidRPr="00C81ED2">
        <w:rPr>
          <w:lang w:val="es-CR"/>
        </w:rPr>
        <w:t>ey.</w:t>
      </w:r>
    </w:p>
  </w:footnote>
  <w:footnote w:id="21">
    <w:p w14:paraId="3C5E695D" w14:textId="4D839872" w:rsidR="009B2823" w:rsidRPr="00684804" w:rsidRDefault="009B2823" w:rsidP="00F646B3">
      <w:pPr>
        <w:autoSpaceDE w:val="0"/>
        <w:autoSpaceDN w:val="0"/>
        <w:adjustRightInd w:val="0"/>
        <w:spacing w:before="40" w:after="40"/>
        <w:rPr>
          <w:sz w:val="16"/>
          <w:szCs w:val="16"/>
          <w:lang w:val="es-CR"/>
        </w:rPr>
      </w:pPr>
      <w:r w:rsidRPr="00684804">
        <w:rPr>
          <w:rStyle w:val="Refdenotaalpie"/>
          <w:sz w:val="16"/>
          <w:szCs w:val="16"/>
        </w:rPr>
        <w:footnoteRef/>
      </w:r>
      <w:r w:rsidRPr="00684804">
        <w:rPr>
          <w:sz w:val="16"/>
          <w:szCs w:val="16"/>
        </w:rPr>
        <w:t xml:space="preserve"> </w:t>
      </w:r>
      <w:r w:rsidRPr="00684804">
        <w:rPr>
          <w:sz w:val="16"/>
          <w:szCs w:val="16"/>
        </w:rPr>
        <w:tab/>
        <w:t>E</w:t>
      </w:r>
      <w:r w:rsidRPr="00684804">
        <w:rPr>
          <w:sz w:val="16"/>
          <w:szCs w:val="16"/>
          <w:lang w:val="es-CR"/>
        </w:rPr>
        <w:t xml:space="preserve">l Jurado de Enjuiciamiento que condenó a la presunta víctima estuvo compuesto por el Presidente de la Suprema Corte de Justicia, cuatro conjueces y cuatro legisladores. </w:t>
      </w:r>
      <w:r w:rsidRPr="00684804">
        <w:rPr>
          <w:i/>
          <w:sz w:val="16"/>
          <w:szCs w:val="16"/>
          <w:lang w:val="es-CR"/>
        </w:rPr>
        <w:t>Cfr</w:t>
      </w:r>
      <w:r w:rsidRPr="00684804">
        <w:rPr>
          <w:sz w:val="16"/>
          <w:szCs w:val="16"/>
          <w:lang w:val="es-CR"/>
        </w:rPr>
        <w:t>. Decisión de 1 de junio de 2000 del Jurado de Enjuiciamiento de Magistrados y Funcionarios de la Provincia de Buenos Aires</w:t>
      </w:r>
      <w:r>
        <w:rPr>
          <w:sz w:val="16"/>
          <w:szCs w:val="16"/>
          <w:lang w:val="es-CR"/>
        </w:rPr>
        <w:t xml:space="preserve"> </w:t>
      </w:r>
      <w:r w:rsidRPr="00684804">
        <w:rPr>
          <w:sz w:val="16"/>
          <w:szCs w:val="16"/>
          <w:lang w:val="es-CR"/>
        </w:rPr>
        <w:t xml:space="preserve">(expediente de prueba, folios </w:t>
      </w:r>
      <w:r>
        <w:rPr>
          <w:sz w:val="16"/>
          <w:szCs w:val="16"/>
          <w:lang w:val="es-CR"/>
        </w:rPr>
        <w:t>3</w:t>
      </w:r>
      <w:r w:rsidRPr="00684804">
        <w:rPr>
          <w:sz w:val="16"/>
          <w:szCs w:val="16"/>
          <w:lang w:val="es-CR"/>
        </w:rPr>
        <w:t xml:space="preserve"> a </w:t>
      </w:r>
      <w:r>
        <w:rPr>
          <w:sz w:val="16"/>
          <w:szCs w:val="16"/>
          <w:lang w:val="es-CR"/>
        </w:rPr>
        <w:t>7</w:t>
      </w:r>
      <w:r w:rsidRPr="00684804">
        <w:rPr>
          <w:sz w:val="16"/>
          <w:szCs w:val="16"/>
          <w:lang w:val="es-CR"/>
        </w:rPr>
        <w:t>).</w:t>
      </w:r>
    </w:p>
  </w:footnote>
  <w:footnote w:id="22">
    <w:p w14:paraId="099538E0" w14:textId="06C4F3B2" w:rsidR="009B2823" w:rsidRPr="00684804" w:rsidRDefault="009B2823" w:rsidP="00F646B3">
      <w:pPr>
        <w:pStyle w:val="Textonotapie"/>
        <w:spacing w:before="40" w:after="40"/>
        <w:rPr>
          <w:lang w:val="es-CR"/>
        </w:rPr>
      </w:pPr>
      <w:r>
        <w:rPr>
          <w:rStyle w:val="Refdenotaalpie"/>
        </w:rPr>
        <w:footnoteRef/>
      </w:r>
      <w:r>
        <w:t xml:space="preserve"> </w:t>
      </w:r>
      <w:r>
        <w:rPr>
          <w:lang w:val="es-CR"/>
        </w:rPr>
        <w:tab/>
      </w:r>
      <w:r w:rsidRPr="00684804">
        <w:rPr>
          <w:i/>
          <w:lang w:val="es-CR"/>
        </w:rPr>
        <w:t xml:space="preserve">Cfr. </w:t>
      </w:r>
      <w:r w:rsidRPr="00684804">
        <w:rPr>
          <w:lang w:val="es-CR"/>
        </w:rPr>
        <w:t>Decisión del 13 de abril de 2000 del Jurado de Enjuiciamiento de Magistrados y</w:t>
      </w:r>
      <w:r>
        <w:rPr>
          <w:lang w:val="es-CR"/>
        </w:rPr>
        <w:t xml:space="preserve"> </w:t>
      </w:r>
      <w:r w:rsidRPr="00684804">
        <w:rPr>
          <w:lang w:val="es-CR"/>
        </w:rPr>
        <w:t>Funcionarios de la Provincia de Buenos Aires</w:t>
      </w:r>
      <w:r>
        <w:rPr>
          <w:lang w:val="es-CR"/>
        </w:rPr>
        <w:t xml:space="preserve"> (expediente de prueba, folios 177 a 190).</w:t>
      </w:r>
    </w:p>
  </w:footnote>
  <w:footnote w:id="23">
    <w:p w14:paraId="64360909" w14:textId="78D0BA5F" w:rsidR="009B2823" w:rsidRPr="00081FD7" w:rsidRDefault="009B2823" w:rsidP="00F646B3">
      <w:pPr>
        <w:pStyle w:val="Textonotapie"/>
        <w:spacing w:before="40" w:after="40"/>
      </w:pPr>
      <w:r>
        <w:rPr>
          <w:rStyle w:val="Refdenotaalpie"/>
        </w:rPr>
        <w:footnoteRef/>
      </w:r>
      <w:r>
        <w:t xml:space="preserve"> </w:t>
      </w:r>
      <w:r>
        <w:tab/>
      </w:r>
      <w:r w:rsidRPr="008B132E">
        <w:rPr>
          <w:i/>
        </w:rPr>
        <w:t>Cfr.</w:t>
      </w:r>
      <w:r>
        <w:t xml:space="preserve"> Decisión de 1 de junio de 2000 del Jurado de Enjuiciamiento de Magistrados y Funcionarios de la Provincia de Buenos Aires (expediente de </w:t>
      </w:r>
      <w:r w:rsidRPr="00081FD7">
        <w:t>prueba, folios 3 a 7).</w:t>
      </w:r>
    </w:p>
  </w:footnote>
  <w:footnote w:id="24">
    <w:p w14:paraId="5B35364C" w14:textId="2F4B3F36" w:rsidR="009B2823" w:rsidRPr="006E47ED" w:rsidRDefault="009B2823" w:rsidP="00F646B3">
      <w:pPr>
        <w:pStyle w:val="Textonotapie"/>
        <w:spacing w:before="40" w:after="40"/>
      </w:pPr>
      <w:r w:rsidRPr="00081FD7">
        <w:rPr>
          <w:rStyle w:val="Refdenotaalpie"/>
        </w:rPr>
        <w:footnoteRef/>
      </w:r>
      <w:r w:rsidRPr="00081FD7">
        <w:t xml:space="preserve"> </w:t>
      </w:r>
      <w:r w:rsidRPr="00081FD7">
        <w:tab/>
        <w:t>Las preguntas eran las siguientes: 1.1) ¿Está probado que el Magistrado Doctor Eduardo Rico se negó a suscribir el acuerdo por el que se formalizaba el cambio de Presidencia con motivo del cumplimiento del periodo anual dispuesto legalmente por el art. 54 de la Ley 5827 y calificó a sus pares como "Presidente de facto y Vice de Facto?; 1.2) ¿constituye este hecho uno de los delitos previstos en el art.20 de la Ley de Enjuiciamiento?; 1.3) ¿constituye este hecho una de las faltas del art.21 de la Ley de Enjuiciamiento?: 1.4) ¿es el acusado responsable del delito que se ha declarado probado?: 1.5) ¿es el acusado responsable de la falta que se ha declarado probada: 2.1) ¿está probado que el Doctor Rico obstaculizó la celebración de las audiencias implicando tal conducta un evidente perjuicio a las partes?; 2.2) ¿constituye este hecho uno de los delitos previstos en el art.20 de la Ley de Enjuiciamiento; 2.3) ¿constituye este hecho una de las faltas del art.21 de la Ley de Enjuiciamiento?; 2.4) ¿es el acusado responsable del delito que se ha declarado probado?; 2.5)¿es el acusado responsable de la falta que se ha declarado probada?; 3.1)¿ está probado que el Doctor Rico ordenó la reserva de todos los expedientes en los que interviniera como letrado G. R., hasta tanto se expidieran los médicos psiquiatras acerca de las facultades y /o ilícitos cometidos por el referido profesional?; 3.2)¿ constituye este hecho uno de los delitos previstos en el art.20 de la Ley de Enjuiciamiento?; 3.3) ¿constituye este hecho una de las faltas del art.21 de la Ley de Enjuiciamiento?; 3.4) ¿Es el acusado responsable del delito que se ha declarado probado?: 3.5) ¿Es el acusado responsable de la falta que. se ha declarado probada; 4.1) ¿está probado que en lugar visible del interior de dos vehículos automotores que usaba exhibía chapa patente del Poder Judicial que no estaba autorizado a utilizar?; 4.2) ¿constituye este hecho uno de los delitos previstos en el art. 20 de la Ley de Enjuiciamiento; 4.3) ¿constituye este hecho una de las faltas del art.21 de la Ley de Enjuiciamiento?; 4.4)¿ es el acusado responsable del delito que se ha declarado probado?; 4.5) ¿es el acusado responsable de la falta que se ha declarado probada?; 5.1)¿ está probado que se negó a Jurar promesa de lealtad a la bandera bonaerense ante el Presidente del Tribunal?; 5.2)¿constituye este hecho uno de los delitos previstos en el art.20 de la Ley de Enjuiciamiento?; 5.3) ¿constituye este hecho una de las faltas del art.21 de la Ley de Enjuiciamiento?: 5.4)¿es el acusado responsable del delito que se ha declarado probado?; 5.5) ¿es el acusado responsable de la falta que se ha declarado probada?; 6.</w:t>
      </w:r>
      <w:r w:rsidR="000F13C9" w:rsidRPr="00081FD7">
        <w:t>1</w:t>
      </w:r>
      <w:r w:rsidRPr="00081FD7">
        <w:t>)¿está probado que solicitó a sus pares por vía de recusación, que se abstuvieran de intervenir en aquellas causas en las que él hubiera sido recusado por "hallarse comprendido en las causales de recusación y/o por grave decoro y delicadeza"?; 6.2)¿constituye este hecho uno de los delitos previstos en el art.20 de la Ley de Enjuiciamiento?; 6.3)¿constituye este hecho una de las faltas del art.21 de la Ley de. Enjuiciamiento?; 6.4) es el acusado responsable del delito que se ha declarado probado?; 6.S)¿es el acusado responsable de la falta que se ha declarado probada?: 7.</w:t>
      </w:r>
      <w:r w:rsidR="000F13C9" w:rsidRPr="00081FD7">
        <w:t>1</w:t>
      </w:r>
      <w:r w:rsidRPr="00081FD7">
        <w:t>)¿está probado que incurrió injustificadamente en ausencias reiteradas a su lugar de trabajo?; 7.2) ¿constituye este hecho uno de los delitos previstos en el art.20 de la Ley de Enjuiciamiento?; 7.3) ¿constituye este hecho una de las faltas previstas en el art.21 de la Ley de Enjuiciamiento?; 7.4) ¿es el acusado responsable del delito que se ha declarado probado?; 7.5.)¿es el acusado responsable de la falta que se ha declarado probada?; 8.</w:t>
      </w:r>
      <w:r w:rsidR="000F13C9" w:rsidRPr="00081FD7">
        <w:t>1</w:t>
      </w:r>
      <w:r w:rsidRPr="00081FD7">
        <w:t>)¿está probado que se negó a emitir su voto en causas mediando obligación legal?; 8.2)¿constituye este hecho uno de los delitos previstos en el art,20 de la Ley de Enjuiciamiento?; 8.3)¿constituye este hecho una de las faltas del art21 de la Ley de Enjuiciamiento?; 8.4)¿es el acusado responsable del delito que se ha declarado probado?; 8.5)¿es el acusado responsable de la falta que se ha declarado probada?; 9.</w:t>
      </w:r>
      <w:r w:rsidR="000F13C9" w:rsidRPr="00081FD7">
        <w:t>1</w:t>
      </w:r>
      <w:r w:rsidRPr="00081FD7">
        <w:t xml:space="preserve">)¿está probado que intentó intervenir en un expediente en el que se encontraba excusado?; 9.2)¿constituye este hecho uno de los delitos previstos en el art.20 de la Ley de Enjuiciamiento?; 9.3)¿constituye este hecho una de las faltas del art.21 de la Ley de Enjuiciamiento?; 9.4)¿es el acusado responsable del delito que se ha declarado probado?; 9.S)¿es el acusado responsable de la falta que se ha declarado probada?; 10.1) ¿está probado que el Doctor Eduardo Rico dispenso un trato preferencial a las causas en las que intervenía como letrado el </w:t>
      </w:r>
      <w:r w:rsidR="0092728B" w:rsidRPr="00081FD7">
        <w:t>D</w:t>
      </w:r>
      <w:r w:rsidRPr="00081FD7">
        <w:t>octor C</w:t>
      </w:r>
      <w:r w:rsidR="0092728B" w:rsidRPr="00081FD7">
        <w:t>.</w:t>
      </w:r>
      <w:r w:rsidRPr="00081FD7">
        <w:t>?; 10.2) ¿constituye este hecho uno de los delitos previstos en el art. 20 de la Ley de Enjuiciamiento?; 10.3) ¿constituye este hecho una de las faltas del art. 21 de la Ley de Enjuiciamiento?; 10.4) ¿es el acusado responsable del delito que se ha declarado probado?; 10.5) ¿es el acusado responsable de la falta que se ha declarado probada?; 11.1) ¿está probado que manifestó que no cumpliría una acuerdo de la Corte?; 11.2) ¿constituye este hecho uno de los delitos previstos en el art. 20 de la Ley de Enjuiciamiento?; 11.3) ¿constituye este hecho una de las faltas del art. 21 de la Ley de Enjuiciamiento?; 11.4) ¿es el acusado responsable del delito que se ha declarado probado?; 11.5) ¿es el acusado responsable de la falta que se ha declarado probada?; 12.1) ¿está probado que ha tratado en forma inapropiada a empleados de ese Tribunal y a letrados?; 12.2) ¿constituye este hecho uno de los delitos previstos en el art. 20 de la Ley de Enjuiciamiento?; 12.3) ¿constituye este hecho una de las faltas del art. 21 de la Ley de Enjuiciamiento?; 12.4) ¿es el acusado responsable del delito que se ha declarado probado?;12.5) ¿es el acusado responsable de la falta que se ha declarado probada?; 13.1) ¿está probado que ha dejado vencer los términos procesales para el dictado de las sentencias y ha emitido sus pronunciamientos después que se efectuaban las solicitudes de pronto despacho?; 13.2) ¿constituye este hecho uno de los delitos previstos en el art. 20 de la Ley de Enjuiciamiento?; 13.3) ¿constituye este hecho una de las faltas del art. 21 de la Ley</w:t>
      </w:r>
      <w:r w:rsidRPr="00C81ED2">
        <w:t xml:space="preserve"> de Enjuiciamiento?; 13.4) ¿es el acusado responsable del delito que se ha declarado probado?; 13.5) ¿es el acusado responsable de la falta que se ha declarado probada?; 14) ¿debe ser destituido el acusado?; 15) ¿deben declararse las costas a cargo del acusado?; 16) ¿deben declararse las costas a cargo del acusador?.</w:t>
      </w:r>
    </w:p>
  </w:footnote>
  <w:footnote w:id="25">
    <w:p w14:paraId="3EF92186" w14:textId="774ED173" w:rsidR="009B2823" w:rsidRPr="00754ECA" w:rsidRDefault="009B2823" w:rsidP="00F646B3">
      <w:pPr>
        <w:pStyle w:val="Textonotapie"/>
        <w:spacing w:before="40" w:after="40"/>
        <w:rPr>
          <w:lang w:val="es-CR"/>
        </w:rPr>
      </w:pPr>
      <w:r>
        <w:rPr>
          <w:rStyle w:val="Refdenotaalpie"/>
        </w:rPr>
        <w:footnoteRef/>
      </w:r>
      <w:r>
        <w:t xml:space="preserve"> </w:t>
      </w:r>
      <w:r>
        <w:rPr>
          <w:lang w:val="es-CR"/>
        </w:rPr>
        <w:tab/>
      </w:r>
      <w:r w:rsidRPr="002869C6">
        <w:rPr>
          <w:i/>
        </w:rPr>
        <w:t>Cfr.</w:t>
      </w:r>
      <w:r>
        <w:t xml:space="preserve"> </w:t>
      </w:r>
      <w:r w:rsidRPr="00754ECA">
        <w:rPr>
          <w:lang w:val="es-CR"/>
        </w:rPr>
        <w:t>Sentencia</w:t>
      </w:r>
      <w:r>
        <w:t xml:space="preserve"> del Jurado de Enjuiciamiento de 15 de junio de 2000 (expediente de fondo, folios 174-176)</w:t>
      </w:r>
    </w:p>
  </w:footnote>
  <w:footnote w:id="26">
    <w:p w14:paraId="358FD350" w14:textId="25C62B3B" w:rsidR="009B2823" w:rsidRPr="00754ECA" w:rsidRDefault="009B2823" w:rsidP="00F646B3">
      <w:pPr>
        <w:pStyle w:val="Textonotapie"/>
        <w:spacing w:before="40" w:after="40"/>
        <w:rPr>
          <w:lang w:val="es-CR"/>
        </w:rPr>
      </w:pPr>
      <w:r>
        <w:rPr>
          <w:rStyle w:val="Refdenotaalpie"/>
        </w:rPr>
        <w:footnoteRef/>
      </w:r>
      <w:r>
        <w:t xml:space="preserve"> </w:t>
      </w:r>
      <w:r>
        <w:rPr>
          <w:lang w:val="es-CR"/>
        </w:rPr>
        <w:tab/>
      </w:r>
      <w:r w:rsidRPr="002869C6">
        <w:rPr>
          <w:i/>
        </w:rPr>
        <w:t>Cfr.</w:t>
      </w:r>
      <w:r>
        <w:t xml:space="preserve"> </w:t>
      </w:r>
      <w:r w:rsidRPr="00754ECA">
        <w:rPr>
          <w:lang w:val="es-CR"/>
        </w:rPr>
        <w:t>Sentencia</w:t>
      </w:r>
      <w:r>
        <w:t xml:space="preserve"> del Jurado de Enjuiciamiento de 15 de junio de 2000 (expediente de fondo, folios 174-176)</w:t>
      </w:r>
    </w:p>
  </w:footnote>
  <w:footnote w:id="27">
    <w:p w14:paraId="381D8A83" w14:textId="2A0D38A7" w:rsidR="009B2823" w:rsidRPr="00754ECA" w:rsidRDefault="009B2823" w:rsidP="00F646B3">
      <w:pPr>
        <w:pStyle w:val="Textonotapie"/>
        <w:spacing w:before="40" w:after="40"/>
      </w:pPr>
      <w:r>
        <w:rPr>
          <w:rStyle w:val="Refdenotaalpie"/>
        </w:rPr>
        <w:footnoteRef/>
      </w:r>
      <w:r>
        <w:t xml:space="preserve"> </w:t>
      </w:r>
      <w:r>
        <w:tab/>
      </w:r>
      <w:r w:rsidRPr="00754ECA">
        <w:t>El Jurado consideró probado</w:t>
      </w:r>
      <w:r w:rsidR="00D05E43">
        <w:t xml:space="preserve"> </w:t>
      </w:r>
      <w:r w:rsidRPr="00754ECA">
        <w:t xml:space="preserve">que incurrió en las siguientes conductas: 1. Negarse a suscribir el acuerdo por el que se formalizaba el cambio de Presidencia con motivo del cumplimiento del período anual dispuesto legalmente; 2. Ordenar la reserva de todos los expedientes en los que interviniera como letrado el Dr. </w:t>
      </w:r>
      <w:r>
        <w:t>G.R.</w:t>
      </w:r>
      <w:r w:rsidRPr="00754ECA">
        <w:t>, hasta tanto se expidieran los médicos psiquiat</w:t>
      </w:r>
      <w:r>
        <w:t>ras acerca de las facultades y/</w:t>
      </w:r>
      <w:r w:rsidRPr="00754ECA">
        <w:t>o ilícitos cometidos por el referido profesional; 3. Negarse a jurar promesa de lealtad a la bandera bonaerense ante el Presidente del Tribunal; 4. Negarse a emitir su voto en causas mediando obligación legal; 5. Tratar en forma inapropiada a los empleados del Tribunal y a los letrados</w:t>
      </w:r>
      <w:r w:rsidR="000F13C9">
        <w:t>; 6.</w:t>
      </w:r>
      <w:r w:rsidRPr="00754ECA">
        <w:t xml:space="preserve"> </w:t>
      </w:r>
      <w:r w:rsidR="000F13C9">
        <w:t>O</w:t>
      </w:r>
      <w:r w:rsidRPr="00754ECA">
        <w:t>bstaculizó la celebración de las audiencias</w:t>
      </w:r>
      <w:r w:rsidR="000F13C9">
        <w:t>; 7.</w:t>
      </w:r>
      <w:r w:rsidRPr="00754ECA">
        <w:t xml:space="preserve"> </w:t>
      </w:r>
      <w:r w:rsidR="000F13C9">
        <w:t>S</w:t>
      </w:r>
      <w:r w:rsidRPr="00754ECA">
        <w:t>olicitó a sus pares por vía de recusación, que se abstuvieran de intervenir en aquellas causas en las que él hubiera sido recusado</w:t>
      </w:r>
      <w:r w:rsidR="000F13C9">
        <w:t>,</w:t>
      </w:r>
      <w:r w:rsidRPr="00754ECA">
        <w:t xml:space="preserve"> y </w:t>
      </w:r>
      <w:r w:rsidR="000F13C9">
        <w:t>8) D</w:t>
      </w:r>
      <w:r w:rsidRPr="00754ECA">
        <w:t>ej</w:t>
      </w:r>
      <w:r w:rsidR="000F13C9">
        <w:t>ó</w:t>
      </w:r>
      <w:r w:rsidRPr="00754ECA">
        <w:t xml:space="preserve"> vencer los términos procesales para el dictado de sentencias y emitir sus pronunciamientos después que se efectuaban las solicitudes de pronto despacho</w:t>
      </w:r>
      <w:r>
        <w:t xml:space="preserve">. </w:t>
      </w:r>
      <w:r w:rsidRPr="00754ECA">
        <w:rPr>
          <w:i/>
        </w:rPr>
        <w:t>Cfr.</w:t>
      </w:r>
      <w:r w:rsidRPr="00754ECA">
        <w:t xml:space="preserve"> </w:t>
      </w:r>
      <w:r>
        <w:t xml:space="preserve">Sentencia del Jurado de Enjuiciamiento de 15 de junio de 2000 (expediente de fondo, folios 174-176), y </w:t>
      </w:r>
      <w:r w:rsidRPr="002869C6">
        <w:t xml:space="preserve">Votación del Jurado de Enjuiciamiento de </w:t>
      </w:r>
      <w:r>
        <w:t>15 de junio de 2000 (expediente de fondo, folios 8 a 173).</w:t>
      </w:r>
    </w:p>
  </w:footnote>
  <w:footnote w:id="28">
    <w:p w14:paraId="1403E84E" w14:textId="67E42C3A" w:rsidR="009B2823" w:rsidRPr="00DE0460" w:rsidRDefault="009B2823" w:rsidP="00F646B3">
      <w:pPr>
        <w:pStyle w:val="Textonotapie"/>
        <w:spacing w:before="40" w:after="40"/>
        <w:rPr>
          <w:szCs w:val="16"/>
        </w:rPr>
      </w:pPr>
      <w:r w:rsidRPr="00DE0460">
        <w:rPr>
          <w:rStyle w:val="Refdenotaalpie"/>
          <w:szCs w:val="16"/>
        </w:rPr>
        <w:footnoteRef/>
      </w:r>
      <w:r w:rsidRPr="00DE0460">
        <w:rPr>
          <w:szCs w:val="16"/>
        </w:rPr>
        <w:t xml:space="preserve"> </w:t>
      </w:r>
      <w:r w:rsidRPr="00DE0460">
        <w:rPr>
          <w:szCs w:val="16"/>
        </w:rPr>
        <w:tab/>
      </w:r>
      <w:r w:rsidRPr="00DE0460">
        <w:rPr>
          <w:i/>
          <w:szCs w:val="16"/>
        </w:rPr>
        <w:t>Cfr.</w:t>
      </w:r>
      <w:r w:rsidRPr="00DE0460">
        <w:rPr>
          <w:szCs w:val="16"/>
        </w:rPr>
        <w:t xml:space="preserve"> </w:t>
      </w:r>
      <w:r w:rsidRPr="003B491A">
        <w:rPr>
          <w:i/>
          <w:szCs w:val="16"/>
        </w:rPr>
        <w:t>Caso del Tribunal Constitucional Vs. Perú. Fondo, Reparaciones y Costas</w:t>
      </w:r>
      <w:r w:rsidRPr="00DE0460">
        <w:rPr>
          <w:szCs w:val="16"/>
        </w:rPr>
        <w:t xml:space="preserve">. Sentencia de 31 de enero de 2001. Serie C No. 71, párr. 69, y </w:t>
      </w:r>
      <w:r w:rsidRPr="00831938">
        <w:rPr>
          <w:i/>
          <w:szCs w:val="16"/>
        </w:rPr>
        <w:t>Caso Colindres Schonenberg Vs. El Salvador. Fondo, Reparaciones y Costas. Sentencia de 4 de febrero de 2019. Serie C No. 373</w:t>
      </w:r>
      <w:r w:rsidRPr="00DE0460">
        <w:rPr>
          <w:szCs w:val="16"/>
        </w:rPr>
        <w:t xml:space="preserve">, párr. </w:t>
      </w:r>
      <w:r>
        <w:rPr>
          <w:szCs w:val="16"/>
        </w:rPr>
        <w:t>63</w:t>
      </w:r>
      <w:r w:rsidRPr="00DE0460">
        <w:rPr>
          <w:szCs w:val="16"/>
        </w:rPr>
        <w:t>.</w:t>
      </w:r>
    </w:p>
  </w:footnote>
  <w:footnote w:id="29">
    <w:p w14:paraId="00B7CBD8" w14:textId="3D0E141C" w:rsidR="009B2823" w:rsidRPr="00135B0D" w:rsidRDefault="009B2823" w:rsidP="00F646B3">
      <w:pPr>
        <w:pStyle w:val="Textonotapie"/>
        <w:spacing w:before="40" w:after="40"/>
        <w:rPr>
          <w:i/>
          <w:szCs w:val="16"/>
        </w:rPr>
      </w:pPr>
      <w:r w:rsidRPr="00550CAE">
        <w:rPr>
          <w:rStyle w:val="Refdenotaalpie"/>
          <w:szCs w:val="16"/>
        </w:rPr>
        <w:footnoteRef/>
      </w:r>
      <w:r w:rsidRPr="00550CAE">
        <w:rPr>
          <w:szCs w:val="16"/>
        </w:rPr>
        <w:t xml:space="preserve"> </w:t>
      </w:r>
      <w:r w:rsidRPr="00550CAE">
        <w:rPr>
          <w:szCs w:val="16"/>
        </w:rPr>
        <w:tab/>
      </w:r>
      <w:r w:rsidRPr="00550CAE">
        <w:rPr>
          <w:i/>
          <w:szCs w:val="16"/>
        </w:rPr>
        <w:t>Cfr. Excepciones al Agotamiento de los Recursos Internos (arts. 46.1, 46.2.a y 46.2.b, Convención Americana sobre Derechos Humanos).</w:t>
      </w:r>
      <w:r w:rsidRPr="00550CAE">
        <w:rPr>
          <w:szCs w:val="16"/>
        </w:rPr>
        <w:t xml:space="preserve"> Opinión Consultiva OC-11/90 del 10 de agosto de 1990. Serie A No. 11, párr. 28,</w:t>
      </w:r>
      <w:r>
        <w:rPr>
          <w:szCs w:val="16"/>
        </w:rPr>
        <w:t xml:space="preserve"> </w:t>
      </w:r>
      <w:r w:rsidRPr="00550CAE">
        <w:rPr>
          <w:i/>
          <w:szCs w:val="16"/>
        </w:rPr>
        <w:t xml:space="preserve">Caso Claude Reyes y otros Vs. Chile. Fondo, Reparaciones y Costas. </w:t>
      </w:r>
      <w:r w:rsidRPr="00550CAE">
        <w:rPr>
          <w:szCs w:val="16"/>
        </w:rPr>
        <w:t xml:space="preserve">Sentencia de 19 de septiembre de 2006. Serie C No. 151, párr. 119, </w:t>
      </w:r>
      <w:r>
        <w:rPr>
          <w:szCs w:val="16"/>
        </w:rPr>
        <w:t xml:space="preserve">y </w:t>
      </w:r>
      <w:r w:rsidRPr="00A85120">
        <w:rPr>
          <w:i/>
          <w:szCs w:val="16"/>
        </w:rPr>
        <w:t>Caso Colind</w:t>
      </w:r>
      <w:r>
        <w:rPr>
          <w:i/>
          <w:szCs w:val="16"/>
        </w:rPr>
        <w:t>res Schonenberg Vs. El Salvador</w:t>
      </w:r>
      <w:r w:rsidRPr="00A85120">
        <w:rPr>
          <w:szCs w:val="16"/>
        </w:rPr>
        <w:t>, párr.</w:t>
      </w:r>
      <w:r>
        <w:rPr>
          <w:szCs w:val="16"/>
        </w:rPr>
        <w:t xml:space="preserve"> 64</w:t>
      </w:r>
      <w:r>
        <w:rPr>
          <w:i/>
          <w:szCs w:val="16"/>
        </w:rPr>
        <w:t>.</w:t>
      </w:r>
    </w:p>
  </w:footnote>
  <w:footnote w:id="30">
    <w:p w14:paraId="631A2B4A" w14:textId="6462417F" w:rsidR="009B2823" w:rsidRPr="00550CAE" w:rsidRDefault="009B2823" w:rsidP="00F646B3">
      <w:pPr>
        <w:pStyle w:val="Textonotapie"/>
        <w:spacing w:before="40" w:after="40"/>
        <w:rPr>
          <w:szCs w:val="16"/>
        </w:rPr>
      </w:pPr>
      <w:r w:rsidRPr="00550CAE">
        <w:rPr>
          <w:rStyle w:val="Refdenotaalpie"/>
          <w:szCs w:val="16"/>
        </w:rPr>
        <w:footnoteRef/>
      </w:r>
      <w:r w:rsidRPr="00550CAE">
        <w:rPr>
          <w:szCs w:val="16"/>
        </w:rPr>
        <w:t xml:space="preserve"> </w:t>
      </w:r>
      <w:r w:rsidRPr="00550CAE">
        <w:rPr>
          <w:szCs w:val="16"/>
        </w:rPr>
        <w:tab/>
      </w:r>
      <w:r w:rsidRPr="00550CAE">
        <w:rPr>
          <w:i/>
          <w:iCs/>
          <w:szCs w:val="16"/>
          <w:lang w:bidi="en-US"/>
        </w:rPr>
        <w:t>Cfr.</w:t>
      </w:r>
      <w:r w:rsidRPr="00550CAE">
        <w:rPr>
          <w:szCs w:val="16"/>
          <w:lang w:bidi="en-US"/>
        </w:rPr>
        <w:t xml:space="preserve"> </w:t>
      </w:r>
      <w:r w:rsidRPr="00550CAE">
        <w:rPr>
          <w:i/>
          <w:iCs/>
          <w:szCs w:val="16"/>
          <w:lang w:bidi="en-US"/>
        </w:rPr>
        <w:t>Caso del Tribunal Constitucional Vs. Perú</w:t>
      </w:r>
      <w:r>
        <w:rPr>
          <w:iCs/>
          <w:szCs w:val="16"/>
          <w:lang w:bidi="en-US"/>
        </w:rPr>
        <w:t>,</w:t>
      </w:r>
      <w:r w:rsidRPr="00550CAE">
        <w:rPr>
          <w:i/>
          <w:iCs/>
          <w:szCs w:val="16"/>
          <w:lang w:bidi="en-US"/>
        </w:rPr>
        <w:t xml:space="preserve"> </w:t>
      </w:r>
      <w:r w:rsidRPr="00550CAE">
        <w:rPr>
          <w:rFonts w:cs="Arial"/>
          <w:szCs w:val="16"/>
          <w:lang w:val="es-CL"/>
        </w:rPr>
        <w:t>párr. 71</w:t>
      </w:r>
      <w:r>
        <w:rPr>
          <w:rFonts w:cs="Arial"/>
          <w:szCs w:val="16"/>
          <w:lang w:val="es-CL"/>
        </w:rPr>
        <w:t xml:space="preserve">, </w:t>
      </w:r>
      <w:r w:rsidRPr="00550CAE">
        <w:rPr>
          <w:szCs w:val="16"/>
          <w:lang w:bidi="en-US"/>
        </w:rPr>
        <w:t xml:space="preserve">y </w:t>
      </w:r>
      <w:r w:rsidRPr="00A85120">
        <w:rPr>
          <w:i/>
          <w:szCs w:val="16"/>
        </w:rPr>
        <w:t>Caso Colind</w:t>
      </w:r>
      <w:r>
        <w:rPr>
          <w:i/>
          <w:szCs w:val="16"/>
        </w:rPr>
        <w:t>res Schonenberg Vs. El Salvador</w:t>
      </w:r>
      <w:r w:rsidRPr="00A85120">
        <w:rPr>
          <w:szCs w:val="16"/>
        </w:rPr>
        <w:t>, párr.</w:t>
      </w:r>
      <w:r>
        <w:rPr>
          <w:szCs w:val="16"/>
        </w:rPr>
        <w:t xml:space="preserve"> 65</w:t>
      </w:r>
    </w:p>
  </w:footnote>
  <w:footnote w:id="31">
    <w:p w14:paraId="6E789A4D" w14:textId="2877930F" w:rsidR="009B2823" w:rsidRPr="00550CAE" w:rsidRDefault="009B2823" w:rsidP="00F646B3">
      <w:pPr>
        <w:pStyle w:val="Textonotapie"/>
        <w:spacing w:before="40" w:after="40"/>
        <w:rPr>
          <w:rFonts w:cs="Arial"/>
          <w:szCs w:val="16"/>
          <w:lang w:val="es-ES"/>
        </w:rPr>
      </w:pPr>
      <w:r w:rsidRPr="00550CAE">
        <w:rPr>
          <w:rStyle w:val="Refdenotaalpie"/>
          <w:szCs w:val="16"/>
          <w:lang w:val="es-ES"/>
        </w:rPr>
        <w:footnoteRef/>
      </w:r>
      <w:r w:rsidRPr="00550CAE">
        <w:rPr>
          <w:rFonts w:cs="Arial"/>
          <w:szCs w:val="16"/>
          <w:vertAlign w:val="superscript"/>
          <w:lang w:val="es-ES"/>
        </w:rPr>
        <w:t xml:space="preserve"> </w:t>
      </w:r>
      <w:r w:rsidRPr="00550CAE">
        <w:rPr>
          <w:rFonts w:cs="Arial"/>
          <w:szCs w:val="16"/>
          <w:lang w:val="es-ES"/>
        </w:rPr>
        <w:tab/>
      </w:r>
      <w:r w:rsidRPr="00550CAE">
        <w:rPr>
          <w:rFonts w:cs="Arial"/>
          <w:i/>
          <w:szCs w:val="16"/>
          <w:lang w:val="es-CL"/>
        </w:rPr>
        <w:t>Cfr.</w:t>
      </w:r>
      <w:r w:rsidRPr="00550CAE">
        <w:rPr>
          <w:rFonts w:cs="Arial"/>
          <w:i/>
          <w:szCs w:val="16"/>
          <w:lang w:val="es-CO"/>
        </w:rPr>
        <w:t xml:space="preserve"> </w:t>
      </w:r>
      <w:r w:rsidRPr="00550CAE">
        <w:rPr>
          <w:bCs/>
          <w:i/>
          <w:szCs w:val="16"/>
        </w:rPr>
        <w:t xml:space="preserve">Caso Reverón Trujillo Vs. Venezuela. Excepción Preliminar, Fondo, Reparaciones y Costas. </w:t>
      </w:r>
      <w:r w:rsidRPr="00550CAE">
        <w:rPr>
          <w:bCs/>
          <w:szCs w:val="16"/>
        </w:rPr>
        <w:t>Sentencia de 30 de junio de 2009. Serie C No. 197</w:t>
      </w:r>
      <w:r w:rsidRPr="00550CAE">
        <w:rPr>
          <w:szCs w:val="16"/>
        </w:rPr>
        <w:t xml:space="preserve">, </w:t>
      </w:r>
      <w:r w:rsidRPr="00550CAE">
        <w:rPr>
          <w:rFonts w:cs="Arial"/>
          <w:szCs w:val="16"/>
          <w:lang w:val="es-CR"/>
        </w:rPr>
        <w:t>párr. 67</w:t>
      </w:r>
      <w:r w:rsidRPr="00550CAE">
        <w:rPr>
          <w:szCs w:val="16"/>
          <w:lang w:val="es-CO"/>
        </w:rPr>
        <w:t>,</w:t>
      </w:r>
      <w:r>
        <w:rPr>
          <w:szCs w:val="16"/>
          <w:lang w:val="es-CO"/>
        </w:rPr>
        <w:t xml:space="preserve"> </w:t>
      </w:r>
      <w:r w:rsidRPr="00550CAE">
        <w:rPr>
          <w:rFonts w:cs="Arial"/>
          <w:szCs w:val="16"/>
          <w:lang w:val="es-CL"/>
        </w:rPr>
        <w:t xml:space="preserve">y </w:t>
      </w:r>
      <w:r w:rsidRPr="00A85120">
        <w:rPr>
          <w:i/>
          <w:szCs w:val="16"/>
        </w:rPr>
        <w:t>Caso Colind</w:t>
      </w:r>
      <w:r>
        <w:rPr>
          <w:i/>
          <w:szCs w:val="16"/>
        </w:rPr>
        <w:t>res Schonenberg Vs. El Salvador</w:t>
      </w:r>
      <w:r w:rsidRPr="00A85120">
        <w:rPr>
          <w:szCs w:val="16"/>
        </w:rPr>
        <w:t>, párr</w:t>
      </w:r>
      <w:r>
        <w:rPr>
          <w:szCs w:val="16"/>
        </w:rPr>
        <w:t>. 68.</w:t>
      </w:r>
    </w:p>
  </w:footnote>
  <w:footnote w:id="32">
    <w:p w14:paraId="1E5555C0" w14:textId="74366BB9" w:rsidR="009B2823" w:rsidRPr="00DE0460" w:rsidRDefault="009B2823" w:rsidP="00F646B3">
      <w:pPr>
        <w:pStyle w:val="Textonotapie"/>
        <w:spacing w:before="40" w:after="40"/>
        <w:rPr>
          <w:szCs w:val="16"/>
        </w:rPr>
      </w:pPr>
      <w:r w:rsidRPr="00DE0460">
        <w:rPr>
          <w:rStyle w:val="Refdenotaalpie"/>
          <w:szCs w:val="16"/>
        </w:rPr>
        <w:footnoteRef/>
      </w:r>
      <w:r w:rsidRPr="00DE0460">
        <w:rPr>
          <w:szCs w:val="16"/>
        </w:rPr>
        <w:t xml:space="preserve"> </w:t>
      </w:r>
      <w:r w:rsidRPr="00DE0460">
        <w:rPr>
          <w:szCs w:val="16"/>
        </w:rPr>
        <w:tab/>
      </w:r>
      <w:r w:rsidRPr="00DE0460">
        <w:rPr>
          <w:i/>
          <w:szCs w:val="16"/>
        </w:rPr>
        <w:t>Cfr</w:t>
      </w:r>
      <w:r w:rsidRPr="00DE0460">
        <w:rPr>
          <w:szCs w:val="16"/>
        </w:rPr>
        <w:t xml:space="preserve">. </w:t>
      </w:r>
      <w:r w:rsidRPr="00887476">
        <w:rPr>
          <w:i/>
          <w:szCs w:val="16"/>
        </w:rPr>
        <w:t>Caso del Tribunal Constitucional Vs. Perú</w:t>
      </w:r>
      <w:r w:rsidRPr="00DE0460">
        <w:rPr>
          <w:szCs w:val="16"/>
        </w:rPr>
        <w:t xml:space="preserve">, párr. 73, y </w:t>
      </w:r>
      <w:r w:rsidRPr="00927C1D">
        <w:rPr>
          <w:i/>
          <w:szCs w:val="16"/>
        </w:rPr>
        <w:t>Caso Villaseñor Velarde y otros Vs. Guatemala. Fondo, Reparaciones y Costas</w:t>
      </w:r>
      <w:r w:rsidRPr="00927C1D">
        <w:rPr>
          <w:szCs w:val="16"/>
        </w:rPr>
        <w:t>. Sentencia de 5 de febrero de 2019. Serie C No. 374</w:t>
      </w:r>
      <w:r>
        <w:rPr>
          <w:szCs w:val="16"/>
        </w:rPr>
        <w:t>,</w:t>
      </w:r>
      <w:r w:rsidRPr="00DE0460">
        <w:rPr>
          <w:szCs w:val="16"/>
        </w:rPr>
        <w:t xml:space="preserve"> párr. </w:t>
      </w:r>
      <w:r>
        <w:rPr>
          <w:szCs w:val="16"/>
        </w:rPr>
        <w:t>83</w:t>
      </w:r>
      <w:r w:rsidRPr="00DE0460">
        <w:rPr>
          <w:szCs w:val="16"/>
        </w:rPr>
        <w:t>.</w:t>
      </w:r>
    </w:p>
  </w:footnote>
  <w:footnote w:id="33">
    <w:p w14:paraId="5DBA8AC8" w14:textId="03D50ECA" w:rsidR="009B2823" w:rsidRPr="00DE0460" w:rsidRDefault="009B2823" w:rsidP="00F646B3">
      <w:pPr>
        <w:pStyle w:val="Textonotapie"/>
        <w:spacing w:before="40" w:after="40"/>
        <w:rPr>
          <w:szCs w:val="16"/>
        </w:rPr>
      </w:pPr>
      <w:r w:rsidRPr="00DE0460">
        <w:rPr>
          <w:rStyle w:val="Refdenotaalpie"/>
          <w:szCs w:val="16"/>
        </w:rPr>
        <w:footnoteRef/>
      </w:r>
      <w:r w:rsidRPr="00DE0460">
        <w:rPr>
          <w:szCs w:val="16"/>
        </w:rPr>
        <w:t xml:space="preserve"> </w:t>
      </w:r>
      <w:r w:rsidRPr="00DE0460">
        <w:rPr>
          <w:szCs w:val="16"/>
        </w:rPr>
        <w:tab/>
      </w:r>
      <w:r w:rsidRPr="00DE0460">
        <w:rPr>
          <w:i/>
          <w:szCs w:val="16"/>
        </w:rPr>
        <w:t>Cfr.</w:t>
      </w:r>
      <w:r w:rsidRPr="00DE0460">
        <w:rPr>
          <w:szCs w:val="16"/>
        </w:rPr>
        <w:t xml:space="preserve"> </w:t>
      </w:r>
      <w:r w:rsidRPr="00A85120">
        <w:rPr>
          <w:i/>
          <w:szCs w:val="16"/>
        </w:rPr>
        <w:t>Caso Apitz Barbera y otros (“Corte Primera de lo Contencioso Administrativo”) Vs. Venezuela</w:t>
      </w:r>
      <w:r w:rsidRPr="00DE0460">
        <w:rPr>
          <w:szCs w:val="16"/>
        </w:rPr>
        <w:t xml:space="preserve">, párr. 55, y </w:t>
      </w:r>
      <w:r w:rsidRPr="00927C1D">
        <w:rPr>
          <w:bCs/>
          <w:i/>
          <w:szCs w:val="16"/>
        </w:rPr>
        <w:t xml:space="preserve">Caso San Miguel Sosa y otras Vs. Venezuela. Fondo, Reparaciones y Costas. </w:t>
      </w:r>
      <w:r w:rsidRPr="00927C1D">
        <w:rPr>
          <w:bCs/>
          <w:szCs w:val="16"/>
        </w:rPr>
        <w:t>Sentencia de 8 de febrero de 2018. Serie C No. 348</w:t>
      </w:r>
      <w:r>
        <w:rPr>
          <w:bCs/>
          <w:szCs w:val="16"/>
        </w:rPr>
        <w:t>,</w:t>
      </w:r>
      <w:r w:rsidRPr="00DE0460">
        <w:rPr>
          <w:szCs w:val="16"/>
        </w:rPr>
        <w:t xml:space="preserve"> párr.</w:t>
      </w:r>
      <w:r>
        <w:rPr>
          <w:szCs w:val="16"/>
        </w:rPr>
        <w:t xml:space="preserve"> 207</w:t>
      </w:r>
      <w:r w:rsidRPr="00DE0460">
        <w:rPr>
          <w:szCs w:val="16"/>
        </w:rPr>
        <w:t>.</w:t>
      </w:r>
    </w:p>
  </w:footnote>
  <w:footnote w:id="34">
    <w:p w14:paraId="770688FA" w14:textId="6E4EA170" w:rsidR="009B2823" w:rsidRPr="00550CAE" w:rsidRDefault="009B2823" w:rsidP="00F646B3">
      <w:pPr>
        <w:pStyle w:val="Textonotapie"/>
        <w:tabs>
          <w:tab w:val="left" w:pos="567"/>
        </w:tabs>
        <w:spacing w:before="40" w:after="40"/>
        <w:rPr>
          <w:szCs w:val="16"/>
        </w:rPr>
      </w:pPr>
      <w:r w:rsidRPr="00550CAE">
        <w:rPr>
          <w:rStyle w:val="Refdenotaalpie"/>
          <w:szCs w:val="16"/>
        </w:rPr>
        <w:footnoteRef/>
      </w:r>
      <w:r w:rsidRPr="00550CAE">
        <w:rPr>
          <w:szCs w:val="16"/>
        </w:rPr>
        <w:t xml:space="preserve"> </w:t>
      </w:r>
      <w:r w:rsidRPr="00550CAE">
        <w:rPr>
          <w:szCs w:val="16"/>
        </w:rPr>
        <w:tab/>
      </w:r>
      <w:r>
        <w:rPr>
          <w:szCs w:val="16"/>
        </w:rPr>
        <w:tab/>
      </w:r>
      <w:r w:rsidRPr="006F15DC">
        <w:rPr>
          <w:i/>
        </w:rPr>
        <w:t>Cfr</w:t>
      </w:r>
      <w:r w:rsidRPr="006F15DC">
        <w:t xml:space="preserve">. </w:t>
      </w:r>
      <w:r w:rsidRPr="00887476">
        <w:rPr>
          <w:i/>
        </w:rPr>
        <w:t xml:space="preserve">Caso </w:t>
      </w:r>
      <w:r>
        <w:rPr>
          <w:i/>
        </w:rPr>
        <w:t>López Lone y otros Vs. Honduras</w:t>
      </w:r>
      <w:r w:rsidRPr="006F15DC">
        <w:t>, párr</w:t>
      </w:r>
      <w:r>
        <w:t>s. 198 y</w:t>
      </w:r>
      <w:r w:rsidRPr="006F15DC">
        <w:t xml:space="preserve"> 200</w:t>
      </w:r>
      <w:r>
        <w:rPr>
          <w:rFonts w:cs="Arial"/>
        </w:rPr>
        <w:t xml:space="preserve">, y </w:t>
      </w:r>
      <w:r w:rsidRPr="00927C1D">
        <w:rPr>
          <w:rFonts w:cs="Arial"/>
          <w:i/>
        </w:rPr>
        <w:t>Caso Valencia Hinojosa y otra Vs. Ecuador. Excepciones Preliminares, Fondo, Reparaciones y Costas</w:t>
      </w:r>
      <w:r w:rsidRPr="00927C1D">
        <w:rPr>
          <w:rFonts w:cs="Arial"/>
        </w:rPr>
        <w:t xml:space="preserve">. Sentencia de 29 de noviembre </w:t>
      </w:r>
      <w:r>
        <w:rPr>
          <w:rFonts w:cs="Arial"/>
        </w:rPr>
        <w:t>de 2016. Serie C No. 327, párr. 105.</w:t>
      </w:r>
    </w:p>
  </w:footnote>
  <w:footnote w:id="35">
    <w:p w14:paraId="389F487C" w14:textId="64A2ABDC" w:rsidR="009B2823" w:rsidRPr="00DE0460" w:rsidRDefault="009B2823" w:rsidP="00F646B3">
      <w:pPr>
        <w:pStyle w:val="Textonotapie"/>
        <w:spacing w:before="40" w:after="40"/>
        <w:rPr>
          <w:szCs w:val="16"/>
        </w:rPr>
      </w:pPr>
      <w:r w:rsidRPr="00DE0460">
        <w:rPr>
          <w:rStyle w:val="Refdenotaalpie"/>
          <w:szCs w:val="16"/>
        </w:rPr>
        <w:footnoteRef/>
      </w:r>
      <w:r w:rsidRPr="00DE0460">
        <w:rPr>
          <w:szCs w:val="16"/>
        </w:rPr>
        <w:t xml:space="preserve"> </w:t>
      </w:r>
      <w:r w:rsidRPr="00DE0460">
        <w:rPr>
          <w:szCs w:val="16"/>
        </w:rPr>
        <w:tab/>
      </w:r>
      <w:r w:rsidRPr="00DE0460">
        <w:rPr>
          <w:i/>
          <w:szCs w:val="16"/>
        </w:rPr>
        <w:t>Cfr.</w:t>
      </w:r>
      <w:r w:rsidRPr="00DE0460">
        <w:rPr>
          <w:szCs w:val="16"/>
        </w:rPr>
        <w:t xml:space="preserve"> </w:t>
      </w:r>
      <w:r w:rsidRPr="00BA5AEB">
        <w:rPr>
          <w:i/>
          <w:szCs w:val="16"/>
        </w:rPr>
        <w:t>Caso del Tribunal Constitucional Vs. Perú</w:t>
      </w:r>
      <w:r w:rsidRPr="00DE0460">
        <w:rPr>
          <w:szCs w:val="16"/>
        </w:rPr>
        <w:t xml:space="preserve">, párr. 63. </w:t>
      </w:r>
    </w:p>
  </w:footnote>
  <w:footnote w:id="36">
    <w:p w14:paraId="29E2DA34" w14:textId="08E2C1AB" w:rsidR="009B2823" w:rsidRPr="00DE0460" w:rsidRDefault="009B2823" w:rsidP="00F646B3">
      <w:pPr>
        <w:pStyle w:val="Textonotapie"/>
        <w:spacing w:before="40" w:after="40"/>
        <w:rPr>
          <w:szCs w:val="16"/>
        </w:rPr>
      </w:pPr>
      <w:r w:rsidRPr="00DE0460">
        <w:rPr>
          <w:rStyle w:val="Refdenotaalpie"/>
          <w:szCs w:val="16"/>
        </w:rPr>
        <w:footnoteRef/>
      </w:r>
      <w:r w:rsidRPr="00DE0460">
        <w:rPr>
          <w:szCs w:val="16"/>
        </w:rPr>
        <w:t xml:space="preserve"> </w:t>
      </w:r>
      <w:r w:rsidRPr="00DE0460">
        <w:rPr>
          <w:szCs w:val="16"/>
        </w:rPr>
        <w:tab/>
      </w:r>
      <w:r w:rsidRPr="00DE0460">
        <w:rPr>
          <w:i/>
          <w:szCs w:val="16"/>
        </w:rPr>
        <w:t>Cfr.</w:t>
      </w:r>
      <w:r w:rsidRPr="00DE0460">
        <w:rPr>
          <w:szCs w:val="16"/>
        </w:rPr>
        <w:t xml:space="preserve"> </w:t>
      </w:r>
      <w:r w:rsidRPr="007F5C05">
        <w:rPr>
          <w:i/>
          <w:szCs w:val="16"/>
        </w:rPr>
        <w:t>Caso de la Corte Suprema de Justicia (Quintana Coello y otros) Vs. Ecuador. Excepción Preliminar, Fondo, Reparaciones y Costas</w:t>
      </w:r>
      <w:r w:rsidRPr="00DE0460">
        <w:rPr>
          <w:szCs w:val="16"/>
        </w:rPr>
        <w:t xml:space="preserve">. Sentencia de 23 de agosto de 2013. Serie C No. 266. párr. 180. </w:t>
      </w:r>
    </w:p>
  </w:footnote>
  <w:footnote w:id="37">
    <w:p w14:paraId="7348BC75" w14:textId="6BC80773" w:rsidR="009B2823" w:rsidRPr="004601E6" w:rsidRDefault="009B2823" w:rsidP="00F646B3">
      <w:pPr>
        <w:pStyle w:val="Textonotapie"/>
        <w:spacing w:before="40" w:after="40"/>
        <w:rPr>
          <w:szCs w:val="16"/>
        </w:rPr>
      </w:pPr>
      <w:r w:rsidRPr="00DE0460">
        <w:rPr>
          <w:rStyle w:val="Refdenotaalpie"/>
          <w:szCs w:val="16"/>
        </w:rPr>
        <w:footnoteRef/>
      </w:r>
      <w:r w:rsidRPr="00DE0460">
        <w:rPr>
          <w:szCs w:val="16"/>
        </w:rPr>
        <w:t xml:space="preserve"> </w:t>
      </w:r>
      <w:r w:rsidRPr="00DE0460">
        <w:rPr>
          <w:szCs w:val="16"/>
        </w:rPr>
        <w:tab/>
      </w:r>
      <w:r w:rsidRPr="004601E6">
        <w:rPr>
          <w:i/>
          <w:szCs w:val="16"/>
        </w:rPr>
        <w:t>Cfr.</w:t>
      </w:r>
      <w:r w:rsidRPr="004601E6">
        <w:rPr>
          <w:szCs w:val="16"/>
        </w:rPr>
        <w:t xml:space="preserve"> </w:t>
      </w:r>
      <w:r w:rsidRPr="007F5C05">
        <w:rPr>
          <w:i/>
          <w:szCs w:val="16"/>
        </w:rPr>
        <w:t>Caso Fermín Ramírez Vs. Guatemala. Fondo, Reparaciones y Costas</w:t>
      </w:r>
      <w:r w:rsidRPr="004601E6">
        <w:rPr>
          <w:szCs w:val="16"/>
        </w:rPr>
        <w:t xml:space="preserve">. Sentencia de 20 de junio de </w:t>
      </w:r>
      <w:r>
        <w:rPr>
          <w:szCs w:val="16"/>
        </w:rPr>
        <w:t xml:space="preserve">2005. Serie C No. 126, párr. 66, </w:t>
      </w:r>
      <w:r w:rsidRPr="00DF2A3A">
        <w:rPr>
          <w:i/>
          <w:szCs w:val="16"/>
        </w:rPr>
        <w:t>Caso V.R.P., V.P.C. y otros Vs. Nicaragua. Excepciones Preliminares, Fondo, Reparaciones y Costas</w:t>
      </w:r>
      <w:r w:rsidRPr="00DF2A3A">
        <w:rPr>
          <w:szCs w:val="16"/>
        </w:rPr>
        <w:t>. Sentencia de 8 de marzo de 2018. Serie C No. 350</w:t>
      </w:r>
      <w:r>
        <w:rPr>
          <w:szCs w:val="16"/>
        </w:rPr>
        <w:t xml:space="preserve">, párr. 219, y </w:t>
      </w:r>
      <w:r w:rsidRPr="00DF2A3A">
        <w:rPr>
          <w:i/>
          <w:szCs w:val="16"/>
        </w:rPr>
        <w:t>Caso Arrom</w:t>
      </w:r>
      <w:r>
        <w:rPr>
          <w:i/>
          <w:szCs w:val="16"/>
        </w:rPr>
        <w:t xml:space="preserve"> Suhurt y otros Vs. Paraguay, </w:t>
      </w:r>
      <w:r>
        <w:rPr>
          <w:szCs w:val="16"/>
        </w:rPr>
        <w:t>párr. 149.</w:t>
      </w:r>
    </w:p>
  </w:footnote>
  <w:footnote w:id="38">
    <w:p w14:paraId="5A39CDA1" w14:textId="7D2155C8" w:rsidR="009B2823" w:rsidRPr="004601E6" w:rsidRDefault="009B2823" w:rsidP="00F646B3">
      <w:pPr>
        <w:pStyle w:val="Textonotapie"/>
        <w:spacing w:before="40" w:after="40"/>
      </w:pPr>
      <w:r w:rsidRPr="004601E6">
        <w:rPr>
          <w:rStyle w:val="Refdenotaalpie"/>
        </w:rPr>
        <w:footnoteRef/>
      </w:r>
      <w:r w:rsidRPr="004601E6">
        <w:t xml:space="preserve"> </w:t>
      </w:r>
      <w:r w:rsidRPr="004601E6">
        <w:tab/>
        <w:t>Escrito de alegatos finales del Estado (expediente de fondo, folio</w:t>
      </w:r>
      <w:r>
        <w:t>s</w:t>
      </w:r>
      <w:r w:rsidRPr="004601E6">
        <w:t xml:space="preserve"> </w:t>
      </w:r>
      <w:r>
        <w:t xml:space="preserve">563 y </w:t>
      </w:r>
      <w:r w:rsidRPr="004601E6">
        <w:t>568</w:t>
      </w:r>
      <w:r>
        <w:t xml:space="preserve"> referenciando la </w:t>
      </w:r>
      <w:r w:rsidRPr="000353D2">
        <w:t>exposición de motivos de la Ley 13.661, sobre reformas a la Ley 8085, del 24 de abril de 2007</w:t>
      </w:r>
      <w:r>
        <w:t>.</w:t>
      </w:r>
    </w:p>
  </w:footnote>
  <w:footnote w:id="39">
    <w:p w14:paraId="0223E860" w14:textId="5F235D53" w:rsidR="009B2823" w:rsidRDefault="009B2823" w:rsidP="00F646B3">
      <w:pPr>
        <w:pStyle w:val="Textonotapie"/>
        <w:spacing w:before="40" w:after="40"/>
      </w:pPr>
      <w:r>
        <w:rPr>
          <w:rStyle w:val="Refdenotaalpie"/>
        </w:rPr>
        <w:footnoteRef/>
      </w:r>
      <w:r>
        <w:t xml:space="preserve"> </w:t>
      </w:r>
      <w:r>
        <w:tab/>
      </w:r>
      <w:r w:rsidRPr="00DE0460">
        <w:rPr>
          <w:i/>
          <w:szCs w:val="16"/>
        </w:rPr>
        <w:t xml:space="preserve">Cfr. </w:t>
      </w:r>
      <w:r w:rsidRPr="00DE0460">
        <w:rPr>
          <w:szCs w:val="16"/>
        </w:rPr>
        <w:t xml:space="preserve">Artículos </w:t>
      </w:r>
      <w:r>
        <w:rPr>
          <w:szCs w:val="16"/>
        </w:rPr>
        <w:t>2</w:t>
      </w:r>
      <w:r w:rsidRPr="00DE0460">
        <w:rPr>
          <w:szCs w:val="16"/>
        </w:rPr>
        <w:t xml:space="preserve"> </w:t>
      </w:r>
      <w:r>
        <w:rPr>
          <w:szCs w:val="16"/>
        </w:rPr>
        <w:t xml:space="preserve">de la </w:t>
      </w:r>
      <w:r w:rsidRPr="00DE0460">
        <w:rPr>
          <w:szCs w:val="16"/>
        </w:rPr>
        <w:t xml:space="preserve">Ley 8085. </w:t>
      </w:r>
    </w:p>
  </w:footnote>
  <w:footnote w:id="40">
    <w:p w14:paraId="417D9691" w14:textId="715DB651" w:rsidR="009B2823" w:rsidRPr="00DE0460" w:rsidRDefault="009B2823" w:rsidP="00F646B3">
      <w:pPr>
        <w:pStyle w:val="Textonotapie"/>
        <w:spacing w:before="40" w:after="40"/>
        <w:rPr>
          <w:szCs w:val="16"/>
        </w:rPr>
      </w:pPr>
      <w:r w:rsidRPr="00DE0460">
        <w:rPr>
          <w:rStyle w:val="Refdenotaalpie"/>
          <w:szCs w:val="16"/>
        </w:rPr>
        <w:footnoteRef/>
      </w:r>
      <w:r w:rsidRPr="00DE0460">
        <w:rPr>
          <w:szCs w:val="16"/>
        </w:rPr>
        <w:t xml:space="preserve"> </w:t>
      </w:r>
      <w:r w:rsidRPr="00DE0460">
        <w:rPr>
          <w:szCs w:val="16"/>
        </w:rPr>
        <w:tab/>
      </w:r>
      <w:r w:rsidRPr="00DE0460">
        <w:rPr>
          <w:i/>
          <w:szCs w:val="16"/>
        </w:rPr>
        <w:t xml:space="preserve">Cfr. </w:t>
      </w:r>
      <w:r>
        <w:rPr>
          <w:szCs w:val="16"/>
        </w:rPr>
        <w:t>Artículos 20 y</w:t>
      </w:r>
      <w:r w:rsidRPr="00DE0460">
        <w:rPr>
          <w:szCs w:val="16"/>
        </w:rPr>
        <w:t xml:space="preserve"> 21 </w:t>
      </w:r>
      <w:r>
        <w:rPr>
          <w:szCs w:val="16"/>
        </w:rPr>
        <w:t xml:space="preserve">de la </w:t>
      </w:r>
      <w:r w:rsidRPr="00DE0460">
        <w:rPr>
          <w:szCs w:val="16"/>
        </w:rPr>
        <w:t xml:space="preserve">Ley 8085. </w:t>
      </w:r>
    </w:p>
  </w:footnote>
  <w:footnote w:id="41">
    <w:p w14:paraId="28628836" w14:textId="4A480A8A" w:rsidR="009B2823" w:rsidRPr="00DE0460" w:rsidRDefault="009B2823" w:rsidP="00F646B3">
      <w:pPr>
        <w:pStyle w:val="Textonotapie"/>
        <w:spacing w:before="40" w:after="40"/>
        <w:rPr>
          <w:szCs w:val="16"/>
        </w:rPr>
      </w:pPr>
      <w:r w:rsidRPr="00DE0460">
        <w:rPr>
          <w:rStyle w:val="Refdenotaalpie"/>
          <w:szCs w:val="16"/>
        </w:rPr>
        <w:footnoteRef/>
      </w:r>
      <w:r w:rsidRPr="00DE0460">
        <w:rPr>
          <w:szCs w:val="16"/>
        </w:rPr>
        <w:t xml:space="preserve"> </w:t>
      </w:r>
      <w:r w:rsidRPr="00DE0460">
        <w:rPr>
          <w:szCs w:val="16"/>
        </w:rPr>
        <w:tab/>
      </w:r>
      <w:r w:rsidRPr="00DE0460">
        <w:rPr>
          <w:i/>
          <w:szCs w:val="16"/>
        </w:rPr>
        <w:t xml:space="preserve">Cfr. </w:t>
      </w:r>
      <w:r w:rsidRPr="00DE0460">
        <w:rPr>
          <w:szCs w:val="16"/>
        </w:rPr>
        <w:t>Artículo 41</w:t>
      </w:r>
      <w:r>
        <w:rPr>
          <w:szCs w:val="16"/>
        </w:rPr>
        <w:t xml:space="preserve"> de la</w:t>
      </w:r>
      <w:r w:rsidRPr="00DE0460">
        <w:rPr>
          <w:szCs w:val="16"/>
        </w:rPr>
        <w:t xml:space="preserve"> Ley 8085.</w:t>
      </w:r>
    </w:p>
  </w:footnote>
  <w:footnote w:id="42">
    <w:p w14:paraId="5AC68EC0" w14:textId="5A8530F6" w:rsidR="009B2823" w:rsidRPr="00E15B43" w:rsidRDefault="009B2823" w:rsidP="00F646B3">
      <w:pPr>
        <w:pStyle w:val="Textonotapie"/>
        <w:spacing w:before="40" w:after="40"/>
      </w:pPr>
      <w:r>
        <w:rPr>
          <w:rStyle w:val="Refdenotaalpie"/>
        </w:rPr>
        <w:footnoteRef/>
      </w:r>
      <w:r>
        <w:t xml:space="preserve"> </w:t>
      </w:r>
      <w:r>
        <w:tab/>
      </w:r>
      <w:r>
        <w:rPr>
          <w:lang w:val="es-CR"/>
        </w:rPr>
        <w:t>E</w:t>
      </w:r>
      <w:r w:rsidRPr="00E15B43">
        <w:rPr>
          <w:lang w:val="es-CR"/>
        </w:rPr>
        <w:t xml:space="preserve">l artículo 42 </w:t>
      </w:r>
      <w:r>
        <w:rPr>
          <w:lang w:val="es-CR"/>
        </w:rPr>
        <w:t xml:space="preserve">de la Ley 8085 </w:t>
      </w:r>
      <w:r w:rsidRPr="00E15B43">
        <w:rPr>
          <w:lang w:val="es-CR"/>
        </w:rPr>
        <w:t xml:space="preserve">señala: “Constituido el Jurado en sesión reservada a efectos de dictar el veredicto, el Presidente adoptará las medidas pertinentes para que ninguno de los jurados pueda retirarse de la casa hasta que el mismo sea dictado, e inmediatamente someterá al jurado las siguientes cuestiones: </w:t>
      </w:r>
      <w:r>
        <w:rPr>
          <w:lang w:val="es-CR"/>
        </w:rPr>
        <w:t>a. [¿]</w:t>
      </w:r>
      <w:r w:rsidRPr="00E15B43">
        <w:rPr>
          <w:lang w:val="es-CR"/>
        </w:rPr>
        <w:t>Está probado el hecho imputado?</w:t>
      </w:r>
      <w:r>
        <w:rPr>
          <w:lang w:val="es-CR"/>
        </w:rPr>
        <w:t xml:space="preserve"> </w:t>
      </w:r>
      <w:r w:rsidRPr="00E15B43">
        <w:rPr>
          <w:lang w:val="es-CR"/>
        </w:rPr>
        <w:t xml:space="preserve">b. </w:t>
      </w:r>
      <w:r>
        <w:rPr>
          <w:lang w:val="es-CR"/>
        </w:rPr>
        <w:t>[¿]</w:t>
      </w:r>
      <w:r w:rsidRPr="00E15B43">
        <w:rPr>
          <w:lang w:val="es-CR"/>
        </w:rPr>
        <w:t>Constituye este hecho el delito establecido en el artículo 20° inciso...</w:t>
      </w:r>
      <w:r>
        <w:rPr>
          <w:lang w:val="es-CR"/>
        </w:rPr>
        <w:t xml:space="preserve"> </w:t>
      </w:r>
      <w:r w:rsidRPr="00E15B43">
        <w:rPr>
          <w:lang w:val="es-CR"/>
        </w:rPr>
        <w:t xml:space="preserve">de la </w:t>
      </w:r>
      <w:r>
        <w:rPr>
          <w:lang w:val="es-CR"/>
        </w:rPr>
        <w:t>L</w:t>
      </w:r>
      <w:r w:rsidRPr="00E15B43">
        <w:rPr>
          <w:lang w:val="es-CR"/>
        </w:rPr>
        <w:t>ey de  enjuiciamiento?</w:t>
      </w:r>
      <w:r>
        <w:rPr>
          <w:lang w:val="es-CR"/>
        </w:rPr>
        <w:t xml:space="preserve"> </w:t>
      </w:r>
      <w:r w:rsidRPr="00E15B43">
        <w:rPr>
          <w:lang w:val="es-CR"/>
        </w:rPr>
        <w:t>c.</w:t>
      </w:r>
      <w:r>
        <w:rPr>
          <w:lang w:val="es-CR"/>
        </w:rPr>
        <w:t xml:space="preserve"> [¿]</w:t>
      </w:r>
      <w:r w:rsidRPr="00E15B43">
        <w:rPr>
          <w:lang w:val="es-CR"/>
        </w:rPr>
        <w:t xml:space="preserve">Constituye este hecho la falta establecida en el artículo 21° inciso... de la </w:t>
      </w:r>
      <w:r>
        <w:rPr>
          <w:lang w:val="es-CR"/>
        </w:rPr>
        <w:t>L</w:t>
      </w:r>
      <w:r w:rsidRPr="00E15B43">
        <w:rPr>
          <w:lang w:val="es-CR"/>
        </w:rPr>
        <w:t>ey de enjuiciamiento</w:t>
      </w:r>
      <w:r>
        <w:rPr>
          <w:lang w:val="es-CR"/>
        </w:rPr>
        <w:t xml:space="preserve">? </w:t>
      </w:r>
      <w:r w:rsidRPr="00E15B43">
        <w:rPr>
          <w:lang w:val="es-CR"/>
        </w:rPr>
        <w:t xml:space="preserve">d. </w:t>
      </w:r>
      <w:r>
        <w:rPr>
          <w:lang w:val="es-CR"/>
        </w:rPr>
        <w:t>[¿]</w:t>
      </w:r>
      <w:r w:rsidRPr="00E15B43">
        <w:rPr>
          <w:lang w:val="es-CR"/>
        </w:rPr>
        <w:t>Es el acusado responsable del delito que se ha declarado probado?</w:t>
      </w:r>
      <w:r>
        <w:rPr>
          <w:lang w:val="es-CR"/>
        </w:rPr>
        <w:t xml:space="preserve"> </w:t>
      </w:r>
      <w:r w:rsidRPr="00E15B43">
        <w:rPr>
          <w:lang w:val="es-CR"/>
        </w:rPr>
        <w:t xml:space="preserve">e. </w:t>
      </w:r>
      <w:r>
        <w:rPr>
          <w:lang w:val="es-CR"/>
        </w:rPr>
        <w:t>[¿]</w:t>
      </w:r>
      <w:r w:rsidRPr="00E15B43">
        <w:rPr>
          <w:lang w:val="es-CR"/>
        </w:rPr>
        <w:t>Es el acusado responsable de la falta que se ha declarado probada?</w:t>
      </w:r>
      <w:r>
        <w:rPr>
          <w:lang w:val="es-CR"/>
        </w:rPr>
        <w:t xml:space="preserve"> </w:t>
      </w:r>
      <w:r w:rsidRPr="00E15B43">
        <w:rPr>
          <w:lang w:val="es-CR"/>
        </w:rPr>
        <w:t xml:space="preserve">f. </w:t>
      </w:r>
      <w:r>
        <w:rPr>
          <w:lang w:val="es-CR"/>
        </w:rPr>
        <w:t>[¿]</w:t>
      </w:r>
      <w:r w:rsidRPr="00E15B43">
        <w:rPr>
          <w:lang w:val="es-CR"/>
        </w:rPr>
        <w:t>Estas cuestiones se propondrán tantas veces como delitos o faltas se imputen a cada acusado. El Presidente someterá también el Jurado las siguientes cuestiones:</w:t>
      </w:r>
      <w:r>
        <w:rPr>
          <w:lang w:val="es-CR"/>
        </w:rPr>
        <w:t xml:space="preserve"> g. ¿</w:t>
      </w:r>
      <w:r w:rsidRPr="00E15B43">
        <w:rPr>
          <w:lang w:val="es-CR"/>
        </w:rPr>
        <w:t>Debe ser destituido el acusado?</w:t>
      </w:r>
      <w:r>
        <w:rPr>
          <w:lang w:val="es-CR"/>
        </w:rPr>
        <w:t xml:space="preserve"> </w:t>
      </w:r>
      <w:r w:rsidRPr="00E15B43">
        <w:rPr>
          <w:lang w:val="es-CR"/>
        </w:rPr>
        <w:t xml:space="preserve">h. </w:t>
      </w:r>
      <w:r>
        <w:rPr>
          <w:lang w:val="es-CR"/>
        </w:rPr>
        <w:t>[¿]</w:t>
      </w:r>
      <w:r w:rsidRPr="00E15B43">
        <w:rPr>
          <w:lang w:val="es-CR"/>
        </w:rPr>
        <w:t>Deben declararse las costas a cargo del acusado?</w:t>
      </w:r>
      <w:r>
        <w:rPr>
          <w:lang w:val="es-CR"/>
        </w:rPr>
        <w:t xml:space="preserve"> </w:t>
      </w:r>
      <w:r w:rsidRPr="00E15B43">
        <w:rPr>
          <w:lang w:val="es-CR"/>
        </w:rPr>
        <w:t xml:space="preserve">i. </w:t>
      </w:r>
      <w:r>
        <w:rPr>
          <w:lang w:val="es-CR"/>
        </w:rPr>
        <w:t>[¿]</w:t>
      </w:r>
      <w:r w:rsidRPr="00E15B43">
        <w:rPr>
          <w:lang w:val="es-CR"/>
        </w:rPr>
        <w:t>Deben declararse las costas a cargo del acusador?”</w:t>
      </w:r>
      <w:r>
        <w:rPr>
          <w:lang w:val="es-CR"/>
        </w:rPr>
        <w:t>.</w:t>
      </w:r>
    </w:p>
  </w:footnote>
  <w:footnote w:id="43">
    <w:p w14:paraId="74C12329" w14:textId="2BE881AA" w:rsidR="009B2823" w:rsidRPr="00DE0460" w:rsidRDefault="009B2823" w:rsidP="00F646B3">
      <w:pPr>
        <w:pStyle w:val="Textonotapie"/>
        <w:spacing w:before="40" w:after="40"/>
        <w:rPr>
          <w:szCs w:val="16"/>
        </w:rPr>
      </w:pPr>
      <w:r w:rsidRPr="00DE0460">
        <w:rPr>
          <w:rStyle w:val="Refdenotaalpie"/>
          <w:szCs w:val="16"/>
        </w:rPr>
        <w:footnoteRef/>
      </w:r>
      <w:r w:rsidRPr="00DE0460">
        <w:rPr>
          <w:szCs w:val="16"/>
        </w:rPr>
        <w:t xml:space="preserve"> </w:t>
      </w:r>
      <w:r w:rsidRPr="00DE0460">
        <w:rPr>
          <w:szCs w:val="16"/>
        </w:rPr>
        <w:tab/>
      </w:r>
      <w:r w:rsidRPr="00DE0460">
        <w:rPr>
          <w:i/>
          <w:szCs w:val="16"/>
        </w:rPr>
        <w:t xml:space="preserve">Cfr. </w:t>
      </w:r>
      <w:r w:rsidRPr="00DE0460">
        <w:rPr>
          <w:szCs w:val="16"/>
        </w:rPr>
        <w:t xml:space="preserve">Artículo 33 </w:t>
      </w:r>
      <w:r>
        <w:rPr>
          <w:szCs w:val="16"/>
        </w:rPr>
        <w:t xml:space="preserve">de la </w:t>
      </w:r>
      <w:r w:rsidRPr="00DE0460">
        <w:rPr>
          <w:szCs w:val="16"/>
        </w:rPr>
        <w:t xml:space="preserve">Ley 8085. </w:t>
      </w:r>
    </w:p>
  </w:footnote>
  <w:footnote w:id="44">
    <w:p w14:paraId="28FB7173" w14:textId="226D5A3E" w:rsidR="009B2823" w:rsidRPr="00DE0460" w:rsidRDefault="009B2823" w:rsidP="00F646B3">
      <w:pPr>
        <w:pStyle w:val="Textonotapie"/>
        <w:spacing w:before="40" w:after="40"/>
        <w:rPr>
          <w:szCs w:val="16"/>
        </w:rPr>
      </w:pPr>
      <w:r w:rsidRPr="00DE0460">
        <w:rPr>
          <w:rStyle w:val="Refdenotaalpie"/>
          <w:szCs w:val="16"/>
        </w:rPr>
        <w:footnoteRef/>
      </w:r>
      <w:r w:rsidRPr="00DE0460">
        <w:rPr>
          <w:szCs w:val="16"/>
        </w:rPr>
        <w:t xml:space="preserve"> </w:t>
      </w:r>
      <w:r w:rsidRPr="00DE0460">
        <w:rPr>
          <w:szCs w:val="16"/>
        </w:rPr>
        <w:tab/>
      </w:r>
      <w:r w:rsidRPr="00DE0460">
        <w:rPr>
          <w:i/>
          <w:szCs w:val="16"/>
        </w:rPr>
        <w:t xml:space="preserve">Cfr. </w:t>
      </w:r>
      <w:r w:rsidRPr="00DE0460">
        <w:rPr>
          <w:szCs w:val="16"/>
        </w:rPr>
        <w:t>Artículo</w:t>
      </w:r>
      <w:r>
        <w:rPr>
          <w:szCs w:val="16"/>
        </w:rPr>
        <w:t>s</w:t>
      </w:r>
      <w:r w:rsidRPr="00DE0460">
        <w:rPr>
          <w:szCs w:val="16"/>
        </w:rPr>
        <w:t xml:space="preserve"> 34</w:t>
      </w:r>
      <w:r>
        <w:rPr>
          <w:szCs w:val="16"/>
        </w:rPr>
        <w:t xml:space="preserve"> a </w:t>
      </w:r>
      <w:r w:rsidRPr="00DE0460">
        <w:rPr>
          <w:szCs w:val="16"/>
        </w:rPr>
        <w:t xml:space="preserve">44 </w:t>
      </w:r>
      <w:r>
        <w:rPr>
          <w:szCs w:val="16"/>
        </w:rPr>
        <w:t xml:space="preserve">de la </w:t>
      </w:r>
      <w:r w:rsidRPr="00DE0460">
        <w:rPr>
          <w:szCs w:val="16"/>
        </w:rPr>
        <w:t xml:space="preserve">Ley 8085. </w:t>
      </w:r>
    </w:p>
  </w:footnote>
  <w:footnote w:id="45">
    <w:p w14:paraId="0000F261" w14:textId="154F7F62" w:rsidR="009B2823" w:rsidRPr="00DE0460" w:rsidRDefault="009B2823" w:rsidP="00F646B3">
      <w:pPr>
        <w:pStyle w:val="Textonotapie"/>
        <w:spacing w:before="40" w:after="40"/>
        <w:rPr>
          <w:szCs w:val="16"/>
        </w:rPr>
      </w:pPr>
      <w:r w:rsidRPr="00DE0460">
        <w:rPr>
          <w:rStyle w:val="Refdenotaalpie"/>
          <w:szCs w:val="16"/>
        </w:rPr>
        <w:footnoteRef/>
      </w:r>
      <w:r w:rsidRPr="00DE0460">
        <w:rPr>
          <w:szCs w:val="16"/>
        </w:rPr>
        <w:t xml:space="preserve"> </w:t>
      </w:r>
      <w:r w:rsidRPr="00DE0460">
        <w:rPr>
          <w:szCs w:val="16"/>
        </w:rPr>
        <w:tab/>
      </w:r>
      <w:r w:rsidRPr="00DE0460">
        <w:rPr>
          <w:i/>
          <w:szCs w:val="16"/>
        </w:rPr>
        <w:t xml:space="preserve">Cfr. </w:t>
      </w:r>
      <w:r w:rsidRPr="00A85120">
        <w:rPr>
          <w:i/>
          <w:szCs w:val="16"/>
        </w:rPr>
        <w:t>Caso Reverón Trujillo Vs. Venezuela. Excepción Preliminar, Fondo, Reparaciones y Costas</w:t>
      </w:r>
      <w:r w:rsidRPr="00DE0460">
        <w:rPr>
          <w:szCs w:val="16"/>
        </w:rPr>
        <w:t xml:space="preserve">. Sentencia de 30 de junio de 2009. Serie C No. 197, párr. 146, y </w:t>
      </w:r>
      <w:r w:rsidRPr="00D875E2">
        <w:rPr>
          <w:i/>
          <w:szCs w:val="16"/>
        </w:rPr>
        <w:t>Caso Villaseñor Velarde y otros Vs. Guatemala</w:t>
      </w:r>
      <w:r w:rsidRPr="00DE0460">
        <w:rPr>
          <w:szCs w:val="16"/>
        </w:rPr>
        <w:t xml:space="preserve">, párr. </w:t>
      </w:r>
      <w:r>
        <w:rPr>
          <w:szCs w:val="16"/>
        </w:rPr>
        <w:t>91</w:t>
      </w:r>
      <w:r w:rsidRPr="00DE0460">
        <w:rPr>
          <w:szCs w:val="16"/>
        </w:rPr>
        <w:t>.</w:t>
      </w:r>
    </w:p>
  </w:footnote>
  <w:footnote w:id="46">
    <w:p w14:paraId="4284F353" w14:textId="3563E123" w:rsidR="009B2823" w:rsidRPr="00DE0460" w:rsidRDefault="009B2823" w:rsidP="00F646B3">
      <w:pPr>
        <w:pStyle w:val="Textonotapie"/>
        <w:spacing w:before="40" w:after="40"/>
        <w:rPr>
          <w:szCs w:val="16"/>
        </w:rPr>
      </w:pPr>
      <w:r w:rsidRPr="00DE0460">
        <w:rPr>
          <w:rStyle w:val="Refdenotaalpie"/>
          <w:szCs w:val="16"/>
        </w:rPr>
        <w:footnoteRef/>
      </w:r>
      <w:r w:rsidRPr="00DE0460">
        <w:rPr>
          <w:szCs w:val="16"/>
        </w:rPr>
        <w:t xml:space="preserve"> </w:t>
      </w:r>
      <w:r w:rsidRPr="00DE0460">
        <w:rPr>
          <w:szCs w:val="16"/>
        </w:rPr>
        <w:tab/>
      </w:r>
      <w:r w:rsidRPr="00DE0460">
        <w:rPr>
          <w:i/>
          <w:szCs w:val="16"/>
        </w:rPr>
        <w:t xml:space="preserve">Cfr. </w:t>
      </w:r>
      <w:r w:rsidRPr="00DE0460">
        <w:rPr>
          <w:szCs w:val="16"/>
        </w:rPr>
        <w:t>Escrito de solicitudes, argumentos y pruebas de 9 de marzo de 2018 (expediente de fondo, folio 102).</w:t>
      </w:r>
    </w:p>
  </w:footnote>
  <w:footnote w:id="47">
    <w:p w14:paraId="542D8DDB" w14:textId="60C826D5" w:rsidR="009B2823" w:rsidRPr="009C15B0" w:rsidRDefault="009B2823" w:rsidP="00F646B3">
      <w:pPr>
        <w:pStyle w:val="Textonotapie"/>
        <w:spacing w:before="40" w:after="40"/>
        <w:rPr>
          <w:szCs w:val="16"/>
          <w:lang w:val="es-CR"/>
        </w:rPr>
      </w:pPr>
      <w:r w:rsidRPr="009C15B0">
        <w:rPr>
          <w:rStyle w:val="Refdenotaalpie"/>
          <w:szCs w:val="16"/>
          <w:lang w:val="es-CR"/>
        </w:rPr>
        <w:footnoteRef/>
      </w:r>
      <w:r w:rsidRPr="009C15B0">
        <w:rPr>
          <w:szCs w:val="16"/>
          <w:lang w:val="es-CR"/>
        </w:rPr>
        <w:t xml:space="preserve"> </w:t>
      </w:r>
      <w:r w:rsidRPr="009C15B0">
        <w:rPr>
          <w:i/>
          <w:szCs w:val="16"/>
          <w:lang w:val="es-CR"/>
        </w:rPr>
        <w:tab/>
        <w:t xml:space="preserve">Cfr. Caso Apitz Barbera y otros (“Corte Primera de lo Contencioso Administrativo”) Vs. Venezuela. Excepción Preliminar, Fondo, Reparaciones y Costas. </w:t>
      </w:r>
      <w:r w:rsidRPr="009C15B0">
        <w:rPr>
          <w:iCs/>
          <w:szCs w:val="16"/>
          <w:lang w:val="es-CR"/>
        </w:rPr>
        <w:t xml:space="preserve">Sentencia de 5 de agosto de 2008. Serie C </w:t>
      </w:r>
      <w:r w:rsidRPr="009C15B0">
        <w:rPr>
          <w:bCs/>
          <w:iCs/>
          <w:szCs w:val="16"/>
          <w:lang w:val="es-CR"/>
        </w:rPr>
        <w:t>No. 182</w:t>
      </w:r>
      <w:r w:rsidRPr="009C15B0">
        <w:rPr>
          <w:iCs/>
          <w:szCs w:val="16"/>
          <w:lang w:val="es-CR"/>
        </w:rPr>
        <w:t>, párr. 56,</w:t>
      </w:r>
      <w:r w:rsidRPr="009C15B0">
        <w:rPr>
          <w:i/>
          <w:szCs w:val="16"/>
          <w:lang w:val="es-CR"/>
        </w:rPr>
        <w:t xml:space="preserve"> </w:t>
      </w:r>
      <w:r w:rsidRPr="009C15B0">
        <w:rPr>
          <w:szCs w:val="16"/>
          <w:lang w:val="es-CR"/>
        </w:rPr>
        <w:t>y</w:t>
      </w:r>
      <w:r w:rsidRPr="009C15B0">
        <w:rPr>
          <w:i/>
          <w:szCs w:val="16"/>
          <w:lang w:val="es-CR"/>
        </w:rPr>
        <w:t xml:space="preserve"> </w:t>
      </w:r>
      <w:r w:rsidRPr="003E7373">
        <w:rPr>
          <w:i/>
          <w:szCs w:val="16"/>
          <w:lang w:val="es-CR"/>
        </w:rPr>
        <w:t>Caso V.R.P., V.P.C. y otros Vs. Nicaragua</w:t>
      </w:r>
      <w:r>
        <w:rPr>
          <w:szCs w:val="16"/>
          <w:lang w:val="es-CR"/>
        </w:rPr>
        <w:t>, párr. 239.</w:t>
      </w:r>
    </w:p>
  </w:footnote>
  <w:footnote w:id="48">
    <w:p w14:paraId="3033C298" w14:textId="553B0E38" w:rsidR="009B2823" w:rsidRPr="009C15B0" w:rsidRDefault="009B2823" w:rsidP="00F646B3">
      <w:pPr>
        <w:pStyle w:val="Textonotapie"/>
        <w:spacing w:before="40" w:after="40"/>
        <w:rPr>
          <w:szCs w:val="16"/>
          <w:lang w:val="es-CR"/>
        </w:rPr>
      </w:pPr>
      <w:r w:rsidRPr="009C15B0">
        <w:rPr>
          <w:rStyle w:val="Refdenotaalpie"/>
          <w:szCs w:val="16"/>
          <w:lang w:val="es-CR"/>
        </w:rPr>
        <w:footnoteRef/>
      </w:r>
      <w:r w:rsidRPr="009C15B0">
        <w:rPr>
          <w:szCs w:val="16"/>
          <w:lang w:val="es-CR"/>
        </w:rPr>
        <w:t xml:space="preserve"> </w:t>
      </w:r>
      <w:r w:rsidRPr="009C15B0">
        <w:rPr>
          <w:szCs w:val="16"/>
          <w:lang w:val="es-CR"/>
        </w:rPr>
        <w:tab/>
      </w:r>
      <w:r w:rsidRPr="009C15B0">
        <w:rPr>
          <w:i/>
          <w:szCs w:val="16"/>
          <w:lang w:val="es-CR"/>
        </w:rPr>
        <w:t xml:space="preserve">Cfr. </w:t>
      </w:r>
      <w:r w:rsidRPr="009C15B0">
        <w:rPr>
          <w:bCs/>
          <w:i/>
          <w:szCs w:val="16"/>
          <w:lang w:val="es-CR"/>
        </w:rPr>
        <w:t xml:space="preserve">Caso Apitz Barbera y otros (“Corte Primera de lo Contencioso Administrativo”) Vs. Venezuela, </w:t>
      </w:r>
      <w:r>
        <w:rPr>
          <w:bCs/>
          <w:szCs w:val="16"/>
          <w:lang w:val="es-CR"/>
        </w:rPr>
        <w:t xml:space="preserve">y </w:t>
      </w:r>
      <w:r w:rsidRPr="003E7373">
        <w:rPr>
          <w:i/>
          <w:szCs w:val="16"/>
          <w:lang w:val="es-CR"/>
        </w:rPr>
        <w:t>Caso V.R.P., V.P.C. y otros Vs. Nicaragua</w:t>
      </w:r>
      <w:r>
        <w:rPr>
          <w:szCs w:val="16"/>
          <w:lang w:val="es-CR"/>
        </w:rPr>
        <w:t>, párr. 239.</w:t>
      </w:r>
    </w:p>
  </w:footnote>
  <w:footnote w:id="49">
    <w:p w14:paraId="4CBD1B0F" w14:textId="6B0325C4" w:rsidR="009B2823" w:rsidRPr="009C15B0" w:rsidRDefault="009B2823" w:rsidP="00F646B3">
      <w:pPr>
        <w:pStyle w:val="Textonotapie"/>
        <w:spacing w:before="40" w:after="40"/>
        <w:rPr>
          <w:szCs w:val="16"/>
          <w:lang w:val="es-CR"/>
        </w:rPr>
      </w:pPr>
      <w:r w:rsidRPr="009C15B0">
        <w:rPr>
          <w:rStyle w:val="Refdenotaalpie"/>
          <w:szCs w:val="16"/>
          <w:lang w:val="es-CR"/>
        </w:rPr>
        <w:footnoteRef/>
      </w:r>
      <w:r w:rsidRPr="009C15B0">
        <w:rPr>
          <w:szCs w:val="16"/>
          <w:lang w:val="es-CR"/>
        </w:rPr>
        <w:t xml:space="preserve"> </w:t>
      </w:r>
      <w:r w:rsidRPr="009C15B0">
        <w:rPr>
          <w:szCs w:val="16"/>
          <w:lang w:val="es-CR"/>
        </w:rPr>
        <w:tab/>
      </w:r>
      <w:r w:rsidRPr="009C15B0">
        <w:rPr>
          <w:i/>
          <w:szCs w:val="16"/>
          <w:lang w:val="es-CR"/>
        </w:rPr>
        <w:t xml:space="preserve">Cfr. </w:t>
      </w:r>
      <w:r w:rsidRPr="003E7373">
        <w:rPr>
          <w:i/>
          <w:szCs w:val="16"/>
          <w:lang w:val="es-CR"/>
        </w:rPr>
        <w:t>Caso V.R.P., V.P.C. y otros Vs. Nicaragua</w:t>
      </w:r>
      <w:r>
        <w:rPr>
          <w:szCs w:val="16"/>
          <w:lang w:val="es-CR"/>
        </w:rPr>
        <w:t xml:space="preserve">, párr. 239. </w:t>
      </w:r>
    </w:p>
  </w:footnote>
  <w:footnote w:id="50">
    <w:p w14:paraId="56B4AF14" w14:textId="114202D9" w:rsidR="009B2823" w:rsidRPr="00821853" w:rsidRDefault="009B2823" w:rsidP="00F646B3">
      <w:pPr>
        <w:pStyle w:val="Textonotapie"/>
        <w:spacing w:before="40" w:after="40"/>
      </w:pPr>
      <w:r>
        <w:rPr>
          <w:rStyle w:val="Refdenotaalpie"/>
        </w:rPr>
        <w:footnoteRef/>
      </w:r>
      <w:r>
        <w:t xml:space="preserve"> </w:t>
      </w:r>
      <w:r>
        <w:tab/>
      </w:r>
      <w:r w:rsidRPr="00821853">
        <w:rPr>
          <w:i/>
        </w:rPr>
        <w:t>Cfr.</w:t>
      </w:r>
      <w:r>
        <w:t xml:space="preserve"> </w:t>
      </w:r>
      <w:r w:rsidRPr="00821853">
        <w:t>Recurso Extraordinario de Nulidad de 6 de julio de 2000</w:t>
      </w:r>
      <w:r>
        <w:t xml:space="preserve"> </w:t>
      </w:r>
      <w:r w:rsidRPr="00DE0460">
        <w:rPr>
          <w:szCs w:val="16"/>
        </w:rPr>
        <w:t xml:space="preserve">(expediente de fondo, folios </w:t>
      </w:r>
      <w:r>
        <w:rPr>
          <w:szCs w:val="16"/>
        </w:rPr>
        <w:t>222</w:t>
      </w:r>
      <w:r w:rsidRPr="00DE0460">
        <w:rPr>
          <w:szCs w:val="16"/>
        </w:rPr>
        <w:t>-</w:t>
      </w:r>
      <w:r>
        <w:rPr>
          <w:szCs w:val="16"/>
        </w:rPr>
        <w:t>286</w:t>
      </w:r>
      <w:r w:rsidRPr="00DE0460">
        <w:rPr>
          <w:szCs w:val="16"/>
        </w:rPr>
        <w:t>)</w:t>
      </w:r>
      <w:r w:rsidRPr="00821853">
        <w:t>.</w:t>
      </w:r>
    </w:p>
  </w:footnote>
  <w:footnote w:id="51">
    <w:p w14:paraId="75F92A31" w14:textId="3B298BFC" w:rsidR="009B2823" w:rsidRPr="009C15B0" w:rsidRDefault="009B2823" w:rsidP="00F646B3">
      <w:pPr>
        <w:pStyle w:val="Textonotapie"/>
        <w:spacing w:before="40" w:after="40"/>
        <w:rPr>
          <w:i/>
          <w:szCs w:val="16"/>
          <w:lang w:val="es-CR"/>
        </w:rPr>
      </w:pPr>
      <w:r w:rsidRPr="009C15B0">
        <w:rPr>
          <w:rStyle w:val="Refdenotaalpie"/>
          <w:szCs w:val="16"/>
          <w:lang w:val="es-CR"/>
        </w:rPr>
        <w:footnoteRef/>
      </w:r>
      <w:r w:rsidRPr="009C15B0">
        <w:rPr>
          <w:szCs w:val="16"/>
          <w:lang w:val="es-CR"/>
        </w:rPr>
        <w:t xml:space="preserve"> </w:t>
      </w:r>
      <w:r w:rsidRPr="009C15B0">
        <w:rPr>
          <w:szCs w:val="16"/>
          <w:lang w:val="es-CR"/>
        </w:rPr>
        <w:tab/>
      </w:r>
      <w:r w:rsidRPr="009C15B0">
        <w:rPr>
          <w:i/>
          <w:szCs w:val="16"/>
          <w:lang w:val="es-CR"/>
        </w:rPr>
        <w:t>Caso Chaparro Álvarez y Lapo Íñiguez Vs. Ecuador. Excepción Preliminar, Fondo, Reparaciones y Costas</w:t>
      </w:r>
      <w:r w:rsidRPr="009C15B0">
        <w:rPr>
          <w:szCs w:val="16"/>
          <w:lang w:val="es-CR"/>
        </w:rPr>
        <w:t>. Sentencia de 21 de noviembre de 2007. Serie C No. 170, párr. 107, y</w:t>
      </w:r>
      <w:r w:rsidRPr="009C15B0">
        <w:rPr>
          <w:i/>
          <w:szCs w:val="16"/>
          <w:lang w:val="es-CR"/>
        </w:rPr>
        <w:t xml:space="preserve"> </w:t>
      </w:r>
      <w:r w:rsidRPr="00E148D2">
        <w:rPr>
          <w:i/>
          <w:szCs w:val="16"/>
          <w:lang w:val="es-CR"/>
        </w:rPr>
        <w:t>Caso Amrhein y otros Vs. Costa Rica</w:t>
      </w:r>
      <w:r w:rsidRPr="009C15B0">
        <w:rPr>
          <w:i/>
          <w:szCs w:val="16"/>
          <w:lang w:val="es-CR"/>
        </w:rPr>
        <w:t xml:space="preserve">, </w:t>
      </w:r>
      <w:r w:rsidRPr="009C15B0">
        <w:rPr>
          <w:szCs w:val="16"/>
          <w:lang w:val="es-CR"/>
        </w:rPr>
        <w:t xml:space="preserve">párr. </w:t>
      </w:r>
      <w:r>
        <w:rPr>
          <w:szCs w:val="16"/>
          <w:lang w:val="es-CR"/>
        </w:rPr>
        <w:t xml:space="preserve">268, y </w:t>
      </w:r>
      <w:r w:rsidRPr="00E148D2">
        <w:rPr>
          <w:i/>
          <w:szCs w:val="16"/>
          <w:lang w:val="es-CR"/>
        </w:rPr>
        <w:t>Ca</w:t>
      </w:r>
      <w:r w:rsidRPr="003E7373">
        <w:rPr>
          <w:i/>
          <w:szCs w:val="16"/>
          <w:lang w:val="es-CR"/>
        </w:rPr>
        <w:t>so V.R.P., V.P.C. y otros Vs. Nicaragua</w:t>
      </w:r>
      <w:r>
        <w:rPr>
          <w:szCs w:val="16"/>
          <w:lang w:val="es-CR"/>
        </w:rPr>
        <w:t>, párr. 254.</w:t>
      </w:r>
    </w:p>
  </w:footnote>
  <w:footnote w:id="52">
    <w:p w14:paraId="6665F9D2" w14:textId="77F21CDE" w:rsidR="009B2823" w:rsidRPr="009C15B0" w:rsidRDefault="009B2823" w:rsidP="00F646B3">
      <w:pPr>
        <w:pStyle w:val="Textonotapie"/>
        <w:spacing w:before="40" w:after="40"/>
        <w:rPr>
          <w:b/>
          <w:szCs w:val="16"/>
          <w:lang w:val="es-CR"/>
        </w:rPr>
      </w:pPr>
      <w:r w:rsidRPr="009C15B0">
        <w:rPr>
          <w:rStyle w:val="Refdenotaalpie"/>
          <w:szCs w:val="16"/>
          <w:lang w:val="es-CR"/>
        </w:rPr>
        <w:footnoteRef/>
      </w:r>
      <w:r w:rsidRPr="009C15B0">
        <w:rPr>
          <w:szCs w:val="16"/>
          <w:lang w:val="es-CR"/>
        </w:rPr>
        <w:t xml:space="preserve"> </w:t>
      </w:r>
      <w:r w:rsidRPr="009C15B0">
        <w:rPr>
          <w:szCs w:val="16"/>
          <w:lang w:val="es-CR"/>
        </w:rPr>
        <w:tab/>
      </w:r>
      <w:r w:rsidRPr="009C15B0">
        <w:rPr>
          <w:rFonts w:cs="Courier New"/>
          <w:i/>
          <w:szCs w:val="16"/>
          <w:lang w:val="es-CR"/>
        </w:rPr>
        <w:t xml:space="preserve">Caso Chaparro Álvarez y Lapo Íñiguez Vs. Ecuador, </w:t>
      </w:r>
      <w:r w:rsidRPr="009C15B0">
        <w:rPr>
          <w:szCs w:val="16"/>
          <w:lang w:val="es-CR"/>
        </w:rPr>
        <w:t xml:space="preserve">párr. 118, y </w:t>
      </w:r>
      <w:r w:rsidRPr="00E3539A">
        <w:rPr>
          <w:rStyle w:val="Textoennegrita"/>
          <w:b w:val="0"/>
          <w:i/>
          <w:szCs w:val="16"/>
          <w:lang w:val="es-CR"/>
        </w:rPr>
        <w:t xml:space="preserve">Caso Zegarra Marín Vs. Perú, </w:t>
      </w:r>
      <w:r w:rsidRPr="00E3539A">
        <w:rPr>
          <w:rStyle w:val="Textoennegrita"/>
          <w:b w:val="0"/>
          <w:szCs w:val="16"/>
          <w:lang w:val="es-CR"/>
        </w:rPr>
        <w:t>párrs. 147 y 155</w:t>
      </w:r>
      <w:r>
        <w:rPr>
          <w:rStyle w:val="Textoennegrita"/>
          <w:b w:val="0"/>
          <w:szCs w:val="16"/>
          <w:lang w:val="es-CR"/>
        </w:rPr>
        <w:t>, y</w:t>
      </w:r>
      <w:r w:rsidRPr="00E3539A">
        <w:rPr>
          <w:rStyle w:val="Textoennegrita"/>
          <w:b w:val="0"/>
          <w:szCs w:val="16"/>
          <w:lang w:val="es-CR"/>
        </w:rPr>
        <w:t xml:space="preserve"> </w:t>
      </w:r>
      <w:r w:rsidRPr="003E7373">
        <w:rPr>
          <w:i/>
          <w:szCs w:val="16"/>
          <w:lang w:val="es-CR"/>
        </w:rPr>
        <w:t>Caso V.R.P., V.P.C. y otros Vs. Nicaragua</w:t>
      </w:r>
      <w:r>
        <w:rPr>
          <w:szCs w:val="16"/>
          <w:lang w:val="es-CR"/>
        </w:rPr>
        <w:t xml:space="preserve">, párr. </w:t>
      </w:r>
      <w:r w:rsidRPr="00E3539A">
        <w:rPr>
          <w:rStyle w:val="Textoennegrita"/>
          <w:b w:val="0"/>
          <w:szCs w:val="16"/>
          <w:lang w:val="es-CR"/>
        </w:rPr>
        <w:t>255.</w:t>
      </w:r>
    </w:p>
  </w:footnote>
  <w:footnote w:id="53">
    <w:p w14:paraId="712DC986" w14:textId="53627086" w:rsidR="009B2823" w:rsidRPr="009C15B0" w:rsidRDefault="009B2823" w:rsidP="00F646B3">
      <w:pPr>
        <w:pStyle w:val="Textonotapie"/>
        <w:spacing w:before="40" w:after="40"/>
        <w:rPr>
          <w:szCs w:val="16"/>
          <w:lang w:val="es-CR"/>
        </w:rPr>
      </w:pPr>
      <w:r w:rsidRPr="009C15B0">
        <w:rPr>
          <w:rStyle w:val="Refdenotaalpie"/>
          <w:szCs w:val="16"/>
          <w:lang w:val="es-CR"/>
        </w:rPr>
        <w:footnoteRef/>
      </w:r>
      <w:r w:rsidRPr="009C15B0">
        <w:rPr>
          <w:szCs w:val="16"/>
          <w:lang w:val="es-CR"/>
        </w:rPr>
        <w:t xml:space="preserve"> </w:t>
      </w:r>
      <w:r w:rsidRPr="009C15B0">
        <w:rPr>
          <w:szCs w:val="16"/>
          <w:lang w:val="es-CR"/>
        </w:rPr>
        <w:tab/>
      </w:r>
      <w:r w:rsidRPr="009C15B0">
        <w:rPr>
          <w:rFonts w:eastAsiaTheme="minorHAnsi" w:cstheme="minorBidi"/>
          <w:i/>
          <w:szCs w:val="16"/>
          <w:lang w:val="es-CR"/>
        </w:rPr>
        <w:t xml:space="preserve">Cfr. Caso Apitz Barbera y otros (“Corte Primera de lo Contencioso Administrativo”) Vs. Venezuela, </w:t>
      </w:r>
      <w:r w:rsidRPr="009C15B0">
        <w:rPr>
          <w:rFonts w:eastAsiaTheme="minorHAnsi" w:cstheme="minorBidi"/>
          <w:szCs w:val="16"/>
          <w:lang w:val="es-CR"/>
        </w:rPr>
        <w:t xml:space="preserve">párr. 90, </w:t>
      </w:r>
      <w:r>
        <w:rPr>
          <w:szCs w:val="16"/>
          <w:lang w:val="es-CR"/>
        </w:rPr>
        <w:t xml:space="preserve">y </w:t>
      </w:r>
      <w:r w:rsidRPr="003E7373">
        <w:rPr>
          <w:i/>
          <w:szCs w:val="16"/>
          <w:lang w:val="es-CR"/>
        </w:rPr>
        <w:t>Caso V.R.P., V.P.C. y otros Vs. Nicaragua</w:t>
      </w:r>
      <w:r>
        <w:rPr>
          <w:szCs w:val="16"/>
          <w:lang w:val="es-CR"/>
        </w:rPr>
        <w:t>, párr. 255.</w:t>
      </w:r>
    </w:p>
  </w:footnote>
  <w:footnote w:id="54">
    <w:p w14:paraId="4047D4CF" w14:textId="036566A8" w:rsidR="009B2823" w:rsidRPr="00C0319D" w:rsidRDefault="009B2823" w:rsidP="00F646B3">
      <w:pPr>
        <w:pStyle w:val="Textonotapie"/>
        <w:spacing w:before="40" w:after="40"/>
        <w:rPr>
          <w:lang w:val="es-CR"/>
        </w:rPr>
      </w:pPr>
      <w:r>
        <w:rPr>
          <w:rStyle w:val="Refdenotaalpie"/>
        </w:rPr>
        <w:footnoteRef/>
      </w:r>
      <w:r w:rsidRPr="00C0319D">
        <w:rPr>
          <w:lang w:val="es-CR"/>
        </w:rPr>
        <w:t xml:space="preserve"> </w:t>
      </w:r>
      <w:r w:rsidRPr="00C0319D">
        <w:rPr>
          <w:lang w:val="es-CR"/>
        </w:rPr>
        <w:tab/>
      </w:r>
      <w:r w:rsidRPr="009C15B0">
        <w:rPr>
          <w:rFonts w:eastAsiaTheme="minorHAnsi" w:cstheme="minorBidi"/>
          <w:i/>
          <w:szCs w:val="16"/>
          <w:lang w:val="es-CR"/>
        </w:rPr>
        <w:t xml:space="preserve">Cfr. </w:t>
      </w:r>
      <w:r w:rsidRPr="003E7373">
        <w:rPr>
          <w:i/>
          <w:lang w:val="es-CR"/>
        </w:rPr>
        <w:t>Caso V.R.P., V.P.C. y otros Vs. Nicaragua</w:t>
      </w:r>
      <w:r>
        <w:rPr>
          <w:lang w:val="es-CR"/>
        </w:rPr>
        <w:t xml:space="preserve">, párr. </w:t>
      </w:r>
      <w:r w:rsidRPr="00C0319D">
        <w:rPr>
          <w:lang w:val="es-CR"/>
        </w:rPr>
        <w:t>258.</w:t>
      </w:r>
    </w:p>
  </w:footnote>
  <w:footnote w:id="55">
    <w:p w14:paraId="51364258" w14:textId="2B61C615" w:rsidR="009B2823" w:rsidRPr="00CB394D" w:rsidRDefault="009B2823" w:rsidP="00F646B3">
      <w:pPr>
        <w:pStyle w:val="Textonotapie"/>
        <w:spacing w:before="40" w:after="40"/>
      </w:pPr>
      <w:r>
        <w:rPr>
          <w:rStyle w:val="Refdenotaalpie"/>
        </w:rPr>
        <w:footnoteRef/>
      </w:r>
      <w:r>
        <w:t xml:space="preserve"> </w:t>
      </w:r>
      <w:r>
        <w:tab/>
      </w:r>
      <w:r w:rsidRPr="009C15B0">
        <w:rPr>
          <w:rFonts w:eastAsiaTheme="minorHAnsi" w:cstheme="minorBidi"/>
          <w:i/>
          <w:szCs w:val="16"/>
          <w:lang w:val="es-CR"/>
        </w:rPr>
        <w:t xml:space="preserve">Cfr. </w:t>
      </w:r>
      <w:r w:rsidRPr="003E7373">
        <w:rPr>
          <w:i/>
          <w:szCs w:val="16"/>
          <w:lang w:val="es-CR"/>
        </w:rPr>
        <w:t>Caso V.R.P., V.P.C. y otros Vs. Nicaragua</w:t>
      </w:r>
      <w:r>
        <w:rPr>
          <w:lang w:val="es-CR"/>
        </w:rPr>
        <w:t xml:space="preserve">, párrs. 259 y </w:t>
      </w:r>
      <w:r w:rsidRPr="00C0319D">
        <w:rPr>
          <w:lang w:val="es-CR"/>
        </w:rPr>
        <w:t>2</w:t>
      </w:r>
      <w:r>
        <w:rPr>
          <w:lang w:val="es-CR"/>
        </w:rPr>
        <w:t>62.</w:t>
      </w:r>
    </w:p>
  </w:footnote>
  <w:footnote w:id="56">
    <w:p w14:paraId="55090FE1" w14:textId="01C978D8" w:rsidR="009B2823" w:rsidRPr="00057A1C" w:rsidRDefault="009B2823" w:rsidP="00F646B3">
      <w:pPr>
        <w:pStyle w:val="Textonotapie"/>
        <w:spacing w:before="40" w:after="40"/>
      </w:pPr>
      <w:r>
        <w:rPr>
          <w:rStyle w:val="Refdenotaalpie"/>
        </w:rPr>
        <w:footnoteRef/>
      </w:r>
      <w:r>
        <w:t xml:space="preserve"> </w:t>
      </w:r>
      <w:r>
        <w:tab/>
      </w:r>
      <w:r w:rsidRPr="00057A1C">
        <w:rPr>
          <w:i/>
        </w:rPr>
        <w:t>Cfr.</w:t>
      </w:r>
      <w:r>
        <w:t xml:space="preserve"> Votación Jurado de Enjuiciamiento de 15 de junio de 2000 (expediente de prueba, folios 8 a 173). </w:t>
      </w:r>
    </w:p>
  </w:footnote>
  <w:footnote w:id="57">
    <w:p w14:paraId="3D66EBA4" w14:textId="14F7CEE9" w:rsidR="009B2823" w:rsidRPr="00C340E0" w:rsidRDefault="009B2823" w:rsidP="00F646B3">
      <w:pPr>
        <w:pStyle w:val="Textonotapie"/>
        <w:spacing w:before="40" w:after="40"/>
        <w:rPr>
          <w:lang w:val="es-CR"/>
        </w:rPr>
      </w:pPr>
      <w:r>
        <w:rPr>
          <w:rStyle w:val="Refdenotaalpie"/>
        </w:rPr>
        <w:footnoteRef/>
      </w:r>
      <w:r>
        <w:t xml:space="preserve"> </w:t>
      </w:r>
      <w:r>
        <w:rPr>
          <w:lang w:val="es-CR"/>
        </w:rPr>
        <w:tab/>
      </w:r>
      <w:r w:rsidRPr="00C340E0">
        <w:rPr>
          <w:i/>
          <w:lang w:val="es-CR"/>
        </w:rPr>
        <w:t>Cfr.</w:t>
      </w:r>
      <w:r>
        <w:rPr>
          <w:lang w:val="es-CR"/>
        </w:rPr>
        <w:t xml:space="preserve"> </w:t>
      </w:r>
      <w:r w:rsidRPr="00C340E0">
        <w:rPr>
          <w:lang w:val="es-CR"/>
        </w:rPr>
        <w:t>Sentencia Jurado de Enjuiciamiento de 15 de junio de 2000</w:t>
      </w:r>
      <w:r>
        <w:rPr>
          <w:lang w:val="es-CR"/>
        </w:rPr>
        <w:t xml:space="preserve"> (expediente de prueba, folios 175 y 176) </w:t>
      </w:r>
    </w:p>
  </w:footnote>
  <w:footnote w:id="58">
    <w:p w14:paraId="3106D3D7" w14:textId="3D9CD863" w:rsidR="009B2823" w:rsidRPr="001E6EA9" w:rsidRDefault="009B2823" w:rsidP="00F646B3">
      <w:pPr>
        <w:pStyle w:val="Textonotapie"/>
        <w:spacing w:before="40" w:after="40"/>
      </w:pPr>
      <w:r w:rsidRPr="00825EA0">
        <w:rPr>
          <w:rStyle w:val="Refdenotaalpie"/>
        </w:rPr>
        <w:footnoteRef/>
      </w:r>
      <w:r w:rsidRPr="00825EA0">
        <w:t xml:space="preserve"> </w:t>
      </w:r>
      <w:r w:rsidRPr="00825EA0">
        <w:tab/>
        <w:t>Decisión de 1 de junio de 2000 del Jurado de Enjuiciamiento de Magistrados y Funcionarios d</w:t>
      </w:r>
      <w:r>
        <w:t xml:space="preserve">e la Provincia de Buenos Aires </w:t>
      </w:r>
      <w:r w:rsidRPr="00825EA0">
        <w:t>(expediente de prueba, folio 6).</w:t>
      </w:r>
    </w:p>
  </w:footnote>
  <w:footnote w:id="59">
    <w:p w14:paraId="159EB193" w14:textId="5F3FF6B6" w:rsidR="009B2823" w:rsidRPr="00146232" w:rsidRDefault="009B2823" w:rsidP="00F646B3">
      <w:pPr>
        <w:pStyle w:val="Sinespaciado"/>
        <w:spacing w:before="40" w:after="40"/>
        <w:jc w:val="both"/>
        <w:rPr>
          <w:rFonts w:ascii="Verdana" w:hAnsi="Verdana" w:cstheme="minorHAnsi"/>
          <w:iCs/>
          <w:sz w:val="16"/>
          <w:szCs w:val="16"/>
        </w:rPr>
      </w:pPr>
      <w:r w:rsidRPr="00146232">
        <w:rPr>
          <w:rStyle w:val="Refdenotaalpie"/>
          <w:rFonts w:ascii="Verdana" w:hAnsi="Verdana"/>
          <w:sz w:val="16"/>
          <w:szCs w:val="16"/>
        </w:rPr>
        <w:footnoteRef/>
      </w:r>
      <w:r w:rsidRPr="00146232">
        <w:rPr>
          <w:rFonts w:ascii="Verdana" w:hAnsi="Verdana"/>
          <w:bCs/>
          <w:i/>
          <w:sz w:val="16"/>
          <w:szCs w:val="16"/>
        </w:rPr>
        <w:tab/>
        <w:t>Cfr. Caso Velásquez Rodríguez Vs. Hon</w:t>
      </w:r>
      <w:r>
        <w:rPr>
          <w:rFonts w:ascii="Verdana" w:hAnsi="Verdana"/>
          <w:bCs/>
          <w:i/>
          <w:sz w:val="16"/>
          <w:szCs w:val="16"/>
        </w:rPr>
        <w:t>duras. Excepciones Preliminares</w:t>
      </w:r>
      <w:r w:rsidRPr="00146232">
        <w:rPr>
          <w:rFonts w:ascii="Verdana" w:hAnsi="Verdana"/>
          <w:bCs/>
          <w:sz w:val="16"/>
          <w:szCs w:val="16"/>
        </w:rPr>
        <w:t>, párr. 91, y</w:t>
      </w:r>
      <w:r w:rsidRPr="00146232">
        <w:rPr>
          <w:rFonts w:ascii="Verdana" w:hAnsi="Verdana"/>
          <w:bCs/>
          <w:i/>
          <w:sz w:val="16"/>
          <w:szCs w:val="16"/>
        </w:rPr>
        <w:t xml:space="preserve"> </w:t>
      </w:r>
      <w:r w:rsidRPr="005F2A93">
        <w:rPr>
          <w:rStyle w:val="Textoennegrita"/>
          <w:rFonts w:ascii="Verdana" w:hAnsi="Verdana"/>
          <w:b w:val="0"/>
          <w:i/>
          <w:color w:val="000000"/>
          <w:sz w:val="16"/>
          <w:szCs w:val="16"/>
        </w:rPr>
        <w:t>Caso Colindres Schonenberg Vs. El Salvador</w:t>
      </w:r>
      <w:r w:rsidRPr="00FB26F7">
        <w:rPr>
          <w:rStyle w:val="Textoennegrita"/>
          <w:rFonts w:ascii="Verdana" w:hAnsi="Verdana"/>
          <w:b w:val="0"/>
          <w:color w:val="000000"/>
          <w:sz w:val="16"/>
          <w:szCs w:val="16"/>
        </w:rPr>
        <w:t xml:space="preserve">, párr. </w:t>
      </w:r>
      <w:r>
        <w:rPr>
          <w:rStyle w:val="Textoennegrita"/>
          <w:rFonts w:ascii="Verdana" w:hAnsi="Verdana"/>
          <w:b w:val="0"/>
          <w:color w:val="000000"/>
          <w:sz w:val="16"/>
          <w:szCs w:val="16"/>
        </w:rPr>
        <w:t>101</w:t>
      </w:r>
      <w:r w:rsidRPr="00FB26F7">
        <w:rPr>
          <w:rStyle w:val="Textoennegrita"/>
          <w:rFonts w:ascii="Verdana" w:hAnsi="Verdana"/>
          <w:b w:val="0"/>
          <w:color w:val="000000"/>
          <w:sz w:val="16"/>
          <w:szCs w:val="16"/>
        </w:rPr>
        <w:t>.</w:t>
      </w:r>
    </w:p>
  </w:footnote>
  <w:footnote w:id="60">
    <w:p w14:paraId="3CC0F344" w14:textId="33E889DF" w:rsidR="009B2823" w:rsidRPr="00146232" w:rsidRDefault="009B2823" w:rsidP="00F646B3">
      <w:pPr>
        <w:pStyle w:val="Textonotapie"/>
        <w:tabs>
          <w:tab w:val="left" w:pos="709"/>
        </w:tabs>
        <w:spacing w:before="40" w:after="40"/>
        <w:rPr>
          <w:szCs w:val="16"/>
          <w:lang w:val="es-CR"/>
        </w:rPr>
      </w:pPr>
      <w:r w:rsidRPr="00146232">
        <w:rPr>
          <w:rStyle w:val="Refdenotaalpie"/>
          <w:szCs w:val="16"/>
        </w:rPr>
        <w:footnoteRef/>
      </w:r>
      <w:r w:rsidRPr="00146232">
        <w:rPr>
          <w:szCs w:val="16"/>
          <w:lang w:val="es-CR"/>
        </w:rPr>
        <w:tab/>
      </w:r>
      <w:r w:rsidRPr="00146232">
        <w:rPr>
          <w:i/>
          <w:szCs w:val="16"/>
          <w:lang w:val="es-CR"/>
        </w:rPr>
        <w:t xml:space="preserve">Cfr. </w:t>
      </w:r>
      <w:r w:rsidRPr="00C21DAC">
        <w:rPr>
          <w:rStyle w:val="Textoennegrita"/>
          <w:b w:val="0"/>
          <w:i/>
          <w:color w:val="000000"/>
          <w:szCs w:val="16"/>
        </w:rPr>
        <w:t>Opinión Consultiva OC-9/87</w:t>
      </w:r>
      <w:r w:rsidRPr="00FB26F7">
        <w:rPr>
          <w:rStyle w:val="Textoennegrita"/>
          <w:b w:val="0"/>
          <w:color w:val="000000"/>
          <w:szCs w:val="16"/>
        </w:rPr>
        <w:t>, párr. 24</w:t>
      </w:r>
      <w:r w:rsidRPr="0034406B">
        <w:rPr>
          <w:bCs/>
          <w:szCs w:val="16"/>
          <w:lang w:val="es-CR"/>
        </w:rPr>
        <w:t xml:space="preserve">, </w:t>
      </w:r>
      <w:r w:rsidRPr="00146232">
        <w:rPr>
          <w:bCs/>
          <w:i/>
          <w:szCs w:val="16"/>
          <w:lang w:val="es-CR"/>
        </w:rPr>
        <w:t>Caso Velásquez Rodríguez Vs. Honduras. Fondo</w:t>
      </w:r>
      <w:r w:rsidRPr="00146232">
        <w:rPr>
          <w:bCs/>
          <w:szCs w:val="16"/>
          <w:lang w:val="es-CR"/>
        </w:rPr>
        <w:t xml:space="preserve">, párr. 67, </w:t>
      </w:r>
      <w:r w:rsidRPr="0034406B">
        <w:rPr>
          <w:bCs/>
          <w:szCs w:val="16"/>
          <w:lang w:val="es-CR"/>
        </w:rPr>
        <w:t>y</w:t>
      </w:r>
      <w:r w:rsidRPr="00FB26F7">
        <w:rPr>
          <w:b/>
          <w:bCs/>
          <w:szCs w:val="16"/>
          <w:lang w:val="es-CR"/>
        </w:rPr>
        <w:t xml:space="preserve"> </w:t>
      </w:r>
      <w:r w:rsidRPr="00FB26F7">
        <w:rPr>
          <w:rStyle w:val="Textoennegrita"/>
          <w:b w:val="0"/>
          <w:i/>
          <w:color w:val="000000"/>
          <w:szCs w:val="16"/>
          <w:lang w:val="es-CR"/>
        </w:rPr>
        <w:t>Caso Cuscu</w:t>
      </w:r>
      <w:r>
        <w:rPr>
          <w:rStyle w:val="Textoennegrita"/>
          <w:b w:val="0"/>
          <w:i/>
          <w:color w:val="000000"/>
          <w:szCs w:val="16"/>
          <w:lang w:val="es-CR"/>
        </w:rPr>
        <w:t>l Pivaral y otros Vs. Guatemala</w:t>
      </w:r>
      <w:r w:rsidRPr="00FB26F7">
        <w:rPr>
          <w:rStyle w:val="Textoennegrita"/>
          <w:b w:val="0"/>
          <w:color w:val="000000"/>
          <w:szCs w:val="16"/>
          <w:lang w:val="es-CR"/>
        </w:rPr>
        <w:t>, párr. 169.</w:t>
      </w:r>
    </w:p>
  </w:footnote>
  <w:footnote w:id="61">
    <w:p w14:paraId="532672D0" w14:textId="69586D1E" w:rsidR="009B2823" w:rsidRPr="007A447E" w:rsidRDefault="009B2823" w:rsidP="00F646B3">
      <w:pPr>
        <w:pStyle w:val="Textonotapie"/>
        <w:spacing w:before="40" w:after="40"/>
      </w:pPr>
      <w:r>
        <w:rPr>
          <w:rStyle w:val="Refdenotaalpie"/>
        </w:rPr>
        <w:footnoteRef/>
      </w:r>
      <w:r>
        <w:t xml:space="preserve"> </w:t>
      </w:r>
      <w:r>
        <w:tab/>
        <w:t>Decisión de la CSJN de 28 de agosto de 2001 (expediente de prueba, folio 442).</w:t>
      </w:r>
    </w:p>
  </w:footnote>
  <w:footnote w:id="62">
    <w:p w14:paraId="6335063B" w14:textId="5228A224" w:rsidR="009B2823" w:rsidRPr="00E10BEF" w:rsidRDefault="009B2823" w:rsidP="00F646B3">
      <w:pPr>
        <w:pStyle w:val="Textonotapie"/>
        <w:spacing w:before="40" w:after="40"/>
        <w:rPr>
          <w:lang w:val="es-CR"/>
        </w:rPr>
      </w:pPr>
      <w:r>
        <w:rPr>
          <w:rStyle w:val="Refdenotaalpie"/>
        </w:rPr>
        <w:footnoteRef/>
      </w:r>
      <w:r>
        <w:t xml:space="preserve"> </w:t>
      </w:r>
      <w:r>
        <w:rPr>
          <w:lang w:val="es-CR"/>
        </w:rPr>
        <w:tab/>
      </w:r>
      <w:r w:rsidRPr="00C23436">
        <w:rPr>
          <w:i/>
          <w:lang w:val="es-CR"/>
        </w:rPr>
        <w:t>Cfr.</w:t>
      </w:r>
      <w:r>
        <w:rPr>
          <w:lang w:val="es-CR"/>
        </w:rPr>
        <w:t xml:space="preserve"> </w:t>
      </w:r>
      <w:r w:rsidRPr="00C23436">
        <w:rPr>
          <w:i/>
          <w:lang w:val="es-CR"/>
        </w:rPr>
        <w:t>Caso Maldonado Ordóñez Vs. Guatemala. Excepción Preliminar, Fondo, Reparaciones y Costas</w:t>
      </w:r>
      <w:r w:rsidRPr="00C23436">
        <w:rPr>
          <w:lang w:val="es-CR"/>
        </w:rPr>
        <w:t>. Sentencia de 3 de mayo de 2016. Serie C No. 311</w:t>
      </w:r>
      <w:r>
        <w:rPr>
          <w:lang w:val="es-CR"/>
        </w:rPr>
        <w:t xml:space="preserve">, párr. 89, y </w:t>
      </w:r>
      <w:r w:rsidRPr="00594F92">
        <w:rPr>
          <w:i/>
          <w:lang w:val="es-CR"/>
        </w:rPr>
        <w:t>Caso Flor Freire Vs. Ecuador. Excepción Preliminar, Fondo, Reparaciones y Costas.</w:t>
      </w:r>
      <w:r w:rsidRPr="00594F92">
        <w:rPr>
          <w:lang w:val="es-CR"/>
        </w:rPr>
        <w:t xml:space="preserve"> Sentencia de 31 de agosto de 2016. Se</w:t>
      </w:r>
      <w:r>
        <w:rPr>
          <w:lang w:val="es-CR"/>
        </w:rPr>
        <w:t>rie C No. 315, párr. 146.</w:t>
      </w:r>
    </w:p>
  </w:footnote>
  <w:footnote w:id="63">
    <w:p w14:paraId="6711FC0C" w14:textId="7E26575D" w:rsidR="009B2823" w:rsidRPr="00E10BEF" w:rsidRDefault="009B2823" w:rsidP="00F646B3">
      <w:pPr>
        <w:pStyle w:val="Textonotapie"/>
        <w:spacing w:before="40" w:after="40"/>
        <w:rPr>
          <w:lang w:val="es-CR"/>
        </w:rPr>
      </w:pPr>
      <w:r>
        <w:rPr>
          <w:rStyle w:val="Refdenotaalpie"/>
        </w:rPr>
        <w:footnoteRef/>
      </w:r>
      <w:r>
        <w:t xml:space="preserve"> </w:t>
      </w:r>
      <w:r>
        <w:rPr>
          <w:lang w:val="es-CR"/>
        </w:rPr>
        <w:tab/>
      </w:r>
      <w:r w:rsidRPr="00C23436">
        <w:rPr>
          <w:i/>
          <w:lang w:val="es-CR"/>
        </w:rPr>
        <w:t xml:space="preserve">Cfr. </w:t>
      </w:r>
      <w:r w:rsidR="00C22A50" w:rsidRPr="00C22A50">
        <w:rPr>
          <w:i/>
          <w:lang w:val="es-CR"/>
        </w:rPr>
        <w:t xml:space="preserve">Caso López Mendoza Vs. Venezuela. Fondo, Reparaciones y Costas. </w:t>
      </w:r>
      <w:r w:rsidR="00C22A50" w:rsidRPr="00C22A50">
        <w:rPr>
          <w:lang w:val="es-CR"/>
        </w:rPr>
        <w:t>Sentencia de 1 de septiembre de 2011. Serie C No. 233</w:t>
      </w:r>
      <w:r>
        <w:rPr>
          <w:lang w:val="es-CR"/>
        </w:rPr>
        <w:t>, párr. 202.</w:t>
      </w:r>
    </w:p>
  </w:footnote>
  <w:footnote w:id="64">
    <w:p w14:paraId="5767E606" w14:textId="514A1127" w:rsidR="009B2823" w:rsidRPr="00E4556C" w:rsidRDefault="009B2823" w:rsidP="00F646B3">
      <w:pPr>
        <w:pStyle w:val="Textonotapie"/>
        <w:spacing w:before="40" w:after="40"/>
        <w:rPr>
          <w:lang w:val="es-CR"/>
        </w:rPr>
      </w:pPr>
      <w:r>
        <w:rPr>
          <w:rStyle w:val="Refdenotaalpie"/>
        </w:rPr>
        <w:footnoteRef/>
      </w:r>
      <w:r>
        <w:t xml:space="preserve"> </w:t>
      </w:r>
      <w:r>
        <w:rPr>
          <w:lang w:val="es-CR"/>
        </w:rPr>
        <w:tab/>
      </w:r>
      <w:r w:rsidRPr="00687A8A">
        <w:rPr>
          <w:i/>
          <w:lang w:val="es-CR"/>
        </w:rPr>
        <w:t>Cfr.</w:t>
      </w:r>
      <w:r>
        <w:rPr>
          <w:lang w:val="es-CR"/>
        </w:rPr>
        <w:t xml:space="preserve"> </w:t>
      </w:r>
      <w:r w:rsidRPr="00687A8A">
        <w:rPr>
          <w:lang w:val="es-CR"/>
        </w:rPr>
        <w:t>Votación del Jurado de Enjuiciamiento de 15 de junio de 2000</w:t>
      </w:r>
      <w:r>
        <w:rPr>
          <w:lang w:val="es-CR"/>
        </w:rPr>
        <w:t xml:space="preserve"> (expediente de prueba, folios 9 a 173).</w:t>
      </w:r>
    </w:p>
  </w:footnote>
  <w:footnote w:id="65">
    <w:p w14:paraId="3BA14D80" w14:textId="2180DDCF" w:rsidR="009B2823" w:rsidRPr="00687A8A" w:rsidRDefault="009B2823" w:rsidP="00F646B3">
      <w:pPr>
        <w:pStyle w:val="Textonotapie"/>
        <w:spacing w:before="40" w:after="40"/>
      </w:pPr>
      <w:r>
        <w:rPr>
          <w:rStyle w:val="Refdenotaalpie"/>
        </w:rPr>
        <w:footnoteRef/>
      </w:r>
      <w:r>
        <w:t xml:space="preserve"> </w:t>
      </w:r>
      <w:r>
        <w:tab/>
      </w:r>
      <w:r w:rsidRPr="00687A8A">
        <w:rPr>
          <w:i/>
          <w:lang w:val="es-CR"/>
        </w:rPr>
        <w:t>Cfr.</w:t>
      </w:r>
      <w:r>
        <w:rPr>
          <w:lang w:val="es-CR"/>
        </w:rPr>
        <w:t xml:space="preserve"> </w:t>
      </w:r>
      <w:r w:rsidRPr="00687A8A">
        <w:rPr>
          <w:lang w:val="es-CR"/>
        </w:rPr>
        <w:t>Votación del Jurado de Enjuiciamiento de 15 de junio de 2000</w:t>
      </w:r>
      <w:r>
        <w:rPr>
          <w:lang w:val="es-CR"/>
        </w:rPr>
        <w:t xml:space="preserve"> (expediente de prueba, folios 9 a 173).</w:t>
      </w:r>
    </w:p>
  </w:footnote>
  <w:footnote w:id="66">
    <w:p w14:paraId="7DDB56D8" w14:textId="67CA2377" w:rsidR="009B2823" w:rsidRPr="00687A8A" w:rsidRDefault="009B2823" w:rsidP="00F646B3">
      <w:pPr>
        <w:pStyle w:val="Textonotapie"/>
        <w:spacing w:before="40" w:after="40"/>
        <w:rPr>
          <w:lang w:val="es-CR"/>
        </w:rPr>
      </w:pPr>
      <w:r>
        <w:rPr>
          <w:rStyle w:val="Refdenotaalpie"/>
        </w:rPr>
        <w:footnoteRef/>
      </w:r>
      <w:r>
        <w:t xml:space="preserve"> </w:t>
      </w:r>
      <w:r>
        <w:rPr>
          <w:lang w:val="es-CR"/>
        </w:rPr>
        <w:tab/>
      </w:r>
      <w:r w:rsidRPr="00687A8A">
        <w:rPr>
          <w:i/>
          <w:lang w:val="es-CR"/>
        </w:rPr>
        <w:t>Cfr.</w:t>
      </w:r>
      <w:r>
        <w:rPr>
          <w:lang w:val="es-CR"/>
        </w:rPr>
        <w:t xml:space="preserve"> </w:t>
      </w:r>
      <w:r w:rsidRPr="00687A8A">
        <w:rPr>
          <w:lang w:val="es-CR"/>
        </w:rPr>
        <w:t>Votación del Jurado de Enjuiciamiento de 15 de junio de 2000</w:t>
      </w:r>
      <w:r>
        <w:rPr>
          <w:lang w:val="es-CR"/>
        </w:rPr>
        <w:t xml:space="preserve"> (expediente de prueba, folios 9 a 173).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71C5" w14:textId="308B3B80" w:rsidR="009B2823" w:rsidRPr="00C615EF" w:rsidRDefault="009B2823" w:rsidP="00C615EF">
    <w:pPr>
      <w:pStyle w:val="Encabezado"/>
      <w:jc w:val="right"/>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BA37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757E47"/>
    <w:multiLevelType w:val="hybridMultilevel"/>
    <w:tmpl w:val="D730EB0C"/>
    <w:lvl w:ilvl="0" w:tplc="CF325398">
      <w:start w:val="1"/>
      <w:numFmt w:val="decimal"/>
      <w:pStyle w:val="Titre1"/>
      <w:lvlText w:val="%1."/>
      <w:lvlJc w:val="left"/>
      <w:pPr>
        <w:tabs>
          <w:tab w:val="num" w:pos="720"/>
        </w:tabs>
        <w:ind w:firstLine="720"/>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77C654AA">
      <w:start w:val="1"/>
      <w:numFmt w:val="decimal"/>
      <w:lvlText w:val="%3."/>
      <w:lvlJc w:val="left"/>
      <w:pPr>
        <w:tabs>
          <w:tab w:val="num" w:pos="2340"/>
        </w:tabs>
        <w:ind w:left="2340" w:hanging="360"/>
      </w:pPr>
      <w:rPr>
        <w:rFonts w:hint="default"/>
        <w:b/>
        <w:i w:val="0"/>
        <w:sz w:val="22"/>
      </w:rPr>
    </w:lvl>
    <w:lvl w:ilvl="3" w:tplc="00170409">
      <w:start w:val="1"/>
      <w:numFmt w:val="lowerLetter"/>
      <w:lvlText w:val="%4)"/>
      <w:lvlJc w:val="left"/>
      <w:pPr>
        <w:tabs>
          <w:tab w:val="num" w:pos="2880"/>
        </w:tabs>
        <w:ind w:left="288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4A4102"/>
    <w:multiLevelType w:val="hybridMultilevel"/>
    <w:tmpl w:val="F1AAAABC"/>
    <w:lvl w:ilvl="0" w:tplc="595481BE">
      <w:start w:val="1"/>
      <w:numFmt w:val="lowerLetter"/>
      <w:lvlText w:val="%1)"/>
      <w:lvlJc w:val="left"/>
      <w:pPr>
        <w:ind w:left="927" w:hanging="360"/>
      </w:pPr>
      <w:rPr>
        <w:rFonts w:ascii="Verdana" w:hAnsi="Verdana" w:hint="default"/>
        <w:color w:val="FF0000"/>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80A1DDD"/>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D6A1A"/>
    <w:multiLevelType w:val="hybridMultilevel"/>
    <w:tmpl w:val="AC9A0106"/>
    <w:lvl w:ilvl="0" w:tplc="16D40AFE">
      <w:start w:val="1"/>
      <w:numFmt w:val="decimal"/>
      <w:lvlText w:val="%1."/>
      <w:lvlJc w:val="left"/>
      <w:pPr>
        <w:ind w:left="0" w:firstLine="0"/>
      </w:pPr>
      <w:rPr>
        <w:rFonts w:ascii="Verdana" w:hAnsi="Verdana" w:hint="default"/>
        <w:b w:val="0"/>
        <w:i w:val="0"/>
        <w:strike w:val="0"/>
        <w:color w:val="auto"/>
        <w:sz w:val="20"/>
        <w:szCs w:val="20"/>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5" w15:restartNumberingAfterBreak="0">
    <w:nsid w:val="136F2E83"/>
    <w:multiLevelType w:val="hybridMultilevel"/>
    <w:tmpl w:val="30467760"/>
    <w:lvl w:ilvl="0" w:tplc="FEAE2600">
      <w:start w:val="1"/>
      <w:numFmt w:val="decimal"/>
      <w:pStyle w:val="Estilo4"/>
      <w:lvlText w:val="%1."/>
      <w:lvlJc w:val="left"/>
      <w:pPr>
        <w:ind w:left="3763" w:hanging="360"/>
      </w:pPr>
      <w:rPr>
        <w:rFonts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6B71CA9"/>
    <w:multiLevelType w:val="hybridMultilevel"/>
    <w:tmpl w:val="AA421122"/>
    <w:lvl w:ilvl="0" w:tplc="140A0019">
      <w:start w:val="1"/>
      <w:numFmt w:val="lowerLetter"/>
      <w:lvlText w:val="%1."/>
      <w:lvlJc w:val="left"/>
      <w:pPr>
        <w:ind w:left="1004" w:hanging="360"/>
      </w:pPr>
    </w:lvl>
    <w:lvl w:ilvl="1" w:tplc="0C0A0019">
      <w:start w:val="1"/>
      <w:numFmt w:val="lowerLetter"/>
      <w:lvlText w:val="%2."/>
      <w:lvlJc w:val="left"/>
      <w:pPr>
        <w:ind w:left="1724" w:hanging="360"/>
      </w:pPr>
    </w:lvl>
    <w:lvl w:ilvl="2" w:tplc="A4945430">
      <w:start w:val="2"/>
      <w:numFmt w:val="lowerRoman"/>
      <w:lvlText w:val="%3."/>
      <w:lvlJc w:val="left"/>
      <w:pPr>
        <w:ind w:left="2984" w:hanging="720"/>
      </w:pPr>
      <w:rPr>
        <w:rFonts w:hint="default"/>
      </w:r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219B7FEC"/>
    <w:multiLevelType w:val="hybridMultilevel"/>
    <w:tmpl w:val="89CAB4AC"/>
    <w:lvl w:ilvl="0" w:tplc="DA684398">
      <w:start w:val="1"/>
      <w:numFmt w:val="upperLetter"/>
      <w:lvlText w:val="%1."/>
      <w:lvlJc w:val="left"/>
      <w:pPr>
        <w:ind w:left="90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25CAF"/>
    <w:multiLevelType w:val="hybridMultilevel"/>
    <w:tmpl w:val="388A8494"/>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C06275E"/>
    <w:multiLevelType w:val="hybridMultilevel"/>
    <w:tmpl w:val="F912DEE0"/>
    <w:lvl w:ilvl="0" w:tplc="C18A658A">
      <w:start w:val="1"/>
      <w:numFmt w:val="decimal"/>
      <w:lvlText w:val="%1."/>
      <w:lvlJc w:val="left"/>
      <w:pPr>
        <w:ind w:left="0" w:firstLine="0"/>
      </w:pPr>
      <w:rPr>
        <w:rFonts w:ascii="Verdana" w:eastAsiaTheme="minorHAnsi" w:hAnsi="Verdana" w:cstheme="minorBid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CD075C0"/>
    <w:multiLevelType w:val="hybridMultilevel"/>
    <w:tmpl w:val="84D69A7E"/>
    <w:lvl w:ilvl="0" w:tplc="CE0AD1C2">
      <w:start w:val="1"/>
      <w:numFmt w:val="lowerLetter"/>
      <w:lvlText w:val="%1)"/>
      <w:lvlJc w:val="left"/>
      <w:pPr>
        <w:ind w:left="1367" w:hanging="516"/>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E0110A6"/>
    <w:multiLevelType w:val="hybridMultilevel"/>
    <w:tmpl w:val="F0D60488"/>
    <w:lvl w:ilvl="0" w:tplc="CFE87AA0">
      <w:start w:val="1"/>
      <w:numFmt w:val="lowerLetter"/>
      <w:lvlText w:val="%1)"/>
      <w:lvlJc w:val="left"/>
      <w:pPr>
        <w:ind w:left="1485" w:hanging="360"/>
      </w:pPr>
      <w:rPr>
        <w:rFonts w:hint="default"/>
      </w:rPr>
    </w:lvl>
    <w:lvl w:ilvl="1" w:tplc="140A0019">
      <w:start w:val="1"/>
      <w:numFmt w:val="lowerLetter"/>
      <w:lvlText w:val="%2."/>
      <w:lvlJc w:val="left"/>
      <w:pPr>
        <w:ind w:left="786" w:hanging="360"/>
      </w:pPr>
    </w:lvl>
    <w:lvl w:ilvl="2" w:tplc="140A001B" w:tentative="1">
      <w:start w:val="1"/>
      <w:numFmt w:val="lowerRoman"/>
      <w:lvlText w:val="%3."/>
      <w:lvlJc w:val="right"/>
      <w:pPr>
        <w:ind w:left="2925" w:hanging="180"/>
      </w:pPr>
    </w:lvl>
    <w:lvl w:ilvl="3" w:tplc="140A000F" w:tentative="1">
      <w:start w:val="1"/>
      <w:numFmt w:val="decimal"/>
      <w:lvlText w:val="%4."/>
      <w:lvlJc w:val="left"/>
      <w:pPr>
        <w:ind w:left="3645" w:hanging="360"/>
      </w:pPr>
    </w:lvl>
    <w:lvl w:ilvl="4" w:tplc="140A0019" w:tentative="1">
      <w:start w:val="1"/>
      <w:numFmt w:val="lowerLetter"/>
      <w:lvlText w:val="%5."/>
      <w:lvlJc w:val="left"/>
      <w:pPr>
        <w:ind w:left="4365" w:hanging="360"/>
      </w:pPr>
    </w:lvl>
    <w:lvl w:ilvl="5" w:tplc="140A001B" w:tentative="1">
      <w:start w:val="1"/>
      <w:numFmt w:val="lowerRoman"/>
      <w:lvlText w:val="%6."/>
      <w:lvlJc w:val="right"/>
      <w:pPr>
        <w:ind w:left="5085" w:hanging="180"/>
      </w:pPr>
    </w:lvl>
    <w:lvl w:ilvl="6" w:tplc="140A000F" w:tentative="1">
      <w:start w:val="1"/>
      <w:numFmt w:val="decimal"/>
      <w:lvlText w:val="%7."/>
      <w:lvlJc w:val="left"/>
      <w:pPr>
        <w:ind w:left="5805" w:hanging="360"/>
      </w:pPr>
    </w:lvl>
    <w:lvl w:ilvl="7" w:tplc="140A0019" w:tentative="1">
      <w:start w:val="1"/>
      <w:numFmt w:val="lowerLetter"/>
      <w:lvlText w:val="%8."/>
      <w:lvlJc w:val="left"/>
      <w:pPr>
        <w:ind w:left="6525" w:hanging="360"/>
      </w:pPr>
    </w:lvl>
    <w:lvl w:ilvl="8" w:tplc="140A001B" w:tentative="1">
      <w:start w:val="1"/>
      <w:numFmt w:val="lowerRoman"/>
      <w:lvlText w:val="%9."/>
      <w:lvlJc w:val="right"/>
      <w:pPr>
        <w:ind w:left="7245" w:hanging="180"/>
      </w:pPr>
    </w:lvl>
  </w:abstractNum>
  <w:abstractNum w:abstractNumId="12" w15:restartNumberingAfterBreak="0">
    <w:nsid w:val="31F837A4"/>
    <w:multiLevelType w:val="hybridMultilevel"/>
    <w:tmpl w:val="F3966BAA"/>
    <w:lvl w:ilvl="0" w:tplc="CF5A5316">
      <w:start w:val="1"/>
      <w:numFmt w:val="decimal"/>
      <w:lvlText w:val="%1."/>
      <w:lvlJc w:val="left"/>
      <w:pPr>
        <w:ind w:left="720" w:hanging="360"/>
      </w:pPr>
      <w:rPr>
        <w:rFonts w:ascii="Verdana" w:hAnsi="Verdana" w:hint="default"/>
        <w:b w:val="0"/>
        <w:i w:val="0"/>
        <w:strike w:val="0"/>
        <w:dstrike w:val="0"/>
        <w:color w:val="auto"/>
        <w:sz w:val="16"/>
        <w:szCs w:val="16"/>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42991"/>
    <w:multiLevelType w:val="hybridMultilevel"/>
    <w:tmpl w:val="739A5B32"/>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E65998"/>
    <w:multiLevelType w:val="hybridMultilevel"/>
    <w:tmpl w:val="8F5E7186"/>
    <w:lvl w:ilvl="0" w:tplc="924632B4">
      <w:start w:val="1"/>
      <w:numFmt w:val="decimal"/>
      <w:lvlText w:val="%1."/>
      <w:lvlJc w:val="left"/>
      <w:pPr>
        <w:ind w:left="928" w:hanging="360"/>
      </w:pPr>
      <w:rPr>
        <w:rFonts w:ascii="Verdana" w:hAnsi="Verdana" w:hint="default"/>
        <w:b w:val="0"/>
        <w:i w:val="0"/>
        <w:strike w:val="0"/>
        <w:color w:val="auto"/>
        <w:sz w:val="20"/>
        <w:szCs w:val="20"/>
        <w:lang w:val="es-MX"/>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5" w15:restartNumberingAfterBreak="0">
    <w:nsid w:val="4A793B17"/>
    <w:multiLevelType w:val="hybridMultilevel"/>
    <w:tmpl w:val="739A5B32"/>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CD1B5F"/>
    <w:multiLevelType w:val="hybridMultilevel"/>
    <w:tmpl w:val="B5F883A2"/>
    <w:lvl w:ilvl="0" w:tplc="987A0574">
      <w:start w:val="1"/>
      <w:numFmt w:val="decimal"/>
      <w:lvlText w:val="%1."/>
      <w:lvlJc w:val="left"/>
      <w:pPr>
        <w:ind w:left="928" w:hanging="360"/>
      </w:pPr>
      <w:rPr>
        <w:rFonts w:ascii="Verdana" w:eastAsia="Batang" w:hAnsi="Verdana" w:cs="Times"/>
        <w:b w:val="0"/>
        <w:i w:val="0"/>
        <w:color w:val="auto"/>
        <w:sz w:val="20"/>
        <w:szCs w:val="20"/>
      </w:rPr>
    </w:lvl>
    <w:lvl w:ilvl="1" w:tplc="62A25344">
      <w:start w:val="1"/>
      <w:numFmt w:val="lowerLetter"/>
      <w:lvlText w:val="%2)"/>
      <w:lvlJc w:val="left"/>
      <w:pPr>
        <w:ind w:left="1080" w:hanging="360"/>
      </w:pPr>
      <w:rPr>
        <w:rFonts w:ascii="Verdana" w:eastAsia="Batang" w:hAnsi="Verdana" w:cs="Times"/>
      </w:rPr>
    </w:lvl>
    <w:lvl w:ilvl="2" w:tplc="487AF94A">
      <w:start w:val="1"/>
      <w:numFmt w:val="upperLetter"/>
      <w:lvlText w:val="%3."/>
      <w:lvlJc w:val="left"/>
      <w:pPr>
        <w:ind w:left="1980" w:hanging="360"/>
      </w:pPr>
      <w:rPr>
        <w:rFonts w:cs="Tahoma" w:hint="default"/>
      </w:rPr>
    </w:lvl>
    <w:lvl w:ilvl="3" w:tplc="F50C6474">
      <w:start w:val="1"/>
      <w:numFmt w:val="lowerLetter"/>
      <w:lvlText w:val="%4)"/>
      <w:lvlJc w:val="left"/>
      <w:pPr>
        <w:ind w:left="2520" w:hanging="360"/>
      </w:pPr>
      <w:rPr>
        <w:rFonts w:hint="default"/>
      </w:rPr>
    </w:lvl>
    <w:lvl w:ilvl="4" w:tplc="86144CC8">
      <w:start w:val="7"/>
      <w:numFmt w:val="decimal"/>
      <w:lvlText w:val="%5"/>
      <w:lvlJc w:val="left"/>
      <w:pPr>
        <w:ind w:left="3240" w:hanging="360"/>
      </w:pPr>
      <w:rPr>
        <w:rFonts w:hint="default"/>
        <w:i/>
      </w:r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F397FAF"/>
    <w:multiLevelType w:val="hybridMultilevel"/>
    <w:tmpl w:val="1FE4B8A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04B2116"/>
    <w:multiLevelType w:val="hybridMultilevel"/>
    <w:tmpl w:val="9FB80792"/>
    <w:lvl w:ilvl="0" w:tplc="140A001B">
      <w:start w:val="1"/>
      <w:numFmt w:val="low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52490BF4"/>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E06E32"/>
    <w:multiLevelType w:val="hybridMultilevel"/>
    <w:tmpl w:val="43A228AC"/>
    <w:lvl w:ilvl="0" w:tplc="E9224E2E">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1" w15:restartNumberingAfterBreak="0">
    <w:nsid w:val="56247875"/>
    <w:multiLevelType w:val="hybridMultilevel"/>
    <w:tmpl w:val="42E0E2E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46E1928"/>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FA7527"/>
    <w:multiLevelType w:val="hybridMultilevel"/>
    <w:tmpl w:val="C39A7C6A"/>
    <w:lvl w:ilvl="0" w:tplc="FF727082">
      <w:start w:val="1"/>
      <w:numFmt w:val="lowerRoman"/>
      <w:lvlText w:val="%1)"/>
      <w:lvlJc w:val="left"/>
      <w:pPr>
        <w:ind w:left="1080" w:hanging="72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EDD5C28"/>
    <w:multiLevelType w:val="hybridMultilevel"/>
    <w:tmpl w:val="C39A7C6A"/>
    <w:lvl w:ilvl="0" w:tplc="FF727082">
      <w:start w:val="1"/>
      <w:numFmt w:val="lowerRoman"/>
      <w:lvlText w:val="%1)"/>
      <w:lvlJc w:val="left"/>
      <w:pPr>
        <w:ind w:left="1080" w:hanging="72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35B4371"/>
    <w:multiLevelType w:val="hybridMultilevel"/>
    <w:tmpl w:val="28B2A824"/>
    <w:lvl w:ilvl="0" w:tplc="D980A0E8">
      <w:start w:val="1"/>
      <w:numFmt w:val="upperRoman"/>
      <w:lvlText w:val="%1."/>
      <w:lvlJc w:val="left"/>
      <w:pPr>
        <w:tabs>
          <w:tab w:val="num" w:pos="780"/>
        </w:tabs>
        <w:ind w:left="780" w:hanging="720"/>
      </w:pPr>
      <w:rPr>
        <w:rFonts w:ascii="Verdana" w:hAnsi="Verdana" w:hint="default"/>
        <w:sz w:val="18"/>
        <w:szCs w:val="18"/>
      </w:rPr>
    </w:lvl>
    <w:lvl w:ilvl="1" w:tplc="00010409">
      <w:start w:val="1"/>
      <w:numFmt w:val="bullet"/>
      <w:lvlText w:val=""/>
      <w:lvlJc w:val="left"/>
      <w:pPr>
        <w:tabs>
          <w:tab w:val="num" w:pos="1140"/>
        </w:tabs>
        <w:ind w:left="1140" w:hanging="360"/>
      </w:pPr>
      <w:rPr>
        <w:rFonts w:ascii="Symbol" w:hAnsi="Symbol" w:hint="default"/>
        <w:sz w:val="28"/>
      </w:r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26" w15:restartNumberingAfterBreak="0">
    <w:nsid w:val="76753A80"/>
    <w:multiLevelType w:val="hybridMultilevel"/>
    <w:tmpl w:val="A920C51E"/>
    <w:lvl w:ilvl="0" w:tplc="16D40AFE">
      <w:start w:val="1"/>
      <w:numFmt w:val="decimal"/>
      <w:lvlText w:val="%1."/>
      <w:lvlJc w:val="left"/>
      <w:pPr>
        <w:ind w:left="0" w:firstLine="0"/>
      </w:pPr>
      <w:rPr>
        <w:rFonts w:ascii="Verdana" w:hAnsi="Verdana" w:hint="default"/>
        <w:b w:val="0"/>
        <w:i w:val="0"/>
        <w:strike w:val="0"/>
        <w:color w:val="auto"/>
        <w:sz w:val="20"/>
        <w:szCs w:val="20"/>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A78C5440">
      <w:start w:val="2"/>
      <w:numFmt w:val="lowerLetter"/>
      <w:lvlText w:val="%6)"/>
      <w:lvlJc w:val="left"/>
      <w:pPr>
        <w:ind w:left="4358" w:hanging="360"/>
      </w:pPr>
      <w:rPr>
        <w:rFonts w:hint="default"/>
      </w:r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7" w15:restartNumberingAfterBreak="0">
    <w:nsid w:val="79354707"/>
    <w:multiLevelType w:val="hybridMultilevel"/>
    <w:tmpl w:val="B90EDDB8"/>
    <w:lvl w:ilvl="0" w:tplc="985C757E">
      <w:start w:val="1"/>
      <w:numFmt w:val="decimal"/>
      <w:lvlText w:val="%1."/>
      <w:lvlJc w:val="left"/>
      <w:pPr>
        <w:ind w:left="5362" w:hanging="825"/>
      </w:pPr>
      <w:rPr>
        <w:rFonts w:ascii="Verdana" w:eastAsia="Verdana" w:hAnsi="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7A1E203B"/>
    <w:multiLevelType w:val="hybridMultilevel"/>
    <w:tmpl w:val="FEA6C40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8B08DD"/>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E64D32"/>
    <w:multiLevelType w:val="hybridMultilevel"/>
    <w:tmpl w:val="E9AAC004"/>
    <w:lvl w:ilvl="0" w:tplc="84C60B70">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_tradnl"/>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Ttulo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num w:numId="1" w16cid:durableId="133956944">
    <w:abstractNumId w:val="26"/>
  </w:num>
  <w:num w:numId="2" w16cid:durableId="1321697212">
    <w:abstractNumId w:val="16"/>
  </w:num>
  <w:num w:numId="3" w16cid:durableId="434637862">
    <w:abstractNumId w:val="30"/>
  </w:num>
  <w:num w:numId="4" w16cid:durableId="2017492297">
    <w:abstractNumId w:val="18"/>
  </w:num>
  <w:num w:numId="5" w16cid:durableId="1608540099">
    <w:abstractNumId w:val="7"/>
  </w:num>
  <w:num w:numId="6" w16cid:durableId="1990015612">
    <w:abstractNumId w:val="29"/>
  </w:num>
  <w:num w:numId="7" w16cid:durableId="112020508">
    <w:abstractNumId w:val="22"/>
  </w:num>
  <w:num w:numId="8" w16cid:durableId="1497333393">
    <w:abstractNumId w:val="19"/>
  </w:num>
  <w:num w:numId="9" w16cid:durableId="1890916889">
    <w:abstractNumId w:val="0"/>
  </w:num>
  <w:num w:numId="10" w16cid:durableId="1542668260">
    <w:abstractNumId w:val="1"/>
  </w:num>
  <w:num w:numId="11" w16cid:durableId="1489709982">
    <w:abstractNumId w:val="15"/>
  </w:num>
  <w:num w:numId="12" w16cid:durableId="1551916614">
    <w:abstractNumId w:val="28"/>
  </w:num>
  <w:num w:numId="13" w16cid:durableId="291903484">
    <w:abstractNumId w:val="3"/>
  </w:num>
  <w:num w:numId="14" w16cid:durableId="1709138298">
    <w:abstractNumId w:val="21"/>
  </w:num>
  <w:num w:numId="15" w16cid:durableId="768887717">
    <w:abstractNumId w:val="13"/>
  </w:num>
  <w:num w:numId="16" w16cid:durableId="994800229">
    <w:abstractNumId w:val="5"/>
  </w:num>
  <w:num w:numId="17" w16cid:durableId="1481191442">
    <w:abstractNumId w:val="6"/>
  </w:num>
  <w:num w:numId="18" w16cid:durableId="573399132">
    <w:abstractNumId w:val="2"/>
  </w:num>
  <w:num w:numId="19" w16cid:durableId="608657134">
    <w:abstractNumId w:val="10"/>
  </w:num>
  <w:num w:numId="20" w16cid:durableId="1510220520">
    <w:abstractNumId w:val="14"/>
  </w:num>
  <w:num w:numId="21" w16cid:durableId="29847755">
    <w:abstractNumId w:val="20"/>
  </w:num>
  <w:num w:numId="22" w16cid:durableId="669868058">
    <w:abstractNumId w:val="4"/>
  </w:num>
  <w:num w:numId="23" w16cid:durableId="469860328">
    <w:abstractNumId w:val="12"/>
  </w:num>
  <w:num w:numId="24" w16cid:durableId="757142907">
    <w:abstractNumId w:val="9"/>
  </w:num>
  <w:num w:numId="25" w16cid:durableId="1252395529">
    <w:abstractNumId w:val="24"/>
  </w:num>
  <w:num w:numId="26" w16cid:durableId="1123378255">
    <w:abstractNumId w:val="23"/>
  </w:num>
  <w:num w:numId="27" w16cid:durableId="794833443">
    <w:abstractNumId w:val="8"/>
  </w:num>
  <w:num w:numId="28" w16cid:durableId="70010580">
    <w:abstractNumId w:val="11"/>
  </w:num>
  <w:num w:numId="29" w16cid:durableId="986785208">
    <w:abstractNumId w:val="27"/>
  </w:num>
  <w:num w:numId="30" w16cid:durableId="1405638679">
    <w:abstractNumId w:val="25"/>
  </w:num>
  <w:num w:numId="31" w16cid:durableId="12674809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ES_tradnl" w:vendorID="64" w:dllVersion="6" w:nlCheck="1" w:checkStyle="1"/>
  <w:activeWritingStyle w:appName="MSWord" w:lang="es-CR" w:vendorID="64" w:dllVersion="6" w:nlCheck="1" w:checkStyle="1"/>
  <w:activeWritingStyle w:appName="MSWord" w:lang="es-ES" w:vendorID="64" w:dllVersion="6" w:nlCheck="1" w:checkStyle="1"/>
  <w:activeWritingStyle w:appName="MSWord" w:lang="es-CO" w:vendorID="64" w:dllVersion="6" w:nlCheck="1" w:checkStyle="1"/>
  <w:activeWritingStyle w:appName="MSWord" w:lang="es-GT" w:vendorID="64" w:dllVersion="6" w:nlCheck="1" w:checkStyle="1"/>
  <w:activeWritingStyle w:appName="MSWord" w:lang="es-MX" w:vendorID="64" w:dllVersion="6" w:nlCheck="1" w:checkStyle="1"/>
  <w:activeWritingStyle w:appName="MSWord" w:lang="es-AR" w:vendorID="64" w:dllVersion="6" w:nlCheck="1" w:checkStyle="1"/>
  <w:activeWritingStyle w:appName="MSWord" w:lang="es-VE" w:vendorID="64" w:dllVersion="6" w:nlCheck="1" w:checkStyle="1"/>
  <w:activeWritingStyle w:appName="MSWord" w:lang="es-PR" w:vendorID="64" w:dllVersion="6" w:nlCheck="1" w:checkStyle="1"/>
  <w:activeWritingStyle w:appName="MSWord" w:lang="es-EC" w:vendorID="64" w:dllVersion="6" w:nlCheck="1" w:checkStyle="1"/>
  <w:activeWritingStyle w:appName="MSWord" w:lang="en-US" w:vendorID="64" w:dllVersion="6" w:nlCheck="1" w:checkStyle="1"/>
  <w:activeWritingStyle w:appName="MSWord" w:lang="es-CL"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R"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MX" w:vendorID="64" w:dllVersion="0" w:nlCheck="1" w:checkStyle="0"/>
  <w:activeWritingStyle w:appName="MSWord" w:lang="es-AR" w:vendorID="64" w:dllVersion="0" w:nlCheck="1" w:checkStyle="0"/>
  <w:activeWritingStyle w:appName="MSWord" w:lang="es-VE" w:vendorID="64" w:dllVersion="0" w:nlCheck="1" w:checkStyle="0"/>
  <w:defaultTabStop w:val="708"/>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BF"/>
    <w:rsid w:val="00000CA3"/>
    <w:rsid w:val="00002549"/>
    <w:rsid w:val="00002B7F"/>
    <w:rsid w:val="00002D1A"/>
    <w:rsid w:val="00003400"/>
    <w:rsid w:val="00003416"/>
    <w:rsid w:val="00003FED"/>
    <w:rsid w:val="00004AED"/>
    <w:rsid w:val="00005558"/>
    <w:rsid w:val="000055D9"/>
    <w:rsid w:val="000058DC"/>
    <w:rsid w:val="00005BD2"/>
    <w:rsid w:val="0000613A"/>
    <w:rsid w:val="000065F7"/>
    <w:rsid w:val="00006D17"/>
    <w:rsid w:val="00007A09"/>
    <w:rsid w:val="00010070"/>
    <w:rsid w:val="0001013D"/>
    <w:rsid w:val="00011691"/>
    <w:rsid w:val="000119DA"/>
    <w:rsid w:val="0001209E"/>
    <w:rsid w:val="00013E71"/>
    <w:rsid w:val="00014A31"/>
    <w:rsid w:val="00015025"/>
    <w:rsid w:val="00015301"/>
    <w:rsid w:val="00015551"/>
    <w:rsid w:val="00015F81"/>
    <w:rsid w:val="000165F5"/>
    <w:rsid w:val="00016EAA"/>
    <w:rsid w:val="00016F3D"/>
    <w:rsid w:val="000174DC"/>
    <w:rsid w:val="0001767E"/>
    <w:rsid w:val="00017706"/>
    <w:rsid w:val="00017AF3"/>
    <w:rsid w:val="00020840"/>
    <w:rsid w:val="00021238"/>
    <w:rsid w:val="000214B1"/>
    <w:rsid w:val="00021A9D"/>
    <w:rsid w:val="0002275F"/>
    <w:rsid w:val="00022F63"/>
    <w:rsid w:val="00024184"/>
    <w:rsid w:val="00024C25"/>
    <w:rsid w:val="00025534"/>
    <w:rsid w:val="00025AA4"/>
    <w:rsid w:val="00025DBA"/>
    <w:rsid w:val="00025F9B"/>
    <w:rsid w:val="000262FA"/>
    <w:rsid w:val="00026AD5"/>
    <w:rsid w:val="00026FDA"/>
    <w:rsid w:val="00027078"/>
    <w:rsid w:val="00027A6E"/>
    <w:rsid w:val="00030707"/>
    <w:rsid w:val="00030799"/>
    <w:rsid w:val="0003229B"/>
    <w:rsid w:val="00032585"/>
    <w:rsid w:val="00032A66"/>
    <w:rsid w:val="00032E12"/>
    <w:rsid w:val="0003407D"/>
    <w:rsid w:val="00034284"/>
    <w:rsid w:val="00034536"/>
    <w:rsid w:val="000353D2"/>
    <w:rsid w:val="000354B8"/>
    <w:rsid w:val="00035C05"/>
    <w:rsid w:val="00036161"/>
    <w:rsid w:val="00037198"/>
    <w:rsid w:val="0003773F"/>
    <w:rsid w:val="00037863"/>
    <w:rsid w:val="0003786A"/>
    <w:rsid w:val="00041228"/>
    <w:rsid w:val="0004135A"/>
    <w:rsid w:val="000432AA"/>
    <w:rsid w:val="0004332F"/>
    <w:rsid w:val="00043582"/>
    <w:rsid w:val="00043C2C"/>
    <w:rsid w:val="00044145"/>
    <w:rsid w:val="00044959"/>
    <w:rsid w:val="00044FE9"/>
    <w:rsid w:val="00045CC8"/>
    <w:rsid w:val="000461EC"/>
    <w:rsid w:val="00046C7E"/>
    <w:rsid w:val="00047DDC"/>
    <w:rsid w:val="0005099A"/>
    <w:rsid w:val="00050F96"/>
    <w:rsid w:val="00051498"/>
    <w:rsid w:val="000515B9"/>
    <w:rsid w:val="00051875"/>
    <w:rsid w:val="00052927"/>
    <w:rsid w:val="000538FF"/>
    <w:rsid w:val="00053D7B"/>
    <w:rsid w:val="00054110"/>
    <w:rsid w:val="00054512"/>
    <w:rsid w:val="00055116"/>
    <w:rsid w:val="000557DA"/>
    <w:rsid w:val="000559E2"/>
    <w:rsid w:val="00055FC4"/>
    <w:rsid w:val="00057525"/>
    <w:rsid w:val="00057A1C"/>
    <w:rsid w:val="00060529"/>
    <w:rsid w:val="000609F8"/>
    <w:rsid w:val="00061656"/>
    <w:rsid w:val="00062B79"/>
    <w:rsid w:val="00062D6C"/>
    <w:rsid w:val="0006371B"/>
    <w:rsid w:val="000638FA"/>
    <w:rsid w:val="000642E4"/>
    <w:rsid w:val="000646E2"/>
    <w:rsid w:val="000655BB"/>
    <w:rsid w:val="000669AD"/>
    <w:rsid w:val="00066D30"/>
    <w:rsid w:val="00067A0C"/>
    <w:rsid w:val="00070CFE"/>
    <w:rsid w:val="000717F4"/>
    <w:rsid w:val="00072094"/>
    <w:rsid w:val="000723FB"/>
    <w:rsid w:val="00073120"/>
    <w:rsid w:val="00073C32"/>
    <w:rsid w:val="000743F8"/>
    <w:rsid w:val="00074414"/>
    <w:rsid w:val="0007465C"/>
    <w:rsid w:val="000746F6"/>
    <w:rsid w:val="00075271"/>
    <w:rsid w:val="00076548"/>
    <w:rsid w:val="00076D5E"/>
    <w:rsid w:val="00077B3C"/>
    <w:rsid w:val="00081FD7"/>
    <w:rsid w:val="000822C6"/>
    <w:rsid w:val="00082750"/>
    <w:rsid w:val="00083779"/>
    <w:rsid w:val="00083800"/>
    <w:rsid w:val="00083829"/>
    <w:rsid w:val="00083E07"/>
    <w:rsid w:val="00083EEA"/>
    <w:rsid w:val="00083F3D"/>
    <w:rsid w:val="000850B1"/>
    <w:rsid w:val="000852DC"/>
    <w:rsid w:val="00085881"/>
    <w:rsid w:val="00085E71"/>
    <w:rsid w:val="000862E2"/>
    <w:rsid w:val="00086C97"/>
    <w:rsid w:val="00086CBA"/>
    <w:rsid w:val="000875EF"/>
    <w:rsid w:val="000900E2"/>
    <w:rsid w:val="000900FE"/>
    <w:rsid w:val="000903BF"/>
    <w:rsid w:val="0009075E"/>
    <w:rsid w:val="000914DC"/>
    <w:rsid w:val="00091CFE"/>
    <w:rsid w:val="00091FE0"/>
    <w:rsid w:val="00092439"/>
    <w:rsid w:val="00092CDC"/>
    <w:rsid w:val="00095470"/>
    <w:rsid w:val="000957BD"/>
    <w:rsid w:val="000959CA"/>
    <w:rsid w:val="00095DAD"/>
    <w:rsid w:val="0009633C"/>
    <w:rsid w:val="00096441"/>
    <w:rsid w:val="000974BA"/>
    <w:rsid w:val="000A0339"/>
    <w:rsid w:val="000A05CF"/>
    <w:rsid w:val="000A144D"/>
    <w:rsid w:val="000A2A27"/>
    <w:rsid w:val="000A2E6F"/>
    <w:rsid w:val="000A33A8"/>
    <w:rsid w:val="000A3CE0"/>
    <w:rsid w:val="000A452B"/>
    <w:rsid w:val="000A5171"/>
    <w:rsid w:val="000A5A9C"/>
    <w:rsid w:val="000A65F1"/>
    <w:rsid w:val="000A708F"/>
    <w:rsid w:val="000A70BC"/>
    <w:rsid w:val="000B04CF"/>
    <w:rsid w:val="000B0EAB"/>
    <w:rsid w:val="000B1BCC"/>
    <w:rsid w:val="000B232E"/>
    <w:rsid w:val="000B2B10"/>
    <w:rsid w:val="000B2ED9"/>
    <w:rsid w:val="000B3E1D"/>
    <w:rsid w:val="000B3E3D"/>
    <w:rsid w:val="000B40A1"/>
    <w:rsid w:val="000B426C"/>
    <w:rsid w:val="000B45D3"/>
    <w:rsid w:val="000B4908"/>
    <w:rsid w:val="000B5099"/>
    <w:rsid w:val="000B5E84"/>
    <w:rsid w:val="000B5FEF"/>
    <w:rsid w:val="000B60DB"/>
    <w:rsid w:val="000B6390"/>
    <w:rsid w:val="000B6D6F"/>
    <w:rsid w:val="000B74B2"/>
    <w:rsid w:val="000C043A"/>
    <w:rsid w:val="000C077B"/>
    <w:rsid w:val="000C140A"/>
    <w:rsid w:val="000C2C04"/>
    <w:rsid w:val="000C300B"/>
    <w:rsid w:val="000C3112"/>
    <w:rsid w:val="000C4580"/>
    <w:rsid w:val="000C50AF"/>
    <w:rsid w:val="000C5A32"/>
    <w:rsid w:val="000C706D"/>
    <w:rsid w:val="000C746D"/>
    <w:rsid w:val="000C759A"/>
    <w:rsid w:val="000C76AC"/>
    <w:rsid w:val="000C770E"/>
    <w:rsid w:val="000C77A3"/>
    <w:rsid w:val="000C7ED0"/>
    <w:rsid w:val="000D0141"/>
    <w:rsid w:val="000D03BE"/>
    <w:rsid w:val="000D0C64"/>
    <w:rsid w:val="000D17B0"/>
    <w:rsid w:val="000D17E1"/>
    <w:rsid w:val="000D2082"/>
    <w:rsid w:val="000D269A"/>
    <w:rsid w:val="000D26DE"/>
    <w:rsid w:val="000D32A0"/>
    <w:rsid w:val="000D3594"/>
    <w:rsid w:val="000D3A7F"/>
    <w:rsid w:val="000D3DC5"/>
    <w:rsid w:val="000D4429"/>
    <w:rsid w:val="000D464C"/>
    <w:rsid w:val="000D4699"/>
    <w:rsid w:val="000D564E"/>
    <w:rsid w:val="000D6358"/>
    <w:rsid w:val="000D67D1"/>
    <w:rsid w:val="000D6BB7"/>
    <w:rsid w:val="000D7098"/>
    <w:rsid w:val="000D7253"/>
    <w:rsid w:val="000D72B8"/>
    <w:rsid w:val="000D7533"/>
    <w:rsid w:val="000D7AE0"/>
    <w:rsid w:val="000E074A"/>
    <w:rsid w:val="000E0A10"/>
    <w:rsid w:val="000E0D82"/>
    <w:rsid w:val="000E168E"/>
    <w:rsid w:val="000E1C44"/>
    <w:rsid w:val="000E2969"/>
    <w:rsid w:val="000E2C86"/>
    <w:rsid w:val="000E2E3D"/>
    <w:rsid w:val="000E3CA1"/>
    <w:rsid w:val="000E3E59"/>
    <w:rsid w:val="000E3F85"/>
    <w:rsid w:val="000E42A1"/>
    <w:rsid w:val="000E455E"/>
    <w:rsid w:val="000E4B1B"/>
    <w:rsid w:val="000E4BE3"/>
    <w:rsid w:val="000E552F"/>
    <w:rsid w:val="000E6359"/>
    <w:rsid w:val="000E777B"/>
    <w:rsid w:val="000E7C11"/>
    <w:rsid w:val="000F0461"/>
    <w:rsid w:val="000F0C6E"/>
    <w:rsid w:val="000F0CB8"/>
    <w:rsid w:val="000F13C9"/>
    <w:rsid w:val="000F148C"/>
    <w:rsid w:val="000F16AA"/>
    <w:rsid w:val="000F1B02"/>
    <w:rsid w:val="000F1F6A"/>
    <w:rsid w:val="000F255C"/>
    <w:rsid w:val="000F28ED"/>
    <w:rsid w:val="000F29EE"/>
    <w:rsid w:val="000F30CA"/>
    <w:rsid w:val="000F3365"/>
    <w:rsid w:val="000F3909"/>
    <w:rsid w:val="000F3ADF"/>
    <w:rsid w:val="000F4BE4"/>
    <w:rsid w:val="000F508F"/>
    <w:rsid w:val="000F5CC6"/>
    <w:rsid w:val="000F698E"/>
    <w:rsid w:val="000F79C5"/>
    <w:rsid w:val="000F7F8E"/>
    <w:rsid w:val="00100947"/>
    <w:rsid w:val="00101134"/>
    <w:rsid w:val="001019D6"/>
    <w:rsid w:val="00101CA3"/>
    <w:rsid w:val="001021EC"/>
    <w:rsid w:val="0010239D"/>
    <w:rsid w:val="00102673"/>
    <w:rsid w:val="00102750"/>
    <w:rsid w:val="00102BA2"/>
    <w:rsid w:val="001032C0"/>
    <w:rsid w:val="001038C4"/>
    <w:rsid w:val="001041A4"/>
    <w:rsid w:val="00104766"/>
    <w:rsid w:val="00106A95"/>
    <w:rsid w:val="00106AB8"/>
    <w:rsid w:val="001073C7"/>
    <w:rsid w:val="0010744C"/>
    <w:rsid w:val="001077FA"/>
    <w:rsid w:val="001103E1"/>
    <w:rsid w:val="001106A2"/>
    <w:rsid w:val="00110842"/>
    <w:rsid w:val="00110D5F"/>
    <w:rsid w:val="00112489"/>
    <w:rsid w:val="001130C6"/>
    <w:rsid w:val="001142EB"/>
    <w:rsid w:val="001144ED"/>
    <w:rsid w:val="00114A4C"/>
    <w:rsid w:val="00114C59"/>
    <w:rsid w:val="001160D7"/>
    <w:rsid w:val="0011614A"/>
    <w:rsid w:val="0011693E"/>
    <w:rsid w:val="00116BC1"/>
    <w:rsid w:val="00117BA9"/>
    <w:rsid w:val="00117E20"/>
    <w:rsid w:val="00120B6A"/>
    <w:rsid w:val="001217F5"/>
    <w:rsid w:val="00121AA8"/>
    <w:rsid w:val="0012278E"/>
    <w:rsid w:val="001228ED"/>
    <w:rsid w:val="00122A41"/>
    <w:rsid w:val="00122B1A"/>
    <w:rsid w:val="00123AA2"/>
    <w:rsid w:val="00123D88"/>
    <w:rsid w:val="0012431B"/>
    <w:rsid w:val="001246F9"/>
    <w:rsid w:val="00125B43"/>
    <w:rsid w:val="001261FC"/>
    <w:rsid w:val="00127BAC"/>
    <w:rsid w:val="00127EB1"/>
    <w:rsid w:val="00127FD6"/>
    <w:rsid w:val="00130397"/>
    <w:rsid w:val="001303B4"/>
    <w:rsid w:val="001305F6"/>
    <w:rsid w:val="00130891"/>
    <w:rsid w:val="00130B83"/>
    <w:rsid w:val="001315F8"/>
    <w:rsid w:val="001318BE"/>
    <w:rsid w:val="001320AC"/>
    <w:rsid w:val="00132B51"/>
    <w:rsid w:val="001330C8"/>
    <w:rsid w:val="00133E80"/>
    <w:rsid w:val="0013453D"/>
    <w:rsid w:val="0013527C"/>
    <w:rsid w:val="001355AC"/>
    <w:rsid w:val="00135B0D"/>
    <w:rsid w:val="00135C5E"/>
    <w:rsid w:val="00135DEC"/>
    <w:rsid w:val="00136196"/>
    <w:rsid w:val="0013655E"/>
    <w:rsid w:val="00137802"/>
    <w:rsid w:val="00137EC8"/>
    <w:rsid w:val="00141868"/>
    <w:rsid w:val="00141EA6"/>
    <w:rsid w:val="0014247D"/>
    <w:rsid w:val="00142C72"/>
    <w:rsid w:val="00143324"/>
    <w:rsid w:val="00143ECA"/>
    <w:rsid w:val="00143FD8"/>
    <w:rsid w:val="0014438A"/>
    <w:rsid w:val="00145571"/>
    <w:rsid w:val="001455A5"/>
    <w:rsid w:val="0014567B"/>
    <w:rsid w:val="0014574E"/>
    <w:rsid w:val="00146E35"/>
    <w:rsid w:val="00147060"/>
    <w:rsid w:val="001503A1"/>
    <w:rsid w:val="00150712"/>
    <w:rsid w:val="00151597"/>
    <w:rsid w:val="00151F81"/>
    <w:rsid w:val="00152313"/>
    <w:rsid w:val="0015348B"/>
    <w:rsid w:val="00153944"/>
    <w:rsid w:val="00153A92"/>
    <w:rsid w:val="00153B4A"/>
    <w:rsid w:val="00153C94"/>
    <w:rsid w:val="00153E57"/>
    <w:rsid w:val="00154412"/>
    <w:rsid w:val="001545E6"/>
    <w:rsid w:val="001547AD"/>
    <w:rsid w:val="00155098"/>
    <w:rsid w:val="00155888"/>
    <w:rsid w:val="001558D9"/>
    <w:rsid w:val="00155C71"/>
    <w:rsid w:val="001563B4"/>
    <w:rsid w:val="00156993"/>
    <w:rsid w:val="0015709C"/>
    <w:rsid w:val="00157A1D"/>
    <w:rsid w:val="00157E64"/>
    <w:rsid w:val="00160563"/>
    <w:rsid w:val="00160575"/>
    <w:rsid w:val="0016141E"/>
    <w:rsid w:val="00161F4F"/>
    <w:rsid w:val="00163F0E"/>
    <w:rsid w:val="0016457F"/>
    <w:rsid w:val="00164580"/>
    <w:rsid w:val="00165B32"/>
    <w:rsid w:val="00166035"/>
    <w:rsid w:val="0016669F"/>
    <w:rsid w:val="00166B52"/>
    <w:rsid w:val="00166BB2"/>
    <w:rsid w:val="00167BCB"/>
    <w:rsid w:val="00167D25"/>
    <w:rsid w:val="001701AD"/>
    <w:rsid w:val="001702CA"/>
    <w:rsid w:val="0017078C"/>
    <w:rsid w:val="00170947"/>
    <w:rsid w:val="00171D28"/>
    <w:rsid w:val="00172211"/>
    <w:rsid w:val="0017255D"/>
    <w:rsid w:val="00173E5C"/>
    <w:rsid w:val="00174406"/>
    <w:rsid w:val="001748BB"/>
    <w:rsid w:val="00175553"/>
    <w:rsid w:val="00176F2E"/>
    <w:rsid w:val="00177421"/>
    <w:rsid w:val="00177B28"/>
    <w:rsid w:val="00177E3F"/>
    <w:rsid w:val="00180003"/>
    <w:rsid w:val="00180119"/>
    <w:rsid w:val="00181BA1"/>
    <w:rsid w:val="001838FD"/>
    <w:rsid w:val="00183F1C"/>
    <w:rsid w:val="00184997"/>
    <w:rsid w:val="00184EF0"/>
    <w:rsid w:val="00185538"/>
    <w:rsid w:val="00185C92"/>
    <w:rsid w:val="001867CB"/>
    <w:rsid w:val="00186C0B"/>
    <w:rsid w:val="00186D1C"/>
    <w:rsid w:val="00187095"/>
    <w:rsid w:val="00187623"/>
    <w:rsid w:val="00187704"/>
    <w:rsid w:val="00187B57"/>
    <w:rsid w:val="00187E00"/>
    <w:rsid w:val="001908EF"/>
    <w:rsid w:val="00190E96"/>
    <w:rsid w:val="0019142C"/>
    <w:rsid w:val="001929E8"/>
    <w:rsid w:val="001934AA"/>
    <w:rsid w:val="00194AA0"/>
    <w:rsid w:val="00195A15"/>
    <w:rsid w:val="00195C4F"/>
    <w:rsid w:val="00195CAC"/>
    <w:rsid w:val="00197F73"/>
    <w:rsid w:val="001A0578"/>
    <w:rsid w:val="001A0BA7"/>
    <w:rsid w:val="001A11C1"/>
    <w:rsid w:val="001A16B0"/>
    <w:rsid w:val="001A17DB"/>
    <w:rsid w:val="001A1E2E"/>
    <w:rsid w:val="001A3790"/>
    <w:rsid w:val="001A3F50"/>
    <w:rsid w:val="001A495B"/>
    <w:rsid w:val="001A5AF5"/>
    <w:rsid w:val="001A5E21"/>
    <w:rsid w:val="001A674B"/>
    <w:rsid w:val="001A6A1E"/>
    <w:rsid w:val="001A6AB6"/>
    <w:rsid w:val="001A7822"/>
    <w:rsid w:val="001A7B39"/>
    <w:rsid w:val="001B03C9"/>
    <w:rsid w:val="001B099F"/>
    <w:rsid w:val="001B0B0A"/>
    <w:rsid w:val="001B0BCD"/>
    <w:rsid w:val="001B1E9B"/>
    <w:rsid w:val="001B2174"/>
    <w:rsid w:val="001B27B6"/>
    <w:rsid w:val="001B2C76"/>
    <w:rsid w:val="001B3AEB"/>
    <w:rsid w:val="001B41D9"/>
    <w:rsid w:val="001B447B"/>
    <w:rsid w:val="001B45CE"/>
    <w:rsid w:val="001B4650"/>
    <w:rsid w:val="001B5055"/>
    <w:rsid w:val="001B555D"/>
    <w:rsid w:val="001B5D04"/>
    <w:rsid w:val="001B620A"/>
    <w:rsid w:val="001B6532"/>
    <w:rsid w:val="001B7911"/>
    <w:rsid w:val="001B7AFE"/>
    <w:rsid w:val="001C0FFF"/>
    <w:rsid w:val="001C124C"/>
    <w:rsid w:val="001C202B"/>
    <w:rsid w:val="001C23BC"/>
    <w:rsid w:val="001C277E"/>
    <w:rsid w:val="001C27DE"/>
    <w:rsid w:val="001C430B"/>
    <w:rsid w:val="001C45DC"/>
    <w:rsid w:val="001C4988"/>
    <w:rsid w:val="001C5A7B"/>
    <w:rsid w:val="001C5C2C"/>
    <w:rsid w:val="001C60B8"/>
    <w:rsid w:val="001C6434"/>
    <w:rsid w:val="001C672D"/>
    <w:rsid w:val="001C6842"/>
    <w:rsid w:val="001C75AC"/>
    <w:rsid w:val="001D0028"/>
    <w:rsid w:val="001D08E2"/>
    <w:rsid w:val="001D0A0A"/>
    <w:rsid w:val="001D1175"/>
    <w:rsid w:val="001D1CB3"/>
    <w:rsid w:val="001D1ED2"/>
    <w:rsid w:val="001D1FCC"/>
    <w:rsid w:val="001D26EA"/>
    <w:rsid w:val="001D2782"/>
    <w:rsid w:val="001D3630"/>
    <w:rsid w:val="001D38CD"/>
    <w:rsid w:val="001D3C55"/>
    <w:rsid w:val="001D3D91"/>
    <w:rsid w:val="001D4543"/>
    <w:rsid w:val="001D48D6"/>
    <w:rsid w:val="001D5608"/>
    <w:rsid w:val="001D5743"/>
    <w:rsid w:val="001D57BA"/>
    <w:rsid w:val="001D5AD2"/>
    <w:rsid w:val="001D5B20"/>
    <w:rsid w:val="001D5C25"/>
    <w:rsid w:val="001D5CBF"/>
    <w:rsid w:val="001D69AE"/>
    <w:rsid w:val="001D6BAA"/>
    <w:rsid w:val="001D7215"/>
    <w:rsid w:val="001D76AC"/>
    <w:rsid w:val="001E0114"/>
    <w:rsid w:val="001E02F0"/>
    <w:rsid w:val="001E0667"/>
    <w:rsid w:val="001E1B63"/>
    <w:rsid w:val="001E242E"/>
    <w:rsid w:val="001E4ED8"/>
    <w:rsid w:val="001E5F86"/>
    <w:rsid w:val="001E61E2"/>
    <w:rsid w:val="001E6EA9"/>
    <w:rsid w:val="001E7A2C"/>
    <w:rsid w:val="001F0058"/>
    <w:rsid w:val="001F03EE"/>
    <w:rsid w:val="001F05C9"/>
    <w:rsid w:val="001F0D9B"/>
    <w:rsid w:val="001F104C"/>
    <w:rsid w:val="001F278B"/>
    <w:rsid w:val="001F2A03"/>
    <w:rsid w:val="001F2E1A"/>
    <w:rsid w:val="001F2F8B"/>
    <w:rsid w:val="001F3543"/>
    <w:rsid w:val="001F3F38"/>
    <w:rsid w:val="001F563E"/>
    <w:rsid w:val="001F68EB"/>
    <w:rsid w:val="001F6BFC"/>
    <w:rsid w:val="00200F33"/>
    <w:rsid w:val="00201033"/>
    <w:rsid w:val="0020112A"/>
    <w:rsid w:val="00201533"/>
    <w:rsid w:val="002029A0"/>
    <w:rsid w:val="00202C52"/>
    <w:rsid w:val="00202D88"/>
    <w:rsid w:val="002031B6"/>
    <w:rsid w:val="002032A1"/>
    <w:rsid w:val="002040C8"/>
    <w:rsid w:val="002041E9"/>
    <w:rsid w:val="002056FE"/>
    <w:rsid w:val="00205B2A"/>
    <w:rsid w:val="00205FA1"/>
    <w:rsid w:val="002065A6"/>
    <w:rsid w:val="00206883"/>
    <w:rsid w:val="00206B83"/>
    <w:rsid w:val="00206CEA"/>
    <w:rsid w:val="00206EDC"/>
    <w:rsid w:val="00207639"/>
    <w:rsid w:val="00207DF7"/>
    <w:rsid w:val="00210B32"/>
    <w:rsid w:val="00211098"/>
    <w:rsid w:val="00211534"/>
    <w:rsid w:val="002124CA"/>
    <w:rsid w:val="00213183"/>
    <w:rsid w:val="00213BB1"/>
    <w:rsid w:val="00213E33"/>
    <w:rsid w:val="00214B7C"/>
    <w:rsid w:val="0021535D"/>
    <w:rsid w:val="00215942"/>
    <w:rsid w:val="00215986"/>
    <w:rsid w:val="00215A18"/>
    <w:rsid w:val="002169B4"/>
    <w:rsid w:val="002171D3"/>
    <w:rsid w:val="0021731F"/>
    <w:rsid w:val="0021773A"/>
    <w:rsid w:val="002179C2"/>
    <w:rsid w:val="00217A5B"/>
    <w:rsid w:val="00220C79"/>
    <w:rsid w:val="00221395"/>
    <w:rsid w:val="002213CC"/>
    <w:rsid w:val="002214FA"/>
    <w:rsid w:val="00221F21"/>
    <w:rsid w:val="00221F9E"/>
    <w:rsid w:val="002226C5"/>
    <w:rsid w:val="002229F9"/>
    <w:rsid w:val="00222B2F"/>
    <w:rsid w:val="00222C0C"/>
    <w:rsid w:val="002231B3"/>
    <w:rsid w:val="0022337F"/>
    <w:rsid w:val="0022444E"/>
    <w:rsid w:val="002252EC"/>
    <w:rsid w:val="00225B13"/>
    <w:rsid w:val="00226843"/>
    <w:rsid w:val="00226F76"/>
    <w:rsid w:val="00227D6B"/>
    <w:rsid w:val="00230E08"/>
    <w:rsid w:val="0023107E"/>
    <w:rsid w:val="00232229"/>
    <w:rsid w:val="00232383"/>
    <w:rsid w:val="00232F75"/>
    <w:rsid w:val="002334E2"/>
    <w:rsid w:val="00233800"/>
    <w:rsid w:val="0023388E"/>
    <w:rsid w:val="00233DE9"/>
    <w:rsid w:val="002349D4"/>
    <w:rsid w:val="00234A22"/>
    <w:rsid w:val="00234CB6"/>
    <w:rsid w:val="0023522F"/>
    <w:rsid w:val="00235895"/>
    <w:rsid w:val="00235F99"/>
    <w:rsid w:val="00236560"/>
    <w:rsid w:val="00236D16"/>
    <w:rsid w:val="00236EED"/>
    <w:rsid w:val="00240236"/>
    <w:rsid w:val="002418B2"/>
    <w:rsid w:val="00242C7C"/>
    <w:rsid w:val="00242E2A"/>
    <w:rsid w:val="00243764"/>
    <w:rsid w:val="00243F3D"/>
    <w:rsid w:val="00245417"/>
    <w:rsid w:val="00245ADE"/>
    <w:rsid w:val="002468DB"/>
    <w:rsid w:val="002478D5"/>
    <w:rsid w:val="00247B8C"/>
    <w:rsid w:val="00247F6E"/>
    <w:rsid w:val="00250639"/>
    <w:rsid w:val="0025076D"/>
    <w:rsid w:val="0025121B"/>
    <w:rsid w:val="0025138E"/>
    <w:rsid w:val="0025161B"/>
    <w:rsid w:val="00252E5D"/>
    <w:rsid w:val="0025379B"/>
    <w:rsid w:val="00253FA0"/>
    <w:rsid w:val="0025481A"/>
    <w:rsid w:val="00254D5B"/>
    <w:rsid w:val="00255612"/>
    <w:rsid w:val="00255683"/>
    <w:rsid w:val="0025585C"/>
    <w:rsid w:val="0025585D"/>
    <w:rsid w:val="00255B0E"/>
    <w:rsid w:val="00257AC8"/>
    <w:rsid w:val="00260081"/>
    <w:rsid w:val="00260584"/>
    <w:rsid w:val="00261117"/>
    <w:rsid w:val="002618FF"/>
    <w:rsid w:val="00261B6F"/>
    <w:rsid w:val="00261E7D"/>
    <w:rsid w:val="00262148"/>
    <w:rsid w:val="002621CE"/>
    <w:rsid w:val="00262575"/>
    <w:rsid w:val="00262A14"/>
    <w:rsid w:val="002632BE"/>
    <w:rsid w:val="002632F6"/>
    <w:rsid w:val="002634C9"/>
    <w:rsid w:val="002638AB"/>
    <w:rsid w:val="00263F0A"/>
    <w:rsid w:val="00264ED1"/>
    <w:rsid w:val="0026564A"/>
    <w:rsid w:val="0026673A"/>
    <w:rsid w:val="002669F4"/>
    <w:rsid w:val="00266E7E"/>
    <w:rsid w:val="00266F4B"/>
    <w:rsid w:val="00267B76"/>
    <w:rsid w:val="002702FB"/>
    <w:rsid w:val="002704B0"/>
    <w:rsid w:val="0027106F"/>
    <w:rsid w:val="002711BC"/>
    <w:rsid w:val="00271FE8"/>
    <w:rsid w:val="00272654"/>
    <w:rsid w:val="00272FA4"/>
    <w:rsid w:val="00273207"/>
    <w:rsid w:val="00273437"/>
    <w:rsid w:val="00273ED1"/>
    <w:rsid w:val="0027569C"/>
    <w:rsid w:val="00275AA9"/>
    <w:rsid w:val="00276025"/>
    <w:rsid w:val="00276D92"/>
    <w:rsid w:val="00276F98"/>
    <w:rsid w:val="0028209E"/>
    <w:rsid w:val="00282B5D"/>
    <w:rsid w:val="00285D7C"/>
    <w:rsid w:val="00286449"/>
    <w:rsid w:val="0028675B"/>
    <w:rsid w:val="0028686F"/>
    <w:rsid w:val="002869C6"/>
    <w:rsid w:val="00286DC5"/>
    <w:rsid w:val="002875DF"/>
    <w:rsid w:val="00287B55"/>
    <w:rsid w:val="002902BF"/>
    <w:rsid w:val="002903EB"/>
    <w:rsid w:val="00290606"/>
    <w:rsid w:val="0029096B"/>
    <w:rsid w:val="00290B08"/>
    <w:rsid w:val="00290E65"/>
    <w:rsid w:val="00291205"/>
    <w:rsid w:val="0029127A"/>
    <w:rsid w:val="00291961"/>
    <w:rsid w:val="0029354C"/>
    <w:rsid w:val="0029366E"/>
    <w:rsid w:val="00293957"/>
    <w:rsid w:val="002945FA"/>
    <w:rsid w:val="00294FCC"/>
    <w:rsid w:val="00295FB2"/>
    <w:rsid w:val="002969C5"/>
    <w:rsid w:val="00296A1F"/>
    <w:rsid w:val="002974BB"/>
    <w:rsid w:val="002A0236"/>
    <w:rsid w:val="002A1A9B"/>
    <w:rsid w:val="002A1DCA"/>
    <w:rsid w:val="002A1E85"/>
    <w:rsid w:val="002A31DA"/>
    <w:rsid w:val="002A3A9C"/>
    <w:rsid w:val="002A3CD2"/>
    <w:rsid w:val="002A4269"/>
    <w:rsid w:val="002A43A1"/>
    <w:rsid w:val="002A44B4"/>
    <w:rsid w:val="002A4BA6"/>
    <w:rsid w:val="002A4BCD"/>
    <w:rsid w:val="002A509F"/>
    <w:rsid w:val="002A5136"/>
    <w:rsid w:val="002A52B6"/>
    <w:rsid w:val="002A548F"/>
    <w:rsid w:val="002A57E8"/>
    <w:rsid w:val="002A5A90"/>
    <w:rsid w:val="002A5C82"/>
    <w:rsid w:val="002A5F46"/>
    <w:rsid w:val="002A72E4"/>
    <w:rsid w:val="002A73E7"/>
    <w:rsid w:val="002B0DF3"/>
    <w:rsid w:val="002B2192"/>
    <w:rsid w:val="002B250E"/>
    <w:rsid w:val="002B2C66"/>
    <w:rsid w:val="002B40DB"/>
    <w:rsid w:val="002B4346"/>
    <w:rsid w:val="002B4BAC"/>
    <w:rsid w:val="002B76E6"/>
    <w:rsid w:val="002B79DA"/>
    <w:rsid w:val="002C0165"/>
    <w:rsid w:val="002C04BB"/>
    <w:rsid w:val="002C0547"/>
    <w:rsid w:val="002C0C15"/>
    <w:rsid w:val="002C1909"/>
    <w:rsid w:val="002C249E"/>
    <w:rsid w:val="002C359F"/>
    <w:rsid w:val="002C4351"/>
    <w:rsid w:val="002C43BF"/>
    <w:rsid w:val="002C475B"/>
    <w:rsid w:val="002C4D5C"/>
    <w:rsid w:val="002C5314"/>
    <w:rsid w:val="002C55B5"/>
    <w:rsid w:val="002C55EC"/>
    <w:rsid w:val="002C5EA6"/>
    <w:rsid w:val="002C6822"/>
    <w:rsid w:val="002C7037"/>
    <w:rsid w:val="002C72A7"/>
    <w:rsid w:val="002C7953"/>
    <w:rsid w:val="002D0341"/>
    <w:rsid w:val="002D0C3F"/>
    <w:rsid w:val="002D1733"/>
    <w:rsid w:val="002D28D5"/>
    <w:rsid w:val="002D2E34"/>
    <w:rsid w:val="002D2FFD"/>
    <w:rsid w:val="002D3424"/>
    <w:rsid w:val="002D4027"/>
    <w:rsid w:val="002D49C8"/>
    <w:rsid w:val="002D4DCF"/>
    <w:rsid w:val="002D5450"/>
    <w:rsid w:val="002D61D9"/>
    <w:rsid w:val="002D63C9"/>
    <w:rsid w:val="002D6414"/>
    <w:rsid w:val="002D66B7"/>
    <w:rsid w:val="002D6E2F"/>
    <w:rsid w:val="002D6FC7"/>
    <w:rsid w:val="002D7AA2"/>
    <w:rsid w:val="002E17B2"/>
    <w:rsid w:val="002E17F3"/>
    <w:rsid w:val="002E2208"/>
    <w:rsid w:val="002E256A"/>
    <w:rsid w:val="002E2571"/>
    <w:rsid w:val="002E25E3"/>
    <w:rsid w:val="002E3371"/>
    <w:rsid w:val="002E3827"/>
    <w:rsid w:val="002E3C28"/>
    <w:rsid w:val="002E41E9"/>
    <w:rsid w:val="002E71FA"/>
    <w:rsid w:val="002F07C5"/>
    <w:rsid w:val="002F16BB"/>
    <w:rsid w:val="002F181D"/>
    <w:rsid w:val="002F1891"/>
    <w:rsid w:val="002F2A9F"/>
    <w:rsid w:val="002F3158"/>
    <w:rsid w:val="002F3353"/>
    <w:rsid w:val="002F35F5"/>
    <w:rsid w:val="002F47C9"/>
    <w:rsid w:val="002F508D"/>
    <w:rsid w:val="002F54A6"/>
    <w:rsid w:val="002F68FF"/>
    <w:rsid w:val="002F6CC1"/>
    <w:rsid w:val="002F6EE9"/>
    <w:rsid w:val="002F6F21"/>
    <w:rsid w:val="002F7463"/>
    <w:rsid w:val="002F78D5"/>
    <w:rsid w:val="003002C3"/>
    <w:rsid w:val="003003C1"/>
    <w:rsid w:val="003009DD"/>
    <w:rsid w:val="0030117B"/>
    <w:rsid w:val="00302395"/>
    <w:rsid w:val="00302E84"/>
    <w:rsid w:val="00303104"/>
    <w:rsid w:val="003051F9"/>
    <w:rsid w:val="00307251"/>
    <w:rsid w:val="00307675"/>
    <w:rsid w:val="00307A02"/>
    <w:rsid w:val="003111C9"/>
    <w:rsid w:val="0031133A"/>
    <w:rsid w:val="00311800"/>
    <w:rsid w:val="003125FC"/>
    <w:rsid w:val="00312B61"/>
    <w:rsid w:val="0031385D"/>
    <w:rsid w:val="00315667"/>
    <w:rsid w:val="00315D70"/>
    <w:rsid w:val="00315E3F"/>
    <w:rsid w:val="00316116"/>
    <w:rsid w:val="00316125"/>
    <w:rsid w:val="00316789"/>
    <w:rsid w:val="0031685B"/>
    <w:rsid w:val="00316B61"/>
    <w:rsid w:val="00316FB6"/>
    <w:rsid w:val="003178DD"/>
    <w:rsid w:val="003224E7"/>
    <w:rsid w:val="00322D21"/>
    <w:rsid w:val="00322E57"/>
    <w:rsid w:val="00322E93"/>
    <w:rsid w:val="00323AB5"/>
    <w:rsid w:val="0032421F"/>
    <w:rsid w:val="00324557"/>
    <w:rsid w:val="00324559"/>
    <w:rsid w:val="00324570"/>
    <w:rsid w:val="00325063"/>
    <w:rsid w:val="00325165"/>
    <w:rsid w:val="003264FD"/>
    <w:rsid w:val="00326C2F"/>
    <w:rsid w:val="003279F3"/>
    <w:rsid w:val="003302E9"/>
    <w:rsid w:val="003304AA"/>
    <w:rsid w:val="003308F3"/>
    <w:rsid w:val="003312C0"/>
    <w:rsid w:val="00331D8D"/>
    <w:rsid w:val="00333A7C"/>
    <w:rsid w:val="00333F04"/>
    <w:rsid w:val="003343E3"/>
    <w:rsid w:val="003344BA"/>
    <w:rsid w:val="00334CFD"/>
    <w:rsid w:val="00335F9A"/>
    <w:rsid w:val="00336067"/>
    <w:rsid w:val="0033657E"/>
    <w:rsid w:val="00336791"/>
    <w:rsid w:val="00336C77"/>
    <w:rsid w:val="00336E0E"/>
    <w:rsid w:val="003370A6"/>
    <w:rsid w:val="00340740"/>
    <w:rsid w:val="00340B95"/>
    <w:rsid w:val="003415F6"/>
    <w:rsid w:val="00341BB0"/>
    <w:rsid w:val="003425D2"/>
    <w:rsid w:val="003427BB"/>
    <w:rsid w:val="00342C65"/>
    <w:rsid w:val="0034406B"/>
    <w:rsid w:val="0034463D"/>
    <w:rsid w:val="00344B03"/>
    <w:rsid w:val="00344CCC"/>
    <w:rsid w:val="00344D60"/>
    <w:rsid w:val="00345132"/>
    <w:rsid w:val="00345625"/>
    <w:rsid w:val="00345B0F"/>
    <w:rsid w:val="00346396"/>
    <w:rsid w:val="003468CF"/>
    <w:rsid w:val="00347350"/>
    <w:rsid w:val="0035053C"/>
    <w:rsid w:val="00350625"/>
    <w:rsid w:val="0035066F"/>
    <w:rsid w:val="003508E4"/>
    <w:rsid w:val="00350B6B"/>
    <w:rsid w:val="00350D1A"/>
    <w:rsid w:val="00351911"/>
    <w:rsid w:val="00351CA6"/>
    <w:rsid w:val="0035242D"/>
    <w:rsid w:val="00352908"/>
    <w:rsid w:val="00352DDF"/>
    <w:rsid w:val="00353168"/>
    <w:rsid w:val="00353628"/>
    <w:rsid w:val="00353C12"/>
    <w:rsid w:val="0035402D"/>
    <w:rsid w:val="003540B9"/>
    <w:rsid w:val="00355008"/>
    <w:rsid w:val="00356312"/>
    <w:rsid w:val="003578F5"/>
    <w:rsid w:val="00357AB3"/>
    <w:rsid w:val="00360534"/>
    <w:rsid w:val="00360978"/>
    <w:rsid w:val="003614DA"/>
    <w:rsid w:val="00361B7B"/>
    <w:rsid w:val="003621C1"/>
    <w:rsid w:val="00362215"/>
    <w:rsid w:val="00362395"/>
    <w:rsid w:val="00363128"/>
    <w:rsid w:val="0036406A"/>
    <w:rsid w:val="00364495"/>
    <w:rsid w:val="00364730"/>
    <w:rsid w:val="00364DDB"/>
    <w:rsid w:val="00364F37"/>
    <w:rsid w:val="00365131"/>
    <w:rsid w:val="00365B84"/>
    <w:rsid w:val="00365E4B"/>
    <w:rsid w:val="00366AC7"/>
    <w:rsid w:val="003674FB"/>
    <w:rsid w:val="0036773B"/>
    <w:rsid w:val="0037036C"/>
    <w:rsid w:val="003710FE"/>
    <w:rsid w:val="00371405"/>
    <w:rsid w:val="003721FE"/>
    <w:rsid w:val="00372DED"/>
    <w:rsid w:val="003731FA"/>
    <w:rsid w:val="00375147"/>
    <w:rsid w:val="00375DA4"/>
    <w:rsid w:val="0037614C"/>
    <w:rsid w:val="0037775C"/>
    <w:rsid w:val="0038047B"/>
    <w:rsid w:val="00381706"/>
    <w:rsid w:val="00381E22"/>
    <w:rsid w:val="00381F87"/>
    <w:rsid w:val="00383028"/>
    <w:rsid w:val="00383DC8"/>
    <w:rsid w:val="00383FBE"/>
    <w:rsid w:val="00385E6A"/>
    <w:rsid w:val="00386182"/>
    <w:rsid w:val="003864A4"/>
    <w:rsid w:val="00386808"/>
    <w:rsid w:val="00386891"/>
    <w:rsid w:val="00387AF5"/>
    <w:rsid w:val="0039222B"/>
    <w:rsid w:val="00392669"/>
    <w:rsid w:val="00392BFE"/>
    <w:rsid w:val="003939C3"/>
    <w:rsid w:val="00393EF1"/>
    <w:rsid w:val="00394C9E"/>
    <w:rsid w:val="00395885"/>
    <w:rsid w:val="00395B8A"/>
    <w:rsid w:val="00396F2A"/>
    <w:rsid w:val="003970AB"/>
    <w:rsid w:val="003A020A"/>
    <w:rsid w:val="003A0AE2"/>
    <w:rsid w:val="003A12F3"/>
    <w:rsid w:val="003A3069"/>
    <w:rsid w:val="003A31D3"/>
    <w:rsid w:val="003A37EF"/>
    <w:rsid w:val="003A3A42"/>
    <w:rsid w:val="003A3F1B"/>
    <w:rsid w:val="003A40F6"/>
    <w:rsid w:val="003A4D0E"/>
    <w:rsid w:val="003A5596"/>
    <w:rsid w:val="003A5704"/>
    <w:rsid w:val="003A5763"/>
    <w:rsid w:val="003A5F48"/>
    <w:rsid w:val="003A5F74"/>
    <w:rsid w:val="003A675E"/>
    <w:rsid w:val="003A6B9A"/>
    <w:rsid w:val="003A6E1E"/>
    <w:rsid w:val="003A7144"/>
    <w:rsid w:val="003A72C7"/>
    <w:rsid w:val="003B06C9"/>
    <w:rsid w:val="003B0FA3"/>
    <w:rsid w:val="003B12CD"/>
    <w:rsid w:val="003B15FF"/>
    <w:rsid w:val="003B26EF"/>
    <w:rsid w:val="003B3512"/>
    <w:rsid w:val="003B361D"/>
    <w:rsid w:val="003B4478"/>
    <w:rsid w:val="003B491A"/>
    <w:rsid w:val="003B55C4"/>
    <w:rsid w:val="003B5F72"/>
    <w:rsid w:val="003B7F91"/>
    <w:rsid w:val="003C01A5"/>
    <w:rsid w:val="003C0C35"/>
    <w:rsid w:val="003C165B"/>
    <w:rsid w:val="003C1A7B"/>
    <w:rsid w:val="003C2788"/>
    <w:rsid w:val="003C2EC6"/>
    <w:rsid w:val="003C30A5"/>
    <w:rsid w:val="003C5216"/>
    <w:rsid w:val="003C614A"/>
    <w:rsid w:val="003C61A7"/>
    <w:rsid w:val="003C6652"/>
    <w:rsid w:val="003C677C"/>
    <w:rsid w:val="003C7060"/>
    <w:rsid w:val="003C7EF0"/>
    <w:rsid w:val="003D00FA"/>
    <w:rsid w:val="003D04D8"/>
    <w:rsid w:val="003D065B"/>
    <w:rsid w:val="003D081D"/>
    <w:rsid w:val="003D17A9"/>
    <w:rsid w:val="003D245A"/>
    <w:rsid w:val="003D2FC1"/>
    <w:rsid w:val="003D499A"/>
    <w:rsid w:val="003D49A8"/>
    <w:rsid w:val="003D5558"/>
    <w:rsid w:val="003D5967"/>
    <w:rsid w:val="003D7DE2"/>
    <w:rsid w:val="003E0107"/>
    <w:rsid w:val="003E0964"/>
    <w:rsid w:val="003E1168"/>
    <w:rsid w:val="003E14EC"/>
    <w:rsid w:val="003E164A"/>
    <w:rsid w:val="003E237C"/>
    <w:rsid w:val="003E260B"/>
    <w:rsid w:val="003E3E9B"/>
    <w:rsid w:val="003E40B7"/>
    <w:rsid w:val="003E60F3"/>
    <w:rsid w:val="003E6437"/>
    <w:rsid w:val="003E658B"/>
    <w:rsid w:val="003E71B0"/>
    <w:rsid w:val="003E7373"/>
    <w:rsid w:val="003E7BBB"/>
    <w:rsid w:val="003E7D1D"/>
    <w:rsid w:val="003F0D33"/>
    <w:rsid w:val="003F1170"/>
    <w:rsid w:val="003F17C8"/>
    <w:rsid w:val="003F1A22"/>
    <w:rsid w:val="003F1ABF"/>
    <w:rsid w:val="003F1BD8"/>
    <w:rsid w:val="003F2188"/>
    <w:rsid w:val="003F23F1"/>
    <w:rsid w:val="003F483A"/>
    <w:rsid w:val="003F4BE9"/>
    <w:rsid w:val="003F4CC7"/>
    <w:rsid w:val="003F5628"/>
    <w:rsid w:val="003F5C12"/>
    <w:rsid w:val="003F6B4E"/>
    <w:rsid w:val="003F730B"/>
    <w:rsid w:val="003F75E1"/>
    <w:rsid w:val="003F7D28"/>
    <w:rsid w:val="003F7D85"/>
    <w:rsid w:val="00400409"/>
    <w:rsid w:val="00400413"/>
    <w:rsid w:val="004008EC"/>
    <w:rsid w:val="00400EF0"/>
    <w:rsid w:val="0040127C"/>
    <w:rsid w:val="00401DAA"/>
    <w:rsid w:val="004020C7"/>
    <w:rsid w:val="004021FB"/>
    <w:rsid w:val="00402213"/>
    <w:rsid w:val="00402FDC"/>
    <w:rsid w:val="0040358D"/>
    <w:rsid w:val="0040442F"/>
    <w:rsid w:val="00404B12"/>
    <w:rsid w:val="00405975"/>
    <w:rsid w:val="0040607E"/>
    <w:rsid w:val="0040685C"/>
    <w:rsid w:val="00407B3C"/>
    <w:rsid w:val="00407B5B"/>
    <w:rsid w:val="0041038F"/>
    <w:rsid w:val="00410CAB"/>
    <w:rsid w:val="0041146E"/>
    <w:rsid w:val="00411766"/>
    <w:rsid w:val="00411982"/>
    <w:rsid w:val="004119AE"/>
    <w:rsid w:val="00411B29"/>
    <w:rsid w:val="00413B5F"/>
    <w:rsid w:val="004142EB"/>
    <w:rsid w:val="004145FD"/>
    <w:rsid w:val="004148A8"/>
    <w:rsid w:val="004156E6"/>
    <w:rsid w:val="00416996"/>
    <w:rsid w:val="0041724F"/>
    <w:rsid w:val="00417D3F"/>
    <w:rsid w:val="00420345"/>
    <w:rsid w:val="0042122B"/>
    <w:rsid w:val="00422368"/>
    <w:rsid w:val="00422A5F"/>
    <w:rsid w:val="00423435"/>
    <w:rsid w:val="004234FF"/>
    <w:rsid w:val="00423944"/>
    <w:rsid w:val="00424CA3"/>
    <w:rsid w:val="00426263"/>
    <w:rsid w:val="004264B9"/>
    <w:rsid w:val="00426782"/>
    <w:rsid w:val="00426F84"/>
    <w:rsid w:val="004275AF"/>
    <w:rsid w:val="00427719"/>
    <w:rsid w:val="00427AAE"/>
    <w:rsid w:val="00427D77"/>
    <w:rsid w:val="00431049"/>
    <w:rsid w:val="0043189F"/>
    <w:rsid w:val="004321CC"/>
    <w:rsid w:val="00433423"/>
    <w:rsid w:val="0043415C"/>
    <w:rsid w:val="00434308"/>
    <w:rsid w:val="00434377"/>
    <w:rsid w:val="00435DFC"/>
    <w:rsid w:val="004360AA"/>
    <w:rsid w:val="00436F52"/>
    <w:rsid w:val="0043724F"/>
    <w:rsid w:val="0043774A"/>
    <w:rsid w:val="00441B2D"/>
    <w:rsid w:val="00441C7D"/>
    <w:rsid w:val="004421D2"/>
    <w:rsid w:val="00443295"/>
    <w:rsid w:val="00443504"/>
    <w:rsid w:val="0044359F"/>
    <w:rsid w:val="00443A0A"/>
    <w:rsid w:val="00443E0A"/>
    <w:rsid w:val="00444346"/>
    <w:rsid w:val="00444905"/>
    <w:rsid w:val="0044536F"/>
    <w:rsid w:val="004454B4"/>
    <w:rsid w:val="00445952"/>
    <w:rsid w:val="00445C66"/>
    <w:rsid w:val="00446004"/>
    <w:rsid w:val="00446A62"/>
    <w:rsid w:val="00446BBA"/>
    <w:rsid w:val="0044754C"/>
    <w:rsid w:val="0045002C"/>
    <w:rsid w:val="00450187"/>
    <w:rsid w:val="004503D8"/>
    <w:rsid w:val="0045082E"/>
    <w:rsid w:val="00451AA2"/>
    <w:rsid w:val="00451B28"/>
    <w:rsid w:val="00451ED0"/>
    <w:rsid w:val="004520F8"/>
    <w:rsid w:val="00452CF3"/>
    <w:rsid w:val="004549EF"/>
    <w:rsid w:val="0045577A"/>
    <w:rsid w:val="00455E9E"/>
    <w:rsid w:val="00456234"/>
    <w:rsid w:val="00456907"/>
    <w:rsid w:val="004608B0"/>
    <w:rsid w:val="00460927"/>
    <w:rsid w:val="00460FC9"/>
    <w:rsid w:val="00461110"/>
    <w:rsid w:val="00461118"/>
    <w:rsid w:val="00461480"/>
    <w:rsid w:val="00462422"/>
    <w:rsid w:val="00463292"/>
    <w:rsid w:val="00463CD2"/>
    <w:rsid w:val="00464020"/>
    <w:rsid w:val="00464D5A"/>
    <w:rsid w:val="0046594A"/>
    <w:rsid w:val="00465C30"/>
    <w:rsid w:val="00465D7A"/>
    <w:rsid w:val="00465F04"/>
    <w:rsid w:val="00465F6A"/>
    <w:rsid w:val="00465FFB"/>
    <w:rsid w:val="004662A3"/>
    <w:rsid w:val="0046634D"/>
    <w:rsid w:val="00466370"/>
    <w:rsid w:val="00466787"/>
    <w:rsid w:val="0046679E"/>
    <w:rsid w:val="00466966"/>
    <w:rsid w:val="0046696A"/>
    <w:rsid w:val="00466D0A"/>
    <w:rsid w:val="00467896"/>
    <w:rsid w:val="0047024B"/>
    <w:rsid w:val="0047025E"/>
    <w:rsid w:val="00470312"/>
    <w:rsid w:val="0047098D"/>
    <w:rsid w:val="004711A5"/>
    <w:rsid w:val="004715BE"/>
    <w:rsid w:val="00471906"/>
    <w:rsid w:val="00471B7B"/>
    <w:rsid w:val="0047239E"/>
    <w:rsid w:val="00473255"/>
    <w:rsid w:val="0047365C"/>
    <w:rsid w:val="00473A82"/>
    <w:rsid w:val="004746F7"/>
    <w:rsid w:val="004749E6"/>
    <w:rsid w:val="00475826"/>
    <w:rsid w:val="00476C00"/>
    <w:rsid w:val="00477E28"/>
    <w:rsid w:val="00477FE3"/>
    <w:rsid w:val="00481611"/>
    <w:rsid w:val="00482888"/>
    <w:rsid w:val="004830E4"/>
    <w:rsid w:val="0048321F"/>
    <w:rsid w:val="0048477A"/>
    <w:rsid w:val="00485177"/>
    <w:rsid w:val="004853EC"/>
    <w:rsid w:val="004856A3"/>
    <w:rsid w:val="0048572D"/>
    <w:rsid w:val="004859CB"/>
    <w:rsid w:val="004861F6"/>
    <w:rsid w:val="00486715"/>
    <w:rsid w:val="00487204"/>
    <w:rsid w:val="00487A82"/>
    <w:rsid w:val="00490068"/>
    <w:rsid w:val="00490261"/>
    <w:rsid w:val="004904C9"/>
    <w:rsid w:val="00490C4F"/>
    <w:rsid w:val="00491B00"/>
    <w:rsid w:val="00491B20"/>
    <w:rsid w:val="00491B9C"/>
    <w:rsid w:val="00492F67"/>
    <w:rsid w:val="004946F2"/>
    <w:rsid w:val="00494BD6"/>
    <w:rsid w:val="00495109"/>
    <w:rsid w:val="00495749"/>
    <w:rsid w:val="00496272"/>
    <w:rsid w:val="00496C02"/>
    <w:rsid w:val="00497175"/>
    <w:rsid w:val="0049717E"/>
    <w:rsid w:val="00497462"/>
    <w:rsid w:val="00497906"/>
    <w:rsid w:val="004A06FA"/>
    <w:rsid w:val="004A0D26"/>
    <w:rsid w:val="004A0EE0"/>
    <w:rsid w:val="004A0FAA"/>
    <w:rsid w:val="004A10E5"/>
    <w:rsid w:val="004A119E"/>
    <w:rsid w:val="004A223E"/>
    <w:rsid w:val="004A31FD"/>
    <w:rsid w:val="004A345B"/>
    <w:rsid w:val="004A34B2"/>
    <w:rsid w:val="004A3DA9"/>
    <w:rsid w:val="004A4A04"/>
    <w:rsid w:val="004A60F1"/>
    <w:rsid w:val="004A799D"/>
    <w:rsid w:val="004A7F08"/>
    <w:rsid w:val="004B0114"/>
    <w:rsid w:val="004B0E70"/>
    <w:rsid w:val="004B1A2A"/>
    <w:rsid w:val="004B2040"/>
    <w:rsid w:val="004B2880"/>
    <w:rsid w:val="004B2955"/>
    <w:rsid w:val="004B2B2E"/>
    <w:rsid w:val="004B341E"/>
    <w:rsid w:val="004B3873"/>
    <w:rsid w:val="004B38AF"/>
    <w:rsid w:val="004B4E4F"/>
    <w:rsid w:val="004B50D0"/>
    <w:rsid w:val="004B54F9"/>
    <w:rsid w:val="004B605F"/>
    <w:rsid w:val="004C14B0"/>
    <w:rsid w:val="004C154C"/>
    <w:rsid w:val="004C18B2"/>
    <w:rsid w:val="004C1C13"/>
    <w:rsid w:val="004C1C25"/>
    <w:rsid w:val="004C23A8"/>
    <w:rsid w:val="004C2A82"/>
    <w:rsid w:val="004C2C23"/>
    <w:rsid w:val="004C3571"/>
    <w:rsid w:val="004C3CC9"/>
    <w:rsid w:val="004C4C36"/>
    <w:rsid w:val="004C51DF"/>
    <w:rsid w:val="004C52E7"/>
    <w:rsid w:val="004C5A17"/>
    <w:rsid w:val="004C5C59"/>
    <w:rsid w:val="004C6BE7"/>
    <w:rsid w:val="004C6F25"/>
    <w:rsid w:val="004C7108"/>
    <w:rsid w:val="004D043E"/>
    <w:rsid w:val="004D051D"/>
    <w:rsid w:val="004D05A8"/>
    <w:rsid w:val="004D05E1"/>
    <w:rsid w:val="004D12CD"/>
    <w:rsid w:val="004D1713"/>
    <w:rsid w:val="004D198D"/>
    <w:rsid w:val="004D26A7"/>
    <w:rsid w:val="004D2CBB"/>
    <w:rsid w:val="004D3EE7"/>
    <w:rsid w:val="004D4C07"/>
    <w:rsid w:val="004D4FDF"/>
    <w:rsid w:val="004D50A4"/>
    <w:rsid w:val="004D556B"/>
    <w:rsid w:val="004D66CA"/>
    <w:rsid w:val="004D6867"/>
    <w:rsid w:val="004D6D21"/>
    <w:rsid w:val="004D7D6C"/>
    <w:rsid w:val="004D7F9B"/>
    <w:rsid w:val="004E0161"/>
    <w:rsid w:val="004E0C71"/>
    <w:rsid w:val="004E0D00"/>
    <w:rsid w:val="004E0E64"/>
    <w:rsid w:val="004E108F"/>
    <w:rsid w:val="004E1F38"/>
    <w:rsid w:val="004E21C9"/>
    <w:rsid w:val="004E21FA"/>
    <w:rsid w:val="004E2945"/>
    <w:rsid w:val="004E2FA1"/>
    <w:rsid w:val="004E301D"/>
    <w:rsid w:val="004E316B"/>
    <w:rsid w:val="004E3AC3"/>
    <w:rsid w:val="004E406A"/>
    <w:rsid w:val="004E4942"/>
    <w:rsid w:val="004E4F0A"/>
    <w:rsid w:val="004E5118"/>
    <w:rsid w:val="004E59BA"/>
    <w:rsid w:val="004E5BCF"/>
    <w:rsid w:val="004E5C83"/>
    <w:rsid w:val="004E5E53"/>
    <w:rsid w:val="004E6679"/>
    <w:rsid w:val="004E7024"/>
    <w:rsid w:val="004E71F3"/>
    <w:rsid w:val="004E7496"/>
    <w:rsid w:val="004E786C"/>
    <w:rsid w:val="004E7B1B"/>
    <w:rsid w:val="004E7B22"/>
    <w:rsid w:val="004E7E1F"/>
    <w:rsid w:val="004F0554"/>
    <w:rsid w:val="004F0AA2"/>
    <w:rsid w:val="004F1523"/>
    <w:rsid w:val="004F3C29"/>
    <w:rsid w:val="004F43B9"/>
    <w:rsid w:val="004F61DA"/>
    <w:rsid w:val="004F6700"/>
    <w:rsid w:val="004F708D"/>
    <w:rsid w:val="004F72B5"/>
    <w:rsid w:val="004F7680"/>
    <w:rsid w:val="004F7813"/>
    <w:rsid w:val="004F7CA7"/>
    <w:rsid w:val="004F7FE5"/>
    <w:rsid w:val="0050005B"/>
    <w:rsid w:val="00500859"/>
    <w:rsid w:val="00501F8C"/>
    <w:rsid w:val="00502EFE"/>
    <w:rsid w:val="0050360E"/>
    <w:rsid w:val="0050394C"/>
    <w:rsid w:val="005041AB"/>
    <w:rsid w:val="0050475E"/>
    <w:rsid w:val="00504832"/>
    <w:rsid w:val="00504AF0"/>
    <w:rsid w:val="00504B85"/>
    <w:rsid w:val="00505289"/>
    <w:rsid w:val="005059EE"/>
    <w:rsid w:val="00505CC2"/>
    <w:rsid w:val="00505EE7"/>
    <w:rsid w:val="005060A7"/>
    <w:rsid w:val="005063ED"/>
    <w:rsid w:val="00506BC6"/>
    <w:rsid w:val="00507348"/>
    <w:rsid w:val="00511415"/>
    <w:rsid w:val="005117D3"/>
    <w:rsid w:val="00511B7B"/>
    <w:rsid w:val="00512AE2"/>
    <w:rsid w:val="005139B5"/>
    <w:rsid w:val="00513F63"/>
    <w:rsid w:val="00514BE4"/>
    <w:rsid w:val="00516771"/>
    <w:rsid w:val="005177CC"/>
    <w:rsid w:val="00517D8D"/>
    <w:rsid w:val="0052001A"/>
    <w:rsid w:val="005217A1"/>
    <w:rsid w:val="0052198A"/>
    <w:rsid w:val="005225BA"/>
    <w:rsid w:val="00522E8A"/>
    <w:rsid w:val="00522FC6"/>
    <w:rsid w:val="00523852"/>
    <w:rsid w:val="00523BA5"/>
    <w:rsid w:val="005240FD"/>
    <w:rsid w:val="00524394"/>
    <w:rsid w:val="005244A0"/>
    <w:rsid w:val="00524907"/>
    <w:rsid w:val="00524995"/>
    <w:rsid w:val="00524DC9"/>
    <w:rsid w:val="005256CC"/>
    <w:rsid w:val="005259EE"/>
    <w:rsid w:val="00525E20"/>
    <w:rsid w:val="0052705D"/>
    <w:rsid w:val="0052740B"/>
    <w:rsid w:val="00530356"/>
    <w:rsid w:val="00530722"/>
    <w:rsid w:val="0053197B"/>
    <w:rsid w:val="00531A4E"/>
    <w:rsid w:val="00531C22"/>
    <w:rsid w:val="00532796"/>
    <w:rsid w:val="005336D8"/>
    <w:rsid w:val="005341D1"/>
    <w:rsid w:val="0053557D"/>
    <w:rsid w:val="0053568D"/>
    <w:rsid w:val="00536292"/>
    <w:rsid w:val="0053692C"/>
    <w:rsid w:val="0053694C"/>
    <w:rsid w:val="00536CA7"/>
    <w:rsid w:val="00536D98"/>
    <w:rsid w:val="0053722B"/>
    <w:rsid w:val="00540117"/>
    <w:rsid w:val="00540E34"/>
    <w:rsid w:val="005427F3"/>
    <w:rsid w:val="00542BCE"/>
    <w:rsid w:val="00543C30"/>
    <w:rsid w:val="00544695"/>
    <w:rsid w:val="005452B9"/>
    <w:rsid w:val="00545A4F"/>
    <w:rsid w:val="005461D2"/>
    <w:rsid w:val="00546873"/>
    <w:rsid w:val="00546BA2"/>
    <w:rsid w:val="00546FE3"/>
    <w:rsid w:val="005474D7"/>
    <w:rsid w:val="005503D7"/>
    <w:rsid w:val="00550592"/>
    <w:rsid w:val="005507ED"/>
    <w:rsid w:val="0055195A"/>
    <w:rsid w:val="00552D02"/>
    <w:rsid w:val="00553A76"/>
    <w:rsid w:val="005547F2"/>
    <w:rsid w:val="00554A78"/>
    <w:rsid w:val="0055507B"/>
    <w:rsid w:val="005550E2"/>
    <w:rsid w:val="00555F3E"/>
    <w:rsid w:val="00557ED3"/>
    <w:rsid w:val="00560280"/>
    <w:rsid w:val="00560896"/>
    <w:rsid w:val="00560938"/>
    <w:rsid w:val="00562893"/>
    <w:rsid w:val="00563C01"/>
    <w:rsid w:val="00563DDF"/>
    <w:rsid w:val="00564964"/>
    <w:rsid w:val="00565708"/>
    <w:rsid w:val="00565BE2"/>
    <w:rsid w:val="00565E76"/>
    <w:rsid w:val="005662A1"/>
    <w:rsid w:val="00566567"/>
    <w:rsid w:val="00566754"/>
    <w:rsid w:val="00567BF9"/>
    <w:rsid w:val="00567F43"/>
    <w:rsid w:val="005701B9"/>
    <w:rsid w:val="0057032F"/>
    <w:rsid w:val="00570409"/>
    <w:rsid w:val="00570F31"/>
    <w:rsid w:val="00571CE2"/>
    <w:rsid w:val="00572450"/>
    <w:rsid w:val="00572BB3"/>
    <w:rsid w:val="005732BF"/>
    <w:rsid w:val="00573498"/>
    <w:rsid w:val="00573E2C"/>
    <w:rsid w:val="00573E38"/>
    <w:rsid w:val="00573F1E"/>
    <w:rsid w:val="005741A5"/>
    <w:rsid w:val="005755F5"/>
    <w:rsid w:val="00575C07"/>
    <w:rsid w:val="0057654A"/>
    <w:rsid w:val="00576EF3"/>
    <w:rsid w:val="00577335"/>
    <w:rsid w:val="00577749"/>
    <w:rsid w:val="005778A0"/>
    <w:rsid w:val="005806DE"/>
    <w:rsid w:val="00580897"/>
    <w:rsid w:val="005814C6"/>
    <w:rsid w:val="005817C6"/>
    <w:rsid w:val="00581EA9"/>
    <w:rsid w:val="005828C7"/>
    <w:rsid w:val="00583134"/>
    <w:rsid w:val="005833E3"/>
    <w:rsid w:val="00583C89"/>
    <w:rsid w:val="00583FD3"/>
    <w:rsid w:val="00584035"/>
    <w:rsid w:val="00584349"/>
    <w:rsid w:val="0058495E"/>
    <w:rsid w:val="00584BF5"/>
    <w:rsid w:val="00585356"/>
    <w:rsid w:val="00585372"/>
    <w:rsid w:val="00585B42"/>
    <w:rsid w:val="005866AF"/>
    <w:rsid w:val="00586FE5"/>
    <w:rsid w:val="0058787A"/>
    <w:rsid w:val="00587921"/>
    <w:rsid w:val="005911B1"/>
    <w:rsid w:val="005916E7"/>
    <w:rsid w:val="00591FE6"/>
    <w:rsid w:val="0059248A"/>
    <w:rsid w:val="0059285C"/>
    <w:rsid w:val="00592D96"/>
    <w:rsid w:val="0059366D"/>
    <w:rsid w:val="00593A32"/>
    <w:rsid w:val="00594F92"/>
    <w:rsid w:val="005951D9"/>
    <w:rsid w:val="00595353"/>
    <w:rsid w:val="00595A96"/>
    <w:rsid w:val="005961F1"/>
    <w:rsid w:val="005962F6"/>
    <w:rsid w:val="0059699F"/>
    <w:rsid w:val="005A0BBA"/>
    <w:rsid w:val="005A0D46"/>
    <w:rsid w:val="005A172F"/>
    <w:rsid w:val="005A1808"/>
    <w:rsid w:val="005A1DF2"/>
    <w:rsid w:val="005A286C"/>
    <w:rsid w:val="005A28CC"/>
    <w:rsid w:val="005A2CEC"/>
    <w:rsid w:val="005A2ED7"/>
    <w:rsid w:val="005A2F4C"/>
    <w:rsid w:val="005A3912"/>
    <w:rsid w:val="005A4AC8"/>
    <w:rsid w:val="005A5196"/>
    <w:rsid w:val="005A6198"/>
    <w:rsid w:val="005A62BB"/>
    <w:rsid w:val="005A70CB"/>
    <w:rsid w:val="005A7DB8"/>
    <w:rsid w:val="005A7F91"/>
    <w:rsid w:val="005B0561"/>
    <w:rsid w:val="005B1092"/>
    <w:rsid w:val="005B1812"/>
    <w:rsid w:val="005B1A35"/>
    <w:rsid w:val="005B22BD"/>
    <w:rsid w:val="005B2426"/>
    <w:rsid w:val="005B28E9"/>
    <w:rsid w:val="005B31F1"/>
    <w:rsid w:val="005B49F2"/>
    <w:rsid w:val="005B4B1F"/>
    <w:rsid w:val="005B5EAD"/>
    <w:rsid w:val="005B6D12"/>
    <w:rsid w:val="005B739D"/>
    <w:rsid w:val="005C07F8"/>
    <w:rsid w:val="005C18B8"/>
    <w:rsid w:val="005C1FAB"/>
    <w:rsid w:val="005C2754"/>
    <w:rsid w:val="005C34F3"/>
    <w:rsid w:val="005C38F3"/>
    <w:rsid w:val="005C3D74"/>
    <w:rsid w:val="005C4287"/>
    <w:rsid w:val="005C4365"/>
    <w:rsid w:val="005C50C8"/>
    <w:rsid w:val="005C51E6"/>
    <w:rsid w:val="005C5415"/>
    <w:rsid w:val="005C5C63"/>
    <w:rsid w:val="005C5D34"/>
    <w:rsid w:val="005C726C"/>
    <w:rsid w:val="005C7C83"/>
    <w:rsid w:val="005D048D"/>
    <w:rsid w:val="005D04D6"/>
    <w:rsid w:val="005D1131"/>
    <w:rsid w:val="005D1D68"/>
    <w:rsid w:val="005D20AF"/>
    <w:rsid w:val="005D3941"/>
    <w:rsid w:val="005D3C19"/>
    <w:rsid w:val="005D4498"/>
    <w:rsid w:val="005D48FB"/>
    <w:rsid w:val="005D4F0B"/>
    <w:rsid w:val="005D5132"/>
    <w:rsid w:val="005D565E"/>
    <w:rsid w:val="005D5F87"/>
    <w:rsid w:val="005D5F99"/>
    <w:rsid w:val="005D646C"/>
    <w:rsid w:val="005D6B16"/>
    <w:rsid w:val="005D6CDD"/>
    <w:rsid w:val="005D70FE"/>
    <w:rsid w:val="005D7A49"/>
    <w:rsid w:val="005E01D1"/>
    <w:rsid w:val="005E03DF"/>
    <w:rsid w:val="005E08B1"/>
    <w:rsid w:val="005E09CE"/>
    <w:rsid w:val="005E137D"/>
    <w:rsid w:val="005E1A5C"/>
    <w:rsid w:val="005E1AD3"/>
    <w:rsid w:val="005E2FC3"/>
    <w:rsid w:val="005E2FEF"/>
    <w:rsid w:val="005E3097"/>
    <w:rsid w:val="005E33A8"/>
    <w:rsid w:val="005E39C9"/>
    <w:rsid w:val="005E41DA"/>
    <w:rsid w:val="005E4EEB"/>
    <w:rsid w:val="005E4FA7"/>
    <w:rsid w:val="005E5158"/>
    <w:rsid w:val="005E52DB"/>
    <w:rsid w:val="005E78D9"/>
    <w:rsid w:val="005F0015"/>
    <w:rsid w:val="005F00BA"/>
    <w:rsid w:val="005F04F5"/>
    <w:rsid w:val="005F156C"/>
    <w:rsid w:val="005F1F8D"/>
    <w:rsid w:val="005F1FEE"/>
    <w:rsid w:val="005F2A93"/>
    <w:rsid w:val="005F2B13"/>
    <w:rsid w:val="005F2E22"/>
    <w:rsid w:val="005F2FDE"/>
    <w:rsid w:val="005F30E1"/>
    <w:rsid w:val="005F3B5C"/>
    <w:rsid w:val="005F4AE3"/>
    <w:rsid w:val="005F5265"/>
    <w:rsid w:val="005F558E"/>
    <w:rsid w:val="005F587B"/>
    <w:rsid w:val="005F601A"/>
    <w:rsid w:val="005F62B2"/>
    <w:rsid w:val="005F6454"/>
    <w:rsid w:val="005F6D05"/>
    <w:rsid w:val="005F7748"/>
    <w:rsid w:val="005F79DF"/>
    <w:rsid w:val="005F7A26"/>
    <w:rsid w:val="006005E0"/>
    <w:rsid w:val="00600DAE"/>
    <w:rsid w:val="00601262"/>
    <w:rsid w:val="00601C17"/>
    <w:rsid w:val="00601E1A"/>
    <w:rsid w:val="00602910"/>
    <w:rsid w:val="00603920"/>
    <w:rsid w:val="006041A0"/>
    <w:rsid w:val="006048A6"/>
    <w:rsid w:val="00604D73"/>
    <w:rsid w:val="00605E3C"/>
    <w:rsid w:val="006061B5"/>
    <w:rsid w:val="006064F9"/>
    <w:rsid w:val="006069AF"/>
    <w:rsid w:val="00606C63"/>
    <w:rsid w:val="00606D8F"/>
    <w:rsid w:val="0060720C"/>
    <w:rsid w:val="0060794D"/>
    <w:rsid w:val="00607ADE"/>
    <w:rsid w:val="00607C44"/>
    <w:rsid w:val="00607C6A"/>
    <w:rsid w:val="00610169"/>
    <w:rsid w:val="0061088A"/>
    <w:rsid w:val="00610D04"/>
    <w:rsid w:val="00610F49"/>
    <w:rsid w:val="006125B3"/>
    <w:rsid w:val="0061287F"/>
    <w:rsid w:val="006138A6"/>
    <w:rsid w:val="006143E7"/>
    <w:rsid w:val="0061553A"/>
    <w:rsid w:val="00615AA2"/>
    <w:rsid w:val="00616996"/>
    <w:rsid w:val="00616B72"/>
    <w:rsid w:val="0062004A"/>
    <w:rsid w:val="00620601"/>
    <w:rsid w:val="006206E5"/>
    <w:rsid w:val="00620B33"/>
    <w:rsid w:val="00621830"/>
    <w:rsid w:val="0062186C"/>
    <w:rsid w:val="00621B7E"/>
    <w:rsid w:val="00621C08"/>
    <w:rsid w:val="006224FD"/>
    <w:rsid w:val="0062270F"/>
    <w:rsid w:val="00622756"/>
    <w:rsid w:val="00622807"/>
    <w:rsid w:val="00623134"/>
    <w:rsid w:val="0062318A"/>
    <w:rsid w:val="006243DD"/>
    <w:rsid w:val="006243ED"/>
    <w:rsid w:val="0062493E"/>
    <w:rsid w:val="00626539"/>
    <w:rsid w:val="006266CF"/>
    <w:rsid w:val="00631188"/>
    <w:rsid w:val="006314C4"/>
    <w:rsid w:val="006315E4"/>
    <w:rsid w:val="00633BBF"/>
    <w:rsid w:val="00635148"/>
    <w:rsid w:val="006358C8"/>
    <w:rsid w:val="00635E92"/>
    <w:rsid w:val="00636A81"/>
    <w:rsid w:val="00637BED"/>
    <w:rsid w:val="006410DA"/>
    <w:rsid w:val="006414F7"/>
    <w:rsid w:val="00642B49"/>
    <w:rsid w:val="00642D7C"/>
    <w:rsid w:val="00642EA7"/>
    <w:rsid w:val="0064347D"/>
    <w:rsid w:val="00643836"/>
    <w:rsid w:val="00643E91"/>
    <w:rsid w:val="00644118"/>
    <w:rsid w:val="006443BE"/>
    <w:rsid w:val="006445BC"/>
    <w:rsid w:val="00644D3B"/>
    <w:rsid w:val="006450B9"/>
    <w:rsid w:val="006455FC"/>
    <w:rsid w:val="00645F9A"/>
    <w:rsid w:val="00650B0B"/>
    <w:rsid w:val="006517DB"/>
    <w:rsid w:val="0065182C"/>
    <w:rsid w:val="00652592"/>
    <w:rsid w:val="00652777"/>
    <w:rsid w:val="00652C7B"/>
    <w:rsid w:val="00653516"/>
    <w:rsid w:val="0065389D"/>
    <w:rsid w:val="0065395C"/>
    <w:rsid w:val="0065418C"/>
    <w:rsid w:val="006545F9"/>
    <w:rsid w:val="0065583B"/>
    <w:rsid w:val="006558F5"/>
    <w:rsid w:val="00655B06"/>
    <w:rsid w:val="00655E1F"/>
    <w:rsid w:val="00656AD3"/>
    <w:rsid w:val="00656F2B"/>
    <w:rsid w:val="00657FC6"/>
    <w:rsid w:val="0066054D"/>
    <w:rsid w:val="0066071A"/>
    <w:rsid w:val="0066114A"/>
    <w:rsid w:val="006619F6"/>
    <w:rsid w:val="00662284"/>
    <w:rsid w:val="00662819"/>
    <w:rsid w:val="00663263"/>
    <w:rsid w:val="00663D31"/>
    <w:rsid w:val="006641F8"/>
    <w:rsid w:val="00664574"/>
    <w:rsid w:val="00664B98"/>
    <w:rsid w:val="0066506E"/>
    <w:rsid w:val="0066570A"/>
    <w:rsid w:val="00665E81"/>
    <w:rsid w:val="00666258"/>
    <w:rsid w:val="0066657F"/>
    <w:rsid w:val="00667609"/>
    <w:rsid w:val="00667658"/>
    <w:rsid w:val="00671ADF"/>
    <w:rsid w:val="00672872"/>
    <w:rsid w:val="00672A21"/>
    <w:rsid w:val="00672F8E"/>
    <w:rsid w:val="006749AB"/>
    <w:rsid w:val="00675726"/>
    <w:rsid w:val="00675987"/>
    <w:rsid w:val="006764EB"/>
    <w:rsid w:val="0067684A"/>
    <w:rsid w:val="006768FC"/>
    <w:rsid w:val="006773AA"/>
    <w:rsid w:val="0068019F"/>
    <w:rsid w:val="0068147E"/>
    <w:rsid w:val="00681800"/>
    <w:rsid w:val="00681D83"/>
    <w:rsid w:val="006828D0"/>
    <w:rsid w:val="006828FF"/>
    <w:rsid w:val="00683775"/>
    <w:rsid w:val="0068382D"/>
    <w:rsid w:val="00684079"/>
    <w:rsid w:val="00684804"/>
    <w:rsid w:val="00685490"/>
    <w:rsid w:val="006855A6"/>
    <w:rsid w:val="0068565E"/>
    <w:rsid w:val="00686507"/>
    <w:rsid w:val="00686572"/>
    <w:rsid w:val="00686B5B"/>
    <w:rsid w:val="00687A8A"/>
    <w:rsid w:val="00690739"/>
    <w:rsid w:val="00691600"/>
    <w:rsid w:val="006917A7"/>
    <w:rsid w:val="006918BB"/>
    <w:rsid w:val="0069210D"/>
    <w:rsid w:val="006938E3"/>
    <w:rsid w:val="00693CF4"/>
    <w:rsid w:val="0069461A"/>
    <w:rsid w:val="00694AFC"/>
    <w:rsid w:val="00694D32"/>
    <w:rsid w:val="00695649"/>
    <w:rsid w:val="00695B82"/>
    <w:rsid w:val="00695BC6"/>
    <w:rsid w:val="00695DD3"/>
    <w:rsid w:val="00695EE3"/>
    <w:rsid w:val="006963D4"/>
    <w:rsid w:val="006968AF"/>
    <w:rsid w:val="00696B4C"/>
    <w:rsid w:val="0069747D"/>
    <w:rsid w:val="0069798D"/>
    <w:rsid w:val="00697C03"/>
    <w:rsid w:val="00697DFF"/>
    <w:rsid w:val="006A0284"/>
    <w:rsid w:val="006A0555"/>
    <w:rsid w:val="006A0B0F"/>
    <w:rsid w:val="006A1364"/>
    <w:rsid w:val="006A180E"/>
    <w:rsid w:val="006A1A8A"/>
    <w:rsid w:val="006A1D3B"/>
    <w:rsid w:val="006A1DE3"/>
    <w:rsid w:val="006A1E6B"/>
    <w:rsid w:val="006A2384"/>
    <w:rsid w:val="006A25CB"/>
    <w:rsid w:val="006A2B05"/>
    <w:rsid w:val="006A30B5"/>
    <w:rsid w:val="006A3D0D"/>
    <w:rsid w:val="006A3EC7"/>
    <w:rsid w:val="006A40ED"/>
    <w:rsid w:val="006A421F"/>
    <w:rsid w:val="006A4553"/>
    <w:rsid w:val="006A6F6A"/>
    <w:rsid w:val="006A7EA3"/>
    <w:rsid w:val="006B0343"/>
    <w:rsid w:val="006B0FA2"/>
    <w:rsid w:val="006B1801"/>
    <w:rsid w:val="006B265D"/>
    <w:rsid w:val="006B2974"/>
    <w:rsid w:val="006B4433"/>
    <w:rsid w:val="006B44E7"/>
    <w:rsid w:val="006B45C3"/>
    <w:rsid w:val="006B4FC0"/>
    <w:rsid w:val="006B5501"/>
    <w:rsid w:val="006B5554"/>
    <w:rsid w:val="006B60F8"/>
    <w:rsid w:val="006B6574"/>
    <w:rsid w:val="006B68A1"/>
    <w:rsid w:val="006C10D4"/>
    <w:rsid w:val="006C188B"/>
    <w:rsid w:val="006C1FB9"/>
    <w:rsid w:val="006C3358"/>
    <w:rsid w:val="006C382F"/>
    <w:rsid w:val="006C5042"/>
    <w:rsid w:val="006C5A96"/>
    <w:rsid w:val="006C5E59"/>
    <w:rsid w:val="006D0154"/>
    <w:rsid w:val="006D0A20"/>
    <w:rsid w:val="006D0DF1"/>
    <w:rsid w:val="006D122D"/>
    <w:rsid w:val="006D15CF"/>
    <w:rsid w:val="006D3476"/>
    <w:rsid w:val="006D5C82"/>
    <w:rsid w:val="006D5D02"/>
    <w:rsid w:val="006D7AFB"/>
    <w:rsid w:val="006E038C"/>
    <w:rsid w:val="006E15C7"/>
    <w:rsid w:val="006E186E"/>
    <w:rsid w:val="006E1F1E"/>
    <w:rsid w:val="006E1FAD"/>
    <w:rsid w:val="006E21F6"/>
    <w:rsid w:val="006E2382"/>
    <w:rsid w:val="006E2637"/>
    <w:rsid w:val="006E305F"/>
    <w:rsid w:val="006E3A0F"/>
    <w:rsid w:val="006E3D10"/>
    <w:rsid w:val="006E48D0"/>
    <w:rsid w:val="006E5124"/>
    <w:rsid w:val="006F0637"/>
    <w:rsid w:val="006F11DA"/>
    <w:rsid w:val="006F158A"/>
    <w:rsid w:val="006F17D0"/>
    <w:rsid w:val="006F1AB1"/>
    <w:rsid w:val="006F2E54"/>
    <w:rsid w:val="006F3076"/>
    <w:rsid w:val="006F31B7"/>
    <w:rsid w:val="006F3A4C"/>
    <w:rsid w:val="006F3CCF"/>
    <w:rsid w:val="006F5BBB"/>
    <w:rsid w:val="006F5C6B"/>
    <w:rsid w:val="006F6836"/>
    <w:rsid w:val="006F7BF8"/>
    <w:rsid w:val="00701962"/>
    <w:rsid w:val="00701CCD"/>
    <w:rsid w:val="007021A8"/>
    <w:rsid w:val="00702F0F"/>
    <w:rsid w:val="00703DE5"/>
    <w:rsid w:val="0070451B"/>
    <w:rsid w:val="00704B48"/>
    <w:rsid w:val="007059EA"/>
    <w:rsid w:val="007063F5"/>
    <w:rsid w:val="00706638"/>
    <w:rsid w:val="00706D61"/>
    <w:rsid w:val="00707790"/>
    <w:rsid w:val="007078AE"/>
    <w:rsid w:val="00707B13"/>
    <w:rsid w:val="007100F9"/>
    <w:rsid w:val="00710D61"/>
    <w:rsid w:val="00711849"/>
    <w:rsid w:val="0071196B"/>
    <w:rsid w:val="00711A82"/>
    <w:rsid w:val="007120A1"/>
    <w:rsid w:val="00712E98"/>
    <w:rsid w:val="007137C8"/>
    <w:rsid w:val="00713D38"/>
    <w:rsid w:val="007141A3"/>
    <w:rsid w:val="007142E0"/>
    <w:rsid w:val="00714C25"/>
    <w:rsid w:val="00714C62"/>
    <w:rsid w:val="007153E9"/>
    <w:rsid w:val="00715614"/>
    <w:rsid w:val="0071648F"/>
    <w:rsid w:val="0072020C"/>
    <w:rsid w:val="0072025E"/>
    <w:rsid w:val="00720AC8"/>
    <w:rsid w:val="007213BC"/>
    <w:rsid w:val="0072143C"/>
    <w:rsid w:val="00721F21"/>
    <w:rsid w:val="00723710"/>
    <w:rsid w:val="007247CA"/>
    <w:rsid w:val="00724EFB"/>
    <w:rsid w:val="00725AA3"/>
    <w:rsid w:val="00725BEC"/>
    <w:rsid w:val="00725ECF"/>
    <w:rsid w:val="00725FF3"/>
    <w:rsid w:val="007264F1"/>
    <w:rsid w:val="00726E60"/>
    <w:rsid w:val="00727A2A"/>
    <w:rsid w:val="00730170"/>
    <w:rsid w:val="007303BE"/>
    <w:rsid w:val="007323D5"/>
    <w:rsid w:val="0073242E"/>
    <w:rsid w:val="007325A9"/>
    <w:rsid w:val="007334C2"/>
    <w:rsid w:val="007344C8"/>
    <w:rsid w:val="00734600"/>
    <w:rsid w:val="007346BF"/>
    <w:rsid w:val="0073473D"/>
    <w:rsid w:val="00734CC8"/>
    <w:rsid w:val="00734CFC"/>
    <w:rsid w:val="007351A5"/>
    <w:rsid w:val="00735BC0"/>
    <w:rsid w:val="00736271"/>
    <w:rsid w:val="00736908"/>
    <w:rsid w:val="00736B13"/>
    <w:rsid w:val="0073737C"/>
    <w:rsid w:val="00737A77"/>
    <w:rsid w:val="007408C7"/>
    <w:rsid w:val="00740E32"/>
    <w:rsid w:val="0074178C"/>
    <w:rsid w:val="007423B6"/>
    <w:rsid w:val="007427DB"/>
    <w:rsid w:val="007429F1"/>
    <w:rsid w:val="0074314B"/>
    <w:rsid w:val="007438AD"/>
    <w:rsid w:val="00743E8C"/>
    <w:rsid w:val="00744681"/>
    <w:rsid w:val="00744934"/>
    <w:rsid w:val="00744D89"/>
    <w:rsid w:val="00744E32"/>
    <w:rsid w:val="00745626"/>
    <w:rsid w:val="00746ACC"/>
    <w:rsid w:val="00747DF4"/>
    <w:rsid w:val="007501D5"/>
    <w:rsid w:val="00750A0B"/>
    <w:rsid w:val="0075135F"/>
    <w:rsid w:val="007528A2"/>
    <w:rsid w:val="0075306E"/>
    <w:rsid w:val="007536FC"/>
    <w:rsid w:val="0075399D"/>
    <w:rsid w:val="00753CC3"/>
    <w:rsid w:val="00754E6B"/>
    <w:rsid w:val="00754ECA"/>
    <w:rsid w:val="0075526D"/>
    <w:rsid w:val="00755274"/>
    <w:rsid w:val="0075672C"/>
    <w:rsid w:val="00756B47"/>
    <w:rsid w:val="007571A7"/>
    <w:rsid w:val="00760094"/>
    <w:rsid w:val="00761A31"/>
    <w:rsid w:val="00761A50"/>
    <w:rsid w:val="00762E60"/>
    <w:rsid w:val="00763956"/>
    <w:rsid w:val="00764244"/>
    <w:rsid w:val="0076442C"/>
    <w:rsid w:val="00765825"/>
    <w:rsid w:val="00765C2A"/>
    <w:rsid w:val="007662AC"/>
    <w:rsid w:val="007663CF"/>
    <w:rsid w:val="00766517"/>
    <w:rsid w:val="00766BF5"/>
    <w:rsid w:val="0076710C"/>
    <w:rsid w:val="007673C6"/>
    <w:rsid w:val="007674A0"/>
    <w:rsid w:val="00770291"/>
    <w:rsid w:val="00771218"/>
    <w:rsid w:val="0077164F"/>
    <w:rsid w:val="00771F61"/>
    <w:rsid w:val="007720CB"/>
    <w:rsid w:val="007721B7"/>
    <w:rsid w:val="00772269"/>
    <w:rsid w:val="00772329"/>
    <w:rsid w:val="00772754"/>
    <w:rsid w:val="00773012"/>
    <w:rsid w:val="0077355E"/>
    <w:rsid w:val="00773FF8"/>
    <w:rsid w:val="00774543"/>
    <w:rsid w:val="0077486D"/>
    <w:rsid w:val="00774F69"/>
    <w:rsid w:val="00774FAD"/>
    <w:rsid w:val="0077667F"/>
    <w:rsid w:val="00776E93"/>
    <w:rsid w:val="00776F26"/>
    <w:rsid w:val="00776FCE"/>
    <w:rsid w:val="007776C5"/>
    <w:rsid w:val="00777942"/>
    <w:rsid w:val="00777B8E"/>
    <w:rsid w:val="00780026"/>
    <w:rsid w:val="0078010D"/>
    <w:rsid w:val="00780280"/>
    <w:rsid w:val="007803D2"/>
    <w:rsid w:val="00780A2F"/>
    <w:rsid w:val="00780F6C"/>
    <w:rsid w:val="00781101"/>
    <w:rsid w:val="007813C7"/>
    <w:rsid w:val="00781844"/>
    <w:rsid w:val="00781D26"/>
    <w:rsid w:val="00781EDA"/>
    <w:rsid w:val="0078211F"/>
    <w:rsid w:val="007822CD"/>
    <w:rsid w:val="0078269F"/>
    <w:rsid w:val="00783337"/>
    <w:rsid w:val="007834A0"/>
    <w:rsid w:val="0078353A"/>
    <w:rsid w:val="00783C11"/>
    <w:rsid w:val="00784CCE"/>
    <w:rsid w:val="00784F55"/>
    <w:rsid w:val="00785526"/>
    <w:rsid w:val="0078591C"/>
    <w:rsid w:val="00785AE5"/>
    <w:rsid w:val="00785DAC"/>
    <w:rsid w:val="0078746F"/>
    <w:rsid w:val="0078750B"/>
    <w:rsid w:val="00787796"/>
    <w:rsid w:val="00791B3D"/>
    <w:rsid w:val="00791BC0"/>
    <w:rsid w:val="007920D8"/>
    <w:rsid w:val="007922FA"/>
    <w:rsid w:val="00792418"/>
    <w:rsid w:val="00792C55"/>
    <w:rsid w:val="007933CB"/>
    <w:rsid w:val="007935EC"/>
    <w:rsid w:val="00794456"/>
    <w:rsid w:val="007946A3"/>
    <w:rsid w:val="007946E1"/>
    <w:rsid w:val="00794711"/>
    <w:rsid w:val="0079497F"/>
    <w:rsid w:val="00795A4A"/>
    <w:rsid w:val="00795E42"/>
    <w:rsid w:val="00795E7D"/>
    <w:rsid w:val="0079619E"/>
    <w:rsid w:val="007965E0"/>
    <w:rsid w:val="0079700D"/>
    <w:rsid w:val="0079769B"/>
    <w:rsid w:val="00797757"/>
    <w:rsid w:val="00797D93"/>
    <w:rsid w:val="007A0995"/>
    <w:rsid w:val="007A0A19"/>
    <w:rsid w:val="007A0D94"/>
    <w:rsid w:val="007A14C2"/>
    <w:rsid w:val="007A2C1B"/>
    <w:rsid w:val="007A3425"/>
    <w:rsid w:val="007A357D"/>
    <w:rsid w:val="007A39C4"/>
    <w:rsid w:val="007A403C"/>
    <w:rsid w:val="007A40F0"/>
    <w:rsid w:val="007A447E"/>
    <w:rsid w:val="007A4AD0"/>
    <w:rsid w:val="007A4AD3"/>
    <w:rsid w:val="007A598D"/>
    <w:rsid w:val="007A6306"/>
    <w:rsid w:val="007A6433"/>
    <w:rsid w:val="007A6F13"/>
    <w:rsid w:val="007A7584"/>
    <w:rsid w:val="007B06E2"/>
    <w:rsid w:val="007B0914"/>
    <w:rsid w:val="007B0F38"/>
    <w:rsid w:val="007B14D3"/>
    <w:rsid w:val="007B1A7D"/>
    <w:rsid w:val="007B22E5"/>
    <w:rsid w:val="007B3344"/>
    <w:rsid w:val="007B342C"/>
    <w:rsid w:val="007B35F2"/>
    <w:rsid w:val="007B5866"/>
    <w:rsid w:val="007B6C30"/>
    <w:rsid w:val="007B74CC"/>
    <w:rsid w:val="007C024F"/>
    <w:rsid w:val="007C1400"/>
    <w:rsid w:val="007C3361"/>
    <w:rsid w:val="007C56CC"/>
    <w:rsid w:val="007C7635"/>
    <w:rsid w:val="007C7656"/>
    <w:rsid w:val="007D016B"/>
    <w:rsid w:val="007D05E6"/>
    <w:rsid w:val="007D1432"/>
    <w:rsid w:val="007D2481"/>
    <w:rsid w:val="007D27E5"/>
    <w:rsid w:val="007D2A19"/>
    <w:rsid w:val="007D2B47"/>
    <w:rsid w:val="007D5256"/>
    <w:rsid w:val="007D6726"/>
    <w:rsid w:val="007D6CEF"/>
    <w:rsid w:val="007D7C61"/>
    <w:rsid w:val="007E0311"/>
    <w:rsid w:val="007E036F"/>
    <w:rsid w:val="007E0423"/>
    <w:rsid w:val="007E04B6"/>
    <w:rsid w:val="007E0545"/>
    <w:rsid w:val="007E093E"/>
    <w:rsid w:val="007E0971"/>
    <w:rsid w:val="007E0EAB"/>
    <w:rsid w:val="007E1115"/>
    <w:rsid w:val="007E118F"/>
    <w:rsid w:val="007E12F7"/>
    <w:rsid w:val="007E2574"/>
    <w:rsid w:val="007E2738"/>
    <w:rsid w:val="007E2F26"/>
    <w:rsid w:val="007E383D"/>
    <w:rsid w:val="007E3CEA"/>
    <w:rsid w:val="007E408A"/>
    <w:rsid w:val="007E4334"/>
    <w:rsid w:val="007E5363"/>
    <w:rsid w:val="007E5367"/>
    <w:rsid w:val="007E580E"/>
    <w:rsid w:val="007E6173"/>
    <w:rsid w:val="007E61B0"/>
    <w:rsid w:val="007E65C6"/>
    <w:rsid w:val="007E6650"/>
    <w:rsid w:val="007E6CB0"/>
    <w:rsid w:val="007E702A"/>
    <w:rsid w:val="007E7727"/>
    <w:rsid w:val="007E7B6E"/>
    <w:rsid w:val="007E7F4B"/>
    <w:rsid w:val="007F088C"/>
    <w:rsid w:val="007F13DF"/>
    <w:rsid w:val="007F17D6"/>
    <w:rsid w:val="007F2490"/>
    <w:rsid w:val="007F2E45"/>
    <w:rsid w:val="007F31CA"/>
    <w:rsid w:val="007F34E5"/>
    <w:rsid w:val="007F52B3"/>
    <w:rsid w:val="007F564D"/>
    <w:rsid w:val="007F56D8"/>
    <w:rsid w:val="007F5C05"/>
    <w:rsid w:val="007F670C"/>
    <w:rsid w:val="007F76C3"/>
    <w:rsid w:val="007F7A2F"/>
    <w:rsid w:val="007F7AF9"/>
    <w:rsid w:val="007F7CBD"/>
    <w:rsid w:val="00800656"/>
    <w:rsid w:val="00800664"/>
    <w:rsid w:val="00800754"/>
    <w:rsid w:val="00800B26"/>
    <w:rsid w:val="00801797"/>
    <w:rsid w:val="00801B45"/>
    <w:rsid w:val="00802063"/>
    <w:rsid w:val="008023D1"/>
    <w:rsid w:val="00802D3A"/>
    <w:rsid w:val="0080361E"/>
    <w:rsid w:val="00805333"/>
    <w:rsid w:val="00805AA0"/>
    <w:rsid w:val="00806675"/>
    <w:rsid w:val="008070ED"/>
    <w:rsid w:val="00807606"/>
    <w:rsid w:val="008077F0"/>
    <w:rsid w:val="008107E0"/>
    <w:rsid w:val="00810C10"/>
    <w:rsid w:val="00811B13"/>
    <w:rsid w:val="00811D8C"/>
    <w:rsid w:val="00811F5D"/>
    <w:rsid w:val="008131D4"/>
    <w:rsid w:val="00813894"/>
    <w:rsid w:val="00813D79"/>
    <w:rsid w:val="00813E8A"/>
    <w:rsid w:val="00814537"/>
    <w:rsid w:val="0081484D"/>
    <w:rsid w:val="00814935"/>
    <w:rsid w:val="00814950"/>
    <w:rsid w:val="00814EE3"/>
    <w:rsid w:val="00814F96"/>
    <w:rsid w:val="00814FF0"/>
    <w:rsid w:val="00815ABE"/>
    <w:rsid w:val="008162D9"/>
    <w:rsid w:val="008164F2"/>
    <w:rsid w:val="0081682F"/>
    <w:rsid w:val="008170AB"/>
    <w:rsid w:val="00817A9C"/>
    <w:rsid w:val="00817F42"/>
    <w:rsid w:val="00820630"/>
    <w:rsid w:val="008206B2"/>
    <w:rsid w:val="00820B0C"/>
    <w:rsid w:val="0082117C"/>
    <w:rsid w:val="008214F8"/>
    <w:rsid w:val="008215F2"/>
    <w:rsid w:val="00821853"/>
    <w:rsid w:val="00821BC5"/>
    <w:rsid w:val="00821FAD"/>
    <w:rsid w:val="008225CE"/>
    <w:rsid w:val="0082264A"/>
    <w:rsid w:val="0082286B"/>
    <w:rsid w:val="00823F10"/>
    <w:rsid w:val="00823FCA"/>
    <w:rsid w:val="0082422C"/>
    <w:rsid w:val="00824276"/>
    <w:rsid w:val="008247C2"/>
    <w:rsid w:val="0082480C"/>
    <w:rsid w:val="00825A38"/>
    <w:rsid w:val="00825D18"/>
    <w:rsid w:val="00825EA0"/>
    <w:rsid w:val="00826CFF"/>
    <w:rsid w:val="008270B1"/>
    <w:rsid w:val="00827850"/>
    <w:rsid w:val="00827FBC"/>
    <w:rsid w:val="00830193"/>
    <w:rsid w:val="00830CB1"/>
    <w:rsid w:val="00830FBD"/>
    <w:rsid w:val="008312FD"/>
    <w:rsid w:val="00831938"/>
    <w:rsid w:val="00831AB6"/>
    <w:rsid w:val="00831C09"/>
    <w:rsid w:val="00831C6F"/>
    <w:rsid w:val="00831FA1"/>
    <w:rsid w:val="00832CD7"/>
    <w:rsid w:val="0083339F"/>
    <w:rsid w:val="008334A5"/>
    <w:rsid w:val="008346D4"/>
    <w:rsid w:val="00834813"/>
    <w:rsid w:val="00834B63"/>
    <w:rsid w:val="00835362"/>
    <w:rsid w:val="00835701"/>
    <w:rsid w:val="00835E91"/>
    <w:rsid w:val="008363C0"/>
    <w:rsid w:val="0083682E"/>
    <w:rsid w:val="00836C25"/>
    <w:rsid w:val="00837752"/>
    <w:rsid w:val="00837D64"/>
    <w:rsid w:val="00840DC3"/>
    <w:rsid w:val="008414AB"/>
    <w:rsid w:val="00841EEA"/>
    <w:rsid w:val="008426FC"/>
    <w:rsid w:val="00842EBE"/>
    <w:rsid w:val="0084366E"/>
    <w:rsid w:val="00843E42"/>
    <w:rsid w:val="0084415F"/>
    <w:rsid w:val="0084476E"/>
    <w:rsid w:val="00844C8D"/>
    <w:rsid w:val="00845176"/>
    <w:rsid w:val="00845AA0"/>
    <w:rsid w:val="00845C9C"/>
    <w:rsid w:val="008462E8"/>
    <w:rsid w:val="008465ED"/>
    <w:rsid w:val="0085085B"/>
    <w:rsid w:val="00851006"/>
    <w:rsid w:val="00851CFE"/>
    <w:rsid w:val="00852089"/>
    <w:rsid w:val="008529DF"/>
    <w:rsid w:val="00852F41"/>
    <w:rsid w:val="008540AF"/>
    <w:rsid w:val="00854BF8"/>
    <w:rsid w:val="00854E07"/>
    <w:rsid w:val="008552C5"/>
    <w:rsid w:val="008557C6"/>
    <w:rsid w:val="00855EA1"/>
    <w:rsid w:val="008563C2"/>
    <w:rsid w:val="00856590"/>
    <w:rsid w:val="008565D8"/>
    <w:rsid w:val="00857C2F"/>
    <w:rsid w:val="00860897"/>
    <w:rsid w:val="00861DC1"/>
    <w:rsid w:val="00862C3C"/>
    <w:rsid w:val="00862DDE"/>
    <w:rsid w:val="00863C24"/>
    <w:rsid w:val="00863C93"/>
    <w:rsid w:val="00864EE7"/>
    <w:rsid w:val="00865156"/>
    <w:rsid w:val="00865571"/>
    <w:rsid w:val="00865B52"/>
    <w:rsid w:val="0086684D"/>
    <w:rsid w:val="00866F2E"/>
    <w:rsid w:val="00867177"/>
    <w:rsid w:val="00870486"/>
    <w:rsid w:val="00870CDB"/>
    <w:rsid w:val="00870CEA"/>
    <w:rsid w:val="0087165A"/>
    <w:rsid w:val="00871B8F"/>
    <w:rsid w:val="00873CA3"/>
    <w:rsid w:val="00873F3C"/>
    <w:rsid w:val="00873FAA"/>
    <w:rsid w:val="0087428D"/>
    <w:rsid w:val="00874585"/>
    <w:rsid w:val="008754E7"/>
    <w:rsid w:val="00876722"/>
    <w:rsid w:val="0087693E"/>
    <w:rsid w:val="00876C34"/>
    <w:rsid w:val="00877590"/>
    <w:rsid w:val="00880592"/>
    <w:rsid w:val="00880C45"/>
    <w:rsid w:val="00881616"/>
    <w:rsid w:val="00881E12"/>
    <w:rsid w:val="00881FFE"/>
    <w:rsid w:val="008827EF"/>
    <w:rsid w:val="00882AB2"/>
    <w:rsid w:val="00882E74"/>
    <w:rsid w:val="008839EF"/>
    <w:rsid w:val="00884045"/>
    <w:rsid w:val="00885212"/>
    <w:rsid w:val="008852FE"/>
    <w:rsid w:val="00885740"/>
    <w:rsid w:val="00885D2E"/>
    <w:rsid w:val="00885FCA"/>
    <w:rsid w:val="00886391"/>
    <w:rsid w:val="00886421"/>
    <w:rsid w:val="00886A46"/>
    <w:rsid w:val="00887142"/>
    <w:rsid w:val="00887476"/>
    <w:rsid w:val="008900CE"/>
    <w:rsid w:val="008903C9"/>
    <w:rsid w:val="00890D76"/>
    <w:rsid w:val="0089183E"/>
    <w:rsid w:val="00891FAA"/>
    <w:rsid w:val="0089209C"/>
    <w:rsid w:val="00892A56"/>
    <w:rsid w:val="008932D8"/>
    <w:rsid w:val="0089558F"/>
    <w:rsid w:val="0089653A"/>
    <w:rsid w:val="0089696C"/>
    <w:rsid w:val="008969CA"/>
    <w:rsid w:val="0089757B"/>
    <w:rsid w:val="008975B2"/>
    <w:rsid w:val="00897B40"/>
    <w:rsid w:val="00897E7A"/>
    <w:rsid w:val="008A0760"/>
    <w:rsid w:val="008A087E"/>
    <w:rsid w:val="008A1B2B"/>
    <w:rsid w:val="008A1C4A"/>
    <w:rsid w:val="008A391B"/>
    <w:rsid w:val="008A3FDA"/>
    <w:rsid w:val="008A406A"/>
    <w:rsid w:val="008A474B"/>
    <w:rsid w:val="008A5223"/>
    <w:rsid w:val="008A5CFA"/>
    <w:rsid w:val="008A7675"/>
    <w:rsid w:val="008A77B9"/>
    <w:rsid w:val="008B042C"/>
    <w:rsid w:val="008B0763"/>
    <w:rsid w:val="008B132E"/>
    <w:rsid w:val="008B1811"/>
    <w:rsid w:val="008B1C7C"/>
    <w:rsid w:val="008B20A9"/>
    <w:rsid w:val="008B24FC"/>
    <w:rsid w:val="008B25ED"/>
    <w:rsid w:val="008B2F41"/>
    <w:rsid w:val="008B2F5D"/>
    <w:rsid w:val="008B3B95"/>
    <w:rsid w:val="008B402A"/>
    <w:rsid w:val="008B4204"/>
    <w:rsid w:val="008B58EB"/>
    <w:rsid w:val="008B59DE"/>
    <w:rsid w:val="008B5B60"/>
    <w:rsid w:val="008B5F6D"/>
    <w:rsid w:val="008B6210"/>
    <w:rsid w:val="008B7C6C"/>
    <w:rsid w:val="008C0BCF"/>
    <w:rsid w:val="008C1092"/>
    <w:rsid w:val="008C114B"/>
    <w:rsid w:val="008C150B"/>
    <w:rsid w:val="008C1536"/>
    <w:rsid w:val="008C1787"/>
    <w:rsid w:val="008C1E40"/>
    <w:rsid w:val="008C3137"/>
    <w:rsid w:val="008C3C94"/>
    <w:rsid w:val="008C3DBD"/>
    <w:rsid w:val="008C3E17"/>
    <w:rsid w:val="008C4033"/>
    <w:rsid w:val="008C4139"/>
    <w:rsid w:val="008C4344"/>
    <w:rsid w:val="008C5106"/>
    <w:rsid w:val="008C5351"/>
    <w:rsid w:val="008C53D1"/>
    <w:rsid w:val="008C5C6A"/>
    <w:rsid w:val="008C60E6"/>
    <w:rsid w:val="008C66A5"/>
    <w:rsid w:val="008C68F3"/>
    <w:rsid w:val="008C7662"/>
    <w:rsid w:val="008C7A30"/>
    <w:rsid w:val="008D21BE"/>
    <w:rsid w:val="008D2524"/>
    <w:rsid w:val="008D253D"/>
    <w:rsid w:val="008D28D8"/>
    <w:rsid w:val="008D39AE"/>
    <w:rsid w:val="008D4299"/>
    <w:rsid w:val="008D42D1"/>
    <w:rsid w:val="008D45D6"/>
    <w:rsid w:val="008D4809"/>
    <w:rsid w:val="008D4D12"/>
    <w:rsid w:val="008D510F"/>
    <w:rsid w:val="008D574A"/>
    <w:rsid w:val="008D5E65"/>
    <w:rsid w:val="008D6424"/>
    <w:rsid w:val="008D70F5"/>
    <w:rsid w:val="008D7111"/>
    <w:rsid w:val="008D7CE1"/>
    <w:rsid w:val="008D7D39"/>
    <w:rsid w:val="008E0233"/>
    <w:rsid w:val="008E0C5E"/>
    <w:rsid w:val="008E16B9"/>
    <w:rsid w:val="008E28E3"/>
    <w:rsid w:val="008E340A"/>
    <w:rsid w:val="008E3A56"/>
    <w:rsid w:val="008E47D7"/>
    <w:rsid w:val="008E4AB6"/>
    <w:rsid w:val="008E5606"/>
    <w:rsid w:val="008E5BBB"/>
    <w:rsid w:val="008E6CA7"/>
    <w:rsid w:val="008E6CF2"/>
    <w:rsid w:val="008E700E"/>
    <w:rsid w:val="008E70E1"/>
    <w:rsid w:val="008E7315"/>
    <w:rsid w:val="008E742F"/>
    <w:rsid w:val="008E7C19"/>
    <w:rsid w:val="008F0438"/>
    <w:rsid w:val="008F1392"/>
    <w:rsid w:val="008F1678"/>
    <w:rsid w:val="008F1981"/>
    <w:rsid w:val="008F1A48"/>
    <w:rsid w:val="008F2076"/>
    <w:rsid w:val="008F2240"/>
    <w:rsid w:val="008F2C81"/>
    <w:rsid w:val="008F3CBA"/>
    <w:rsid w:val="008F489D"/>
    <w:rsid w:val="008F49A9"/>
    <w:rsid w:val="008F5D56"/>
    <w:rsid w:val="008F6AB3"/>
    <w:rsid w:val="008F6F14"/>
    <w:rsid w:val="008F74BF"/>
    <w:rsid w:val="008F76D0"/>
    <w:rsid w:val="008F7F25"/>
    <w:rsid w:val="009017A5"/>
    <w:rsid w:val="0090202A"/>
    <w:rsid w:val="0090282B"/>
    <w:rsid w:val="00902CC0"/>
    <w:rsid w:val="00903775"/>
    <w:rsid w:val="00903798"/>
    <w:rsid w:val="00903B40"/>
    <w:rsid w:val="00904481"/>
    <w:rsid w:val="0090464D"/>
    <w:rsid w:val="00904655"/>
    <w:rsid w:val="009047C8"/>
    <w:rsid w:val="009047EF"/>
    <w:rsid w:val="0090486A"/>
    <w:rsid w:val="00904EF0"/>
    <w:rsid w:val="00906A87"/>
    <w:rsid w:val="00907543"/>
    <w:rsid w:val="00907A00"/>
    <w:rsid w:val="00907CEC"/>
    <w:rsid w:val="0091023B"/>
    <w:rsid w:val="00910281"/>
    <w:rsid w:val="00910EF3"/>
    <w:rsid w:val="00910F81"/>
    <w:rsid w:val="00911675"/>
    <w:rsid w:val="00912346"/>
    <w:rsid w:val="00913F86"/>
    <w:rsid w:val="00914427"/>
    <w:rsid w:val="00914441"/>
    <w:rsid w:val="0091486F"/>
    <w:rsid w:val="00914D30"/>
    <w:rsid w:val="00914E86"/>
    <w:rsid w:val="00915E4B"/>
    <w:rsid w:val="009169A4"/>
    <w:rsid w:val="00916D19"/>
    <w:rsid w:val="009175ED"/>
    <w:rsid w:val="00920DEA"/>
    <w:rsid w:val="009220B0"/>
    <w:rsid w:val="00923049"/>
    <w:rsid w:val="009236AF"/>
    <w:rsid w:val="00923CE9"/>
    <w:rsid w:val="00924104"/>
    <w:rsid w:val="009241D7"/>
    <w:rsid w:val="00924239"/>
    <w:rsid w:val="009242BB"/>
    <w:rsid w:val="00924AA1"/>
    <w:rsid w:val="00924BE3"/>
    <w:rsid w:val="00924D5D"/>
    <w:rsid w:val="00924E4F"/>
    <w:rsid w:val="009258EE"/>
    <w:rsid w:val="00925E9D"/>
    <w:rsid w:val="00926B19"/>
    <w:rsid w:val="0092718D"/>
    <w:rsid w:val="0092728B"/>
    <w:rsid w:val="00927B11"/>
    <w:rsid w:val="00927C1D"/>
    <w:rsid w:val="00927F62"/>
    <w:rsid w:val="00930C30"/>
    <w:rsid w:val="0093107F"/>
    <w:rsid w:val="00931936"/>
    <w:rsid w:val="00931CA2"/>
    <w:rsid w:val="0093247F"/>
    <w:rsid w:val="00932630"/>
    <w:rsid w:val="00932698"/>
    <w:rsid w:val="00932DBC"/>
    <w:rsid w:val="00932E45"/>
    <w:rsid w:val="00933036"/>
    <w:rsid w:val="00933FEE"/>
    <w:rsid w:val="00936231"/>
    <w:rsid w:val="00937AB5"/>
    <w:rsid w:val="00937ABD"/>
    <w:rsid w:val="009403BF"/>
    <w:rsid w:val="00940B5C"/>
    <w:rsid w:val="00941517"/>
    <w:rsid w:val="00941859"/>
    <w:rsid w:val="00941958"/>
    <w:rsid w:val="00941F04"/>
    <w:rsid w:val="009427E0"/>
    <w:rsid w:val="0094305B"/>
    <w:rsid w:val="00943747"/>
    <w:rsid w:val="009437BE"/>
    <w:rsid w:val="00944274"/>
    <w:rsid w:val="009446B4"/>
    <w:rsid w:val="009447B6"/>
    <w:rsid w:val="00944D65"/>
    <w:rsid w:val="00944FF0"/>
    <w:rsid w:val="00945B5E"/>
    <w:rsid w:val="009470C2"/>
    <w:rsid w:val="009474DC"/>
    <w:rsid w:val="00950A1B"/>
    <w:rsid w:val="00951AC3"/>
    <w:rsid w:val="0095261D"/>
    <w:rsid w:val="00952AFE"/>
    <w:rsid w:val="00953110"/>
    <w:rsid w:val="009533B7"/>
    <w:rsid w:val="009539B0"/>
    <w:rsid w:val="00953EBA"/>
    <w:rsid w:val="0095424C"/>
    <w:rsid w:val="009545CC"/>
    <w:rsid w:val="00954750"/>
    <w:rsid w:val="00954D0D"/>
    <w:rsid w:val="00956037"/>
    <w:rsid w:val="009561FB"/>
    <w:rsid w:val="00956316"/>
    <w:rsid w:val="009567D5"/>
    <w:rsid w:val="009569E6"/>
    <w:rsid w:val="0095707C"/>
    <w:rsid w:val="0095790B"/>
    <w:rsid w:val="00957DF6"/>
    <w:rsid w:val="00961D89"/>
    <w:rsid w:val="00961ED2"/>
    <w:rsid w:val="00961F31"/>
    <w:rsid w:val="00962267"/>
    <w:rsid w:val="0096267E"/>
    <w:rsid w:val="00962DDD"/>
    <w:rsid w:val="00963180"/>
    <w:rsid w:val="00963761"/>
    <w:rsid w:val="00964E18"/>
    <w:rsid w:val="00965393"/>
    <w:rsid w:val="00965751"/>
    <w:rsid w:val="0096740E"/>
    <w:rsid w:val="009678D3"/>
    <w:rsid w:val="00970BD6"/>
    <w:rsid w:val="00970C49"/>
    <w:rsid w:val="00970DDD"/>
    <w:rsid w:val="00971F0C"/>
    <w:rsid w:val="00972E9E"/>
    <w:rsid w:val="00973C4B"/>
    <w:rsid w:val="009752F1"/>
    <w:rsid w:val="00975EC4"/>
    <w:rsid w:val="009761AF"/>
    <w:rsid w:val="00976230"/>
    <w:rsid w:val="00977687"/>
    <w:rsid w:val="00977BA8"/>
    <w:rsid w:val="0098027E"/>
    <w:rsid w:val="00980F43"/>
    <w:rsid w:val="009816B0"/>
    <w:rsid w:val="00981E9B"/>
    <w:rsid w:val="00982A23"/>
    <w:rsid w:val="00983C94"/>
    <w:rsid w:val="00984879"/>
    <w:rsid w:val="00984A8B"/>
    <w:rsid w:val="0098508C"/>
    <w:rsid w:val="0098533B"/>
    <w:rsid w:val="0098649A"/>
    <w:rsid w:val="0098685E"/>
    <w:rsid w:val="00990565"/>
    <w:rsid w:val="00990D15"/>
    <w:rsid w:val="009914A3"/>
    <w:rsid w:val="0099161B"/>
    <w:rsid w:val="00991912"/>
    <w:rsid w:val="00992B4A"/>
    <w:rsid w:val="00992DBF"/>
    <w:rsid w:val="00996647"/>
    <w:rsid w:val="00996E61"/>
    <w:rsid w:val="009970B7"/>
    <w:rsid w:val="00997CD8"/>
    <w:rsid w:val="00997ED7"/>
    <w:rsid w:val="009A054B"/>
    <w:rsid w:val="009A0A0A"/>
    <w:rsid w:val="009A0C75"/>
    <w:rsid w:val="009A0CF3"/>
    <w:rsid w:val="009A1641"/>
    <w:rsid w:val="009A2AB9"/>
    <w:rsid w:val="009A2F04"/>
    <w:rsid w:val="009A322C"/>
    <w:rsid w:val="009A330A"/>
    <w:rsid w:val="009A55E0"/>
    <w:rsid w:val="009A5C71"/>
    <w:rsid w:val="009A62C3"/>
    <w:rsid w:val="009A6648"/>
    <w:rsid w:val="009A66A9"/>
    <w:rsid w:val="009A6E2F"/>
    <w:rsid w:val="009A7B2F"/>
    <w:rsid w:val="009B0207"/>
    <w:rsid w:val="009B0E6D"/>
    <w:rsid w:val="009B0FBA"/>
    <w:rsid w:val="009B1623"/>
    <w:rsid w:val="009B187B"/>
    <w:rsid w:val="009B1AA4"/>
    <w:rsid w:val="009B1C32"/>
    <w:rsid w:val="009B2166"/>
    <w:rsid w:val="009B2823"/>
    <w:rsid w:val="009B292B"/>
    <w:rsid w:val="009B31C0"/>
    <w:rsid w:val="009B36F3"/>
    <w:rsid w:val="009B4098"/>
    <w:rsid w:val="009B4287"/>
    <w:rsid w:val="009B4A33"/>
    <w:rsid w:val="009B4BC5"/>
    <w:rsid w:val="009B4C3A"/>
    <w:rsid w:val="009B4D05"/>
    <w:rsid w:val="009B5709"/>
    <w:rsid w:val="009B57D2"/>
    <w:rsid w:val="009B5A96"/>
    <w:rsid w:val="009B7E01"/>
    <w:rsid w:val="009C0157"/>
    <w:rsid w:val="009C0322"/>
    <w:rsid w:val="009C07B4"/>
    <w:rsid w:val="009C0B5E"/>
    <w:rsid w:val="009C0D27"/>
    <w:rsid w:val="009C0D61"/>
    <w:rsid w:val="009C1BFC"/>
    <w:rsid w:val="009C248A"/>
    <w:rsid w:val="009C27A1"/>
    <w:rsid w:val="009C3B43"/>
    <w:rsid w:val="009C498F"/>
    <w:rsid w:val="009C5F07"/>
    <w:rsid w:val="009C5FF1"/>
    <w:rsid w:val="009C68E8"/>
    <w:rsid w:val="009D0245"/>
    <w:rsid w:val="009D07A7"/>
    <w:rsid w:val="009D0B9B"/>
    <w:rsid w:val="009D0E51"/>
    <w:rsid w:val="009D18B6"/>
    <w:rsid w:val="009D1C09"/>
    <w:rsid w:val="009D2785"/>
    <w:rsid w:val="009D280A"/>
    <w:rsid w:val="009D3A47"/>
    <w:rsid w:val="009D3B31"/>
    <w:rsid w:val="009D4020"/>
    <w:rsid w:val="009D41FA"/>
    <w:rsid w:val="009D470B"/>
    <w:rsid w:val="009D4895"/>
    <w:rsid w:val="009D70EC"/>
    <w:rsid w:val="009D7D13"/>
    <w:rsid w:val="009E12B5"/>
    <w:rsid w:val="009E1454"/>
    <w:rsid w:val="009E1728"/>
    <w:rsid w:val="009E1FCD"/>
    <w:rsid w:val="009E2329"/>
    <w:rsid w:val="009E292D"/>
    <w:rsid w:val="009E33C9"/>
    <w:rsid w:val="009E3B65"/>
    <w:rsid w:val="009E43E8"/>
    <w:rsid w:val="009E4A62"/>
    <w:rsid w:val="009E4B49"/>
    <w:rsid w:val="009E4F96"/>
    <w:rsid w:val="009E5140"/>
    <w:rsid w:val="009E5153"/>
    <w:rsid w:val="009E669B"/>
    <w:rsid w:val="009E6829"/>
    <w:rsid w:val="009E71BE"/>
    <w:rsid w:val="009E74A7"/>
    <w:rsid w:val="009E7E50"/>
    <w:rsid w:val="009E7F59"/>
    <w:rsid w:val="009F0191"/>
    <w:rsid w:val="009F102A"/>
    <w:rsid w:val="009F16D4"/>
    <w:rsid w:val="009F21BF"/>
    <w:rsid w:val="009F23A1"/>
    <w:rsid w:val="009F2FCF"/>
    <w:rsid w:val="009F3A51"/>
    <w:rsid w:val="009F3F97"/>
    <w:rsid w:val="009F4E6C"/>
    <w:rsid w:val="009F6599"/>
    <w:rsid w:val="009F6797"/>
    <w:rsid w:val="009F76EA"/>
    <w:rsid w:val="00A0009C"/>
    <w:rsid w:val="00A008F9"/>
    <w:rsid w:val="00A00AC0"/>
    <w:rsid w:val="00A018DC"/>
    <w:rsid w:val="00A01D67"/>
    <w:rsid w:val="00A01E26"/>
    <w:rsid w:val="00A01FFB"/>
    <w:rsid w:val="00A03433"/>
    <w:rsid w:val="00A05744"/>
    <w:rsid w:val="00A059D9"/>
    <w:rsid w:val="00A05A28"/>
    <w:rsid w:val="00A061F4"/>
    <w:rsid w:val="00A0680C"/>
    <w:rsid w:val="00A069ED"/>
    <w:rsid w:val="00A069F5"/>
    <w:rsid w:val="00A06C07"/>
    <w:rsid w:val="00A07550"/>
    <w:rsid w:val="00A1023D"/>
    <w:rsid w:val="00A10989"/>
    <w:rsid w:val="00A11088"/>
    <w:rsid w:val="00A11AC7"/>
    <w:rsid w:val="00A11D73"/>
    <w:rsid w:val="00A12084"/>
    <w:rsid w:val="00A12991"/>
    <w:rsid w:val="00A12B6B"/>
    <w:rsid w:val="00A1322B"/>
    <w:rsid w:val="00A134B4"/>
    <w:rsid w:val="00A13ED0"/>
    <w:rsid w:val="00A1411C"/>
    <w:rsid w:val="00A15A61"/>
    <w:rsid w:val="00A15B09"/>
    <w:rsid w:val="00A15F0F"/>
    <w:rsid w:val="00A1634F"/>
    <w:rsid w:val="00A1694B"/>
    <w:rsid w:val="00A16DD9"/>
    <w:rsid w:val="00A17244"/>
    <w:rsid w:val="00A1728A"/>
    <w:rsid w:val="00A17C4C"/>
    <w:rsid w:val="00A20189"/>
    <w:rsid w:val="00A2051D"/>
    <w:rsid w:val="00A20FEF"/>
    <w:rsid w:val="00A21913"/>
    <w:rsid w:val="00A21C57"/>
    <w:rsid w:val="00A22B44"/>
    <w:rsid w:val="00A22C2B"/>
    <w:rsid w:val="00A22E92"/>
    <w:rsid w:val="00A24BD7"/>
    <w:rsid w:val="00A24EFE"/>
    <w:rsid w:val="00A24FC0"/>
    <w:rsid w:val="00A25473"/>
    <w:rsid w:val="00A2586F"/>
    <w:rsid w:val="00A25AC5"/>
    <w:rsid w:val="00A2655D"/>
    <w:rsid w:val="00A274C6"/>
    <w:rsid w:val="00A30F82"/>
    <w:rsid w:val="00A31193"/>
    <w:rsid w:val="00A315A7"/>
    <w:rsid w:val="00A31AF5"/>
    <w:rsid w:val="00A32460"/>
    <w:rsid w:val="00A32F02"/>
    <w:rsid w:val="00A33295"/>
    <w:rsid w:val="00A33426"/>
    <w:rsid w:val="00A33AE4"/>
    <w:rsid w:val="00A33D1B"/>
    <w:rsid w:val="00A33F28"/>
    <w:rsid w:val="00A346F9"/>
    <w:rsid w:val="00A34E0E"/>
    <w:rsid w:val="00A35235"/>
    <w:rsid w:val="00A355DA"/>
    <w:rsid w:val="00A3734A"/>
    <w:rsid w:val="00A37A26"/>
    <w:rsid w:val="00A4017F"/>
    <w:rsid w:val="00A402DA"/>
    <w:rsid w:val="00A40868"/>
    <w:rsid w:val="00A419D9"/>
    <w:rsid w:val="00A41DF3"/>
    <w:rsid w:val="00A41E3A"/>
    <w:rsid w:val="00A42023"/>
    <w:rsid w:val="00A43290"/>
    <w:rsid w:val="00A46679"/>
    <w:rsid w:val="00A47111"/>
    <w:rsid w:val="00A47178"/>
    <w:rsid w:val="00A5052A"/>
    <w:rsid w:val="00A50900"/>
    <w:rsid w:val="00A509A8"/>
    <w:rsid w:val="00A51074"/>
    <w:rsid w:val="00A5192E"/>
    <w:rsid w:val="00A51A31"/>
    <w:rsid w:val="00A525FB"/>
    <w:rsid w:val="00A52F47"/>
    <w:rsid w:val="00A53512"/>
    <w:rsid w:val="00A5457E"/>
    <w:rsid w:val="00A54677"/>
    <w:rsid w:val="00A54BAD"/>
    <w:rsid w:val="00A55148"/>
    <w:rsid w:val="00A5523A"/>
    <w:rsid w:val="00A55915"/>
    <w:rsid w:val="00A55E99"/>
    <w:rsid w:val="00A55FFD"/>
    <w:rsid w:val="00A56307"/>
    <w:rsid w:val="00A566BA"/>
    <w:rsid w:val="00A56793"/>
    <w:rsid w:val="00A56F7A"/>
    <w:rsid w:val="00A56FFB"/>
    <w:rsid w:val="00A5715F"/>
    <w:rsid w:val="00A575D8"/>
    <w:rsid w:val="00A60BFD"/>
    <w:rsid w:val="00A62821"/>
    <w:rsid w:val="00A6283B"/>
    <w:rsid w:val="00A62F7D"/>
    <w:rsid w:val="00A6338A"/>
    <w:rsid w:val="00A63F00"/>
    <w:rsid w:val="00A6473D"/>
    <w:rsid w:val="00A6482A"/>
    <w:rsid w:val="00A649BE"/>
    <w:rsid w:val="00A64FAF"/>
    <w:rsid w:val="00A6521C"/>
    <w:rsid w:val="00A6685A"/>
    <w:rsid w:val="00A6724F"/>
    <w:rsid w:val="00A67656"/>
    <w:rsid w:val="00A67730"/>
    <w:rsid w:val="00A67C9A"/>
    <w:rsid w:val="00A70C17"/>
    <w:rsid w:val="00A710C7"/>
    <w:rsid w:val="00A713E1"/>
    <w:rsid w:val="00A71FA7"/>
    <w:rsid w:val="00A7270F"/>
    <w:rsid w:val="00A729D4"/>
    <w:rsid w:val="00A752A2"/>
    <w:rsid w:val="00A75DB7"/>
    <w:rsid w:val="00A76B45"/>
    <w:rsid w:val="00A77582"/>
    <w:rsid w:val="00A77A7B"/>
    <w:rsid w:val="00A80121"/>
    <w:rsid w:val="00A80243"/>
    <w:rsid w:val="00A80777"/>
    <w:rsid w:val="00A808D4"/>
    <w:rsid w:val="00A80BC2"/>
    <w:rsid w:val="00A80BF6"/>
    <w:rsid w:val="00A80D56"/>
    <w:rsid w:val="00A816A5"/>
    <w:rsid w:val="00A81964"/>
    <w:rsid w:val="00A82EBF"/>
    <w:rsid w:val="00A8402F"/>
    <w:rsid w:val="00A84770"/>
    <w:rsid w:val="00A84D2A"/>
    <w:rsid w:val="00A85120"/>
    <w:rsid w:val="00A85262"/>
    <w:rsid w:val="00A85466"/>
    <w:rsid w:val="00A858B4"/>
    <w:rsid w:val="00A85A38"/>
    <w:rsid w:val="00A86DF9"/>
    <w:rsid w:val="00A86F7A"/>
    <w:rsid w:val="00A871F5"/>
    <w:rsid w:val="00A8721F"/>
    <w:rsid w:val="00A87E04"/>
    <w:rsid w:val="00A913F7"/>
    <w:rsid w:val="00A92A2A"/>
    <w:rsid w:val="00A92EA3"/>
    <w:rsid w:val="00A932C6"/>
    <w:rsid w:val="00A939EF"/>
    <w:rsid w:val="00A93EE6"/>
    <w:rsid w:val="00A93F2B"/>
    <w:rsid w:val="00A93F44"/>
    <w:rsid w:val="00A94135"/>
    <w:rsid w:val="00A967CE"/>
    <w:rsid w:val="00A97558"/>
    <w:rsid w:val="00A97644"/>
    <w:rsid w:val="00A97B47"/>
    <w:rsid w:val="00A97F43"/>
    <w:rsid w:val="00AA08DF"/>
    <w:rsid w:val="00AA0921"/>
    <w:rsid w:val="00AA1414"/>
    <w:rsid w:val="00AA1B8B"/>
    <w:rsid w:val="00AA1E05"/>
    <w:rsid w:val="00AA2037"/>
    <w:rsid w:val="00AA2307"/>
    <w:rsid w:val="00AA2F16"/>
    <w:rsid w:val="00AA36C6"/>
    <w:rsid w:val="00AA372D"/>
    <w:rsid w:val="00AA4AA6"/>
    <w:rsid w:val="00AA5E61"/>
    <w:rsid w:val="00AA6FFC"/>
    <w:rsid w:val="00AA7E51"/>
    <w:rsid w:val="00AB03A6"/>
    <w:rsid w:val="00AB388D"/>
    <w:rsid w:val="00AB4873"/>
    <w:rsid w:val="00AB53D0"/>
    <w:rsid w:val="00AB7964"/>
    <w:rsid w:val="00AC025D"/>
    <w:rsid w:val="00AC0649"/>
    <w:rsid w:val="00AC11B0"/>
    <w:rsid w:val="00AC2A7C"/>
    <w:rsid w:val="00AC2BCB"/>
    <w:rsid w:val="00AC35AF"/>
    <w:rsid w:val="00AC3731"/>
    <w:rsid w:val="00AC396E"/>
    <w:rsid w:val="00AC3DB3"/>
    <w:rsid w:val="00AC3F4C"/>
    <w:rsid w:val="00AC3F70"/>
    <w:rsid w:val="00AC447A"/>
    <w:rsid w:val="00AC4B64"/>
    <w:rsid w:val="00AC4E4D"/>
    <w:rsid w:val="00AC6544"/>
    <w:rsid w:val="00AC65B5"/>
    <w:rsid w:val="00AC68FB"/>
    <w:rsid w:val="00AC7DC8"/>
    <w:rsid w:val="00AD0221"/>
    <w:rsid w:val="00AD180F"/>
    <w:rsid w:val="00AD1C15"/>
    <w:rsid w:val="00AD1F3E"/>
    <w:rsid w:val="00AD1F41"/>
    <w:rsid w:val="00AD214D"/>
    <w:rsid w:val="00AD217B"/>
    <w:rsid w:val="00AD21BB"/>
    <w:rsid w:val="00AD2616"/>
    <w:rsid w:val="00AD2743"/>
    <w:rsid w:val="00AD2D21"/>
    <w:rsid w:val="00AD3C68"/>
    <w:rsid w:val="00AD3D79"/>
    <w:rsid w:val="00AD3F94"/>
    <w:rsid w:val="00AD48C8"/>
    <w:rsid w:val="00AD5155"/>
    <w:rsid w:val="00AD53FF"/>
    <w:rsid w:val="00AD55D9"/>
    <w:rsid w:val="00AD5650"/>
    <w:rsid w:val="00AD59A2"/>
    <w:rsid w:val="00AD6339"/>
    <w:rsid w:val="00AD6F23"/>
    <w:rsid w:val="00AD7380"/>
    <w:rsid w:val="00AD76B8"/>
    <w:rsid w:val="00AE02B1"/>
    <w:rsid w:val="00AE09E5"/>
    <w:rsid w:val="00AE152B"/>
    <w:rsid w:val="00AE1FDA"/>
    <w:rsid w:val="00AE229C"/>
    <w:rsid w:val="00AE22EB"/>
    <w:rsid w:val="00AE2464"/>
    <w:rsid w:val="00AE25F9"/>
    <w:rsid w:val="00AE33FF"/>
    <w:rsid w:val="00AE3817"/>
    <w:rsid w:val="00AE439C"/>
    <w:rsid w:val="00AE4727"/>
    <w:rsid w:val="00AE49E9"/>
    <w:rsid w:val="00AE4A32"/>
    <w:rsid w:val="00AE5148"/>
    <w:rsid w:val="00AE5D1E"/>
    <w:rsid w:val="00AE613F"/>
    <w:rsid w:val="00AE6AEA"/>
    <w:rsid w:val="00AE75CC"/>
    <w:rsid w:val="00AE7650"/>
    <w:rsid w:val="00AF038F"/>
    <w:rsid w:val="00AF0671"/>
    <w:rsid w:val="00AF1A28"/>
    <w:rsid w:val="00AF26B8"/>
    <w:rsid w:val="00AF27D4"/>
    <w:rsid w:val="00AF2B1B"/>
    <w:rsid w:val="00AF3740"/>
    <w:rsid w:val="00AF375F"/>
    <w:rsid w:val="00AF3B25"/>
    <w:rsid w:val="00AF3B64"/>
    <w:rsid w:val="00AF3E80"/>
    <w:rsid w:val="00AF41D1"/>
    <w:rsid w:val="00AF4870"/>
    <w:rsid w:val="00AF4902"/>
    <w:rsid w:val="00AF4D41"/>
    <w:rsid w:val="00AF569F"/>
    <w:rsid w:val="00AF5A26"/>
    <w:rsid w:val="00AF7123"/>
    <w:rsid w:val="00AF7D79"/>
    <w:rsid w:val="00B00099"/>
    <w:rsid w:val="00B0017D"/>
    <w:rsid w:val="00B015F6"/>
    <w:rsid w:val="00B026C6"/>
    <w:rsid w:val="00B03442"/>
    <w:rsid w:val="00B038C6"/>
    <w:rsid w:val="00B03D3C"/>
    <w:rsid w:val="00B03DA1"/>
    <w:rsid w:val="00B0412F"/>
    <w:rsid w:val="00B063E0"/>
    <w:rsid w:val="00B068FD"/>
    <w:rsid w:val="00B06C3C"/>
    <w:rsid w:val="00B07617"/>
    <w:rsid w:val="00B079DE"/>
    <w:rsid w:val="00B07BD5"/>
    <w:rsid w:val="00B07C3C"/>
    <w:rsid w:val="00B10214"/>
    <w:rsid w:val="00B10905"/>
    <w:rsid w:val="00B10CFC"/>
    <w:rsid w:val="00B10EA3"/>
    <w:rsid w:val="00B10F46"/>
    <w:rsid w:val="00B1286D"/>
    <w:rsid w:val="00B131B2"/>
    <w:rsid w:val="00B13E5D"/>
    <w:rsid w:val="00B143E2"/>
    <w:rsid w:val="00B1491E"/>
    <w:rsid w:val="00B14B78"/>
    <w:rsid w:val="00B14C81"/>
    <w:rsid w:val="00B14EBA"/>
    <w:rsid w:val="00B15E08"/>
    <w:rsid w:val="00B15EFD"/>
    <w:rsid w:val="00B16150"/>
    <w:rsid w:val="00B16E46"/>
    <w:rsid w:val="00B176AF"/>
    <w:rsid w:val="00B226B8"/>
    <w:rsid w:val="00B22B89"/>
    <w:rsid w:val="00B22F6F"/>
    <w:rsid w:val="00B24359"/>
    <w:rsid w:val="00B2492D"/>
    <w:rsid w:val="00B26270"/>
    <w:rsid w:val="00B263DA"/>
    <w:rsid w:val="00B264E2"/>
    <w:rsid w:val="00B266F0"/>
    <w:rsid w:val="00B271C0"/>
    <w:rsid w:val="00B311F4"/>
    <w:rsid w:val="00B3193B"/>
    <w:rsid w:val="00B31F59"/>
    <w:rsid w:val="00B32679"/>
    <w:rsid w:val="00B32BC9"/>
    <w:rsid w:val="00B3332D"/>
    <w:rsid w:val="00B333C4"/>
    <w:rsid w:val="00B33D20"/>
    <w:rsid w:val="00B33F0D"/>
    <w:rsid w:val="00B34087"/>
    <w:rsid w:val="00B34634"/>
    <w:rsid w:val="00B348C9"/>
    <w:rsid w:val="00B34A80"/>
    <w:rsid w:val="00B3511C"/>
    <w:rsid w:val="00B3559B"/>
    <w:rsid w:val="00B35B29"/>
    <w:rsid w:val="00B35EB2"/>
    <w:rsid w:val="00B360C9"/>
    <w:rsid w:val="00B367D1"/>
    <w:rsid w:val="00B3736E"/>
    <w:rsid w:val="00B404E8"/>
    <w:rsid w:val="00B40BCE"/>
    <w:rsid w:val="00B40E94"/>
    <w:rsid w:val="00B418B7"/>
    <w:rsid w:val="00B42595"/>
    <w:rsid w:val="00B431FE"/>
    <w:rsid w:val="00B4377B"/>
    <w:rsid w:val="00B43DC3"/>
    <w:rsid w:val="00B4443E"/>
    <w:rsid w:val="00B44783"/>
    <w:rsid w:val="00B44BB0"/>
    <w:rsid w:val="00B44BEA"/>
    <w:rsid w:val="00B44D91"/>
    <w:rsid w:val="00B456F4"/>
    <w:rsid w:val="00B45DCC"/>
    <w:rsid w:val="00B45F6A"/>
    <w:rsid w:val="00B4622E"/>
    <w:rsid w:val="00B506F8"/>
    <w:rsid w:val="00B50F2D"/>
    <w:rsid w:val="00B52999"/>
    <w:rsid w:val="00B54EAF"/>
    <w:rsid w:val="00B561C4"/>
    <w:rsid w:val="00B569E4"/>
    <w:rsid w:val="00B56A8B"/>
    <w:rsid w:val="00B572B4"/>
    <w:rsid w:val="00B60065"/>
    <w:rsid w:val="00B60491"/>
    <w:rsid w:val="00B60ACE"/>
    <w:rsid w:val="00B618AB"/>
    <w:rsid w:val="00B63926"/>
    <w:rsid w:val="00B63F10"/>
    <w:rsid w:val="00B643A1"/>
    <w:rsid w:val="00B644AF"/>
    <w:rsid w:val="00B64936"/>
    <w:rsid w:val="00B65769"/>
    <w:rsid w:val="00B6700C"/>
    <w:rsid w:val="00B70FE3"/>
    <w:rsid w:val="00B711CB"/>
    <w:rsid w:val="00B725C0"/>
    <w:rsid w:val="00B72A63"/>
    <w:rsid w:val="00B72AEC"/>
    <w:rsid w:val="00B72C1C"/>
    <w:rsid w:val="00B72D8B"/>
    <w:rsid w:val="00B73443"/>
    <w:rsid w:val="00B7392F"/>
    <w:rsid w:val="00B7480A"/>
    <w:rsid w:val="00B761BA"/>
    <w:rsid w:val="00B76E47"/>
    <w:rsid w:val="00B7742D"/>
    <w:rsid w:val="00B80D45"/>
    <w:rsid w:val="00B812A8"/>
    <w:rsid w:val="00B82697"/>
    <w:rsid w:val="00B828DF"/>
    <w:rsid w:val="00B83360"/>
    <w:rsid w:val="00B83A6E"/>
    <w:rsid w:val="00B84B02"/>
    <w:rsid w:val="00B84E86"/>
    <w:rsid w:val="00B8554B"/>
    <w:rsid w:val="00B85D21"/>
    <w:rsid w:val="00B85F45"/>
    <w:rsid w:val="00B85F66"/>
    <w:rsid w:val="00B8605D"/>
    <w:rsid w:val="00B8748E"/>
    <w:rsid w:val="00B878BA"/>
    <w:rsid w:val="00B87CD5"/>
    <w:rsid w:val="00B90066"/>
    <w:rsid w:val="00B91A13"/>
    <w:rsid w:val="00B920A7"/>
    <w:rsid w:val="00B923C0"/>
    <w:rsid w:val="00B92685"/>
    <w:rsid w:val="00B93339"/>
    <w:rsid w:val="00B93C07"/>
    <w:rsid w:val="00B9411F"/>
    <w:rsid w:val="00B94E61"/>
    <w:rsid w:val="00B9508B"/>
    <w:rsid w:val="00B95C6D"/>
    <w:rsid w:val="00B96063"/>
    <w:rsid w:val="00B9628B"/>
    <w:rsid w:val="00B96480"/>
    <w:rsid w:val="00B969BD"/>
    <w:rsid w:val="00B96A80"/>
    <w:rsid w:val="00B96D59"/>
    <w:rsid w:val="00BA0979"/>
    <w:rsid w:val="00BA0B2E"/>
    <w:rsid w:val="00BA0CA0"/>
    <w:rsid w:val="00BA1386"/>
    <w:rsid w:val="00BA1F21"/>
    <w:rsid w:val="00BA2A45"/>
    <w:rsid w:val="00BA3BF0"/>
    <w:rsid w:val="00BA427C"/>
    <w:rsid w:val="00BA4BBD"/>
    <w:rsid w:val="00BA4BD4"/>
    <w:rsid w:val="00BA50D1"/>
    <w:rsid w:val="00BA5AEB"/>
    <w:rsid w:val="00BA5C32"/>
    <w:rsid w:val="00BA607D"/>
    <w:rsid w:val="00BA6103"/>
    <w:rsid w:val="00BA7358"/>
    <w:rsid w:val="00BB083C"/>
    <w:rsid w:val="00BB134C"/>
    <w:rsid w:val="00BB1953"/>
    <w:rsid w:val="00BB20DE"/>
    <w:rsid w:val="00BB3113"/>
    <w:rsid w:val="00BB3B3F"/>
    <w:rsid w:val="00BB47D2"/>
    <w:rsid w:val="00BB5125"/>
    <w:rsid w:val="00BB5276"/>
    <w:rsid w:val="00BB5D68"/>
    <w:rsid w:val="00BB5FBD"/>
    <w:rsid w:val="00BB60E3"/>
    <w:rsid w:val="00BB7E9F"/>
    <w:rsid w:val="00BC120B"/>
    <w:rsid w:val="00BC1502"/>
    <w:rsid w:val="00BC193E"/>
    <w:rsid w:val="00BC3236"/>
    <w:rsid w:val="00BC4BBC"/>
    <w:rsid w:val="00BC4C75"/>
    <w:rsid w:val="00BC56A0"/>
    <w:rsid w:val="00BC5C0E"/>
    <w:rsid w:val="00BC64AE"/>
    <w:rsid w:val="00BC6853"/>
    <w:rsid w:val="00BC7613"/>
    <w:rsid w:val="00BC7682"/>
    <w:rsid w:val="00BC7947"/>
    <w:rsid w:val="00BD0427"/>
    <w:rsid w:val="00BD0635"/>
    <w:rsid w:val="00BD0C9F"/>
    <w:rsid w:val="00BD17DA"/>
    <w:rsid w:val="00BD2A3C"/>
    <w:rsid w:val="00BD2CAD"/>
    <w:rsid w:val="00BD35FC"/>
    <w:rsid w:val="00BD3A54"/>
    <w:rsid w:val="00BD4DA8"/>
    <w:rsid w:val="00BD4F69"/>
    <w:rsid w:val="00BD53D7"/>
    <w:rsid w:val="00BD5917"/>
    <w:rsid w:val="00BD617C"/>
    <w:rsid w:val="00BD65BE"/>
    <w:rsid w:val="00BD65D3"/>
    <w:rsid w:val="00BD6B5F"/>
    <w:rsid w:val="00BD7C1E"/>
    <w:rsid w:val="00BE028B"/>
    <w:rsid w:val="00BE13D7"/>
    <w:rsid w:val="00BE1AF5"/>
    <w:rsid w:val="00BE280A"/>
    <w:rsid w:val="00BE29BF"/>
    <w:rsid w:val="00BE2C47"/>
    <w:rsid w:val="00BE2EA1"/>
    <w:rsid w:val="00BE3D4B"/>
    <w:rsid w:val="00BE55B8"/>
    <w:rsid w:val="00BE5878"/>
    <w:rsid w:val="00BE5B10"/>
    <w:rsid w:val="00BE6FA2"/>
    <w:rsid w:val="00BE746B"/>
    <w:rsid w:val="00BE77E4"/>
    <w:rsid w:val="00BE78DC"/>
    <w:rsid w:val="00BE7B49"/>
    <w:rsid w:val="00BF00C5"/>
    <w:rsid w:val="00BF0135"/>
    <w:rsid w:val="00BF05BC"/>
    <w:rsid w:val="00BF2EBA"/>
    <w:rsid w:val="00BF392A"/>
    <w:rsid w:val="00BF458F"/>
    <w:rsid w:val="00BF484E"/>
    <w:rsid w:val="00BF556B"/>
    <w:rsid w:val="00BF5790"/>
    <w:rsid w:val="00BF5F54"/>
    <w:rsid w:val="00BF6B41"/>
    <w:rsid w:val="00BF7586"/>
    <w:rsid w:val="00BF7BE6"/>
    <w:rsid w:val="00C0018C"/>
    <w:rsid w:val="00C00695"/>
    <w:rsid w:val="00C008CB"/>
    <w:rsid w:val="00C00AAE"/>
    <w:rsid w:val="00C01203"/>
    <w:rsid w:val="00C01361"/>
    <w:rsid w:val="00C015F7"/>
    <w:rsid w:val="00C01EE5"/>
    <w:rsid w:val="00C02BC8"/>
    <w:rsid w:val="00C0319D"/>
    <w:rsid w:val="00C03302"/>
    <w:rsid w:val="00C042A2"/>
    <w:rsid w:val="00C04649"/>
    <w:rsid w:val="00C04986"/>
    <w:rsid w:val="00C04B38"/>
    <w:rsid w:val="00C04DD2"/>
    <w:rsid w:val="00C04EBD"/>
    <w:rsid w:val="00C0563E"/>
    <w:rsid w:val="00C0571A"/>
    <w:rsid w:val="00C06D7B"/>
    <w:rsid w:val="00C07323"/>
    <w:rsid w:val="00C075E0"/>
    <w:rsid w:val="00C07820"/>
    <w:rsid w:val="00C07F03"/>
    <w:rsid w:val="00C1084D"/>
    <w:rsid w:val="00C10BA6"/>
    <w:rsid w:val="00C1247E"/>
    <w:rsid w:val="00C12889"/>
    <w:rsid w:val="00C12AF0"/>
    <w:rsid w:val="00C13342"/>
    <w:rsid w:val="00C146D9"/>
    <w:rsid w:val="00C14EE6"/>
    <w:rsid w:val="00C15606"/>
    <w:rsid w:val="00C15B93"/>
    <w:rsid w:val="00C165BF"/>
    <w:rsid w:val="00C16B11"/>
    <w:rsid w:val="00C16EC3"/>
    <w:rsid w:val="00C17EED"/>
    <w:rsid w:val="00C2003E"/>
    <w:rsid w:val="00C203E6"/>
    <w:rsid w:val="00C20785"/>
    <w:rsid w:val="00C213AE"/>
    <w:rsid w:val="00C21DAC"/>
    <w:rsid w:val="00C22134"/>
    <w:rsid w:val="00C22553"/>
    <w:rsid w:val="00C22A50"/>
    <w:rsid w:val="00C22BB7"/>
    <w:rsid w:val="00C22E9B"/>
    <w:rsid w:val="00C22EDA"/>
    <w:rsid w:val="00C232E2"/>
    <w:rsid w:val="00C23436"/>
    <w:rsid w:val="00C23B76"/>
    <w:rsid w:val="00C24F50"/>
    <w:rsid w:val="00C25E8C"/>
    <w:rsid w:val="00C2614A"/>
    <w:rsid w:val="00C265B0"/>
    <w:rsid w:val="00C26FAA"/>
    <w:rsid w:val="00C30500"/>
    <w:rsid w:val="00C3073B"/>
    <w:rsid w:val="00C30C46"/>
    <w:rsid w:val="00C31495"/>
    <w:rsid w:val="00C31BDC"/>
    <w:rsid w:val="00C3377F"/>
    <w:rsid w:val="00C340E0"/>
    <w:rsid w:val="00C34102"/>
    <w:rsid w:val="00C341FE"/>
    <w:rsid w:val="00C34295"/>
    <w:rsid w:val="00C347D4"/>
    <w:rsid w:val="00C358E7"/>
    <w:rsid w:val="00C35DE9"/>
    <w:rsid w:val="00C3603B"/>
    <w:rsid w:val="00C369EE"/>
    <w:rsid w:val="00C36C12"/>
    <w:rsid w:val="00C36E29"/>
    <w:rsid w:val="00C373F2"/>
    <w:rsid w:val="00C37628"/>
    <w:rsid w:val="00C37778"/>
    <w:rsid w:val="00C37DCD"/>
    <w:rsid w:val="00C402A0"/>
    <w:rsid w:val="00C405DF"/>
    <w:rsid w:val="00C40786"/>
    <w:rsid w:val="00C41609"/>
    <w:rsid w:val="00C41AD1"/>
    <w:rsid w:val="00C41D5C"/>
    <w:rsid w:val="00C41FB7"/>
    <w:rsid w:val="00C4255A"/>
    <w:rsid w:val="00C42B45"/>
    <w:rsid w:val="00C42DC1"/>
    <w:rsid w:val="00C42F48"/>
    <w:rsid w:val="00C42FD8"/>
    <w:rsid w:val="00C43299"/>
    <w:rsid w:val="00C44ED7"/>
    <w:rsid w:val="00C4524C"/>
    <w:rsid w:val="00C4563B"/>
    <w:rsid w:val="00C46001"/>
    <w:rsid w:val="00C46E08"/>
    <w:rsid w:val="00C477D3"/>
    <w:rsid w:val="00C479E5"/>
    <w:rsid w:val="00C47B49"/>
    <w:rsid w:val="00C47DA9"/>
    <w:rsid w:val="00C50BF9"/>
    <w:rsid w:val="00C50E28"/>
    <w:rsid w:val="00C50FC2"/>
    <w:rsid w:val="00C5120A"/>
    <w:rsid w:val="00C5225B"/>
    <w:rsid w:val="00C52780"/>
    <w:rsid w:val="00C53C8F"/>
    <w:rsid w:val="00C54CB2"/>
    <w:rsid w:val="00C55029"/>
    <w:rsid w:val="00C55390"/>
    <w:rsid w:val="00C55829"/>
    <w:rsid w:val="00C55C9A"/>
    <w:rsid w:val="00C56247"/>
    <w:rsid w:val="00C5627C"/>
    <w:rsid w:val="00C5678E"/>
    <w:rsid w:val="00C56A86"/>
    <w:rsid w:val="00C578A5"/>
    <w:rsid w:val="00C6077C"/>
    <w:rsid w:val="00C615EF"/>
    <w:rsid w:val="00C6203C"/>
    <w:rsid w:val="00C62506"/>
    <w:rsid w:val="00C62828"/>
    <w:rsid w:val="00C6338E"/>
    <w:rsid w:val="00C63B7C"/>
    <w:rsid w:val="00C64260"/>
    <w:rsid w:val="00C6470E"/>
    <w:rsid w:val="00C653B9"/>
    <w:rsid w:val="00C65474"/>
    <w:rsid w:val="00C656DE"/>
    <w:rsid w:val="00C65B1F"/>
    <w:rsid w:val="00C6683F"/>
    <w:rsid w:val="00C67332"/>
    <w:rsid w:val="00C67834"/>
    <w:rsid w:val="00C67BBA"/>
    <w:rsid w:val="00C67C7B"/>
    <w:rsid w:val="00C70148"/>
    <w:rsid w:val="00C7051E"/>
    <w:rsid w:val="00C7059F"/>
    <w:rsid w:val="00C70FBD"/>
    <w:rsid w:val="00C71082"/>
    <w:rsid w:val="00C71465"/>
    <w:rsid w:val="00C71FA9"/>
    <w:rsid w:val="00C72180"/>
    <w:rsid w:val="00C721CF"/>
    <w:rsid w:val="00C7292C"/>
    <w:rsid w:val="00C72B63"/>
    <w:rsid w:val="00C72CEC"/>
    <w:rsid w:val="00C735B7"/>
    <w:rsid w:val="00C74338"/>
    <w:rsid w:val="00C75058"/>
    <w:rsid w:val="00C75410"/>
    <w:rsid w:val="00C75A7C"/>
    <w:rsid w:val="00C76329"/>
    <w:rsid w:val="00C76777"/>
    <w:rsid w:val="00C76901"/>
    <w:rsid w:val="00C76969"/>
    <w:rsid w:val="00C7744E"/>
    <w:rsid w:val="00C777E0"/>
    <w:rsid w:val="00C77C30"/>
    <w:rsid w:val="00C80478"/>
    <w:rsid w:val="00C80551"/>
    <w:rsid w:val="00C80696"/>
    <w:rsid w:val="00C8090D"/>
    <w:rsid w:val="00C80C78"/>
    <w:rsid w:val="00C819A7"/>
    <w:rsid w:val="00C81DF9"/>
    <w:rsid w:val="00C81ED2"/>
    <w:rsid w:val="00C83837"/>
    <w:rsid w:val="00C83BC6"/>
    <w:rsid w:val="00C84154"/>
    <w:rsid w:val="00C84837"/>
    <w:rsid w:val="00C8599B"/>
    <w:rsid w:val="00C86117"/>
    <w:rsid w:val="00C86182"/>
    <w:rsid w:val="00C878DB"/>
    <w:rsid w:val="00C87E3A"/>
    <w:rsid w:val="00C87EA0"/>
    <w:rsid w:val="00C90075"/>
    <w:rsid w:val="00C908D5"/>
    <w:rsid w:val="00C9147A"/>
    <w:rsid w:val="00C91999"/>
    <w:rsid w:val="00C9249E"/>
    <w:rsid w:val="00C92CD9"/>
    <w:rsid w:val="00C92E0C"/>
    <w:rsid w:val="00C93017"/>
    <w:rsid w:val="00C93562"/>
    <w:rsid w:val="00C9383B"/>
    <w:rsid w:val="00C94731"/>
    <w:rsid w:val="00C94F4B"/>
    <w:rsid w:val="00C95610"/>
    <w:rsid w:val="00C95E61"/>
    <w:rsid w:val="00C96CC3"/>
    <w:rsid w:val="00CA012B"/>
    <w:rsid w:val="00CA03A7"/>
    <w:rsid w:val="00CA0456"/>
    <w:rsid w:val="00CA0489"/>
    <w:rsid w:val="00CA124E"/>
    <w:rsid w:val="00CA12CC"/>
    <w:rsid w:val="00CA1C35"/>
    <w:rsid w:val="00CA23B7"/>
    <w:rsid w:val="00CA2671"/>
    <w:rsid w:val="00CA2987"/>
    <w:rsid w:val="00CA303A"/>
    <w:rsid w:val="00CA328B"/>
    <w:rsid w:val="00CA3318"/>
    <w:rsid w:val="00CA35BA"/>
    <w:rsid w:val="00CA3EC4"/>
    <w:rsid w:val="00CA4351"/>
    <w:rsid w:val="00CA4854"/>
    <w:rsid w:val="00CA48A8"/>
    <w:rsid w:val="00CA4B14"/>
    <w:rsid w:val="00CA4F2A"/>
    <w:rsid w:val="00CA55D0"/>
    <w:rsid w:val="00CA5E61"/>
    <w:rsid w:val="00CA663D"/>
    <w:rsid w:val="00CA716C"/>
    <w:rsid w:val="00CA7A56"/>
    <w:rsid w:val="00CB0686"/>
    <w:rsid w:val="00CB1133"/>
    <w:rsid w:val="00CB1BBC"/>
    <w:rsid w:val="00CB2209"/>
    <w:rsid w:val="00CB2396"/>
    <w:rsid w:val="00CB2D2C"/>
    <w:rsid w:val="00CB34A2"/>
    <w:rsid w:val="00CB394D"/>
    <w:rsid w:val="00CB3C0B"/>
    <w:rsid w:val="00CB3DF5"/>
    <w:rsid w:val="00CB3E6F"/>
    <w:rsid w:val="00CB5CC1"/>
    <w:rsid w:val="00CB6858"/>
    <w:rsid w:val="00CB6876"/>
    <w:rsid w:val="00CB6C61"/>
    <w:rsid w:val="00CB6E08"/>
    <w:rsid w:val="00CB6F96"/>
    <w:rsid w:val="00CB7110"/>
    <w:rsid w:val="00CB71D6"/>
    <w:rsid w:val="00CC1461"/>
    <w:rsid w:val="00CC1A01"/>
    <w:rsid w:val="00CC1BDE"/>
    <w:rsid w:val="00CC2164"/>
    <w:rsid w:val="00CC2519"/>
    <w:rsid w:val="00CC41CE"/>
    <w:rsid w:val="00CC4564"/>
    <w:rsid w:val="00CC52A3"/>
    <w:rsid w:val="00CC5302"/>
    <w:rsid w:val="00CC5477"/>
    <w:rsid w:val="00CC54BD"/>
    <w:rsid w:val="00CC5ED8"/>
    <w:rsid w:val="00CC6608"/>
    <w:rsid w:val="00CC76A3"/>
    <w:rsid w:val="00CC7CD2"/>
    <w:rsid w:val="00CC7DE7"/>
    <w:rsid w:val="00CD08C9"/>
    <w:rsid w:val="00CD1CC2"/>
    <w:rsid w:val="00CD218F"/>
    <w:rsid w:val="00CD2744"/>
    <w:rsid w:val="00CD3629"/>
    <w:rsid w:val="00CD3695"/>
    <w:rsid w:val="00CD3998"/>
    <w:rsid w:val="00CD3D4C"/>
    <w:rsid w:val="00CD400A"/>
    <w:rsid w:val="00CD4619"/>
    <w:rsid w:val="00CD47B2"/>
    <w:rsid w:val="00CD4A4B"/>
    <w:rsid w:val="00CD5612"/>
    <w:rsid w:val="00CD6479"/>
    <w:rsid w:val="00CD65F6"/>
    <w:rsid w:val="00CD6688"/>
    <w:rsid w:val="00CD701A"/>
    <w:rsid w:val="00CD7740"/>
    <w:rsid w:val="00CD7A4C"/>
    <w:rsid w:val="00CD7A77"/>
    <w:rsid w:val="00CE0EEC"/>
    <w:rsid w:val="00CE0FB8"/>
    <w:rsid w:val="00CE15D1"/>
    <w:rsid w:val="00CE16DD"/>
    <w:rsid w:val="00CE3004"/>
    <w:rsid w:val="00CE36D4"/>
    <w:rsid w:val="00CE48CE"/>
    <w:rsid w:val="00CE4D25"/>
    <w:rsid w:val="00CE4FCD"/>
    <w:rsid w:val="00CE63B0"/>
    <w:rsid w:val="00CE7269"/>
    <w:rsid w:val="00CE7415"/>
    <w:rsid w:val="00CE7FC4"/>
    <w:rsid w:val="00CF00EC"/>
    <w:rsid w:val="00CF0CF6"/>
    <w:rsid w:val="00CF0D72"/>
    <w:rsid w:val="00CF1880"/>
    <w:rsid w:val="00CF1A56"/>
    <w:rsid w:val="00CF31FA"/>
    <w:rsid w:val="00CF3425"/>
    <w:rsid w:val="00CF3711"/>
    <w:rsid w:val="00CF3F20"/>
    <w:rsid w:val="00CF4780"/>
    <w:rsid w:val="00CF4D1E"/>
    <w:rsid w:val="00CF5143"/>
    <w:rsid w:val="00CF55BD"/>
    <w:rsid w:val="00CF5BAB"/>
    <w:rsid w:val="00CF5D7A"/>
    <w:rsid w:val="00CF6BC4"/>
    <w:rsid w:val="00CF73CB"/>
    <w:rsid w:val="00CF7C2F"/>
    <w:rsid w:val="00D00292"/>
    <w:rsid w:val="00D005D2"/>
    <w:rsid w:val="00D007B4"/>
    <w:rsid w:val="00D01077"/>
    <w:rsid w:val="00D011F5"/>
    <w:rsid w:val="00D01638"/>
    <w:rsid w:val="00D0190D"/>
    <w:rsid w:val="00D01BC8"/>
    <w:rsid w:val="00D01E69"/>
    <w:rsid w:val="00D02259"/>
    <w:rsid w:val="00D027BD"/>
    <w:rsid w:val="00D028AA"/>
    <w:rsid w:val="00D02E89"/>
    <w:rsid w:val="00D035F2"/>
    <w:rsid w:val="00D03671"/>
    <w:rsid w:val="00D04599"/>
    <w:rsid w:val="00D04E4F"/>
    <w:rsid w:val="00D05E43"/>
    <w:rsid w:val="00D07041"/>
    <w:rsid w:val="00D071B2"/>
    <w:rsid w:val="00D07598"/>
    <w:rsid w:val="00D077E9"/>
    <w:rsid w:val="00D12EF8"/>
    <w:rsid w:val="00D134B2"/>
    <w:rsid w:val="00D13882"/>
    <w:rsid w:val="00D14FEB"/>
    <w:rsid w:val="00D15E25"/>
    <w:rsid w:val="00D16294"/>
    <w:rsid w:val="00D169A5"/>
    <w:rsid w:val="00D16BDE"/>
    <w:rsid w:val="00D16C06"/>
    <w:rsid w:val="00D16CC7"/>
    <w:rsid w:val="00D17689"/>
    <w:rsid w:val="00D17766"/>
    <w:rsid w:val="00D17890"/>
    <w:rsid w:val="00D179EF"/>
    <w:rsid w:val="00D2064C"/>
    <w:rsid w:val="00D213AF"/>
    <w:rsid w:val="00D21BC6"/>
    <w:rsid w:val="00D21ECB"/>
    <w:rsid w:val="00D24CE6"/>
    <w:rsid w:val="00D2634F"/>
    <w:rsid w:val="00D26742"/>
    <w:rsid w:val="00D27766"/>
    <w:rsid w:val="00D27DC1"/>
    <w:rsid w:val="00D27FF5"/>
    <w:rsid w:val="00D3017F"/>
    <w:rsid w:val="00D30B1D"/>
    <w:rsid w:val="00D30D6E"/>
    <w:rsid w:val="00D310B3"/>
    <w:rsid w:val="00D3119F"/>
    <w:rsid w:val="00D3141F"/>
    <w:rsid w:val="00D3192D"/>
    <w:rsid w:val="00D32DD0"/>
    <w:rsid w:val="00D32DE9"/>
    <w:rsid w:val="00D33C20"/>
    <w:rsid w:val="00D33D56"/>
    <w:rsid w:val="00D3419A"/>
    <w:rsid w:val="00D345C7"/>
    <w:rsid w:val="00D34BAC"/>
    <w:rsid w:val="00D3525A"/>
    <w:rsid w:val="00D353CD"/>
    <w:rsid w:val="00D3581F"/>
    <w:rsid w:val="00D36483"/>
    <w:rsid w:val="00D36DDA"/>
    <w:rsid w:val="00D36E7B"/>
    <w:rsid w:val="00D3755B"/>
    <w:rsid w:val="00D3785F"/>
    <w:rsid w:val="00D378A0"/>
    <w:rsid w:val="00D401BC"/>
    <w:rsid w:val="00D40303"/>
    <w:rsid w:val="00D404E7"/>
    <w:rsid w:val="00D40844"/>
    <w:rsid w:val="00D40F6B"/>
    <w:rsid w:val="00D41F14"/>
    <w:rsid w:val="00D42080"/>
    <w:rsid w:val="00D42BF2"/>
    <w:rsid w:val="00D44006"/>
    <w:rsid w:val="00D4416C"/>
    <w:rsid w:val="00D453C4"/>
    <w:rsid w:val="00D45809"/>
    <w:rsid w:val="00D46766"/>
    <w:rsid w:val="00D47315"/>
    <w:rsid w:val="00D47824"/>
    <w:rsid w:val="00D478E2"/>
    <w:rsid w:val="00D47E6D"/>
    <w:rsid w:val="00D5000D"/>
    <w:rsid w:val="00D50040"/>
    <w:rsid w:val="00D50159"/>
    <w:rsid w:val="00D503AA"/>
    <w:rsid w:val="00D51072"/>
    <w:rsid w:val="00D51595"/>
    <w:rsid w:val="00D5184F"/>
    <w:rsid w:val="00D520AC"/>
    <w:rsid w:val="00D522A2"/>
    <w:rsid w:val="00D52B8B"/>
    <w:rsid w:val="00D52D24"/>
    <w:rsid w:val="00D5329E"/>
    <w:rsid w:val="00D53393"/>
    <w:rsid w:val="00D53579"/>
    <w:rsid w:val="00D53766"/>
    <w:rsid w:val="00D53828"/>
    <w:rsid w:val="00D53C52"/>
    <w:rsid w:val="00D541FE"/>
    <w:rsid w:val="00D554FA"/>
    <w:rsid w:val="00D55AC6"/>
    <w:rsid w:val="00D55E98"/>
    <w:rsid w:val="00D601BF"/>
    <w:rsid w:val="00D61855"/>
    <w:rsid w:val="00D61AE5"/>
    <w:rsid w:val="00D626D2"/>
    <w:rsid w:val="00D6300F"/>
    <w:rsid w:val="00D63692"/>
    <w:rsid w:val="00D637C1"/>
    <w:rsid w:val="00D63DED"/>
    <w:rsid w:val="00D63DF6"/>
    <w:rsid w:val="00D64052"/>
    <w:rsid w:val="00D6424E"/>
    <w:rsid w:val="00D64401"/>
    <w:rsid w:val="00D65C5E"/>
    <w:rsid w:val="00D66A60"/>
    <w:rsid w:val="00D66FD3"/>
    <w:rsid w:val="00D67552"/>
    <w:rsid w:val="00D675AD"/>
    <w:rsid w:val="00D675D2"/>
    <w:rsid w:val="00D67A2B"/>
    <w:rsid w:val="00D70628"/>
    <w:rsid w:val="00D7153C"/>
    <w:rsid w:val="00D7161D"/>
    <w:rsid w:val="00D71834"/>
    <w:rsid w:val="00D71C50"/>
    <w:rsid w:val="00D728DB"/>
    <w:rsid w:val="00D72E5E"/>
    <w:rsid w:val="00D72F13"/>
    <w:rsid w:val="00D736C5"/>
    <w:rsid w:val="00D73C53"/>
    <w:rsid w:val="00D73F6D"/>
    <w:rsid w:val="00D747F2"/>
    <w:rsid w:val="00D75932"/>
    <w:rsid w:val="00D75C6A"/>
    <w:rsid w:val="00D766AA"/>
    <w:rsid w:val="00D766D3"/>
    <w:rsid w:val="00D768E4"/>
    <w:rsid w:val="00D76B6B"/>
    <w:rsid w:val="00D76DE8"/>
    <w:rsid w:val="00D77015"/>
    <w:rsid w:val="00D775AD"/>
    <w:rsid w:val="00D77972"/>
    <w:rsid w:val="00D812D1"/>
    <w:rsid w:val="00D81B0F"/>
    <w:rsid w:val="00D8220A"/>
    <w:rsid w:val="00D82E8A"/>
    <w:rsid w:val="00D82F93"/>
    <w:rsid w:val="00D83EE1"/>
    <w:rsid w:val="00D84BD6"/>
    <w:rsid w:val="00D85551"/>
    <w:rsid w:val="00D8621A"/>
    <w:rsid w:val="00D86BA6"/>
    <w:rsid w:val="00D87433"/>
    <w:rsid w:val="00D875E2"/>
    <w:rsid w:val="00D9103C"/>
    <w:rsid w:val="00D910D0"/>
    <w:rsid w:val="00D91495"/>
    <w:rsid w:val="00D9172D"/>
    <w:rsid w:val="00D92075"/>
    <w:rsid w:val="00D92807"/>
    <w:rsid w:val="00D92C2A"/>
    <w:rsid w:val="00D9387F"/>
    <w:rsid w:val="00D9389E"/>
    <w:rsid w:val="00D94253"/>
    <w:rsid w:val="00D9462F"/>
    <w:rsid w:val="00D9490B"/>
    <w:rsid w:val="00D95B54"/>
    <w:rsid w:val="00D961B8"/>
    <w:rsid w:val="00D97035"/>
    <w:rsid w:val="00D974A4"/>
    <w:rsid w:val="00D975F9"/>
    <w:rsid w:val="00D97945"/>
    <w:rsid w:val="00D97DF0"/>
    <w:rsid w:val="00DA08ED"/>
    <w:rsid w:val="00DA0E3B"/>
    <w:rsid w:val="00DA1409"/>
    <w:rsid w:val="00DA185B"/>
    <w:rsid w:val="00DA19E7"/>
    <w:rsid w:val="00DA2860"/>
    <w:rsid w:val="00DA2888"/>
    <w:rsid w:val="00DA2DDE"/>
    <w:rsid w:val="00DA317E"/>
    <w:rsid w:val="00DA333E"/>
    <w:rsid w:val="00DA34D4"/>
    <w:rsid w:val="00DA4996"/>
    <w:rsid w:val="00DA546D"/>
    <w:rsid w:val="00DA55C5"/>
    <w:rsid w:val="00DA5775"/>
    <w:rsid w:val="00DA5B17"/>
    <w:rsid w:val="00DA5B7B"/>
    <w:rsid w:val="00DA6385"/>
    <w:rsid w:val="00DA6CB7"/>
    <w:rsid w:val="00DA6F9B"/>
    <w:rsid w:val="00DA7366"/>
    <w:rsid w:val="00DA74AF"/>
    <w:rsid w:val="00DA799D"/>
    <w:rsid w:val="00DA7ED6"/>
    <w:rsid w:val="00DB063D"/>
    <w:rsid w:val="00DB086A"/>
    <w:rsid w:val="00DB0C2F"/>
    <w:rsid w:val="00DB1E7B"/>
    <w:rsid w:val="00DB23AA"/>
    <w:rsid w:val="00DB3F07"/>
    <w:rsid w:val="00DB3FCC"/>
    <w:rsid w:val="00DB4535"/>
    <w:rsid w:val="00DB4D2E"/>
    <w:rsid w:val="00DB53CA"/>
    <w:rsid w:val="00DB62D7"/>
    <w:rsid w:val="00DB6489"/>
    <w:rsid w:val="00DB6BA6"/>
    <w:rsid w:val="00DB726D"/>
    <w:rsid w:val="00DB7A86"/>
    <w:rsid w:val="00DC0962"/>
    <w:rsid w:val="00DC0D1E"/>
    <w:rsid w:val="00DC0D9E"/>
    <w:rsid w:val="00DC0DCD"/>
    <w:rsid w:val="00DC25B6"/>
    <w:rsid w:val="00DC2651"/>
    <w:rsid w:val="00DC2DB6"/>
    <w:rsid w:val="00DC4A4C"/>
    <w:rsid w:val="00DC4B0A"/>
    <w:rsid w:val="00DC516D"/>
    <w:rsid w:val="00DC58EE"/>
    <w:rsid w:val="00DC5D1D"/>
    <w:rsid w:val="00DC6E17"/>
    <w:rsid w:val="00DC7A6C"/>
    <w:rsid w:val="00DC7F6B"/>
    <w:rsid w:val="00DD017B"/>
    <w:rsid w:val="00DD1041"/>
    <w:rsid w:val="00DD13DA"/>
    <w:rsid w:val="00DD143C"/>
    <w:rsid w:val="00DD162A"/>
    <w:rsid w:val="00DD1B04"/>
    <w:rsid w:val="00DD1EF9"/>
    <w:rsid w:val="00DD5D68"/>
    <w:rsid w:val="00DD618D"/>
    <w:rsid w:val="00DD61AE"/>
    <w:rsid w:val="00DD61CF"/>
    <w:rsid w:val="00DD686B"/>
    <w:rsid w:val="00DE030F"/>
    <w:rsid w:val="00DE04EC"/>
    <w:rsid w:val="00DE0553"/>
    <w:rsid w:val="00DE067D"/>
    <w:rsid w:val="00DE0EB0"/>
    <w:rsid w:val="00DE1184"/>
    <w:rsid w:val="00DE142B"/>
    <w:rsid w:val="00DE153A"/>
    <w:rsid w:val="00DE1B4C"/>
    <w:rsid w:val="00DE1E74"/>
    <w:rsid w:val="00DE2EA6"/>
    <w:rsid w:val="00DE40E7"/>
    <w:rsid w:val="00DE413D"/>
    <w:rsid w:val="00DE4195"/>
    <w:rsid w:val="00DE441A"/>
    <w:rsid w:val="00DE5AAD"/>
    <w:rsid w:val="00DE6126"/>
    <w:rsid w:val="00DE61C8"/>
    <w:rsid w:val="00DE64B5"/>
    <w:rsid w:val="00DF0CBE"/>
    <w:rsid w:val="00DF16F9"/>
    <w:rsid w:val="00DF1818"/>
    <w:rsid w:val="00DF1BB0"/>
    <w:rsid w:val="00DF2169"/>
    <w:rsid w:val="00DF2A3A"/>
    <w:rsid w:val="00DF3A7C"/>
    <w:rsid w:val="00DF3D85"/>
    <w:rsid w:val="00DF4139"/>
    <w:rsid w:val="00DF4792"/>
    <w:rsid w:val="00DF4E8E"/>
    <w:rsid w:val="00DF4EC7"/>
    <w:rsid w:val="00DF5021"/>
    <w:rsid w:val="00DF5D03"/>
    <w:rsid w:val="00DF694B"/>
    <w:rsid w:val="00DF78A6"/>
    <w:rsid w:val="00DF7C47"/>
    <w:rsid w:val="00E00A35"/>
    <w:rsid w:val="00E018FD"/>
    <w:rsid w:val="00E01F41"/>
    <w:rsid w:val="00E023B2"/>
    <w:rsid w:val="00E0264F"/>
    <w:rsid w:val="00E03526"/>
    <w:rsid w:val="00E03CDA"/>
    <w:rsid w:val="00E03F3D"/>
    <w:rsid w:val="00E0439E"/>
    <w:rsid w:val="00E05177"/>
    <w:rsid w:val="00E05EA8"/>
    <w:rsid w:val="00E0631F"/>
    <w:rsid w:val="00E065F5"/>
    <w:rsid w:val="00E06DD3"/>
    <w:rsid w:val="00E07F47"/>
    <w:rsid w:val="00E101AE"/>
    <w:rsid w:val="00E10898"/>
    <w:rsid w:val="00E10BEF"/>
    <w:rsid w:val="00E11420"/>
    <w:rsid w:val="00E11BD5"/>
    <w:rsid w:val="00E11C71"/>
    <w:rsid w:val="00E12528"/>
    <w:rsid w:val="00E12C23"/>
    <w:rsid w:val="00E12E64"/>
    <w:rsid w:val="00E13657"/>
    <w:rsid w:val="00E13775"/>
    <w:rsid w:val="00E137CB"/>
    <w:rsid w:val="00E13858"/>
    <w:rsid w:val="00E14192"/>
    <w:rsid w:val="00E148D2"/>
    <w:rsid w:val="00E14CB8"/>
    <w:rsid w:val="00E14D40"/>
    <w:rsid w:val="00E150E2"/>
    <w:rsid w:val="00E153A8"/>
    <w:rsid w:val="00E15B43"/>
    <w:rsid w:val="00E20441"/>
    <w:rsid w:val="00E20801"/>
    <w:rsid w:val="00E21AF6"/>
    <w:rsid w:val="00E21EF2"/>
    <w:rsid w:val="00E23947"/>
    <w:rsid w:val="00E23BF4"/>
    <w:rsid w:val="00E2411E"/>
    <w:rsid w:val="00E2413B"/>
    <w:rsid w:val="00E2421D"/>
    <w:rsid w:val="00E24AD0"/>
    <w:rsid w:val="00E259C0"/>
    <w:rsid w:val="00E25B85"/>
    <w:rsid w:val="00E27184"/>
    <w:rsid w:val="00E276CE"/>
    <w:rsid w:val="00E30AAC"/>
    <w:rsid w:val="00E3112B"/>
    <w:rsid w:val="00E3119F"/>
    <w:rsid w:val="00E316E4"/>
    <w:rsid w:val="00E31A1E"/>
    <w:rsid w:val="00E31A34"/>
    <w:rsid w:val="00E3235A"/>
    <w:rsid w:val="00E32831"/>
    <w:rsid w:val="00E32964"/>
    <w:rsid w:val="00E32AC0"/>
    <w:rsid w:val="00E33578"/>
    <w:rsid w:val="00E336B7"/>
    <w:rsid w:val="00E3390E"/>
    <w:rsid w:val="00E33A4F"/>
    <w:rsid w:val="00E33CB2"/>
    <w:rsid w:val="00E33CED"/>
    <w:rsid w:val="00E3407B"/>
    <w:rsid w:val="00E3434A"/>
    <w:rsid w:val="00E34661"/>
    <w:rsid w:val="00E34962"/>
    <w:rsid w:val="00E3539A"/>
    <w:rsid w:val="00E35B26"/>
    <w:rsid w:val="00E3642C"/>
    <w:rsid w:val="00E36AC3"/>
    <w:rsid w:val="00E4047F"/>
    <w:rsid w:val="00E40FAB"/>
    <w:rsid w:val="00E41E36"/>
    <w:rsid w:val="00E41EA1"/>
    <w:rsid w:val="00E44115"/>
    <w:rsid w:val="00E444BC"/>
    <w:rsid w:val="00E44929"/>
    <w:rsid w:val="00E44CAE"/>
    <w:rsid w:val="00E4556C"/>
    <w:rsid w:val="00E45B6C"/>
    <w:rsid w:val="00E46413"/>
    <w:rsid w:val="00E50472"/>
    <w:rsid w:val="00E52335"/>
    <w:rsid w:val="00E52422"/>
    <w:rsid w:val="00E52513"/>
    <w:rsid w:val="00E53179"/>
    <w:rsid w:val="00E54734"/>
    <w:rsid w:val="00E54802"/>
    <w:rsid w:val="00E549CF"/>
    <w:rsid w:val="00E54D32"/>
    <w:rsid w:val="00E55DD0"/>
    <w:rsid w:val="00E55E3B"/>
    <w:rsid w:val="00E55EBF"/>
    <w:rsid w:val="00E56354"/>
    <w:rsid w:val="00E5654D"/>
    <w:rsid w:val="00E56570"/>
    <w:rsid w:val="00E5788A"/>
    <w:rsid w:val="00E5795C"/>
    <w:rsid w:val="00E61495"/>
    <w:rsid w:val="00E61BC6"/>
    <w:rsid w:val="00E61DCA"/>
    <w:rsid w:val="00E61F7E"/>
    <w:rsid w:val="00E61F8A"/>
    <w:rsid w:val="00E62534"/>
    <w:rsid w:val="00E629AD"/>
    <w:rsid w:val="00E62AF5"/>
    <w:rsid w:val="00E632BE"/>
    <w:rsid w:val="00E634E8"/>
    <w:rsid w:val="00E656E0"/>
    <w:rsid w:val="00E65BBF"/>
    <w:rsid w:val="00E66163"/>
    <w:rsid w:val="00E66C1F"/>
    <w:rsid w:val="00E66FB2"/>
    <w:rsid w:val="00E66FD1"/>
    <w:rsid w:val="00E67032"/>
    <w:rsid w:val="00E67B6C"/>
    <w:rsid w:val="00E67EDA"/>
    <w:rsid w:val="00E70510"/>
    <w:rsid w:val="00E70A32"/>
    <w:rsid w:val="00E70A6C"/>
    <w:rsid w:val="00E70AA0"/>
    <w:rsid w:val="00E710D1"/>
    <w:rsid w:val="00E72249"/>
    <w:rsid w:val="00E73024"/>
    <w:rsid w:val="00E74D1E"/>
    <w:rsid w:val="00E750B5"/>
    <w:rsid w:val="00E751FF"/>
    <w:rsid w:val="00E755ED"/>
    <w:rsid w:val="00E75D3F"/>
    <w:rsid w:val="00E76DBA"/>
    <w:rsid w:val="00E801DF"/>
    <w:rsid w:val="00E80301"/>
    <w:rsid w:val="00E80987"/>
    <w:rsid w:val="00E81912"/>
    <w:rsid w:val="00E81E90"/>
    <w:rsid w:val="00E82561"/>
    <w:rsid w:val="00E827A5"/>
    <w:rsid w:val="00E829F8"/>
    <w:rsid w:val="00E8498D"/>
    <w:rsid w:val="00E84F43"/>
    <w:rsid w:val="00E8589B"/>
    <w:rsid w:val="00E87B5D"/>
    <w:rsid w:val="00E90436"/>
    <w:rsid w:val="00E90B98"/>
    <w:rsid w:val="00E91049"/>
    <w:rsid w:val="00E915F8"/>
    <w:rsid w:val="00E919DD"/>
    <w:rsid w:val="00E91C46"/>
    <w:rsid w:val="00E92C83"/>
    <w:rsid w:val="00E941B5"/>
    <w:rsid w:val="00E94626"/>
    <w:rsid w:val="00E94D9D"/>
    <w:rsid w:val="00E95D28"/>
    <w:rsid w:val="00E96181"/>
    <w:rsid w:val="00E961FF"/>
    <w:rsid w:val="00E96245"/>
    <w:rsid w:val="00E96455"/>
    <w:rsid w:val="00E96D96"/>
    <w:rsid w:val="00E96DAF"/>
    <w:rsid w:val="00E974F3"/>
    <w:rsid w:val="00EA0414"/>
    <w:rsid w:val="00EA08BD"/>
    <w:rsid w:val="00EA0A58"/>
    <w:rsid w:val="00EA139F"/>
    <w:rsid w:val="00EA183A"/>
    <w:rsid w:val="00EA20D0"/>
    <w:rsid w:val="00EA256F"/>
    <w:rsid w:val="00EA2951"/>
    <w:rsid w:val="00EA2F14"/>
    <w:rsid w:val="00EA33A6"/>
    <w:rsid w:val="00EA38DF"/>
    <w:rsid w:val="00EA3AC6"/>
    <w:rsid w:val="00EA3EA6"/>
    <w:rsid w:val="00EA4699"/>
    <w:rsid w:val="00EA4803"/>
    <w:rsid w:val="00EA55BC"/>
    <w:rsid w:val="00EA5608"/>
    <w:rsid w:val="00EA56B0"/>
    <w:rsid w:val="00EA58AD"/>
    <w:rsid w:val="00EA67FB"/>
    <w:rsid w:val="00EA74A1"/>
    <w:rsid w:val="00EA7AB8"/>
    <w:rsid w:val="00EA7D61"/>
    <w:rsid w:val="00EA7E02"/>
    <w:rsid w:val="00EB0168"/>
    <w:rsid w:val="00EB0270"/>
    <w:rsid w:val="00EB0404"/>
    <w:rsid w:val="00EB06DD"/>
    <w:rsid w:val="00EB1850"/>
    <w:rsid w:val="00EB2539"/>
    <w:rsid w:val="00EB2D39"/>
    <w:rsid w:val="00EB32A8"/>
    <w:rsid w:val="00EB38FA"/>
    <w:rsid w:val="00EB3CF3"/>
    <w:rsid w:val="00EB3F25"/>
    <w:rsid w:val="00EB4220"/>
    <w:rsid w:val="00EB434B"/>
    <w:rsid w:val="00EB4B21"/>
    <w:rsid w:val="00EB4EE2"/>
    <w:rsid w:val="00EB5286"/>
    <w:rsid w:val="00EB529E"/>
    <w:rsid w:val="00EB56A4"/>
    <w:rsid w:val="00EB5A8E"/>
    <w:rsid w:val="00EB5F99"/>
    <w:rsid w:val="00EB7513"/>
    <w:rsid w:val="00EB76C3"/>
    <w:rsid w:val="00EC03B8"/>
    <w:rsid w:val="00EC0647"/>
    <w:rsid w:val="00EC0A51"/>
    <w:rsid w:val="00EC0B26"/>
    <w:rsid w:val="00EC12E5"/>
    <w:rsid w:val="00EC1F3C"/>
    <w:rsid w:val="00EC1F44"/>
    <w:rsid w:val="00EC1F6B"/>
    <w:rsid w:val="00EC2A75"/>
    <w:rsid w:val="00EC340D"/>
    <w:rsid w:val="00EC44EB"/>
    <w:rsid w:val="00EC47CE"/>
    <w:rsid w:val="00EC4B23"/>
    <w:rsid w:val="00EC4C4F"/>
    <w:rsid w:val="00EC4DE6"/>
    <w:rsid w:val="00EC5160"/>
    <w:rsid w:val="00EC564C"/>
    <w:rsid w:val="00EC5746"/>
    <w:rsid w:val="00EC5D53"/>
    <w:rsid w:val="00EC6104"/>
    <w:rsid w:val="00EC612C"/>
    <w:rsid w:val="00EC6923"/>
    <w:rsid w:val="00EC6D69"/>
    <w:rsid w:val="00EC70C5"/>
    <w:rsid w:val="00EC7BAC"/>
    <w:rsid w:val="00EC7E5F"/>
    <w:rsid w:val="00ED0FD8"/>
    <w:rsid w:val="00ED1EBF"/>
    <w:rsid w:val="00ED2C9E"/>
    <w:rsid w:val="00ED343D"/>
    <w:rsid w:val="00ED386F"/>
    <w:rsid w:val="00ED40D2"/>
    <w:rsid w:val="00ED417F"/>
    <w:rsid w:val="00ED4AC3"/>
    <w:rsid w:val="00ED4F98"/>
    <w:rsid w:val="00ED5FEB"/>
    <w:rsid w:val="00ED6906"/>
    <w:rsid w:val="00ED6F36"/>
    <w:rsid w:val="00EE0220"/>
    <w:rsid w:val="00EE0555"/>
    <w:rsid w:val="00EE1A2F"/>
    <w:rsid w:val="00EE2B21"/>
    <w:rsid w:val="00EE2B97"/>
    <w:rsid w:val="00EE2BC2"/>
    <w:rsid w:val="00EE3D14"/>
    <w:rsid w:val="00EE40BF"/>
    <w:rsid w:val="00EE4184"/>
    <w:rsid w:val="00EE5750"/>
    <w:rsid w:val="00EE655B"/>
    <w:rsid w:val="00EE6E05"/>
    <w:rsid w:val="00EE6FAA"/>
    <w:rsid w:val="00EE719C"/>
    <w:rsid w:val="00EF06A0"/>
    <w:rsid w:val="00EF1AC8"/>
    <w:rsid w:val="00EF1FA2"/>
    <w:rsid w:val="00EF2880"/>
    <w:rsid w:val="00EF343B"/>
    <w:rsid w:val="00EF380B"/>
    <w:rsid w:val="00EF4918"/>
    <w:rsid w:val="00EF4FEF"/>
    <w:rsid w:val="00EF502A"/>
    <w:rsid w:val="00EF55A4"/>
    <w:rsid w:val="00EF63C4"/>
    <w:rsid w:val="00EF6D4F"/>
    <w:rsid w:val="00EF6F69"/>
    <w:rsid w:val="00EF71D1"/>
    <w:rsid w:val="00EF725E"/>
    <w:rsid w:val="00EF726C"/>
    <w:rsid w:val="00EF7E05"/>
    <w:rsid w:val="00F00432"/>
    <w:rsid w:val="00F006A8"/>
    <w:rsid w:val="00F01095"/>
    <w:rsid w:val="00F020F8"/>
    <w:rsid w:val="00F033F7"/>
    <w:rsid w:val="00F036DE"/>
    <w:rsid w:val="00F03A48"/>
    <w:rsid w:val="00F03F4D"/>
    <w:rsid w:val="00F042E9"/>
    <w:rsid w:val="00F04461"/>
    <w:rsid w:val="00F04847"/>
    <w:rsid w:val="00F049D3"/>
    <w:rsid w:val="00F04A4F"/>
    <w:rsid w:val="00F067E8"/>
    <w:rsid w:val="00F068EF"/>
    <w:rsid w:val="00F07101"/>
    <w:rsid w:val="00F0740A"/>
    <w:rsid w:val="00F07F89"/>
    <w:rsid w:val="00F1025F"/>
    <w:rsid w:val="00F11244"/>
    <w:rsid w:val="00F11821"/>
    <w:rsid w:val="00F120DB"/>
    <w:rsid w:val="00F12E61"/>
    <w:rsid w:val="00F1349D"/>
    <w:rsid w:val="00F15A38"/>
    <w:rsid w:val="00F160CD"/>
    <w:rsid w:val="00F161FB"/>
    <w:rsid w:val="00F16850"/>
    <w:rsid w:val="00F17063"/>
    <w:rsid w:val="00F17353"/>
    <w:rsid w:val="00F2064A"/>
    <w:rsid w:val="00F20B0A"/>
    <w:rsid w:val="00F20D93"/>
    <w:rsid w:val="00F21D0F"/>
    <w:rsid w:val="00F22D88"/>
    <w:rsid w:val="00F252FD"/>
    <w:rsid w:val="00F265B3"/>
    <w:rsid w:val="00F27177"/>
    <w:rsid w:val="00F276B9"/>
    <w:rsid w:val="00F30A01"/>
    <w:rsid w:val="00F311E7"/>
    <w:rsid w:val="00F312D1"/>
    <w:rsid w:val="00F31348"/>
    <w:rsid w:val="00F315C2"/>
    <w:rsid w:val="00F31683"/>
    <w:rsid w:val="00F317D3"/>
    <w:rsid w:val="00F32505"/>
    <w:rsid w:val="00F32D8A"/>
    <w:rsid w:val="00F33D6C"/>
    <w:rsid w:val="00F34076"/>
    <w:rsid w:val="00F34B03"/>
    <w:rsid w:val="00F34DE4"/>
    <w:rsid w:val="00F35439"/>
    <w:rsid w:val="00F36017"/>
    <w:rsid w:val="00F361C5"/>
    <w:rsid w:val="00F36424"/>
    <w:rsid w:val="00F40B10"/>
    <w:rsid w:val="00F40F86"/>
    <w:rsid w:val="00F41754"/>
    <w:rsid w:val="00F428E7"/>
    <w:rsid w:val="00F42D9F"/>
    <w:rsid w:val="00F4307E"/>
    <w:rsid w:val="00F433B3"/>
    <w:rsid w:val="00F43695"/>
    <w:rsid w:val="00F4379B"/>
    <w:rsid w:val="00F4410A"/>
    <w:rsid w:val="00F4447D"/>
    <w:rsid w:val="00F4459F"/>
    <w:rsid w:val="00F44D5D"/>
    <w:rsid w:val="00F44F76"/>
    <w:rsid w:val="00F45A02"/>
    <w:rsid w:val="00F4631A"/>
    <w:rsid w:val="00F46A7F"/>
    <w:rsid w:val="00F502D6"/>
    <w:rsid w:val="00F506F7"/>
    <w:rsid w:val="00F508C6"/>
    <w:rsid w:val="00F5097D"/>
    <w:rsid w:val="00F5130E"/>
    <w:rsid w:val="00F52488"/>
    <w:rsid w:val="00F5267B"/>
    <w:rsid w:val="00F5305A"/>
    <w:rsid w:val="00F53B94"/>
    <w:rsid w:val="00F5433A"/>
    <w:rsid w:val="00F55091"/>
    <w:rsid w:val="00F55836"/>
    <w:rsid w:val="00F5639D"/>
    <w:rsid w:val="00F61951"/>
    <w:rsid w:val="00F628BC"/>
    <w:rsid w:val="00F631ED"/>
    <w:rsid w:val="00F6342C"/>
    <w:rsid w:val="00F63903"/>
    <w:rsid w:val="00F63BF1"/>
    <w:rsid w:val="00F642C9"/>
    <w:rsid w:val="00F6456D"/>
    <w:rsid w:val="00F646B3"/>
    <w:rsid w:val="00F64A8B"/>
    <w:rsid w:val="00F66481"/>
    <w:rsid w:val="00F665FF"/>
    <w:rsid w:val="00F666B1"/>
    <w:rsid w:val="00F666E3"/>
    <w:rsid w:val="00F67286"/>
    <w:rsid w:val="00F701DA"/>
    <w:rsid w:val="00F70639"/>
    <w:rsid w:val="00F70AF9"/>
    <w:rsid w:val="00F70B56"/>
    <w:rsid w:val="00F70CB0"/>
    <w:rsid w:val="00F71043"/>
    <w:rsid w:val="00F71309"/>
    <w:rsid w:val="00F71472"/>
    <w:rsid w:val="00F71688"/>
    <w:rsid w:val="00F71867"/>
    <w:rsid w:val="00F71A5E"/>
    <w:rsid w:val="00F71EE0"/>
    <w:rsid w:val="00F71FE0"/>
    <w:rsid w:val="00F7226C"/>
    <w:rsid w:val="00F73707"/>
    <w:rsid w:val="00F76375"/>
    <w:rsid w:val="00F7690D"/>
    <w:rsid w:val="00F77552"/>
    <w:rsid w:val="00F77FE4"/>
    <w:rsid w:val="00F80703"/>
    <w:rsid w:val="00F808B9"/>
    <w:rsid w:val="00F80973"/>
    <w:rsid w:val="00F80DDB"/>
    <w:rsid w:val="00F810F8"/>
    <w:rsid w:val="00F81336"/>
    <w:rsid w:val="00F82A54"/>
    <w:rsid w:val="00F82B51"/>
    <w:rsid w:val="00F8413C"/>
    <w:rsid w:val="00F843F9"/>
    <w:rsid w:val="00F8499D"/>
    <w:rsid w:val="00F84B91"/>
    <w:rsid w:val="00F85BAC"/>
    <w:rsid w:val="00F85D79"/>
    <w:rsid w:val="00F85E38"/>
    <w:rsid w:val="00F85E69"/>
    <w:rsid w:val="00F86E8F"/>
    <w:rsid w:val="00F87575"/>
    <w:rsid w:val="00F87A2D"/>
    <w:rsid w:val="00F87F2B"/>
    <w:rsid w:val="00F91213"/>
    <w:rsid w:val="00F91ACB"/>
    <w:rsid w:val="00F922CE"/>
    <w:rsid w:val="00F927C6"/>
    <w:rsid w:val="00F927EE"/>
    <w:rsid w:val="00F936AC"/>
    <w:rsid w:val="00F93A46"/>
    <w:rsid w:val="00F9464E"/>
    <w:rsid w:val="00F94F5F"/>
    <w:rsid w:val="00F958FB"/>
    <w:rsid w:val="00F97156"/>
    <w:rsid w:val="00F9799D"/>
    <w:rsid w:val="00FA00FC"/>
    <w:rsid w:val="00FA0186"/>
    <w:rsid w:val="00FA062F"/>
    <w:rsid w:val="00FA156A"/>
    <w:rsid w:val="00FA18CC"/>
    <w:rsid w:val="00FA26E6"/>
    <w:rsid w:val="00FA274D"/>
    <w:rsid w:val="00FA290E"/>
    <w:rsid w:val="00FA5303"/>
    <w:rsid w:val="00FA5740"/>
    <w:rsid w:val="00FA62C4"/>
    <w:rsid w:val="00FA6484"/>
    <w:rsid w:val="00FA67D6"/>
    <w:rsid w:val="00FA6849"/>
    <w:rsid w:val="00FA7227"/>
    <w:rsid w:val="00FA75B7"/>
    <w:rsid w:val="00FB04A0"/>
    <w:rsid w:val="00FB0E6E"/>
    <w:rsid w:val="00FB0E85"/>
    <w:rsid w:val="00FB1CDC"/>
    <w:rsid w:val="00FB211C"/>
    <w:rsid w:val="00FB25B8"/>
    <w:rsid w:val="00FB2625"/>
    <w:rsid w:val="00FB26F7"/>
    <w:rsid w:val="00FB2715"/>
    <w:rsid w:val="00FB2FEE"/>
    <w:rsid w:val="00FB3184"/>
    <w:rsid w:val="00FB362B"/>
    <w:rsid w:val="00FB384B"/>
    <w:rsid w:val="00FB46B8"/>
    <w:rsid w:val="00FB4F80"/>
    <w:rsid w:val="00FB58DA"/>
    <w:rsid w:val="00FB5E17"/>
    <w:rsid w:val="00FB650B"/>
    <w:rsid w:val="00FB659B"/>
    <w:rsid w:val="00FB6852"/>
    <w:rsid w:val="00FB77AC"/>
    <w:rsid w:val="00FC0ED9"/>
    <w:rsid w:val="00FC0EFA"/>
    <w:rsid w:val="00FC1220"/>
    <w:rsid w:val="00FC13DA"/>
    <w:rsid w:val="00FC1402"/>
    <w:rsid w:val="00FC18D6"/>
    <w:rsid w:val="00FC196B"/>
    <w:rsid w:val="00FC2B45"/>
    <w:rsid w:val="00FC2DA5"/>
    <w:rsid w:val="00FC2EB5"/>
    <w:rsid w:val="00FC3791"/>
    <w:rsid w:val="00FC3B32"/>
    <w:rsid w:val="00FC3FA2"/>
    <w:rsid w:val="00FC490D"/>
    <w:rsid w:val="00FC5D50"/>
    <w:rsid w:val="00FC5D67"/>
    <w:rsid w:val="00FC60B4"/>
    <w:rsid w:val="00FC61C7"/>
    <w:rsid w:val="00FC63DD"/>
    <w:rsid w:val="00FC68D8"/>
    <w:rsid w:val="00FC715B"/>
    <w:rsid w:val="00FD116F"/>
    <w:rsid w:val="00FD17D0"/>
    <w:rsid w:val="00FD1B00"/>
    <w:rsid w:val="00FD2B8D"/>
    <w:rsid w:val="00FD32DB"/>
    <w:rsid w:val="00FD37E2"/>
    <w:rsid w:val="00FD4A24"/>
    <w:rsid w:val="00FD57A5"/>
    <w:rsid w:val="00FD60EF"/>
    <w:rsid w:val="00FD6859"/>
    <w:rsid w:val="00FD6FEA"/>
    <w:rsid w:val="00FD701F"/>
    <w:rsid w:val="00FD77B5"/>
    <w:rsid w:val="00FE0025"/>
    <w:rsid w:val="00FE0C9C"/>
    <w:rsid w:val="00FE0D45"/>
    <w:rsid w:val="00FE10A5"/>
    <w:rsid w:val="00FE12C6"/>
    <w:rsid w:val="00FE1F3E"/>
    <w:rsid w:val="00FE23C9"/>
    <w:rsid w:val="00FE297F"/>
    <w:rsid w:val="00FE2AA5"/>
    <w:rsid w:val="00FE2C86"/>
    <w:rsid w:val="00FE2C99"/>
    <w:rsid w:val="00FE2F24"/>
    <w:rsid w:val="00FE322F"/>
    <w:rsid w:val="00FE348F"/>
    <w:rsid w:val="00FE46ED"/>
    <w:rsid w:val="00FE4879"/>
    <w:rsid w:val="00FE4D56"/>
    <w:rsid w:val="00FE5193"/>
    <w:rsid w:val="00FE58CF"/>
    <w:rsid w:val="00FE5EA7"/>
    <w:rsid w:val="00FE63D5"/>
    <w:rsid w:val="00FE673C"/>
    <w:rsid w:val="00FE6FF5"/>
    <w:rsid w:val="00FE708F"/>
    <w:rsid w:val="00FE70BF"/>
    <w:rsid w:val="00FF01CC"/>
    <w:rsid w:val="00FF08AB"/>
    <w:rsid w:val="00FF0D5F"/>
    <w:rsid w:val="00FF0FA3"/>
    <w:rsid w:val="00FF1756"/>
    <w:rsid w:val="00FF1B88"/>
    <w:rsid w:val="00FF21A9"/>
    <w:rsid w:val="00FF4B7A"/>
    <w:rsid w:val="00FF4E63"/>
    <w:rsid w:val="00FF5690"/>
    <w:rsid w:val="00FF6002"/>
    <w:rsid w:val="00FF73C6"/>
    <w:rsid w:val="00FF7E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9FA1C2"/>
  <w15:docId w15:val="{A050B58B-A321-1441-8B48-83357AA4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78"/>
    <w:pPr>
      <w:spacing w:after="0" w:line="240" w:lineRule="auto"/>
      <w:jc w:val="both"/>
    </w:pPr>
    <w:rPr>
      <w:rFonts w:ascii="Verdana" w:eastAsia="Batang" w:hAnsi="Verdana" w:cs="Times"/>
      <w:sz w:val="20"/>
      <w:szCs w:val="24"/>
      <w:lang w:val="es-ES_tradnl"/>
    </w:rPr>
  </w:style>
  <w:style w:type="paragraph" w:styleId="Ttulo1">
    <w:name w:val="heading 1"/>
    <w:basedOn w:val="Normal"/>
    <w:next w:val="Normal"/>
    <w:link w:val="Ttulo1Car"/>
    <w:uiPriority w:val="9"/>
    <w:qFormat/>
    <w:rsid w:val="009569E6"/>
    <w:pPr>
      <w:keepNext/>
      <w:keepLines/>
      <w:spacing w:before="360" w:after="360"/>
      <w:jc w:val="center"/>
      <w:outlineLvl w:val="0"/>
    </w:pPr>
    <w:rPr>
      <w:rFonts w:eastAsia="Times New Roman" w:cs="Verdana"/>
      <w:b/>
      <w:bCs/>
      <w:caps/>
      <w:snapToGrid w:val="0"/>
      <w:szCs w:val="20"/>
      <w:lang w:val="es-CR" w:eastAsia="es-ES"/>
    </w:rPr>
  </w:style>
  <w:style w:type="paragraph" w:styleId="Ttulo2">
    <w:name w:val="heading 2"/>
    <w:basedOn w:val="Normal"/>
    <w:next w:val="Normal"/>
    <w:link w:val="Ttulo2Car"/>
    <w:uiPriority w:val="99"/>
    <w:unhideWhenUsed/>
    <w:qFormat/>
    <w:rsid w:val="00F80DD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F80DDB"/>
    <w:pPr>
      <w:keepNext/>
      <w:keepLines/>
      <w:spacing w:before="200"/>
      <w:outlineLvl w:val="2"/>
    </w:pPr>
    <w:rPr>
      <w:rFonts w:eastAsiaTheme="majorEastAsia" w:cstheme="majorBidi"/>
      <w:b/>
      <w:bCs/>
      <w:i/>
    </w:rPr>
  </w:style>
  <w:style w:type="paragraph" w:styleId="Ttulo4">
    <w:name w:val="heading 4"/>
    <w:basedOn w:val="Normal"/>
    <w:next w:val="Normal"/>
    <w:link w:val="Ttulo4Car"/>
    <w:uiPriority w:val="99"/>
    <w:unhideWhenUsed/>
    <w:qFormat/>
    <w:rsid w:val="00F80DDB"/>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9"/>
    <w:unhideWhenUsed/>
    <w:qFormat/>
    <w:rsid w:val="009A2F04"/>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Ttulo5"/>
    <w:next w:val="Normal"/>
    <w:link w:val="Ttulo6Car"/>
    <w:uiPriority w:val="9"/>
    <w:unhideWhenUsed/>
    <w:qFormat/>
    <w:rsid w:val="009A2F04"/>
    <w:pPr>
      <w:keepNext w:val="0"/>
      <w:keepLines w:val="0"/>
      <w:numPr>
        <w:ilvl w:val="4"/>
        <w:numId w:val="3"/>
      </w:numPr>
      <w:spacing w:before="0"/>
      <w:outlineLvl w:val="5"/>
    </w:pPr>
    <w:rPr>
      <w:rFonts w:ascii="Verdana" w:eastAsia="Times New Roman" w:hAnsi="Verdana" w:cs="Times New Roman"/>
      <w:color w:val="auto"/>
      <w:spacing w:val="-2"/>
      <w:szCs w:val="20"/>
      <w:lang w:eastAsia="es-CR"/>
    </w:rPr>
  </w:style>
  <w:style w:type="paragraph" w:styleId="Ttulo7">
    <w:name w:val="heading 7"/>
    <w:basedOn w:val="Normal"/>
    <w:next w:val="Normal"/>
    <w:link w:val="Ttulo7Car"/>
    <w:uiPriority w:val="99"/>
    <w:qFormat/>
    <w:rsid w:val="00BD53D7"/>
    <w:pPr>
      <w:tabs>
        <w:tab w:val="num" w:pos="1296"/>
      </w:tabs>
      <w:spacing w:before="240" w:after="60" w:line="276" w:lineRule="auto"/>
      <w:ind w:left="1296" w:hanging="1296"/>
      <w:jc w:val="left"/>
      <w:outlineLvl w:val="6"/>
    </w:pPr>
    <w:rPr>
      <w:rFonts w:ascii="Times New Roman" w:eastAsia="Times New Roman" w:hAnsi="Times New Roman" w:cs="Times New Roman"/>
      <w:sz w:val="24"/>
      <w:lang w:eastAsia="es-ES"/>
    </w:rPr>
  </w:style>
  <w:style w:type="paragraph" w:styleId="Ttulo8">
    <w:name w:val="heading 8"/>
    <w:basedOn w:val="Normal"/>
    <w:next w:val="Normal"/>
    <w:link w:val="Ttulo8Car"/>
    <w:uiPriority w:val="99"/>
    <w:qFormat/>
    <w:rsid w:val="00BD53D7"/>
    <w:pPr>
      <w:tabs>
        <w:tab w:val="num" w:pos="1440"/>
      </w:tabs>
      <w:spacing w:before="240" w:after="60" w:line="276" w:lineRule="auto"/>
      <w:ind w:left="1440" w:hanging="1440"/>
      <w:jc w:val="left"/>
      <w:outlineLvl w:val="7"/>
    </w:pPr>
    <w:rPr>
      <w:rFonts w:ascii="Times New Roman" w:eastAsia="Times New Roman" w:hAnsi="Times New Roman" w:cs="Times New Roman"/>
      <w:i/>
      <w:iCs/>
      <w:sz w:val="24"/>
      <w:lang w:eastAsia="es-ES"/>
    </w:rPr>
  </w:style>
  <w:style w:type="paragraph" w:styleId="Ttulo9">
    <w:name w:val="heading 9"/>
    <w:basedOn w:val="Normal"/>
    <w:next w:val="Normal"/>
    <w:link w:val="Ttulo9Car"/>
    <w:uiPriority w:val="99"/>
    <w:qFormat/>
    <w:rsid w:val="00BD53D7"/>
    <w:pPr>
      <w:spacing w:before="240" w:after="60" w:line="276" w:lineRule="auto"/>
      <w:jc w:val="left"/>
      <w:outlineLvl w:val="8"/>
    </w:pPr>
    <w:rPr>
      <w:rFonts w:ascii="Arial" w:eastAsia="Times New Roman" w:hAnsi="Arial"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403BF"/>
    <w:pPr>
      <w:jc w:val="center"/>
    </w:pPr>
    <w:rPr>
      <w:rFonts w:eastAsia="Times New Roman" w:cs="Times New Roman"/>
      <w:b/>
      <w:szCs w:val="20"/>
    </w:rPr>
  </w:style>
  <w:style w:type="character" w:customStyle="1" w:styleId="TtuloCar">
    <w:name w:val="Título Car"/>
    <w:basedOn w:val="Fuentedeprrafopredeter"/>
    <w:link w:val="Ttulo"/>
    <w:rsid w:val="009403BF"/>
    <w:rPr>
      <w:rFonts w:ascii="Verdana" w:eastAsia="Times New Roman" w:hAnsi="Verdana" w:cs="Times New Roman"/>
      <w:b/>
      <w:noProof/>
      <w:sz w:val="20"/>
      <w:szCs w:val="20"/>
      <w:lang w:val="es-ES_tradnl"/>
    </w:rPr>
  </w:style>
  <w:style w:type="paragraph" w:styleId="Subttulo">
    <w:name w:val="Subtitle"/>
    <w:basedOn w:val="Normal"/>
    <w:next w:val="Normal"/>
    <w:link w:val="SubttuloCar"/>
    <w:qFormat/>
    <w:rsid w:val="009403BF"/>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rsid w:val="009403BF"/>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9403BF"/>
    <w:pPr>
      <w:ind w:left="708"/>
    </w:pPr>
    <w:rPr>
      <w:rFonts w:eastAsia="Times New Roman" w:cs="Times New Roman"/>
      <w:szCs w:val="20"/>
    </w:rPr>
  </w:style>
  <w:style w:type="paragraph" w:styleId="Encabezado">
    <w:name w:val="header"/>
    <w:basedOn w:val="Normal"/>
    <w:link w:val="EncabezadoCar"/>
    <w:uiPriority w:val="99"/>
    <w:unhideWhenUsed/>
    <w:rsid w:val="009403BF"/>
    <w:pPr>
      <w:tabs>
        <w:tab w:val="center" w:pos="4252"/>
        <w:tab w:val="right" w:pos="8504"/>
      </w:tabs>
    </w:pPr>
  </w:style>
  <w:style w:type="character" w:customStyle="1" w:styleId="EncabezadoCar">
    <w:name w:val="Encabezado Car"/>
    <w:basedOn w:val="Fuentedeprrafopredeter"/>
    <w:link w:val="Encabezado"/>
    <w:uiPriority w:val="99"/>
    <w:rsid w:val="009403BF"/>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9403BF"/>
    <w:pPr>
      <w:tabs>
        <w:tab w:val="center" w:pos="4252"/>
        <w:tab w:val="right" w:pos="8504"/>
      </w:tabs>
    </w:pPr>
  </w:style>
  <w:style w:type="character" w:customStyle="1" w:styleId="PiedepginaCar">
    <w:name w:val="Pie de página Car"/>
    <w:basedOn w:val="Fuentedeprrafopredeter"/>
    <w:link w:val="Piedepgina"/>
    <w:uiPriority w:val="99"/>
    <w:rsid w:val="009403BF"/>
    <w:rPr>
      <w:rFonts w:ascii="Verdana" w:eastAsia="Batang" w:hAnsi="Verdana" w:cs="Times"/>
      <w:noProof/>
      <w:sz w:val="20"/>
      <w:szCs w:val="24"/>
      <w:lang w:val="es-ES_tradnl"/>
    </w:rPr>
  </w:style>
  <w:style w:type="character" w:styleId="Hipervnculo">
    <w:name w:val="Hyperlink"/>
    <w:aliases w:val="Heading 3 caso"/>
    <w:basedOn w:val="Fuentedeprrafopredeter"/>
    <w:uiPriority w:val="99"/>
    <w:unhideWhenUsed/>
    <w:rsid w:val="009403BF"/>
    <w:rPr>
      <w:color w:val="0000FF"/>
      <w:u w:val="single"/>
    </w:rPr>
  </w:style>
  <w:style w:type="paragraph" w:styleId="TDC1">
    <w:name w:val="toc 1"/>
    <w:basedOn w:val="Normal"/>
    <w:next w:val="Normal"/>
    <w:autoRedefine/>
    <w:uiPriority w:val="39"/>
    <w:unhideWhenUsed/>
    <w:rsid w:val="003E0964"/>
    <w:pPr>
      <w:tabs>
        <w:tab w:val="left" w:pos="709"/>
        <w:tab w:val="right" w:leader="dot" w:pos="9072"/>
      </w:tabs>
      <w:spacing w:before="60" w:after="60"/>
      <w:ind w:right="237"/>
    </w:pPr>
    <w:rPr>
      <w:b/>
      <w:sz w:val="18"/>
    </w:rPr>
  </w:style>
  <w:style w:type="character" w:customStyle="1" w:styleId="Ttulo1Car">
    <w:name w:val="Título 1 Car"/>
    <w:basedOn w:val="Fuentedeprrafopredeter"/>
    <w:link w:val="Ttulo1"/>
    <w:uiPriority w:val="9"/>
    <w:rsid w:val="009569E6"/>
    <w:rPr>
      <w:rFonts w:ascii="Verdana" w:eastAsia="Times New Roman" w:hAnsi="Verdana" w:cs="Verdana"/>
      <w:b/>
      <w:bCs/>
      <w:caps/>
      <w:noProof/>
      <w:snapToGrid w:val="0"/>
      <w:sz w:val="20"/>
      <w:szCs w:val="20"/>
      <w:lang w:val="es-CR" w:eastAsia="es-ES"/>
    </w:rPr>
  </w:style>
  <w:style w:type="paragraph" w:styleId="Prrafodelista">
    <w:name w:val="List Paragraph"/>
    <w:aliases w:val="Footnote,List Paragraph1,Colorful List - Accent 11,Párrafo de lista1,List Paragraph2,Lista vistosa - Énfasis 11,Subtle Emphasis1,Footnote1,List Paragraph11"/>
    <w:basedOn w:val="Normal"/>
    <w:link w:val="PrrafodelistaCar"/>
    <w:uiPriority w:val="34"/>
    <w:qFormat/>
    <w:rsid w:val="00CA3EC4"/>
    <w:pPr>
      <w:ind w:left="720"/>
      <w:contextualSpacing/>
    </w:p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qFormat/>
    <w:rsid w:val="006F5C6B"/>
    <w:rPr>
      <w:rFonts w:cs="Times New Roman"/>
      <w:szCs w:val="20"/>
      <w:vertAlign w:val="superscript"/>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TextonotapieCar1"/>
    <w:unhideWhenUsed/>
    <w:qFormat/>
    <w:rsid w:val="006F5C6B"/>
    <w:pPr>
      <w:spacing w:before="120" w:after="120"/>
    </w:pPr>
    <w:rPr>
      <w:sz w:val="16"/>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uiPriority w:val="99"/>
    <w:qFormat/>
    <w:rsid w:val="006F5C6B"/>
    <w:rPr>
      <w:rFonts w:ascii="Verdana" w:eastAsia="Batang" w:hAnsi="Verdana" w:cs="Times"/>
      <w:noProof/>
      <w:sz w:val="20"/>
      <w:szCs w:val="20"/>
      <w:lang w:val="es-ES_tradnl"/>
    </w:rPr>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1,C Car"/>
    <w:basedOn w:val="Fuentedeprrafopredeter"/>
    <w:link w:val="Textonotapie"/>
    <w:qFormat/>
    <w:rsid w:val="006F5C6B"/>
    <w:rPr>
      <w:rFonts w:ascii="Verdana" w:eastAsia="Batang" w:hAnsi="Verdana" w:cs="Times"/>
      <w:noProof/>
      <w:sz w:val="16"/>
      <w:szCs w:val="20"/>
      <w:lang w:val="es-ES_tradnl"/>
    </w:rPr>
  </w:style>
  <w:style w:type="character" w:styleId="Textoennegrita">
    <w:name w:val="Strong"/>
    <w:aliases w:val="Heading 2.1"/>
    <w:basedOn w:val="Fuentedeprrafopredeter"/>
    <w:uiPriority w:val="22"/>
    <w:qFormat/>
    <w:rsid w:val="0003786A"/>
    <w:rPr>
      <w:b/>
      <w:bCs/>
    </w:rPr>
  </w:style>
  <w:style w:type="character" w:customStyle="1" w:styleId="PrrafodelistaCar">
    <w:name w:val="Párrafo de lista Car"/>
    <w:aliases w:val="Footnote Car,List Paragraph1 Car,Colorful List - Accent 11 Car,Párrafo de lista1 Car,List Paragraph2 Car,Lista vistosa - Énfasis 11 Car,Subtle Emphasis1 Car,Footnote1 Car,List Paragraph11 Car"/>
    <w:basedOn w:val="Fuentedeprrafopredeter"/>
    <w:link w:val="Prrafodelista"/>
    <w:uiPriority w:val="34"/>
    <w:locked/>
    <w:rsid w:val="00375DA4"/>
    <w:rPr>
      <w:rFonts w:ascii="Verdana" w:eastAsia="Batang" w:hAnsi="Verdana" w:cs="Times"/>
      <w:noProof/>
      <w:sz w:val="20"/>
      <w:szCs w:val="24"/>
      <w:lang w:val="es-ES_tradnl"/>
    </w:rPr>
  </w:style>
  <w:style w:type="paragraph" w:customStyle="1" w:styleId="Estilo1">
    <w:name w:val="Estilo1"/>
    <w:basedOn w:val="Normal"/>
    <w:link w:val="Estilo1Car"/>
    <w:qFormat/>
    <w:rsid w:val="00375DA4"/>
    <w:pPr>
      <w:spacing w:after="120"/>
      <w:ind w:left="2018" w:right="6" w:hanging="180"/>
    </w:pPr>
    <w:rPr>
      <w:i/>
    </w:rPr>
  </w:style>
  <w:style w:type="character" w:customStyle="1" w:styleId="Estilo1Car">
    <w:name w:val="Estilo1 Car"/>
    <w:basedOn w:val="Fuentedeprrafopredeter"/>
    <w:link w:val="Estilo1"/>
    <w:rsid w:val="00375DA4"/>
    <w:rPr>
      <w:rFonts w:ascii="Verdana" w:eastAsia="Batang" w:hAnsi="Verdana" w:cs="Times"/>
      <w:i/>
      <w:noProof/>
      <w:sz w:val="20"/>
      <w:szCs w:val="24"/>
      <w:lang w:val="es-ES_tradnl"/>
    </w:rPr>
  </w:style>
  <w:style w:type="character" w:customStyle="1" w:styleId="apple-converted-space">
    <w:name w:val="apple-converted-space"/>
    <w:basedOn w:val="Fuentedeprrafopredeter"/>
    <w:rsid w:val="003C30A5"/>
  </w:style>
  <w:style w:type="paragraph" w:styleId="TtuloTDC">
    <w:name w:val="TOC Heading"/>
    <w:basedOn w:val="Ttulo1"/>
    <w:next w:val="Normal"/>
    <w:uiPriority w:val="39"/>
    <w:unhideWhenUsed/>
    <w:qFormat/>
    <w:rsid w:val="00206CEA"/>
    <w:pPr>
      <w:spacing w:before="480" w:after="0" w:line="276" w:lineRule="auto"/>
      <w:jc w:val="left"/>
      <w:outlineLvl w:val="9"/>
    </w:pPr>
    <w:rPr>
      <w:rFonts w:asciiTheme="majorHAnsi" w:eastAsiaTheme="majorEastAsia" w:hAnsiTheme="majorHAnsi" w:cstheme="majorBidi"/>
      <w:caps w:val="0"/>
      <w:snapToGrid/>
      <w:color w:val="2E74B5" w:themeColor="accent1" w:themeShade="BF"/>
      <w:sz w:val="28"/>
      <w:szCs w:val="28"/>
      <w:lang w:val="en-US" w:eastAsia="ja-JP"/>
    </w:rPr>
  </w:style>
  <w:style w:type="paragraph" w:styleId="Textodeglobo">
    <w:name w:val="Balloon Text"/>
    <w:basedOn w:val="Normal"/>
    <w:link w:val="TextodegloboCar"/>
    <w:unhideWhenUsed/>
    <w:rsid w:val="00206CEA"/>
    <w:rPr>
      <w:rFonts w:ascii="Tahoma" w:hAnsi="Tahoma" w:cs="Tahoma"/>
      <w:sz w:val="16"/>
      <w:szCs w:val="16"/>
    </w:rPr>
  </w:style>
  <w:style w:type="character" w:customStyle="1" w:styleId="TextodegloboCar">
    <w:name w:val="Texto de globo Car"/>
    <w:basedOn w:val="Fuentedeprrafopredeter"/>
    <w:link w:val="Textodeglobo"/>
    <w:rsid w:val="00206CEA"/>
    <w:rPr>
      <w:rFonts w:ascii="Tahoma" w:eastAsia="Batang" w:hAnsi="Tahoma" w:cs="Tahoma"/>
      <w:noProof/>
      <w:sz w:val="16"/>
      <w:szCs w:val="16"/>
      <w:lang w:val="es-ES_tradnl"/>
    </w:rPr>
  </w:style>
  <w:style w:type="table" w:styleId="Tablaconcuadrcula">
    <w:name w:val="Table Grid"/>
    <w:basedOn w:val="Tablanormal"/>
    <w:uiPriority w:val="99"/>
    <w:rsid w:val="007E7F4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2">
    <w:name w:val="toc 2"/>
    <w:basedOn w:val="Normal"/>
    <w:next w:val="Normal"/>
    <w:autoRedefine/>
    <w:uiPriority w:val="39"/>
    <w:unhideWhenUsed/>
    <w:rsid w:val="003E0964"/>
    <w:pPr>
      <w:tabs>
        <w:tab w:val="left" w:pos="660"/>
        <w:tab w:val="right" w:leader="dot" w:pos="9072"/>
      </w:tabs>
      <w:spacing w:after="60"/>
      <w:ind w:left="198" w:right="237"/>
    </w:pPr>
  </w:style>
  <w:style w:type="character" w:styleId="Refdecomentario">
    <w:name w:val="annotation reference"/>
    <w:basedOn w:val="Fuentedeprrafopredeter"/>
    <w:uiPriority w:val="99"/>
    <w:semiHidden/>
    <w:unhideWhenUsed/>
    <w:rsid w:val="00500859"/>
    <w:rPr>
      <w:sz w:val="16"/>
      <w:szCs w:val="16"/>
    </w:rPr>
  </w:style>
  <w:style w:type="paragraph" w:styleId="Textocomentario">
    <w:name w:val="annotation text"/>
    <w:basedOn w:val="Normal"/>
    <w:link w:val="TextocomentarioCar"/>
    <w:uiPriority w:val="99"/>
    <w:unhideWhenUsed/>
    <w:rsid w:val="00500859"/>
    <w:rPr>
      <w:szCs w:val="20"/>
    </w:rPr>
  </w:style>
  <w:style w:type="character" w:customStyle="1" w:styleId="TextocomentarioCar">
    <w:name w:val="Texto comentario Car"/>
    <w:basedOn w:val="Fuentedeprrafopredeter"/>
    <w:link w:val="Textocomentario"/>
    <w:uiPriority w:val="99"/>
    <w:rsid w:val="00500859"/>
    <w:rPr>
      <w:rFonts w:ascii="Verdana" w:eastAsia="Batang" w:hAnsi="Verdana" w:cs="Times"/>
      <w:noProof/>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00859"/>
    <w:rPr>
      <w:b/>
      <w:bCs/>
    </w:rPr>
  </w:style>
  <w:style w:type="character" w:customStyle="1" w:styleId="AsuntodelcomentarioCar">
    <w:name w:val="Asunto del comentario Car"/>
    <w:basedOn w:val="TextocomentarioCar"/>
    <w:link w:val="Asuntodelcomentario"/>
    <w:uiPriority w:val="99"/>
    <w:semiHidden/>
    <w:rsid w:val="00500859"/>
    <w:rPr>
      <w:rFonts w:ascii="Verdana" w:eastAsia="Batang" w:hAnsi="Verdana" w:cs="Times"/>
      <w:b/>
      <w:bCs/>
      <w:noProof/>
      <w:sz w:val="20"/>
      <w:szCs w:val="20"/>
      <w:lang w:val="es-ES_tradnl"/>
    </w:rPr>
  </w:style>
  <w:style w:type="paragraph" w:customStyle="1" w:styleId="Footnotes">
    <w:name w:val="**. Footnotes"/>
    <w:basedOn w:val="Textonotapie"/>
    <w:link w:val="FootnotesChar"/>
    <w:autoRedefine/>
    <w:qFormat/>
    <w:rsid w:val="005427F3"/>
    <w:pPr>
      <w:spacing w:before="60" w:after="60"/>
    </w:pPr>
    <w:rPr>
      <w:rFonts w:eastAsia="Times New Roman" w:cs="Palatino-Italic"/>
      <w:iCs/>
      <w:spacing w:val="-4"/>
      <w:szCs w:val="16"/>
      <w:lang w:val="es-ES" w:bidi="en-US"/>
    </w:rPr>
  </w:style>
  <w:style w:type="character" w:customStyle="1" w:styleId="FootnotesChar">
    <w:name w:val="**. Footnotes Char"/>
    <w:basedOn w:val="Fuentedeprrafopredeter"/>
    <w:link w:val="Footnotes"/>
    <w:rsid w:val="005427F3"/>
    <w:rPr>
      <w:rFonts w:ascii="Verdana" w:eastAsia="Times New Roman" w:hAnsi="Verdana" w:cs="Palatino-Italic"/>
      <w:iCs/>
      <w:spacing w:val="-4"/>
      <w:sz w:val="16"/>
      <w:szCs w:val="16"/>
      <w:lang w:bidi="en-US"/>
    </w:rPr>
  </w:style>
  <w:style w:type="character" w:customStyle="1" w:styleId="Ttulo6Car">
    <w:name w:val="Título 6 Car"/>
    <w:basedOn w:val="Fuentedeprrafopredeter"/>
    <w:link w:val="Ttulo6"/>
    <w:uiPriority w:val="9"/>
    <w:rsid w:val="009A2F04"/>
    <w:rPr>
      <w:rFonts w:ascii="Verdana" w:eastAsia="Times New Roman" w:hAnsi="Verdana" w:cs="Times New Roman"/>
      <w:spacing w:val="-2"/>
      <w:sz w:val="20"/>
      <w:szCs w:val="20"/>
      <w:lang w:val="es-ES_tradnl" w:eastAsia="es-CR"/>
    </w:rPr>
  </w:style>
  <w:style w:type="character" w:customStyle="1" w:styleId="Ttulo5Car">
    <w:name w:val="Título 5 Car"/>
    <w:basedOn w:val="Fuentedeprrafopredeter"/>
    <w:link w:val="Ttulo5"/>
    <w:uiPriority w:val="99"/>
    <w:rsid w:val="009A2F04"/>
    <w:rPr>
      <w:rFonts w:asciiTheme="majorHAnsi" w:eastAsiaTheme="majorEastAsia" w:hAnsiTheme="majorHAnsi" w:cstheme="majorBidi"/>
      <w:noProof/>
      <w:color w:val="1F4D78" w:themeColor="accent1" w:themeShade="7F"/>
      <w:sz w:val="20"/>
      <w:szCs w:val="24"/>
      <w:lang w:val="es-ES_tradnl"/>
    </w:rPr>
  </w:style>
  <w:style w:type="character" w:customStyle="1" w:styleId="Ttulo2Car">
    <w:name w:val="Título 2 Car"/>
    <w:basedOn w:val="Fuentedeprrafopredeter"/>
    <w:link w:val="Ttulo2"/>
    <w:uiPriority w:val="99"/>
    <w:rsid w:val="00F80DDB"/>
    <w:rPr>
      <w:rFonts w:asciiTheme="majorHAnsi" w:eastAsiaTheme="majorEastAsia" w:hAnsiTheme="majorHAnsi" w:cstheme="majorBidi"/>
      <w:b/>
      <w:bCs/>
      <w:noProof/>
      <w:color w:val="5B9BD5" w:themeColor="accent1"/>
      <w:sz w:val="26"/>
      <w:szCs w:val="26"/>
      <w:lang w:val="es-ES_tradnl"/>
    </w:rPr>
  </w:style>
  <w:style w:type="character" w:customStyle="1" w:styleId="Ttulo3Car">
    <w:name w:val="Título 3 Car"/>
    <w:basedOn w:val="Fuentedeprrafopredeter"/>
    <w:link w:val="Ttulo3"/>
    <w:uiPriority w:val="9"/>
    <w:rsid w:val="00F80DDB"/>
    <w:rPr>
      <w:rFonts w:ascii="Verdana" w:eastAsiaTheme="majorEastAsia" w:hAnsi="Verdana" w:cstheme="majorBidi"/>
      <w:b/>
      <w:bCs/>
      <w:i/>
      <w:sz w:val="20"/>
      <w:szCs w:val="24"/>
      <w:lang w:val="es-ES_tradnl"/>
    </w:rPr>
  </w:style>
  <w:style w:type="character" w:customStyle="1" w:styleId="Ttulo4Car">
    <w:name w:val="Título 4 Car"/>
    <w:basedOn w:val="Fuentedeprrafopredeter"/>
    <w:link w:val="Ttulo4"/>
    <w:uiPriority w:val="99"/>
    <w:rsid w:val="00F80DDB"/>
    <w:rPr>
      <w:rFonts w:asciiTheme="majorHAnsi" w:eastAsiaTheme="majorEastAsia" w:hAnsiTheme="majorHAnsi" w:cstheme="majorBidi"/>
      <w:b/>
      <w:bCs/>
      <w:i/>
      <w:iCs/>
      <w:color w:val="5B9BD5" w:themeColor="accent1"/>
      <w:sz w:val="20"/>
      <w:szCs w:val="24"/>
      <w:lang w:val="es-ES_tradnl"/>
    </w:rPr>
  </w:style>
  <w:style w:type="paragraph" w:customStyle="1" w:styleId="2Footnotes">
    <w:name w:val="2. Footnotes"/>
    <w:basedOn w:val="Textonotapie"/>
    <w:link w:val="2FootnotesChar"/>
    <w:autoRedefine/>
    <w:qFormat/>
    <w:rsid w:val="00F80DDB"/>
    <w:rPr>
      <w:rFonts w:eastAsia="Times New Roman" w:cs="Palatino-Italic"/>
      <w:iCs/>
      <w:szCs w:val="18"/>
      <w:lang w:val="es-ES"/>
    </w:rPr>
  </w:style>
  <w:style w:type="character" w:customStyle="1" w:styleId="2FootnotesChar">
    <w:name w:val="2. Footnotes Char"/>
    <w:link w:val="2Footnotes"/>
    <w:rsid w:val="00F80DDB"/>
    <w:rPr>
      <w:rFonts w:ascii="Verdana" w:eastAsia="Times New Roman" w:hAnsi="Verdana" w:cs="Palatino-Italic"/>
      <w:iCs/>
      <w:sz w:val="16"/>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F80DDB"/>
    <w:rPr>
      <w:rFonts w:asciiTheme="minorHAnsi" w:eastAsiaTheme="minorHAnsi" w:hAnsiTheme="minorHAnsi" w:cs="Times New Roman"/>
      <w:sz w:val="22"/>
      <w:szCs w:val="20"/>
      <w:vertAlign w:val="superscript"/>
      <w:lang w:val="es-ES"/>
    </w:rPr>
  </w:style>
  <w:style w:type="character" w:customStyle="1" w:styleId="PrrafodeSentenciaChar">
    <w:name w:val="*. Párrafo de Sentencia Char"/>
    <w:link w:val="PrrafodeSentencia"/>
    <w:locked/>
    <w:rsid w:val="00CE4D25"/>
    <w:rPr>
      <w:rFonts w:ascii="Verdana" w:eastAsia="Batang" w:hAnsi="Verdana" w:cs="Arial"/>
      <w:sz w:val="20"/>
      <w:szCs w:val="20"/>
      <w:lang w:val="es-CR" w:eastAsia="es-MX"/>
    </w:rPr>
  </w:style>
  <w:style w:type="paragraph" w:customStyle="1" w:styleId="PrrafodeSentencia">
    <w:name w:val="*. Párrafo de Sentencia"/>
    <w:basedOn w:val="Textonotapie"/>
    <w:link w:val="PrrafodeSentenciaChar"/>
    <w:autoRedefine/>
    <w:qFormat/>
    <w:rsid w:val="00CE4D25"/>
    <w:pPr>
      <w:tabs>
        <w:tab w:val="left" w:pos="720"/>
      </w:tabs>
    </w:pPr>
    <w:rPr>
      <w:rFonts w:cs="Arial"/>
      <w:sz w:val="20"/>
      <w:lang w:val="es-CR" w:eastAsia="es-MX"/>
    </w:rPr>
  </w:style>
  <w:style w:type="character" w:customStyle="1" w:styleId="Smbolodenotaalpie">
    <w:name w:val="Símbolo de nota al pie"/>
    <w:rsid w:val="00577335"/>
    <w:rPr>
      <w:rFonts w:cs="Times New Roman"/>
      <w:szCs w:val="20"/>
      <w:vertAlign w:val="superscript"/>
    </w:rPr>
  </w:style>
  <w:style w:type="character" w:customStyle="1" w:styleId="Ttulo7Car">
    <w:name w:val="Título 7 Car"/>
    <w:basedOn w:val="Fuentedeprrafopredeter"/>
    <w:link w:val="Ttulo7"/>
    <w:uiPriority w:val="99"/>
    <w:rsid w:val="00BD53D7"/>
    <w:rPr>
      <w:rFonts w:ascii="Times New Roman" w:eastAsia="Times New Roman" w:hAnsi="Times New Roman" w:cs="Times New Roman"/>
      <w:sz w:val="24"/>
      <w:szCs w:val="24"/>
      <w:lang w:val="es-ES_tradnl" w:eastAsia="es-ES"/>
    </w:rPr>
  </w:style>
  <w:style w:type="character" w:customStyle="1" w:styleId="Ttulo8Car">
    <w:name w:val="Título 8 Car"/>
    <w:basedOn w:val="Fuentedeprrafopredeter"/>
    <w:link w:val="Ttulo8"/>
    <w:uiPriority w:val="99"/>
    <w:rsid w:val="00BD53D7"/>
    <w:rPr>
      <w:rFonts w:ascii="Times New Roman" w:eastAsia="Times New Roman" w:hAnsi="Times New Roman" w:cs="Times New Roman"/>
      <w:i/>
      <w:iCs/>
      <w:sz w:val="24"/>
      <w:szCs w:val="24"/>
      <w:lang w:val="es-ES_tradnl" w:eastAsia="es-ES"/>
    </w:rPr>
  </w:style>
  <w:style w:type="character" w:customStyle="1" w:styleId="Ttulo9Car">
    <w:name w:val="Título 9 Car"/>
    <w:basedOn w:val="Fuentedeprrafopredeter"/>
    <w:link w:val="Ttulo9"/>
    <w:uiPriority w:val="99"/>
    <w:rsid w:val="00BD53D7"/>
    <w:rPr>
      <w:rFonts w:ascii="Arial" w:eastAsia="Times New Roman" w:hAnsi="Arial" w:cs="Times New Roman"/>
      <w:lang w:val="es-ES_tradnl"/>
    </w:rPr>
  </w:style>
  <w:style w:type="character" w:styleId="Nmerodelnea">
    <w:name w:val="line number"/>
    <w:basedOn w:val="Fuentedeprrafopredeter"/>
    <w:uiPriority w:val="99"/>
    <w:semiHidden/>
    <w:unhideWhenUsed/>
    <w:rsid w:val="00BD53D7"/>
  </w:style>
  <w:style w:type="paragraph" w:styleId="NormalWeb">
    <w:name w:val="Normal (Web)"/>
    <w:aliases w:val="Normal (Web) Char1,Normal (Web) Char Char,Normal (Web) Char1 Char,Normal (Web) Char Char Char"/>
    <w:basedOn w:val="Normal"/>
    <w:uiPriority w:val="99"/>
    <w:rsid w:val="00BD53D7"/>
    <w:pPr>
      <w:spacing w:before="100" w:beforeAutospacing="1" w:after="100" w:afterAutospacing="1" w:line="276" w:lineRule="auto"/>
      <w:jc w:val="left"/>
    </w:pPr>
    <w:rPr>
      <w:rFonts w:ascii="Arial Unicode MS" w:eastAsia="Times New Roman" w:hAnsi="Arial Unicode MS" w:cs="Arial Unicode MS"/>
      <w:sz w:val="16"/>
      <w:szCs w:val="16"/>
      <w:lang w:val="en-US"/>
    </w:rPr>
  </w:style>
  <w:style w:type="paragraph" w:styleId="Textonotaalfinal">
    <w:name w:val="endnote text"/>
    <w:basedOn w:val="Normal"/>
    <w:link w:val="TextonotaalfinalCar"/>
    <w:uiPriority w:val="99"/>
    <w:semiHidden/>
    <w:rsid w:val="00BD53D7"/>
    <w:pPr>
      <w:widowControl w:val="0"/>
      <w:tabs>
        <w:tab w:val="left" w:pos="720"/>
        <w:tab w:val="left" w:pos="1440"/>
        <w:tab w:val="left" w:pos="2160"/>
        <w:tab w:val="left" w:pos="2880"/>
        <w:tab w:val="left" w:pos="3600"/>
        <w:tab w:val="left" w:pos="4320"/>
        <w:tab w:val="left" w:pos="5760"/>
        <w:tab w:val="left" w:pos="6480"/>
        <w:tab w:val="left" w:pos="7200"/>
        <w:tab w:val="left" w:pos="7920"/>
      </w:tabs>
      <w:spacing w:before="60" w:after="60" w:line="276" w:lineRule="auto"/>
    </w:pPr>
    <w:rPr>
      <w:rFonts w:ascii="CG Times" w:eastAsia="Times New Roman" w:hAnsi="CG Times" w:cs="Times New Roman"/>
      <w:sz w:val="22"/>
      <w:szCs w:val="20"/>
      <w:lang w:val="es-ES"/>
    </w:rPr>
  </w:style>
  <w:style w:type="character" w:customStyle="1" w:styleId="TextonotaalfinalCar">
    <w:name w:val="Texto nota al final Car"/>
    <w:basedOn w:val="Fuentedeprrafopredeter"/>
    <w:link w:val="Textonotaalfinal"/>
    <w:uiPriority w:val="99"/>
    <w:semiHidden/>
    <w:rsid w:val="00BD53D7"/>
    <w:rPr>
      <w:rFonts w:ascii="CG Times" w:eastAsia="Times New Roman" w:hAnsi="CG Times" w:cs="Times New Roman"/>
      <w:szCs w:val="20"/>
    </w:rPr>
  </w:style>
  <w:style w:type="character" w:styleId="Nmerodepgina">
    <w:name w:val="page number"/>
    <w:basedOn w:val="Fuentedeprrafopredeter"/>
    <w:uiPriority w:val="99"/>
    <w:rsid w:val="00BD53D7"/>
    <w:rPr>
      <w:rFonts w:cs="Times New Roman"/>
    </w:rPr>
  </w:style>
  <w:style w:type="paragraph" w:styleId="Sangradetextonormal">
    <w:name w:val="Body Text Indent"/>
    <w:basedOn w:val="Normal"/>
    <w:link w:val="SangradetextonormalCar"/>
    <w:uiPriority w:val="99"/>
    <w:rsid w:val="00BD53D7"/>
    <w:pPr>
      <w:spacing w:before="60" w:after="60" w:line="276" w:lineRule="auto"/>
      <w:ind w:left="720"/>
    </w:pPr>
    <w:rPr>
      <w:rFonts w:ascii="Univers" w:eastAsia="Times New Roman" w:hAnsi="Univers" w:cs="Times New Roman"/>
      <w:szCs w:val="20"/>
      <w:lang w:val="es-CL"/>
    </w:rPr>
  </w:style>
  <w:style w:type="character" w:customStyle="1" w:styleId="SangradetextonormalCar">
    <w:name w:val="Sangría de texto normal Car"/>
    <w:basedOn w:val="Fuentedeprrafopredeter"/>
    <w:link w:val="Sangradetextonormal"/>
    <w:uiPriority w:val="99"/>
    <w:rsid w:val="00BD53D7"/>
    <w:rPr>
      <w:rFonts w:ascii="Univers" w:eastAsia="Times New Roman" w:hAnsi="Univers" w:cs="Times New Roman"/>
      <w:sz w:val="20"/>
      <w:szCs w:val="20"/>
      <w:lang w:val="es-CL"/>
    </w:rPr>
  </w:style>
  <w:style w:type="paragraph" w:styleId="Textoindependiente">
    <w:name w:val="Body Text"/>
    <w:basedOn w:val="Normal"/>
    <w:link w:val="TextoindependienteCar"/>
    <w:uiPriority w:val="99"/>
    <w:rsid w:val="00BD53D7"/>
    <w:pPr>
      <w:spacing w:before="60" w:after="60" w:line="276" w:lineRule="auto"/>
    </w:pPr>
    <w:rPr>
      <w:rFonts w:ascii="Univers" w:eastAsia="Times New Roman" w:hAnsi="Univers" w:cs="Times New Roman"/>
      <w:sz w:val="22"/>
      <w:szCs w:val="20"/>
      <w:lang w:val="es-CL"/>
    </w:rPr>
  </w:style>
  <w:style w:type="character" w:customStyle="1" w:styleId="TextoindependienteCar">
    <w:name w:val="Texto independiente Car"/>
    <w:basedOn w:val="Fuentedeprrafopredeter"/>
    <w:link w:val="Textoindependiente"/>
    <w:uiPriority w:val="99"/>
    <w:rsid w:val="00BD53D7"/>
    <w:rPr>
      <w:rFonts w:ascii="Univers" w:eastAsia="Times New Roman" w:hAnsi="Univers" w:cs="Times New Roman"/>
      <w:szCs w:val="20"/>
      <w:lang w:val="es-CL"/>
    </w:rPr>
  </w:style>
  <w:style w:type="paragraph" w:styleId="Textoindependiente2">
    <w:name w:val="Body Text 2"/>
    <w:basedOn w:val="Normal"/>
    <w:link w:val="Textoindependiente2Car"/>
    <w:uiPriority w:val="99"/>
    <w:rsid w:val="00BD53D7"/>
    <w:pPr>
      <w:spacing w:before="60" w:after="120" w:line="480" w:lineRule="auto"/>
      <w:jc w:val="left"/>
    </w:pPr>
    <w:rPr>
      <w:rFonts w:ascii="Times New Roman" w:eastAsia="Times New Roman" w:hAnsi="Times New Roman" w:cs="Times New Roman"/>
      <w:sz w:val="24"/>
    </w:rPr>
  </w:style>
  <w:style w:type="character" w:customStyle="1" w:styleId="Textoindependiente2Car">
    <w:name w:val="Texto independiente 2 Car"/>
    <w:basedOn w:val="Fuentedeprrafopredeter"/>
    <w:link w:val="Textoindependiente2"/>
    <w:uiPriority w:val="99"/>
    <w:rsid w:val="00BD53D7"/>
    <w:rPr>
      <w:rFonts w:ascii="Times New Roman" w:eastAsia="Times New Roman" w:hAnsi="Times New Roman" w:cs="Times New Roman"/>
      <w:sz w:val="24"/>
      <w:szCs w:val="24"/>
      <w:lang w:val="es-ES_tradnl"/>
    </w:rPr>
  </w:style>
  <w:style w:type="paragraph" w:styleId="Sangra2detindependiente">
    <w:name w:val="Body Text Indent 2"/>
    <w:basedOn w:val="Normal"/>
    <w:link w:val="Sangra2detindependienteCar"/>
    <w:uiPriority w:val="99"/>
    <w:rsid w:val="00BD53D7"/>
    <w:pPr>
      <w:spacing w:before="60" w:after="120" w:line="480" w:lineRule="auto"/>
      <w:ind w:left="283"/>
      <w:jc w:val="left"/>
    </w:pPr>
    <w:rPr>
      <w:rFonts w:ascii="Times New Roman" w:eastAsia="Times New Roman" w:hAnsi="Times New Roman" w:cs="Times New Roman"/>
      <w:sz w:val="24"/>
      <w:szCs w:val="20"/>
    </w:rPr>
  </w:style>
  <w:style w:type="character" w:customStyle="1" w:styleId="Sangra2detindependienteCar">
    <w:name w:val="Sangría 2 de t. independiente Car"/>
    <w:basedOn w:val="Fuentedeprrafopredeter"/>
    <w:link w:val="Sangra2detindependiente"/>
    <w:uiPriority w:val="99"/>
    <w:rsid w:val="00BD53D7"/>
    <w:rPr>
      <w:rFonts w:ascii="Times New Roman" w:eastAsia="Times New Roman" w:hAnsi="Times New Roman" w:cs="Times New Roman"/>
      <w:sz w:val="24"/>
      <w:szCs w:val="20"/>
      <w:lang w:val="es-ES_tradnl"/>
    </w:rPr>
  </w:style>
  <w:style w:type="character" w:styleId="nfasis">
    <w:name w:val="Emphasis"/>
    <w:basedOn w:val="Fuentedeprrafopredeter"/>
    <w:uiPriority w:val="20"/>
    <w:qFormat/>
    <w:rsid w:val="00BD53D7"/>
    <w:rPr>
      <w:rFonts w:cs="Times New Roman"/>
      <w:i/>
      <w:iCs/>
    </w:rPr>
  </w:style>
  <w:style w:type="paragraph" w:styleId="Sangra3detindependiente">
    <w:name w:val="Body Text Indent 3"/>
    <w:basedOn w:val="Normal"/>
    <w:link w:val="Sangra3detindependienteCar"/>
    <w:uiPriority w:val="99"/>
    <w:rsid w:val="00BD53D7"/>
    <w:pPr>
      <w:spacing w:before="60" w:after="120" w:line="276" w:lineRule="auto"/>
      <w:ind w:left="283"/>
      <w:jc w:val="left"/>
    </w:pPr>
    <w:rPr>
      <w:rFonts w:ascii="Times New Roman" w:eastAsia="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BD53D7"/>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BD53D7"/>
    <w:pPr>
      <w:spacing w:before="60" w:after="120" w:line="276" w:lineRule="auto"/>
      <w:jc w:val="left"/>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uiPriority w:val="99"/>
    <w:rsid w:val="00BD53D7"/>
    <w:rPr>
      <w:rFonts w:ascii="Times New Roman" w:eastAsia="Times New Roman" w:hAnsi="Times New Roman" w:cs="Times New Roman"/>
      <w:sz w:val="16"/>
      <w:szCs w:val="16"/>
    </w:rPr>
  </w:style>
  <w:style w:type="character" w:customStyle="1" w:styleId="Smbolodenotaalpie0">
    <w:name w:val="S√mbolo de nota al pie"/>
    <w:uiPriority w:val="99"/>
    <w:rsid w:val="00BD53D7"/>
    <w:rPr>
      <w:vertAlign w:val="superscript"/>
    </w:rPr>
  </w:style>
  <w:style w:type="character" w:customStyle="1" w:styleId="FootnoteCharacters">
    <w:name w:val="Footnote Characters"/>
    <w:basedOn w:val="Fuentedeprrafopredeter"/>
    <w:uiPriority w:val="99"/>
    <w:rsid w:val="00BD53D7"/>
    <w:rPr>
      <w:rFonts w:cs="Times New Roman"/>
      <w:vertAlign w:val="superscript"/>
    </w:rPr>
  </w:style>
  <w:style w:type="paragraph" w:customStyle="1" w:styleId="negritamayuscula">
    <w:name w:val="negrita mayuscula"/>
    <w:basedOn w:val="Normal"/>
    <w:uiPriority w:val="99"/>
    <w:rsid w:val="00BD53D7"/>
    <w:pPr>
      <w:widowControl w:val="0"/>
      <w:tabs>
        <w:tab w:val="left" w:pos="1120"/>
      </w:tabs>
      <w:spacing w:before="60" w:after="60" w:line="360" w:lineRule="atLeast"/>
    </w:pPr>
    <w:rPr>
      <w:rFonts w:ascii="Garamond" w:eastAsia="Times New Roman" w:hAnsi="Garamond" w:cs="Times New Roman"/>
      <w:sz w:val="24"/>
      <w:szCs w:val="20"/>
    </w:rPr>
  </w:style>
  <w:style w:type="paragraph" w:customStyle="1" w:styleId="Default">
    <w:name w:val="Default"/>
    <w:rsid w:val="00BD53D7"/>
    <w:pPr>
      <w:autoSpaceDE w:val="0"/>
      <w:autoSpaceDN w:val="0"/>
      <w:adjustRightInd w:val="0"/>
      <w:spacing w:before="60" w:after="0" w:line="240" w:lineRule="auto"/>
    </w:pPr>
    <w:rPr>
      <w:rFonts w:ascii="Arial" w:eastAsia="Times New Roman" w:hAnsi="Arial" w:cs="Arial"/>
      <w:color w:val="000000"/>
      <w:sz w:val="24"/>
      <w:szCs w:val="24"/>
      <w:lang w:val="en-US"/>
    </w:rPr>
  </w:style>
  <w:style w:type="paragraph" w:customStyle="1" w:styleId="newsbody">
    <w:name w:val="news_body"/>
    <w:basedOn w:val="Normal"/>
    <w:uiPriority w:val="99"/>
    <w:rsid w:val="00BD53D7"/>
    <w:pPr>
      <w:spacing w:before="100" w:beforeAutospacing="1" w:after="100" w:afterAutospacing="1" w:line="276" w:lineRule="auto"/>
      <w:jc w:val="left"/>
    </w:pPr>
    <w:rPr>
      <w:rFonts w:eastAsia="Times New Roman" w:cs="Times New Roman"/>
      <w:color w:val="000000"/>
      <w:spacing w:val="3"/>
      <w:sz w:val="18"/>
      <w:szCs w:val="18"/>
      <w:lang w:val="es-ES" w:eastAsia="es-ES"/>
    </w:rPr>
  </w:style>
  <w:style w:type="paragraph" w:customStyle="1" w:styleId="Titre1">
    <w:name w:val="Titre 1"/>
    <w:basedOn w:val="Normal"/>
    <w:uiPriority w:val="99"/>
    <w:rsid w:val="00BD53D7"/>
    <w:pPr>
      <w:numPr>
        <w:numId w:val="10"/>
      </w:numPr>
      <w:tabs>
        <w:tab w:val="num" w:pos="1080"/>
      </w:tabs>
      <w:spacing w:before="60" w:after="60" w:line="276" w:lineRule="auto"/>
      <w:ind w:left="1080" w:hanging="720"/>
      <w:jc w:val="center"/>
    </w:pPr>
    <w:rPr>
      <w:rFonts w:eastAsia="Times New Roman" w:cs="Times New Roman"/>
      <w:b/>
      <w:caps/>
      <w:szCs w:val="20"/>
      <w:lang w:val="es-ES" w:eastAsia="es-ES"/>
    </w:rPr>
  </w:style>
  <w:style w:type="paragraph" w:styleId="Listaconvietas">
    <w:name w:val="List Bullet"/>
    <w:basedOn w:val="Normal"/>
    <w:uiPriority w:val="99"/>
    <w:rsid w:val="00BD53D7"/>
    <w:pPr>
      <w:numPr>
        <w:numId w:val="9"/>
      </w:numPr>
      <w:tabs>
        <w:tab w:val="clear" w:pos="360"/>
        <w:tab w:val="num" w:pos="780"/>
      </w:tabs>
      <w:spacing w:before="60" w:after="60" w:line="276" w:lineRule="auto"/>
      <w:jc w:val="left"/>
    </w:pPr>
    <w:rPr>
      <w:rFonts w:ascii="Times New Roman" w:eastAsia="Times New Roman" w:hAnsi="Times New Roman" w:cs="Times New Roman"/>
      <w:sz w:val="24"/>
      <w:lang w:val="es-ES"/>
    </w:rPr>
  </w:style>
  <w:style w:type="character" w:customStyle="1" w:styleId="CarCar">
    <w:name w:val="Car Car"/>
    <w:basedOn w:val="Fuentedeprrafopredeter"/>
    <w:uiPriority w:val="99"/>
    <w:rsid w:val="00BD53D7"/>
    <w:rPr>
      <w:rFonts w:cs="Times New Roman"/>
      <w:sz w:val="24"/>
      <w:lang w:val="es-ES" w:eastAsia="en-US"/>
    </w:rPr>
  </w:style>
  <w:style w:type="paragraph" w:styleId="Lista2">
    <w:name w:val="List 2"/>
    <w:basedOn w:val="Normal"/>
    <w:uiPriority w:val="99"/>
    <w:rsid w:val="00BD53D7"/>
    <w:pPr>
      <w:spacing w:before="60" w:after="60" w:line="276" w:lineRule="auto"/>
      <w:ind w:left="566" w:hanging="283"/>
      <w:jc w:val="left"/>
    </w:pPr>
    <w:rPr>
      <w:rFonts w:ascii="Times New Roman" w:eastAsia="Times New Roman" w:hAnsi="Times New Roman" w:cs="Times New Roman"/>
      <w:sz w:val="28"/>
      <w:szCs w:val="28"/>
      <w:lang w:val="es-ES" w:eastAsia="es-ES"/>
    </w:rPr>
  </w:style>
  <w:style w:type="paragraph" w:styleId="Textodebloque">
    <w:name w:val="Block Text"/>
    <w:basedOn w:val="Normal"/>
    <w:uiPriority w:val="99"/>
    <w:rsid w:val="00BD53D7"/>
    <w:pPr>
      <w:spacing w:before="60" w:after="60" w:line="360" w:lineRule="auto"/>
      <w:ind w:left="1259" w:right="919"/>
    </w:pPr>
    <w:rPr>
      <w:rFonts w:ascii="Times New Roman" w:eastAsia="Times New Roman" w:hAnsi="Times New Roman" w:cs="Times New Roman"/>
      <w:sz w:val="28"/>
      <w:lang w:val="es-ES" w:eastAsia="es-ES"/>
    </w:rPr>
  </w:style>
  <w:style w:type="paragraph" w:customStyle="1" w:styleId="textoparrafo">
    <w:name w:val="textoparrafo"/>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s-ES" w:eastAsia="es-ES"/>
    </w:rPr>
  </w:style>
  <w:style w:type="paragraph" w:customStyle="1" w:styleId="Prrafodelista1">
    <w:name w:val="P∑rrafo de lista1"/>
    <w:basedOn w:val="Normal"/>
    <w:uiPriority w:val="99"/>
    <w:rsid w:val="00BD53D7"/>
    <w:pPr>
      <w:spacing w:before="60" w:after="60" w:line="276" w:lineRule="auto"/>
      <w:ind w:left="720"/>
      <w:contextualSpacing/>
      <w:jc w:val="left"/>
    </w:pPr>
    <w:rPr>
      <w:rFonts w:ascii="Times New Roman" w:eastAsia="Times New Roman" w:hAnsi="Times New Roman" w:cs="Times New Roman"/>
      <w:sz w:val="24"/>
    </w:rPr>
  </w:style>
  <w:style w:type="paragraph" w:customStyle="1" w:styleId="StyleHeading2LatinTimesNewRomanAsianBatang12ptN">
    <w:name w:val="Style Heading 2 + (Latin) Times New Roman (Asian) Batang 12 pt N..."/>
    <w:basedOn w:val="Ttulo2"/>
    <w:next w:val="Normal"/>
    <w:uiPriority w:val="99"/>
    <w:rsid w:val="00BD53D7"/>
    <w:pPr>
      <w:numPr>
        <w:ilvl w:val="1"/>
      </w:numPr>
      <w:tabs>
        <w:tab w:val="num" w:pos="576"/>
      </w:tabs>
      <w:spacing w:before="0" w:line="276" w:lineRule="auto"/>
      <w:ind w:left="576" w:hanging="576"/>
    </w:pPr>
    <w:rPr>
      <w:rFonts w:ascii="Times New Roman" w:eastAsia="Batang" w:hAnsi="Times New Roman" w:cs="Times New Roman"/>
      <w:i/>
      <w:color w:val="365F91"/>
      <w:sz w:val="24"/>
      <w:szCs w:val="20"/>
      <w:lang w:eastAsia="es-ES"/>
    </w:rPr>
  </w:style>
  <w:style w:type="character" w:customStyle="1" w:styleId="documentbody">
    <w:name w:val="documentbody"/>
    <w:basedOn w:val="Fuentedeprrafopredeter"/>
    <w:uiPriority w:val="99"/>
    <w:rsid w:val="00BD53D7"/>
    <w:rPr>
      <w:rFonts w:cs="Times New Roman"/>
    </w:rPr>
  </w:style>
  <w:style w:type="paragraph" w:customStyle="1" w:styleId="JuPara">
    <w:name w:val="Ju_Para"/>
    <w:basedOn w:val="Normal"/>
    <w:uiPriority w:val="99"/>
    <w:rsid w:val="00BD53D7"/>
    <w:pPr>
      <w:suppressAutoHyphens/>
      <w:spacing w:before="240" w:after="240" w:line="276" w:lineRule="auto"/>
      <w:ind w:firstLine="284"/>
    </w:pPr>
    <w:rPr>
      <w:rFonts w:ascii="Times New Roman" w:eastAsia="Times New Roman" w:hAnsi="Times New Roman" w:cs="Times New Roman"/>
      <w:sz w:val="24"/>
      <w:szCs w:val="20"/>
      <w:lang w:val="en-GB"/>
    </w:rPr>
  </w:style>
  <w:style w:type="paragraph" w:customStyle="1" w:styleId="Index91">
    <w:name w:val="Index 91"/>
    <w:basedOn w:val="Normal"/>
    <w:uiPriority w:val="99"/>
    <w:rsid w:val="00BD53D7"/>
    <w:pPr>
      <w:spacing w:before="60" w:after="60" w:line="276" w:lineRule="auto"/>
      <w:jc w:val="center"/>
    </w:pPr>
    <w:rPr>
      <w:rFonts w:ascii="Apple Chancery" w:eastAsia="Times New Roman" w:hAnsi="Apple Chancery" w:cs="Times New Roman"/>
      <w:b/>
      <w:sz w:val="24"/>
      <w:szCs w:val="20"/>
      <w:lang w:eastAsia="es-ES"/>
    </w:rPr>
  </w:style>
  <w:style w:type="paragraph" w:customStyle="1" w:styleId="Textoindependiente21">
    <w:name w:val="Texto independiente 21"/>
    <w:basedOn w:val="Normal"/>
    <w:uiPriority w:val="99"/>
    <w:rsid w:val="00BD53D7"/>
    <w:pPr>
      <w:spacing w:before="60" w:after="60" w:line="360" w:lineRule="atLeast"/>
    </w:pPr>
    <w:rPr>
      <w:rFonts w:eastAsia="Times New Roman" w:cs="Times New Roman"/>
      <w:szCs w:val="20"/>
      <w:lang w:eastAsia="es-ES"/>
    </w:rPr>
  </w:style>
  <w:style w:type="character" w:customStyle="1" w:styleId="Refdenotaalpie7">
    <w:name w:val="Ref. de nota al pie7"/>
    <w:uiPriority w:val="99"/>
    <w:rsid w:val="00BD53D7"/>
    <w:rPr>
      <w:vertAlign w:val="superscript"/>
    </w:rPr>
  </w:style>
  <w:style w:type="paragraph" w:styleId="Sinespaciado">
    <w:name w:val="No Spacing"/>
    <w:link w:val="SinespaciadoCar"/>
    <w:uiPriority w:val="1"/>
    <w:qFormat/>
    <w:rsid w:val="00BD53D7"/>
    <w:pPr>
      <w:spacing w:before="60" w:after="0" w:line="240" w:lineRule="auto"/>
    </w:pPr>
    <w:rPr>
      <w:rFonts w:ascii="Calibri" w:eastAsia="Times New Roman" w:hAnsi="Calibri" w:cs="Times New Roman"/>
    </w:rPr>
  </w:style>
  <w:style w:type="paragraph" w:customStyle="1" w:styleId="Normal6">
    <w:name w:val="Normal+6"/>
    <w:basedOn w:val="Normal"/>
    <w:next w:val="Normal"/>
    <w:uiPriority w:val="99"/>
    <w:rsid w:val="00BD53D7"/>
    <w:pPr>
      <w:autoSpaceDE w:val="0"/>
      <w:autoSpaceDN w:val="0"/>
      <w:adjustRightInd w:val="0"/>
      <w:spacing w:before="60" w:after="60" w:line="276" w:lineRule="auto"/>
      <w:jc w:val="left"/>
    </w:pPr>
    <w:rPr>
      <w:rFonts w:ascii="Times New Roman" w:eastAsia="Times New Roman" w:hAnsi="Times New Roman" w:cs="Times New Roman"/>
      <w:sz w:val="24"/>
      <w:lang w:val="es-ES" w:eastAsia="es-ES"/>
    </w:rPr>
  </w:style>
  <w:style w:type="character" w:customStyle="1" w:styleId="googqs-tidbit1">
    <w:name w:val="goog_qs-tidbit1"/>
    <w:basedOn w:val="Fuentedeprrafopredeter"/>
    <w:uiPriority w:val="99"/>
    <w:rsid w:val="00BD53D7"/>
    <w:rPr>
      <w:rFonts w:cs="Times New Roman"/>
    </w:rPr>
  </w:style>
  <w:style w:type="character" w:customStyle="1" w:styleId="apple-style-span">
    <w:name w:val="apple-style-span"/>
    <w:basedOn w:val="Fuentedeprrafopredeter"/>
    <w:uiPriority w:val="99"/>
    <w:rsid w:val="00BD53D7"/>
    <w:rPr>
      <w:rFonts w:cs="Times New Roman"/>
    </w:rPr>
  </w:style>
  <w:style w:type="character" w:customStyle="1" w:styleId="WW8Num5z1">
    <w:name w:val="WW8Num5z1"/>
    <w:uiPriority w:val="99"/>
    <w:rsid w:val="00BD53D7"/>
    <w:rPr>
      <w:rFonts w:ascii="Courier New" w:hAnsi="Courier New"/>
    </w:rPr>
  </w:style>
  <w:style w:type="character" w:customStyle="1" w:styleId="A10">
    <w:name w:val="A10"/>
    <w:uiPriority w:val="99"/>
    <w:rsid w:val="00BD53D7"/>
    <w:rPr>
      <w:color w:val="000000"/>
      <w:sz w:val="11"/>
    </w:rPr>
  </w:style>
  <w:style w:type="paragraph" w:customStyle="1" w:styleId="MacroText1">
    <w:name w:val="Macro Text1"/>
    <w:basedOn w:val="Normal"/>
    <w:uiPriority w:val="99"/>
    <w:rsid w:val="00BD53D7"/>
    <w:pPr>
      <w:suppressAutoHyphens/>
      <w:spacing w:before="60" w:after="60" w:line="276" w:lineRule="auto"/>
      <w:jc w:val="left"/>
    </w:pPr>
    <w:rPr>
      <w:rFonts w:eastAsia="Times New Roman" w:cs="Times New Roman"/>
      <w:sz w:val="24"/>
      <w:szCs w:val="20"/>
      <w:lang w:eastAsia="ar-SA"/>
    </w:rPr>
  </w:style>
  <w:style w:type="paragraph" w:customStyle="1" w:styleId="ju-005fpara-0020char1-0020char-0020char-0020char-0020char-0020char">
    <w:name w:val="ju-005fpara-0020char1-0020char-0020char-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paragraph" w:customStyle="1" w:styleId="ju-005fpara-0020char-0020char-0020char">
    <w:name w:val="ju-005fpara-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character" w:customStyle="1" w:styleId="ju-005fpara-0020char-0020char-0020char--char">
    <w:name w:val="ju-005fpara-0020char-0020char-0020char--char"/>
    <w:basedOn w:val="Fuentedeprrafopredeter"/>
    <w:uiPriority w:val="99"/>
    <w:rsid w:val="00BD53D7"/>
    <w:rPr>
      <w:rFonts w:cs="Times New Roman"/>
    </w:rPr>
  </w:style>
  <w:style w:type="character" w:styleId="Hipervnculovisitado">
    <w:name w:val="FollowedHyperlink"/>
    <w:basedOn w:val="Fuentedeprrafopredeter"/>
    <w:uiPriority w:val="99"/>
    <w:rsid w:val="00BD53D7"/>
    <w:rPr>
      <w:rFonts w:cs="Times New Roman"/>
      <w:color w:val="800080"/>
      <w:u w:val="single"/>
    </w:rPr>
  </w:style>
  <w:style w:type="paragraph" w:customStyle="1" w:styleId="western">
    <w:name w:val="western"/>
    <w:basedOn w:val="Normal"/>
    <w:uiPriority w:val="99"/>
    <w:rsid w:val="00BD53D7"/>
    <w:pPr>
      <w:spacing w:before="100" w:beforeAutospacing="1" w:after="60" w:line="276" w:lineRule="auto"/>
    </w:pPr>
    <w:rPr>
      <w:rFonts w:ascii="Times New Roman" w:eastAsia="Times New Roman" w:hAnsi="Times New Roman" w:cs="Times New Roman"/>
      <w:color w:val="000000"/>
      <w:sz w:val="28"/>
      <w:szCs w:val="28"/>
      <w:lang w:val="en-US"/>
    </w:rPr>
  </w:style>
  <w:style w:type="paragraph" w:customStyle="1" w:styleId="CM124">
    <w:name w:val="CM124"/>
    <w:basedOn w:val="Default"/>
    <w:next w:val="Default"/>
    <w:uiPriority w:val="99"/>
    <w:rsid w:val="00BD53D7"/>
    <w:pPr>
      <w:widowControl w:val="0"/>
    </w:pPr>
    <w:rPr>
      <w:color w:val="auto"/>
    </w:rPr>
  </w:style>
  <w:style w:type="paragraph" w:customStyle="1" w:styleId="CM125">
    <w:name w:val="CM125"/>
    <w:basedOn w:val="Default"/>
    <w:next w:val="Default"/>
    <w:uiPriority w:val="99"/>
    <w:rsid w:val="00BD53D7"/>
    <w:pPr>
      <w:widowControl w:val="0"/>
    </w:pPr>
    <w:rPr>
      <w:color w:val="auto"/>
    </w:rPr>
  </w:style>
  <w:style w:type="paragraph" w:customStyle="1" w:styleId="CM129">
    <w:name w:val="CM129"/>
    <w:basedOn w:val="Default"/>
    <w:next w:val="Default"/>
    <w:uiPriority w:val="99"/>
    <w:rsid w:val="00BD53D7"/>
    <w:pPr>
      <w:widowControl w:val="0"/>
    </w:pPr>
    <w:rPr>
      <w:color w:val="auto"/>
    </w:rPr>
  </w:style>
  <w:style w:type="character" w:styleId="Refdenotaalfinal">
    <w:name w:val="endnote reference"/>
    <w:basedOn w:val="Fuentedeprrafopredeter"/>
    <w:uiPriority w:val="99"/>
    <w:semiHidden/>
    <w:unhideWhenUsed/>
    <w:rsid w:val="00BD53D7"/>
    <w:rPr>
      <w:vertAlign w:val="superscript"/>
    </w:rPr>
  </w:style>
  <w:style w:type="paragraph" w:styleId="Revisin">
    <w:name w:val="Revision"/>
    <w:hidden/>
    <w:uiPriority w:val="99"/>
    <w:semiHidden/>
    <w:rsid w:val="00BD53D7"/>
    <w:pPr>
      <w:spacing w:before="60" w:after="0" w:line="240" w:lineRule="auto"/>
    </w:pPr>
    <w:rPr>
      <w:rFonts w:ascii="Times New Roman" w:eastAsia="Times New Roman" w:hAnsi="Times New Roman" w:cs="Times New Roman"/>
      <w:sz w:val="24"/>
      <w:szCs w:val="24"/>
      <w:lang w:val="es-ES_tradnl"/>
    </w:rPr>
  </w:style>
  <w:style w:type="character" w:styleId="Textodelmarcadordeposicin">
    <w:name w:val="Placeholder Text"/>
    <w:basedOn w:val="Fuentedeprrafopredeter"/>
    <w:uiPriority w:val="99"/>
    <w:semiHidden/>
    <w:rsid w:val="00BD53D7"/>
    <w:rPr>
      <w:color w:val="808080"/>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BD53D7"/>
    <w:rPr>
      <w:rFonts w:ascii="Univers" w:hAnsi="Univers" w:cs="Times New Roman"/>
      <w:lang w:val="en-US" w:eastAsia="en-US" w:bidi="ar-SA"/>
    </w:rPr>
  </w:style>
  <w:style w:type="character" w:customStyle="1" w:styleId="FootnoteAnchor">
    <w:name w:val="Footnote Anchor"/>
    <w:rsid w:val="00BD53D7"/>
    <w:rPr>
      <w:vertAlign w:val="superscript"/>
    </w:rPr>
  </w:style>
  <w:style w:type="paragraph" w:styleId="TDC3">
    <w:name w:val="toc 3"/>
    <w:basedOn w:val="Normal"/>
    <w:next w:val="Normal"/>
    <w:autoRedefine/>
    <w:uiPriority w:val="39"/>
    <w:unhideWhenUsed/>
    <w:rsid w:val="003E0964"/>
    <w:pPr>
      <w:tabs>
        <w:tab w:val="right" w:leader="dot" w:pos="9072"/>
      </w:tabs>
      <w:spacing w:after="40"/>
      <w:ind w:left="403" w:right="237"/>
    </w:pPr>
  </w:style>
  <w:style w:type="paragraph" w:customStyle="1" w:styleId="Prrafodelista2">
    <w:name w:val="Párrafo de lista2"/>
    <w:basedOn w:val="Normal"/>
    <w:uiPriority w:val="99"/>
    <w:rsid w:val="006D122D"/>
    <w:pPr>
      <w:ind w:left="720"/>
      <w:jc w:val="left"/>
    </w:pPr>
    <w:rPr>
      <w:rFonts w:eastAsia="MS Mincho" w:cs="Times New Roman"/>
      <w:szCs w:val="20"/>
      <w:lang w:bidi="en-US"/>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Fuentedeprrafopredeter"/>
    <w:qFormat/>
    <w:locked/>
    <w:rsid w:val="000C140A"/>
    <w:rPr>
      <w:rFonts w:ascii="Verdana" w:hAnsi="Verdana"/>
    </w:rPr>
  </w:style>
  <w:style w:type="paragraph" w:styleId="TDC4">
    <w:name w:val="toc 4"/>
    <w:basedOn w:val="Normal"/>
    <w:next w:val="Normal"/>
    <w:autoRedefine/>
    <w:uiPriority w:val="39"/>
    <w:unhideWhenUsed/>
    <w:rsid w:val="00CD3695"/>
    <w:pPr>
      <w:spacing w:after="100"/>
      <w:ind w:left="600"/>
    </w:pPr>
  </w:style>
  <w:style w:type="paragraph" w:customStyle="1" w:styleId="Estilo4">
    <w:name w:val="Estilo4"/>
    <w:basedOn w:val="Normal"/>
    <w:link w:val="Estilo4Car"/>
    <w:qFormat/>
    <w:rsid w:val="00817F42"/>
    <w:pPr>
      <w:numPr>
        <w:numId w:val="16"/>
      </w:numPr>
      <w:spacing w:after="160" w:line="259" w:lineRule="auto"/>
      <w:ind w:left="0" w:firstLine="0"/>
      <w:jc w:val="left"/>
    </w:pPr>
    <w:rPr>
      <w:rFonts w:ascii="Times New Roman" w:eastAsiaTheme="minorHAnsi" w:hAnsi="Times New Roman" w:cs="Times New Roman"/>
      <w:sz w:val="24"/>
      <w:lang w:val="es-UY"/>
    </w:rPr>
  </w:style>
  <w:style w:type="character" w:customStyle="1" w:styleId="Estilo4Car">
    <w:name w:val="Estilo4 Car"/>
    <w:basedOn w:val="Fuentedeprrafopredeter"/>
    <w:link w:val="Estilo4"/>
    <w:rsid w:val="00817F42"/>
    <w:rPr>
      <w:rFonts w:ascii="Times New Roman" w:hAnsi="Times New Roman" w:cs="Times New Roman"/>
      <w:sz w:val="24"/>
      <w:szCs w:val="24"/>
      <w:lang w:val="es-UY"/>
    </w:rPr>
  </w:style>
  <w:style w:type="paragraph" w:customStyle="1" w:styleId="style11">
    <w:name w:val="style11"/>
    <w:basedOn w:val="Normal"/>
    <w:rsid w:val="00817F42"/>
    <w:pPr>
      <w:spacing w:before="192" w:after="192"/>
      <w:ind w:left="120" w:right="144"/>
    </w:pPr>
    <w:rPr>
      <w:rFonts w:ascii="Times New Roman" w:eastAsia="Times New Roman" w:hAnsi="Times New Roman" w:cs="Times New Roman"/>
      <w:sz w:val="24"/>
      <w:lang w:val="es-CR" w:eastAsia="es-CR"/>
    </w:rPr>
  </w:style>
  <w:style w:type="character" w:styleId="Ttulodellibro">
    <w:name w:val="Book Title"/>
    <w:basedOn w:val="Fuentedeprrafopredeter"/>
    <w:uiPriority w:val="33"/>
    <w:qFormat/>
    <w:rsid w:val="00817F42"/>
    <w:rPr>
      <w:b/>
      <w:bCs/>
      <w:smallCaps/>
      <w:spacing w:val="5"/>
    </w:rPr>
  </w:style>
  <w:style w:type="character" w:customStyle="1" w:styleId="Mencinsinresolver1">
    <w:name w:val="Mención sin resolver1"/>
    <w:basedOn w:val="Fuentedeprrafopredeter"/>
    <w:uiPriority w:val="99"/>
    <w:semiHidden/>
    <w:unhideWhenUsed/>
    <w:rsid w:val="00817F42"/>
    <w:rPr>
      <w:color w:val="808080"/>
      <w:shd w:val="clear" w:color="auto" w:fill="E6E6E6"/>
    </w:rPr>
  </w:style>
  <w:style w:type="paragraph" w:customStyle="1" w:styleId="Normal1">
    <w:name w:val="Normal1"/>
    <w:rsid w:val="00B367D1"/>
    <w:pPr>
      <w:pBdr>
        <w:top w:val="nil"/>
        <w:left w:val="nil"/>
        <w:bottom w:val="nil"/>
        <w:right w:val="nil"/>
        <w:between w:val="nil"/>
      </w:pBdr>
      <w:spacing w:after="0" w:line="240" w:lineRule="auto"/>
    </w:pPr>
    <w:rPr>
      <w:rFonts w:ascii="Cambria" w:eastAsia="Cambria" w:hAnsi="Cambria" w:cs="Cambria"/>
      <w:color w:val="000000"/>
      <w:sz w:val="24"/>
      <w:szCs w:val="24"/>
      <w:lang w:val="en-AU"/>
    </w:rPr>
  </w:style>
  <w:style w:type="character" w:customStyle="1" w:styleId="Estilo1Char">
    <w:name w:val="Estilo1 Char"/>
    <w:rsid w:val="000A708F"/>
    <w:rPr>
      <w:rFonts w:ascii="Verdana" w:eastAsia="Calibri" w:hAnsi="Verdana" w:cs="Times New Roman"/>
      <w:sz w:val="20"/>
      <w:szCs w:val="20"/>
      <w:lang w:val="es-ES"/>
    </w:rPr>
  </w:style>
  <w:style w:type="paragraph" w:customStyle="1" w:styleId="Estilo2">
    <w:name w:val="Estilo2"/>
    <w:basedOn w:val="Normal"/>
    <w:qFormat/>
    <w:rsid w:val="000A708F"/>
    <w:pPr>
      <w:tabs>
        <w:tab w:val="left" w:pos="567"/>
        <w:tab w:val="left" w:pos="1134"/>
        <w:tab w:val="num" w:pos="4767"/>
      </w:tabs>
      <w:spacing w:after="120"/>
      <w:ind w:left="4767" w:hanging="360"/>
    </w:pPr>
    <w:rPr>
      <w:rFonts w:eastAsia="Calibri" w:cs="Times New Roman"/>
      <w:szCs w:val="20"/>
      <w:lang w:val="es-ES"/>
    </w:rPr>
  </w:style>
  <w:style w:type="paragraph" w:styleId="Mapadeldocumento">
    <w:name w:val="Document Map"/>
    <w:basedOn w:val="Normal"/>
    <w:link w:val="MapadeldocumentoCar"/>
    <w:uiPriority w:val="99"/>
    <w:semiHidden/>
    <w:unhideWhenUsed/>
    <w:rsid w:val="009236AF"/>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9236AF"/>
    <w:rPr>
      <w:rFonts w:ascii="Lucida Grande" w:eastAsia="Batang" w:hAnsi="Lucida Grande" w:cs="Lucida Grande"/>
      <w:sz w:val="24"/>
      <w:szCs w:val="24"/>
      <w:lang w:val="es-ES_tradnl"/>
    </w:rPr>
  </w:style>
  <w:style w:type="character" w:customStyle="1" w:styleId="SinespaciadoCar">
    <w:name w:val="Sin espaciado Car"/>
    <w:basedOn w:val="Fuentedeprrafopredeter"/>
    <w:link w:val="Sinespaciado"/>
    <w:uiPriority w:val="1"/>
    <w:rsid w:val="00887142"/>
    <w:rPr>
      <w:rFonts w:ascii="Calibri" w:eastAsia="Times New Roman" w:hAnsi="Calibri" w:cs="Times New Roman"/>
    </w:rPr>
  </w:style>
  <w:style w:type="paragraph" w:customStyle="1" w:styleId="1">
    <w:name w:val="1"/>
    <w:basedOn w:val="Normal"/>
    <w:rsid w:val="00322D21"/>
    <w:pPr>
      <w:spacing w:after="160" w:line="240" w:lineRule="exact"/>
      <w:jc w:val="left"/>
    </w:pPr>
    <w:rPr>
      <w:rFonts w:eastAsia="Times New Roman" w:cs="Times New Roman"/>
      <w:sz w:val="16"/>
      <w:szCs w:val="22"/>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8176">
      <w:bodyDiv w:val="1"/>
      <w:marLeft w:val="0"/>
      <w:marRight w:val="0"/>
      <w:marTop w:val="0"/>
      <w:marBottom w:val="0"/>
      <w:divBdr>
        <w:top w:val="none" w:sz="0" w:space="0" w:color="auto"/>
        <w:left w:val="none" w:sz="0" w:space="0" w:color="auto"/>
        <w:bottom w:val="none" w:sz="0" w:space="0" w:color="auto"/>
        <w:right w:val="none" w:sz="0" w:space="0" w:color="auto"/>
      </w:divBdr>
    </w:div>
    <w:div w:id="41373278">
      <w:bodyDiv w:val="1"/>
      <w:marLeft w:val="0"/>
      <w:marRight w:val="0"/>
      <w:marTop w:val="0"/>
      <w:marBottom w:val="0"/>
      <w:divBdr>
        <w:top w:val="none" w:sz="0" w:space="0" w:color="auto"/>
        <w:left w:val="none" w:sz="0" w:space="0" w:color="auto"/>
        <w:bottom w:val="none" w:sz="0" w:space="0" w:color="auto"/>
        <w:right w:val="none" w:sz="0" w:space="0" w:color="auto"/>
      </w:divBdr>
    </w:div>
    <w:div w:id="104228844">
      <w:bodyDiv w:val="1"/>
      <w:marLeft w:val="0"/>
      <w:marRight w:val="0"/>
      <w:marTop w:val="0"/>
      <w:marBottom w:val="0"/>
      <w:divBdr>
        <w:top w:val="none" w:sz="0" w:space="0" w:color="auto"/>
        <w:left w:val="none" w:sz="0" w:space="0" w:color="auto"/>
        <w:bottom w:val="none" w:sz="0" w:space="0" w:color="auto"/>
        <w:right w:val="none" w:sz="0" w:space="0" w:color="auto"/>
      </w:divBdr>
    </w:div>
    <w:div w:id="119963076">
      <w:bodyDiv w:val="1"/>
      <w:marLeft w:val="0"/>
      <w:marRight w:val="0"/>
      <w:marTop w:val="0"/>
      <w:marBottom w:val="0"/>
      <w:divBdr>
        <w:top w:val="none" w:sz="0" w:space="0" w:color="auto"/>
        <w:left w:val="none" w:sz="0" w:space="0" w:color="auto"/>
        <w:bottom w:val="none" w:sz="0" w:space="0" w:color="auto"/>
        <w:right w:val="none" w:sz="0" w:space="0" w:color="auto"/>
      </w:divBdr>
    </w:div>
    <w:div w:id="218707413">
      <w:bodyDiv w:val="1"/>
      <w:marLeft w:val="0"/>
      <w:marRight w:val="0"/>
      <w:marTop w:val="0"/>
      <w:marBottom w:val="0"/>
      <w:divBdr>
        <w:top w:val="none" w:sz="0" w:space="0" w:color="auto"/>
        <w:left w:val="none" w:sz="0" w:space="0" w:color="auto"/>
        <w:bottom w:val="none" w:sz="0" w:space="0" w:color="auto"/>
        <w:right w:val="none" w:sz="0" w:space="0" w:color="auto"/>
      </w:divBdr>
    </w:div>
    <w:div w:id="248731907">
      <w:bodyDiv w:val="1"/>
      <w:marLeft w:val="0"/>
      <w:marRight w:val="0"/>
      <w:marTop w:val="0"/>
      <w:marBottom w:val="0"/>
      <w:divBdr>
        <w:top w:val="none" w:sz="0" w:space="0" w:color="auto"/>
        <w:left w:val="none" w:sz="0" w:space="0" w:color="auto"/>
        <w:bottom w:val="none" w:sz="0" w:space="0" w:color="auto"/>
        <w:right w:val="none" w:sz="0" w:space="0" w:color="auto"/>
      </w:divBdr>
      <w:divsChild>
        <w:div w:id="687565345">
          <w:marLeft w:val="0"/>
          <w:marRight w:val="0"/>
          <w:marTop w:val="0"/>
          <w:marBottom w:val="0"/>
          <w:divBdr>
            <w:top w:val="none" w:sz="0" w:space="0" w:color="auto"/>
            <w:left w:val="none" w:sz="0" w:space="0" w:color="auto"/>
            <w:bottom w:val="none" w:sz="0" w:space="0" w:color="auto"/>
            <w:right w:val="none" w:sz="0" w:space="0" w:color="auto"/>
          </w:divBdr>
          <w:divsChild>
            <w:div w:id="1492451716">
              <w:marLeft w:val="0"/>
              <w:marRight w:val="0"/>
              <w:marTop w:val="0"/>
              <w:marBottom w:val="0"/>
              <w:divBdr>
                <w:top w:val="none" w:sz="0" w:space="0" w:color="auto"/>
                <w:left w:val="none" w:sz="0" w:space="0" w:color="auto"/>
                <w:bottom w:val="none" w:sz="0" w:space="0" w:color="auto"/>
                <w:right w:val="none" w:sz="0" w:space="0" w:color="auto"/>
              </w:divBdr>
              <w:divsChild>
                <w:div w:id="285812894">
                  <w:marLeft w:val="0"/>
                  <w:marRight w:val="0"/>
                  <w:marTop w:val="0"/>
                  <w:marBottom w:val="0"/>
                  <w:divBdr>
                    <w:top w:val="none" w:sz="0" w:space="0" w:color="auto"/>
                    <w:left w:val="none" w:sz="0" w:space="0" w:color="auto"/>
                    <w:bottom w:val="none" w:sz="0" w:space="0" w:color="auto"/>
                    <w:right w:val="none" w:sz="0" w:space="0" w:color="auto"/>
                  </w:divBdr>
                  <w:divsChild>
                    <w:div w:id="2024284623">
                      <w:marLeft w:val="0"/>
                      <w:marRight w:val="0"/>
                      <w:marTop w:val="0"/>
                      <w:marBottom w:val="0"/>
                      <w:divBdr>
                        <w:top w:val="none" w:sz="0" w:space="0" w:color="auto"/>
                        <w:left w:val="none" w:sz="0" w:space="0" w:color="auto"/>
                        <w:bottom w:val="none" w:sz="0" w:space="0" w:color="auto"/>
                        <w:right w:val="none" w:sz="0" w:space="0" w:color="auto"/>
                      </w:divBdr>
                      <w:divsChild>
                        <w:div w:id="1949972474">
                          <w:marLeft w:val="0"/>
                          <w:marRight w:val="0"/>
                          <w:marTop w:val="0"/>
                          <w:marBottom w:val="0"/>
                          <w:divBdr>
                            <w:top w:val="none" w:sz="0" w:space="0" w:color="auto"/>
                            <w:left w:val="none" w:sz="0" w:space="0" w:color="auto"/>
                            <w:bottom w:val="none" w:sz="0" w:space="0" w:color="auto"/>
                            <w:right w:val="none" w:sz="0" w:space="0" w:color="auto"/>
                          </w:divBdr>
                          <w:divsChild>
                            <w:div w:id="1221866149">
                              <w:marLeft w:val="0"/>
                              <w:marRight w:val="0"/>
                              <w:marTop w:val="0"/>
                              <w:marBottom w:val="0"/>
                              <w:divBdr>
                                <w:top w:val="none" w:sz="0" w:space="0" w:color="auto"/>
                                <w:left w:val="none" w:sz="0" w:space="0" w:color="auto"/>
                                <w:bottom w:val="none" w:sz="0" w:space="0" w:color="auto"/>
                                <w:right w:val="none" w:sz="0" w:space="0" w:color="auto"/>
                              </w:divBdr>
                              <w:divsChild>
                                <w:div w:id="1426804143">
                                  <w:marLeft w:val="0"/>
                                  <w:marRight w:val="0"/>
                                  <w:marTop w:val="0"/>
                                  <w:marBottom w:val="0"/>
                                  <w:divBdr>
                                    <w:top w:val="none" w:sz="0" w:space="0" w:color="auto"/>
                                    <w:left w:val="none" w:sz="0" w:space="0" w:color="auto"/>
                                    <w:bottom w:val="none" w:sz="0" w:space="0" w:color="auto"/>
                                    <w:right w:val="none" w:sz="0" w:space="0" w:color="auto"/>
                                  </w:divBdr>
                                  <w:divsChild>
                                    <w:div w:id="1788819138">
                                      <w:marLeft w:val="0"/>
                                      <w:marRight w:val="0"/>
                                      <w:marTop w:val="0"/>
                                      <w:marBottom w:val="0"/>
                                      <w:divBdr>
                                        <w:top w:val="none" w:sz="0" w:space="0" w:color="auto"/>
                                        <w:left w:val="none" w:sz="0" w:space="0" w:color="auto"/>
                                        <w:bottom w:val="none" w:sz="0" w:space="0" w:color="auto"/>
                                        <w:right w:val="none" w:sz="0" w:space="0" w:color="auto"/>
                                      </w:divBdr>
                                      <w:divsChild>
                                        <w:div w:id="1745370125">
                                          <w:marLeft w:val="0"/>
                                          <w:marRight w:val="0"/>
                                          <w:marTop w:val="0"/>
                                          <w:marBottom w:val="0"/>
                                          <w:divBdr>
                                            <w:top w:val="none" w:sz="0" w:space="0" w:color="auto"/>
                                            <w:left w:val="none" w:sz="0" w:space="0" w:color="auto"/>
                                            <w:bottom w:val="none" w:sz="0" w:space="0" w:color="auto"/>
                                            <w:right w:val="none" w:sz="0" w:space="0" w:color="auto"/>
                                          </w:divBdr>
                                          <w:divsChild>
                                            <w:div w:id="339090877">
                                              <w:marLeft w:val="0"/>
                                              <w:marRight w:val="0"/>
                                              <w:marTop w:val="0"/>
                                              <w:marBottom w:val="0"/>
                                              <w:divBdr>
                                                <w:top w:val="none" w:sz="0" w:space="0" w:color="auto"/>
                                                <w:left w:val="none" w:sz="0" w:space="0" w:color="auto"/>
                                                <w:bottom w:val="none" w:sz="0" w:space="0" w:color="auto"/>
                                                <w:right w:val="none" w:sz="0" w:space="0" w:color="auto"/>
                                              </w:divBdr>
                                              <w:divsChild>
                                                <w:div w:id="1770347350">
                                                  <w:marLeft w:val="0"/>
                                                  <w:marRight w:val="0"/>
                                                  <w:marTop w:val="0"/>
                                                  <w:marBottom w:val="0"/>
                                                  <w:divBdr>
                                                    <w:top w:val="none" w:sz="0" w:space="0" w:color="auto"/>
                                                    <w:left w:val="none" w:sz="0" w:space="0" w:color="auto"/>
                                                    <w:bottom w:val="none" w:sz="0" w:space="0" w:color="auto"/>
                                                    <w:right w:val="none" w:sz="0" w:space="0" w:color="auto"/>
                                                  </w:divBdr>
                                                  <w:divsChild>
                                                    <w:div w:id="799420255">
                                                      <w:marLeft w:val="0"/>
                                                      <w:marRight w:val="0"/>
                                                      <w:marTop w:val="0"/>
                                                      <w:marBottom w:val="0"/>
                                                      <w:divBdr>
                                                        <w:top w:val="none" w:sz="0" w:space="0" w:color="auto"/>
                                                        <w:left w:val="none" w:sz="0" w:space="0" w:color="auto"/>
                                                        <w:bottom w:val="none" w:sz="0" w:space="0" w:color="auto"/>
                                                        <w:right w:val="none" w:sz="0" w:space="0" w:color="auto"/>
                                                      </w:divBdr>
                                                      <w:divsChild>
                                                        <w:div w:id="2034719535">
                                                          <w:marLeft w:val="0"/>
                                                          <w:marRight w:val="0"/>
                                                          <w:marTop w:val="0"/>
                                                          <w:marBottom w:val="0"/>
                                                          <w:divBdr>
                                                            <w:top w:val="none" w:sz="0" w:space="0" w:color="auto"/>
                                                            <w:left w:val="none" w:sz="0" w:space="0" w:color="auto"/>
                                                            <w:bottom w:val="none" w:sz="0" w:space="0" w:color="auto"/>
                                                            <w:right w:val="none" w:sz="0" w:space="0" w:color="auto"/>
                                                          </w:divBdr>
                                                          <w:divsChild>
                                                            <w:div w:id="760219051">
                                                              <w:marLeft w:val="0"/>
                                                              <w:marRight w:val="0"/>
                                                              <w:marTop w:val="0"/>
                                                              <w:marBottom w:val="0"/>
                                                              <w:divBdr>
                                                                <w:top w:val="none" w:sz="0" w:space="0" w:color="auto"/>
                                                                <w:left w:val="none" w:sz="0" w:space="0" w:color="auto"/>
                                                                <w:bottom w:val="none" w:sz="0" w:space="0" w:color="auto"/>
                                                                <w:right w:val="none" w:sz="0" w:space="0" w:color="auto"/>
                                                              </w:divBdr>
                                                              <w:divsChild>
                                                                <w:div w:id="594441525">
                                                                  <w:marLeft w:val="0"/>
                                                                  <w:marRight w:val="0"/>
                                                                  <w:marTop w:val="0"/>
                                                                  <w:marBottom w:val="0"/>
                                                                  <w:divBdr>
                                                                    <w:top w:val="none" w:sz="0" w:space="0" w:color="auto"/>
                                                                    <w:left w:val="none" w:sz="0" w:space="0" w:color="auto"/>
                                                                    <w:bottom w:val="none" w:sz="0" w:space="0" w:color="auto"/>
                                                                    <w:right w:val="none" w:sz="0" w:space="0" w:color="auto"/>
                                                                  </w:divBdr>
                                                                  <w:divsChild>
                                                                    <w:div w:id="944338977">
                                                                      <w:marLeft w:val="0"/>
                                                                      <w:marRight w:val="0"/>
                                                                      <w:marTop w:val="0"/>
                                                                      <w:marBottom w:val="0"/>
                                                                      <w:divBdr>
                                                                        <w:top w:val="none" w:sz="0" w:space="0" w:color="auto"/>
                                                                        <w:left w:val="none" w:sz="0" w:space="0" w:color="auto"/>
                                                                        <w:bottom w:val="none" w:sz="0" w:space="0" w:color="auto"/>
                                                                        <w:right w:val="none" w:sz="0" w:space="0" w:color="auto"/>
                                                                      </w:divBdr>
                                                                      <w:divsChild>
                                                                        <w:div w:id="1401488999">
                                                                          <w:marLeft w:val="0"/>
                                                                          <w:marRight w:val="450"/>
                                                                          <w:marTop w:val="0"/>
                                                                          <w:marBottom w:val="0"/>
                                                                          <w:divBdr>
                                                                            <w:top w:val="none" w:sz="0" w:space="0" w:color="auto"/>
                                                                            <w:left w:val="none" w:sz="0" w:space="0" w:color="auto"/>
                                                                            <w:bottom w:val="none" w:sz="0" w:space="0" w:color="auto"/>
                                                                            <w:right w:val="none" w:sz="0" w:space="0" w:color="auto"/>
                                                                          </w:divBdr>
                                                                          <w:divsChild>
                                                                            <w:div w:id="235020993">
                                                                              <w:marLeft w:val="0"/>
                                                                              <w:marRight w:val="0"/>
                                                                              <w:marTop w:val="0"/>
                                                                              <w:marBottom w:val="0"/>
                                                                              <w:divBdr>
                                                                                <w:top w:val="none" w:sz="0" w:space="0" w:color="auto"/>
                                                                                <w:left w:val="none" w:sz="0" w:space="0" w:color="auto"/>
                                                                                <w:bottom w:val="none" w:sz="0" w:space="0" w:color="auto"/>
                                                                                <w:right w:val="none" w:sz="0" w:space="0" w:color="auto"/>
                                                                              </w:divBdr>
                                                                              <w:divsChild>
                                                                                <w:div w:id="2035036327">
                                                                                  <w:marLeft w:val="0"/>
                                                                                  <w:marRight w:val="0"/>
                                                                                  <w:marTop w:val="0"/>
                                                                                  <w:marBottom w:val="0"/>
                                                                                  <w:divBdr>
                                                                                    <w:top w:val="none" w:sz="0" w:space="0" w:color="auto"/>
                                                                                    <w:left w:val="none" w:sz="0" w:space="0" w:color="auto"/>
                                                                                    <w:bottom w:val="none" w:sz="0" w:space="0" w:color="auto"/>
                                                                                    <w:right w:val="none" w:sz="0" w:space="0" w:color="auto"/>
                                                                                  </w:divBdr>
                                                                                  <w:divsChild>
                                                                                    <w:div w:id="2140999017">
                                                                                      <w:marLeft w:val="0"/>
                                                                                      <w:marRight w:val="0"/>
                                                                                      <w:marTop w:val="0"/>
                                                                                      <w:marBottom w:val="0"/>
                                                                                      <w:divBdr>
                                                                                        <w:top w:val="none" w:sz="0" w:space="0" w:color="auto"/>
                                                                                        <w:left w:val="none" w:sz="0" w:space="0" w:color="auto"/>
                                                                                        <w:bottom w:val="none" w:sz="0" w:space="0" w:color="auto"/>
                                                                                        <w:right w:val="none" w:sz="0" w:space="0" w:color="auto"/>
                                                                                      </w:divBdr>
                                                                                      <w:divsChild>
                                                                                        <w:div w:id="910308682">
                                                                                          <w:marLeft w:val="0"/>
                                                                                          <w:marRight w:val="0"/>
                                                                                          <w:marTop w:val="0"/>
                                                                                          <w:marBottom w:val="0"/>
                                                                                          <w:divBdr>
                                                                                            <w:top w:val="none" w:sz="0" w:space="0" w:color="auto"/>
                                                                                            <w:left w:val="none" w:sz="0" w:space="0" w:color="auto"/>
                                                                                            <w:bottom w:val="none" w:sz="0" w:space="0" w:color="auto"/>
                                                                                            <w:right w:val="none" w:sz="0" w:space="0" w:color="auto"/>
                                                                                          </w:divBdr>
                                                                                          <w:divsChild>
                                                                                            <w:div w:id="1495877838">
                                                                                              <w:marLeft w:val="0"/>
                                                                                              <w:marRight w:val="0"/>
                                                                                              <w:marTop w:val="0"/>
                                                                                              <w:marBottom w:val="0"/>
                                                                                              <w:divBdr>
                                                                                                <w:top w:val="single" w:sz="2" w:space="0" w:color="EFEFEF"/>
                                                                                                <w:left w:val="none" w:sz="0" w:space="0" w:color="auto"/>
                                                                                                <w:bottom w:val="none" w:sz="0" w:space="0" w:color="auto"/>
                                                                                                <w:right w:val="none" w:sz="0" w:space="0" w:color="auto"/>
                                                                                              </w:divBdr>
                                                                                              <w:divsChild>
                                                                                                <w:div w:id="871504520">
                                                                                                  <w:marLeft w:val="0"/>
                                                                                                  <w:marRight w:val="0"/>
                                                                                                  <w:marTop w:val="0"/>
                                                                                                  <w:marBottom w:val="0"/>
                                                                                                  <w:divBdr>
                                                                                                    <w:top w:val="single" w:sz="6" w:space="0" w:color="D8D8D8"/>
                                                                                                    <w:left w:val="none" w:sz="0" w:space="0" w:color="auto"/>
                                                                                                    <w:bottom w:val="none" w:sz="0" w:space="0" w:color="D8D8D8"/>
                                                                                                    <w:right w:val="none" w:sz="0" w:space="0" w:color="auto"/>
                                                                                                  </w:divBdr>
                                                                                                  <w:divsChild>
                                                                                                    <w:div w:id="964433616">
                                                                                                      <w:marLeft w:val="0"/>
                                                                                                      <w:marRight w:val="0"/>
                                                                                                      <w:marTop w:val="0"/>
                                                                                                      <w:marBottom w:val="0"/>
                                                                                                      <w:divBdr>
                                                                                                        <w:top w:val="none" w:sz="0" w:space="0" w:color="auto"/>
                                                                                                        <w:left w:val="none" w:sz="0" w:space="0" w:color="auto"/>
                                                                                                        <w:bottom w:val="none" w:sz="0" w:space="0" w:color="auto"/>
                                                                                                        <w:right w:val="none" w:sz="0" w:space="0" w:color="auto"/>
                                                                                                      </w:divBdr>
                                                                                                      <w:divsChild>
                                                                                                        <w:div w:id="236405129">
                                                                                                          <w:marLeft w:val="0"/>
                                                                                                          <w:marRight w:val="0"/>
                                                                                                          <w:marTop w:val="0"/>
                                                                                                          <w:marBottom w:val="0"/>
                                                                                                          <w:divBdr>
                                                                                                            <w:top w:val="none" w:sz="0" w:space="0" w:color="auto"/>
                                                                                                            <w:left w:val="none" w:sz="0" w:space="0" w:color="auto"/>
                                                                                                            <w:bottom w:val="none" w:sz="0" w:space="0" w:color="auto"/>
                                                                                                            <w:right w:val="none" w:sz="0" w:space="0" w:color="auto"/>
                                                                                                          </w:divBdr>
                                                                                                          <w:divsChild>
                                                                                                            <w:div w:id="1155495030">
                                                                                                              <w:marLeft w:val="0"/>
                                                                                                              <w:marRight w:val="0"/>
                                                                                                              <w:marTop w:val="0"/>
                                                                                                              <w:marBottom w:val="0"/>
                                                                                                              <w:divBdr>
                                                                                                                <w:top w:val="none" w:sz="0" w:space="0" w:color="auto"/>
                                                                                                                <w:left w:val="none" w:sz="0" w:space="0" w:color="auto"/>
                                                                                                                <w:bottom w:val="none" w:sz="0" w:space="0" w:color="auto"/>
                                                                                                                <w:right w:val="none" w:sz="0" w:space="0" w:color="auto"/>
                                                                                                              </w:divBdr>
                                                                                                              <w:divsChild>
                                                                                                                <w:div w:id="835026207">
                                                                                                                  <w:marLeft w:val="450"/>
                                                                                                                  <w:marRight w:val="0"/>
                                                                                                                  <w:marTop w:val="0"/>
                                                                                                                  <w:marBottom w:val="0"/>
                                                                                                                  <w:divBdr>
                                                                                                                    <w:top w:val="none" w:sz="0" w:space="0" w:color="auto"/>
                                                                                                                    <w:left w:val="none" w:sz="0" w:space="0" w:color="auto"/>
                                                                                                                    <w:bottom w:val="none" w:sz="0" w:space="0" w:color="auto"/>
                                                                                                                    <w:right w:val="none" w:sz="0" w:space="0" w:color="auto"/>
                                                                                                                  </w:divBdr>
                                                                                                                  <w:divsChild>
                                                                                                                    <w:div w:id="307514768">
                                                                                                                      <w:marLeft w:val="0"/>
                                                                                                                      <w:marRight w:val="225"/>
                                                                                                                      <w:marTop w:val="75"/>
                                                                                                                      <w:marBottom w:val="0"/>
                                                                                                                      <w:divBdr>
                                                                                                                        <w:top w:val="none" w:sz="0" w:space="0" w:color="auto"/>
                                                                                                                        <w:left w:val="none" w:sz="0" w:space="0" w:color="auto"/>
                                                                                                                        <w:bottom w:val="none" w:sz="0" w:space="0" w:color="auto"/>
                                                                                                                        <w:right w:val="none" w:sz="0" w:space="0" w:color="auto"/>
                                                                                                                      </w:divBdr>
                                                                                                                      <w:divsChild>
                                                                                                                        <w:div w:id="2032491350">
                                                                                                                          <w:marLeft w:val="0"/>
                                                                                                                          <w:marRight w:val="0"/>
                                                                                                                          <w:marTop w:val="0"/>
                                                                                                                          <w:marBottom w:val="0"/>
                                                                                                                          <w:divBdr>
                                                                                                                            <w:top w:val="none" w:sz="0" w:space="0" w:color="auto"/>
                                                                                                                            <w:left w:val="none" w:sz="0" w:space="0" w:color="auto"/>
                                                                                                                            <w:bottom w:val="none" w:sz="0" w:space="0" w:color="auto"/>
                                                                                                                            <w:right w:val="none" w:sz="0" w:space="0" w:color="auto"/>
                                                                                                                          </w:divBdr>
                                                                                                                          <w:divsChild>
                                                                                                                            <w:div w:id="354425230">
                                                                                                                              <w:marLeft w:val="0"/>
                                                                                                                              <w:marRight w:val="0"/>
                                                                                                                              <w:marTop w:val="0"/>
                                                                                                                              <w:marBottom w:val="0"/>
                                                                                                                              <w:divBdr>
                                                                                                                                <w:top w:val="none" w:sz="0" w:space="0" w:color="auto"/>
                                                                                                                                <w:left w:val="none" w:sz="0" w:space="0" w:color="auto"/>
                                                                                                                                <w:bottom w:val="none" w:sz="0" w:space="0" w:color="auto"/>
                                                                                                                                <w:right w:val="none" w:sz="0" w:space="0" w:color="auto"/>
                                                                                                                              </w:divBdr>
                                                                                                                              <w:divsChild>
                                                                                                                                <w:div w:id="573904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4903">
                                                                                                                                      <w:marLeft w:val="0"/>
                                                                                                                                      <w:marRight w:val="0"/>
                                                                                                                                      <w:marTop w:val="0"/>
                                                                                                                                      <w:marBottom w:val="0"/>
                                                                                                                                      <w:divBdr>
                                                                                                                                        <w:top w:val="none" w:sz="0" w:space="0" w:color="auto"/>
                                                                                                                                        <w:left w:val="none" w:sz="0" w:space="0" w:color="auto"/>
                                                                                                                                        <w:bottom w:val="none" w:sz="0" w:space="0" w:color="auto"/>
                                                                                                                                        <w:right w:val="none" w:sz="0" w:space="0" w:color="auto"/>
                                                                                                                                      </w:divBdr>
                                                                                                                                      <w:divsChild>
                                                                                                                                        <w:div w:id="4006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841520">
      <w:bodyDiv w:val="1"/>
      <w:marLeft w:val="0"/>
      <w:marRight w:val="0"/>
      <w:marTop w:val="0"/>
      <w:marBottom w:val="0"/>
      <w:divBdr>
        <w:top w:val="none" w:sz="0" w:space="0" w:color="auto"/>
        <w:left w:val="none" w:sz="0" w:space="0" w:color="auto"/>
        <w:bottom w:val="none" w:sz="0" w:space="0" w:color="auto"/>
        <w:right w:val="none" w:sz="0" w:space="0" w:color="auto"/>
      </w:divBdr>
    </w:div>
    <w:div w:id="262493291">
      <w:bodyDiv w:val="1"/>
      <w:marLeft w:val="0"/>
      <w:marRight w:val="0"/>
      <w:marTop w:val="0"/>
      <w:marBottom w:val="0"/>
      <w:divBdr>
        <w:top w:val="none" w:sz="0" w:space="0" w:color="auto"/>
        <w:left w:val="none" w:sz="0" w:space="0" w:color="auto"/>
        <w:bottom w:val="none" w:sz="0" w:space="0" w:color="auto"/>
        <w:right w:val="none" w:sz="0" w:space="0" w:color="auto"/>
      </w:divBdr>
    </w:div>
    <w:div w:id="324867950">
      <w:bodyDiv w:val="1"/>
      <w:marLeft w:val="0"/>
      <w:marRight w:val="0"/>
      <w:marTop w:val="0"/>
      <w:marBottom w:val="0"/>
      <w:divBdr>
        <w:top w:val="none" w:sz="0" w:space="0" w:color="auto"/>
        <w:left w:val="none" w:sz="0" w:space="0" w:color="auto"/>
        <w:bottom w:val="none" w:sz="0" w:space="0" w:color="auto"/>
        <w:right w:val="none" w:sz="0" w:space="0" w:color="auto"/>
      </w:divBdr>
    </w:div>
    <w:div w:id="431827555">
      <w:bodyDiv w:val="1"/>
      <w:marLeft w:val="0"/>
      <w:marRight w:val="0"/>
      <w:marTop w:val="0"/>
      <w:marBottom w:val="0"/>
      <w:divBdr>
        <w:top w:val="none" w:sz="0" w:space="0" w:color="auto"/>
        <w:left w:val="none" w:sz="0" w:space="0" w:color="auto"/>
        <w:bottom w:val="none" w:sz="0" w:space="0" w:color="auto"/>
        <w:right w:val="none" w:sz="0" w:space="0" w:color="auto"/>
      </w:divBdr>
    </w:div>
    <w:div w:id="480729948">
      <w:bodyDiv w:val="1"/>
      <w:marLeft w:val="0"/>
      <w:marRight w:val="0"/>
      <w:marTop w:val="0"/>
      <w:marBottom w:val="0"/>
      <w:divBdr>
        <w:top w:val="none" w:sz="0" w:space="0" w:color="auto"/>
        <w:left w:val="none" w:sz="0" w:space="0" w:color="auto"/>
        <w:bottom w:val="none" w:sz="0" w:space="0" w:color="auto"/>
        <w:right w:val="none" w:sz="0" w:space="0" w:color="auto"/>
      </w:divBdr>
    </w:div>
    <w:div w:id="499197587">
      <w:bodyDiv w:val="1"/>
      <w:marLeft w:val="0"/>
      <w:marRight w:val="0"/>
      <w:marTop w:val="0"/>
      <w:marBottom w:val="0"/>
      <w:divBdr>
        <w:top w:val="none" w:sz="0" w:space="0" w:color="auto"/>
        <w:left w:val="none" w:sz="0" w:space="0" w:color="auto"/>
        <w:bottom w:val="none" w:sz="0" w:space="0" w:color="auto"/>
        <w:right w:val="none" w:sz="0" w:space="0" w:color="auto"/>
      </w:divBdr>
    </w:div>
    <w:div w:id="584416266">
      <w:bodyDiv w:val="1"/>
      <w:marLeft w:val="0"/>
      <w:marRight w:val="0"/>
      <w:marTop w:val="0"/>
      <w:marBottom w:val="0"/>
      <w:divBdr>
        <w:top w:val="none" w:sz="0" w:space="0" w:color="auto"/>
        <w:left w:val="none" w:sz="0" w:space="0" w:color="auto"/>
        <w:bottom w:val="none" w:sz="0" w:space="0" w:color="auto"/>
        <w:right w:val="none" w:sz="0" w:space="0" w:color="auto"/>
      </w:divBdr>
    </w:div>
    <w:div w:id="773553195">
      <w:bodyDiv w:val="1"/>
      <w:marLeft w:val="0"/>
      <w:marRight w:val="0"/>
      <w:marTop w:val="0"/>
      <w:marBottom w:val="0"/>
      <w:divBdr>
        <w:top w:val="none" w:sz="0" w:space="0" w:color="auto"/>
        <w:left w:val="none" w:sz="0" w:space="0" w:color="auto"/>
        <w:bottom w:val="none" w:sz="0" w:space="0" w:color="auto"/>
        <w:right w:val="none" w:sz="0" w:space="0" w:color="auto"/>
      </w:divBdr>
    </w:div>
    <w:div w:id="803353090">
      <w:bodyDiv w:val="1"/>
      <w:marLeft w:val="0"/>
      <w:marRight w:val="0"/>
      <w:marTop w:val="0"/>
      <w:marBottom w:val="0"/>
      <w:divBdr>
        <w:top w:val="none" w:sz="0" w:space="0" w:color="auto"/>
        <w:left w:val="none" w:sz="0" w:space="0" w:color="auto"/>
        <w:bottom w:val="none" w:sz="0" w:space="0" w:color="auto"/>
        <w:right w:val="none" w:sz="0" w:space="0" w:color="auto"/>
      </w:divBdr>
      <w:divsChild>
        <w:div w:id="717247213">
          <w:marLeft w:val="0"/>
          <w:marRight w:val="0"/>
          <w:marTop w:val="0"/>
          <w:marBottom w:val="0"/>
          <w:divBdr>
            <w:top w:val="none" w:sz="0" w:space="0" w:color="auto"/>
            <w:left w:val="none" w:sz="0" w:space="0" w:color="auto"/>
            <w:bottom w:val="none" w:sz="0" w:space="0" w:color="auto"/>
            <w:right w:val="none" w:sz="0" w:space="0" w:color="auto"/>
          </w:divBdr>
          <w:divsChild>
            <w:div w:id="1739551413">
              <w:marLeft w:val="0"/>
              <w:marRight w:val="60"/>
              <w:marTop w:val="0"/>
              <w:marBottom w:val="0"/>
              <w:divBdr>
                <w:top w:val="none" w:sz="0" w:space="0" w:color="auto"/>
                <w:left w:val="none" w:sz="0" w:space="0" w:color="auto"/>
                <w:bottom w:val="none" w:sz="0" w:space="0" w:color="auto"/>
                <w:right w:val="none" w:sz="0" w:space="0" w:color="auto"/>
              </w:divBdr>
              <w:divsChild>
                <w:div w:id="1582984909">
                  <w:marLeft w:val="0"/>
                  <w:marRight w:val="0"/>
                  <w:marTop w:val="0"/>
                  <w:marBottom w:val="120"/>
                  <w:divBdr>
                    <w:top w:val="single" w:sz="6" w:space="0" w:color="C0C0C0"/>
                    <w:left w:val="single" w:sz="6" w:space="0" w:color="D9D9D9"/>
                    <w:bottom w:val="single" w:sz="6" w:space="0" w:color="D9D9D9"/>
                    <w:right w:val="single" w:sz="6" w:space="0" w:color="D9D9D9"/>
                  </w:divBdr>
                  <w:divsChild>
                    <w:div w:id="1869639330">
                      <w:marLeft w:val="0"/>
                      <w:marRight w:val="0"/>
                      <w:marTop w:val="0"/>
                      <w:marBottom w:val="0"/>
                      <w:divBdr>
                        <w:top w:val="none" w:sz="0" w:space="0" w:color="auto"/>
                        <w:left w:val="none" w:sz="0" w:space="0" w:color="auto"/>
                        <w:bottom w:val="none" w:sz="0" w:space="0" w:color="auto"/>
                        <w:right w:val="none" w:sz="0" w:space="0" w:color="auto"/>
                      </w:divBdr>
                    </w:div>
                    <w:div w:id="19089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8203">
          <w:marLeft w:val="0"/>
          <w:marRight w:val="0"/>
          <w:marTop w:val="0"/>
          <w:marBottom w:val="0"/>
          <w:divBdr>
            <w:top w:val="none" w:sz="0" w:space="0" w:color="auto"/>
            <w:left w:val="none" w:sz="0" w:space="0" w:color="auto"/>
            <w:bottom w:val="none" w:sz="0" w:space="0" w:color="auto"/>
            <w:right w:val="none" w:sz="0" w:space="0" w:color="auto"/>
          </w:divBdr>
          <w:divsChild>
            <w:div w:id="343677354">
              <w:marLeft w:val="60"/>
              <w:marRight w:val="0"/>
              <w:marTop w:val="0"/>
              <w:marBottom w:val="0"/>
              <w:divBdr>
                <w:top w:val="none" w:sz="0" w:space="0" w:color="auto"/>
                <w:left w:val="none" w:sz="0" w:space="0" w:color="auto"/>
                <w:bottom w:val="none" w:sz="0" w:space="0" w:color="auto"/>
                <w:right w:val="none" w:sz="0" w:space="0" w:color="auto"/>
              </w:divBdr>
              <w:divsChild>
                <w:div w:id="729577608">
                  <w:marLeft w:val="0"/>
                  <w:marRight w:val="0"/>
                  <w:marTop w:val="0"/>
                  <w:marBottom w:val="0"/>
                  <w:divBdr>
                    <w:top w:val="none" w:sz="0" w:space="0" w:color="auto"/>
                    <w:left w:val="none" w:sz="0" w:space="0" w:color="auto"/>
                    <w:bottom w:val="none" w:sz="0" w:space="0" w:color="auto"/>
                    <w:right w:val="none" w:sz="0" w:space="0" w:color="auto"/>
                  </w:divBdr>
                  <w:divsChild>
                    <w:div w:id="390352999">
                      <w:marLeft w:val="0"/>
                      <w:marRight w:val="0"/>
                      <w:marTop w:val="0"/>
                      <w:marBottom w:val="120"/>
                      <w:divBdr>
                        <w:top w:val="single" w:sz="6" w:space="0" w:color="F5F5F5"/>
                        <w:left w:val="single" w:sz="6" w:space="0" w:color="F5F5F5"/>
                        <w:bottom w:val="single" w:sz="6" w:space="0" w:color="F5F5F5"/>
                        <w:right w:val="single" w:sz="6" w:space="0" w:color="F5F5F5"/>
                      </w:divBdr>
                      <w:divsChild>
                        <w:div w:id="974913677">
                          <w:marLeft w:val="0"/>
                          <w:marRight w:val="0"/>
                          <w:marTop w:val="0"/>
                          <w:marBottom w:val="0"/>
                          <w:divBdr>
                            <w:top w:val="none" w:sz="0" w:space="0" w:color="auto"/>
                            <w:left w:val="none" w:sz="0" w:space="0" w:color="auto"/>
                            <w:bottom w:val="none" w:sz="0" w:space="0" w:color="auto"/>
                            <w:right w:val="none" w:sz="0" w:space="0" w:color="auto"/>
                          </w:divBdr>
                          <w:divsChild>
                            <w:div w:id="16725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95499">
      <w:bodyDiv w:val="1"/>
      <w:marLeft w:val="0"/>
      <w:marRight w:val="0"/>
      <w:marTop w:val="0"/>
      <w:marBottom w:val="0"/>
      <w:divBdr>
        <w:top w:val="none" w:sz="0" w:space="0" w:color="auto"/>
        <w:left w:val="none" w:sz="0" w:space="0" w:color="auto"/>
        <w:bottom w:val="none" w:sz="0" w:space="0" w:color="auto"/>
        <w:right w:val="none" w:sz="0" w:space="0" w:color="auto"/>
      </w:divBdr>
    </w:div>
    <w:div w:id="957031876">
      <w:bodyDiv w:val="1"/>
      <w:marLeft w:val="0"/>
      <w:marRight w:val="0"/>
      <w:marTop w:val="0"/>
      <w:marBottom w:val="0"/>
      <w:divBdr>
        <w:top w:val="none" w:sz="0" w:space="0" w:color="auto"/>
        <w:left w:val="none" w:sz="0" w:space="0" w:color="auto"/>
        <w:bottom w:val="none" w:sz="0" w:space="0" w:color="auto"/>
        <w:right w:val="none" w:sz="0" w:space="0" w:color="auto"/>
      </w:divBdr>
    </w:div>
    <w:div w:id="973101845">
      <w:bodyDiv w:val="1"/>
      <w:marLeft w:val="0"/>
      <w:marRight w:val="0"/>
      <w:marTop w:val="0"/>
      <w:marBottom w:val="0"/>
      <w:divBdr>
        <w:top w:val="none" w:sz="0" w:space="0" w:color="auto"/>
        <w:left w:val="none" w:sz="0" w:space="0" w:color="auto"/>
        <w:bottom w:val="none" w:sz="0" w:space="0" w:color="auto"/>
        <w:right w:val="none" w:sz="0" w:space="0" w:color="auto"/>
      </w:divBdr>
    </w:div>
    <w:div w:id="997077126">
      <w:bodyDiv w:val="1"/>
      <w:marLeft w:val="0"/>
      <w:marRight w:val="0"/>
      <w:marTop w:val="0"/>
      <w:marBottom w:val="0"/>
      <w:divBdr>
        <w:top w:val="none" w:sz="0" w:space="0" w:color="auto"/>
        <w:left w:val="none" w:sz="0" w:space="0" w:color="auto"/>
        <w:bottom w:val="none" w:sz="0" w:space="0" w:color="auto"/>
        <w:right w:val="none" w:sz="0" w:space="0" w:color="auto"/>
      </w:divBdr>
    </w:div>
    <w:div w:id="1000154322">
      <w:bodyDiv w:val="1"/>
      <w:marLeft w:val="0"/>
      <w:marRight w:val="0"/>
      <w:marTop w:val="0"/>
      <w:marBottom w:val="0"/>
      <w:divBdr>
        <w:top w:val="none" w:sz="0" w:space="0" w:color="auto"/>
        <w:left w:val="none" w:sz="0" w:space="0" w:color="auto"/>
        <w:bottom w:val="none" w:sz="0" w:space="0" w:color="auto"/>
        <w:right w:val="none" w:sz="0" w:space="0" w:color="auto"/>
      </w:divBdr>
    </w:div>
    <w:div w:id="1096367732">
      <w:bodyDiv w:val="1"/>
      <w:marLeft w:val="0"/>
      <w:marRight w:val="0"/>
      <w:marTop w:val="0"/>
      <w:marBottom w:val="0"/>
      <w:divBdr>
        <w:top w:val="none" w:sz="0" w:space="0" w:color="auto"/>
        <w:left w:val="none" w:sz="0" w:space="0" w:color="auto"/>
        <w:bottom w:val="none" w:sz="0" w:space="0" w:color="auto"/>
        <w:right w:val="none" w:sz="0" w:space="0" w:color="auto"/>
      </w:divBdr>
    </w:div>
    <w:div w:id="1178544743">
      <w:bodyDiv w:val="1"/>
      <w:marLeft w:val="0"/>
      <w:marRight w:val="0"/>
      <w:marTop w:val="0"/>
      <w:marBottom w:val="0"/>
      <w:divBdr>
        <w:top w:val="none" w:sz="0" w:space="0" w:color="auto"/>
        <w:left w:val="none" w:sz="0" w:space="0" w:color="auto"/>
        <w:bottom w:val="none" w:sz="0" w:space="0" w:color="auto"/>
        <w:right w:val="none" w:sz="0" w:space="0" w:color="auto"/>
      </w:divBdr>
    </w:div>
    <w:div w:id="1262299554">
      <w:bodyDiv w:val="1"/>
      <w:marLeft w:val="0"/>
      <w:marRight w:val="0"/>
      <w:marTop w:val="0"/>
      <w:marBottom w:val="0"/>
      <w:divBdr>
        <w:top w:val="none" w:sz="0" w:space="0" w:color="auto"/>
        <w:left w:val="none" w:sz="0" w:space="0" w:color="auto"/>
        <w:bottom w:val="none" w:sz="0" w:space="0" w:color="auto"/>
        <w:right w:val="none" w:sz="0" w:space="0" w:color="auto"/>
      </w:divBdr>
    </w:div>
    <w:div w:id="1273781522">
      <w:bodyDiv w:val="1"/>
      <w:marLeft w:val="0"/>
      <w:marRight w:val="0"/>
      <w:marTop w:val="0"/>
      <w:marBottom w:val="0"/>
      <w:divBdr>
        <w:top w:val="none" w:sz="0" w:space="0" w:color="auto"/>
        <w:left w:val="none" w:sz="0" w:space="0" w:color="auto"/>
        <w:bottom w:val="none" w:sz="0" w:space="0" w:color="auto"/>
        <w:right w:val="none" w:sz="0" w:space="0" w:color="auto"/>
      </w:divBdr>
    </w:div>
    <w:div w:id="1274943042">
      <w:bodyDiv w:val="1"/>
      <w:marLeft w:val="0"/>
      <w:marRight w:val="0"/>
      <w:marTop w:val="0"/>
      <w:marBottom w:val="0"/>
      <w:divBdr>
        <w:top w:val="none" w:sz="0" w:space="0" w:color="auto"/>
        <w:left w:val="none" w:sz="0" w:space="0" w:color="auto"/>
        <w:bottom w:val="none" w:sz="0" w:space="0" w:color="auto"/>
        <w:right w:val="none" w:sz="0" w:space="0" w:color="auto"/>
      </w:divBdr>
    </w:div>
    <w:div w:id="1289704228">
      <w:bodyDiv w:val="1"/>
      <w:marLeft w:val="0"/>
      <w:marRight w:val="0"/>
      <w:marTop w:val="0"/>
      <w:marBottom w:val="0"/>
      <w:divBdr>
        <w:top w:val="none" w:sz="0" w:space="0" w:color="auto"/>
        <w:left w:val="none" w:sz="0" w:space="0" w:color="auto"/>
        <w:bottom w:val="none" w:sz="0" w:space="0" w:color="auto"/>
        <w:right w:val="none" w:sz="0" w:space="0" w:color="auto"/>
      </w:divBdr>
    </w:div>
    <w:div w:id="1303971814">
      <w:bodyDiv w:val="1"/>
      <w:marLeft w:val="0"/>
      <w:marRight w:val="0"/>
      <w:marTop w:val="0"/>
      <w:marBottom w:val="0"/>
      <w:divBdr>
        <w:top w:val="none" w:sz="0" w:space="0" w:color="auto"/>
        <w:left w:val="none" w:sz="0" w:space="0" w:color="auto"/>
        <w:bottom w:val="none" w:sz="0" w:space="0" w:color="auto"/>
        <w:right w:val="none" w:sz="0" w:space="0" w:color="auto"/>
      </w:divBdr>
    </w:div>
    <w:div w:id="1360205396">
      <w:bodyDiv w:val="1"/>
      <w:marLeft w:val="0"/>
      <w:marRight w:val="0"/>
      <w:marTop w:val="0"/>
      <w:marBottom w:val="0"/>
      <w:divBdr>
        <w:top w:val="none" w:sz="0" w:space="0" w:color="auto"/>
        <w:left w:val="none" w:sz="0" w:space="0" w:color="auto"/>
        <w:bottom w:val="none" w:sz="0" w:space="0" w:color="auto"/>
        <w:right w:val="none" w:sz="0" w:space="0" w:color="auto"/>
      </w:divBdr>
    </w:div>
    <w:div w:id="1367873290">
      <w:bodyDiv w:val="1"/>
      <w:marLeft w:val="0"/>
      <w:marRight w:val="0"/>
      <w:marTop w:val="0"/>
      <w:marBottom w:val="0"/>
      <w:divBdr>
        <w:top w:val="none" w:sz="0" w:space="0" w:color="auto"/>
        <w:left w:val="none" w:sz="0" w:space="0" w:color="auto"/>
        <w:bottom w:val="none" w:sz="0" w:space="0" w:color="auto"/>
        <w:right w:val="none" w:sz="0" w:space="0" w:color="auto"/>
      </w:divBdr>
    </w:div>
    <w:div w:id="1417627453">
      <w:bodyDiv w:val="1"/>
      <w:marLeft w:val="0"/>
      <w:marRight w:val="0"/>
      <w:marTop w:val="0"/>
      <w:marBottom w:val="0"/>
      <w:divBdr>
        <w:top w:val="none" w:sz="0" w:space="0" w:color="auto"/>
        <w:left w:val="none" w:sz="0" w:space="0" w:color="auto"/>
        <w:bottom w:val="none" w:sz="0" w:space="0" w:color="auto"/>
        <w:right w:val="none" w:sz="0" w:space="0" w:color="auto"/>
      </w:divBdr>
    </w:div>
    <w:div w:id="1479763233">
      <w:bodyDiv w:val="1"/>
      <w:marLeft w:val="0"/>
      <w:marRight w:val="0"/>
      <w:marTop w:val="0"/>
      <w:marBottom w:val="0"/>
      <w:divBdr>
        <w:top w:val="none" w:sz="0" w:space="0" w:color="auto"/>
        <w:left w:val="none" w:sz="0" w:space="0" w:color="auto"/>
        <w:bottom w:val="none" w:sz="0" w:space="0" w:color="auto"/>
        <w:right w:val="none" w:sz="0" w:space="0" w:color="auto"/>
      </w:divBdr>
    </w:div>
    <w:div w:id="1597515269">
      <w:bodyDiv w:val="1"/>
      <w:marLeft w:val="0"/>
      <w:marRight w:val="0"/>
      <w:marTop w:val="0"/>
      <w:marBottom w:val="0"/>
      <w:divBdr>
        <w:top w:val="none" w:sz="0" w:space="0" w:color="auto"/>
        <w:left w:val="none" w:sz="0" w:space="0" w:color="auto"/>
        <w:bottom w:val="none" w:sz="0" w:space="0" w:color="auto"/>
        <w:right w:val="none" w:sz="0" w:space="0" w:color="auto"/>
      </w:divBdr>
    </w:div>
    <w:div w:id="1613440640">
      <w:bodyDiv w:val="1"/>
      <w:marLeft w:val="0"/>
      <w:marRight w:val="0"/>
      <w:marTop w:val="0"/>
      <w:marBottom w:val="0"/>
      <w:divBdr>
        <w:top w:val="none" w:sz="0" w:space="0" w:color="auto"/>
        <w:left w:val="none" w:sz="0" w:space="0" w:color="auto"/>
        <w:bottom w:val="none" w:sz="0" w:space="0" w:color="auto"/>
        <w:right w:val="none" w:sz="0" w:space="0" w:color="auto"/>
      </w:divBdr>
    </w:div>
    <w:div w:id="1715232117">
      <w:bodyDiv w:val="1"/>
      <w:marLeft w:val="0"/>
      <w:marRight w:val="0"/>
      <w:marTop w:val="0"/>
      <w:marBottom w:val="0"/>
      <w:divBdr>
        <w:top w:val="none" w:sz="0" w:space="0" w:color="auto"/>
        <w:left w:val="none" w:sz="0" w:space="0" w:color="auto"/>
        <w:bottom w:val="none" w:sz="0" w:space="0" w:color="auto"/>
        <w:right w:val="none" w:sz="0" w:space="0" w:color="auto"/>
      </w:divBdr>
    </w:div>
    <w:div w:id="1716926538">
      <w:bodyDiv w:val="1"/>
      <w:marLeft w:val="0"/>
      <w:marRight w:val="0"/>
      <w:marTop w:val="0"/>
      <w:marBottom w:val="0"/>
      <w:divBdr>
        <w:top w:val="none" w:sz="0" w:space="0" w:color="auto"/>
        <w:left w:val="none" w:sz="0" w:space="0" w:color="auto"/>
        <w:bottom w:val="none" w:sz="0" w:space="0" w:color="auto"/>
        <w:right w:val="none" w:sz="0" w:space="0" w:color="auto"/>
      </w:divBdr>
    </w:div>
    <w:div w:id="1807817453">
      <w:bodyDiv w:val="1"/>
      <w:marLeft w:val="0"/>
      <w:marRight w:val="0"/>
      <w:marTop w:val="0"/>
      <w:marBottom w:val="0"/>
      <w:divBdr>
        <w:top w:val="none" w:sz="0" w:space="0" w:color="auto"/>
        <w:left w:val="none" w:sz="0" w:space="0" w:color="auto"/>
        <w:bottom w:val="none" w:sz="0" w:space="0" w:color="auto"/>
        <w:right w:val="none" w:sz="0" w:space="0" w:color="auto"/>
      </w:divBdr>
    </w:div>
    <w:div w:id="1879924870">
      <w:bodyDiv w:val="1"/>
      <w:marLeft w:val="0"/>
      <w:marRight w:val="0"/>
      <w:marTop w:val="0"/>
      <w:marBottom w:val="0"/>
      <w:divBdr>
        <w:top w:val="none" w:sz="0" w:space="0" w:color="auto"/>
        <w:left w:val="none" w:sz="0" w:space="0" w:color="auto"/>
        <w:bottom w:val="none" w:sz="0" w:space="0" w:color="auto"/>
        <w:right w:val="none" w:sz="0" w:space="0" w:color="auto"/>
      </w:divBdr>
    </w:div>
    <w:div w:id="1978417915">
      <w:bodyDiv w:val="1"/>
      <w:marLeft w:val="0"/>
      <w:marRight w:val="0"/>
      <w:marTop w:val="0"/>
      <w:marBottom w:val="0"/>
      <w:divBdr>
        <w:top w:val="none" w:sz="0" w:space="0" w:color="auto"/>
        <w:left w:val="none" w:sz="0" w:space="0" w:color="auto"/>
        <w:bottom w:val="none" w:sz="0" w:space="0" w:color="auto"/>
        <w:right w:val="none" w:sz="0" w:space="0" w:color="auto"/>
      </w:divBdr>
    </w:div>
    <w:div w:id="1983075793">
      <w:bodyDiv w:val="1"/>
      <w:marLeft w:val="0"/>
      <w:marRight w:val="0"/>
      <w:marTop w:val="0"/>
      <w:marBottom w:val="0"/>
      <w:divBdr>
        <w:top w:val="none" w:sz="0" w:space="0" w:color="auto"/>
        <w:left w:val="none" w:sz="0" w:space="0" w:color="auto"/>
        <w:bottom w:val="none" w:sz="0" w:space="0" w:color="auto"/>
        <w:right w:val="none" w:sz="0" w:space="0" w:color="auto"/>
      </w:divBdr>
    </w:div>
    <w:div w:id="20404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teidh.or.cr/cf/themis/digesto/digesto.cf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0132E06FDCF2441974353E640D5FAD5" ma:contentTypeVersion="8" ma:contentTypeDescription="Crear nuevo documento." ma:contentTypeScope="" ma:versionID="afe3edbb94f09edb19b8117ae9e00109">
  <xsd:schema xmlns:xsd="http://www.w3.org/2001/XMLSchema" xmlns:xs="http://www.w3.org/2001/XMLSchema" xmlns:p="http://schemas.microsoft.com/office/2006/metadata/properties" xmlns:ns3="9b9eadbd-276d-46f2-95df-b198e3cd91be" targetNamespace="http://schemas.microsoft.com/office/2006/metadata/properties" ma:root="true" ma:fieldsID="83ccab41fad5b4d27b7bd2560c06fa96" ns3:_="">
    <xsd:import namespace="9b9eadbd-276d-46f2-95df-b198e3cd91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eadbd-276d-46f2-95df-b198e3cd9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4DE1-BB60-476A-962F-849420D84AF1}">
  <ds:schemaRefs>
    <ds:schemaRef ds:uri="http://schemas.microsoft.com/office/infopath/2007/PartnerControls"/>
    <ds:schemaRef ds:uri="9b9eadbd-276d-46f2-95df-b198e3cd91be"/>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EFBCAC09-E2FF-4602-80A7-F3E75CB65C14}">
  <ds:schemaRefs>
    <ds:schemaRef ds:uri="http://schemas.microsoft.com/sharepoint/v3/contenttype/forms"/>
  </ds:schemaRefs>
</ds:datastoreItem>
</file>

<file path=customXml/itemProps3.xml><?xml version="1.0" encoding="utf-8"?>
<ds:datastoreItem xmlns:ds="http://schemas.openxmlformats.org/officeDocument/2006/customXml" ds:itemID="{C97D142C-3B71-4603-9E21-F1B094C2B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eadbd-276d-46f2-95df-b198e3cd9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99707-60F6-074D-B1E8-018BC226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12663</Words>
  <Characters>69649</Characters>
  <Application>Microsoft Office Word</Application>
  <DocSecurity>0</DocSecurity>
  <Lines>580</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82148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2</cp:revision>
  <cp:lastPrinted>2023-03-02T18:11:00Z</cp:lastPrinted>
  <dcterms:created xsi:type="dcterms:W3CDTF">2023-03-02T18:11:00Z</dcterms:created>
  <dcterms:modified xsi:type="dcterms:W3CDTF">2023-03-02T18:11:00Z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0x010100C0132E06FDCF2441974353E640D5FAD5</vt:lpwstr>
  </property>
</Properties>
</file>