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C80A" w14:textId="77777777" w:rsidR="00467516" w:rsidRPr="006B0525" w:rsidRDefault="00467516" w:rsidP="00530549">
      <w:pPr>
        <w:rPr>
          <w:rFonts w:eastAsia="Calibri"/>
        </w:rPr>
      </w:pPr>
    </w:p>
    <w:p w14:paraId="7DEFF8B4" w14:textId="77777777" w:rsidR="00467516" w:rsidRPr="006B0525" w:rsidRDefault="00467516" w:rsidP="00530549">
      <w:pPr>
        <w:rPr>
          <w:rFonts w:eastAsia="Calibri"/>
        </w:rPr>
      </w:pPr>
    </w:p>
    <w:p w14:paraId="7A24FFC2" w14:textId="77777777" w:rsidR="00467516" w:rsidRPr="006B0525" w:rsidRDefault="00467516" w:rsidP="00121688">
      <w:pPr>
        <w:jc w:val="center"/>
        <w:rPr>
          <w:rFonts w:eastAsia="Calibri"/>
        </w:rPr>
      </w:pPr>
    </w:p>
    <w:p w14:paraId="7874A4BE" w14:textId="77777777" w:rsidR="00562B60" w:rsidRPr="006B0525" w:rsidRDefault="00467516" w:rsidP="00121688">
      <w:pPr>
        <w:spacing w:line="240" w:lineRule="auto"/>
        <w:jc w:val="center"/>
        <w:rPr>
          <w:rFonts w:eastAsia="Calibri" w:cs="Calibri"/>
          <w:b/>
        </w:rPr>
      </w:pPr>
      <w:r w:rsidRPr="006B0525">
        <w:rPr>
          <w:rFonts w:eastAsia="Calibri"/>
          <w:b/>
        </w:rPr>
        <w:t>CORTE INTERAMERICANA DE DERECHOS HUMANOS</w:t>
      </w:r>
      <w:r w:rsidR="00562B60" w:rsidRPr="006B0525">
        <w:rPr>
          <w:rStyle w:val="Refdenotaalpie"/>
          <w:rFonts w:eastAsia="Calibri" w:cs="Calibri"/>
          <w:b/>
        </w:rPr>
        <w:footnoteReference w:customMarkFollows="1" w:id="1"/>
        <w:t>*</w:t>
      </w:r>
    </w:p>
    <w:p w14:paraId="2DE10330" w14:textId="77777777" w:rsidR="00467516" w:rsidRPr="006B0525" w:rsidRDefault="00467516" w:rsidP="00121688">
      <w:pPr>
        <w:spacing w:line="240" w:lineRule="auto"/>
        <w:jc w:val="center"/>
        <w:rPr>
          <w:rFonts w:eastAsia="Calibri"/>
          <w:b/>
          <w:snapToGrid w:val="0"/>
          <w:lang w:eastAsia="es-ES"/>
        </w:rPr>
      </w:pPr>
    </w:p>
    <w:p w14:paraId="2C440D26" w14:textId="77777777" w:rsidR="00467516" w:rsidRPr="006B0525" w:rsidRDefault="00D600E6" w:rsidP="00121688">
      <w:pPr>
        <w:spacing w:line="240" w:lineRule="auto"/>
        <w:jc w:val="center"/>
        <w:rPr>
          <w:rFonts w:eastAsia="Calibri"/>
          <w:b/>
        </w:rPr>
      </w:pPr>
      <w:r>
        <w:rPr>
          <w:rFonts w:eastAsia="Calibri"/>
          <w:b/>
        </w:rPr>
        <w:t>CASO RODRÍ</w:t>
      </w:r>
      <w:r w:rsidR="00467516" w:rsidRPr="006B0525">
        <w:rPr>
          <w:rFonts w:eastAsia="Calibri"/>
          <w:b/>
        </w:rPr>
        <w:t>GUE</w:t>
      </w:r>
      <w:r w:rsidR="00A41AF7" w:rsidRPr="006B0525">
        <w:rPr>
          <w:rFonts w:eastAsia="Calibri"/>
          <w:b/>
        </w:rPr>
        <w:t>Z</w:t>
      </w:r>
      <w:r w:rsidR="00467516" w:rsidRPr="006B0525">
        <w:rPr>
          <w:rFonts w:eastAsia="Calibri"/>
          <w:b/>
        </w:rPr>
        <w:t xml:space="preserve"> REVOLORIO Y OTROS</w:t>
      </w:r>
      <w:r w:rsidR="00467516" w:rsidRPr="006B0525">
        <w:rPr>
          <w:rFonts w:eastAsia="Calibri"/>
          <w:b/>
          <w:i/>
        </w:rPr>
        <w:t xml:space="preserve"> VS</w:t>
      </w:r>
      <w:r w:rsidR="00467516" w:rsidRPr="006B0525">
        <w:rPr>
          <w:rFonts w:eastAsia="Calibri"/>
          <w:b/>
        </w:rPr>
        <w:t>. GUATEMALA</w:t>
      </w:r>
    </w:p>
    <w:p w14:paraId="49B933EF" w14:textId="77777777" w:rsidR="00467516" w:rsidRPr="006B0525" w:rsidRDefault="00467516" w:rsidP="00121688">
      <w:pPr>
        <w:spacing w:line="240" w:lineRule="auto"/>
        <w:jc w:val="center"/>
        <w:rPr>
          <w:rFonts w:eastAsia="Calibri"/>
          <w:b/>
          <w:snapToGrid w:val="0"/>
          <w:lang w:eastAsia="es-ES"/>
        </w:rPr>
      </w:pPr>
    </w:p>
    <w:p w14:paraId="610A3C74" w14:textId="77777777" w:rsidR="00467516" w:rsidRPr="006B0525" w:rsidRDefault="00467516" w:rsidP="00121688">
      <w:pPr>
        <w:spacing w:line="240" w:lineRule="auto"/>
        <w:jc w:val="center"/>
        <w:rPr>
          <w:rFonts w:eastAsia="Calibri"/>
          <w:b/>
          <w:snapToGrid w:val="0"/>
          <w:lang w:eastAsia="es-ES"/>
        </w:rPr>
      </w:pPr>
      <w:r w:rsidRPr="006B0525">
        <w:rPr>
          <w:rFonts w:eastAsia="Calibri"/>
          <w:b/>
          <w:snapToGrid w:val="0"/>
          <w:lang w:eastAsia="es-ES"/>
        </w:rPr>
        <w:t xml:space="preserve">SENTENCIA DE </w:t>
      </w:r>
      <w:r w:rsidR="00DE6A80">
        <w:rPr>
          <w:rFonts w:eastAsia="Calibri"/>
          <w:b/>
          <w:snapToGrid w:val="0"/>
          <w:lang w:eastAsia="es-ES"/>
        </w:rPr>
        <w:t>14</w:t>
      </w:r>
      <w:r w:rsidRPr="006B0525">
        <w:rPr>
          <w:rFonts w:eastAsia="Calibri"/>
          <w:b/>
          <w:snapToGrid w:val="0"/>
          <w:lang w:eastAsia="es-ES"/>
        </w:rPr>
        <w:t xml:space="preserve"> DE </w:t>
      </w:r>
      <w:r w:rsidR="00DE6A80">
        <w:rPr>
          <w:rFonts w:eastAsia="Calibri"/>
          <w:b/>
          <w:snapToGrid w:val="0"/>
          <w:lang w:eastAsia="es-ES"/>
        </w:rPr>
        <w:t>OCTUBRE</w:t>
      </w:r>
      <w:r w:rsidRPr="006B0525">
        <w:rPr>
          <w:rFonts w:eastAsia="Calibri"/>
          <w:b/>
          <w:snapToGrid w:val="0"/>
          <w:lang w:eastAsia="es-ES"/>
        </w:rPr>
        <w:t xml:space="preserve"> DE 2019</w:t>
      </w:r>
    </w:p>
    <w:p w14:paraId="60BE05CE" w14:textId="77777777" w:rsidR="00467516" w:rsidRPr="006B0525" w:rsidRDefault="00467516" w:rsidP="00121688">
      <w:pPr>
        <w:spacing w:line="240" w:lineRule="auto"/>
        <w:jc w:val="center"/>
        <w:rPr>
          <w:rFonts w:eastAsia="Calibri"/>
          <w:b/>
          <w:snapToGrid w:val="0"/>
          <w:lang w:eastAsia="es-ES"/>
        </w:rPr>
      </w:pPr>
    </w:p>
    <w:p w14:paraId="74F19D9A" w14:textId="77777777" w:rsidR="00467516" w:rsidRPr="006B0525" w:rsidRDefault="00467516" w:rsidP="00121688">
      <w:pPr>
        <w:spacing w:line="240" w:lineRule="auto"/>
        <w:jc w:val="center"/>
        <w:rPr>
          <w:rFonts w:eastAsia="Calibri"/>
          <w:b/>
          <w:caps/>
          <w:snapToGrid w:val="0"/>
          <w:lang w:eastAsia="es-ES"/>
        </w:rPr>
      </w:pPr>
      <w:r w:rsidRPr="006B0525">
        <w:rPr>
          <w:rFonts w:eastAsia="Calibri"/>
          <w:b/>
          <w:snapToGrid w:val="0"/>
          <w:lang w:eastAsia="es-ES"/>
        </w:rPr>
        <w:t>(Excepción Preliminar, Fondo, Reparaciones y Costas)</w:t>
      </w:r>
    </w:p>
    <w:p w14:paraId="7438211E" w14:textId="77777777" w:rsidR="00467516" w:rsidRPr="006B0525" w:rsidRDefault="00467516" w:rsidP="00530549">
      <w:pPr>
        <w:spacing w:line="240" w:lineRule="auto"/>
        <w:rPr>
          <w:rFonts w:eastAsia="Calibri"/>
        </w:rPr>
      </w:pPr>
      <w:r w:rsidRPr="006B0525">
        <w:rPr>
          <w:rFonts w:eastAsia="Calibri"/>
        </w:rPr>
        <w:tab/>
      </w:r>
    </w:p>
    <w:p w14:paraId="285B65A0" w14:textId="77777777" w:rsidR="00467516" w:rsidRPr="006B0525" w:rsidRDefault="00467516" w:rsidP="00530549">
      <w:pPr>
        <w:spacing w:line="240" w:lineRule="auto"/>
        <w:rPr>
          <w:rFonts w:eastAsia="Calibri"/>
        </w:rPr>
      </w:pPr>
    </w:p>
    <w:p w14:paraId="555669FD" w14:textId="77777777" w:rsidR="008A431D" w:rsidRPr="006B0525" w:rsidRDefault="008A431D" w:rsidP="00530549">
      <w:pPr>
        <w:spacing w:line="240" w:lineRule="auto"/>
        <w:rPr>
          <w:rFonts w:eastAsia="Verdana"/>
        </w:rPr>
      </w:pPr>
      <w:r w:rsidRPr="006B0525">
        <w:rPr>
          <w:rFonts w:eastAsia="Verdana"/>
        </w:rPr>
        <w:t xml:space="preserve">En el caso </w:t>
      </w:r>
      <w:r w:rsidRPr="006B0525">
        <w:rPr>
          <w:rFonts w:eastAsia="Verdana"/>
          <w:i/>
        </w:rPr>
        <w:t>Rodríguez Revolorio y otros</w:t>
      </w:r>
      <w:r w:rsidRPr="006B0525">
        <w:rPr>
          <w:rFonts w:eastAsia="Verdana"/>
        </w:rPr>
        <w:t>,</w:t>
      </w:r>
    </w:p>
    <w:p w14:paraId="6F2CF7F5" w14:textId="77777777" w:rsidR="008A431D" w:rsidRPr="006B0525" w:rsidRDefault="008A431D" w:rsidP="00530549">
      <w:pPr>
        <w:spacing w:line="240" w:lineRule="auto"/>
        <w:rPr>
          <w:rFonts w:eastAsia="Calibri"/>
        </w:rPr>
      </w:pPr>
    </w:p>
    <w:p w14:paraId="2B31652C" w14:textId="77777777" w:rsidR="008A431D" w:rsidRPr="006B0525" w:rsidRDefault="008A431D" w:rsidP="00530549">
      <w:pPr>
        <w:spacing w:line="240" w:lineRule="auto"/>
        <w:rPr>
          <w:rFonts w:eastAsia="Calibri"/>
        </w:rPr>
      </w:pPr>
      <w:r w:rsidRPr="006B0525">
        <w:rPr>
          <w:rFonts w:eastAsia="Calibri"/>
        </w:rPr>
        <w:t>la Corte Interamericana de Derechos Humanos (en adelante “la Corte Interamericana”, “la Corte” o “este Tribunal”), integrada por los siguientes jueces:</w:t>
      </w:r>
      <w:r w:rsidRPr="006B0525">
        <w:rPr>
          <w:rFonts w:eastAsia="Calibri"/>
        </w:rPr>
        <w:tab/>
      </w:r>
    </w:p>
    <w:p w14:paraId="21030381" w14:textId="77777777" w:rsidR="008A431D" w:rsidRPr="006B0525" w:rsidRDefault="008A431D" w:rsidP="00530549">
      <w:pPr>
        <w:spacing w:line="240" w:lineRule="auto"/>
        <w:rPr>
          <w:rFonts w:eastAsia="Calibri"/>
        </w:rPr>
      </w:pPr>
    </w:p>
    <w:p w14:paraId="0BAA4063" w14:textId="77777777" w:rsidR="008A431D" w:rsidRPr="006B0525" w:rsidRDefault="008A431D" w:rsidP="00530549">
      <w:pPr>
        <w:spacing w:line="240" w:lineRule="auto"/>
        <w:rPr>
          <w:rFonts w:eastAsia="Calibri"/>
        </w:rPr>
      </w:pPr>
      <w:r w:rsidRPr="006B0525">
        <w:rPr>
          <w:rFonts w:eastAsia="Calibri"/>
        </w:rPr>
        <w:t>Eduardo Ferrer Mac-</w:t>
      </w:r>
      <w:proofErr w:type="spellStart"/>
      <w:r w:rsidRPr="006B0525">
        <w:rPr>
          <w:rFonts w:eastAsia="Calibri"/>
        </w:rPr>
        <w:t>Gregor</w:t>
      </w:r>
      <w:proofErr w:type="spellEnd"/>
      <w:r w:rsidRPr="006B0525">
        <w:rPr>
          <w:rFonts w:eastAsia="Calibri"/>
        </w:rPr>
        <w:t xml:space="preserve"> </w:t>
      </w:r>
      <w:proofErr w:type="spellStart"/>
      <w:r w:rsidRPr="006B0525">
        <w:rPr>
          <w:rFonts w:eastAsia="Calibri"/>
        </w:rPr>
        <w:t>Poisot</w:t>
      </w:r>
      <w:proofErr w:type="spellEnd"/>
      <w:r w:rsidRPr="006B0525">
        <w:rPr>
          <w:rFonts w:eastAsia="Calibri"/>
        </w:rPr>
        <w:t xml:space="preserve">, </w:t>
      </w:r>
      <w:proofErr w:type="gramStart"/>
      <w:r w:rsidRPr="006B0525">
        <w:rPr>
          <w:rFonts w:eastAsia="Calibri"/>
        </w:rPr>
        <w:t>Presidente</w:t>
      </w:r>
      <w:proofErr w:type="gramEnd"/>
      <w:r w:rsidRPr="006B0525">
        <w:rPr>
          <w:rFonts w:eastAsia="Calibri"/>
        </w:rPr>
        <w:t>;</w:t>
      </w:r>
    </w:p>
    <w:p w14:paraId="1D74C53F" w14:textId="77777777" w:rsidR="008A431D" w:rsidRPr="006B0525" w:rsidRDefault="008A431D" w:rsidP="00530549">
      <w:pPr>
        <w:spacing w:line="240" w:lineRule="auto"/>
        <w:rPr>
          <w:rFonts w:eastAsia="Calibri"/>
        </w:rPr>
      </w:pPr>
      <w:r w:rsidRPr="006B0525">
        <w:rPr>
          <w:rFonts w:eastAsia="Calibri"/>
        </w:rPr>
        <w:t xml:space="preserve">Eduardo Vio Grossi, </w:t>
      </w:r>
      <w:proofErr w:type="gramStart"/>
      <w:r w:rsidRPr="006B0525">
        <w:rPr>
          <w:rFonts w:eastAsia="Calibri"/>
        </w:rPr>
        <w:t>Vicepresidente</w:t>
      </w:r>
      <w:proofErr w:type="gramEnd"/>
      <w:r w:rsidRPr="006B0525">
        <w:rPr>
          <w:rFonts w:eastAsia="Calibri"/>
        </w:rPr>
        <w:t>;</w:t>
      </w:r>
    </w:p>
    <w:p w14:paraId="23BFCCF8" w14:textId="77777777" w:rsidR="008A431D" w:rsidRPr="006B0525" w:rsidRDefault="008A431D" w:rsidP="00530549">
      <w:pPr>
        <w:spacing w:line="240" w:lineRule="auto"/>
        <w:rPr>
          <w:rFonts w:eastAsia="Calibri"/>
        </w:rPr>
      </w:pPr>
      <w:r w:rsidRPr="006B0525">
        <w:rPr>
          <w:rFonts w:eastAsia="Calibri"/>
        </w:rPr>
        <w:t>Humberto Antonio Sierra Porto, Juez;</w:t>
      </w:r>
    </w:p>
    <w:p w14:paraId="1026F9B9" w14:textId="77777777" w:rsidR="008A431D" w:rsidRPr="006B0525" w:rsidRDefault="008A431D" w:rsidP="00530549">
      <w:pPr>
        <w:spacing w:line="240" w:lineRule="auto"/>
        <w:rPr>
          <w:rFonts w:eastAsia="Calibri"/>
        </w:rPr>
      </w:pPr>
      <w:r w:rsidRPr="006B0525">
        <w:rPr>
          <w:rFonts w:eastAsia="Calibri"/>
        </w:rPr>
        <w:t>Elizabeth Odio Benito, Jueza;</w:t>
      </w:r>
    </w:p>
    <w:p w14:paraId="4246E774" w14:textId="77777777" w:rsidR="008A431D" w:rsidRPr="006B0525" w:rsidRDefault="008A431D" w:rsidP="00530549">
      <w:pPr>
        <w:spacing w:line="240" w:lineRule="auto"/>
        <w:rPr>
          <w:rFonts w:eastAsia="Calibri"/>
        </w:rPr>
      </w:pPr>
      <w:r w:rsidRPr="006B0525">
        <w:rPr>
          <w:rFonts w:eastAsia="Calibri"/>
        </w:rPr>
        <w:t xml:space="preserve">L. Patricio Pazmiño Freire, Juez, y </w:t>
      </w:r>
    </w:p>
    <w:p w14:paraId="352A1E4A" w14:textId="77777777" w:rsidR="008A431D" w:rsidRPr="006B0525" w:rsidRDefault="008A431D" w:rsidP="00530549">
      <w:pPr>
        <w:spacing w:line="240" w:lineRule="auto"/>
        <w:rPr>
          <w:rFonts w:eastAsia="Calibri"/>
        </w:rPr>
      </w:pPr>
      <w:r w:rsidRPr="006B0525">
        <w:rPr>
          <w:rFonts w:eastAsia="Calibri"/>
        </w:rPr>
        <w:t>Ricardo Pérez Manrique, Juez;</w:t>
      </w:r>
    </w:p>
    <w:p w14:paraId="2BD8CBDC" w14:textId="77777777" w:rsidR="008A431D" w:rsidRPr="006B0525" w:rsidRDefault="008A431D" w:rsidP="00530549">
      <w:pPr>
        <w:spacing w:line="240" w:lineRule="auto"/>
        <w:rPr>
          <w:rFonts w:eastAsia="Calibri"/>
        </w:rPr>
      </w:pPr>
    </w:p>
    <w:p w14:paraId="37117BA2" w14:textId="77777777" w:rsidR="008A431D" w:rsidRPr="006B0525" w:rsidRDefault="008A431D" w:rsidP="00530549">
      <w:pPr>
        <w:spacing w:line="240" w:lineRule="auto"/>
        <w:rPr>
          <w:rFonts w:eastAsia="Calibri"/>
        </w:rPr>
      </w:pPr>
      <w:proofErr w:type="gramStart"/>
      <w:r w:rsidRPr="006B0525">
        <w:rPr>
          <w:rFonts w:eastAsia="Calibri"/>
        </w:rPr>
        <w:t>presente</w:t>
      </w:r>
      <w:proofErr w:type="gramEnd"/>
      <w:r w:rsidRPr="006B0525">
        <w:rPr>
          <w:rFonts w:eastAsia="Calibri"/>
        </w:rPr>
        <w:t xml:space="preserve"> además,</w:t>
      </w:r>
    </w:p>
    <w:p w14:paraId="34C0BEFC" w14:textId="77777777" w:rsidR="008A431D" w:rsidRPr="006B0525" w:rsidRDefault="008A431D" w:rsidP="00530549">
      <w:pPr>
        <w:spacing w:line="240" w:lineRule="auto"/>
        <w:rPr>
          <w:rFonts w:eastAsia="Calibri"/>
        </w:rPr>
      </w:pPr>
    </w:p>
    <w:p w14:paraId="616B87D0" w14:textId="77777777" w:rsidR="008A431D" w:rsidRPr="006B0525" w:rsidRDefault="008A431D" w:rsidP="00530549">
      <w:pPr>
        <w:spacing w:line="240" w:lineRule="auto"/>
        <w:rPr>
          <w:rFonts w:eastAsia="Calibri"/>
        </w:rPr>
      </w:pPr>
      <w:r w:rsidRPr="006B0525">
        <w:rPr>
          <w:rFonts w:eastAsia="Calibri"/>
        </w:rPr>
        <w:t xml:space="preserve">Pablo Saavedra Alessandri, </w:t>
      </w:r>
      <w:proofErr w:type="gramStart"/>
      <w:r w:rsidRPr="006B0525">
        <w:rPr>
          <w:rFonts w:eastAsia="Calibri"/>
        </w:rPr>
        <w:t>Secretario</w:t>
      </w:r>
      <w:proofErr w:type="gramEnd"/>
      <w:r w:rsidRPr="006B0525">
        <w:rPr>
          <w:rFonts w:eastAsia="Calibri"/>
        </w:rPr>
        <w:t xml:space="preserve">, </w:t>
      </w:r>
    </w:p>
    <w:p w14:paraId="75460E3A" w14:textId="77777777" w:rsidR="008A431D" w:rsidRPr="006B0525" w:rsidRDefault="008A431D" w:rsidP="00530549">
      <w:pPr>
        <w:spacing w:line="240" w:lineRule="auto"/>
        <w:rPr>
          <w:rFonts w:eastAsia="Calibri"/>
        </w:rPr>
      </w:pPr>
    </w:p>
    <w:p w14:paraId="1B9CB4D8" w14:textId="77777777" w:rsidR="008A431D" w:rsidRPr="006B0525" w:rsidRDefault="008A431D" w:rsidP="00530549">
      <w:pPr>
        <w:spacing w:line="240" w:lineRule="auto"/>
        <w:rPr>
          <w:rFonts w:eastAsia="Calibri"/>
        </w:rPr>
      </w:pPr>
      <w:r w:rsidRPr="006B0525">
        <w:rPr>
          <w:rFonts w:eastAsia="Calibri"/>
        </w:rPr>
        <w:t>de conformidad con los artículos 62.3 y 63.1 de la Convención Americana sobre Derechos Humanos (en adelante “la Convención Americana” o “la Convención”) y con los artículos 31, 32, 62, 65 y 67 del Reglamento de la Corte (en adelante “el Reglamento” o “el Reglamento de la Corte”), dicta la presente Sentencia, que se estructura en el siguiente orden:</w:t>
      </w:r>
    </w:p>
    <w:p w14:paraId="65D279FD" w14:textId="77777777" w:rsidR="008A431D" w:rsidRPr="006B0525" w:rsidRDefault="008A431D" w:rsidP="00530549">
      <w:pPr>
        <w:spacing w:line="240" w:lineRule="auto"/>
        <w:rPr>
          <w:rFonts w:eastAsia="Verdana"/>
        </w:rPr>
      </w:pPr>
      <w:r w:rsidRPr="006B0525">
        <w:rPr>
          <w:rFonts w:eastAsia="Verdana"/>
        </w:rPr>
        <w:br w:type="page"/>
      </w:r>
    </w:p>
    <w:sdt>
      <w:sdtPr>
        <w:rPr>
          <w:rFonts w:eastAsia="Times New Roman"/>
          <w:b w:val="0"/>
          <w:bCs/>
          <w:caps/>
          <w:noProof w:val="0"/>
          <w:sz w:val="19"/>
          <w:szCs w:val="19"/>
        </w:rPr>
        <w:id w:val="1909802414"/>
        <w:docPartObj>
          <w:docPartGallery w:val="Table of Contents"/>
          <w:docPartUnique/>
        </w:docPartObj>
      </w:sdtPr>
      <w:sdtEndPr>
        <w:rPr>
          <w:bCs w:val="0"/>
          <w:caps w:val="0"/>
          <w:sz w:val="20"/>
          <w:szCs w:val="20"/>
        </w:rPr>
      </w:sdtEndPr>
      <w:sdtContent>
        <w:p w14:paraId="569ECF9A" w14:textId="1762BAC1" w:rsidR="005339D7" w:rsidRDefault="00467516">
          <w:pPr>
            <w:pStyle w:val="TDC1"/>
            <w:rPr>
              <w:rFonts w:asciiTheme="minorHAnsi" w:eastAsiaTheme="minorEastAsia" w:hAnsiTheme="minorHAnsi" w:cstheme="minorBidi"/>
              <w:b w:val="0"/>
              <w:sz w:val="22"/>
              <w:szCs w:val="22"/>
              <w:lang w:val="en-US" w:eastAsia="en-US"/>
            </w:rPr>
          </w:pPr>
          <w:r w:rsidRPr="006B0525">
            <w:rPr>
              <w:sz w:val="19"/>
              <w:szCs w:val="19"/>
            </w:rPr>
            <w:fldChar w:fldCharType="begin"/>
          </w:r>
          <w:r w:rsidRPr="006B0525">
            <w:rPr>
              <w:sz w:val="19"/>
              <w:szCs w:val="19"/>
            </w:rPr>
            <w:instrText xml:space="preserve"> TOC \o "1-3" \h \z \u </w:instrText>
          </w:r>
          <w:r w:rsidRPr="006B0525">
            <w:rPr>
              <w:sz w:val="19"/>
              <w:szCs w:val="19"/>
            </w:rPr>
            <w:fldChar w:fldCharType="separate"/>
          </w:r>
          <w:hyperlink w:anchor="_Toc26177788" w:history="1">
            <w:r w:rsidR="005339D7" w:rsidRPr="00AE55DC">
              <w:rPr>
                <w:rStyle w:val="Hipervnculo"/>
              </w:rPr>
              <w:t>I INTRODUCCIÓN DE LA CAUSA Y OBJETO DE LA CONTROVERSIA</w:t>
            </w:r>
            <w:r w:rsidR="005339D7">
              <w:rPr>
                <w:webHidden/>
              </w:rPr>
              <w:tab/>
            </w:r>
            <w:r w:rsidR="005339D7">
              <w:rPr>
                <w:webHidden/>
              </w:rPr>
              <w:fldChar w:fldCharType="begin"/>
            </w:r>
            <w:r w:rsidR="005339D7">
              <w:rPr>
                <w:webHidden/>
              </w:rPr>
              <w:instrText xml:space="preserve"> PAGEREF _Toc26177788 \h </w:instrText>
            </w:r>
            <w:r w:rsidR="005339D7">
              <w:rPr>
                <w:webHidden/>
              </w:rPr>
            </w:r>
            <w:r w:rsidR="005339D7">
              <w:rPr>
                <w:webHidden/>
              </w:rPr>
              <w:fldChar w:fldCharType="separate"/>
            </w:r>
            <w:r w:rsidR="00C11457">
              <w:rPr>
                <w:webHidden/>
              </w:rPr>
              <w:t>4</w:t>
            </w:r>
            <w:r w:rsidR="005339D7">
              <w:rPr>
                <w:webHidden/>
              </w:rPr>
              <w:fldChar w:fldCharType="end"/>
            </w:r>
          </w:hyperlink>
        </w:p>
        <w:p w14:paraId="258F27FB" w14:textId="794B6139" w:rsidR="005339D7" w:rsidRDefault="00C11457">
          <w:pPr>
            <w:pStyle w:val="TDC1"/>
            <w:rPr>
              <w:rFonts w:asciiTheme="minorHAnsi" w:eastAsiaTheme="minorEastAsia" w:hAnsiTheme="minorHAnsi" w:cstheme="minorBidi"/>
              <w:b w:val="0"/>
              <w:sz w:val="22"/>
              <w:szCs w:val="22"/>
              <w:lang w:val="en-US" w:eastAsia="en-US"/>
            </w:rPr>
          </w:pPr>
          <w:hyperlink w:anchor="_Toc26177789" w:history="1">
            <w:r w:rsidR="005339D7" w:rsidRPr="00AE55DC">
              <w:rPr>
                <w:rStyle w:val="Hipervnculo"/>
              </w:rPr>
              <w:t>II PROCEDIMIENTO ANTE LA CORTE</w:t>
            </w:r>
            <w:r w:rsidR="005339D7">
              <w:rPr>
                <w:webHidden/>
              </w:rPr>
              <w:tab/>
            </w:r>
            <w:r w:rsidR="005339D7">
              <w:rPr>
                <w:webHidden/>
              </w:rPr>
              <w:fldChar w:fldCharType="begin"/>
            </w:r>
            <w:r w:rsidR="005339D7">
              <w:rPr>
                <w:webHidden/>
              </w:rPr>
              <w:instrText xml:space="preserve"> PAGEREF _Toc26177789 \h </w:instrText>
            </w:r>
            <w:r w:rsidR="005339D7">
              <w:rPr>
                <w:webHidden/>
              </w:rPr>
            </w:r>
            <w:r w:rsidR="005339D7">
              <w:rPr>
                <w:webHidden/>
              </w:rPr>
              <w:fldChar w:fldCharType="separate"/>
            </w:r>
            <w:r>
              <w:rPr>
                <w:webHidden/>
              </w:rPr>
              <w:t>5</w:t>
            </w:r>
            <w:r w:rsidR="005339D7">
              <w:rPr>
                <w:webHidden/>
              </w:rPr>
              <w:fldChar w:fldCharType="end"/>
            </w:r>
          </w:hyperlink>
        </w:p>
        <w:p w14:paraId="7FFD8446" w14:textId="63850742" w:rsidR="005339D7" w:rsidRDefault="00C11457">
          <w:pPr>
            <w:pStyle w:val="TDC1"/>
            <w:rPr>
              <w:rFonts w:asciiTheme="minorHAnsi" w:eastAsiaTheme="minorEastAsia" w:hAnsiTheme="minorHAnsi" w:cstheme="minorBidi"/>
              <w:b w:val="0"/>
              <w:sz w:val="22"/>
              <w:szCs w:val="22"/>
              <w:lang w:val="en-US" w:eastAsia="en-US"/>
            </w:rPr>
          </w:pPr>
          <w:hyperlink w:anchor="_Toc26177790" w:history="1">
            <w:r w:rsidR="005339D7" w:rsidRPr="00AE55DC">
              <w:rPr>
                <w:rStyle w:val="Hipervnculo"/>
              </w:rPr>
              <w:t>III COMPETENCIA</w:t>
            </w:r>
            <w:r w:rsidR="005339D7">
              <w:rPr>
                <w:webHidden/>
              </w:rPr>
              <w:tab/>
            </w:r>
            <w:r w:rsidR="005339D7">
              <w:rPr>
                <w:webHidden/>
              </w:rPr>
              <w:fldChar w:fldCharType="begin"/>
            </w:r>
            <w:r w:rsidR="005339D7">
              <w:rPr>
                <w:webHidden/>
              </w:rPr>
              <w:instrText xml:space="preserve"> PAGEREF _Toc26177790 \h </w:instrText>
            </w:r>
            <w:r w:rsidR="005339D7">
              <w:rPr>
                <w:webHidden/>
              </w:rPr>
            </w:r>
            <w:r w:rsidR="005339D7">
              <w:rPr>
                <w:webHidden/>
              </w:rPr>
              <w:fldChar w:fldCharType="separate"/>
            </w:r>
            <w:r>
              <w:rPr>
                <w:webHidden/>
              </w:rPr>
              <w:t>6</w:t>
            </w:r>
            <w:r w:rsidR="005339D7">
              <w:rPr>
                <w:webHidden/>
              </w:rPr>
              <w:fldChar w:fldCharType="end"/>
            </w:r>
          </w:hyperlink>
        </w:p>
        <w:p w14:paraId="3BC86532" w14:textId="6819C911" w:rsidR="005339D7" w:rsidRDefault="00C11457">
          <w:pPr>
            <w:pStyle w:val="TDC1"/>
            <w:rPr>
              <w:rFonts w:asciiTheme="minorHAnsi" w:eastAsiaTheme="minorEastAsia" w:hAnsiTheme="minorHAnsi" w:cstheme="minorBidi"/>
              <w:b w:val="0"/>
              <w:sz w:val="22"/>
              <w:szCs w:val="22"/>
              <w:lang w:val="en-US" w:eastAsia="en-US"/>
            </w:rPr>
          </w:pPr>
          <w:hyperlink w:anchor="_Toc26177791" w:history="1">
            <w:r w:rsidR="005339D7" w:rsidRPr="00AE55DC">
              <w:rPr>
                <w:rStyle w:val="Hipervnculo"/>
              </w:rPr>
              <w:t>IV EXCEPCIÓN PRELIMINAR</w:t>
            </w:r>
            <w:r w:rsidR="005339D7">
              <w:rPr>
                <w:webHidden/>
              </w:rPr>
              <w:tab/>
            </w:r>
            <w:r w:rsidR="005339D7">
              <w:rPr>
                <w:webHidden/>
              </w:rPr>
              <w:fldChar w:fldCharType="begin"/>
            </w:r>
            <w:r w:rsidR="005339D7">
              <w:rPr>
                <w:webHidden/>
              </w:rPr>
              <w:instrText xml:space="preserve"> PAGEREF _Toc26177791 \h </w:instrText>
            </w:r>
            <w:r w:rsidR="005339D7">
              <w:rPr>
                <w:webHidden/>
              </w:rPr>
            </w:r>
            <w:r w:rsidR="005339D7">
              <w:rPr>
                <w:webHidden/>
              </w:rPr>
              <w:fldChar w:fldCharType="separate"/>
            </w:r>
            <w:r>
              <w:rPr>
                <w:webHidden/>
              </w:rPr>
              <w:t>6</w:t>
            </w:r>
            <w:r w:rsidR="005339D7">
              <w:rPr>
                <w:webHidden/>
              </w:rPr>
              <w:fldChar w:fldCharType="end"/>
            </w:r>
          </w:hyperlink>
        </w:p>
        <w:p w14:paraId="11DEFB12" w14:textId="7730A148" w:rsidR="005339D7" w:rsidRDefault="00C11457">
          <w:pPr>
            <w:pStyle w:val="TDC2"/>
            <w:rPr>
              <w:rFonts w:asciiTheme="minorHAnsi" w:eastAsiaTheme="minorEastAsia" w:hAnsiTheme="minorHAnsi" w:cstheme="minorBidi"/>
              <w:noProof/>
              <w:sz w:val="22"/>
              <w:szCs w:val="22"/>
              <w:lang w:val="en-US" w:eastAsia="en-US"/>
            </w:rPr>
          </w:pPr>
          <w:hyperlink w:anchor="_Toc26177792" w:history="1">
            <w:r w:rsidR="005339D7" w:rsidRPr="00AE55DC">
              <w:rPr>
                <w:rStyle w:val="Hipervnculo"/>
                <w:noProof/>
              </w:rPr>
              <w:t>A.</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Alegatos de las partes y de la Comisión</w:t>
            </w:r>
            <w:r w:rsidR="005339D7">
              <w:rPr>
                <w:noProof/>
                <w:webHidden/>
              </w:rPr>
              <w:tab/>
            </w:r>
            <w:r w:rsidR="005339D7">
              <w:rPr>
                <w:noProof/>
                <w:webHidden/>
              </w:rPr>
              <w:fldChar w:fldCharType="begin"/>
            </w:r>
            <w:r w:rsidR="005339D7">
              <w:rPr>
                <w:noProof/>
                <w:webHidden/>
              </w:rPr>
              <w:instrText xml:space="preserve"> PAGEREF _Toc26177792 \h </w:instrText>
            </w:r>
            <w:r w:rsidR="005339D7">
              <w:rPr>
                <w:noProof/>
                <w:webHidden/>
              </w:rPr>
            </w:r>
            <w:r w:rsidR="005339D7">
              <w:rPr>
                <w:noProof/>
                <w:webHidden/>
              </w:rPr>
              <w:fldChar w:fldCharType="separate"/>
            </w:r>
            <w:r>
              <w:rPr>
                <w:noProof/>
                <w:webHidden/>
              </w:rPr>
              <w:t>6</w:t>
            </w:r>
            <w:r w:rsidR="005339D7">
              <w:rPr>
                <w:noProof/>
                <w:webHidden/>
              </w:rPr>
              <w:fldChar w:fldCharType="end"/>
            </w:r>
          </w:hyperlink>
        </w:p>
        <w:p w14:paraId="32529517" w14:textId="1547EBDD" w:rsidR="005339D7" w:rsidRDefault="00C11457">
          <w:pPr>
            <w:pStyle w:val="TDC2"/>
            <w:rPr>
              <w:rFonts w:asciiTheme="minorHAnsi" w:eastAsiaTheme="minorEastAsia" w:hAnsiTheme="minorHAnsi" w:cstheme="minorBidi"/>
              <w:noProof/>
              <w:sz w:val="22"/>
              <w:szCs w:val="22"/>
              <w:lang w:val="en-US" w:eastAsia="en-US"/>
            </w:rPr>
          </w:pPr>
          <w:hyperlink w:anchor="_Toc26177793" w:history="1">
            <w:r w:rsidR="005339D7" w:rsidRPr="00AE55DC">
              <w:rPr>
                <w:rStyle w:val="Hipervnculo"/>
                <w:noProof/>
              </w:rPr>
              <w:t>B.</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Consideraciones de la Corte</w:t>
            </w:r>
            <w:r w:rsidR="005339D7">
              <w:rPr>
                <w:noProof/>
                <w:webHidden/>
              </w:rPr>
              <w:tab/>
            </w:r>
            <w:r w:rsidR="005339D7">
              <w:rPr>
                <w:noProof/>
                <w:webHidden/>
              </w:rPr>
              <w:fldChar w:fldCharType="begin"/>
            </w:r>
            <w:r w:rsidR="005339D7">
              <w:rPr>
                <w:noProof/>
                <w:webHidden/>
              </w:rPr>
              <w:instrText xml:space="preserve"> PAGEREF _Toc26177793 \h </w:instrText>
            </w:r>
            <w:r w:rsidR="005339D7">
              <w:rPr>
                <w:noProof/>
                <w:webHidden/>
              </w:rPr>
            </w:r>
            <w:r w:rsidR="005339D7">
              <w:rPr>
                <w:noProof/>
                <w:webHidden/>
              </w:rPr>
              <w:fldChar w:fldCharType="separate"/>
            </w:r>
            <w:r>
              <w:rPr>
                <w:noProof/>
                <w:webHidden/>
              </w:rPr>
              <w:t>7</w:t>
            </w:r>
            <w:r w:rsidR="005339D7">
              <w:rPr>
                <w:noProof/>
                <w:webHidden/>
              </w:rPr>
              <w:fldChar w:fldCharType="end"/>
            </w:r>
          </w:hyperlink>
        </w:p>
        <w:p w14:paraId="252E6BFF" w14:textId="6A33215D" w:rsidR="005339D7" w:rsidRDefault="00C11457">
          <w:pPr>
            <w:pStyle w:val="TDC1"/>
            <w:rPr>
              <w:rFonts w:asciiTheme="minorHAnsi" w:eastAsiaTheme="minorEastAsia" w:hAnsiTheme="minorHAnsi" w:cstheme="minorBidi"/>
              <w:b w:val="0"/>
              <w:sz w:val="22"/>
              <w:szCs w:val="22"/>
              <w:lang w:val="en-US" w:eastAsia="en-US"/>
            </w:rPr>
          </w:pPr>
          <w:hyperlink w:anchor="_Toc26177794" w:history="1">
            <w:r w:rsidR="005339D7" w:rsidRPr="00AE55DC">
              <w:rPr>
                <w:rStyle w:val="Hipervnculo"/>
              </w:rPr>
              <w:t>V CONSIDERACIONES PREVIAS</w:t>
            </w:r>
            <w:r w:rsidR="005339D7">
              <w:rPr>
                <w:webHidden/>
              </w:rPr>
              <w:tab/>
            </w:r>
            <w:r w:rsidR="005339D7">
              <w:rPr>
                <w:webHidden/>
              </w:rPr>
              <w:fldChar w:fldCharType="begin"/>
            </w:r>
            <w:r w:rsidR="005339D7">
              <w:rPr>
                <w:webHidden/>
              </w:rPr>
              <w:instrText xml:space="preserve"> PAGEREF _Toc26177794 \h </w:instrText>
            </w:r>
            <w:r w:rsidR="005339D7">
              <w:rPr>
                <w:webHidden/>
              </w:rPr>
            </w:r>
            <w:r w:rsidR="005339D7">
              <w:rPr>
                <w:webHidden/>
              </w:rPr>
              <w:fldChar w:fldCharType="separate"/>
            </w:r>
            <w:r>
              <w:rPr>
                <w:webHidden/>
              </w:rPr>
              <w:t>7</w:t>
            </w:r>
            <w:r w:rsidR="005339D7">
              <w:rPr>
                <w:webHidden/>
              </w:rPr>
              <w:fldChar w:fldCharType="end"/>
            </w:r>
          </w:hyperlink>
        </w:p>
        <w:p w14:paraId="00F1EAE9" w14:textId="322303AB" w:rsidR="005339D7" w:rsidRDefault="00C11457">
          <w:pPr>
            <w:pStyle w:val="TDC2"/>
            <w:rPr>
              <w:rFonts w:asciiTheme="minorHAnsi" w:eastAsiaTheme="minorEastAsia" w:hAnsiTheme="minorHAnsi" w:cstheme="minorBidi"/>
              <w:noProof/>
              <w:sz w:val="22"/>
              <w:szCs w:val="22"/>
              <w:lang w:val="en-US" w:eastAsia="en-US"/>
            </w:rPr>
          </w:pPr>
          <w:hyperlink w:anchor="_Toc26177795" w:history="1">
            <w:r w:rsidR="005339D7" w:rsidRPr="00AE55DC">
              <w:rPr>
                <w:rStyle w:val="Hipervnculo"/>
                <w:noProof/>
              </w:rPr>
              <w:t>A.</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Víctimas del presente caso</w:t>
            </w:r>
            <w:r w:rsidR="005339D7">
              <w:rPr>
                <w:noProof/>
                <w:webHidden/>
              </w:rPr>
              <w:tab/>
            </w:r>
            <w:r w:rsidR="005339D7">
              <w:rPr>
                <w:noProof/>
                <w:webHidden/>
              </w:rPr>
              <w:fldChar w:fldCharType="begin"/>
            </w:r>
            <w:r w:rsidR="005339D7">
              <w:rPr>
                <w:noProof/>
                <w:webHidden/>
              </w:rPr>
              <w:instrText xml:space="preserve"> PAGEREF _Toc26177795 \h </w:instrText>
            </w:r>
            <w:r w:rsidR="005339D7">
              <w:rPr>
                <w:noProof/>
                <w:webHidden/>
              </w:rPr>
            </w:r>
            <w:r w:rsidR="005339D7">
              <w:rPr>
                <w:noProof/>
                <w:webHidden/>
              </w:rPr>
              <w:fldChar w:fldCharType="separate"/>
            </w:r>
            <w:r>
              <w:rPr>
                <w:noProof/>
                <w:webHidden/>
              </w:rPr>
              <w:t>7</w:t>
            </w:r>
            <w:r w:rsidR="005339D7">
              <w:rPr>
                <w:noProof/>
                <w:webHidden/>
              </w:rPr>
              <w:fldChar w:fldCharType="end"/>
            </w:r>
          </w:hyperlink>
        </w:p>
        <w:p w14:paraId="5BCD94E1" w14:textId="1D976FED" w:rsidR="005339D7" w:rsidRDefault="00C11457">
          <w:pPr>
            <w:pStyle w:val="TDC2"/>
            <w:rPr>
              <w:rFonts w:asciiTheme="minorHAnsi" w:eastAsiaTheme="minorEastAsia" w:hAnsiTheme="minorHAnsi" w:cstheme="minorBidi"/>
              <w:noProof/>
              <w:sz w:val="22"/>
              <w:szCs w:val="22"/>
              <w:lang w:val="en-US" w:eastAsia="en-US"/>
            </w:rPr>
          </w:pPr>
          <w:hyperlink w:anchor="_Toc26177796" w:history="1">
            <w:r w:rsidR="005339D7" w:rsidRPr="00AE55DC">
              <w:rPr>
                <w:rStyle w:val="Hipervnculo"/>
                <w:noProof/>
              </w:rPr>
              <w:t>B.</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Determinación del marco fáctico</w:t>
            </w:r>
            <w:r w:rsidR="005339D7">
              <w:rPr>
                <w:noProof/>
                <w:webHidden/>
              </w:rPr>
              <w:tab/>
            </w:r>
            <w:r w:rsidR="005339D7">
              <w:rPr>
                <w:noProof/>
                <w:webHidden/>
              </w:rPr>
              <w:fldChar w:fldCharType="begin"/>
            </w:r>
            <w:r w:rsidR="005339D7">
              <w:rPr>
                <w:noProof/>
                <w:webHidden/>
              </w:rPr>
              <w:instrText xml:space="preserve"> PAGEREF _Toc26177796 \h </w:instrText>
            </w:r>
            <w:r w:rsidR="005339D7">
              <w:rPr>
                <w:noProof/>
                <w:webHidden/>
              </w:rPr>
            </w:r>
            <w:r w:rsidR="005339D7">
              <w:rPr>
                <w:noProof/>
                <w:webHidden/>
              </w:rPr>
              <w:fldChar w:fldCharType="separate"/>
            </w:r>
            <w:r>
              <w:rPr>
                <w:noProof/>
                <w:webHidden/>
              </w:rPr>
              <w:t>8</w:t>
            </w:r>
            <w:r w:rsidR="005339D7">
              <w:rPr>
                <w:noProof/>
                <w:webHidden/>
              </w:rPr>
              <w:fldChar w:fldCharType="end"/>
            </w:r>
          </w:hyperlink>
        </w:p>
        <w:p w14:paraId="78D56A55" w14:textId="0113D3C3" w:rsidR="005339D7" w:rsidRDefault="00C11457">
          <w:pPr>
            <w:pStyle w:val="TDC1"/>
            <w:rPr>
              <w:rFonts w:asciiTheme="minorHAnsi" w:eastAsiaTheme="minorEastAsia" w:hAnsiTheme="minorHAnsi" w:cstheme="minorBidi"/>
              <w:b w:val="0"/>
              <w:sz w:val="22"/>
              <w:szCs w:val="22"/>
              <w:lang w:val="en-US" w:eastAsia="en-US"/>
            </w:rPr>
          </w:pPr>
          <w:hyperlink w:anchor="_Toc26177797" w:history="1">
            <w:r w:rsidR="005339D7" w:rsidRPr="00AE55DC">
              <w:rPr>
                <w:rStyle w:val="Hipervnculo"/>
              </w:rPr>
              <w:t>VI PRUEBA</w:t>
            </w:r>
            <w:r w:rsidR="005339D7">
              <w:rPr>
                <w:webHidden/>
              </w:rPr>
              <w:tab/>
            </w:r>
            <w:r w:rsidR="005339D7">
              <w:rPr>
                <w:webHidden/>
              </w:rPr>
              <w:fldChar w:fldCharType="begin"/>
            </w:r>
            <w:r w:rsidR="005339D7">
              <w:rPr>
                <w:webHidden/>
              </w:rPr>
              <w:instrText xml:space="preserve"> PAGEREF _Toc26177797 \h </w:instrText>
            </w:r>
            <w:r w:rsidR="005339D7">
              <w:rPr>
                <w:webHidden/>
              </w:rPr>
            </w:r>
            <w:r w:rsidR="005339D7">
              <w:rPr>
                <w:webHidden/>
              </w:rPr>
              <w:fldChar w:fldCharType="separate"/>
            </w:r>
            <w:r>
              <w:rPr>
                <w:webHidden/>
              </w:rPr>
              <w:t>8</w:t>
            </w:r>
            <w:r w:rsidR="005339D7">
              <w:rPr>
                <w:webHidden/>
              </w:rPr>
              <w:fldChar w:fldCharType="end"/>
            </w:r>
          </w:hyperlink>
        </w:p>
        <w:p w14:paraId="2E5D2814" w14:textId="1C9C061E" w:rsidR="005339D7" w:rsidRDefault="00C11457">
          <w:pPr>
            <w:pStyle w:val="TDC2"/>
            <w:rPr>
              <w:rFonts w:asciiTheme="minorHAnsi" w:eastAsiaTheme="minorEastAsia" w:hAnsiTheme="minorHAnsi" w:cstheme="minorBidi"/>
              <w:noProof/>
              <w:sz w:val="22"/>
              <w:szCs w:val="22"/>
              <w:lang w:val="en-US" w:eastAsia="en-US"/>
            </w:rPr>
          </w:pPr>
          <w:hyperlink w:anchor="_Toc26177798" w:history="1">
            <w:r w:rsidR="005339D7" w:rsidRPr="00AE55DC">
              <w:rPr>
                <w:rStyle w:val="Hipervnculo"/>
                <w:noProof/>
              </w:rPr>
              <w:t>A.</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Admisibilidad de la prueba documental</w:t>
            </w:r>
            <w:r w:rsidR="005339D7">
              <w:rPr>
                <w:noProof/>
                <w:webHidden/>
              </w:rPr>
              <w:tab/>
            </w:r>
            <w:r w:rsidR="005339D7">
              <w:rPr>
                <w:noProof/>
                <w:webHidden/>
              </w:rPr>
              <w:fldChar w:fldCharType="begin"/>
            </w:r>
            <w:r w:rsidR="005339D7">
              <w:rPr>
                <w:noProof/>
                <w:webHidden/>
              </w:rPr>
              <w:instrText xml:space="preserve"> PAGEREF _Toc26177798 \h </w:instrText>
            </w:r>
            <w:r w:rsidR="005339D7">
              <w:rPr>
                <w:noProof/>
                <w:webHidden/>
              </w:rPr>
            </w:r>
            <w:r w:rsidR="005339D7">
              <w:rPr>
                <w:noProof/>
                <w:webHidden/>
              </w:rPr>
              <w:fldChar w:fldCharType="separate"/>
            </w:r>
            <w:r>
              <w:rPr>
                <w:noProof/>
                <w:webHidden/>
              </w:rPr>
              <w:t>8</w:t>
            </w:r>
            <w:r w:rsidR="005339D7">
              <w:rPr>
                <w:noProof/>
                <w:webHidden/>
              </w:rPr>
              <w:fldChar w:fldCharType="end"/>
            </w:r>
          </w:hyperlink>
        </w:p>
        <w:p w14:paraId="46D76201" w14:textId="1EDD52BD" w:rsidR="005339D7" w:rsidRDefault="00C11457">
          <w:pPr>
            <w:pStyle w:val="TDC2"/>
            <w:rPr>
              <w:rFonts w:asciiTheme="minorHAnsi" w:eastAsiaTheme="minorEastAsia" w:hAnsiTheme="minorHAnsi" w:cstheme="minorBidi"/>
              <w:noProof/>
              <w:sz w:val="22"/>
              <w:szCs w:val="22"/>
              <w:lang w:val="en-US" w:eastAsia="en-US"/>
            </w:rPr>
          </w:pPr>
          <w:hyperlink w:anchor="_Toc26177799" w:history="1">
            <w:r w:rsidR="005339D7" w:rsidRPr="00AE55DC">
              <w:rPr>
                <w:rStyle w:val="Hipervnculo"/>
                <w:noProof/>
              </w:rPr>
              <w:t>B.</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Admisibilidad de la prueba testimonial y pericial</w:t>
            </w:r>
            <w:r w:rsidR="005339D7">
              <w:rPr>
                <w:noProof/>
                <w:webHidden/>
              </w:rPr>
              <w:tab/>
            </w:r>
            <w:r w:rsidR="005339D7">
              <w:rPr>
                <w:noProof/>
                <w:webHidden/>
              </w:rPr>
              <w:fldChar w:fldCharType="begin"/>
            </w:r>
            <w:r w:rsidR="005339D7">
              <w:rPr>
                <w:noProof/>
                <w:webHidden/>
              </w:rPr>
              <w:instrText xml:space="preserve"> PAGEREF _Toc26177799 \h </w:instrText>
            </w:r>
            <w:r w:rsidR="005339D7">
              <w:rPr>
                <w:noProof/>
                <w:webHidden/>
              </w:rPr>
            </w:r>
            <w:r w:rsidR="005339D7">
              <w:rPr>
                <w:noProof/>
                <w:webHidden/>
              </w:rPr>
              <w:fldChar w:fldCharType="separate"/>
            </w:r>
            <w:r>
              <w:rPr>
                <w:noProof/>
                <w:webHidden/>
              </w:rPr>
              <w:t>9</w:t>
            </w:r>
            <w:r w:rsidR="005339D7">
              <w:rPr>
                <w:noProof/>
                <w:webHidden/>
              </w:rPr>
              <w:fldChar w:fldCharType="end"/>
            </w:r>
          </w:hyperlink>
        </w:p>
        <w:p w14:paraId="4FD798EE" w14:textId="61F58050" w:rsidR="005339D7" w:rsidRDefault="00C11457">
          <w:pPr>
            <w:pStyle w:val="TDC1"/>
            <w:rPr>
              <w:rFonts w:asciiTheme="minorHAnsi" w:eastAsiaTheme="minorEastAsia" w:hAnsiTheme="minorHAnsi" w:cstheme="minorBidi"/>
              <w:b w:val="0"/>
              <w:sz w:val="22"/>
              <w:szCs w:val="22"/>
              <w:lang w:val="en-US" w:eastAsia="en-US"/>
            </w:rPr>
          </w:pPr>
          <w:hyperlink w:anchor="_Toc26177800" w:history="1">
            <w:r w:rsidR="005339D7" w:rsidRPr="00AE55DC">
              <w:rPr>
                <w:rStyle w:val="Hipervnculo"/>
              </w:rPr>
              <w:t>VII HECHOS</w:t>
            </w:r>
            <w:r w:rsidR="005339D7">
              <w:rPr>
                <w:webHidden/>
              </w:rPr>
              <w:tab/>
            </w:r>
            <w:r w:rsidR="005339D7">
              <w:rPr>
                <w:webHidden/>
              </w:rPr>
              <w:fldChar w:fldCharType="begin"/>
            </w:r>
            <w:r w:rsidR="005339D7">
              <w:rPr>
                <w:webHidden/>
              </w:rPr>
              <w:instrText xml:space="preserve"> PAGEREF _Toc26177800 \h </w:instrText>
            </w:r>
            <w:r w:rsidR="005339D7">
              <w:rPr>
                <w:webHidden/>
              </w:rPr>
            </w:r>
            <w:r w:rsidR="005339D7">
              <w:rPr>
                <w:webHidden/>
              </w:rPr>
              <w:fldChar w:fldCharType="separate"/>
            </w:r>
            <w:r>
              <w:rPr>
                <w:webHidden/>
              </w:rPr>
              <w:t>9</w:t>
            </w:r>
            <w:r w:rsidR="005339D7">
              <w:rPr>
                <w:webHidden/>
              </w:rPr>
              <w:fldChar w:fldCharType="end"/>
            </w:r>
          </w:hyperlink>
        </w:p>
        <w:p w14:paraId="1D12B0C3" w14:textId="4E3A5692" w:rsidR="005339D7" w:rsidRDefault="00C11457">
          <w:pPr>
            <w:pStyle w:val="TDC2"/>
            <w:rPr>
              <w:rFonts w:asciiTheme="minorHAnsi" w:eastAsiaTheme="minorEastAsia" w:hAnsiTheme="minorHAnsi" w:cstheme="minorBidi"/>
              <w:noProof/>
              <w:sz w:val="22"/>
              <w:szCs w:val="22"/>
              <w:lang w:val="en-US" w:eastAsia="en-US"/>
            </w:rPr>
          </w:pPr>
          <w:hyperlink w:anchor="_Toc26177801" w:history="1">
            <w:r w:rsidR="005339D7" w:rsidRPr="00AE55DC">
              <w:rPr>
                <w:rStyle w:val="Hipervnculo"/>
                <w:noProof/>
              </w:rPr>
              <w:t>A.</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Marco normativo en Guatemala con respecto a la pena de muerte</w:t>
            </w:r>
            <w:r w:rsidR="005339D7">
              <w:rPr>
                <w:noProof/>
                <w:webHidden/>
              </w:rPr>
              <w:tab/>
            </w:r>
            <w:r w:rsidR="005339D7">
              <w:rPr>
                <w:noProof/>
                <w:webHidden/>
              </w:rPr>
              <w:fldChar w:fldCharType="begin"/>
            </w:r>
            <w:r w:rsidR="005339D7">
              <w:rPr>
                <w:noProof/>
                <w:webHidden/>
              </w:rPr>
              <w:instrText xml:space="preserve"> PAGEREF _Toc26177801 \h </w:instrText>
            </w:r>
            <w:r w:rsidR="005339D7">
              <w:rPr>
                <w:noProof/>
                <w:webHidden/>
              </w:rPr>
            </w:r>
            <w:r w:rsidR="005339D7">
              <w:rPr>
                <w:noProof/>
                <w:webHidden/>
              </w:rPr>
              <w:fldChar w:fldCharType="separate"/>
            </w:r>
            <w:r>
              <w:rPr>
                <w:noProof/>
                <w:webHidden/>
              </w:rPr>
              <w:t>10</w:t>
            </w:r>
            <w:r w:rsidR="005339D7">
              <w:rPr>
                <w:noProof/>
                <w:webHidden/>
              </w:rPr>
              <w:fldChar w:fldCharType="end"/>
            </w:r>
          </w:hyperlink>
        </w:p>
        <w:p w14:paraId="7113FB8F" w14:textId="44F02A34" w:rsidR="005339D7" w:rsidRDefault="00C11457">
          <w:pPr>
            <w:pStyle w:val="TDC2"/>
            <w:rPr>
              <w:rFonts w:asciiTheme="minorHAnsi" w:eastAsiaTheme="minorEastAsia" w:hAnsiTheme="minorHAnsi" w:cstheme="minorBidi"/>
              <w:noProof/>
              <w:sz w:val="22"/>
              <w:szCs w:val="22"/>
              <w:lang w:val="en-US" w:eastAsia="en-US"/>
            </w:rPr>
          </w:pPr>
          <w:hyperlink w:anchor="_Toc26177802" w:history="1">
            <w:r w:rsidR="005339D7" w:rsidRPr="00AE55DC">
              <w:rPr>
                <w:rStyle w:val="Hipervnculo"/>
                <w:noProof/>
              </w:rPr>
              <w:t>B.</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El proceso penal seguido contra los señores Miguel Ángel Rodríguez Revolorio, Miguel Ángel López Calo y Aníbal Archila Pérez</w:t>
            </w:r>
            <w:r w:rsidR="005339D7">
              <w:rPr>
                <w:noProof/>
                <w:webHidden/>
              </w:rPr>
              <w:tab/>
            </w:r>
            <w:r w:rsidR="005339D7">
              <w:rPr>
                <w:noProof/>
                <w:webHidden/>
              </w:rPr>
              <w:fldChar w:fldCharType="begin"/>
            </w:r>
            <w:r w:rsidR="005339D7">
              <w:rPr>
                <w:noProof/>
                <w:webHidden/>
              </w:rPr>
              <w:instrText xml:space="preserve"> PAGEREF _Toc26177802 \h </w:instrText>
            </w:r>
            <w:r w:rsidR="005339D7">
              <w:rPr>
                <w:noProof/>
                <w:webHidden/>
              </w:rPr>
            </w:r>
            <w:r w:rsidR="005339D7">
              <w:rPr>
                <w:noProof/>
                <w:webHidden/>
              </w:rPr>
              <w:fldChar w:fldCharType="separate"/>
            </w:r>
            <w:r>
              <w:rPr>
                <w:noProof/>
                <w:webHidden/>
              </w:rPr>
              <w:t>12</w:t>
            </w:r>
            <w:r w:rsidR="005339D7">
              <w:rPr>
                <w:noProof/>
                <w:webHidden/>
              </w:rPr>
              <w:fldChar w:fldCharType="end"/>
            </w:r>
          </w:hyperlink>
        </w:p>
        <w:p w14:paraId="26A68B2C" w14:textId="49429235" w:rsidR="005339D7" w:rsidRDefault="00C11457">
          <w:pPr>
            <w:pStyle w:val="TDC3"/>
            <w:rPr>
              <w:rFonts w:asciiTheme="minorHAnsi" w:eastAsiaTheme="minorEastAsia" w:hAnsiTheme="minorHAnsi" w:cstheme="minorBidi"/>
              <w:noProof/>
              <w:sz w:val="22"/>
              <w:szCs w:val="22"/>
              <w:lang w:val="en-US" w:eastAsia="en-US"/>
            </w:rPr>
          </w:pPr>
          <w:hyperlink w:anchor="_Toc26177803" w:history="1">
            <w:r w:rsidR="005339D7" w:rsidRPr="00AE55DC">
              <w:rPr>
                <w:rStyle w:val="Hipervnculo"/>
                <w:noProof/>
              </w:rPr>
              <w:t>b.1 Investigación, acusación, juicio y sentencia condenatoria</w:t>
            </w:r>
            <w:r w:rsidR="005339D7">
              <w:rPr>
                <w:noProof/>
                <w:webHidden/>
              </w:rPr>
              <w:tab/>
            </w:r>
            <w:r w:rsidR="005339D7">
              <w:rPr>
                <w:noProof/>
                <w:webHidden/>
              </w:rPr>
              <w:fldChar w:fldCharType="begin"/>
            </w:r>
            <w:r w:rsidR="005339D7">
              <w:rPr>
                <w:noProof/>
                <w:webHidden/>
              </w:rPr>
              <w:instrText xml:space="preserve"> PAGEREF _Toc26177803 \h </w:instrText>
            </w:r>
            <w:r w:rsidR="005339D7">
              <w:rPr>
                <w:noProof/>
                <w:webHidden/>
              </w:rPr>
            </w:r>
            <w:r w:rsidR="005339D7">
              <w:rPr>
                <w:noProof/>
                <w:webHidden/>
              </w:rPr>
              <w:fldChar w:fldCharType="separate"/>
            </w:r>
            <w:r>
              <w:rPr>
                <w:noProof/>
                <w:webHidden/>
              </w:rPr>
              <w:t>12</w:t>
            </w:r>
            <w:r w:rsidR="005339D7">
              <w:rPr>
                <w:noProof/>
                <w:webHidden/>
              </w:rPr>
              <w:fldChar w:fldCharType="end"/>
            </w:r>
          </w:hyperlink>
        </w:p>
        <w:p w14:paraId="5E35D1F4" w14:textId="2016D3AB" w:rsidR="005339D7" w:rsidRDefault="00C11457">
          <w:pPr>
            <w:pStyle w:val="TDC3"/>
            <w:rPr>
              <w:rFonts w:asciiTheme="minorHAnsi" w:eastAsiaTheme="minorEastAsia" w:hAnsiTheme="minorHAnsi" w:cstheme="minorBidi"/>
              <w:noProof/>
              <w:sz w:val="22"/>
              <w:szCs w:val="22"/>
              <w:lang w:val="en-US" w:eastAsia="en-US"/>
            </w:rPr>
          </w:pPr>
          <w:hyperlink w:anchor="_Toc26177804" w:history="1">
            <w:r w:rsidR="005339D7" w:rsidRPr="00AE55DC">
              <w:rPr>
                <w:rStyle w:val="Hipervnculo"/>
                <w:noProof/>
                <w:lang w:eastAsia="en-US"/>
              </w:rPr>
              <w:t>b.2 Recursos interpuestos</w:t>
            </w:r>
            <w:r w:rsidR="005339D7">
              <w:rPr>
                <w:noProof/>
                <w:webHidden/>
              </w:rPr>
              <w:tab/>
            </w:r>
            <w:r w:rsidR="005339D7">
              <w:rPr>
                <w:noProof/>
                <w:webHidden/>
              </w:rPr>
              <w:fldChar w:fldCharType="begin"/>
            </w:r>
            <w:r w:rsidR="005339D7">
              <w:rPr>
                <w:noProof/>
                <w:webHidden/>
              </w:rPr>
              <w:instrText xml:space="preserve"> PAGEREF _Toc26177804 \h </w:instrText>
            </w:r>
            <w:r w:rsidR="005339D7">
              <w:rPr>
                <w:noProof/>
                <w:webHidden/>
              </w:rPr>
            </w:r>
            <w:r w:rsidR="005339D7">
              <w:rPr>
                <w:noProof/>
                <w:webHidden/>
              </w:rPr>
              <w:fldChar w:fldCharType="separate"/>
            </w:r>
            <w:r>
              <w:rPr>
                <w:noProof/>
                <w:webHidden/>
              </w:rPr>
              <w:t>13</w:t>
            </w:r>
            <w:r w:rsidR="005339D7">
              <w:rPr>
                <w:noProof/>
                <w:webHidden/>
              </w:rPr>
              <w:fldChar w:fldCharType="end"/>
            </w:r>
          </w:hyperlink>
        </w:p>
        <w:p w14:paraId="51C4559B" w14:textId="260B1818" w:rsidR="005339D7" w:rsidRDefault="00C11457">
          <w:pPr>
            <w:pStyle w:val="TDC1"/>
            <w:rPr>
              <w:rFonts w:asciiTheme="minorHAnsi" w:eastAsiaTheme="minorEastAsia" w:hAnsiTheme="minorHAnsi" w:cstheme="minorBidi"/>
              <w:b w:val="0"/>
              <w:sz w:val="22"/>
              <w:szCs w:val="22"/>
              <w:lang w:val="en-US" w:eastAsia="en-US"/>
            </w:rPr>
          </w:pPr>
          <w:hyperlink w:anchor="_Toc26177805" w:history="1">
            <w:r w:rsidR="005339D7" w:rsidRPr="00AE55DC">
              <w:rPr>
                <w:rStyle w:val="Hipervnculo"/>
              </w:rPr>
              <w:t>VIII FONDO</w:t>
            </w:r>
            <w:r w:rsidR="005339D7">
              <w:rPr>
                <w:webHidden/>
              </w:rPr>
              <w:tab/>
            </w:r>
            <w:r w:rsidR="005339D7">
              <w:rPr>
                <w:webHidden/>
              </w:rPr>
              <w:fldChar w:fldCharType="begin"/>
            </w:r>
            <w:r w:rsidR="005339D7">
              <w:rPr>
                <w:webHidden/>
              </w:rPr>
              <w:instrText xml:space="preserve"> PAGEREF _Toc26177805 \h </w:instrText>
            </w:r>
            <w:r w:rsidR="005339D7">
              <w:rPr>
                <w:webHidden/>
              </w:rPr>
            </w:r>
            <w:r w:rsidR="005339D7">
              <w:rPr>
                <w:webHidden/>
              </w:rPr>
              <w:fldChar w:fldCharType="separate"/>
            </w:r>
            <w:r>
              <w:rPr>
                <w:webHidden/>
              </w:rPr>
              <w:t>16</w:t>
            </w:r>
            <w:r w:rsidR="005339D7">
              <w:rPr>
                <w:webHidden/>
              </w:rPr>
              <w:fldChar w:fldCharType="end"/>
            </w:r>
          </w:hyperlink>
        </w:p>
        <w:p w14:paraId="7414FE96" w14:textId="55A12236" w:rsidR="005339D7" w:rsidRDefault="00C11457">
          <w:pPr>
            <w:pStyle w:val="TDC1"/>
            <w:rPr>
              <w:rFonts w:asciiTheme="minorHAnsi" w:eastAsiaTheme="minorEastAsia" w:hAnsiTheme="minorHAnsi" w:cstheme="minorBidi"/>
              <w:b w:val="0"/>
              <w:sz w:val="22"/>
              <w:szCs w:val="22"/>
              <w:lang w:val="en-US" w:eastAsia="en-US"/>
            </w:rPr>
          </w:pPr>
          <w:hyperlink w:anchor="_Toc26177806" w:history="1">
            <w:r w:rsidR="005339D7" w:rsidRPr="00AE55DC">
              <w:rPr>
                <w:rStyle w:val="Hipervnculo"/>
              </w:rPr>
              <w:t>VIII-1 DERECHO A LA VIDA Y PRINCIPIO DE LEGALIDAD Y DE RETROACTIVIDAD</w:t>
            </w:r>
            <w:r w:rsidR="005339D7">
              <w:rPr>
                <w:webHidden/>
              </w:rPr>
              <w:tab/>
            </w:r>
            <w:r w:rsidR="005339D7">
              <w:rPr>
                <w:webHidden/>
              </w:rPr>
              <w:fldChar w:fldCharType="begin"/>
            </w:r>
            <w:r w:rsidR="005339D7">
              <w:rPr>
                <w:webHidden/>
              </w:rPr>
              <w:instrText xml:space="preserve"> PAGEREF _Toc26177806 \h </w:instrText>
            </w:r>
            <w:r w:rsidR="005339D7">
              <w:rPr>
                <w:webHidden/>
              </w:rPr>
            </w:r>
            <w:r w:rsidR="005339D7">
              <w:rPr>
                <w:webHidden/>
              </w:rPr>
              <w:fldChar w:fldCharType="separate"/>
            </w:r>
            <w:r>
              <w:rPr>
                <w:webHidden/>
              </w:rPr>
              <w:t>16</w:t>
            </w:r>
            <w:r w:rsidR="005339D7">
              <w:rPr>
                <w:webHidden/>
              </w:rPr>
              <w:fldChar w:fldCharType="end"/>
            </w:r>
          </w:hyperlink>
        </w:p>
        <w:p w14:paraId="6477B42E" w14:textId="1D73D54C" w:rsidR="005339D7" w:rsidRDefault="00C11457">
          <w:pPr>
            <w:pStyle w:val="TDC2"/>
            <w:rPr>
              <w:rFonts w:asciiTheme="minorHAnsi" w:eastAsiaTheme="minorEastAsia" w:hAnsiTheme="minorHAnsi" w:cstheme="minorBidi"/>
              <w:noProof/>
              <w:sz w:val="22"/>
              <w:szCs w:val="22"/>
              <w:lang w:val="en-US" w:eastAsia="en-US"/>
            </w:rPr>
          </w:pPr>
          <w:hyperlink w:anchor="_Toc26177807" w:history="1">
            <w:r w:rsidR="005339D7" w:rsidRPr="00AE55DC">
              <w:rPr>
                <w:rStyle w:val="Hipervnculo"/>
                <w:noProof/>
              </w:rPr>
              <w:t>A.</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Argumentos de las partes y de la Comisión</w:t>
            </w:r>
            <w:r w:rsidR="005339D7">
              <w:rPr>
                <w:noProof/>
                <w:webHidden/>
              </w:rPr>
              <w:tab/>
            </w:r>
            <w:r w:rsidR="005339D7">
              <w:rPr>
                <w:noProof/>
                <w:webHidden/>
              </w:rPr>
              <w:fldChar w:fldCharType="begin"/>
            </w:r>
            <w:r w:rsidR="005339D7">
              <w:rPr>
                <w:noProof/>
                <w:webHidden/>
              </w:rPr>
              <w:instrText xml:space="preserve"> PAGEREF _Toc26177807 \h </w:instrText>
            </w:r>
            <w:r w:rsidR="005339D7">
              <w:rPr>
                <w:noProof/>
                <w:webHidden/>
              </w:rPr>
            </w:r>
            <w:r w:rsidR="005339D7">
              <w:rPr>
                <w:noProof/>
                <w:webHidden/>
              </w:rPr>
              <w:fldChar w:fldCharType="separate"/>
            </w:r>
            <w:r>
              <w:rPr>
                <w:noProof/>
                <w:webHidden/>
              </w:rPr>
              <w:t>17</w:t>
            </w:r>
            <w:r w:rsidR="005339D7">
              <w:rPr>
                <w:noProof/>
                <w:webHidden/>
              </w:rPr>
              <w:fldChar w:fldCharType="end"/>
            </w:r>
          </w:hyperlink>
        </w:p>
        <w:p w14:paraId="5F4833EF" w14:textId="19D482F9" w:rsidR="005339D7" w:rsidRDefault="00C11457">
          <w:pPr>
            <w:pStyle w:val="TDC2"/>
            <w:rPr>
              <w:rFonts w:asciiTheme="minorHAnsi" w:eastAsiaTheme="minorEastAsia" w:hAnsiTheme="minorHAnsi" w:cstheme="minorBidi"/>
              <w:noProof/>
              <w:sz w:val="22"/>
              <w:szCs w:val="22"/>
              <w:lang w:val="en-US" w:eastAsia="en-US"/>
            </w:rPr>
          </w:pPr>
          <w:hyperlink w:anchor="_Toc26177808" w:history="1">
            <w:r w:rsidR="005339D7" w:rsidRPr="00AE55DC">
              <w:rPr>
                <w:rStyle w:val="Hipervnculo"/>
                <w:noProof/>
              </w:rPr>
              <w:t>B.</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Consideraciones de la Corte</w:t>
            </w:r>
            <w:r w:rsidR="005339D7">
              <w:rPr>
                <w:noProof/>
                <w:webHidden/>
              </w:rPr>
              <w:tab/>
            </w:r>
            <w:r w:rsidR="005339D7">
              <w:rPr>
                <w:noProof/>
                <w:webHidden/>
              </w:rPr>
              <w:fldChar w:fldCharType="begin"/>
            </w:r>
            <w:r w:rsidR="005339D7">
              <w:rPr>
                <w:noProof/>
                <w:webHidden/>
              </w:rPr>
              <w:instrText xml:space="preserve"> PAGEREF _Toc26177808 \h </w:instrText>
            </w:r>
            <w:r w:rsidR="005339D7">
              <w:rPr>
                <w:noProof/>
                <w:webHidden/>
              </w:rPr>
            </w:r>
            <w:r w:rsidR="005339D7">
              <w:rPr>
                <w:noProof/>
                <w:webHidden/>
              </w:rPr>
              <w:fldChar w:fldCharType="separate"/>
            </w:r>
            <w:r>
              <w:rPr>
                <w:noProof/>
                <w:webHidden/>
              </w:rPr>
              <w:t>17</w:t>
            </w:r>
            <w:r w:rsidR="005339D7">
              <w:rPr>
                <w:noProof/>
                <w:webHidden/>
              </w:rPr>
              <w:fldChar w:fldCharType="end"/>
            </w:r>
          </w:hyperlink>
        </w:p>
        <w:p w14:paraId="6FFD2EE3" w14:textId="11F55342" w:rsidR="005339D7" w:rsidRDefault="00C11457">
          <w:pPr>
            <w:pStyle w:val="TDC1"/>
            <w:rPr>
              <w:rFonts w:asciiTheme="minorHAnsi" w:eastAsiaTheme="minorEastAsia" w:hAnsiTheme="minorHAnsi" w:cstheme="minorBidi"/>
              <w:b w:val="0"/>
              <w:sz w:val="22"/>
              <w:szCs w:val="22"/>
              <w:lang w:val="en-US" w:eastAsia="en-US"/>
            </w:rPr>
          </w:pPr>
          <w:hyperlink w:anchor="_Toc26177809" w:history="1">
            <w:r w:rsidR="005339D7" w:rsidRPr="00AE55DC">
              <w:rPr>
                <w:rStyle w:val="Hipervnculo"/>
              </w:rPr>
              <w:t>VIII-2 INTEGRIDAD PERSONAL</w:t>
            </w:r>
            <w:r w:rsidR="005339D7">
              <w:rPr>
                <w:webHidden/>
              </w:rPr>
              <w:tab/>
            </w:r>
            <w:r w:rsidR="005339D7">
              <w:rPr>
                <w:webHidden/>
              </w:rPr>
              <w:fldChar w:fldCharType="begin"/>
            </w:r>
            <w:r w:rsidR="005339D7">
              <w:rPr>
                <w:webHidden/>
              </w:rPr>
              <w:instrText xml:space="preserve"> PAGEREF _Toc26177809 \h </w:instrText>
            </w:r>
            <w:r w:rsidR="005339D7">
              <w:rPr>
                <w:webHidden/>
              </w:rPr>
            </w:r>
            <w:r w:rsidR="005339D7">
              <w:rPr>
                <w:webHidden/>
              </w:rPr>
              <w:fldChar w:fldCharType="separate"/>
            </w:r>
            <w:r>
              <w:rPr>
                <w:webHidden/>
              </w:rPr>
              <w:t>21</w:t>
            </w:r>
            <w:r w:rsidR="005339D7">
              <w:rPr>
                <w:webHidden/>
              </w:rPr>
              <w:fldChar w:fldCharType="end"/>
            </w:r>
          </w:hyperlink>
        </w:p>
        <w:p w14:paraId="5EFCBD37" w14:textId="74205D19" w:rsidR="005339D7" w:rsidRDefault="00C11457">
          <w:pPr>
            <w:pStyle w:val="TDC2"/>
            <w:rPr>
              <w:rFonts w:asciiTheme="minorHAnsi" w:eastAsiaTheme="minorEastAsia" w:hAnsiTheme="minorHAnsi" w:cstheme="minorBidi"/>
              <w:noProof/>
              <w:sz w:val="22"/>
              <w:szCs w:val="22"/>
              <w:lang w:val="en-US" w:eastAsia="en-US"/>
            </w:rPr>
          </w:pPr>
          <w:hyperlink w:anchor="_Toc26177810" w:history="1">
            <w:r w:rsidR="005339D7" w:rsidRPr="00AE55DC">
              <w:rPr>
                <w:rStyle w:val="Hipervnculo"/>
                <w:noProof/>
              </w:rPr>
              <w:t>A.</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Argumentos de las partes y de la Comisión</w:t>
            </w:r>
            <w:r w:rsidR="005339D7">
              <w:rPr>
                <w:noProof/>
                <w:webHidden/>
              </w:rPr>
              <w:tab/>
            </w:r>
            <w:r w:rsidR="005339D7">
              <w:rPr>
                <w:noProof/>
                <w:webHidden/>
              </w:rPr>
              <w:fldChar w:fldCharType="begin"/>
            </w:r>
            <w:r w:rsidR="005339D7">
              <w:rPr>
                <w:noProof/>
                <w:webHidden/>
              </w:rPr>
              <w:instrText xml:space="preserve"> PAGEREF _Toc26177810 \h </w:instrText>
            </w:r>
            <w:r w:rsidR="005339D7">
              <w:rPr>
                <w:noProof/>
                <w:webHidden/>
              </w:rPr>
            </w:r>
            <w:r w:rsidR="005339D7">
              <w:rPr>
                <w:noProof/>
                <w:webHidden/>
              </w:rPr>
              <w:fldChar w:fldCharType="separate"/>
            </w:r>
            <w:r>
              <w:rPr>
                <w:noProof/>
                <w:webHidden/>
              </w:rPr>
              <w:t>21</w:t>
            </w:r>
            <w:r w:rsidR="005339D7">
              <w:rPr>
                <w:noProof/>
                <w:webHidden/>
              </w:rPr>
              <w:fldChar w:fldCharType="end"/>
            </w:r>
          </w:hyperlink>
        </w:p>
        <w:p w14:paraId="20F3BF79" w14:textId="626820F4" w:rsidR="005339D7" w:rsidRDefault="00C11457">
          <w:pPr>
            <w:pStyle w:val="TDC2"/>
            <w:rPr>
              <w:rFonts w:asciiTheme="minorHAnsi" w:eastAsiaTheme="minorEastAsia" w:hAnsiTheme="minorHAnsi" w:cstheme="minorBidi"/>
              <w:noProof/>
              <w:sz w:val="22"/>
              <w:szCs w:val="22"/>
              <w:lang w:val="en-US" w:eastAsia="en-US"/>
            </w:rPr>
          </w:pPr>
          <w:hyperlink w:anchor="_Toc26177811" w:history="1">
            <w:r w:rsidR="005339D7" w:rsidRPr="00AE55DC">
              <w:rPr>
                <w:rStyle w:val="Hipervnculo"/>
                <w:noProof/>
              </w:rPr>
              <w:t>B.</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Consideraciones de la Corte</w:t>
            </w:r>
            <w:r w:rsidR="005339D7">
              <w:rPr>
                <w:noProof/>
                <w:webHidden/>
              </w:rPr>
              <w:tab/>
            </w:r>
            <w:r w:rsidR="005339D7">
              <w:rPr>
                <w:noProof/>
                <w:webHidden/>
              </w:rPr>
              <w:fldChar w:fldCharType="begin"/>
            </w:r>
            <w:r w:rsidR="005339D7">
              <w:rPr>
                <w:noProof/>
                <w:webHidden/>
              </w:rPr>
              <w:instrText xml:space="preserve"> PAGEREF _Toc26177811 \h </w:instrText>
            </w:r>
            <w:r w:rsidR="005339D7">
              <w:rPr>
                <w:noProof/>
                <w:webHidden/>
              </w:rPr>
            </w:r>
            <w:r w:rsidR="005339D7">
              <w:rPr>
                <w:noProof/>
                <w:webHidden/>
              </w:rPr>
              <w:fldChar w:fldCharType="separate"/>
            </w:r>
            <w:r>
              <w:rPr>
                <w:noProof/>
                <w:webHidden/>
              </w:rPr>
              <w:t>22</w:t>
            </w:r>
            <w:r w:rsidR="005339D7">
              <w:rPr>
                <w:noProof/>
                <w:webHidden/>
              </w:rPr>
              <w:fldChar w:fldCharType="end"/>
            </w:r>
          </w:hyperlink>
        </w:p>
        <w:p w14:paraId="42054C4A" w14:textId="57B0E584" w:rsidR="005339D7" w:rsidRDefault="00C11457">
          <w:pPr>
            <w:pStyle w:val="TDC3"/>
            <w:rPr>
              <w:rFonts w:asciiTheme="minorHAnsi" w:eastAsiaTheme="minorEastAsia" w:hAnsiTheme="minorHAnsi" w:cstheme="minorBidi"/>
              <w:noProof/>
              <w:sz w:val="22"/>
              <w:szCs w:val="22"/>
              <w:lang w:val="en-US" w:eastAsia="en-US"/>
            </w:rPr>
          </w:pPr>
          <w:hyperlink w:anchor="_Toc26177812" w:history="1">
            <w:r w:rsidR="005339D7" w:rsidRPr="00AE55DC">
              <w:rPr>
                <w:rStyle w:val="Hipervnculo"/>
                <w:noProof/>
              </w:rPr>
              <w:t>b.1 Condiciones carcelarias</w:t>
            </w:r>
            <w:r w:rsidR="005339D7">
              <w:rPr>
                <w:noProof/>
                <w:webHidden/>
              </w:rPr>
              <w:tab/>
            </w:r>
            <w:r w:rsidR="005339D7">
              <w:rPr>
                <w:noProof/>
                <w:webHidden/>
              </w:rPr>
              <w:fldChar w:fldCharType="begin"/>
            </w:r>
            <w:r w:rsidR="005339D7">
              <w:rPr>
                <w:noProof/>
                <w:webHidden/>
              </w:rPr>
              <w:instrText xml:space="preserve"> PAGEREF _Toc26177812 \h </w:instrText>
            </w:r>
            <w:r w:rsidR="005339D7">
              <w:rPr>
                <w:noProof/>
                <w:webHidden/>
              </w:rPr>
            </w:r>
            <w:r w:rsidR="005339D7">
              <w:rPr>
                <w:noProof/>
                <w:webHidden/>
              </w:rPr>
              <w:fldChar w:fldCharType="separate"/>
            </w:r>
            <w:r>
              <w:rPr>
                <w:noProof/>
                <w:webHidden/>
              </w:rPr>
              <w:t>22</w:t>
            </w:r>
            <w:r w:rsidR="005339D7">
              <w:rPr>
                <w:noProof/>
                <w:webHidden/>
              </w:rPr>
              <w:fldChar w:fldCharType="end"/>
            </w:r>
          </w:hyperlink>
        </w:p>
        <w:p w14:paraId="604C89B9" w14:textId="1C116539" w:rsidR="005339D7" w:rsidRDefault="00C11457">
          <w:pPr>
            <w:pStyle w:val="TDC3"/>
            <w:rPr>
              <w:rFonts w:asciiTheme="minorHAnsi" w:eastAsiaTheme="minorEastAsia" w:hAnsiTheme="minorHAnsi" w:cstheme="minorBidi"/>
              <w:noProof/>
              <w:sz w:val="22"/>
              <w:szCs w:val="22"/>
              <w:lang w:val="en-US" w:eastAsia="en-US"/>
            </w:rPr>
          </w:pPr>
          <w:hyperlink w:anchor="_Toc26177813" w:history="1">
            <w:r w:rsidR="005339D7" w:rsidRPr="00AE55DC">
              <w:rPr>
                <w:rStyle w:val="Hipervnculo"/>
                <w:noProof/>
              </w:rPr>
              <w:t>b.2 Corredor de la muerte</w:t>
            </w:r>
            <w:r w:rsidR="005339D7">
              <w:rPr>
                <w:noProof/>
                <w:webHidden/>
              </w:rPr>
              <w:tab/>
            </w:r>
            <w:r w:rsidR="005339D7">
              <w:rPr>
                <w:noProof/>
                <w:webHidden/>
              </w:rPr>
              <w:fldChar w:fldCharType="begin"/>
            </w:r>
            <w:r w:rsidR="005339D7">
              <w:rPr>
                <w:noProof/>
                <w:webHidden/>
              </w:rPr>
              <w:instrText xml:space="preserve"> PAGEREF _Toc26177813 \h </w:instrText>
            </w:r>
            <w:r w:rsidR="005339D7">
              <w:rPr>
                <w:noProof/>
                <w:webHidden/>
              </w:rPr>
            </w:r>
            <w:r w:rsidR="005339D7">
              <w:rPr>
                <w:noProof/>
                <w:webHidden/>
              </w:rPr>
              <w:fldChar w:fldCharType="separate"/>
            </w:r>
            <w:r>
              <w:rPr>
                <w:noProof/>
                <w:webHidden/>
              </w:rPr>
              <w:t>30</w:t>
            </w:r>
            <w:r w:rsidR="005339D7">
              <w:rPr>
                <w:noProof/>
                <w:webHidden/>
              </w:rPr>
              <w:fldChar w:fldCharType="end"/>
            </w:r>
          </w:hyperlink>
        </w:p>
        <w:p w14:paraId="734C6C0D" w14:textId="56274503" w:rsidR="005339D7" w:rsidRDefault="00C11457">
          <w:pPr>
            <w:pStyle w:val="TDC1"/>
            <w:rPr>
              <w:rFonts w:asciiTheme="minorHAnsi" w:eastAsiaTheme="minorEastAsia" w:hAnsiTheme="minorHAnsi" w:cstheme="minorBidi"/>
              <w:b w:val="0"/>
              <w:sz w:val="22"/>
              <w:szCs w:val="22"/>
              <w:lang w:val="en-US" w:eastAsia="en-US"/>
            </w:rPr>
          </w:pPr>
          <w:hyperlink w:anchor="_Toc26177814" w:history="1">
            <w:r w:rsidR="005339D7" w:rsidRPr="00AE55DC">
              <w:rPr>
                <w:rStyle w:val="Hipervnculo"/>
              </w:rPr>
              <w:t>VIII-3 DERECHO A LAS GARANTÍAS JUDICIALES Y PROTECCIÓN JUDICIAL</w:t>
            </w:r>
            <w:r w:rsidR="005339D7">
              <w:rPr>
                <w:webHidden/>
              </w:rPr>
              <w:tab/>
            </w:r>
            <w:r w:rsidR="005339D7">
              <w:rPr>
                <w:webHidden/>
              </w:rPr>
              <w:fldChar w:fldCharType="begin"/>
            </w:r>
            <w:r w:rsidR="005339D7">
              <w:rPr>
                <w:webHidden/>
              </w:rPr>
              <w:instrText xml:space="preserve"> PAGEREF _Toc26177814 \h </w:instrText>
            </w:r>
            <w:r w:rsidR="005339D7">
              <w:rPr>
                <w:webHidden/>
              </w:rPr>
            </w:r>
            <w:r w:rsidR="005339D7">
              <w:rPr>
                <w:webHidden/>
              </w:rPr>
              <w:fldChar w:fldCharType="separate"/>
            </w:r>
            <w:r>
              <w:rPr>
                <w:webHidden/>
              </w:rPr>
              <w:t>31</w:t>
            </w:r>
            <w:r w:rsidR="005339D7">
              <w:rPr>
                <w:webHidden/>
              </w:rPr>
              <w:fldChar w:fldCharType="end"/>
            </w:r>
          </w:hyperlink>
        </w:p>
        <w:p w14:paraId="55DA1380" w14:textId="067DA05A" w:rsidR="005339D7" w:rsidRDefault="00C11457">
          <w:pPr>
            <w:pStyle w:val="TDC2"/>
            <w:rPr>
              <w:rFonts w:asciiTheme="minorHAnsi" w:eastAsiaTheme="minorEastAsia" w:hAnsiTheme="minorHAnsi" w:cstheme="minorBidi"/>
              <w:noProof/>
              <w:sz w:val="22"/>
              <w:szCs w:val="22"/>
              <w:lang w:val="en-US" w:eastAsia="en-US"/>
            </w:rPr>
          </w:pPr>
          <w:hyperlink w:anchor="_Toc26177815" w:history="1">
            <w:r w:rsidR="005339D7" w:rsidRPr="00AE55DC">
              <w:rPr>
                <w:rStyle w:val="Hipervnculo"/>
                <w:noProof/>
              </w:rPr>
              <w:t>A.</w:t>
            </w:r>
            <w:r w:rsidR="005339D7">
              <w:rPr>
                <w:rFonts w:asciiTheme="minorHAnsi" w:eastAsiaTheme="minorEastAsia" w:hAnsiTheme="minorHAnsi" w:cstheme="minorBidi"/>
                <w:noProof/>
                <w:sz w:val="22"/>
                <w:szCs w:val="22"/>
                <w:lang w:val="en-US" w:eastAsia="en-US"/>
              </w:rPr>
              <w:tab/>
            </w:r>
            <w:r w:rsidR="005339D7" w:rsidRPr="00AE55DC">
              <w:rPr>
                <w:rStyle w:val="Hipervnculo"/>
                <w:noProof/>
              </w:rPr>
              <w:t>Argumentos de las partes y de la Comisión</w:t>
            </w:r>
            <w:r w:rsidR="005339D7">
              <w:rPr>
                <w:noProof/>
                <w:webHidden/>
              </w:rPr>
              <w:tab/>
            </w:r>
            <w:r w:rsidR="005339D7">
              <w:rPr>
                <w:noProof/>
                <w:webHidden/>
              </w:rPr>
              <w:fldChar w:fldCharType="begin"/>
            </w:r>
            <w:r w:rsidR="005339D7">
              <w:rPr>
                <w:noProof/>
                <w:webHidden/>
              </w:rPr>
              <w:instrText xml:space="preserve"> PAGEREF _Toc26177815 \h </w:instrText>
            </w:r>
            <w:r w:rsidR="005339D7">
              <w:rPr>
                <w:noProof/>
                <w:webHidden/>
              </w:rPr>
            </w:r>
            <w:r w:rsidR="005339D7">
              <w:rPr>
                <w:noProof/>
                <w:webHidden/>
              </w:rPr>
              <w:fldChar w:fldCharType="separate"/>
            </w:r>
            <w:r>
              <w:rPr>
                <w:noProof/>
                <w:webHidden/>
              </w:rPr>
              <w:t>31</w:t>
            </w:r>
            <w:r w:rsidR="005339D7">
              <w:rPr>
                <w:noProof/>
                <w:webHidden/>
              </w:rPr>
              <w:fldChar w:fldCharType="end"/>
            </w:r>
          </w:hyperlink>
        </w:p>
        <w:p w14:paraId="2A2AFB2E" w14:textId="0E8D98C1" w:rsidR="005339D7" w:rsidRDefault="00C11457">
          <w:pPr>
            <w:pStyle w:val="TDC2"/>
            <w:rPr>
              <w:rFonts w:asciiTheme="minorHAnsi" w:eastAsiaTheme="minorEastAsia" w:hAnsiTheme="minorHAnsi" w:cstheme="minorBidi"/>
              <w:noProof/>
              <w:sz w:val="22"/>
              <w:szCs w:val="22"/>
              <w:lang w:val="en-US" w:eastAsia="en-US"/>
            </w:rPr>
          </w:pPr>
          <w:hyperlink w:anchor="_Toc26177816" w:history="1">
            <w:r w:rsidR="005339D7" w:rsidRPr="00AE55DC">
              <w:rPr>
                <w:rStyle w:val="Hipervnculo"/>
                <w:noProof/>
              </w:rPr>
              <w:t>B. Consideraciones de la Corte</w:t>
            </w:r>
            <w:r w:rsidR="005339D7">
              <w:rPr>
                <w:noProof/>
                <w:webHidden/>
              </w:rPr>
              <w:tab/>
            </w:r>
            <w:r w:rsidR="005339D7">
              <w:rPr>
                <w:noProof/>
                <w:webHidden/>
              </w:rPr>
              <w:fldChar w:fldCharType="begin"/>
            </w:r>
            <w:r w:rsidR="005339D7">
              <w:rPr>
                <w:noProof/>
                <w:webHidden/>
              </w:rPr>
              <w:instrText xml:space="preserve"> PAGEREF _Toc26177816 \h </w:instrText>
            </w:r>
            <w:r w:rsidR="005339D7">
              <w:rPr>
                <w:noProof/>
                <w:webHidden/>
              </w:rPr>
            </w:r>
            <w:r w:rsidR="005339D7">
              <w:rPr>
                <w:noProof/>
                <w:webHidden/>
              </w:rPr>
              <w:fldChar w:fldCharType="separate"/>
            </w:r>
            <w:r>
              <w:rPr>
                <w:noProof/>
                <w:webHidden/>
              </w:rPr>
              <w:t>32</w:t>
            </w:r>
            <w:r w:rsidR="005339D7">
              <w:rPr>
                <w:noProof/>
                <w:webHidden/>
              </w:rPr>
              <w:fldChar w:fldCharType="end"/>
            </w:r>
          </w:hyperlink>
        </w:p>
        <w:p w14:paraId="4DF2D9D8" w14:textId="069C5DE2" w:rsidR="005339D7" w:rsidRDefault="00C11457">
          <w:pPr>
            <w:pStyle w:val="TDC3"/>
            <w:rPr>
              <w:rFonts w:asciiTheme="minorHAnsi" w:eastAsiaTheme="minorEastAsia" w:hAnsiTheme="minorHAnsi" w:cstheme="minorBidi"/>
              <w:noProof/>
              <w:sz w:val="22"/>
              <w:szCs w:val="22"/>
              <w:lang w:val="en-US" w:eastAsia="en-US"/>
            </w:rPr>
          </w:pPr>
          <w:hyperlink w:anchor="_Toc26177817" w:history="1">
            <w:r w:rsidR="005339D7" w:rsidRPr="00AE55DC">
              <w:rPr>
                <w:rStyle w:val="Hipervnculo"/>
                <w:noProof/>
              </w:rPr>
              <w:t>b.1 Derecho a contar con un juez imparcial y el principio de presunción de inocencia</w:t>
            </w:r>
            <w:r w:rsidR="005339D7">
              <w:rPr>
                <w:noProof/>
                <w:webHidden/>
              </w:rPr>
              <w:tab/>
            </w:r>
            <w:r w:rsidR="005339D7">
              <w:rPr>
                <w:noProof/>
                <w:webHidden/>
              </w:rPr>
              <w:fldChar w:fldCharType="begin"/>
            </w:r>
            <w:r w:rsidR="005339D7">
              <w:rPr>
                <w:noProof/>
                <w:webHidden/>
              </w:rPr>
              <w:instrText xml:space="preserve"> PAGEREF _Toc26177817 \h </w:instrText>
            </w:r>
            <w:r w:rsidR="005339D7">
              <w:rPr>
                <w:noProof/>
                <w:webHidden/>
              </w:rPr>
            </w:r>
            <w:r w:rsidR="005339D7">
              <w:rPr>
                <w:noProof/>
                <w:webHidden/>
              </w:rPr>
              <w:fldChar w:fldCharType="separate"/>
            </w:r>
            <w:r>
              <w:rPr>
                <w:noProof/>
                <w:webHidden/>
              </w:rPr>
              <w:t>33</w:t>
            </w:r>
            <w:r w:rsidR="005339D7">
              <w:rPr>
                <w:noProof/>
                <w:webHidden/>
              </w:rPr>
              <w:fldChar w:fldCharType="end"/>
            </w:r>
          </w:hyperlink>
        </w:p>
        <w:p w14:paraId="789C0DE7" w14:textId="68F35215" w:rsidR="005339D7" w:rsidRDefault="00C11457">
          <w:pPr>
            <w:pStyle w:val="TDC3"/>
            <w:rPr>
              <w:rFonts w:asciiTheme="minorHAnsi" w:eastAsiaTheme="minorEastAsia" w:hAnsiTheme="minorHAnsi" w:cstheme="minorBidi"/>
              <w:noProof/>
              <w:sz w:val="22"/>
              <w:szCs w:val="22"/>
              <w:lang w:val="en-US" w:eastAsia="en-US"/>
            </w:rPr>
          </w:pPr>
          <w:hyperlink w:anchor="_Toc26177818" w:history="1">
            <w:r w:rsidR="005339D7" w:rsidRPr="00AE55DC">
              <w:rPr>
                <w:rStyle w:val="Hipervnculo"/>
                <w:noProof/>
              </w:rPr>
              <w:t>b.2 Derecho de defensa, el deber de motivación y el principio de presunción de inocencia</w:t>
            </w:r>
            <w:r w:rsidR="005339D7">
              <w:rPr>
                <w:noProof/>
                <w:webHidden/>
              </w:rPr>
              <w:tab/>
            </w:r>
            <w:r w:rsidR="005339D7">
              <w:rPr>
                <w:noProof/>
                <w:webHidden/>
              </w:rPr>
              <w:fldChar w:fldCharType="begin"/>
            </w:r>
            <w:r w:rsidR="005339D7">
              <w:rPr>
                <w:noProof/>
                <w:webHidden/>
              </w:rPr>
              <w:instrText xml:space="preserve"> PAGEREF _Toc26177818 \h </w:instrText>
            </w:r>
            <w:r w:rsidR="005339D7">
              <w:rPr>
                <w:noProof/>
                <w:webHidden/>
              </w:rPr>
            </w:r>
            <w:r w:rsidR="005339D7">
              <w:rPr>
                <w:noProof/>
                <w:webHidden/>
              </w:rPr>
              <w:fldChar w:fldCharType="separate"/>
            </w:r>
            <w:r>
              <w:rPr>
                <w:noProof/>
                <w:webHidden/>
              </w:rPr>
              <w:t>36</w:t>
            </w:r>
            <w:r w:rsidR="005339D7">
              <w:rPr>
                <w:noProof/>
                <w:webHidden/>
              </w:rPr>
              <w:fldChar w:fldCharType="end"/>
            </w:r>
          </w:hyperlink>
        </w:p>
        <w:p w14:paraId="15CE6057" w14:textId="0B630F7B" w:rsidR="005339D7" w:rsidRDefault="00C11457">
          <w:pPr>
            <w:pStyle w:val="TDC3"/>
            <w:rPr>
              <w:rFonts w:asciiTheme="minorHAnsi" w:eastAsiaTheme="minorEastAsia" w:hAnsiTheme="minorHAnsi" w:cstheme="minorBidi"/>
              <w:noProof/>
              <w:sz w:val="22"/>
              <w:szCs w:val="22"/>
              <w:lang w:val="en-US" w:eastAsia="en-US"/>
            </w:rPr>
          </w:pPr>
          <w:hyperlink w:anchor="_Toc26177819" w:history="1">
            <w:r w:rsidR="005339D7" w:rsidRPr="00AE55DC">
              <w:rPr>
                <w:rStyle w:val="Hipervnculo"/>
                <w:noProof/>
              </w:rPr>
              <w:t>b.3 Derecho de recurrir del fallo ante juez o tribunal superior</w:t>
            </w:r>
            <w:r w:rsidR="005339D7">
              <w:rPr>
                <w:noProof/>
                <w:webHidden/>
              </w:rPr>
              <w:tab/>
            </w:r>
            <w:r w:rsidR="005339D7">
              <w:rPr>
                <w:noProof/>
                <w:webHidden/>
              </w:rPr>
              <w:fldChar w:fldCharType="begin"/>
            </w:r>
            <w:r w:rsidR="005339D7">
              <w:rPr>
                <w:noProof/>
                <w:webHidden/>
              </w:rPr>
              <w:instrText xml:space="preserve"> PAGEREF _Toc26177819 \h </w:instrText>
            </w:r>
            <w:r w:rsidR="005339D7">
              <w:rPr>
                <w:noProof/>
                <w:webHidden/>
              </w:rPr>
            </w:r>
            <w:r w:rsidR="005339D7">
              <w:rPr>
                <w:noProof/>
                <w:webHidden/>
              </w:rPr>
              <w:fldChar w:fldCharType="separate"/>
            </w:r>
            <w:r>
              <w:rPr>
                <w:noProof/>
                <w:webHidden/>
              </w:rPr>
              <w:t>38</w:t>
            </w:r>
            <w:r w:rsidR="005339D7">
              <w:rPr>
                <w:noProof/>
                <w:webHidden/>
              </w:rPr>
              <w:fldChar w:fldCharType="end"/>
            </w:r>
          </w:hyperlink>
        </w:p>
        <w:p w14:paraId="2952A22E" w14:textId="58CF317D" w:rsidR="005339D7" w:rsidRDefault="00C11457">
          <w:pPr>
            <w:pStyle w:val="TDC1"/>
            <w:rPr>
              <w:rFonts w:asciiTheme="minorHAnsi" w:eastAsiaTheme="minorEastAsia" w:hAnsiTheme="minorHAnsi" w:cstheme="minorBidi"/>
              <w:b w:val="0"/>
              <w:sz w:val="22"/>
              <w:szCs w:val="22"/>
              <w:lang w:val="en-US" w:eastAsia="en-US"/>
            </w:rPr>
          </w:pPr>
          <w:hyperlink w:anchor="_Toc26177820" w:history="1">
            <w:r w:rsidR="005339D7" w:rsidRPr="00AE55DC">
              <w:rPr>
                <w:rStyle w:val="Hipervnculo"/>
              </w:rPr>
              <w:t>IX REPARACIONES</w:t>
            </w:r>
            <w:r w:rsidR="005339D7">
              <w:rPr>
                <w:webHidden/>
              </w:rPr>
              <w:tab/>
            </w:r>
            <w:r w:rsidR="005339D7">
              <w:rPr>
                <w:webHidden/>
              </w:rPr>
              <w:fldChar w:fldCharType="begin"/>
            </w:r>
            <w:r w:rsidR="005339D7">
              <w:rPr>
                <w:webHidden/>
              </w:rPr>
              <w:instrText xml:space="preserve"> PAGEREF _Toc26177820 \h </w:instrText>
            </w:r>
            <w:r w:rsidR="005339D7">
              <w:rPr>
                <w:webHidden/>
              </w:rPr>
            </w:r>
            <w:r w:rsidR="005339D7">
              <w:rPr>
                <w:webHidden/>
              </w:rPr>
              <w:fldChar w:fldCharType="separate"/>
            </w:r>
            <w:r>
              <w:rPr>
                <w:webHidden/>
              </w:rPr>
              <w:t>41</w:t>
            </w:r>
            <w:r w:rsidR="005339D7">
              <w:rPr>
                <w:webHidden/>
              </w:rPr>
              <w:fldChar w:fldCharType="end"/>
            </w:r>
          </w:hyperlink>
        </w:p>
        <w:p w14:paraId="62247781" w14:textId="6631C6CD" w:rsidR="005339D7" w:rsidRDefault="00C11457">
          <w:pPr>
            <w:pStyle w:val="TDC2"/>
            <w:rPr>
              <w:rFonts w:asciiTheme="minorHAnsi" w:eastAsiaTheme="minorEastAsia" w:hAnsiTheme="minorHAnsi" w:cstheme="minorBidi"/>
              <w:noProof/>
              <w:sz w:val="22"/>
              <w:szCs w:val="22"/>
              <w:lang w:val="en-US" w:eastAsia="en-US"/>
            </w:rPr>
          </w:pPr>
          <w:hyperlink w:anchor="_Toc26177821" w:history="1">
            <w:r w:rsidR="005339D7" w:rsidRPr="00AE55DC">
              <w:rPr>
                <w:rStyle w:val="Hipervnculo"/>
                <w:noProof/>
              </w:rPr>
              <w:t>A.Parte lesionada</w:t>
            </w:r>
            <w:r w:rsidR="005339D7">
              <w:rPr>
                <w:noProof/>
                <w:webHidden/>
              </w:rPr>
              <w:tab/>
            </w:r>
            <w:r w:rsidR="005339D7">
              <w:rPr>
                <w:noProof/>
                <w:webHidden/>
              </w:rPr>
              <w:fldChar w:fldCharType="begin"/>
            </w:r>
            <w:r w:rsidR="005339D7">
              <w:rPr>
                <w:noProof/>
                <w:webHidden/>
              </w:rPr>
              <w:instrText xml:space="preserve"> PAGEREF _Toc26177821 \h </w:instrText>
            </w:r>
            <w:r w:rsidR="005339D7">
              <w:rPr>
                <w:noProof/>
                <w:webHidden/>
              </w:rPr>
            </w:r>
            <w:r w:rsidR="005339D7">
              <w:rPr>
                <w:noProof/>
                <w:webHidden/>
              </w:rPr>
              <w:fldChar w:fldCharType="separate"/>
            </w:r>
            <w:r>
              <w:rPr>
                <w:noProof/>
                <w:webHidden/>
              </w:rPr>
              <w:t>42</w:t>
            </w:r>
            <w:r w:rsidR="005339D7">
              <w:rPr>
                <w:noProof/>
                <w:webHidden/>
              </w:rPr>
              <w:fldChar w:fldCharType="end"/>
            </w:r>
          </w:hyperlink>
        </w:p>
        <w:p w14:paraId="2C0983EE" w14:textId="2911C0C5" w:rsidR="005339D7" w:rsidRDefault="00C11457">
          <w:pPr>
            <w:pStyle w:val="TDC2"/>
            <w:rPr>
              <w:rFonts w:asciiTheme="minorHAnsi" w:eastAsiaTheme="minorEastAsia" w:hAnsiTheme="minorHAnsi" w:cstheme="minorBidi"/>
              <w:noProof/>
              <w:sz w:val="22"/>
              <w:szCs w:val="22"/>
              <w:lang w:val="en-US" w:eastAsia="en-US"/>
            </w:rPr>
          </w:pPr>
          <w:hyperlink w:anchor="_Toc26177822" w:history="1">
            <w:r w:rsidR="005339D7" w:rsidRPr="00AE55DC">
              <w:rPr>
                <w:rStyle w:val="Hipervnculo"/>
                <w:noProof/>
              </w:rPr>
              <w:t>B.Medidas de rehabilitación y satisfacción</w:t>
            </w:r>
            <w:r w:rsidR="005339D7">
              <w:rPr>
                <w:noProof/>
                <w:webHidden/>
              </w:rPr>
              <w:tab/>
            </w:r>
            <w:r w:rsidR="005339D7">
              <w:rPr>
                <w:noProof/>
                <w:webHidden/>
              </w:rPr>
              <w:fldChar w:fldCharType="begin"/>
            </w:r>
            <w:r w:rsidR="005339D7">
              <w:rPr>
                <w:noProof/>
                <w:webHidden/>
              </w:rPr>
              <w:instrText xml:space="preserve"> PAGEREF _Toc26177822 \h </w:instrText>
            </w:r>
            <w:r w:rsidR="005339D7">
              <w:rPr>
                <w:noProof/>
                <w:webHidden/>
              </w:rPr>
            </w:r>
            <w:r w:rsidR="005339D7">
              <w:rPr>
                <w:noProof/>
                <w:webHidden/>
              </w:rPr>
              <w:fldChar w:fldCharType="separate"/>
            </w:r>
            <w:r>
              <w:rPr>
                <w:noProof/>
                <w:webHidden/>
              </w:rPr>
              <w:t>42</w:t>
            </w:r>
            <w:r w:rsidR="005339D7">
              <w:rPr>
                <w:noProof/>
                <w:webHidden/>
              </w:rPr>
              <w:fldChar w:fldCharType="end"/>
            </w:r>
          </w:hyperlink>
        </w:p>
        <w:p w14:paraId="041702CD" w14:textId="59C4130F" w:rsidR="005339D7" w:rsidRDefault="00C11457">
          <w:pPr>
            <w:pStyle w:val="TDC3"/>
            <w:rPr>
              <w:rFonts w:asciiTheme="minorHAnsi" w:eastAsiaTheme="minorEastAsia" w:hAnsiTheme="minorHAnsi" w:cstheme="minorBidi"/>
              <w:noProof/>
              <w:sz w:val="22"/>
              <w:szCs w:val="22"/>
              <w:lang w:val="en-US" w:eastAsia="en-US"/>
            </w:rPr>
          </w:pPr>
          <w:hyperlink w:anchor="_Toc26177823" w:history="1">
            <w:r w:rsidR="005339D7" w:rsidRPr="00AE55DC">
              <w:rPr>
                <w:rStyle w:val="Hipervnculo"/>
                <w:noProof/>
              </w:rPr>
              <w:t>b.1 Medidas de rehabilitación</w:t>
            </w:r>
            <w:r w:rsidR="005339D7">
              <w:rPr>
                <w:noProof/>
                <w:webHidden/>
              </w:rPr>
              <w:tab/>
            </w:r>
            <w:r w:rsidR="005339D7">
              <w:rPr>
                <w:noProof/>
                <w:webHidden/>
              </w:rPr>
              <w:fldChar w:fldCharType="begin"/>
            </w:r>
            <w:r w:rsidR="005339D7">
              <w:rPr>
                <w:noProof/>
                <w:webHidden/>
              </w:rPr>
              <w:instrText xml:space="preserve"> PAGEREF _Toc26177823 \h </w:instrText>
            </w:r>
            <w:r w:rsidR="005339D7">
              <w:rPr>
                <w:noProof/>
                <w:webHidden/>
              </w:rPr>
            </w:r>
            <w:r w:rsidR="005339D7">
              <w:rPr>
                <w:noProof/>
                <w:webHidden/>
              </w:rPr>
              <w:fldChar w:fldCharType="separate"/>
            </w:r>
            <w:r>
              <w:rPr>
                <w:noProof/>
                <w:webHidden/>
              </w:rPr>
              <w:t>42</w:t>
            </w:r>
            <w:r w:rsidR="005339D7">
              <w:rPr>
                <w:noProof/>
                <w:webHidden/>
              </w:rPr>
              <w:fldChar w:fldCharType="end"/>
            </w:r>
          </w:hyperlink>
        </w:p>
        <w:p w14:paraId="01D334F0" w14:textId="1B65B8F7" w:rsidR="005339D7" w:rsidRDefault="00C11457">
          <w:pPr>
            <w:pStyle w:val="TDC3"/>
            <w:rPr>
              <w:rFonts w:asciiTheme="minorHAnsi" w:eastAsiaTheme="minorEastAsia" w:hAnsiTheme="minorHAnsi" w:cstheme="minorBidi"/>
              <w:noProof/>
              <w:sz w:val="22"/>
              <w:szCs w:val="22"/>
              <w:lang w:val="en-US" w:eastAsia="en-US"/>
            </w:rPr>
          </w:pPr>
          <w:hyperlink w:anchor="_Toc26177824" w:history="1">
            <w:r w:rsidR="005339D7" w:rsidRPr="00AE55DC">
              <w:rPr>
                <w:rStyle w:val="Hipervnculo"/>
                <w:noProof/>
              </w:rPr>
              <w:t>b.2 Medidas de satisfacción</w:t>
            </w:r>
            <w:r w:rsidR="005339D7">
              <w:rPr>
                <w:noProof/>
                <w:webHidden/>
              </w:rPr>
              <w:tab/>
            </w:r>
            <w:r w:rsidR="005339D7">
              <w:rPr>
                <w:noProof/>
                <w:webHidden/>
              </w:rPr>
              <w:fldChar w:fldCharType="begin"/>
            </w:r>
            <w:r w:rsidR="005339D7">
              <w:rPr>
                <w:noProof/>
                <w:webHidden/>
              </w:rPr>
              <w:instrText xml:space="preserve"> PAGEREF _Toc26177824 \h </w:instrText>
            </w:r>
            <w:r w:rsidR="005339D7">
              <w:rPr>
                <w:noProof/>
                <w:webHidden/>
              </w:rPr>
            </w:r>
            <w:r w:rsidR="005339D7">
              <w:rPr>
                <w:noProof/>
                <w:webHidden/>
              </w:rPr>
              <w:fldChar w:fldCharType="separate"/>
            </w:r>
            <w:r>
              <w:rPr>
                <w:noProof/>
                <w:webHidden/>
              </w:rPr>
              <w:t>42</w:t>
            </w:r>
            <w:r w:rsidR="005339D7">
              <w:rPr>
                <w:noProof/>
                <w:webHidden/>
              </w:rPr>
              <w:fldChar w:fldCharType="end"/>
            </w:r>
          </w:hyperlink>
        </w:p>
        <w:p w14:paraId="1EA29316" w14:textId="43A457AA" w:rsidR="005339D7" w:rsidRDefault="00C11457">
          <w:pPr>
            <w:pStyle w:val="TDC3"/>
            <w:rPr>
              <w:rFonts w:asciiTheme="minorHAnsi" w:eastAsiaTheme="minorEastAsia" w:hAnsiTheme="minorHAnsi" w:cstheme="minorBidi"/>
              <w:noProof/>
              <w:sz w:val="22"/>
              <w:szCs w:val="22"/>
              <w:lang w:val="en-US" w:eastAsia="en-US"/>
            </w:rPr>
          </w:pPr>
          <w:hyperlink w:anchor="_Toc26177825" w:history="1">
            <w:r w:rsidR="005339D7" w:rsidRPr="00AE55DC">
              <w:rPr>
                <w:rStyle w:val="Hipervnculo"/>
                <w:noProof/>
              </w:rPr>
              <w:t>b.3 Garantías de no repetición</w:t>
            </w:r>
            <w:r w:rsidR="005339D7">
              <w:rPr>
                <w:noProof/>
                <w:webHidden/>
              </w:rPr>
              <w:tab/>
            </w:r>
            <w:r w:rsidR="005339D7">
              <w:rPr>
                <w:noProof/>
                <w:webHidden/>
              </w:rPr>
              <w:fldChar w:fldCharType="begin"/>
            </w:r>
            <w:r w:rsidR="005339D7">
              <w:rPr>
                <w:noProof/>
                <w:webHidden/>
              </w:rPr>
              <w:instrText xml:space="preserve"> PAGEREF _Toc26177825 \h </w:instrText>
            </w:r>
            <w:r w:rsidR="005339D7">
              <w:rPr>
                <w:noProof/>
                <w:webHidden/>
              </w:rPr>
            </w:r>
            <w:r w:rsidR="005339D7">
              <w:rPr>
                <w:noProof/>
                <w:webHidden/>
              </w:rPr>
              <w:fldChar w:fldCharType="separate"/>
            </w:r>
            <w:r>
              <w:rPr>
                <w:noProof/>
                <w:webHidden/>
              </w:rPr>
              <w:t>43</w:t>
            </w:r>
            <w:r w:rsidR="005339D7">
              <w:rPr>
                <w:noProof/>
                <w:webHidden/>
              </w:rPr>
              <w:fldChar w:fldCharType="end"/>
            </w:r>
          </w:hyperlink>
        </w:p>
        <w:p w14:paraId="5DF179CD" w14:textId="00CABF16" w:rsidR="005339D7" w:rsidRDefault="00C11457">
          <w:pPr>
            <w:pStyle w:val="TDC2"/>
            <w:rPr>
              <w:rFonts w:asciiTheme="minorHAnsi" w:eastAsiaTheme="minorEastAsia" w:hAnsiTheme="minorHAnsi" w:cstheme="minorBidi"/>
              <w:noProof/>
              <w:sz w:val="22"/>
              <w:szCs w:val="22"/>
              <w:lang w:val="en-US" w:eastAsia="en-US"/>
            </w:rPr>
          </w:pPr>
          <w:hyperlink w:anchor="_Toc26177826" w:history="1">
            <w:r w:rsidR="005339D7" w:rsidRPr="00AE55DC">
              <w:rPr>
                <w:rStyle w:val="Hipervnculo"/>
                <w:noProof/>
              </w:rPr>
              <w:t>C.Otras medidas solicitadas</w:t>
            </w:r>
            <w:r w:rsidR="005339D7">
              <w:rPr>
                <w:noProof/>
                <w:webHidden/>
              </w:rPr>
              <w:tab/>
            </w:r>
            <w:r w:rsidR="005339D7">
              <w:rPr>
                <w:noProof/>
                <w:webHidden/>
              </w:rPr>
              <w:fldChar w:fldCharType="begin"/>
            </w:r>
            <w:r w:rsidR="005339D7">
              <w:rPr>
                <w:noProof/>
                <w:webHidden/>
              </w:rPr>
              <w:instrText xml:space="preserve"> PAGEREF _Toc26177826 \h </w:instrText>
            </w:r>
            <w:r w:rsidR="005339D7">
              <w:rPr>
                <w:noProof/>
                <w:webHidden/>
              </w:rPr>
            </w:r>
            <w:r w:rsidR="005339D7">
              <w:rPr>
                <w:noProof/>
                <w:webHidden/>
              </w:rPr>
              <w:fldChar w:fldCharType="separate"/>
            </w:r>
            <w:r>
              <w:rPr>
                <w:noProof/>
                <w:webHidden/>
              </w:rPr>
              <w:t>43</w:t>
            </w:r>
            <w:r w:rsidR="005339D7">
              <w:rPr>
                <w:noProof/>
                <w:webHidden/>
              </w:rPr>
              <w:fldChar w:fldCharType="end"/>
            </w:r>
          </w:hyperlink>
        </w:p>
        <w:p w14:paraId="13DA90E8" w14:textId="1FDB9D2E" w:rsidR="005339D7" w:rsidRDefault="00C11457">
          <w:pPr>
            <w:pStyle w:val="TDC2"/>
            <w:rPr>
              <w:rFonts w:asciiTheme="minorHAnsi" w:eastAsiaTheme="minorEastAsia" w:hAnsiTheme="minorHAnsi" w:cstheme="minorBidi"/>
              <w:noProof/>
              <w:sz w:val="22"/>
              <w:szCs w:val="22"/>
              <w:lang w:val="en-US" w:eastAsia="en-US"/>
            </w:rPr>
          </w:pPr>
          <w:hyperlink w:anchor="_Toc26177827" w:history="1">
            <w:r w:rsidR="005339D7">
              <w:rPr>
                <w:rStyle w:val="Hipervnculo"/>
                <w:noProof/>
              </w:rPr>
              <w:t>D.</w:t>
            </w:r>
            <w:r w:rsidR="005339D7" w:rsidRPr="00AE55DC">
              <w:rPr>
                <w:rStyle w:val="Hipervnculo"/>
                <w:noProof/>
              </w:rPr>
              <w:t>Indemnizaciones compensatorias</w:t>
            </w:r>
            <w:r w:rsidR="005339D7">
              <w:rPr>
                <w:noProof/>
                <w:webHidden/>
              </w:rPr>
              <w:tab/>
            </w:r>
            <w:r w:rsidR="005339D7">
              <w:rPr>
                <w:noProof/>
                <w:webHidden/>
              </w:rPr>
              <w:fldChar w:fldCharType="begin"/>
            </w:r>
            <w:r w:rsidR="005339D7">
              <w:rPr>
                <w:noProof/>
                <w:webHidden/>
              </w:rPr>
              <w:instrText xml:space="preserve"> PAGEREF _Toc26177827 \h </w:instrText>
            </w:r>
            <w:r w:rsidR="005339D7">
              <w:rPr>
                <w:noProof/>
                <w:webHidden/>
              </w:rPr>
            </w:r>
            <w:r w:rsidR="005339D7">
              <w:rPr>
                <w:noProof/>
                <w:webHidden/>
              </w:rPr>
              <w:fldChar w:fldCharType="separate"/>
            </w:r>
            <w:r>
              <w:rPr>
                <w:noProof/>
                <w:webHidden/>
              </w:rPr>
              <w:t>44</w:t>
            </w:r>
            <w:r w:rsidR="005339D7">
              <w:rPr>
                <w:noProof/>
                <w:webHidden/>
              </w:rPr>
              <w:fldChar w:fldCharType="end"/>
            </w:r>
          </w:hyperlink>
        </w:p>
        <w:p w14:paraId="42F5C92E" w14:textId="285503D8" w:rsidR="005339D7" w:rsidRDefault="00C11457">
          <w:pPr>
            <w:pStyle w:val="TDC3"/>
            <w:rPr>
              <w:rFonts w:asciiTheme="minorHAnsi" w:eastAsiaTheme="minorEastAsia" w:hAnsiTheme="minorHAnsi" w:cstheme="minorBidi"/>
              <w:noProof/>
              <w:sz w:val="22"/>
              <w:szCs w:val="22"/>
              <w:lang w:val="en-US" w:eastAsia="en-US"/>
            </w:rPr>
          </w:pPr>
          <w:hyperlink w:anchor="_Toc26177828" w:history="1">
            <w:r w:rsidR="005339D7" w:rsidRPr="00AE55DC">
              <w:rPr>
                <w:rStyle w:val="Hipervnculo"/>
                <w:noProof/>
              </w:rPr>
              <w:t>d.1 Daño material</w:t>
            </w:r>
            <w:r w:rsidR="005339D7">
              <w:rPr>
                <w:noProof/>
                <w:webHidden/>
              </w:rPr>
              <w:tab/>
            </w:r>
            <w:r w:rsidR="005339D7">
              <w:rPr>
                <w:noProof/>
                <w:webHidden/>
              </w:rPr>
              <w:fldChar w:fldCharType="begin"/>
            </w:r>
            <w:r w:rsidR="005339D7">
              <w:rPr>
                <w:noProof/>
                <w:webHidden/>
              </w:rPr>
              <w:instrText xml:space="preserve"> PAGEREF _Toc26177828 \h </w:instrText>
            </w:r>
            <w:r w:rsidR="005339D7">
              <w:rPr>
                <w:noProof/>
                <w:webHidden/>
              </w:rPr>
            </w:r>
            <w:r w:rsidR="005339D7">
              <w:rPr>
                <w:noProof/>
                <w:webHidden/>
              </w:rPr>
              <w:fldChar w:fldCharType="separate"/>
            </w:r>
            <w:r>
              <w:rPr>
                <w:noProof/>
                <w:webHidden/>
              </w:rPr>
              <w:t>44</w:t>
            </w:r>
            <w:r w:rsidR="005339D7">
              <w:rPr>
                <w:noProof/>
                <w:webHidden/>
              </w:rPr>
              <w:fldChar w:fldCharType="end"/>
            </w:r>
          </w:hyperlink>
        </w:p>
        <w:p w14:paraId="6A33CCB0" w14:textId="5B64E007" w:rsidR="005339D7" w:rsidRDefault="00C11457">
          <w:pPr>
            <w:pStyle w:val="TDC3"/>
            <w:rPr>
              <w:rFonts w:asciiTheme="minorHAnsi" w:eastAsiaTheme="minorEastAsia" w:hAnsiTheme="minorHAnsi" w:cstheme="minorBidi"/>
              <w:noProof/>
              <w:sz w:val="22"/>
              <w:szCs w:val="22"/>
              <w:lang w:val="en-US" w:eastAsia="en-US"/>
            </w:rPr>
          </w:pPr>
          <w:hyperlink w:anchor="_Toc26177829" w:history="1">
            <w:r w:rsidR="005339D7" w:rsidRPr="00AE55DC">
              <w:rPr>
                <w:rStyle w:val="Hipervnculo"/>
                <w:noProof/>
              </w:rPr>
              <w:t>d.2 Daño inmaterial</w:t>
            </w:r>
            <w:r w:rsidR="005339D7">
              <w:rPr>
                <w:noProof/>
                <w:webHidden/>
              </w:rPr>
              <w:tab/>
            </w:r>
            <w:r w:rsidR="005339D7">
              <w:rPr>
                <w:noProof/>
                <w:webHidden/>
              </w:rPr>
              <w:fldChar w:fldCharType="begin"/>
            </w:r>
            <w:r w:rsidR="005339D7">
              <w:rPr>
                <w:noProof/>
                <w:webHidden/>
              </w:rPr>
              <w:instrText xml:space="preserve"> PAGEREF _Toc26177829 \h </w:instrText>
            </w:r>
            <w:r w:rsidR="005339D7">
              <w:rPr>
                <w:noProof/>
                <w:webHidden/>
              </w:rPr>
            </w:r>
            <w:r w:rsidR="005339D7">
              <w:rPr>
                <w:noProof/>
                <w:webHidden/>
              </w:rPr>
              <w:fldChar w:fldCharType="separate"/>
            </w:r>
            <w:r>
              <w:rPr>
                <w:noProof/>
                <w:webHidden/>
              </w:rPr>
              <w:t>45</w:t>
            </w:r>
            <w:r w:rsidR="005339D7">
              <w:rPr>
                <w:noProof/>
                <w:webHidden/>
              </w:rPr>
              <w:fldChar w:fldCharType="end"/>
            </w:r>
          </w:hyperlink>
        </w:p>
        <w:p w14:paraId="60407A1D" w14:textId="5A0B38D8" w:rsidR="005339D7" w:rsidRDefault="00C11457">
          <w:pPr>
            <w:pStyle w:val="TDC2"/>
            <w:rPr>
              <w:rFonts w:asciiTheme="minorHAnsi" w:eastAsiaTheme="minorEastAsia" w:hAnsiTheme="minorHAnsi" w:cstheme="minorBidi"/>
              <w:noProof/>
              <w:sz w:val="22"/>
              <w:szCs w:val="22"/>
              <w:lang w:val="en-US" w:eastAsia="en-US"/>
            </w:rPr>
          </w:pPr>
          <w:hyperlink w:anchor="_Toc26177830" w:history="1">
            <w:r w:rsidR="005339D7" w:rsidRPr="00AE55DC">
              <w:rPr>
                <w:rStyle w:val="Hipervnculo"/>
                <w:noProof/>
              </w:rPr>
              <w:t>G.Costas y Gastos</w:t>
            </w:r>
            <w:r w:rsidR="005339D7">
              <w:rPr>
                <w:noProof/>
                <w:webHidden/>
              </w:rPr>
              <w:tab/>
            </w:r>
            <w:r w:rsidR="005339D7">
              <w:rPr>
                <w:noProof/>
                <w:webHidden/>
              </w:rPr>
              <w:fldChar w:fldCharType="begin"/>
            </w:r>
            <w:r w:rsidR="005339D7">
              <w:rPr>
                <w:noProof/>
                <w:webHidden/>
              </w:rPr>
              <w:instrText xml:space="preserve"> PAGEREF _Toc26177830 \h </w:instrText>
            </w:r>
            <w:r w:rsidR="005339D7">
              <w:rPr>
                <w:noProof/>
                <w:webHidden/>
              </w:rPr>
            </w:r>
            <w:r w:rsidR="005339D7">
              <w:rPr>
                <w:noProof/>
                <w:webHidden/>
              </w:rPr>
              <w:fldChar w:fldCharType="separate"/>
            </w:r>
            <w:r>
              <w:rPr>
                <w:noProof/>
                <w:webHidden/>
              </w:rPr>
              <w:t>46</w:t>
            </w:r>
            <w:r w:rsidR="005339D7">
              <w:rPr>
                <w:noProof/>
                <w:webHidden/>
              </w:rPr>
              <w:fldChar w:fldCharType="end"/>
            </w:r>
          </w:hyperlink>
        </w:p>
        <w:p w14:paraId="2499A63E" w14:textId="73A0FC82" w:rsidR="005339D7" w:rsidRDefault="00C11457">
          <w:pPr>
            <w:pStyle w:val="TDC2"/>
            <w:rPr>
              <w:rFonts w:asciiTheme="minorHAnsi" w:eastAsiaTheme="minorEastAsia" w:hAnsiTheme="minorHAnsi" w:cstheme="minorBidi"/>
              <w:noProof/>
              <w:sz w:val="22"/>
              <w:szCs w:val="22"/>
              <w:lang w:val="en-US" w:eastAsia="en-US"/>
            </w:rPr>
          </w:pPr>
          <w:hyperlink w:anchor="_Toc26177831" w:history="1">
            <w:r w:rsidR="005339D7" w:rsidRPr="00AE55DC">
              <w:rPr>
                <w:rStyle w:val="Hipervnculo"/>
                <w:noProof/>
              </w:rPr>
              <w:t>H. Reintegro de los gastos al Fondo de Asistencia Legal de Víctimas de la Corte Interamericana</w:t>
            </w:r>
            <w:r w:rsidR="005339D7">
              <w:rPr>
                <w:noProof/>
                <w:webHidden/>
              </w:rPr>
              <w:tab/>
            </w:r>
            <w:r w:rsidR="005339D7">
              <w:rPr>
                <w:noProof/>
                <w:webHidden/>
              </w:rPr>
              <w:fldChar w:fldCharType="begin"/>
            </w:r>
            <w:r w:rsidR="005339D7">
              <w:rPr>
                <w:noProof/>
                <w:webHidden/>
              </w:rPr>
              <w:instrText xml:space="preserve"> PAGEREF _Toc26177831 \h </w:instrText>
            </w:r>
            <w:r w:rsidR="005339D7">
              <w:rPr>
                <w:noProof/>
                <w:webHidden/>
              </w:rPr>
            </w:r>
            <w:r w:rsidR="005339D7">
              <w:rPr>
                <w:noProof/>
                <w:webHidden/>
              </w:rPr>
              <w:fldChar w:fldCharType="separate"/>
            </w:r>
            <w:r>
              <w:rPr>
                <w:noProof/>
                <w:webHidden/>
              </w:rPr>
              <w:t>47</w:t>
            </w:r>
            <w:r w:rsidR="005339D7">
              <w:rPr>
                <w:noProof/>
                <w:webHidden/>
              </w:rPr>
              <w:fldChar w:fldCharType="end"/>
            </w:r>
          </w:hyperlink>
        </w:p>
        <w:p w14:paraId="358B6E18" w14:textId="6C567E78" w:rsidR="005339D7" w:rsidRDefault="00C11457">
          <w:pPr>
            <w:pStyle w:val="TDC2"/>
            <w:rPr>
              <w:rFonts w:asciiTheme="minorHAnsi" w:eastAsiaTheme="minorEastAsia" w:hAnsiTheme="minorHAnsi" w:cstheme="minorBidi"/>
              <w:noProof/>
              <w:sz w:val="22"/>
              <w:szCs w:val="22"/>
              <w:lang w:val="en-US" w:eastAsia="en-US"/>
            </w:rPr>
          </w:pPr>
          <w:hyperlink w:anchor="_Toc26177832" w:history="1">
            <w:r w:rsidR="005339D7" w:rsidRPr="00AE55DC">
              <w:rPr>
                <w:rStyle w:val="Hipervnculo"/>
                <w:noProof/>
              </w:rPr>
              <w:t>I. Modalidad de cumplimiento de los pagos ordenados</w:t>
            </w:r>
            <w:r w:rsidR="005339D7">
              <w:rPr>
                <w:noProof/>
                <w:webHidden/>
              </w:rPr>
              <w:tab/>
            </w:r>
            <w:r w:rsidR="005339D7">
              <w:rPr>
                <w:noProof/>
                <w:webHidden/>
              </w:rPr>
              <w:fldChar w:fldCharType="begin"/>
            </w:r>
            <w:r w:rsidR="005339D7">
              <w:rPr>
                <w:noProof/>
                <w:webHidden/>
              </w:rPr>
              <w:instrText xml:space="preserve"> PAGEREF _Toc26177832 \h </w:instrText>
            </w:r>
            <w:r w:rsidR="005339D7">
              <w:rPr>
                <w:noProof/>
                <w:webHidden/>
              </w:rPr>
            </w:r>
            <w:r w:rsidR="005339D7">
              <w:rPr>
                <w:noProof/>
                <w:webHidden/>
              </w:rPr>
              <w:fldChar w:fldCharType="separate"/>
            </w:r>
            <w:r>
              <w:rPr>
                <w:noProof/>
                <w:webHidden/>
              </w:rPr>
              <w:t>48</w:t>
            </w:r>
            <w:r w:rsidR="005339D7">
              <w:rPr>
                <w:noProof/>
                <w:webHidden/>
              </w:rPr>
              <w:fldChar w:fldCharType="end"/>
            </w:r>
          </w:hyperlink>
        </w:p>
        <w:p w14:paraId="410B52D4" w14:textId="78F45682" w:rsidR="005339D7" w:rsidRDefault="00C11457">
          <w:pPr>
            <w:pStyle w:val="TDC1"/>
            <w:rPr>
              <w:rFonts w:asciiTheme="minorHAnsi" w:eastAsiaTheme="minorEastAsia" w:hAnsiTheme="minorHAnsi" w:cstheme="minorBidi"/>
              <w:b w:val="0"/>
              <w:sz w:val="22"/>
              <w:szCs w:val="22"/>
              <w:lang w:val="en-US" w:eastAsia="en-US"/>
            </w:rPr>
          </w:pPr>
          <w:hyperlink w:anchor="_Toc26177833" w:history="1">
            <w:r w:rsidR="005339D7" w:rsidRPr="00AE55DC">
              <w:rPr>
                <w:rStyle w:val="Hipervnculo"/>
              </w:rPr>
              <w:t>X PUNTOS RESOLUTIVOS</w:t>
            </w:r>
            <w:r w:rsidR="005339D7">
              <w:rPr>
                <w:webHidden/>
              </w:rPr>
              <w:tab/>
            </w:r>
            <w:r w:rsidR="005339D7">
              <w:rPr>
                <w:webHidden/>
              </w:rPr>
              <w:fldChar w:fldCharType="begin"/>
            </w:r>
            <w:r w:rsidR="005339D7">
              <w:rPr>
                <w:webHidden/>
              </w:rPr>
              <w:instrText xml:space="preserve"> PAGEREF _Toc26177833 \h </w:instrText>
            </w:r>
            <w:r w:rsidR="005339D7">
              <w:rPr>
                <w:webHidden/>
              </w:rPr>
            </w:r>
            <w:r w:rsidR="005339D7">
              <w:rPr>
                <w:webHidden/>
              </w:rPr>
              <w:fldChar w:fldCharType="separate"/>
            </w:r>
            <w:r>
              <w:rPr>
                <w:webHidden/>
              </w:rPr>
              <w:t>49</w:t>
            </w:r>
            <w:r w:rsidR="005339D7">
              <w:rPr>
                <w:webHidden/>
              </w:rPr>
              <w:fldChar w:fldCharType="end"/>
            </w:r>
          </w:hyperlink>
        </w:p>
        <w:p w14:paraId="6A756D20" w14:textId="77777777" w:rsidR="00467516" w:rsidRPr="006B0525" w:rsidRDefault="00467516" w:rsidP="00530549">
          <w:r w:rsidRPr="006B0525">
            <w:rPr>
              <w:b/>
              <w:bCs/>
              <w:noProof/>
              <w:sz w:val="19"/>
              <w:szCs w:val="19"/>
            </w:rPr>
            <w:fldChar w:fldCharType="end"/>
          </w:r>
        </w:p>
      </w:sdtContent>
    </w:sdt>
    <w:p w14:paraId="35E843DC" w14:textId="77777777" w:rsidR="00912D70" w:rsidRPr="006B0525" w:rsidRDefault="00912D70">
      <w:pPr>
        <w:widowControl/>
        <w:adjustRightInd/>
        <w:spacing w:after="160" w:line="259" w:lineRule="auto"/>
        <w:jc w:val="left"/>
        <w:textAlignment w:val="auto"/>
        <w:rPr>
          <w:rFonts w:cs="Verdana"/>
          <w:b/>
          <w:bCs/>
          <w:caps/>
          <w:snapToGrid w:val="0"/>
        </w:rPr>
      </w:pPr>
      <w:r w:rsidRPr="006B0525">
        <w:br w:type="page"/>
      </w:r>
    </w:p>
    <w:p w14:paraId="2A802398" w14:textId="77777777" w:rsidR="00467516" w:rsidRPr="006B0525" w:rsidRDefault="00467516" w:rsidP="00530549">
      <w:pPr>
        <w:pStyle w:val="Ttulo1"/>
      </w:pPr>
      <w:bookmarkStart w:id="0" w:name="_Toc26177788"/>
      <w:r w:rsidRPr="006B0525">
        <w:lastRenderedPageBreak/>
        <w:t>I</w:t>
      </w:r>
      <w:r w:rsidRPr="006B0525">
        <w:br/>
        <w:t>INTRODUCCIÓN DE LA CAUSA Y OBJETO DE LA CONTROVERSIA</w:t>
      </w:r>
      <w:bookmarkEnd w:id="0"/>
    </w:p>
    <w:p w14:paraId="10E23B70" w14:textId="77777777" w:rsidR="001430FB" w:rsidRPr="006B0525" w:rsidRDefault="001430FB" w:rsidP="00454CF5">
      <w:pPr>
        <w:pStyle w:val="Normal1"/>
        <w:widowControl/>
        <w:numPr>
          <w:ilvl w:val="0"/>
          <w:numId w:val="4"/>
        </w:numPr>
        <w:spacing w:before="120" w:after="120"/>
        <w:ind w:left="0" w:firstLine="0"/>
        <w:contextualSpacing/>
        <w:jc w:val="both"/>
        <w:rPr>
          <w:rFonts w:ascii="Verdana" w:hAnsi="Verdana"/>
          <w:b/>
          <w:sz w:val="20"/>
          <w:szCs w:val="20"/>
        </w:rPr>
      </w:pPr>
      <w:r w:rsidRPr="006B0525">
        <w:rPr>
          <w:rFonts w:ascii="Verdana" w:hAnsi="Verdana"/>
          <w:i/>
          <w:sz w:val="20"/>
          <w:szCs w:val="20"/>
        </w:rPr>
        <w:t xml:space="preserve">El caso sometido a la Corte. </w:t>
      </w:r>
      <w:r w:rsidRPr="006B0525">
        <w:rPr>
          <w:rFonts w:ascii="Verdana" w:hAnsi="Verdana"/>
          <w:sz w:val="20"/>
          <w:szCs w:val="20"/>
        </w:rPr>
        <w:t xml:space="preserve">– El 26 de enero de 2018 la Comisión Interamericana de </w:t>
      </w:r>
      <w:r w:rsidRPr="006B0525">
        <w:rPr>
          <w:rFonts w:ascii="Verdana" w:hAnsi="Verdana"/>
          <w:iCs/>
          <w:sz w:val="20"/>
          <w:szCs w:val="20"/>
        </w:rPr>
        <w:t>Derechos</w:t>
      </w:r>
      <w:r w:rsidRPr="006B0525">
        <w:rPr>
          <w:rFonts w:ascii="Verdana" w:hAnsi="Verdana"/>
          <w:sz w:val="20"/>
          <w:szCs w:val="20"/>
        </w:rPr>
        <w:t xml:space="preserve"> Humanos (en adelante “la Comisión Interamericana” o “la Comisión”) sometió a la jurisdicción de la Corte Interamericana el caso “Miguel Ángel Rodríguez Revolorio, Miguel Ángel Ló</w:t>
      </w:r>
      <w:r w:rsidR="00F205CB" w:rsidRPr="006B0525">
        <w:rPr>
          <w:rFonts w:ascii="Verdana" w:hAnsi="Verdana"/>
          <w:sz w:val="20"/>
          <w:szCs w:val="20"/>
        </w:rPr>
        <w:t>pez Calo y Aníbal Archila Pérez”</w:t>
      </w:r>
      <w:r w:rsidRPr="006B0525">
        <w:rPr>
          <w:rFonts w:ascii="Verdana" w:hAnsi="Verdana"/>
          <w:sz w:val="20"/>
          <w:szCs w:val="20"/>
        </w:rPr>
        <w:t xml:space="preserve"> contra la República de Guatemala (en adelante “el Estado de Guatemala”, “el Estado guatemalteco”, “el Estado” o “Guatemala”). De acuerdo con lo indicado por la Comisión, el caso se relaciona con una seri</w:t>
      </w:r>
      <w:r w:rsidR="00635466" w:rsidRPr="006B0525">
        <w:rPr>
          <w:rFonts w:ascii="Verdana" w:hAnsi="Verdana"/>
          <w:sz w:val="20"/>
          <w:szCs w:val="20"/>
        </w:rPr>
        <w:t>e</w:t>
      </w:r>
      <w:r w:rsidRPr="006B0525">
        <w:rPr>
          <w:rFonts w:ascii="Verdana" w:hAnsi="Verdana"/>
          <w:sz w:val="20"/>
          <w:szCs w:val="20"/>
        </w:rPr>
        <w:t xml:space="preserve"> de violaciones </w:t>
      </w:r>
      <w:r w:rsidR="00A22E91" w:rsidRPr="006B0525">
        <w:rPr>
          <w:rFonts w:ascii="Verdana" w:hAnsi="Verdana"/>
          <w:sz w:val="20"/>
          <w:szCs w:val="20"/>
        </w:rPr>
        <w:t xml:space="preserve">al debido proceso </w:t>
      </w:r>
      <w:r w:rsidR="00833C12">
        <w:rPr>
          <w:rFonts w:ascii="Verdana" w:hAnsi="Verdana"/>
          <w:sz w:val="20"/>
          <w:szCs w:val="20"/>
        </w:rPr>
        <w:t xml:space="preserve">y el principio de legalidad </w:t>
      </w:r>
      <w:r w:rsidR="00454CF5" w:rsidRPr="006B0525">
        <w:rPr>
          <w:rFonts w:ascii="Verdana" w:hAnsi="Verdana"/>
          <w:sz w:val="20"/>
          <w:szCs w:val="20"/>
        </w:rPr>
        <w:t xml:space="preserve">cometidas </w:t>
      </w:r>
      <w:r w:rsidRPr="006B0525">
        <w:rPr>
          <w:rFonts w:ascii="Verdana" w:hAnsi="Verdana"/>
          <w:sz w:val="20"/>
          <w:szCs w:val="20"/>
        </w:rPr>
        <w:t xml:space="preserve">contra los señores Rodríguez Revolorio, López Calo y Archila Pérez </w:t>
      </w:r>
      <w:r w:rsidR="00454CF5" w:rsidRPr="006B0525">
        <w:rPr>
          <w:rFonts w:ascii="Verdana" w:hAnsi="Verdana"/>
          <w:sz w:val="20"/>
          <w:szCs w:val="20"/>
        </w:rPr>
        <w:t xml:space="preserve">en el marco de un procedimiento penal seguido contra éstos </w:t>
      </w:r>
      <w:r w:rsidRPr="006B0525">
        <w:rPr>
          <w:rFonts w:ascii="Verdana" w:hAnsi="Verdana"/>
          <w:sz w:val="20"/>
          <w:szCs w:val="20"/>
        </w:rPr>
        <w:t>por el delito de asesinato y tentativa de asesinato</w:t>
      </w:r>
      <w:r w:rsidR="00454CF5" w:rsidRPr="006B0525">
        <w:rPr>
          <w:rFonts w:ascii="Verdana" w:hAnsi="Verdana"/>
          <w:sz w:val="20"/>
          <w:szCs w:val="20"/>
        </w:rPr>
        <w:t>, así como por las condiciones carcelarias durante su confinamiento</w:t>
      </w:r>
      <w:r w:rsidRPr="006B0525">
        <w:rPr>
          <w:rFonts w:ascii="Verdana" w:hAnsi="Verdana"/>
          <w:sz w:val="20"/>
          <w:szCs w:val="20"/>
        </w:rPr>
        <w:t>. Los señores Rodríguez Revolorio, López Calo y Archila Pérez fueron condenad</w:t>
      </w:r>
      <w:r w:rsidR="00635466" w:rsidRPr="006B0525">
        <w:rPr>
          <w:rFonts w:ascii="Verdana" w:hAnsi="Verdana"/>
          <w:sz w:val="20"/>
          <w:szCs w:val="20"/>
        </w:rPr>
        <w:t>o</w:t>
      </w:r>
      <w:r w:rsidR="002F5A43">
        <w:rPr>
          <w:rFonts w:ascii="Verdana" w:hAnsi="Verdana"/>
          <w:sz w:val="20"/>
          <w:szCs w:val="20"/>
        </w:rPr>
        <w:t xml:space="preserve">s a la pena de muerte </w:t>
      </w:r>
      <w:r w:rsidRPr="006B0525">
        <w:rPr>
          <w:rFonts w:ascii="Verdana" w:hAnsi="Verdana"/>
          <w:sz w:val="20"/>
          <w:szCs w:val="20"/>
        </w:rPr>
        <w:t xml:space="preserve">el 23 de mayo de 1996. </w:t>
      </w:r>
    </w:p>
    <w:p w14:paraId="520EFA86" w14:textId="77777777" w:rsidR="00454CF5" w:rsidRPr="006B0525" w:rsidRDefault="00454CF5" w:rsidP="00454CF5">
      <w:pPr>
        <w:pStyle w:val="Normal1"/>
        <w:widowControl/>
        <w:spacing w:before="120" w:after="120"/>
        <w:contextualSpacing/>
        <w:jc w:val="both"/>
        <w:rPr>
          <w:rFonts w:ascii="Verdana" w:hAnsi="Verdana"/>
          <w:b/>
          <w:sz w:val="20"/>
          <w:szCs w:val="20"/>
        </w:rPr>
      </w:pPr>
    </w:p>
    <w:p w14:paraId="23ADC16B" w14:textId="77777777" w:rsidR="001430FB" w:rsidRPr="006B0525" w:rsidRDefault="001430FB"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i/>
          <w:sz w:val="20"/>
          <w:szCs w:val="20"/>
        </w:rPr>
        <w:t>Trámite ante la Comisión.</w:t>
      </w:r>
      <w:r w:rsidRPr="006B0525">
        <w:rPr>
          <w:rFonts w:ascii="Verdana" w:hAnsi="Verdana"/>
          <w:sz w:val="20"/>
          <w:szCs w:val="20"/>
        </w:rPr>
        <w:t xml:space="preserve"> – El trámite </w:t>
      </w:r>
      <w:r w:rsidRPr="006A708F">
        <w:rPr>
          <w:rFonts w:ascii="Verdana" w:hAnsi="Verdana"/>
          <w:sz w:val="20"/>
          <w:szCs w:val="20"/>
        </w:rPr>
        <w:t>ante</w:t>
      </w:r>
      <w:r w:rsidRPr="006B0525">
        <w:rPr>
          <w:rFonts w:ascii="Verdana" w:hAnsi="Verdana"/>
          <w:sz w:val="20"/>
          <w:szCs w:val="20"/>
        </w:rPr>
        <w:t xml:space="preserve"> la Comisión fue el siguiente:</w:t>
      </w:r>
    </w:p>
    <w:p w14:paraId="5BE1FE6F" w14:textId="77777777" w:rsidR="001430FB" w:rsidRPr="006B0525" w:rsidRDefault="001430FB" w:rsidP="00530549">
      <w:pPr>
        <w:spacing w:line="240" w:lineRule="auto"/>
      </w:pPr>
    </w:p>
    <w:p w14:paraId="07EADCFE" w14:textId="77777777" w:rsidR="001430FB" w:rsidRPr="006B0525" w:rsidRDefault="001430FB" w:rsidP="00530549">
      <w:pPr>
        <w:pStyle w:val="Prrafodelista"/>
        <w:numPr>
          <w:ilvl w:val="0"/>
          <w:numId w:val="6"/>
        </w:numPr>
        <w:spacing w:line="240" w:lineRule="auto"/>
      </w:pPr>
      <w:r w:rsidRPr="006B0525">
        <w:rPr>
          <w:i/>
        </w:rPr>
        <w:t xml:space="preserve">Petición. </w:t>
      </w:r>
      <w:r w:rsidRPr="006B0525">
        <w:t>– El 17 de julio y 11 de agosto de 1997</w:t>
      </w:r>
      <w:r w:rsidRPr="006B0525">
        <w:rPr>
          <w:rStyle w:val="Refdenotaalpie"/>
        </w:rPr>
        <w:footnoteReference w:id="2"/>
      </w:r>
      <w:r w:rsidRPr="006B0525">
        <w:t xml:space="preserve">, el Centro para la Acción Legal en Derechos Humanos (en adelante “los peticionarios”) presentaron la petición inicial ante la Comisión. </w:t>
      </w:r>
    </w:p>
    <w:p w14:paraId="582CA8A1" w14:textId="77777777" w:rsidR="001430FB" w:rsidRPr="006B0525" w:rsidRDefault="001430FB" w:rsidP="00530549">
      <w:pPr>
        <w:spacing w:line="240" w:lineRule="auto"/>
        <w:rPr>
          <w:highlight w:val="yellow"/>
        </w:rPr>
      </w:pPr>
    </w:p>
    <w:p w14:paraId="444E16B5" w14:textId="77777777" w:rsidR="001430FB" w:rsidRPr="006B0525" w:rsidRDefault="001430FB" w:rsidP="00530549">
      <w:pPr>
        <w:pStyle w:val="Prrafodelista"/>
        <w:numPr>
          <w:ilvl w:val="0"/>
          <w:numId w:val="6"/>
        </w:numPr>
        <w:spacing w:line="240" w:lineRule="auto"/>
      </w:pPr>
      <w:r w:rsidRPr="006B0525">
        <w:rPr>
          <w:i/>
        </w:rPr>
        <w:t>Informe de admisibilidad.</w:t>
      </w:r>
      <w:r w:rsidRPr="006B0525">
        <w:t xml:space="preserve"> - El 18 de diciembre de 2002 la Comisión informó a las partes que en virtud</w:t>
      </w:r>
      <w:r w:rsidR="002F5A43">
        <w:t xml:space="preserve"> de artículo 37.3 del Reglamento</w:t>
      </w:r>
      <w:r w:rsidRPr="006B0525">
        <w:t xml:space="preserve"> entonces vigente, había decidió diferir el tratamiento de admisibilidad hasta el debate sobre el fondo. </w:t>
      </w:r>
    </w:p>
    <w:p w14:paraId="02C9FF04" w14:textId="77777777" w:rsidR="001430FB" w:rsidRPr="006B0525" w:rsidRDefault="001430FB" w:rsidP="00530549">
      <w:pPr>
        <w:spacing w:line="240" w:lineRule="auto"/>
      </w:pPr>
    </w:p>
    <w:p w14:paraId="1A48E717" w14:textId="77777777" w:rsidR="001430FB" w:rsidRPr="006B0525" w:rsidRDefault="001430FB" w:rsidP="00530549">
      <w:pPr>
        <w:pStyle w:val="Prrafodelista"/>
        <w:numPr>
          <w:ilvl w:val="0"/>
          <w:numId w:val="6"/>
        </w:numPr>
        <w:spacing w:line="240" w:lineRule="auto"/>
      </w:pPr>
      <w:r w:rsidRPr="006B0525">
        <w:rPr>
          <w:i/>
        </w:rPr>
        <w:t>Informe de Fondo.</w:t>
      </w:r>
      <w:r w:rsidRPr="006B0525">
        <w:t xml:space="preserve"> – El 5 de se</w:t>
      </w:r>
      <w:r w:rsidR="004D2A8A" w:rsidRPr="006B0525">
        <w:t>p</w:t>
      </w:r>
      <w:r w:rsidRPr="006B0525">
        <w:t>tiembre de 2017 la Comisión aprobó el Informe de Admisibilidad y Fondo No. 99/17 de conformidad con el artículo 50 de la Convención (en adelante también “el Informe de Admisibilidad y Fondo” o “el Informe No. 99/17”), en el cual llegó a una serie de conclusiones</w:t>
      </w:r>
      <w:r w:rsidRPr="006B0525">
        <w:rPr>
          <w:rStyle w:val="Refdenotaalpie"/>
        </w:rPr>
        <w:footnoteReference w:id="3"/>
      </w:r>
      <w:r w:rsidRPr="006B0525">
        <w:t xml:space="preserve">, y formuló varias recomendaciones al Estado. </w:t>
      </w:r>
    </w:p>
    <w:p w14:paraId="79D61E64" w14:textId="77777777" w:rsidR="001430FB" w:rsidRPr="006B0525" w:rsidRDefault="001430FB" w:rsidP="00530549">
      <w:pPr>
        <w:pStyle w:val="Prrafodelista"/>
        <w:spacing w:line="240" w:lineRule="auto"/>
      </w:pPr>
    </w:p>
    <w:p w14:paraId="2658ECA6" w14:textId="77777777" w:rsidR="001430FB" w:rsidRPr="006B0525" w:rsidRDefault="001430FB" w:rsidP="00530549">
      <w:pPr>
        <w:pStyle w:val="Prrafodelista"/>
        <w:numPr>
          <w:ilvl w:val="0"/>
          <w:numId w:val="6"/>
        </w:numPr>
        <w:spacing w:line="240" w:lineRule="auto"/>
      </w:pPr>
      <w:r w:rsidRPr="006B0525">
        <w:rPr>
          <w:i/>
        </w:rPr>
        <w:t>Notificación al Estado.</w:t>
      </w:r>
      <w:r w:rsidRPr="006B0525">
        <w:t xml:space="preserve"> – El Informe de Admisibilidad y Fondo fue notificado al Estado el 27 de octubre de 2017, otorgándo</w:t>
      </w:r>
      <w:r w:rsidR="00D51AC8">
        <w:t>se</w:t>
      </w:r>
      <w:r w:rsidRPr="006B0525">
        <w:t>le un plazo de dos meses para informar sobre el cumplimiento de las recomendaciones. El Estado guatemalteco presentó un escrito en el cual indicó su voluntad para iniciar una “solución amistosa”. Sin embargo</w:t>
      </w:r>
      <w:r w:rsidR="00D642B6" w:rsidRPr="006B0525">
        <w:t>,</w:t>
      </w:r>
      <w:r w:rsidRPr="006B0525">
        <w:t xml:space="preserve"> el Estado no presentó propuesta alguna de cumplimiento ni información que indi</w:t>
      </w:r>
      <w:r w:rsidR="004D2A8A" w:rsidRPr="006B0525">
        <w:t>cara</w:t>
      </w:r>
      <w:r w:rsidRPr="006B0525">
        <w:t xml:space="preserve"> que entró en contacto con las </w:t>
      </w:r>
      <w:r w:rsidR="00D642B6" w:rsidRPr="006B0525">
        <w:t>víctimas</w:t>
      </w:r>
      <w:r w:rsidRPr="006B0525">
        <w:t xml:space="preserve"> o sus representantes. Además, el Estado no solicitó una </w:t>
      </w:r>
      <w:r w:rsidR="00D642B6" w:rsidRPr="006B0525">
        <w:t>prórroga</w:t>
      </w:r>
      <w:r w:rsidRPr="006B0525">
        <w:t xml:space="preserve"> para suspender el plazo del </w:t>
      </w:r>
      <w:r w:rsidR="00D642B6" w:rsidRPr="006B0525">
        <w:t>artículo</w:t>
      </w:r>
      <w:r w:rsidRPr="006B0525">
        <w:t xml:space="preserve"> 51 de la Convención, en los términos exigidos por el </w:t>
      </w:r>
      <w:r w:rsidR="00D642B6" w:rsidRPr="006B0525">
        <w:t>artículo</w:t>
      </w:r>
      <w:r w:rsidRPr="006B0525">
        <w:t xml:space="preserve"> 46 del Reglamento de la </w:t>
      </w:r>
      <w:r w:rsidR="00B85477" w:rsidRPr="006B0525">
        <w:t>Comisión</w:t>
      </w:r>
      <w:r w:rsidRPr="006B0525">
        <w:t xml:space="preserve">. </w:t>
      </w:r>
    </w:p>
    <w:p w14:paraId="3C7B5BC5" w14:textId="77777777" w:rsidR="001430FB" w:rsidRPr="006B0525" w:rsidRDefault="001430FB" w:rsidP="00530549">
      <w:pPr>
        <w:pStyle w:val="Prrafodelista"/>
        <w:spacing w:line="240" w:lineRule="auto"/>
      </w:pPr>
    </w:p>
    <w:p w14:paraId="637C68A2" w14:textId="77777777" w:rsidR="001430FB" w:rsidRPr="006B0525" w:rsidRDefault="001430FB"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i/>
          <w:sz w:val="20"/>
          <w:szCs w:val="20"/>
        </w:rPr>
        <w:t>Sometimiento a la Corte.</w:t>
      </w:r>
      <w:r w:rsidRPr="006B0525">
        <w:rPr>
          <w:rFonts w:ascii="Verdana" w:hAnsi="Verdana"/>
          <w:sz w:val="20"/>
          <w:szCs w:val="20"/>
        </w:rPr>
        <w:t xml:space="preserve"> – El 26 de enero de 2018 la Comisión sometió a la jurisdicción de la </w:t>
      </w:r>
      <w:r w:rsidRPr="006B0525">
        <w:rPr>
          <w:rFonts w:ascii="Verdana" w:hAnsi="Verdana"/>
          <w:iCs/>
          <w:sz w:val="20"/>
          <w:szCs w:val="20"/>
        </w:rPr>
        <w:t xml:space="preserve">Corte </w:t>
      </w:r>
      <w:r w:rsidRPr="006B0525">
        <w:rPr>
          <w:rFonts w:ascii="Verdana" w:hAnsi="Verdana"/>
          <w:sz w:val="20"/>
          <w:szCs w:val="20"/>
        </w:rPr>
        <w:t>Interamericana la totalidad de los hechos y violaciones de derechos humanos descritos en el informe No. 99/17 “por la necesidad de obtención de justicia y reparación”</w:t>
      </w:r>
      <w:r w:rsidRPr="006B0525">
        <w:rPr>
          <w:rStyle w:val="Refdenotaalpie"/>
          <w:rFonts w:ascii="Verdana" w:hAnsi="Verdana"/>
          <w:sz w:val="20"/>
          <w:szCs w:val="20"/>
        </w:rPr>
        <w:footnoteReference w:id="4"/>
      </w:r>
      <w:r w:rsidRPr="006B0525">
        <w:rPr>
          <w:rFonts w:ascii="Verdana" w:hAnsi="Verdana"/>
          <w:sz w:val="20"/>
          <w:szCs w:val="20"/>
        </w:rPr>
        <w:t xml:space="preserve">. </w:t>
      </w:r>
    </w:p>
    <w:p w14:paraId="36C70769" w14:textId="77777777" w:rsidR="001430FB" w:rsidRPr="006B0525" w:rsidRDefault="001430FB" w:rsidP="00530549"/>
    <w:p w14:paraId="0C742AF4" w14:textId="77777777" w:rsidR="001430FB" w:rsidRPr="006B0525" w:rsidRDefault="001430FB"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i/>
          <w:sz w:val="20"/>
          <w:szCs w:val="20"/>
        </w:rPr>
        <w:lastRenderedPageBreak/>
        <w:t xml:space="preserve">Solicitudes de la Comisión Interamericana. </w:t>
      </w:r>
      <w:r w:rsidRPr="006B0525">
        <w:rPr>
          <w:rFonts w:ascii="Verdana" w:hAnsi="Verdana"/>
          <w:sz w:val="20"/>
          <w:szCs w:val="20"/>
        </w:rPr>
        <w:t>– Con base en lo anterior, la Comisión solicitó a la Corte</w:t>
      </w:r>
      <w:r w:rsidRPr="006B0525">
        <w:rPr>
          <w:rFonts w:ascii="Verdana" w:hAnsi="Verdana"/>
          <w:iCs/>
          <w:sz w:val="20"/>
          <w:szCs w:val="20"/>
        </w:rPr>
        <w:t xml:space="preserve"> que</w:t>
      </w:r>
      <w:r w:rsidRPr="006B0525">
        <w:rPr>
          <w:rFonts w:ascii="Verdana" w:hAnsi="Verdana"/>
          <w:sz w:val="20"/>
          <w:szCs w:val="20"/>
        </w:rPr>
        <w:t xml:space="preserve"> declarara la responsabilidad internacional del Estado por las mismas violaciones señaladas en su </w:t>
      </w:r>
      <w:r w:rsidRPr="00D600E6">
        <w:rPr>
          <w:rFonts w:ascii="Verdana" w:hAnsi="Verdana"/>
          <w:sz w:val="20"/>
          <w:szCs w:val="20"/>
        </w:rPr>
        <w:t>Informe</w:t>
      </w:r>
      <w:r w:rsidRPr="006B0525">
        <w:rPr>
          <w:rFonts w:ascii="Verdana" w:hAnsi="Verdana"/>
          <w:sz w:val="20"/>
          <w:szCs w:val="20"/>
        </w:rPr>
        <w:t xml:space="preserve"> de Fondo (</w:t>
      </w:r>
      <w:r w:rsidRPr="006B0525">
        <w:rPr>
          <w:rFonts w:ascii="Verdana" w:hAnsi="Verdana"/>
          <w:i/>
          <w:sz w:val="20"/>
          <w:szCs w:val="20"/>
        </w:rPr>
        <w:t xml:space="preserve">supra </w:t>
      </w:r>
      <w:r w:rsidRPr="006B0525">
        <w:rPr>
          <w:rFonts w:ascii="Verdana" w:hAnsi="Verdana"/>
          <w:sz w:val="20"/>
          <w:szCs w:val="20"/>
        </w:rPr>
        <w:t xml:space="preserve">párr. 2.c). Asimismo, la Comisión solicitó a la Corte que ordenara al Estado medidas de reparación, las cuales se detallan y analizan en el Capítulo </w:t>
      </w:r>
      <w:r w:rsidR="006C3298">
        <w:rPr>
          <w:rFonts w:ascii="Verdana" w:hAnsi="Verdana"/>
          <w:sz w:val="20"/>
          <w:szCs w:val="20"/>
        </w:rPr>
        <w:t>IX</w:t>
      </w:r>
      <w:r w:rsidRPr="006B0525">
        <w:rPr>
          <w:rFonts w:ascii="Verdana" w:hAnsi="Verdana"/>
          <w:sz w:val="20"/>
          <w:szCs w:val="20"/>
        </w:rPr>
        <w:t xml:space="preserve"> de la presente Sentencia.</w:t>
      </w:r>
    </w:p>
    <w:p w14:paraId="5FA08404" w14:textId="77777777" w:rsidR="00467516" w:rsidRPr="006B0525" w:rsidRDefault="00467516" w:rsidP="00530549">
      <w:pPr>
        <w:pStyle w:val="Ttulo1"/>
      </w:pPr>
      <w:bookmarkStart w:id="1" w:name="_Toc26177789"/>
      <w:r w:rsidRPr="006B0525">
        <w:t>II</w:t>
      </w:r>
      <w:r w:rsidRPr="006B0525">
        <w:br/>
        <w:t>PROCEDIMIENTO ANTE LA CORTE</w:t>
      </w:r>
      <w:bookmarkEnd w:id="1"/>
    </w:p>
    <w:p w14:paraId="2BF58231" w14:textId="77777777" w:rsidR="00C01EE4" w:rsidRPr="006B0525" w:rsidRDefault="00C01EE4"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cs="Arial"/>
          <w:i/>
          <w:sz w:val="20"/>
          <w:szCs w:val="20"/>
        </w:rPr>
        <w:t xml:space="preserve">Designación de Defensores Públicos </w:t>
      </w:r>
      <w:proofErr w:type="gramStart"/>
      <w:r w:rsidRPr="006B0525">
        <w:rPr>
          <w:rFonts w:ascii="Verdana" w:hAnsi="Verdana" w:cs="Arial"/>
          <w:i/>
          <w:sz w:val="20"/>
          <w:szCs w:val="20"/>
        </w:rPr>
        <w:t>Interamericanos</w:t>
      </w:r>
      <w:r w:rsidRPr="006B0525">
        <w:rPr>
          <w:rFonts w:ascii="Verdana" w:hAnsi="Verdana" w:cs="Arial"/>
          <w:sz w:val="20"/>
          <w:szCs w:val="20"/>
        </w:rPr>
        <w:t>.–</w:t>
      </w:r>
      <w:proofErr w:type="gramEnd"/>
      <w:r w:rsidRPr="006B0525">
        <w:rPr>
          <w:rFonts w:ascii="Verdana" w:hAnsi="Verdana" w:cs="Arial"/>
          <w:sz w:val="20"/>
          <w:szCs w:val="20"/>
        </w:rPr>
        <w:t xml:space="preserve"> Mediante nota de Secretaría de 9 de marzo de 2018 se </w:t>
      </w:r>
      <w:r w:rsidR="00D51AC8">
        <w:rPr>
          <w:rFonts w:ascii="Verdana" w:hAnsi="Verdana" w:cs="Arial"/>
          <w:sz w:val="20"/>
          <w:szCs w:val="20"/>
        </w:rPr>
        <w:t>solicitó a</w:t>
      </w:r>
      <w:r w:rsidRPr="006B0525">
        <w:rPr>
          <w:rFonts w:ascii="Verdana" w:hAnsi="Verdana" w:cs="Arial"/>
          <w:sz w:val="20"/>
          <w:szCs w:val="20"/>
        </w:rPr>
        <w:t>l Coordinador General de la Asociación Interamericana de Defensorías Públicas (AIDEF)</w:t>
      </w:r>
      <w:r w:rsidR="00D51AC8">
        <w:rPr>
          <w:rFonts w:ascii="Verdana" w:hAnsi="Verdana" w:cs="Arial"/>
          <w:sz w:val="20"/>
          <w:szCs w:val="20"/>
        </w:rPr>
        <w:t xml:space="preserve"> </w:t>
      </w:r>
      <w:r w:rsidRPr="006B0525">
        <w:rPr>
          <w:rFonts w:ascii="Verdana" w:hAnsi="Verdana" w:cs="Arial"/>
          <w:sz w:val="20"/>
          <w:szCs w:val="20"/>
        </w:rPr>
        <w:t>la designación de un</w:t>
      </w:r>
      <w:r w:rsidR="00A10ABF">
        <w:rPr>
          <w:rFonts w:ascii="Verdana" w:hAnsi="Verdana" w:cs="Arial"/>
          <w:sz w:val="20"/>
          <w:szCs w:val="20"/>
        </w:rPr>
        <w:t>/a</w:t>
      </w:r>
      <w:r w:rsidRPr="006B0525">
        <w:rPr>
          <w:rFonts w:ascii="Verdana" w:hAnsi="Verdana" w:cs="Arial"/>
          <w:sz w:val="20"/>
          <w:szCs w:val="20"/>
        </w:rPr>
        <w:t xml:space="preserve"> defensor</w:t>
      </w:r>
      <w:r w:rsidR="00A10ABF">
        <w:rPr>
          <w:rFonts w:ascii="Verdana" w:hAnsi="Verdana" w:cs="Arial"/>
          <w:sz w:val="20"/>
          <w:szCs w:val="20"/>
        </w:rPr>
        <w:t>/a</w:t>
      </w:r>
      <w:r w:rsidRPr="006B0525">
        <w:rPr>
          <w:rFonts w:ascii="Verdana" w:hAnsi="Verdana" w:cs="Arial"/>
          <w:sz w:val="20"/>
          <w:szCs w:val="20"/>
        </w:rPr>
        <w:t xml:space="preserve"> </w:t>
      </w:r>
      <w:r w:rsidR="00A10ABF">
        <w:rPr>
          <w:rFonts w:ascii="Verdana" w:hAnsi="Verdana" w:cs="Arial"/>
          <w:sz w:val="20"/>
          <w:szCs w:val="20"/>
        </w:rPr>
        <w:t xml:space="preserve">público/a </w:t>
      </w:r>
      <w:r w:rsidRPr="006B0525">
        <w:rPr>
          <w:rFonts w:ascii="Verdana" w:hAnsi="Verdana" w:cs="Arial"/>
          <w:sz w:val="20"/>
          <w:szCs w:val="20"/>
        </w:rPr>
        <w:t>interamericano</w:t>
      </w:r>
      <w:r w:rsidR="00A10ABF">
        <w:rPr>
          <w:rFonts w:ascii="Verdana" w:hAnsi="Verdana" w:cs="Arial"/>
          <w:sz w:val="20"/>
          <w:szCs w:val="20"/>
        </w:rPr>
        <w:t>/a</w:t>
      </w:r>
      <w:r w:rsidRPr="006B0525">
        <w:rPr>
          <w:rFonts w:ascii="Verdana" w:hAnsi="Verdana" w:cs="Arial"/>
          <w:sz w:val="20"/>
          <w:szCs w:val="20"/>
        </w:rPr>
        <w:t xml:space="preserve"> para que asum</w:t>
      </w:r>
      <w:r w:rsidR="00D51AC8">
        <w:rPr>
          <w:rFonts w:ascii="Verdana" w:hAnsi="Verdana" w:cs="Arial"/>
          <w:sz w:val="20"/>
          <w:szCs w:val="20"/>
        </w:rPr>
        <w:t>ier</w:t>
      </w:r>
      <w:r w:rsidRPr="006B0525">
        <w:rPr>
          <w:rFonts w:ascii="Verdana" w:hAnsi="Verdana" w:cs="Arial"/>
          <w:sz w:val="20"/>
          <w:szCs w:val="20"/>
        </w:rPr>
        <w:t>a la representación</w:t>
      </w:r>
      <w:r w:rsidR="00D51AC8">
        <w:rPr>
          <w:rFonts w:ascii="Verdana" w:hAnsi="Verdana" w:cs="Arial"/>
          <w:sz w:val="20"/>
          <w:szCs w:val="20"/>
        </w:rPr>
        <w:t xml:space="preserve"> de las presuntas víctimas</w:t>
      </w:r>
      <w:r w:rsidR="00317B9E">
        <w:rPr>
          <w:rFonts w:ascii="Verdana" w:hAnsi="Verdana" w:cs="Arial"/>
          <w:sz w:val="20"/>
          <w:szCs w:val="20"/>
        </w:rPr>
        <w:t xml:space="preserve">. </w:t>
      </w:r>
      <w:r w:rsidRPr="006B0525">
        <w:rPr>
          <w:rFonts w:ascii="Verdana" w:hAnsi="Verdana" w:cs="Arial"/>
          <w:sz w:val="20"/>
          <w:szCs w:val="20"/>
        </w:rPr>
        <w:t xml:space="preserve">El 20 de marzo de 2018 </w:t>
      </w:r>
      <w:r w:rsidR="006A708F">
        <w:rPr>
          <w:rFonts w:ascii="Verdana" w:hAnsi="Verdana" w:cs="Arial"/>
          <w:sz w:val="20"/>
          <w:szCs w:val="20"/>
        </w:rPr>
        <w:t xml:space="preserve">el </w:t>
      </w:r>
      <w:r w:rsidRPr="006B0525">
        <w:rPr>
          <w:rFonts w:ascii="Verdana" w:hAnsi="Verdana" w:cs="Arial"/>
          <w:sz w:val="20"/>
          <w:szCs w:val="20"/>
        </w:rPr>
        <w:t xml:space="preserve">Coordinador General de dicha Asociación comunicó a la Corte Interamericana la designación de dos defensoras públicas interamericanas, la Dra. </w:t>
      </w:r>
      <w:proofErr w:type="spellStart"/>
      <w:r w:rsidRPr="006B0525">
        <w:rPr>
          <w:rFonts w:ascii="Verdana" w:hAnsi="Verdana" w:cs="Arial"/>
          <w:sz w:val="20"/>
          <w:szCs w:val="20"/>
        </w:rPr>
        <w:t>Rivana</w:t>
      </w:r>
      <w:proofErr w:type="spellEnd"/>
      <w:r w:rsidRPr="006B0525">
        <w:rPr>
          <w:rFonts w:ascii="Verdana" w:hAnsi="Verdana" w:cs="Arial"/>
          <w:sz w:val="20"/>
          <w:szCs w:val="20"/>
        </w:rPr>
        <w:t xml:space="preserve"> Barreto Ricarte de Oliveira y la Dra. </w:t>
      </w:r>
      <w:proofErr w:type="spellStart"/>
      <w:r w:rsidRPr="006B0525">
        <w:rPr>
          <w:rFonts w:ascii="Verdana" w:hAnsi="Verdana" w:cs="Arial"/>
          <w:sz w:val="20"/>
          <w:szCs w:val="20"/>
        </w:rPr>
        <w:t>Yanela</w:t>
      </w:r>
      <w:proofErr w:type="spellEnd"/>
      <w:r w:rsidRPr="006B0525">
        <w:rPr>
          <w:rFonts w:ascii="Verdana" w:hAnsi="Verdana" w:cs="Arial"/>
          <w:sz w:val="20"/>
          <w:szCs w:val="20"/>
        </w:rPr>
        <w:t xml:space="preserve"> Romero de Pimentel (en adelante, en referencia indistinta a las personas que actuaron en tal carácter, “defensoras públicas interamericanas” o “las representantes”).</w:t>
      </w:r>
      <w:r w:rsidR="00833C12" w:rsidRPr="00833C12">
        <w:rPr>
          <w:rFonts w:ascii="Verdana" w:hAnsi="Verdana" w:cs="Arial"/>
          <w:b/>
          <w:sz w:val="20"/>
          <w:szCs w:val="20"/>
        </w:rPr>
        <w:t xml:space="preserve"> </w:t>
      </w:r>
    </w:p>
    <w:p w14:paraId="04906B7E" w14:textId="77777777" w:rsidR="00C01EE4" w:rsidRPr="006B0525" w:rsidRDefault="00C01EE4" w:rsidP="00530549">
      <w:pPr>
        <w:pStyle w:val="Normal1"/>
        <w:widowControl/>
        <w:contextualSpacing/>
        <w:jc w:val="both"/>
        <w:rPr>
          <w:rFonts w:ascii="Verdana" w:hAnsi="Verdana"/>
          <w:sz w:val="20"/>
          <w:szCs w:val="20"/>
        </w:rPr>
      </w:pPr>
    </w:p>
    <w:p w14:paraId="33788482" w14:textId="77777777" w:rsidR="000653C2" w:rsidRPr="00317B9E" w:rsidRDefault="001430FB" w:rsidP="00317B9E">
      <w:pPr>
        <w:pStyle w:val="Normal1"/>
        <w:widowControl/>
        <w:numPr>
          <w:ilvl w:val="0"/>
          <w:numId w:val="4"/>
        </w:numPr>
        <w:ind w:left="0" w:firstLine="0"/>
        <w:contextualSpacing/>
        <w:jc w:val="both"/>
        <w:rPr>
          <w:rFonts w:ascii="Verdana" w:hAnsi="Verdana"/>
          <w:sz w:val="20"/>
          <w:szCs w:val="20"/>
        </w:rPr>
      </w:pPr>
      <w:r w:rsidRPr="00317B9E">
        <w:rPr>
          <w:rFonts w:ascii="Verdana" w:hAnsi="Verdana"/>
          <w:i/>
          <w:sz w:val="20"/>
          <w:szCs w:val="20"/>
        </w:rPr>
        <w:t xml:space="preserve">Notificación a </w:t>
      </w:r>
      <w:r w:rsidR="004D2A8A" w:rsidRPr="00317B9E">
        <w:rPr>
          <w:rFonts w:ascii="Verdana" w:hAnsi="Verdana"/>
          <w:i/>
          <w:sz w:val="20"/>
          <w:szCs w:val="20"/>
        </w:rPr>
        <w:t>las representantes</w:t>
      </w:r>
      <w:r w:rsidRPr="00317B9E">
        <w:rPr>
          <w:rFonts w:ascii="Verdana" w:hAnsi="Verdana"/>
          <w:i/>
          <w:sz w:val="20"/>
          <w:szCs w:val="20"/>
        </w:rPr>
        <w:t xml:space="preserve"> y al Estado. </w:t>
      </w:r>
      <w:r w:rsidRPr="00317B9E">
        <w:rPr>
          <w:rFonts w:ascii="Verdana" w:hAnsi="Verdana"/>
          <w:sz w:val="20"/>
          <w:szCs w:val="20"/>
        </w:rPr>
        <w:t xml:space="preserve">– El sometimiento del caso por parte de la Comisión </w:t>
      </w:r>
      <w:r w:rsidRPr="00317B9E">
        <w:rPr>
          <w:rFonts w:ascii="Verdana" w:hAnsi="Verdana"/>
          <w:iCs/>
          <w:sz w:val="20"/>
          <w:szCs w:val="20"/>
        </w:rPr>
        <w:t>fue</w:t>
      </w:r>
      <w:r w:rsidRPr="00317B9E">
        <w:rPr>
          <w:rFonts w:ascii="Verdana" w:hAnsi="Verdana"/>
          <w:sz w:val="20"/>
          <w:szCs w:val="20"/>
        </w:rPr>
        <w:t xml:space="preserve"> notificado por la Corte a </w:t>
      </w:r>
      <w:r w:rsidR="004D2A8A" w:rsidRPr="00317B9E">
        <w:rPr>
          <w:rFonts w:ascii="Verdana" w:hAnsi="Verdana"/>
          <w:sz w:val="20"/>
          <w:szCs w:val="20"/>
        </w:rPr>
        <w:t>las representantes</w:t>
      </w:r>
      <w:r w:rsidRPr="00317B9E">
        <w:rPr>
          <w:rFonts w:ascii="Verdana" w:hAnsi="Verdana"/>
          <w:sz w:val="20"/>
          <w:szCs w:val="20"/>
        </w:rPr>
        <w:t xml:space="preserve"> de las presuntas víctimas</w:t>
      </w:r>
      <w:r w:rsidR="00BA3181" w:rsidRPr="00317B9E">
        <w:rPr>
          <w:rFonts w:ascii="Verdana" w:hAnsi="Verdana"/>
          <w:sz w:val="20"/>
          <w:szCs w:val="20"/>
        </w:rPr>
        <w:t xml:space="preserve"> </w:t>
      </w:r>
      <w:r w:rsidRPr="00317B9E">
        <w:rPr>
          <w:rFonts w:ascii="Verdana" w:hAnsi="Verdana"/>
          <w:sz w:val="20"/>
          <w:szCs w:val="20"/>
        </w:rPr>
        <w:t>el 26 de abril de 2018 y al Estado el 4 de abril de 2018.</w:t>
      </w:r>
      <w:r w:rsidRPr="00317B9E">
        <w:rPr>
          <w:rFonts w:ascii="Verdana" w:hAnsi="Verdana"/>
          <w:b/>
          <w:sz w:val="20"/>
          <w:szCs w:val="20"/>
        </w:rPr>
        <w:t xml:space="preserve"> </w:t>
      </w:r>
      <w:bookmarkStart w:id="2" w:name="para7"/>
    </w:p>
    <w:p w14:paraId="318050DC" w14:textId="77777777" w:rsidR="00317B9E" w:rsidRPr="00317B9E" w:rsidRDefault="00317B9E" w:rsidP="00317B9E">
      <w:pPr>
        <w:pStyle w:val="Normal1"/>
        <w:widowControl/>
        <w:contextualSpacing/>
        <w:jc w:val="both"/>
        <w:rPr>
          <w:rFonts w:ascii="Verdana" w:hAnsi="Verdana"/>
          <w:sz w:val="20"/>
          <w:szCs w:val="20"/>
        </w:rPr>
      </w:pPr>
    </w:p>
    <w:p w14:paraId="22AAD566" w14:textId="77777777" w:rsidR="001430FB" w:rsidRPr="00317B9E" w:rsidRDefault="001430FB" w:rsidP="00317B9E">
      <w:pPr>
        <w:pStyle w:val="Normal1"/>
        <w:widowControl/>
        <w:numPr>
          <w:ilvl w:val="0"/>
          <w:numId w:val="4"/>
        </w:numPr>
        <w:ind w:left="0" w:firstLine="0"/>
        <w:contextualSpacing/>
        <w:jc w:val="both"/>
      </w:pPr>
      <w:r w:rsidRPr="00317B9E">
        <w:rPr>
          <w:rFonts w:ascii="Verdana" w:hAnsi="Verdana"/>
          <w:i/>
          <w:sz w:val="20"/>
          <w:szCs w:val="20"/>
        </w:rPr>
        <w:t>Escrito de solicitudes, argumentos y pruebas.</w:t>
      </w:r>
      <w:r w:rsidRPr="006B0525">
        <w:rPr>
          <w:rFonts w:ascii="Verdana" w:hAnsi="Verdana"/>
          <w:sz w:val="20"/>
          <w:szCs w:val="20"/>
        </w:rPr>
        <w:t xml:space="preserve"> – El 25 de junio de 2018 </w:t>
      </w:r>
      <w:r w:rsidR="004D2A8A" w:rsidRPr="006B0525">
        <w:rPr>
          <w:rFonts w:ascii="Verdana" w:hAnsi="Verdana"/>
          <w:sz w:val="20"/>
          <w:szCs w:val="20"/>
        </w:rPr>
        <w:t>las representantes</w:t>
      </w:r>
      <w:r w:rsidRPr="006B0525">
        <w:rPr>
          <w:rFonts w:ascii="Verdana" w:hAnsi="Verdana"/>
          <w:sz w:val="20"/>
          <w:szCs w:val="20"/>
        </w:rPr>
        <w:t xml:space="preserve"> de las presuntas víctimas presentaron ante la Corte su escrito de solicitudes, argumentos y pruebas (en adelante “escrito de solicitudes y argumentos” o “ESAP”). </w:t>
      </w:r>
      <w:r w:rsidR="004D2A8A" w:rsidRPr="006B0525">
        <w:rPr>
          <w:rFonts w:ascii="Verdana" w:hAnsi="Verdana"/>
          <w:sz w:val="20"/>
          <w:szCs w:val="20"/>
        </w:rPr>
        <w:t>Las representantes</w:t>
      </w:r>
      <w:r w:rsidRPr="006B0525">
        <w:rPr>
          <w:rFonts w:ascii="Verdana" w:hAnsi="Verdana"/>
          <w:sz w:val="20"/>
          <w:szCs w:val="20"/>
        </w:rPr>
        <w:t xml:space="preserve"> coincidieron sustancialmente con los alegatos de la Comisión y solicitaron a la Corte que declarara la responsabilidad internacional del Estado por la violación de los mismos artículos alegados por la Comisión y, adicionalmente, la violación del artículo 8.2</w:t>
      </w:r>
      <w:r w:rsidR="00971F4A" w:rsidRPr="006B0525">
        <w:rPr>
          <w:rFonts w:ascii="Verdana" w:hAnsi="Verdana"/>
          <w:sz w:val="20"/>
          <w:szCs w:val="20"/>
        </w:rPr>
        <w:t>.</w:t>
      </w:r>
      <w:r w:rsidRPr="006B0525">
        <w:rPr>
          <w:rFonts w:ascii="Verdana" w:hAnsi="Verdana"/>
          <w:sz w:val="20"/>
          <w:szCs w:val="20"/>
        </w:rPr>
        <w:t>b)</w:t>
      </w:r>
      <w:r w:rsidR="00971F4A" w:rsidRPr="006B0525">
        <w:rPr>
          <w:rFonts w:ascii="Verdana" w:hAnsi="Verdana"/>
          <w:sz w:val="20"/>
          <w:szCs w:val="20"/>
        </w:rPr>
        <w:t>,</w:t>
      </w:r>
      <w:r w:rsidRPr="006B0525">
        <w:rPr>
          <w:rFonts w:ascii="Verdana" w:hAnsi="Verdana"/>
          <w:sz w:val="20"/>
          <w:szCs w:val="20"/>
        </w:rPr>
        <w:t xml:space="preserve"> en relación con el artículo 1.1 de la Convención Americana en perjuicio de Miguel Ángel Rodríguez Revolorio, Miguel Ángel López Calo y Aníbal Archila Pérez.</w:t>
      </w:r>
      <w:r w:rsidRPr="00317B9E">
        <w:rPr>
          <w:rFonts w:ascii="Verdana" w:hAnsi="Verdana"/>
          <w:b/>
          <w:bCs/>
          <w:sz w:val="20"/>
          <w:szCs w:val="20"/>
        </w:rPr>
        <w:t xml:space="preserve"> </w:t>
      </w:r>
      <w:r w:rsidRPr="006B0525">
        <w:rPr>
          <w:rFonts w:ascii="Verdana" w:hAnsi="Verdana"/>
          <w:sz w:val="20"/>
          <w:szCs w:val="20"/>
        </w:rPr>
        <w:t xml:space="preserve">Asimismo, las presuntas víctimas solicitaron, a través de sus representantes, acogerse al Fondo de Asistencia Legal de Víctimas de la Corte Interamericana (en adelante “Fondo de Asistencia de la Corte” o el “Fondo”). Finalmente, solicitaron a la Corte que ordenara al Estado la adopción de diversas medidas de reparación y el reintegro de determinadas costas y gastos. </w:t>
      </w:r>
      <w:bookmarkEnd w:id="2"/>
    </w:p>
    <w:p w14:paraId="0EC97CDB" w14:textId="77777777" w:rsidR="00317B9E" w:rsidRPr="006B0525" w:rsidRDefault="00317B9E" w:rsidP="00317B9E">
      <w:pPr>
        <w:pStyle w:val="Normal1"/>
        <w:widowControl/>
        <w:contextualSpacing/>
        <w:jc w:val="both"/>
      </w:pPr>
    </w:p>
    <w:p w14:paraId="62C78605" w14:textId="77777777" w:rsidR="001430FB" w:rsidRPr="006B0525" w:rsidRDefault="001430FB"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i/>
          <w:sz w:val="20"/>
          <w:szCs w:val="20"/>
        </w:rPr>
        <w:t>Escrito de contestación.</w:t>
      </w:r>
      <w:r w:rsidRPr="006B0525">
        <w:rPr>
          <w:rFonts w:ascii="Verdana" w:hAnsi="Verdana"/>
          <w:sz w:val="20"/>
          <w:szCs w:val="20"/>
        </w:rPr>
        <w:t xml:space="preserve"> </w:t>
      </w:r>
      <w:r w:rsidRPr="006B0525">
        <w:rPr>
          <w:rFonts w:ascii="Verdana" w:hAnsi="Verdana"/>
          <w:i/>
          <w:sz w:val="20"/>
          <w:szCs w:val="20"/>
        </w:rPr>
        <w:t xml:space="preserve">– </w:t>
      </w:r>
      <w:r w:rsidRPr="006B0525">
        <w:rPr>
          <w:rFonts w:ascii="Verdana" w:hAnsi="Verdana"/>
          <w:sz w:val="20"/>
          <w:szCs w:val="20"/>
        </w:rPr>
        <w:t xml:space="preserve">El 27 de septiembre de 2018 el Estado presentó ante la Corte su escrito de </w:t>
      </w:r>
      <w:r w:rsidRPr="006B0525">
        <w:rPr>
          <w:rFonts w:ascii="Verdana" w:hAnsi="Verdana"/>
          <w:iCs/>
          <w:sz w:val="20"/>
          <w:szCs w:val="20"/>
        </w:rPr>
        <w:t>contestación</w:t>
      </w:r>
      <w:r w:rsidRPr="006B0525">
        <w:rPr>
          <w:rFonts w:ascii="Verdana" w:hAnsi="Verdana"/>
          <w:sz w:val="20"/>
          <w:szCs w:val="20"/>
        </w:rPr>
        <w:t xml:space="preserve"> al sometimiento e informe de admisibilidad y fondo de la Comisión Interamericana y al escrito de solicitudes, argumentos y pruebas de </w:t>
      </w:r>
      <w:r w:rsidR="004D2A8A" w:rsidRPr="006B0525">
        <w:rPr>
          <w:rFonts w:ascii="Verdana" w:hAnsi="Verdana"/>
          <w:sz w:val="20"/>
          <w:szCs w:val="20"/>
        </w:rPr>
        <w:t>las representantes</w:t>
      </w:r>
      <w:r w:rsidRPr="006B0525">
        <w:rPr>
          <w:rFonts w:ascii="Verdana" w:hAnsi="Verdana"/>
          <w:sz w:val="20"/>
          <w:szCs w:val="20"/>
        </w:rPr>
        <w:t xml:space="preserve"> (en adelante “escrito de contestación”). En dicho escrito, el Estado interpuso una </w:t>
      </w:r>
      <w:r w:rsidR="004D2A8A" w:rsidRPr="006B0525">
        <w:rPr>
          <w:rFonts w:ascii="Verdana" w:hAnsi="Verdana"/>
          <w:sz w:val="20"/>
          <w:szCs w:val="20"/>
        </w:rPr>
        <w:t>excepción</w:t>
      </w:r>
      <w:r w:rsidRPr="006B0525">
        <w:rPr>
          <w:rFonts w:ascii="Verdana" w:hAnsi="Verdana"/>
          <w:sz w:val="20"/>
          <w:szCs w:val="20"/>
        </w:rPr>
        <w:t xml:space="preserve"> preliminar de cosa juzgada</w:t>
      </w:r>
      <w:r w:rsidR="00A17C8B">
        <w:rPr>
          <w:rFonts w:ascii="Verdana" w:hAnsi="Verdana"/>
          <w:sz w:val="20"/>
          <w:szCs w:val="20"/>
        </w:rPr>
        <w:t>,</w:t>
      </w:r>
      <w:r w:rsidRPr="006B0525">
        <w:rPr>
          <w:rFonts w:ascii="Verdana" w:hAnsi="Verdana"/>
          <w:sz w:val="20"/>
          <w:szCs w:val="20"/>
        </w:rPr>
        <w:t xml:space="preserve"> se opuso a las violaciones alegadas y a las solicitudes de medidas de reparación.</w:t>
      </w:r>
      <w:r w:rsidRPr="006B0525">
        <w:rPr>
          <w:rFonts w:ascii="Verdana" w:hAnsi="Verdana"/>
          <w:b/>
          <w:sz w:val="20"/>
          <w:szCs w:val="20"/>
        </w:rPr>
        <w:t xml:space="preserve"> </w:t>
      </w:r>
    </w:p>
    <w:p w14:paraId="1B6D4AF4" w14:textId="77777777" w:rsidR="001430FB" w:rsidRPr="006B0525" w:rsidRDefault="001430FB" w:rsidP="00530549">
      <w:pPr>
        <w:rPr>
          <w:highlight w:val="yellow"/>
        </w:rPr>
      </w:pPr>
    </w:p>
    <w:p w14:paraId="4AE14403" w14:textId="77777777" w:rsidR="001430FB" w:rsidRPr="006B0525" w:rsidRDefault="001430FB" w:rsidP="00A22E91">
      <w:pPr>
        <w:pStyle w:val="Normal1"/>
        <w:widowControl/>
        <w:numPr>
          <w:ilvl w:val="0"/>
          <w:numId w:val="4"/>
        </w:numPr>
        <w:ind w:left="0" w:firstLine="0"/>
        <w:contextualSpacing/>
        <w:jc w:val="both"/>
        <w:rPr>
          <w:rFonts w:ascii="Verdana" w:hAnsi="Verdana"/>
          <w:sz w:val="20"/>
          <w:szCs w:val="20"/>
        </w:rPr>
      </w:pPr>
      <w:r w:rsidRPr="006B0525">
        <w:rPr>
          <w:rFonts w:ascii="Verdana" w:hAnsi="Verdana"/>
          <w:i/>
          <w:sz w:val="20"/>
          <w:szCs w:val="20"/>
        </w:rPr>
        <w:t xml:space="preserve">Fondo de Asistencia Legal de Víctimas. </w:t>
      </w:r>
      <w:r w:rsidRPr="006B0525">
        <w:rPr>
          <w:rFonts w:ascii="Verdana" w:hAnsi="Verdana"/>
          <w:sz w:val="20"/>
          <w:szCs w:val="20"/>
        </w:rPr>
        <w:t xml:space="preserve">– Mediante una comunicación de la Secretaría de la Corte </w:t>
      </w:r>
      <w:r w:rsidR="00D642B6" w:rsidRPr="006B0525">
        <w:rPr>
          <w:rFonts w:ascii="Verdana" w:hAnsi="Verdana"/>
          <w:sz w:val="20"/>
          <w:szCs w:val="20"/>
        </w:rPr>
        <w:t>de</w:t>
      </w:r>
      <w:r w:rsidRPr="006B0525">
        <w:rPr>
          <w:rFonts w:ascii="Verdana" w:hAnsi="Verdana"/>
          <w:sz w:val="20"/>
          <w:szCs w:val="20"/>
        </w:rPr>
        <w:t xml:space="preserve"> 11 de enero de 2019 </w:t>
      </w:r>
      <w:r w:rsidR="00A22E91" w:rsidRPr="006B0525">
        <w:rPr>
          <w:rFonts w:ascii="Verdana" w:hAnsi="Verdana"/>
          <w:sz w:val="20"/>
          <w:szCs w:val="20"/>
        </w:rPr>
        <w:t xml:space="preserve">se informó que se </w:t>
      </w:r>
      <w:r w:rsidR="00A705E3" w:rsidRPr="006B0525">
        <w:rPr>
          <w:rFonts w:ascii="Verdana" w:hAnsi="Verdana"/>
          <w:sz w:val="20"/>
          <w:szCs w:val="20"/>
        </w:rPr>
        <w:t xml:space="preserve">aplicaría </w:t>
      </w:r>
      <w:r w:rsidR="00A22E91" w:rsidRPr="006B0525">
        <w:rPr>
          <w:rFonts w:ascii="Verdana" w:hAnsi="Verdana"/>
          <w:sz w:val="20"/>
          <w:szCs w:val="20"/>
        </w:rPr>
        <w:t xml:space="preserve">el Fondo de Asistencia Legal de Víctimas de la Corte. </w:t>
      </w:r>
    </w:p>
    <w:p w14:paraId="3EFB0AF8" w14:textId="77777777" w:rsidR="00520A12" w:rsidRPr="006B0525" w:rsidRDefault="00520A12" w:rsidP="00530549">
      <w:pPr>
        <w:pStyle w:val="Normal1"/>
        <w:widowControl/>
        <w:contextualSpacing/>
        <w:jc w:val="both"/>
        <w:rPr>
          <w:rFonts w:ascii="Verdana" w:hAnsi="Verdana"/>
          <w:sz w:val="20"/>
          <w:szCs w:val="20"/>
        </w:rPr>
      </w:pPr>
    </w:p>
    <w:p w14:paraId="3FE0AACE" w14:textId="77777777" w:rsidR="001430FB" w:rsidRPr="006B0525" w:rsidRDefault="001430FB" w:rsidP="00971F4A">
      <w:pPr>
        <w:pStyle w:val="Normal1"/>
        <w:widowControl/>
        <w:numPr>
          <w:ilvl w:val="0"/>
          <w:numId w:val="4"/>
        </w:numPr>
        <w:ind w:left="0" w:firstLine="0"/>
        <w:contextualSpacing/>
        <w:jc w:val="both"/>
        <w:rPr>
          <w:rFonts w:ascii="Verdana" w:hAnsi="Verdana"/>
          <w:sz w:val="20"/>
          <w:szCs w:val="20"/>
        </w:rPr>
      </w:pPr>
      <w:r w:rsidRPr="006B0525">
        <w:rPr>
          <w:rFonts w:ascii="Verdana" w:hAnsi="Verdana"/>
          <w:i/>
          <w:sz w:val="20"/>
          <w:szCs w:val="20"/>
        </w:rPr>
        <w:t xml:space="preserve">Audiencia Pública. </w:t>
      </w:r>
      <w:r w:rsidRPr="006B0525">
        <w:rPr>
          <w:rFonts w:ascii="Verdana" w:hAnsi="Verdana"/>
          <w:sz w:val="20"/>
          <w:szCs w:val="20"/>
        </w:rPr>
        <w:t>– Mediante Resolución de 15 de febrero de 2019</w:t>
      </w:r>
      <w:r w:rsidRPr="006B0525">
        <w:rPr>
          <w:rStyle w:val="Refdenotaalpie"/>
          <w:rFonts w:ascii="Verdana" w:hAnsi="Verdana"/>
          <w:sz w:val="20"/>
          <w:szCs w:val="20"/>
        </w:rPr>
        <w:footnoteReference w:id="5"/>
      </w:r>
      <w:r w:rsidRPr="006B0525">
        <w:rPr>
          <w:rFonts w:ascii="Verdana" w:hAnsi="Verdana"/>
          <w:sz w:val="20"/>
          <w:szCs w:val="20"/>
        </w:rPr>
        <w:t xml:space="preserve">, el </w:t>
      </w:r>
      <w:proofErr w:type="gramStart"/>
      <w:r w:rsidRPr="006B0525">
        <w:rPr>
          <w:rFonts w:ascii="Verdana" w:hAnsi="Verdana"/>
          <w:sz w:val="20"/>
          <w:szCs w:val="20"/>
        </w:rPr>
        <w:t>Presidente</w:t>
      </w:r>
      <w:proofErr w:type="gramEnd"/>
      <w:r w:rsidRPr="006B0525">
        <w:rPr>
          <w:rFonts w:ascii="Verdana" w:hAnsi="Verdana"/>
          <w:sz w:val="20"/>
          <w:szCs w:val="20"/>
        </w:rPr>
        <w:t xml:space="preserve"> convocó al Estado, a </w:t>
      </w:r>
      <w:r w:rsidR="004D2A8A" w:rsidRPr="006B0525">
        <w:rPr>
          <w:rFonts w:ascii="Verdana" w:hAnsi="Verdana"/>
          <w:sz w:val="20"/>
          <w:szCs w:val="20"/>
        </w:rPr>
        <w:t>las representantes</w:t>
      </w:r>
      <w:r w:rsidRPr="006B0525">
        <w:rPr>
          <w:rFonts w:ascii="Verdana" w:hAnsi="Verdana"/>
          <w:sz w:val="20"/>
          <w:szCs w:val="20"/>
        </w:rPr>
        <w:t xml:space="preserve"> y a la Comisión Interamericana a una audiencia pública para recibir sus </w:t>
      </w:r>
      <w:r w:rsidRPr="006B0525">
        <w:rPr>
          <w:rFonts w:ascii="Verdana" w:hAnsi="Verdana"/>
          <w:iCs/>
          <w:sz w:val="20"/>
          <w:szCs w:val="20"/>
        </w:rPr>
        <w:t>alegatos</w:t>
      </w:r>
      <w:r w:rsidRPr="006B0525">
        <w:rPr>
          <w:rFonts w:ascii="Verdana" w:hAnsi="Verdana"/>
          <w:sz w:val="20"/>
          <w:szCs w:val="20"/>
        </w:rPr>
        <w:t xml:space="preserve"> y observaciones finales orales sobre la excepción preliminar y eventual fondo, reparaciones </w:t>
      </w:r>
      <w:r w:rsidRPr="006B0525">
        <w:rPr>
          <w:rFonts w:ascii="Verdana" w:hAnsi="Verdana"/>
          <w:sz w:val="20"/>
          <w:szCs w:val="20"/>
        </w:rPr>
        <w:lastRenderedPageBreak/>
        <w:t xml:space="preserve">y costas, así como para recibir la declaración de una </w:t>
      </w:r>
      <w:r w:rsidR="001B07E3" w:rsidRPr="006B0525">
        <w:rPr>
          <w:rFonts w:ascii="Verdana" w:hAnsi="Verdana"/>
          <w:sz w:val="20"/>
          <w:szCs w:val="20"/>
        </w:rPr>
        <w:t xml:space="preserve">de las </w:t>
      </w:r>
      <w:r w:rsidRPr="006B0525">
        <w:rPr>
          <w:rFonts w:ascii="Verdana" w:hAnsi="Verdana"/>
          <w:sz w:val="20"/>
          <w:szCs w:val="20"/>
        </w:rPr>
        <w:t>presunta</w:t>
      </w:r>
      <w:r w:rsidR="001B07E3" w:rsidRPr="006B0525">
        <w:rPr>
          <w:rFonts w:ascii="Verdana" w:hAnsi="Verdana"/>
          <w:sz w:val="20"/>
          <w:szCs w:val="20"/>
        </w:rPr>
        <w:t>s</w:t>
      </w:r>
      <w:r w:rsidRPr="006B0525">
        <w:rPr>
          <w:rFonts w:ascii="Verdana" w:hAnsi="Verdana"/>
          <w:sz w:val="20"/>
          <w:szCs w:val="20"/>
        </w:rPr>
        <w:t xml:space="preserve"> </w:t>
      </w:r>
      <w:r w:rsidRPr="002F5A43">
        <w:rPr>
          <w:rFonts w:ascii="Verdana" w:hAnsi="Verdana"/>
          <w:sz w:val="20"/>
          <w:szCs w:val="20"/>
        </w:rPr>
        <w:t>víctima</w:t>
      </w:r>
      <w:r w:rsidR="001B07E3" w:rsidRPr="002F5A43">
        <w:rPr>
          <w:rFonts w:ascii="Verdana" w:hAnsi="Verdana"/>
          <w:sz w:val="20"/>
          <w:szCs w:val="20"/>
        </w:rPr>
        <w:t>s</w:t>
      </w:r>
      <w:r w:rsidRPr="006B0525">
        <w:rPr>
          <w:rFonts w:ascii="Verdana" w:hAnsi="Verdana"/>
          <w:sz w:val="20"/>
          <w:szCs w:val="20"/>
        </w:rPr>
        <w:t xml:space="preserve"> propuesta por </w:t>
      </w:r>
      <w:r w:rsidR="004D2A8A" w:rsidRPr="006B0525">
        <w:rPr>
          <w:rFonts w:ascii="Verdana" w:hAnsi="Verdana"/>
          <w:sz w:val="20"/>
          <w:szCs w:val="20"/>
        </w:rPr>
        <w:t>las representantes</w:t>
      </w:r>
      <w:r w:rsidRPr="006B0525">
        <w:rPr>
          <w:rFonts w:ascii="Verdana" w:hAnsi="Verdana"/>
          <w:sz w:val="20"/>
          <w:szCs w:val="20"/>
        </w:rPr>
        <w:t>.</w:t>
      </w:r>
      <w:r w:rsidR="00971F4A" w:rsidRPr="006B0525">
        <w:rPr>
          <w:rFonts w:ascii="Verdana" w:hAnsi="Verdana"/>
          <w:sz w:val="20"/>
          <w:szCs w:val="20"/>
        </w:rPr>
        <w:t xml:space="preserve"> E</w:t>
      </w:r>
      <w:r w:rsidRPr="006B0525">
        <w:rPr>
          <w:rFonts w:ascii="Verdana" w:hAnsi="Verdana"/>
          <w:sz w:val="20"/>
          <w:szCs w:val="20"/>
        </w:rPr>
        <w:t xml:space="preserve">l </w:t>
      </w:r>
      <w:proofErr w:type="gramStart"/>
      <w:r w:rsidRPr="006B0525">
        <w:rPr>
          <w:rFonts w:ascii="Verdana" w:hAnsi="Verdana"/>
          <w:sz w:val="20"/>
          <w:szCs w:val="20"/>
        </w:rPr>
        <w:t>Presidente</w:t>
      </w:r>
      <w:proofErr w:type="gramEnd"/>
      <w:r w:rsidRPr="006B0525">
        <w:rPr>
          <w:rFonts w:ascii="Verdana" w:hAnsi="Verdana"/>
          <w:sz w:val="20"/>
          <w:szCs w:val="20"/>
        </w:rPr>
        <w:t xml:space="preserve"> ordenó </w:t>
      </w:r>
      <w:r w:rsidR="00971F4A" w:rsidRPr="006B0525">
        <w:rPr>
          <w:rFonts w:ascii="Verdana" w:hAnsi="Verdana"/>
          <w:sz w:val="20"/>
          <w:szCs w:val="20"/>
        </w:rPr>
        <w:t xml:space="preserve">también el traslado </w:t>
      </w:r>
      <w:r w:rsidRPr="006B0525">
        <w:rPr>
          <w:rFonts w:ascii="Verdana" w:hAnsi="Verdana"/>
          <w:sz w:val="20"/>
          <w:szCs w:val="20"/>
        </w:rPr>
        <w:t xml:space="preserve">del peritaje </w:t>
      </w:r>
      <w:r w:rsidR="00971F4A" w:rsidRPr="006B0525">
        <w:rPr>
          <w:rFonts w:ascii="Verdana" w:hAnsi="Verdana"/>
          <w:sz w:val="20"/>
          <w:szCs w:val="20"/>
        </w:rPr>
        <w:t xml:space="preserve">de los señores </w:t>
      </w:r>
      <w:proofErr w:type="spellStart"/>
      <w:r w:rsidRPr="006B0525">
        <w:rPr>
          <w:rFonts w:ascii="Verdana" w:hAnsi="Verdana"/>
          <w:sz w:val="20"/>
          <w:szCs w:val="20"/>
        </w:rPr>
        <w:t>Parvais</w:t>
      </w:r>
      <w:proofErr w:type="spellEnd"/>
      <w:r w:rsidRPr="006B0525">
        <w:rPr>
          <w:rFonts w:ascii="Verdana" w:hAnsi="Verdana"/>
          <w:sz w:val="20"/>
          <w:szCs w:val="20"/>
        </w:rPr>
        <w:t xml:space="preserve"> Jabbar y Edward Fitzgerald </w:t>
      </w:r>
      <w:r w:rsidR="00971F4A" w:rsidRPr="006B0525">
        <w:rPr>
          <w:rFonts w:ascii="Verdana" w:hAnsi="Verdana"/>
          <w:sz w:val="20"/>
          <w:szCs w:val="20"/>
        </w:rPr>
        <w:t xml:space="preserve">rendido en los casos </w:t>
      </w:r>
      <w:r w:rsidR="00971F4A" w:rsidRPr="006B0525">
        <w:rPr>
          <w:rFonts w:ascii="Verdana" w:hAnsi="Verdana"/>
          <w:i/>
          <w:sz w:val="20"/>
          <w:szCs w:val="20"/>
        </w:rPr>
        <w:t>Martínez Coronado</w:t>
      </w:r>
      <w:r w:rsidR="00971F4A" w:rsidRPr="006B0525">
        <w:rPr>
          <w:rFonts w:ascii="Verdana" w:hAnsi="Verdana"/>
          <w:sz w:val="20"/>
          <w:szCs w:val="20"/>
        </w:rPr>
        <w:t xml:space="preserve">, </w:t>
      </w:r>
      <w:r w:rsidR="00971F4A" w:rsidRPr="006B0525">
        <w:rPr>
          <w:rFonts w:ascii="Verdana" w:hAnsi="Verdana"/>
          <w:i/>
          <w:sz w:val="20"/>
          <w:szCs w:val="20"/>
        </w:rPr>
        <w:t>Girón y otro</w:t>
      </w:r>
      <w:r w:rsidR="00971F4A" w:rsidRPr="006B0525">
        <w:rPr>
          <w:rFonts w:ascii="Verdana" w:hAnsi="Verdana"/>
          <w:sz w:val="20"/>
          <w:szCs w:val="20"/>
        </w:rPr>
        <w:t xml:space="preserve"> y </w:t>
      </w:r>
      <w:r w:rsidR="00971F4A" w:rsidRPr="006B0525">
        <w:rPr>
          <w:rFonts w:ascii="Verdana" w:hAnsi="Verdana"/>
          <w:i/>
          <w:sz w:val="20"/>
          <w:szCs w:val="20"/>
        </w:rPr>
        <w:t>Ruiz</w:t>
      </w:r>
      <w:r w:rsidR="009E03F1" w:rsidRPr="006B0525">
        <w:rPr>
          <w:rFonts w:ascii="Verdana" w:hAnsi="Verdana"/>
          <w:i/>
          <w:sz w:val="20"/>
          <w:szCs w:val="20"/>
        </w:rPr>
        <w:t xml:space="preserve"> </w:t>
      </w:r>
      <w:r w:rsidR="00971F4A" w:rsidRPr="006B0525">
        <w:rPr>
          <w:rFonts w:ascii="Verdana" w:hAnsi="Verdana"/>
          <w:i/>
          <w:sz w:val="20"/>
          <w:szCs w:val="20"/>
        </w:rPr>
        <w:t xml:space="preserve">Fuentes y otra </w:t>
      </w:r>
      <w:r w:rsidR="00971F4A" w:rsidRPr="00D600E6">
        <w:rPr>
          <w:rFonts w:ascii="Verdana" w:hAnsi="Verdana"/>
          <w:sz w:val="20"/>
          <w:szCs w:val="20"/>
        </w:rPr>
        <w:t>contra Guatemala</w:t>
      </w:r>
      <w:r w:rsidR="00971F4A" w:rsidRPr="006B0525">
        <w:rPr>
          <w:rFonts w:ascii="Verdana" w:hAnsi="Verdana"/>
          <w:sz w:val="20"/>
          <w:szCs w:val="20"/>
        </w:rPr>
        <w:t xml:space="preserve">, </w:t>
      </w:r>
      <w:r w:rsidRPr="006B0525">
        <w:rPr>
          <w:rFonts w:ascii="Verdana" w:hAnsi="Verdana"/>
          <w:sz w:val="20"/>
          <w:szCs w:val="20"/>
        </w:rPr>
        <w:t>al presente caso. La audiencia pública fue celebrada el 8 de marzo de 2019, durante el 130° Período Ordinario de Sesiones de la Corte, llevado a cabo en su sede</w:t>
      </w:r>
      <w:r w:rsidRPr="006B0525">
        <w:rPr>
          <w:rStyle w:val="Refdenotaalpie"/>
          <w:rFonts w:ascii="Verdana" w:hAnsi="Verdana"/>
          <w:sz w:val="20"/>
          <w:szCs w:val="20"/>
        </w:rPr>
        <w:footnoteReference w:id="6"/>
      </w:r>
      <w:r w:rsidRPr="006B0525">
        <w:rPr>
          <w:rFonts w:ascii="Verdana" w:hAnsi="Verdana"/>
          <w:sz w:val="20"/>
          <w:szCs w:val="20"/>
        </w:rPr>
        <w:t xml:space="preserve">. </w:t>
      </w:r>
    </w:p>
    <w:p w14:paraId="29056B17" w14:textId="77777777" w:rsidR="00520A12" w:rsidRPr="006B0525" w:rsidRDefault="00520A12" w:rsidP="00530549">
      <w:pPr>
        <w:pStyle w:val="Normal1"/>
        <w:widowControl/>
        <w:contextualSpacing/>
        <w:jc w:val="both"/>
        <w:rPr>
          <w:rFonts w:ascii="Verdana" w:hAnsi="Verdana"/>
          <w:sz w:val="20"/>
          <w:szCs w:val="20"/>
        </w:rPr>
      </w:pPr>
    </w:p>
    <w:p w14:paraId="4FEA2B6B" w14:textId="77777777" w:rsidR="001430FB" w:rsidRPr="006B0525" w:rsidRDefault="001430FB"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i/>
          <w:sz w:val="20"/>
          <w:szCs w:val="20"/>
        </w:rPr>
        <w:t xml:space="preserve">Alegatos y observaciones finales escritos. </w:t>
      </w:r>
      <w:r w:rsidRPr="006B0525">
        <w:rPr>
          <w:rFonts w:ascii="Verdana" w:hAnsi="Verdana"/>
          <w:sz w:val="20"/>
          <w:szCs w:val="20"/>
        </w:rPr>
        <w:t xml:space="preserve">– El 8 de abril de 2019 </w:t>
      </w:r>
      <w:r w:rsidR="004D2A8A" w:rsidRPr="006B0525">
        <w:rPr>
          <w:rFonts w:ascii="Verdana" w:hAnsi="Verdana"/>
          <w:sz w:val="20"/>
          <w:szCs w:val="20"/>
        </w:rPr>
        <w:t>las representantes</w:t>
      </w:r>
      <w:r w:rsidRPr="006B0525">
        <w:rPr>
          <w:rFonts w:ascii="Verdana" w:hAnsi="Verdana"/>
          <w:sz w:val="20"/>
          <w:szCs w:val="20"/>
        </w:rPr>
        <w:t xml:space="preserve"> y el Estado </w:t>
      </w:r>
      <w:r w:rsidRPr="006B0525">
        <w:rPr>
          <w:rFonts w:ascii="Verdana" w:hAnsi="Verdana"/>
          <w:iCs/>
          <w:sz w:val="20"/>
          <w:szCs w:val="20"/>
        </w:rPr>
        <w:t>remitieron</w:t>
      </w:r>
      <w:r w:rsidRPr="006B0525">
        <w:rPr>
          <w:rFonts w:ascii="Verdana" w:hAnsi="Verdana"/>
          <w:sz w:val="20"/>
          <w:szCs w:val="20"/>
        </w:rPr>
        <w:t xml:space="preserve"> sus respectivos alegatos finales escritos, junto con determinados anexos, y la Comisión presentó sus observaciones finales escritas. </w:t>
      </w:r>
    </w:p>
    <w:p w14:paraId="65908E72" w14:textId="77777777" w:rsidR="001430FB" w:rsidRPr="006B0525" w:rsidRDefault="001430FB" w:rsidP="00530549">
      <w:pPr>
        <w:pStyle w:val="Prrafodelista"/>
        <w:rPr>
          <w:highlight w:val="yellow"/>
        </w:rPr>
      </w:pPr>
    </w:p>
    <w:p w14:paraId="75B59ECD" w14:textId="77777777" w:rsidR="001430FB" w:rsidRPr="006B0525" w:rsidRDefault="001430FB"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i/>
          <w:sz w:val="20"/>
          <w:szCs w:val="20"/>
        </w:rPr>
        <w:t xml:space="preserve">Deliberación del presente caso. </w:t>
      </w:r>
      <w:r w:rsidRPr="006B0525">
        <w:rPr>
          <w:rFonts w:ascii="Verdana" w:hAnsi="Verdana"/>
          <w:sz w:val="20"/>
          <w:szCs w:val="20"/>
        </w:rPr>
        <w:t xml:space="preserve">– La Corte inició la deliberación de la presente Sentencia el </w:t>
      </w:r>
      <w:r w:rsidR="00DE6A80">
        <w:rPr>
          <w:rFonts w:ascii="Verdana" w:hAnsi="Verdana"/>
          <w:sz w:val="20"/>
          <w:szCs w:val="20"/>
        </w:rPr>
        <w:t>11</w:t>
      </w:r>
      <w:r w:rsidRPr="006B0525">
        <w:rPr>
          <w:rFonts w:ascii="Verdana" w:hAnsi="Verdana"/>
          <w:sz w:val="20"/>
          <w:szCs w:val="20"/>
        </w:rPr>
        <w:t xml:space="preserve"> de </w:t>
      </w:r>
      <w:r w:rsidR="00DE6A80">
        <w:rPr>
          <w:rFonts w:ascii="Verdana" w:hAnsi="Verdana"/>
          <w:sz w:val="20"/>
          <w:szCs w:val="20"/>
        </w:rPr>
        <w:t>octubre</w:t>
      </w:r>
      <w:r w:rsidRPr="006B0525">
        <w:rPr>
          <w:rFonts w:ascii="Verdana" w:hAnsi="Verdana"/>
          <w:sz w:val="20"/>
          <w:szCs w:val="20"/>
        </w:rPr>
        <w:t xml:space="preserve"> de </w:t>
      </w:r>
      <w:r w:rsidRPr="006B0525">
        <w:rPr>
          <w:rFonts w:ascii="Verdana" w:hAnsi="Verdana"/>
          <w:iCs/>
          <w:sz w:val="20"/>
          <w:szCs w:val="20"/>
        </w:rPr>
        <w:t>2019</w:t>
      </w:r>
      <w:r w:rsidRPr="006B0525">
        <w:rPr>
          <w:rFonts w:ascii="Verdana" w:hAnsi="Verdana"/>
          <w:sz w:val="20"/>
          <w:szCs w:val="20"/>
        </w:rPr>
        <w:t>.</w:t>
      </w:r>
    </w:p>
    <w:p w14:paraId="539A142F" w14:textId="77777777" w:rsidR="00467516" w:rsidRPr="006B0525" w:rsidRDefault="00467516" w:rsidP="00530549">
      <w:pPr>
        <w:pStyle w:val="Ttulo1"/>
      </w:pPr>
      <w:bookmarkStart w:id="3" w:name="_Toc26177790"/>
      <w:r w:rsidRPr="006B0525">
        <w:t>III</w:t>
      </w:r>
      <w:r w:rsidRPr="006B0525">
        <w:br/>
        <w:t>COMPETENCIA</w:t>
      </w:r>
      <w:bookmarkEnd w:id="3"/>
    </w:p>
    <w:p w14:paraId="590536B3" w14:textId="77777777" w:rsidR="00467516" w:rsidRPr="006B0525" w:rsidRDefault="001430FB" w:rsidP="00530549">
      <w:pPr>
        <w:pStyle w:val="Normal1"/>
        <w:widowControl/>
        <w:numPr>
          <w:ilvl w:val="0"/>
          <w:numId w:val="4"/>
        </w:numPr>
        <w:ind w:left="0" w:firstLine="0"/>
        <w:contextualSpacing/>
        <w:jc w:val="both"/>
        <w:rPr>
          <w:rFonts w:ascii="Verdana" w:eastAsia="Batang" w:hAnsi="Verdana"/>
          <w:sz w:val="20"/>
          <w:szCs w:val="20"/>
        </w:rPr>
      </w:pPr>
      <w:r w:rsidRPr="006B0525">
        <w:rPr>
          <w:rFonts w:ascii="Verdana" w:eastAsia="Batang" w:hAnsi="Verdana"/>
          <w:sz w:val="20"/>
          <w:szCs w:val="20"/>
        </w:rPr>
        <w:t xml:space="preserve">La Corte es competente para conocer el presente caso, en los términos del artículo 62.3 de la </w:t>
      </w:r>
      <w:r w:rsidRPr="006B0525">
        <w:rPr>
          <w:rFonts w:ascii="Verdana" w:hAnsi="Verdana"/>
          <w:sz w:val="20"/>
          <w:szCs w:val="20"/>
        </w:rPr>
        <w:t>Convención</w:t>
      </w:r>
      <w:r w:rsidRPr="006B0525">
        <w:rPr>
          <w:rFonts w:ascii="Verdana" w:eastAsia="Batang" w:hAnsi="Verdana"/>
          <w:sz w:val="20"/>
          <w:szCs w:val="20"/>
        </w:rPr>
        <w:t xml:space="preserve">, </w:t>
      </w:r>
      <w:proofErr w:type="gramStart"/>
      <w:r w:rsidRPr="006B0525">
        <w:rPr>
          <w:rFonts w:ascii="Verdana" w:hAnsi="Verdana"/>
          <w:sz w:val="20"/>
          <w:szCs w:val="20"/>
        </w:rPr>
        <w:t>en</w:t>
      </w:r>
      <w:r w:rsidRPr="006B0525">
        <w:rPr>
          <w:rFonts w:ascii="Verdana" w:eastAsia="Batang" w:hAnsi="Verdana"/>
          <w:sz w:val="20"/>
          <w:szCs w:val="20"/>
        </w:rPr>
        <w:t xml:space="preserve"> razón de</w:t>
      </w:r>
      <w:proofErr w:type="gramEnd"/>
      <w:r w:rsidRPr="006B0525">
        <w:rPr>
          <w:rFonts w:ascii="Verdana" w:eastAsia="Batang" w:hAnsi="Verdana"/>
          <w:sz w:val="20"/>
          <w:szCs w:val="20"/>
        </w:rPr>
        <w:t xml:space="preserve"> que Guatemala es Estado Parte de la Convención Americana desde el 25 de mayo de 1978 y reconoció la competencia contenciosa de la Corte el 9 de marzo de 1987. </w:t>
      </w:r>
    </w:p>
    <w:p w14:paraId="381052E2" w14:textId="77777777" w:rsidR="00467516" w:rsidRPr="006B0525" w:rsidRDefault="00467516" w:rsidP="00530549">
      <w:pPr>
        <w:pStyle w:val="Ttulo1"/>
      </w:pPr>
      <w:bookmarkStart w:id="4" w:name="_Toc26177791"/>
      <w:bookmarkStart w:id="5" w:name="_Toc375062713"/>
      <w:bookmarkStart w:id="6" w:name="_Toc375140863"/>
      <w:bookmarkStart w:id="7" w:name="_Toc375504822"/>
      <w:bookmarkStart w:id="8" w:name="_Toc375560896"/>
      <w:bookmarkStart w:id="9" w:name="_Toc428369979"/>
      <w:bookmarkStart w:id="10" w:name="_Toc459158095"/>
      <w:bookmarkStart w:id="11" w:name="_Toc401931881"/>
      <w:bookmarkStart w:id="12" w:name="_Toc470180035"/>
      <w:bookmarkStart w:id="13" w:name="_Toc495658648"/>
      <w:r w:rsidRPr="006B0525">
        <w:t>IV</w:t>
      </w:r>
      <w:r w:rsidRPr="006B0525">
        <w:br/>
        <w:t>EXCEPCIÓN PRELIMINAR</w:t>
      </w:r>
      <w:bookmarkEnd w:id="4"/>
    </w:p>
    <w:p w14:paraId="65488A7B" w14:textId="77777777" w:rsidR="00467516" w:rsidRPr="006B0525" w:rsidRDefault="00467516" w:rsidP="00530549">
      <w:pPr>
        <w:pStyle w:val="Ttulo2"/>
      </w:pPr>
      <w:bookmarkStart w:id="14" w:name="_Toc26177792"/>
      <w:r w:rsidRPr="006B0525">
        <w:t>A.</w:t>
      </w:r>
      <w:r w:rsidRPr="006B0525">
        <w:tab/>
        <w:t>Alegatos de las partes y de la Comisión</w:t>
      </w:r>
      <w:bookmarkEnd w:id="14"/>
    </w:p>
    <w:p w14:paraId="2AF57D7B" w14:textId="77777777" w:rsidR="001430FB" w:rsidRPr="006B0525" w:rsidRDefault="001430FB" w:rsidP="00530549">
      <w:pPr>
        <w:pStyle w:val="Normal1"/>
        <w:widowControl/>
        <w:numPr>
          <w:ilvl w:val="0"/>
          <w:numId w:val="4"/>
        </w:numPr>
        <w:ind w:left="0" w:firstLine="0"/>
        <w:contextualSpacing/>
        <w:jc w:val="both"/>
        <w:rPr>
          <w:rFonts w:ascii="Verdana" w:eastAsia="Batang" w:hAnsi="Verdana"/>
          <w:sz w:val="20"/>
          <w:szCs w:val="20"/>
        </w:rPr>
      </w:pPr>
      <w:r w:rsidRPr="006B0525">
        <w:rPr>
          <w:rFonts w:ascii="Verdana" w:eastAsia="Batang" w:hAnsi="Verdana"/>
          <w:sz w:val="20"/>
          <w:szCs w:val="20"/>
        </w:rPr>
        <w:t xml:space="preserve">El </w:t>
      </w:r>
      <w:r w:rsidRPr="006B0525">
        <w:rPr>
          <w:rFonts w:ascii="Verdana" w:eastAsia="Batang" w:hAnsi="Verdana"/>
          <w:b/>
          <w:i/>
          <w:sz w:val="20"/>
          <w:szCs w:val="20"/>
        </w:rPr>
        <w:t>Estado</w:t>
      </w:r>
      <w:r w:rsidRPr="006B0525">
        <w:rPr>
          <w:rFonts w:ascii="Verdana" w:eastAsia="Batang" w:hAnsi="Verdana"/>
          <w:sz w:val="20"/>
          <w:szCs w:val="20"/>
        </w:rPr>
        <w:t xml:space="preserve"> adujo que las circunstancias suscitadas en el presente caso fueron apegadas a la normativa legal doméstica vigente en el momento de los hechos. Añadió que el procedimiento penal seguido contra los señores Rodríguez Revolorio, López Calo y Archila Pérez constituyó cosa juzgada, en la medida en que la representación de las presuntas víctimas </w:t>
      </w:r>
      <w:r w:rsidR="00D600E6">
        <w:rPr>
          <w:rFonts w:ascii="Verdana" w:eastAsia="Batang" w:hAnsi="Verdana"/>
          <w:sz w:val="20"/>
          <w:szCs w:val="20"/>
        </w:rPr>
        <w:t>agotó</w:t>
      </w:r>
      <w:r w:rsidRPr="006B0525">
        <w:rPr>
          <w:rFonts w:ascii="Verdana" w:eastAsia="Batang" w:hAnsi="Verdana"/>
          <w:sz w:val="20"/>
          <w:szCs w:val="20"/>
        </w:rPr>
        <w:t xml:space="preserve"> todos los recursos de la normativa interna vigente al momento de los hechos y que los mismos fueron conocidos y resuelto en el momento procesal oportuno por los órganos jurisdiccionales correspondientes</w:t>
      </w:r>
      <w:r w:rsidR="005C1BC6" w:rsidRPr="006B0525">
        <w:rPr>
          <w:rFonts w:ascii="Verdana" w:eastAsia="Batang" w:hAnsi="Verdana"/>
          <w:sz w:val="20"/>
          <w:szCs w:val="20"/>
        </w:rPr>
        <w:t>.</w:t>
      </w:r>
      <w:r w:rsidRPr="006B0525">
        <w:rPr>
          <w:rFonts w:ascii="Verdana" w:eastAsia="Batang" w:hAnsi="Verdana"/>
          <w:sz w:val="20"/>
          <w:szCs w:val="20"/>
        </w:rPr>
        <w:t xml:space="preserve"> </w:t>
      </w:r>
      <w:r w:rsidR="005C1BC6" w:rsidRPr="006B0525">
        <w:rPr>
          <w:rFonts w:ascii="Verdana" w:eastAsia="Batang" w:hAnsi="Verdana"/>
          <w:sz w:val="20"/>
          <w:szCs w:val="20"/>
        </w:rPr>
        <w:t>Indicó además que en ningún momento ejecutó la condena a pena de muerte impuesta a los señores</w:t>
      </w:r>
      <w:r w:rsidR="008F31D6" w:rsidRPr="006B0525">
        <w:rPr>
          <w:rFonts w:ascii="Verdana" w:eastAsia="Batang" w:hAnsi="Verdana"/>
          <w:sz w:val="20"/>
          <w:szCs w:val="20"/>
        </w:rPr>
        <w:t xml:space="preserve"> </w:t>
      </w:r>
      <w:r w:rsidRPr="006B0525">
        <w:rPr>
          <w:rFonts w:ascii="Verdana" w:eastAsia="Batang" w:hAnsi="Verdana"/>
          <w:sz w:val="20"/>
          <w:szCs w:val="20"/>
        </w:rPr>
        <w:t>Rodríguez Revolorio, López Calo y Archila Pérez, toda vez que la misma les fue conmutada por la pena máxima de privación de libertad. Por último, el Estado destacó que</w:t>
      </w:r>
      <w:r w:rsidR="00EE45F8" w:rsidRPr="006B0525">
        <w:rPr>
          <w:rFonts w:ascii="Verdana" w:eastAsia="Batang" w:hAnsi="Verdana"/>
          <w:sz w:val="20"/>
          <w:szCs w:val="20"/>
        </w:rPr>
        <w:t>,</w:t>
      </w:r>
      <w:r w:rsidRPr="006B0525">
        <w:rPr>
          <w:rFonts w:ascii="Verdana" w:eastAsia="Batang" w:hAnsi="Verdana"/>
          <w:sz w:val="20"/>
          <w:szCs w:val="20"/>
        </w:rPr>
        <w:t xml:space="preserve"> a pesar de que el delito por el cual fueron condenados no era susceptible de medidas sustitutivas, de buena fe, los sentenciados desde 2016 gozaron del beneficio de libertad anticipada. </w:t>
      </w:r>
    </w:p>
    <w:p w14:paraId="26DBA7A2" w14:textId="77777777" w:rsidR="001430FB" w:rsidRPr="006B0525" w:rsidRDefault="001430FB" w:rsidP="00530549">
      <w:pPr>
        <w:rPr>
          <w:rFonts w:eastAsia="Batang"/>
          <w:lang w:eastAsia="en-US"/>
        </w:rPr>
      </w:pPr>
    </w:p>
    <w:p w14:paraId="53BAC46C" w14:textId="77777777" w:rsidR="001430FB" w:rsidRPr="006B0525" w:rsidRDefault="001430FB" w:rsidP="00530549">
      <w:pPr>
        <w:pStyle w:val="Normal1"/>
        <w:widowControl/>
        <w:numPr>
          <w:ilvl w:val="0"/>
          <w:numId w:val="4"/>
        </w:numPr>
        <w:ind w:left="0" w:firstLine="0"/>
        <w:contextualSpacing/>
        <w:jc w:val="both"/>
        <w:rPr>
          <w:rFonts w:ascii="Verdana" w:eastAsia="Batang" w:hAnsi="Verdana"/>
          <w:sz w:val="20"/>
          <w:szCs w:val="20"/>
        </w:rPr>
      </w:pPr>
      <w:r w:rsidRPr="006B0525">
        <w:rPr>
          <w:rFonts w:ascii="Verdana" w:eastAsia="Batang" w:hAnsi="Verdana"/>
          <w:sz w:val="20"/>
          <w:szCs w:val="20"/>
        </w:rPr>
        <w:t xml:space="preserve">La </w:t>
      </w:r>
      <w:r w:rsidRPr="006B0525">
        <w:rPr>
          <w:rFonts w:ascii="Verdana" w:eastAsia="Batang" w:hAnsi="Verdana"/>
          <w:b/>
          <w:i/>
          <w:sz w:val="20"/>
          <w:szCs w:val="20"/>
        </w:rPr>
        <w:t>Comisión</w:t>
      </w:r>
      <w:r w:rsidRPr="006B0525">
        <w:rPr>
          <w:rFonts w:ascii="Verdana" w:eastAsia="Batang" w:hAnsi="Verdana"/>
          <w:sz w:val="20"/>
          <w:szCs w:val="20"/>
        </w:rPr>
        <w:t xml:space="preserve"> consideró que el planteamiento del Estado no constituía una excepción preliminar, sino que se trataba de una cuestión que corresponde fundamentalmente al fondo. </w:t>
      </w:r>
    </w:p>
    <w:p w14:paraId="3F0E4385" w14:textId="77777777" w:rsidR="001430FB" w:rsidRPr="006B0525" w:rsidRDefault="001430FB" w:rsidP="00530549">
      <w:pPr>
        <w:rPr>
          <w:rFonts w:eastAsia="Batang"/>
          <w:lang w:eastAsia="en-US"/>
        </w:rPr>
      </w:pPr>
    </w:p>
    <w:p w14:paraId="21410874" w14:textId="77777777" w:rsidR="001430FB" w:rsidRPr="006B0525" w:rsidRDefault="004D2A8A" w:rsidP="00530549">
      <w:pPr>
        <w:pStyle w:val="Normal1"/>
        <w:widowControl/>
        <w:numPr>
          <w:ilvl w:val="0"/>
          <w:numId w:val="4"/>
        </w:numPr>
        <w:ind w:left="0" w:firstLine="0"/>
        <w:contextualSpacing/>
        <w:jc w:val="both"/>
        <w:rPr>
          <w:rFonts w:ascii="Verdana" w:eastAsia="Batang" w:hAnsi="Verdana"/>
          <w:sz w:val="20"/>
          <w:szCs w:val="20"/>
        </w:rPr>
      </w:pPr>
      <w:r w:rsidRPr="006B0525">
        <w:rPr>
          <w:rFonts w:ascii="Verdana" w:eastAsia="Batang" w:hAnsi="Verdana"/>
          <w:sz w:val="20"/>
          <w:szCs w:val="20"/>
        </w:rPr>
        <w:t xml:space="preserve">Las </w:t>
      </w:r>
      <w:r w:rsidRPr="00083489">
        <w:rPr>
          <w:rFonts w:ascii="Verdana" w:eastAsia="Batang" w:hAnsi="Verdana"/>
          <w:b/>
          <w:i/>
          <w:sz w:val="20"/>
          <w:szCs w:val="20"/>
        </w:rPr>
        <w:t>representantes</w:t>
      </w:r>
      <w:r w:rsidR="001430FB" w:rsidRPr="006B0525">
        <w:rPr>
          <w:rFonts w:ascii="Verdana" w:eastAsia="Batang" w:hAnsi="Verdana"/>
          <w:sz w:val="20"/>
          <w:szCs w:val="20"/>
        </w:rPr>
        <w:t xml:space="preserve"> se pronunciaron en el mismo sentido que la Comisión, indicando que los alegatos del Estado eran asuntos relacionados con el fondo del caso. </w:t>
      </w:r>
    </w:p>
    <w:p w14:paraId="56EE1A63" w14:textId="77777777" w:rsidR="001430FB" w:rsidRPr="006B0525" w:rsidRDefault="001430FB" w:rsidP="00530549">
      <w:pPr>
        <w:pStyle w:val="Ttulo2"/>
      </w:pPr>
      <w:bookmarkStart w:id="15" w:name="_Toc16270563"/>
      <w:bookmarkStart w:id="16" w:name="_Toc26177793"/>
      <w:r w:rsidRPr="006B0525">
        <w:lastRenderedPageBreak/>
        <w:t>B.</w:t>
      </w:r>
      <w:r w:rsidRPr="006B0525">
        <w:tab/>
        <w:t>Consideraciones de la Corte</w:t>
      </w:r>
      <w:bookmarkEnd w:id="15"/>
      <w:bookmarkEnd w:id="16"/>
    </w:p>
    <w:p w14:paraId="0777366A" w14:textId="77777777" w:rsidR="001430FB" w:rsidRPr="006B0525" w:rsidRDefault="001430FB" w:rsidP="00530549">
      <w:pPr>
        <w:pStyle w:val="Normal1"/>
        <w:widowControl/>
        <w:numPr>
          <w:ilvl w:val="0"/>
          <w:numId w:val="4"/>
        </w:numPr>
        <w:ind w:left="0" w:firstLine="0"/>
        <w:contextualSpacing/>
        <w:jc w:val="both"/>
        <w:rPr>
          <w:rFonts w:ascii="Verdana" w:eastAsia="Batang" w:hAnsi="Verdana"/>
          <w:sz w:val="20"/>
          <w:szCs w:val="20"/>
        </w:rPr>
      </w:pPr>
      <w:r w:rsidRPr="006B0525">
        <w:rPr>
          <w:rFonts w:ascii="Verdana" w:hAnsi="Verdana" w:cs="Arial"/>
          <w:sz w:val="20"/>
          <w:szCs w:val="20"/>
        </w:rPr>
        <w:t>La Corte recuerda que las excepciones preliminares son actos mediante los cuales un Estado busca, de manera previa, impedir el análisis del fondo de un asunto cuestionado, para lo cual puede plantear</w:t>
      </w:r>
      <w:r w:rsidR="004D2A8A" w:rsidRPr="006B0525">
        <w:rPr>
          <w:rFonts w:ascii="Verdana" w:hAnsi="Verdana" w:cs="Arial"/>
          <w:sz w:val="20"/>
          <w:szCs w:val="20"/>
        </w:rPr>
        <w:t xml:space="preserve"> </w:t>
      </w:r>
      <w:r w:rsidRPr="006B0525">
        <w:rPr>
          <w:rFonts w:ascii="Verdana" w:hAnsi="Verdana" w:cs="Arial"/>
          <w:sz w:val="20"/>
          <w:szCs w:val="20"/>
        </w:rPr>
        <w:t xml:space="preserve">la objeción de la admisibilidad de un caso o de la competencia del Tribunal para conocer de un determinado caso o de alguno de sus aspectos, ya sea </w:t>
      </w:r>
      <w:proofErr w:type="gramStart"/>
      <w:r w:rsidRPr="006B0525">
        <w:rPr>
          <w:rFonts w:ascii="Verdana" w:hAnsi="Verdana" w:cs="Arial"/>
          <w:sz w:val="20"/>
          <w:szCs w:val="20"/>
        </w:rPr>
        <w:t>en razón de</w:t>
      </w:r>
      <w:proofErr w:type="gramEnd"/>
      <w:r w:rsidRPr="006B0525">
        <w:rPr>
          <w:rFonts w:ascii="Verdana" w:hAnsi="Verdana" w:cs="Arial"/>
          <w:sz w:val="20"/>
          <w:szCs w:val="20"/>
        </w:rPr>
        <w:t xml:space="preserve"> la persona, materia, tiempo o lugar, siempre y cuando dichos planteamientos tengan el carácter de preliminares</w:t>
      </w:r>
      <w:r w:rsidRPr="006B0525">
        <w:rPr>
          <w:rStyle w:val="Refdenotaalpie"/>
          <w:rFonts w:ascii="Verdana" w:hAnsi="Verdana" w:cs="Arial"/>
          <w:sz w:val="20"/>
          <w:szCs w:val="20"/>
        </w:rPr>
        <w:footnoteReference w:id="7"/>
      </w:r>
      <w:r w:rsidRPr="006B0525">
        <w:rPr>
          <w:rFonts w:ascii="Verdana" w:hAnsi="Verdana" w:cs="Arial"/>
          <w:sz w:val="20"/>
          <w:szCs w:val="20"/>
        </w:rPr>
        <w:t>. Si estos planteamientos no pudieran ser considerados sin entrar a analizar previamente el fondo de un caso, no pueden ser analizados mediante una excepción preliminar</w:t>
      </w:r>
      <w:r w:rsidRPr="006B0525">
        <w:rPr>
          <w:rStyle w:val="Refdenotaalpie"/>
          <w:rFonts w:ascii="Verdana" w:hAnsi="Verdana" w:cs="Arial"/>
          <w:sz w:val="20"/>
          <w:szCs w:val="20"/>
        </w:rPr>
        <w:footnoteReference w:id="8"/>
      </w:r>
      <w:r w:rsidRPr="006B0525">
        <w:rPr>
          <w:rFonts w:ascii="Verdana" w:hAnsi="Verdana" w:cs="Arial"/>
          <w:sz w:val="20"/>
          <w:szCs w:val="20"/>
        </w:rPr>
        <w:t>.</w:t>
      </w:r>
    </w:p>
    <w:p w14:paraId="036F29F2" w14:textId="77777777" w:rsidR="001430FB" w:rsidRPr="006B0525" w:rsidRDefault="001430FB" w:rsidP="00530549">
      <w:pPr>
        <w:rPr>
          <w:rFonts w:eastAsia="Batang"/>
          <w:lang w:eastAsia="en-US"/>
        </w:rPr>
      </w:pPr>
    </w:p>
    <w:p w14:paraId="5AA8ED8C" w14:textId="77777777" w:rsidR="001430FB" w:rsidRPr="006B0525" w:rsidRDefault="001430FB" w:rsidP="00530549">
      <w:pPr>
        <w:pStyle w:val="Normal1"/>
        <w:widowControl/>
        <w:numPr>
          <w:ilvl w:val="0"/>
          <w:numId w:val="4"/>
        </w:numPr>
        <w:ind w:left="0" w:firstLine="0"/>
        <w:contextualSpacing/>
        <w:jc w:val="both"/>
        <w:rPr>
          <w:rFonts w:ascii="Verdana" w:eastAsia="Batang" w:hAnsi="Verdana"/>
          <w:sz w:val="20"/>
          <w:szCs w:val="20"/>
        </w:rPr>
      </w:pPr>
      <w:r w:rsidRPr="006B0525">
        <w:rPr>
          <w:rFonts w:ascii="Verdana" w:hAnsi="Verdana" w:cs="Arial"/>
          <w:sz w:val="20"/>
          <w:szCs w:val="20"/>
        </w:rPr>
        <w:t>La Corte considera que el alegato presentado no configura una excepción preliminar</w:t>
      </w:r>
      <w:r w:rsidR="00A17C8B">
        <w:rPr>
          <w:rFonts w:ascii="Verdana" w:hAnsi="Verdana" w:cs="Arial"/>
          <w:sz w:val="20"/>
          <w:szCs w:val="20"/>
        </w:rPr>
        <w:t>,</w:t>
      </w:r>
      <w:r w:rsidRPr="006B0525">
        <w:rPr>
          <w:rFonts w:ascii="Verdana" w:hAnsi="Verdana" w:cs="Arial"/>
          <w:sz w:val="20"/>
          <w:szCs w:val="20"/>
        </w:rPr>
        <w:t xml:space="preserve"> pues no expone razones por las cuales </w:t>
      </w:r>
      <w:r w:rsidR="00810FFD" w:rsidRPr="006B0525">
        <w:rPr>
          <w:rFonts w:ascii="Verdana" w:hAnsi="Verdana" w:cs="Arial"/>
          <w:sz w:val="20"/>
          <w:szCs w:val="20"/>
        </w:rPr>
        <w:t xml:space="preserve">el caso sometido sería inadmisible o </w:t>
      </w:r>
      <w:r w:rsidRPr="006B0525">
        <w:rPr>
          <w:rFonts w:ascii="Verdana" w:hAnsi="Verdana" w:cs="Arial"/>
          <w:sz w:val="20"/>
          <w:szCs w:val="20"/>
        </w:rPr>
        <w:t>la Corte incompetente para conocer</w:t>
      </w:r>
      <w:r w:rsidR="0043009F">
        <w:rPr>
          <w:rFonts w:ascii="Verdana" w:hAnsi="Verdana" w:cs="Arial"/>
          <w:sz w:val="20"/>
          <w:szCs w:val="20"/>
        </w:rPr>
        <w:t>lo</w:t>
      </w:r>
      <w:r w:rsidRPr="006B0525">
        <w:rPr>
          <w:rFonts w:ascii="Verdana" w:hAnsi="Verdana" w:cs="Arial"/>
          <w:sz w:val="20"/>
          <w:szCs w:val="20"/>
        </w:rPr>
        <w:t xml:space="preserve">. Por todo lo anterior, el </w:t>
      </w:r>
      <w:r w:rsidRPr="006B0525">
        <w:rPr>
          <w:rFonts w:ascii="Verdana" w:eastAsia="Batang" w:hAnsi="Verdana"/>
          <w:sz w:val="20"/>
          <w:szCs w:val="20"/>
        </w:rPr>
        <w:t>Tribunal</w:t>
      </w:r>
      <w:r w:rsidRPr="006B0525">
        <w:rPr>
          <w:rFonts w:ascii="Verdana" w:hAnsi="Verdana" w:cs="Arial"/>
          <w:sz w:val="20"/>
          <w:szCs w:val="20"/>
        </w:rPr>
        <w:t xml:space="preserve"> declara sin lugar la excepción preliminar presentada por el Estado.</w:t>
      </w:r>
    </w:p>
    <w:p w14:paraId="1DADFC63" w14:textId="77777777" w:rsidR="00562B60" w:rsidRDefault="00562B60" w:rsidP="00530549">
      <w:pPr>
        <w:pStyle w:val="Ttulo1"/>
      </w:pPr>
      <w:bookmarkStart w:id="17" w:name="_Toc19288089"/>
      <w:bookmarkStart w:id="18" w:name="_Toc26177794"/>
      <w:bookmarkStart w:id="19" w:name="_Toc375517114"/>
      <w:bookmarkStart w:id="20" w:name="_Toc459158102"/>
      <w:bookmarkStart w:id="21" w:name="_Toc470180046"/>
      <w:bookmarkStart w:id="22" w:name="_Toc514172609"/>
      <w:bookmarkEnd w:id="5"/>
      <w:bookmarkEnd w:id="6"/>
      <w:bookmarkEnd w:id="7"/>
      <w:bookmarkEnd w:id="8"/>
      <w:bookmarkEnd w:id="9"/>
      <w:bookmarkEnd w:id="10"/>
      <w:bookmarkEnd w:id="11"/>
      <w:bookmarkEnd w:id="12"/>
      <w:bookmarkEnd w:id="13"/>
      <w:r w:rsidRPr="006B0525">
        <w:t>V</w:t>
      </w:r>
      <w:r w:rsidRPr="006B0525">
        <w:br/>
      </w:r>
      <w:r w:rsidR="001D557D">
        <w:t>CONSIDERACIONES</w:t>
      </w:r>
      <w:r w:rsidRPr="006B0525">
        <w:t xml:space="preserve"> PREVIA</w:t>
      </w:r>
      <w:bookmarkEnd w:id="17"/>
      <w:r w:rsidR="001D557D">
        <w:t>S</w:t>
      </w:r>
      <w:bookmarkEnd w:id="18"/>
    </w:p>
    <w:p w14:paraId="36B8245A" w14:textId="77777777" w:rsidR="00D45579" w:rsidRPr="00D45579" w:rsidRDefault="00D45579" w:rsidP="00D45579">
      <w:pPr>
        <w:pStyle w:val="Ttulo2"/>
      </w:pPr>
      <w:bookmarkStart w:id="23" w:name="_Toc495658649"/>
      <w:bookmarkStart w:id="24" w:name="_Toc19547301"/>
      <w:bookmarkStart w:id="25" w:name="_Toc26177795"/>
      <w:r w:rsidRPr="00D45579">
        <w:t>A.</w:t>
      </w:r>
      <w:r w:rsidRPr="00D45579">
        <w:tab/>
      </w:r>
      <w:bookmarkEnd w:id="23"/>
      <w:r w:rsidRPr="00D45579">
        <w:t>Víctimas del presente caso</w:t>
      </w:r>
      <w:bookmarkEnd w:id="24"/>
      <w:bookmarkEnd w:id="25"/>
    </w:p>
    <w:p w14:paraId="515767FC" w14:textId="77777777" w:rsidR="00D45579" w:rsidRPr="00D45579" w:rsidRDefault="00D45579" w:rsidP="00D45579">
      <w:pPr>
        <w:pStyle w:val="Normal1"/>
        <w:widowControl/>
        <w:numPr>
          <w:ilvl w:val="0"/>
          <w:numId w:val="4"/>
        </w:numPr>
        <w:ind w:left="0" w:firstLine="0"/>
        <w:contextualSpacing/>
        <w:jc w:val="both"/>
        <w:rPr>
          <w:rFonts w:ascii="Verdana" w:eastAsia="SimSun" w:hAnsi="Verdana" w:cs="Verdana"/>
          <w:sz w:val="20"/>
          <w:szCs w:val="20"/>
          <w:lang w:val="es-MX"/>
        </w:rPr>
      </w:pPr>
      <w:r w:rsidRPr="00D45579">
        <w:rPr>
          <w:rFonts w:ascii="Verdana" w:hAnsi="Verdana"/>
          <w:sz w:val="20"/>
          <w:szCs w:val="20"/>
        </w:rPr>
        <w:t xml:space="preserve">Las </w:t>
      </w:r>
      <w:r w:rsidRPr="00D45579">
        <w:rPr>
          <w:rFonts w:ascii="Verdana" w:hAnsi="Verdana"/>
          <w:b/>
          <w:i/>
          <w:sz w:val="20"/>
          <w:szCs w:val="20"/>
        </w:rPr>
        <w:t>representantes</w:t>
      </w:r>
      <w:r w:rsidRPr="00D45579">
        <w:rPr>
          <w:rFonts w:ascii="Verdana" w:hAnsi="Verdana"/>
          <w:sz w:val="20"/>
          <w:szCs w:val="20"/>
        </w:rPr>
        <w:t xml:space="preserve"> indicaron en el escrito de solicitudes y argumentos que el Estado también era responsable por la violación autónoma del derecho a la integridad </w:t>
      </w:r>
      <w:r w:rsidRPr="00D45579">
        <w:rPr>
          <w:rFonts w:ascii="Verdana" w:hAnsi="Verdana" w:cs="Arial"/>
          <w:sz w:val="20"/>
          <w:szCs w:val="20"/>
        </w:rPr>
        <w:t>personal</w:t>
      </w:r>
      <w:r w:rsidRPr="00D45579">
        <w:rPr>
          <w:rFonts w:ascii="Verdana" w:hAnsi="Verdana"/>
          <w:sz w:val="20"/>
          <w:szCs w:val="20"/>
        </w:rPr>
        <w:t xml:space="preserve"> de </w:t>
      </w:r>
      <w:r>
        <w:rPr>
          <w:rFonts w:ascii="Verdana" w:hAnsi="Verdana"/>
          <w:sz w:val="20"/>
          <w:szCs w:val="20"/>
        </w:rPr>
        <w:t>varios de los</w:t>
      </w:r>
      <w:r w:rsidRPr="00D45579">
        <w:rPr>
          <w:rFonts w:ascii="Verdana" w:hAnsi="Verdana"/>
          <w:sz w:val="20"/>
          <w:szCs w:val="20"/>
        </w:rPr>
        <w:t xml:space="preserve"> familiares de los señores Rodríguez Revolorio, López Calo y Archila Pérez</w:t>
      </w:r>
      <w:r>
        <w:rPr>
          <w:rStyle w:val="Refdenotaalpie"/>
          <w:rFonts w:ascii="Verdana" w:hAnsi="Verdana"/>
          <w:sz w:val="20"/>
          <w:szCs w:val="20"/>
        </w:rPr>
        <w:footnoteReference w:id="9"/>
      </w:r>
      <w:r w:rsidRPr="00D45579">
        <w:rPr>
          <w:rFonts w:ascii="Verdana" w:hAnsi="Verdana"/>
          <w:sz w:val="20"/>
          <w:szCs w:val="20"/>
        </w:rPr>
        <w:t xml:space="preserve">. </w:t>
      </w:r>
    </w:p>
    <w:p w14:paraId="213D1FD7" w14:textId="77777777" w:rsidR="00D45579" w:rsidRPr="00D45579" w:rsidRDefault="00D45579" w:rsidP="00D45579">
      <w:pPr>
        <w:tabs>
          <w:tab w:val="left" w:pos="567"/>
        </w:tabs>
        <w:spacing w:line="240" w:lineRule="auto"/>
        <w:rPr>
          <w:rFonts w:eastAsia="SimSun" w:cs="Verdana"/>
          <w:lang w:val="es-MX"/>
        </w:rPr>
      </w:pPr>
    </w:p>
    <w:p w14:paraId="40FB4728" w14:textId="77777777" w:rsidR="00D45579" w:rsidRDefault="00D45579" w:rsidP="00D45579">
      <w:pPr>
        <w:pStyle w:val="Normal1"/>
        <w:widowControl/>
        <w:numPr>
          <w:ilvl w:val="0"/>
          <w:numId w:val="4"/>
        </w:numPr>
        <w:ind w:left="0" w:firstLine="0"/>
        <w:contextualSpacing/>
        <w:jc w:val="both"/>
        <w:rPr>
          <w:rFonts w:ascii="Verdana" w:eastAsia="SimSun" w:hAnsi="Verdana" w:cs="Verdana"/>
          <w:sz w:val="20"/>
          <w:szCs w:val="20"/>
          <w:lang w:val="es-MX"/>
        </w:rPr>
      </w:pPr>
      <w:r w:rsidRPr="00D45579">
        <w:rPr>
          <w:rFonts w:ascii="Verdana" w:eastAsia="SimSun" w:hAnsi="Verdana" w:cs="Verdana"/>
          <w:sz w:val="20"/>
          <w:szCs w:val="20"/>
          <w:lang w:val="es-MX"/>
        </w:rPr>
        <w:t xml:space="preserve">Ni el </w:t>
      </w:r>
      <w:r w:rsidRPr="00083489">
        <w:rPr>
          <w:rFonts w:ascii="Verdana" w:eastAsia="SimSun" w:hAnsi="Verdana" w:cs="Verdana"/>
          <w:b/>
          <w:i/>
          <w:sz w:val="20"/>
          <w:szCs w:val="20"/>
          <w:lang w:val="es-MX"/>
        </w:rPr>
        <w:t>Estado</w:t>
      </w:r>
      <w:r w:rsidRPr="00D45579">
        <w:rPr>
          <w:rFonts w:ascii="Verdana" w:eastAsia="SimSun" w:hAnsi="Verdana" w:cs="Verdana"/>
          <w:sz w:val="20"/>
          <w:szCs w:val="20"/>
          <w:lang w:val="es-MX"/>
        </w:rPr>
        <w:t xml:space="preserve"> ni la </w:t>
      </w:r>
      <w:r w:rsidRPr="00D45579">
        <w:rPr>
          <w:rFonts w:ascii="Verdana" w:eastAsia="SimSun" w:hAnsi="Verdana" w:cs="Verdana"/>
          <w:b/>
          <w:i/>
          <w:sz w:val="20"/>
          <w:szCs w:val="20"/>
          <w:lang w:val="es-MX"/>
        </w:rPr>
        <w:t>Comisión</w:t>
      </w:r>
      <w:r w:rsidRPr="00D45579">
        <w:rPr>
          <w:rFonts w:ascii="Verdana" w:eastAsia="SimSun" w:hAnsi="Verdana" w:cs="Verdana"/>
          <w:sz w:val="20"/>
          <w:szCs w:val="20"/>
          <w:lang w:val="es-MX"/>
        </w:rPr>
        <w:t xml:space="preserve"> presentaron observaciones a este respecto. </w:t>
      </w:r>
    </w:p>
    <w:p w14:paraId="02E5B163" w14:textId="77777777" w:rsidR="001D557D" w:rsidRPr="00D45579" w:rsidRDefault="001D557D" w:rsidP="001D557D">
      <w:pPr>
        <w:pStyle w:val="Normal1"/>
        <w:widowControl/>
        <w:contextualSpacing/>
        <w:jc w:val="both"/>
        <w:rPr>
          <w:rFonts w:ascii="Verdana" w:eastAsia="SimSun" w:hAnsi="Verdana" w:cs="Verdana"/>
          <w:sz w:val="20"/>
          <w:szCs w:val="20"/>
          <w:lang w:val="es-MX"/>
        </w:rPr>
      </w:pPr>
    </w:p>
    <w:p w14:paraId="40D2CD00" w14:textId="77777777" w:rsidR="00D45579" w:rsidRPr="00D45579" w:rsidRDefault="00D45579" w:rsidP="00D45579">
      <w:pPr>
        <w:pStyle w:val="Normal1"/>
        <w:widowControl/>
        <w:numPr>
          <w:ilvl w:val="0"/>
          <w:numId w:val="4"/>
        </w:numPr>
        <w:ind w:left="0" w:firstLine="0"/>
        <w:contextualSpacing/>
        <w:jc w:val="both"/>
        <w:rPr>
          <w:rFonts w:ascii="Verdana" w:eastAsia="Batang" w:hAnsi="Verdana"/>
          <w:sz w:val="20"/>
          <w:szCs w:val="20"/>
        </w:rPr>
      </w:pPr>
      <w:r w:rsidRPr="00D45579">
        <w:rPr>
          <w:rFonts w:ascii="Verdana" w:eastAsia="Batang" w:hAnsi="Verdana"/>
          <w:sz w:val="20"/>
          <w:szCs w:val="20"/>
        </w:rPr>
        <w:t xml:space="preserve">Con relación a la </w:t>
      </w:r>
      <w:r w:rsidRPr="00D45579">
        <w:rPr>
          <w:rFonts w:ascii="Verdana" w:hAnsi="Verdana"/>
          <w:sz w:val="20"/>
          <w:szCs w:val="20"/>
        </w:rPr>
        <w:t>identificación</w:t>
      </w:r>
      <w:r w:rsidRPr="00D45579">
        <w:rPr>
          <w:rFonts w:ascii="Verdana" w:eastAsia="Batang" w:hAnsi="Verdana"/>
          <w:sz w:val="20"/>
          <w:szCs w:val="20"/>
        </w:rPr>
        <w:t xml:space="preserve"> de presuntas víctimas, la </w:t>
      </w:r>
      <w:r w:rsidRPr="00446328">
        <w:rPr>
          <w:rFonts w:ascii="Verdana" w:eastAsia="Batang" w:hAnsi="Verdana"/>
          <w:b/>
          <w:i/>
          <w:sz w:val="20"/>
          <w:szCs w:val="20"/>
        </w:rPr>
        <w:t>Corte</w:t>
      </w:r>
      <w:r w:rsidRPr="00D45579">
        <w:rPr>
          <w:rFonts w:ascii="Verdana" w:eastAsia="Batang" w:hAnsi="Verdana"/>
          <w:sz w:val="20"/>
          <w:szCs w:val="20"/>
        </w:rPr>
        <w:t xml:space="preserve"> recuerda que el artículo 35.1 del Reglamento de la Corte dispone que el caso le será sometido mediante la presentación del Informe de Fondo, que deberá contener la identificación de las presuntas víctimas. Corresponde pues a la Comisión identificar con precisión</w:t>
      </w:r>
      <w:r w:rsidRPr="00D45579">
        <w:rPr>
          <w:rFonts w:ascii="Verdana" w:hAnsi="Verdana"/>
          <w:sz w:val="20"/>
          <w:szCs w:val="20"/>
          <w:lang w:eastAsia="es-CR"/>
        </w:rPr>
        <w:t xml:space="preserve"> y en la debida oportunidad procesal a las presuntas víctimas en un caso ante la Corte</w:t>
      </w:r>
      <w:r w:rsidRPr="00446328">
        <w:rPr>
          <w:rFonts w:ascii="Verdana" w:hAnsi="Verdana"/>
          <w:sz w:val="20"/>
          <w:szCs w:val="20"/>
          <w:vertAlign w:val="superscript"/>
          <w:lang w:eastAsia="es-CR"/>
        </w:rPr>
        <w:footnoteReference w:id="10"/>
      </w:r>
      <w:r w:rsidRPr="00446328">
        <w:rPr>
          <w:rFonts w:ascii="Verdana" w:hAnsi="Verdana"/>
          <w:sz w:val="20"/>
          <w:szCs w:val="20"/>
          <w:lang w:eastAsia="es-CR"/>
        </w:rPr>
        <w:t>,</w:t>
      </w:r>
      <w:r w:rsidRPr="00D45579">
        <w:rPr>
          <w:rFonts w:ascii="Verdana" w:hAnsi="Verdana"/>
          <w:sz w:val="20"/>
          <w:szCs w:val="20"/>
          <w:lang w:eastAsia="es-CR"/>
        </w:rPr>
        <w:t xml:space="preserve"> salvo en las</w:t>
      </w:r>
      <w:r w:rsidRPr="00D45579">
        <w:rPr>
          <w:rFonts w:ascii="Verdana" w:eastAsia="Batang" w:hAnsi="Verdana"/>
          <w:sz w:val="20"/>
          <w:szCs w:val="20"/>
        </w:rPr>
        <w:t xml:space="preserve"> circunstancias excepcionales contempladas en el artículo 35.2 del Reglamento de la Corte, de conformidad con el cual, cuando se justifique que no fue posible identificarlas, por tratarse de casos de violaciones masivas o colectivas, el Tribunal decidirá en su oportunidad si las considera víctimas de acuerdo con la naturaleza de la violación</w:t>
      </w:r>
      <w:r w:rsidRPr="00D45579">
        <w:rPr>
          <w:rFonts w:ascii="Verdana" w:eastAsia="Batang" w:hAnsi="Verdana"/>
          <w:sz w:val="20"/>
          <w:szCs w:val="20"/>
          <w:vertAlign w:val="superscript"/>
        </w:rPr>
        <w:footnoteReference w:id="11"/>
      </w:r>
      <w:r w:rsidRPr="00D45579">
        <w:rPr>
          <w:rFonts w:ascii="Verdana" w:eastAsia="Batang" w:hAnsi="Verdana"/>
          <w:sz w:val="20"/>
          <w:szCs w:val="20"/>
        </w:rPr>
        <w:t>.</w:t>
      </w:r>
    </w:p>
    <w:p w14:paraId="720F4F04" w14:textId="77777777" w:rsidR="00D45579" w:rsidRPr="00D45579" w:rsidRDefault="00D45579" w:rsidP="00D45579">
      <w:pPr>
        <w:tabs>
          <w:tab w:val="left" w:pos="567"/>
        </w:tabs>
        <w:spacing w:line="240" w:lineRule="auto"/>
        <w:rPr>
          <w:rFonts w:eastAsia="Batang"/>
          <w:lang w:eastAsia="en-US"/>
        </w:rPr>
      </w:pPr>
    </w:p>
    <w:p w14:paraId="50575160" w14:textId="77777777" w:rsidR="00D45579" w:rsidRPr="00D45579" w:rsidRDefault="00D45579" w:rsidP="00446328">
      <w:pPr>
        <w:pStyle w:val="Normal1"/>
        <w:widowControl/>
        <w:numPr>
          <w:ilvl w:val="0"/>
          <w:numId w:val="4"/>
        </w:numPr>
        <w:ind w:left="0" w:firstLine="0"/>
        <w:contextualSpacing/>
        <w:jc w:val="both"/>
        <w:rPr>
          <w:rFonts w:ascii="Verdana" w:hAnsi="Verdana"/>
          <w:sz w:val="20"/>
          <w:szCs w:val="20"/>
        </w:rPr>
      </w:pPr>
      <w:r w:rsidRPr="00D45579">
        <w:rPr>
          <w:rFonts w:ascii="Verdana" w:eastAsia="Verdana" w:hAnsi="Verdana" w:cs="Verdana"/>
          <w:sz w:val="20"/>
          <w:szCs w:val="20"/>
        </w:rPr>
        <w:t xml:space="preserve">En el presente caso la Corte constata que no se configura alguna de las excepciones previstas en el artículo 35.2 </w:t>
      </w:r>
      <w:r w:rsidRPr="00D45579">
        <w:rPr>
          <w:rFonts w:ascii="Verdana" w:hAnsi="Verdana"/>
          <w:sz w:val="20"/>
          <w:szCs w:val="20"/>
        </w:rPr>
        <w:t>del</w:t>
      </w:r>
      <w:r w:rsidRPr="00D45579">
        <w:rPr>
          <w:rFonts w:ascii="Verdana" w:eastAsia="Verdana" w:hAnsi="Verdana" w:cs="Verdana"/>
          <w:sz w:val="20"/>
          <w:szCs w:val="20"/>
        </w:rPr>
        <w:t xml:space="preserve"> Reglamento de la Corte. En consecuencia, en razón de las normas dispuestas </w:t>
      </w:r>
      <w:r w:rsidRPr="00D45579">
        <w:rPr>
          <w:rFonts w:ascii="Verdana" w:eastAsia="Verdana" w:hAnsi="Verdana" w:cs="Verdana"/>
          <w:sz w:val="20"/>
          <w:szCs w:val="20"/>
        </w:rPr>
        <w:lastRenderedPageBreak/>
        <w:t xml:space="preserve">en el artículo 35.1 del Reglamento y los precedentes sobre los que este Tribunal se ha </w:t>
      </w:r>
      <w:r w:rsidRPr="00446328">
        <w:rPr>
          <w:rFonts w:ascii="Verdana" w:eastAsia="Batang" w:hAnsi="Verdana"/>
          <w:sz w:val="20"/>
          <w:szCs w:val="20"/>
        </w:rPr>
        <w:t>pronunciado</w:t>
      </w:r>
      <w:r w:rsidRPr="00D45579">
        <w:rPr>
          <w:rFonts w:ascii="Verdana" w:eastAsia="Verdana" w:hAnsi="Verdana" w:cs="Verdana"/>
          <w:sz w:val="20"/>
          <w:szCs w:val="20"/>
        </w:rPr>
        <w:t xml:space="preserve"> al respecto</w:t>
      </w:r>
      <w:r w:rsidRPr="00D45579">
        <w:rPr>
          <w:rStyle w:val="Refdenotaalpie"/>
          <w:rFonts w:ascii="Verdana" w:eastAsia="Verdana" w:hAnsi="Verdana"/>
          <w:sz w:val="20"/>
          <w:szCs w:val="20"/>
        </w:rPr>
        <w:footnoteReference w:id="12"/>
      </w:r>
      <w:r w:rsidRPr="00D45579">
        <w:rPr>
          <w:rFonts w:ascii="Verdana" w:eastAsia="Verdana" w:hAnsi="Verdana" w:cs="Verdana"/>
          <w:sz w:val="20"/>
          <w:szCs w:val="20"/>
        </w:rPr>
        <w:t xml:space="preserve">, la Corte concluye que </w:t>
      </w:r>
      <w:r w:rsidRPr="00D45579">
        <w:rPr>
          <w:rFonts w:ascii="Verdana" w:hAnsi="Verdana"/>
          <w:sz w:val="20"/>
          <w:szCs w:val="20"/>
        </w:rPr>
        <w:t>solo</w:t>
      </w:r>
      <w:r w:rsidRPr="00D45579">
        <w:rPr>
          <w:rFonts w:ascii="Verdana" w:eastAsia="Verdana" w:hAnsi="Verdana" w:cs="Verdana"/>
          <w:sz w:val="20"/>
          <w:szCs w:val="20"/>
        </w:rPr>
        <w:t xml:space="preserve"> se considerará </w:t>
      </w:r>
      <w:r w:rsidR="00446328">
        <w:rPr>
          <w:rFonts w:ascii="Verdana" w:eastAsia="Verdana" w:hAnsi="Verdana" w:cs="Verdana"/>
          <w:sz w:val="20"/>
          <w:szCs w:val="20"/>
        </w:rPr>
        <w:t xml:space="preserve">a </w:t>
      </w:r>
      <w:r w:rsidR="00446328" w:rsidRPr="00D45579">
        <w:rPr>
          <w:rFonts w:ascii="Verdana" w:hAnsi="Verdana"/>
          <w:sz w:val="20"/>
          <w:szCs w:val="20"/>
        </w:rPr>
        <w:t>los señores Rodríguez Revolorio, López Calo y Archila Pérez</w:t>
      </w:r>
      <w:r w:rsidRPr="00D45579">
        <w:rPr>
          <w:rFonts w:ascii="Verdana" w:eastAsia="Verdana" w:hAnsi="Verdana" w:cs="Verdana"/>
          <w:sz w:val="20"/>
          <w:szCs w:val="20"/>
        </w:rPr>
        <w:t xml:space="preserve">, como </w:t>
      </w:r>
      <w:proofErr w:type="gramStart"/>
      <w:r w:rsidRPr="00D45579">
        <w:rPr>
          <w:rFonts w:ascii="Verdana" w:eastAsia="Verdana" w:hAnsi="Verdana" w:cs="Verdana"/>
          <w:sz w:val="20"/>
          <w:szCs w:val="20"/>
        </w:rPr>
        <w:t>presuntas víctima</w:t>
      </w:r>
      <w:proofErr w:type="gramEnd"/>
      <w:r w:rsidRPr="00D45579">
        <w:rPr>
          <w:rFonts w:ascii="Verdana" w:eastAsia="Verdana" w:hAnsi="Verdana" w:cs="Verdana"/>
          <w:sz w:val="20"/>
          <w:szCs w:val="20"/>
        </w:rPr>
        <w:t xml:space="preserve"> en</w:t>
      </w:r>
      <w:r w:rsidR="00446328">
        <w:rPr>
          <w:rFonts w:ascii="Verdana" w:eastAsia="Verdana" w:hAnsi="Verdana" w:cs="Verdana"/>
          <w:sz w:val="20"/>
          <w:szCs w:val="20"/>
        </w:rPr>
        <w:t xml:space="preserve"> el presente caso, </w:t>
      </w:r>
      <w:r w:rsidR="00446328" w:rsidRPr="00446328">
        <w:rPr>
          <w:rFonts w:ascii="Verdana" w:eastAsia="Verdana" w:hAnsi="Verdana" w:cs="Verdana"/>
          <w:sz w:val="20"/>
          <w:szCs w:val="20"/>
        </w:rPr>
        <w:t>no correspondiendo admitir a los restantes familiares como presuntas víctimas.</w:t>
      </w:r>
    </w:p>
    <w:p w14:paraId="40D9B2B5" w14:textId="77777777" w:rsidR="00D45579" w:rsidRPr="00377181" w:rsidRDefault="00D45579" w:rsidP="00D45579">
      <w:pPr>
        <w:pStyle w:val="Ttulo2"/>
      </w:pPr>
      <w:bookmarkStart w:id="26" w:name="_Toc19547304"/>
      <w:bookmarkStart w:id="27" w:name="_Toc26177796"/>
      <w:r w:rsidRPr="00377181">
        <w:t>B.</w:t>
      </w:r>
      <w:r w:rsidRPr="00377181">
        <w:tab/>
      </w:r>
      <w:r>
        <w:t>Determinación del marco fáctico</w:t>
      </w:r>
      <w:bookmarkEnd w:id="26"/>
      <w:bookmarkEnd w:id="27"/>
    </w:p>
    <w:p w14:paraId="7AA993A1" w14:textId="77777777" w:rsidR="00B24754" w:rsidRDefault="00562B60" w:rsidP="00DE6A80">
      <w:pPr>
        <w:numPr>
          <w:ilvl w:val="0"/>
          <w:numId w:val="4"/>
        </w:numPr>
        <w:tabs>
          <w:tab w:val="left" w:pos="567"/>
        </w:tabs>
        <w:spacing w:line="240" w:lineRule="auto"/>
        <w:ind w:left="0" w:firstLine="0"/>
      </w:pPr>
      <w:r w:rsidRPr="006B0525">
        <w:t>La Corte observa que</w:t>
      </w:r>
      <w:r w:rsidR="00A17C8B">
        <w:t xml:space="preserve"> las representantes indicaron</w:t>
      </w:r>
      <w:r w:rsidRPr="006B0525">
        <w:t xml:space="preserve"> en el escrito de solicitudes y argumentos </w:t>
      </w:r>
      <w:r w:rsidR="006C1554" w:rsidRPr="006B0525">
        <w:t xml:space="preserve">que la muerte del señor Archila Pérez cuando estaba privado de libertad fue consecuencia directa de la falta de </w:t>
      </w:r>
      <w:r w:rsidR="006C1554" w:rsidRPr="00DE6A80">
        <w:rPr>
          <w:rFonts w:cs="Verdana"/>
        </w:rPr>
        <w:t>atención</w:t>
      </w:r>
      <w:r w:rsidR="006C1554" w:rsidRPr="006B0525">
        <w:t xml:space="preserve"> de salud </w:t>
      </w:r>
      <w:r w:rsidR="00B24754" w:rsidRPr="006B0525">
        <w:t xml:space="preserve">que debería habérsele brindado, precisando que la enfermedad de diabetes la adquirió en prisión. </w:t>
      </w:r>
      <w:r w:rsidR="00A17C8B">
        <w:t>Precisaron</w:t>
      </w:r>
      <w:r w:rsidR="00B24754" w:rsidRPr="006B0525">
        <w:t xml:space="preserve"> que el señor Archila Pérez no falleció por causas naturales, sino </w:t>
      </w:r>
      <w:proofErr w:type="gramStart"/>
      <w:r w:rsidR="00B24754" w:rsidRPr="006B0525">
        <w:t>en razón de</w:t>
      </w:r>
      <w:proofErr w:type="gramEnd"/>
      <w:r w:rsidR="00B24754" w:rsidRPr="006B0525">
        <w:t xml:space="preserve"> las deficientes condiciones carcelarias, lo cual supuso una violación de los artículos 4.1 y 4.2 de la Convención Americana, en relación con el </w:t>
      </w:r>
      <w:r w:rsidR="00B24754" w:rsidRPr="00DE6A80">
        <w:rPr>
          <w:rFonts w:cs="Verdana"/>
        </w:rPr>
        <w:t>artículo</w:t>
      </w:r>
      <w:r w:rsidR="00B24754" w:rsidRPr="006B0525">
        <w:t xml:space="preserve"> 1.1 del mismo instrumento. </w:t>
      </w:r>
      <w:r w:rsidR="00A52E73" w:rsidRPr="006B0525">
        <w:t xml:space="preserve">Asimismo, alegaron que </w:t>
      </w:r>
      <w:r w:rsidR="00A17C8B">
        <w:t xml:space="preserve">los señores Rodríguez Revolorio, López Calo y Archila Pérez </w:t>
      </w:r>
      <w:r w:rsidR="00A52E73" w:rsidRPr="006B0525">
        <w:t>no fueron informad</w:t>
      </w:r>
      <w:r w:rsidR="00A17C8B">
        <w:t>o</w:t>
      </w:r>
      <w:r w:rsidR="00A52E73" w:rsidRPr="006B0525">
        <w:t>s sobre la acusación formulada al momento del arresto</w:t>
      </w:r>
      <w:r w:rsidR="00A17C8B">
        <w:t>, en violación del artículo 8.2.b</w:t>
      </w:r>
      <w:r w:rsidR="00D600E6">
        <w:t>)</w:t>
      </w:r>
      <w:r w:rsidR="00A17C8B">
        <w:t xml:space="preserve"> de la Convención Americana</w:t>
      </w:r>
      <w:r w:rsidR="00A52E73" w:rsidRPr="006B0525">
        <w:t xml:space="preserve">. </w:t>
      </w:r>
    </w:p>
    <w:p w14:paraId="56918B70" w14:textId="77777777" w:rsidR="00DE6A80" w:rsidRPr="006B0525" w:rsidRDefault="00DE6A80" w:rsidP="00DE6A80">
      <w:pPr>
        <w:tabs>
          <w:tab w:val="left" w:pos="567"/>
        </w:tabs>
        <w:spacing w:line="240" w:lineRule="auto"/>
      </w:pPr>
    </w:p>
    <w:p w14:paraId="289F1C95" w14:textId="77777777" w:rsidR="00562B60" w:rsidRPr="006B0525" w:rsidRDefault="00562B60" w:rsidP="00454CF5">
      <w:pPr>
        <w:numPr>
          <w:ilvl w:val="0"/>
          <w:numId w:val="4"/>
        </w:numPr>
        <w:tabs>
          <w:tab w:val="left" w:pos="567"/>
        </w:tabs>
        <w:spacing w:line="240" w:lineRule="auto"/>
        <w:ind w:left="0" w:firstLine="0"/>
      </w:pPr>
      <w:r w:rsidRPr="006B0525">
        <w:rPr>
          <w:rFonts w:cs="Verdana"/>
        </w:rPr>
        <w:t>Esta Corte ha establecido que el marco fáctico del proceso ante la misma se encuentra constituido por los hechos contenidos en el Informe de Fondo sometidos a consideración de la Corte</w:t>
      </w:r>
      <w:r w:rsidRPr="006B0525">
        <w:rPr>
          <w:rStyle w:val="Refdenotaalpie"/>
        </w:rPr>
        <w:footnoteReference w:id="13"/>
      </w:r>
      <w:r w:rsidRPr="006B0525">
        <w:rPr>
          <w:rFonts w:cs="Verdana"/>
        </w:rPr>
        <w:t>, por lo que no es admisible alegar nuevos hechos distintos de los planteados en dicho escrito, sin perjuicio de exponer aquellos que permitan explicar, aclarar o desestimar los que han sido mencionados en la demanda, o bien, responder a las pretensiones del demandante (también llamados “hechos complementarios”). La excepción a este principio son los hechos que se califican como supervinientes, que podrán ser remitidos al Tribunal en cualquier estado del proceso antes de la emisión de la sentencia</w:t>
      </w:r>
      <w:r w:rsidRPr="006B0525">
        <w:rPr>
          <w:rStyle w:val="Refdenotaalpie"/>
        </w:rPr>
        <w:footnoteReference w:id="14"/>
      </w:r>
      <w:r w:rsidRPr="006B0525">
        <w:t>.</w:t>
      </w:r>
      <w:r w:rsidRPr="006B0525">
        <w:rPr>
          <w:rFonts w:cs="Verdana"/>
        </w:rPr>
        <w:t xml:space="preserve"> </w:t>
      </w:r>
    </w:p>
    <w:p w14:paraId="7B18523F" w14:textId="77777777" w:rsidR="00562B60" w:rsidRPr="006B0525" w:rsidRDefault="00562B60" w:rsidP="00530549">
      <w:pPr>
        <w:tabs>
          <w:tab w:val="left" w:pos="567"/>
        </w:tabs>
        <w:spacing w:line="240" w:lineRule="auto"/>
      </w:pPr>
    </w:p>
    <w:p w14:paraId="6F183E15" w14:textId="77777777" w:rsidR="00562B60" w:rsidRPr="006B0525" w:rsidRDefault="00562B60" w:rsidP="00454CF5">
      <w:pPr>
        <w:numPr>
          <w:ilvl w:val="0"/>
          <w:numId w:val="4"/>
        </w:numPr>
        <w:tabs>
          <w:tab w:val="left" w:pos="567"/>
        </w:tabs>
        <w:spacing w:line="240" w:lineRule="auto"/>
        <w:ind w:left="0" w:firstLine="0"/>
      </w:pPr>
      <w:r w:rsidRPr="006B0525">
        <w:rPr>
          <w:rFonts w:cs="Verdana"/>
        </w:rPr>
        <w:t>En el presente caso, la</w:t>
      </w:r>
      <w:r w:rsidRPr="006B0525">
        <w:t xml:space="preserve"> Corte constata que la Comisión no incluyó </w:t>
      </w:r>
      <w:r w:rsidR="00B24754" w:rsidRPr="006B0525">
        <w:t>dentro del marco fáctico, ni c</w:t>
      </w:r>
      <w:r w:rsidR="00A52E73" w:rsidRPr="006B0525">
        <w:t xml:space="preserve">omo una consideración de fondo, (i) </w:t>
      </w:r>
      <w:r w:rsidRPr="006B0525">
        <w:t xml:space="preserve">los hechos alegados por las representantes con relación a la alegada violación del artículo </w:t>
      </w:r>
      <w:r w:rsidR="00B24754" w:rsidRPr="006B0525">
        <w:t>4</w:t>
      </w:r>
      <w:r w:rsidRPr="006B0525">
        <w:t xml:space="preserve"> </w:t>
      </w:r>
      <w:r w:rsidR="00B24754" w:rsidRPr="006B0525">
        <w:t>debido a la muerte del señor Archila Pérez</w:t>
      </w:r>
      <w:r w:rsidR="00A52E73" w:rsidRPr="006B0525">
        <w:t>, ni (</w:t>
      </w:r>
      <w:proofErr w:type="spellStart"/>
      <w:r w:rsidR="00A52E73" w:rsidRPr="006B0525">
        <w:t>ii</w:t>
      </w:r>
      <w:proofErr w:type="spellEnd"/>
      <w:r w:rsidR="00A52E73" w:rsidRPr="006B0525">
        <w:t>) los hechos relativos al momento de la detención de los señores Rodríguez Revolorio, López Calo y</w:t>
      </w:r>
      <w:r w:rsidR="009E03F1" w:rsidRPr="006B0525">
        <w:t xml:space="preserve"> </w:t>
      </w:r>
      <w:r w:rsidR="00A52E73" w:rsidRPr="006B0525">
        <w:t>Archila Pérez</w:t>
      </w:r>
      <w:r w:rsidRPr="006B0525">
        <w:t xml:space="preserve">. Por lo tanto, el Tribunal precisa que no se pronunciará sobre tales hechos </w:t>
      </w:r>
      <w:r w:rsidR="00B24754" w:rsidRPr="006B0525">
        <w:t xml:space="preserve">ni sobre los </w:t>
      </w:r>
      <w:r w:rsidRPr="006B0525">
        <w:t xml:space="preserve">alegatos de derecho </w:t>
      </w:r>
      <w:r w:rsidRPr="006B0525">
        <w:rPr>
          <w:rFonts w:eastAsia="Verdana" w:cs="Verdana"/>
        </w:rPr>
        <w:t>formulados</w:t>
      </w:r>
      <w:r w:rsidRPr="006B0525">
        <w:t xml:space="preserve"> por las representantes </w:t>
      </w:r>
      <w:r w:rsidR="00B24754" w:rsidRPr="006B0525">
        <w:t>a este respecto.</w:t>
      </w:r>
    </w:p>
    <w:p w14:paraId="1012ADEF" w14:textId="77777777" w:rsidR="00467516" w:rsidRPr="006B0525" w:rsidRDefault="00467516" w:rsidP="00530549">
      <w:pPr>
        <w:pStyle w:val="Ttulo1"/>
      </w:pPr>
      <w:bookmarkStart w:id="28" w:name="_Toc26177797"/>
      <w:r w:rsidRPr="006B0525">
        <w:t>V</w:t>
      </w:r>
      <w:r w:rsidR="00241F90" w:rsidRPr="006B0525">
        <w:t>I</w:t>
      </w:r>
      <w:r w:rsidRPr="006B0525">
        <w:br/>
        <w:t>PRUEBA</w:t>
      </w:r>
      <w:bookmarkEnd w:id="19"/>
      <w:bookmarkEnd w:id="20"/>
      <w:bookmarkEnd w:id="21"/>
      <w:bookmarkEnd w:id="22"/>
      <w:bookmarkEnd w:id="28"/>
    </w:p>
    <w:p w14:paraId="37A75881" w14:textId="77777777" w:rsidR="00467516" w:rsidRPr="006B0525" w:rsidRDefault="00467516" w:rsidP="00530549">
      <w:pPr>
        <w:pStyle w:val="Ttulo2"/>
      </w:pPr>
      <w:bookmarkStart w:id="29" w:name="_Toc375517115"/>
      <w:bookmarkStart w:id="30" w:name="_Toc459158103"/>
      <w:bookmarkStart w:id="31" w:name="_Toc470180047"/>
      <w:bookmarkStart w:id="32" w:name="_Toc514172610"/>
      <w:bookmarkStart w:id="33" w:name="_Toc26177798"/>
      <w:r w:rsidRPr="006B0525">
        <w:t>A.</w:t>
      </w:r>
      <w:r w:rsidRPr="006B0525">
        <w:tab/>
      </w:r>
      <w:bookmarkStart w:id="34" w:name="_Toc375517116"/>
      <w:bookmarkStart w:id="35" w:name="_Toc459158104"/>
      <w:bookmarkStart w:id="36" w:name="_Toc470180048"/>
      <w:bookmarkStart w:id="37" w:name="_Toc514172611"/>
      <w:bookmarkEnd w:id="29"/>
      <w:bookmarkEnd w:id="30"/>
      <w:bookmarkEnd w:id="31"/>
      <w:bookmarkEnd w:id="32"/>
      <w:r w:rsidRPr="006B0525">
        <w:t>Admisibilidad de la prueba</w:t>
      </w:r>
      <w:bookmarkEnd w:id="34"/>
      <w:bookmarkEnd w:id="35"/>
      <w:bookmarkEnd w:id="36"/>
      <w:bookmarkEnd w:id="37"/>
      <w:r w:rsidRPr="006B0525">
        <w:t xml:space="preserve"> documental</w:t>
      </w:r>
      <w:bookmarkEnd w:id="33"/>
    </w:p>
    <w:p w14:paraId="29FB2CEC" w14:textId="77777777" w:rsidR="001430FB" w:rsidRPr="006B0525" w:rsidRDefault="001430FB" w:rsidP="00530549">
      <w:pPr>
        <w:pStyle w:val="Normal1"/>
        <w:widowControl/>
        <w:numPr>
          <w:ilvl w:val="0"/>
          <w:numId w:val="4"/>
        </w:numPr>
        <w:ind w:left="0" w:firstLine="0"/>
        <w:contextualSpacing/>
        <w:jc w:val="both"/>
        <w:rPr>
          <w:rFonts w:ascii="Verdana" w:eastAsia="Calibri" w:hAnsi="Verdana"/>
          <w:sz w:val="20"/>
          <w:szCs w:val="20"/>
        </w:rPr>
      </w:pPr>
      <w:r w:rsidRPr="006B0525">
        <w:rPr>
          <w:rFonts w:ascii="Verdana" w:eastAsia="Calibri" w:hAnsi="Verdana"/>
          <w:sz w:val="20"/>
          <w:szCs w:val="20"/>
        </w:rPr>
        <w:t xml:space="preserve">El Tribunal recibió diversos documentos presentados como prueba por la Comisión, </w:t>
      </w:r>
      <w:r w:rsidR="004D2A8A" w:rsidRPr="006B0525">
        <w:rPr>
          <w:rFonts w:ascii="Verdana" w:eastAsia="Calibri" w:hAnsi="Verdana"/>
          <w:sz w:val="20"/>
          <w:szCs w:val="20"/>
        </w:rPr>
        <w:t>las representantes</w:t>
      </w:r>
      <w:r w:rsidRPr="006B0525">
        <w:rPr>
          <w:rFonts w:ascii="Verdana" w:eastAsia="Calibri" w:hAnsi="Verdana"/>
          <w:sz w:val="20"/>
          <w:szCs w:val="20"/>
        </w:rPr>
        <w:t xml:space="preserve"> y el Estado, los cuales, como en otros casos, admite en el entendido que fueron presentados en la debida oportunidad procesal (artículo 57 del Reglamento)</w:t>
      </w:r>
      <w:r w:rsidRPr="006B0525">
        <w:rPr>
          <w:rFonts w:ascii="Verdana" w:eastAsia="Calibri" w:hAnsi="Verdana"/>
          <w:sz w:val="20"/>
          <w:szCs w:val="20"/>
          <w:vertAlign w:val="superscript"/>
        </w:rPr>
        <w:footnoteReference w:id="15"/>
      </w:r>
      <w:r w:rsidRPr="006B0525">
        <w:rPr>
          <w:rFonts w:ascii="Verdana" w:eastAsia="Calibri" w:hAnsi="Verdana"/>
          <w:sz w:val="20"/>
          <w:szCs w:val="20"/>
        </w:rPr>
        <w:t xml:space="preserve"> y su admisibilidad no fue controvertida ni objetada. </w:t>
      </w:r>
    </w:p>
    <w:p w14:paraId="23F72E55" w14:textId="77777777" w:rsidR="001430FB" w:rsidRPr="006B0525" w:rsidRDefault="001430FB" w:rsidP="00C1468F">
      <w:pPr>
        <w:tabs>
          <w:tab w:val="left" w:pos="567"/>
        </w:tabs>
        <w:spacing w:line="240" w:lineRule="auto"/>
      </w:pPr>
    </w:p>
    <w:p w14:paraId="5CB92920" w14:textId="77777777" w:rsidR="001430FB" w:rsidRPr="006B0525" w:rsidRDefault="001430FB"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Por otra parte, la Corte nota que en la audiencia pública le fue solicitado al Estado remitir la legislación </w:t>
      </w:r>
      <w:r w:rsidRPr="006B0525">
        <w:rPr>
          <w:rFonts w:ascii="Verdana" w:hAnsi="Verdana" w:cs="Arial"/>
          <w:sz w:val="20"/>
          <w:szCs w:val="20"/>
        </w:rPr>
        <w:t>procesal</w:t>
      </w:r>
      <w:r w:rsidRPr="006B0525">
        <w:rPr>
          <w:rFonts w:ascii="Verdana" w:hAnsi="Verdana"/>
          <w:sz w:val="20"/>
          <w:szCs w:val="20"/>
        </w:rPr>
        <w:t xml:space="preserve"> penal vigente al momento </w:t>
      </w:r>
      <w:r w:rsidR="002D65AB" w:rsidRPr="006B0525">
        <w:rPr>
          <w:rFonts w:ascii="Verdana" w:hAnsi="Verdana"/>
          <w:sz w:val="20"/>
          <w:szCs w:val="20"/>
        </w:rPr>
        <w:t>de los hechos</w:t>
      </w:r>
      <w:r w:rsidRPr="006B0525">
        <w:rPr>
          <w:rFonts w:ascii="Verdana" w:hAnsi="Verdana"/>
          <w:sz w:val="20"/>
          <w:szCs w:val="20"/>
        </w:rPr>
        <w:t xml:space="preserve">. Al respecto, la Corte observa que el Estado no presentó ningún documento en respuesta a la referida solicitud. </w:t>
      </w:r>
    </w:p>
    <w:p w14:paraId="466B9DF2" w14:textId="77777777" w:rsidR="00467516" w:rsidRPr="006B0525" w:rsidRDefault="00467516" w:rsidP="00530549">
      <w:pPr>
        <w:pStyle w:val="Ttulo2"/>
      </w:pPr>
      <w:bookmarkStart w:id="38" w:name="_Toc26177799"/>
      <w:r w:rsidRPr="006B0525">
        <w:t>B.</w:t>
      </w:r>
      <w:r w:rsidRPr="006B0525">
        <w:tab/>
        <w:t>Admisibilidad de la prueba testimonial y pericial</w:t>
      </w:r>
      <w:bookmarkEnd w:id="38"/>
    </w:p>
    <w:p w14:paraId="29972747" w14:textId="77777777" w:rsidR="001430FB" w:rsidRPr="006B0525" w:rsidRDefault="001430FB"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lang w:val="es-ES"/>
        </w:rPr>
        <w:t>La Corte estima pertinente admitir las declaraciones y dictámenes rendidos en audiencia pública</w:t>
      </w:r>
      <w:r w:rsidRPr="006B0525">
        <w:rPr>
          <w:rStyle w:val="Refdenotaalpie"/>
          <w:rFonts w:ascii="Verdana" w:hAnsi="Verdana"/>
          <w:sz w:val="20"/>
          <w:szCs w:val="20"/>
          <w:lang w:val="es-ES"/>
        </w:rPr>
        <w:footnoteReference w:id="16"/>
      </w:r>
      <w:r w:rsidRPr="006B0525">
        <w:rPr>
          <w:rFonts w:ascii="Verdana" w:hAnsi="Verdana"/>
          <w:sz w:val="20"/>
          <w:szCs w:val="20"/>
          <w:lang w:val="es-ES"/>
        </w:rPr>
        <w:t xml:space="preserve"> y mediante </w:t>
      </w:r>
      <w:r w:rsidRPr="006B0525">
        <w:rPr>
          <w:rFonts w:ascii="Verdana" w:eastAsia="Calibri" w:hAnsi="Verdana"/>
          <w:sz w:val="20"/>
          <w:szCs w:val="20"/>
        </w:rPr>
        <w:t>declaraciones</w:t>
      </w:r>
      <w:r w:rsidRPr="006B0525">
        <w:rPr>
          <w:rFonts w:ascii="Verdana" w:hAnsi="Verdana"/>
          <w:sz w:val="20"/>
          <w:szCs w:val="20"/>
          <w:lang w:val="es-ES"/>
        </w:rPr>
        <w:t xml:space="preserve"> ante fedatario público</w:t>
      </w:r>
      <w:r w:rsidRPr="006B0525">
        <w:rPr>
          <w:rStyle w:val="Refdenotaalpie"/>
          <w:rFonts w:ascii="Verdana" w:hAnsi="Verdana"/>
          <w:sz w:val="20"/>
          <w:szCs w:val="20"/>
          <w:lang w:val="es-ES"/>
        </w:rPr>
        <w:footnoteReference w:id="17"/>
      </w:r>
      <w:r w:rsidRPr="006B0525">
        <w:rPr>
          <w:rFonts w:ascii="Verdana" w:hAnsi="Verdana"/>
          <w:sz w:val="20"/>
          <w:szCs w:val="20"/>
          <w:lang w:val="es-ES"/>
        </w:rPr>
        <w:t xml:space="preserve"> en cuanto se ajusten al objeto definido por el </w:t>
      </w:r>
      <w:proofErr w:type="gramStart"/>
      <w:r w:rsidRPr="006B0525">
        <w:rPr>
          <w:rFonts w:ascii="Verdana" w:hAnsi="Verdana"/>
          <w:sz w:val="20"/>
          <w:szCs w:val="20"/>
          <w:lang w:val="es-ES"/>
        </w:rPr>
        <w:t>Presidente</w:t>
      </w:r>
      <w:proofErr w:type="gramEnd"/>
      <w:r w:rsidRPr="006B0525">
        <w:rPr>
          <w:rFonts w:ascii="Verdana" w:hAnsi="Verdana"/>
          <w:sz w:val="20"/>
          <w:szCs w:val="20"/>
          <w:lang w:val="es-ES"/>
        </w:rPr>
        <w:t xml:space="preserve"> en la Resolución que ordenó recibirlos</w:t>
      </w:r>
      <w:r w:rsidRPr="006B0525">
        <w:rPr>
          <w:rFonts w:ascii="Verdana" w:hAnsi="Verdana"/>
          <w:sz w:val="20"/>
          <w:szCs w:val="20"/>
          <w:vertAlign w:val="superscript"/>
        </w:rPr>
        <w:footnoteReference w:id="18"/>
      </w:r>
      <w:r w:rsidRPr="006B0525">
        <w:rPr>
          <w:rFonts w:ascii="Verdana" w:hAnsi="Verdana"/>
          <w:sz w:val="20"/>
          <w:szCs w:val="20"/>
        </w:rPr>
        <w:t>.</w:t>
      </w:r>
    </w:p>
    <w:p w14:paraId="26CAAAE2" w14:textId="77777777" w:rsidR="001430FB" w:rsidRPr="006B0525" w:rsidRDefault="001430FB" w:rsidP="00530549">
      <w:pPr>
        <w:pStyle w:val="Normal1"/>
        <w:widowControl/>
        <w:contextualSpacing/>
        <w:jc w:val="both"/>
        <w:rPr>
          <w:rFonts w:ascii="Verdana" w:hAnsi="Verdana"/>
          <w:sz w:val="20"/>
          <w:szCs w:val="20"/>
        </w:rPr>
      </w:pPr>
    </w:p>
    <w:p w14:paraId="480A5CA5" w14:textId="77777777" w:rsidR="001430FB" w:rsidRPr="006B0525" w:rsidRDefault="001430FB" w:rsidP="00530549">
      <w:pPr>
        <w:pStyle w:val="Normal1"/>
        <w:widowControl/>
        <w:numPr>
          <w:ilvl w:val="0"/>
          <w:numId w:val="4"/>
        </w:numPr>
        <w:ind w:left="0" w:firstLine="0"/>
        <w:contextualSpacing/>
        <w:jc w:val="both"/>
        <w:rPr>
          <w:rFonts w:ascii="Verdana" w:hAnsi="Verdana" w:cs="Verdana"/>
          <w:sz w:val="20"/>
          <w:szCs w:val="20"/>
          <w:lang w:eastAsia="es-MX"/>
        </w:rPr>
      </w:pPr>
      <w:r w:rsidRPr="006B0525">
        <w:rPr>
          <w:rFonts w:ascii="Verdana" w:hAnsi="Verdana" w:cs="Verdana"/>
          <w:sz w:val="20"/>
          <w:szCs w:val="20"/>
          <w:lang w:eastAsia="es-MX"/>
        </w:rPr>
        <w:t>Por otro lado, la Corte advierte que el Estado, en sus alegatos finales escritos, cuestionó el valor probatorio del peritaje conjunto ofrecido por</w:t>
      </w:r>
      <w:r w:rsidR="00214D3E" w:rsidRPr="006B0525">
        <w:rPr>
          <w:rFonts w:ascii="Verdana" w:hAnsi="Verdana" w:cs="Verdana"/>
          <w:sz w:val="20"/>
          <w:szCs w:val="20"/>
          <w:lang w:eastAsia="es-MX"/>
        </w:rPr>
        <w:t xml:space="preserve"> los señores</w:t>
      </w:r>
      <w:r w:rsidRPr="006B0525">
        <w:rPr>
          <w:rFonts w:ascii="Verdana" w:hAnsi="Verdana" w:cs="Verdana"/>
          <w:sz w:val="20"/>
          <w:szCs w:val="20"/>
          <w:lang w:eastAsia="es-MX"/>
        </w:rPr>
        <w:t xml:space="preserve"> </w:t>
      </w:r>
      <w:proofErr w:type="spellStart"/>
      <w:r w:rsidRPr="006B0525">
        <w:rPr>
          <w:rFonts w:ascii="Verdana" w:hAnsi="Verdana" w:cs="Verdana"/>
          <w:sz w:val="20"/>
          <w:szCs w:val="20"/>
          <w:lang w:eastAsia="es-MX"/>
        </w:rPr>
        <w:t>Parvais</w:t>
      </w:r>
      <w:proofErr w:type="spellEnd"/>
      <w:r w:rsidRPr="006B0525">
        <w:rPr>
          <w:rFonts w:ascii="Verdana" w:hAnsi="Verdana" w:cs="Verdana"/>
          <w:sz w:val="20"/>
          <w:szCs w:val="20"/>
          <w:lang w:eastAsia="es-MX"/>
        </w:rPr>
        <w:t xml:space="preserve"> Jabbar y Edward Fitzgerald. En particular, </w:t>
      </w:r>
      <w:r w:rsidR="001D557D">
        <w:rPr>
          <w:rFonts w:ascii="Verdana" w:hAnsi="Verdana" w:cs="Verdana"/>
          <w:sz w:val="20"/>
          <w:szCs w:val="20"/>
          <w:lang w:eastAsia="es-MX"/>
        </w:rPr>
        <w:t>además</w:t>
      </w:r>
      <w:r w:rsidRPr="006B0525">
        <w:rPr>
          <w:rFonts w:ascii="Verdana" w:hAnsi="Verdana" w:cs="Verdana"/>
          <w:sz w:val="20"/>
          <w:szCs w:val="20"/>
          <w:lang w:eastAsia="es-MX"/>
        </w:rPr>
        <w:t xml:space="preserve"> de refutar algunas de las afirmaciones realizadas por éstos, indicó que dichos peritos obviaron hacer referencia a determinados hechos que según el Estado eran relevantes</w:t>
      </w:r>
      <w:r w:rsidRPr="006B0525">
        <w:rPr>
          <w:rStyle w:val="Refdenotaalpie"/>
          <w:rFonts w:ascii="Verdana" w:hAnsi="Verdana"/>
          <w:sz w:val="20"/>
          <w:szCs w:val="20"/>
          <w:lang w:eastAsia="es-MX"/>
        </w:rPr>
        <w:footnoteReference w:id="19"/>
      </w:r>
      <w:r w:rsidRPr="006B0525">
        <w:rPr>
          <w:rFonts w:ascii="Verdana" w:hAnsi="Verdana" w:cs="Verdana"/>
          <w:sz w:val="20"/>
          <w:szCs w:val="20"/>
          <w:lang w:eastAsia="es-MX"/>
        </w:rPr>
        <w:t xml:space="preserve">. </w:t>
      </w:r>
      <w:bookmarkStart w:id="39" w:name="_Ref402038868"/>
      <w:r w:rsidRPr="006B0525">
        <w:rPr>
          <w:rFonts w:ascii="Verdana" w:hAnsi="Verdana" w:cs="Verdana"/>
          <w:sz w:val="20"/>
          <w:szCs w:val="20"/>
          <w:lang w:eastAsia="es-MX"/>
        </w:rPr>
        <w:t xml:space="preserve">Asimismo, </w:t>
      </w:r>
      <w:r w:rsidR="00083489">
        <w:rPr>
          <w:rFonts w:ascii="Verdana" w:hAnsi="Verdana" w:cs="Verdana"/>
          <w:sz w:val="20"/>
          <w:szCs w:val="20"/>
          <w:lang w:eastAsia="es-MX"/>
        </w:rPr>
        <w:t xml:space="preserve">el Estado también </w:t>
      </w:r>
      <w:r w:rsidR="00083489" w:rsidRPr="00317B9E">
        <w:rPr>
          <w:rFonts w:ascii="Verdana" w:hAnsi="Verdana" w:cs="Verdana"/>
          <w:sz w:val="20"/>
          <w:szCs w:val="20"/>
          <w:lang w:eastAsia="es-MX"/>
        </w:rPr>
        <w:t>cuestio</w:t>
      </w:r>
      <w:r w:rsidR="00613D97" w:rsidRPr="00317B9E">
        <w:rPr>
          <w:rFonts w:ascii="Verdana" w:hAnsi="Verdana" w:cs="Verdana"/>
          <w:sz w:val="20"/>
          <w:szCs w:val="20"/>
          <w:lang w:eastAsia="es-MX"/>
        </w:rPr>
        <w:t>n</w:t>
      </w:r>
      <w:r w:rsidR="00083489" w:rsidRPr="00317B9E">
        <w:rPr>
          <w:rFonts w:ascii="Verdana" w:hAnsi="Verdana" w:cs="Verdana"/>
          <w:sz w:val="20"/>
          <w:szCs w:val="20"/>
          <w:lang w:eastAsia="es-MX"/>
        </w:rPr>
        <w:t>ó</w:t>
      </w:r>
      <w:r w:rsidR="00613D97" w:rsidRPr="006B0525">
        <w:rPr>
          <w:rFonts w:ascii="Verdana" w:hAnsi="Verdana" w:cs="Verdana"/>
          <w:sz w:val="20"/>
          <w:szCs w:val="20"/>
          <w:lang w:eastAsia="es-MX"/>
        </w:rPr>
        <w:t xml:space="preserve"> en sus alegatos finales escritos el valor probatorio de las declaraciones de las señoras Miriam Floridalma Osorio García e Irma Morales Morataya. Además, </w:t>
      </w:r>
      <w:r w:rsidRPr="006B0525">
        <w:rPr>
          <w:rFonts w:ascii="Verdana" w:hAnsi="Verdana" w:cs="Verdana"/>
          <w:sz w:val="20"/>
          <w:szCs w:val="20"/>
          <w:lang w:eastAsia="es-MX"/>
        </w:rPr>
        <w:t>con respecto a la</w:t>
      </w:r>
      <w:r w:rsidR="00C16F77" w:rsidRPr="006B0525">
        <w:rPr>
          <w:rFonts w:ascii="Verdana" w:hAnsi="Verdana" w:cs="Verdana"/>
          <w:sz w:val="20"/>
          <w:szCs w:val="20"/>
          <w:lang w:eastAsia="es-MX"/>
        </w:rPr>
        <w:t xml:space="preserve"> declaración juradas de la señora</w:t>
      </w:r>
      <w:r w:rsidRPr="006B0525">
        <w:rPr>
          <w:rFonts w:ascii="Verdana" w:hAnsi="Verdana" w:cs="Verdana"/>
          <w:sz w:val="20"/>
          <w:szCs w:val="20"/>
          <w:lang w:eastAsia="es-MX"/>
        </w:rPr>
        <w:t xml:space="preserve"> Irma </w:t>
      </w:r>
      <w:r w:rsidR="00C16F77" w:rsidRPr="006B0525">
        <w:rPr>
          <w:rFonts w:ascii="Verdana" w:hAnsi="Verdana" w:cs="Verdana"/>
          <w:sz w:val="20"/>
          <w:szCs w:val="20"/>
          <w:lang w:eastAsia="es-MX"/>
        </w:rPr>
        <w:t xml:space="preserve">Morales </w:t>
      </w:r>
      <w:r w:rsidRPr="006B0525">
        <w:rPr>
          <w:rFonts w:ascii="Verdana" w:hAnsi="Verdana" w:cs="Verdana"/>
          <w:sz w:val="20"/>
          <w:szCs w:val="20"/>
          <w:lang w:eastAsia="es-MX"/>
        </w:rPr>
        <w:t>Morataya, el Estado indicó en sus alegatos finales escritos que</w:t>
      </w:r>
      <w:r w:rsidR="00C16F77" w:rsidRPr="006B0525">
        <w:rPr>
          <w:rFonts w:ascii="Verdana" w:hAnsi="Verdana" w:cs="Verdana"/>
          <w:sz w:val="20"/>
          <w:szCs w:val="20"/>
          <w:lang w:eastAsia="es-MX"/>
        </w:rPr>
        <w:t xml:space="preserve"> ni la firma de ella ni la del notario coinciden con sus firmas</w:t>
      </w:r>
      <w:r w:rsidR="004D2A8A" w:rsidRPr="006B0525">
        <w:rPr>
          <w:rFonts w:ascii="Verdana" w:hAnsi="Verdana" w:cs="Verdana"/>
          <w:sz w:val="20"/>
          <w:szCs w:val="20"/>
          <w:lang w:eastAsia="es-MX"/>
        </w:rPr>
        <w:t xml:space="preserve">. </w:t>
      </w:r>
      <w:r w:rsidR="00613D97" w:rsidRPr="006B0525">
        <w:rPr>
          <w:rFonts w:ascii="Verdana" w:hAnsi="Verdana" w:cs="Verdana"/>
          <w:sz w:val="20"/>
          <w:szCs w:val="20"/>
          <w:lang w:eastAsia="es-MX"/>
        </w:rPr>
        <w:t>En relación con</w:t>
      </w:r>
      <w:r w:rsidR="00214D3E" w:rsidRPr="006B0525">
        <w:rPr>
          <w:rFonts w:ascii="Verdana" w:hAnsi="Verdana" w:cs="Verdana"/>
          <w:sz w:val="20"/>
          <w:szCs w:val="20"/>
          <w:lang w:eastAsia="es-MX"/>
        </w:rPr>
        <w:t xml:space="preserve"> esto último, la Corte observa que el Estado no ha desplegado ningún tipo de actividad probatoria para desvirtuar la presunción de veracidad de la que goza todo documento público. Con respecto a las</w:t>
      </w:r>
      <w:r w:rsidR="00613D97" w:rsidRPr="006B0525">
        <w:rPr>
          <w:rFonts w:ascii="Verdana" w:hAnsi="Verdana" w:cs="Verdana"/>
          <w:sz w:val="20"/>
          <w:szCs w:val="20"/>
          <w:lang w:eastAsia="es-MX"/>
        </w:rPr>
        <w:t xml:space="preserve"> restantes alegaciones, así como las</w:t>
      </w:r>
      <w:r w:rsidR="00214D3E" w:rsidRPr="006B0525">
        <w:rPr>
          <w:rFonts w:ascii="Verdana" w:hAnsi="Verdana" w:cs="Verdana"/>
          <w:sz w:val="20"/>
          <w:szCs w:val="20"/>
          <w:lang w:eastAsia="es-MX"/>
        </w:rPr>
        <w:t xml:space="preserve"> alegaciones relativas al peritaje conjunto ofrecido por los señores </w:t>
      </w:r>
      <w:proofErr w:type="spellStart"/>
      <w:r w:rsidR="00214D3E" w:rsidRPr="006B0525">
        <w:rPr>
          <w:rFonts w:ascii="Verdana" w:hAnsi="Verdana" w:cs="Verdana"/>
          <w:sz w:val="20"/>
          <w:szCs w:val="20"/>
          <w:lang w:eastAsia="es-MX"/>
        </w:rPr>
        <w:t>Parvais</w:t>
      </w:r>
      <w:proofErr w:type="spellEnd"/>
      <w:r w:rsidR="00214D3E" w:rsidRPr="006B0525">
        <w:rPr>
          <w:rFonts w:ascii="Verdana" w:hAnsi="Verdana" w:cs="Verdana"/>
          <w:sz w:val="20"/>
          <w:szCs w:val="20"/>
          <w:lang w:eastAsia="es-MX"/>
        </w:rPr>
        <w:t xml:space="preserve"> Jabbar y Edward Fitzgerald, </w:t>
      </w:r>
      <w:r w:rsidR="00214D3E" w:rsidRPr="006B0525">
        <w:rPr>
          <w:rFonts w:ascii="Verdana" w:hAnsi="Verdana"/>
          <w:sz w:val="20"/>
          <w:szCs w:val="20"/>
          <w:lang w:eastAsia="es-MX"/>
        </w:rPr>
        <w:t>l</w:t>
      </w:r>
      <w:r w:rsidRPr="006B0525">
        <w:rPr>
          <w:rFonts w:ascii="Verdana" w:hAnsi="Verdana"/>
          <w:sz w:val="20"/>
          <w:szCs w:val="20"/>
          <w:lang w:eastAsia="es-MX"/>
        </w:rPr>
        <w:t>a Corte tendrá en cuenta estos argumentos y establecerá las consideraciones conducentes a la resolución del presente caso al abordar los hechos controvertidos.</w:t>
      </w:r>
      <w:bookmarkEnd w:id="39"/>
    </w:p>
    <w:p w14:paraId="5090F6CA" w14:textId="77777777" w:rsidR="00467516" w:rsidRPr="006B0525" w:rsidRDefault="00467516" w:rsidP="00530549">
      <w:pPr>
        <w:pStyle w:val="Ttulo1"/>
      </w:pPr>
      <w:bookmarkStart w:id="40" w:name="_Toc495658661"/>
      <w:bookmarkStart w:id="41" w:name="_Toc498013630"/>
      <w:bookmarkStart w:id="42" w:name="_Toc514172615"/>
      <w:bookmarkStart w:id="43" w:name="_Toc26177800"/>
      <w:r w:rsidRPr="006B0525">
        <w:t>VI</w:t>
      </w:r>
      <w:r w:rsidR="00241F90" w:rsidRPr="006B0525">
        <w:t>I</w:t>
      </w:r>
      <w:r w:rsidRPr="006B0525">
        <w:br/>
        <w:t>HECHOS</w:t>
      </w:r>
      <w:bookmarkEnd w:id="40"/>
      <w:bookmarkEnd w:id="41"/>
      <w:bookmarkEnd w:id="42"/>
      <w:bookmarkEnd w:id="43"/>
      <w:r w:rsidRPr="006B0525">
        <w:t xml:space="preserve"> </w:t>
      </w:r>
    </w:p>
    <w:p w14:paraId="64587CD8" w14:textId="77777777" w:rsidR="00467516" w:rsidRPr="006B0525" w:rsidRDefault="00467516" w:rsidP="00530549">
      <w:pPr>
        <w:pStyle w:val="Normal1"/>
        <w:widowControl/>
        <w:numPr>
          <w:ilvl w:val="0"/>
          <w:numId w:val="4"/>
        </w:numPr>
        <w:ind w:left="0" w:firstLine="0"/>
        <w:contextualSpacing/>
        <w:jc w:val="both"/>
        <w:rPr>
          <w:rFonts w:ascii="Verdana" w:hAnsi="Verdana"/>
          <w:b/>
          <w:sz w:val="20"/>
          <w:szCs w:val="20"/>
        </w:rPr>
      </w:pPr>
      <w:r w:rsidRPr="006B0525">
        <w:rPr>
          <w:rFonts w:ascii="Verdana" w:hAnsi="Verdana"/>
          <w:sz w:val="20"/>
          <w:szCs w:val="20"/>
        </w:rPr>
        <w:t xml:space="preserve">En este capítulo la Corte establecerá los hechos del caso con base al marco fáctico </w:t>
      </w:r>
      <w:r w:rsidRPr="006B0525">
        <w:rPr>
          <w:rFonts w:ascii="Verdana" w:hAnsi="Verdana" w:cs="Calibri"/>
          <w:sz w:val="20"/>
          <w:szCs w:val="20"/>
          <w:lang w:val="es-VE"/>
        </w:rPr>
        <w:t>sometido</w:t>
      </w:r>
      <w:r w:rsidRPr="006B0525">
        <w:rPr>
          <w:rFonts w:ascii="Verdana" w:hAnsi="Verdana"/>
          <w:sz w:val="20"/>
          <w:szCs w:val="20"/>
        </w:rPr>
        <w:t xml:space="preserve"> al conocimiento de la Corte por la Comisión Interamericana, en relación con: </w:t>
      </w:r>
      <w:r w:rsidR="00436D25">
        <w:rPr>
          <w:rFonts w:ascii="Verdana" w:hAnsi="Verdana"/>
          <w:sz w:val="20"/>
          <w:szCs w:val="20"/>
        </w:rPr>
        <w:t>(i)</w:t>
      </w:r>
      <w:r w:rsidRPr="006B0525">
        <w:rPr>
          <w:rFonts w:ascii="Verdana" w:hAnsi="Verdana"/>
          <w:sz w:val="20"/>
          <w:szCs w:val="20"/>
        </w:rPr>
        <w:t xml:space="preserve"> el contexto normativo en Guatemala con respecto a la pena de muerte</w:t>
      </w:r>
      <w:r w:rsidR="00655DF6" w:rsidRPr="006B0525">
        <w:rPr>
          <w:rFonts w:ascii="Verdana" w:hAnsi="Verdana"/>
          <w:sz w:val="20"/>
          <w:szCs w:val="20"/>
        </w:rPr>
        <w:t xml:space="preserve">, y </w:t>
      </w:r>
      <w:r w:rsidR="00436D25">
        <w:rPr>
          <w:rFonts w:ascii="Verdana" w:hAnsi="Verdana"/>
          <w:sz w:val="20"/>
          <w:szCs w:val="20"/>
        </w:rPr>
        <w:t>(</w:t>
      </w:r>
      <w:proofErr w:type="spellStart"/>
      <w:r w:rsidR="00436D25">
        <w:rPr>
          <w:rFonts w:ascii="Verdana" w:hAnsi="Verdana"/>
          <w:sz w:val="20"/>
          <w:szCs w:val="20"/>
        </w:rPr>
        <w:t>ii</w:t>
      </w:r>
      <w:proofErr w:type="spellEnd"/>
      <w:r w:rsidR="00436D25">
        <w:rPr>
          <w:rFonts w:ascii="Verdana" w:hAnsi="Verdana"/>
          <w:sz w:val="20"/>
          <w:szCs w:val="20"/>
        </w:rPr>
        <w:t xml:space="preserve">) </w:t>
      </w:r>
      <w:r w:rsidRPr="006B0525">
        <w:rPr>
          <w:rFonts w:ascii="Verdana" w:hAnsi="Verdana"/>
          <w:sz w:val="20"/>
          <w:szCs w:val="20"/>
        </w:rPr>
        <w:t>el proceso penal seguido contra los señores Rodríguez Revolorio, López Calo y Archila Pérez.</w:t>
      </w:r>
    </w:p>
    <w:p w14:paraId="31BA6607" w14:textId="77777777" w:rsidR="00467516" w:rsidRPr="006B0525" w:rsidRDefault="00467516" w:rsidP="00530549">
      <w:pPr>
        <w:pStyle w:val="Ttulo2"/>
      </w:pPr>
      <w:bookmarkStart w:id="44" w:name="_Toc26177801"/>
      <w:r w:rsidRPr="006B0525">
        <w:lastRenderedPageBreak/>
        <w:t>A.</w:t>
      </w:r>
      <w:r w:rsidRPr="006B0525">
        <w:tab/>
      </w:r>
      <w:r w:rsidR="00520A12" w:rsidRPr="006B0525">
        <w:t>Marco</w:t>
      </w:r>
      <w:r w:rsidRPr="006B0525">
        <w:t xml:space="preserve"> normativo en Guatemala con respecto a la pena de muerte</w:t>
      </w:r>
      <w:bookmarkEnd w:id="44"/>
    </w:p>
    <w:p w14:paraId="56E8E22C" w14:textId="77777777" w:rsidR="00467516" w:rsidRPr="006B0525" w:rsidRDefault="00467516" w:rsidP="00530549">
      <w:pPr>
        <w:pStyle w:val="Normal1"/>
        <w:widowControl/>
        <w:numPr>
          <w:ilvl w:val="0"/>
          <w:numId w:val="4"/>
        </w:numPr>
        <w:ind w:left="0" w:firstLine="0"/>
        <w:contextualSpacing/>
        <w:jc w:val="both"/>
        <w:rPr>
          <w:rFonts w:ascii="Verdana" w:hAnsi="Verdana" w:cs="Calibri"/>
          <w:sz w:val="20"/>
          <w:szCs w:val="20"/>
          <w:lang w:val="es-VE"/>
        </w:rPr>
      </w:pPr>
      <w:r w:rsidRPr="006B0525">
        <w:rPr>
          <w:rFonts w:ascii="Verdana" w:hAnsi="Verdana" w:cs="Calibri"/>
          <w:sz w:val="20"/>
          <w:szCs w:val="20"/>
          <w:lang w:val="es-VE"/>
        </w:rPr>
        <w:t xml:space="preserve">La pena de muerte se encuentra prevista tanto en la Constitución, como en la legislación penal </w:t>
      </w:r>
      <w:r w:rsidRPr="006B0525">
        <w:rPr>
          <w:rFonts w:ascii="Verdana" w:hAnsi="Verdana"/>
          <w:sz w:val="20"/>
          <w:szCs w:val="20"/>
        </w:rPr>
        <w:t>guatemalteca</w:t>
      </w:r>
      <w:r w:rsidRPr="006B0525">
        <w:rPr>
          <w:rFonts w:ascii="Verdana" w:hAnsi="Verdana" w:cs="Calibri"/>
          <w:sz w:val="20"/>
          <w:szCs w:val="20"/>
          <w:lang w:val="es-VE"/>
        </w:rPr>
        <w:t xml:space="preserve">. </w:t>
      </w:r>
      <w:r w:rsidRPr="006B0525">
        <w:rPr>
          <w:rFonts w:ascii="Verdana" w:hAnsi="Verdana"/>
          <w:sz w:val="20"/>
          <w:szCs w:val="20"/>
        </w:rPr>
        <w:t>El artículo 18 de la Constitución de Guatemala reconoce la posibilidad de que se aplique la pena de muerte</w:t>
      </w:r>
      <w:r w:rsidRPr="006B0525">
        <w:rPr>
          <w:rStyle w:val="Refdenotaalpie"/>
          <w:rFonts w:ascii="Verdana" w:hAnsi="Verdana"/>
          <w:sz w:val="20"/>
          <w:szCs w:val="20"/>
        </w:rPr>
        <w:footnoteReference w:id="20"/>
      </w:r>
      <w:r w:rsidRPr="006B0525">
        <w:rPr>
          <w:rFonts w:ascii="Verdana" w:hAnsi="Verdana"/>
          <w:sz w:val="20"/>
          <w:szCs w:val="20"/>
        </w:rPr>
        <w:t xml:space="preserve">. </w:t>
      </w:r>
      <w:r w:rsidRPr="006B0525">
        <w:rPr>
          <w:rFonts w:ascii="Verdana" w:hAnsi="Verdana" w:cs="Calibri"/>
          <w:sz w:val="20"/>
          <w:szCs w:val="20"/>
          <w:lang w:val="es-VE"/>
        </w:rPr>
        <w:t>Asimismo, el artículo 43 del Código Penal vigente en 1997 estipulaba lo siguiente:</w:t>
      </w:r>
    </w:p>
    <w:p w14:paraId="3F39A4B3" w14:textId="77777777" w:rsidR="00467516" w:rsidRPr="006B0525" w:rsidRDefault="00467516" w:rsidP="00530549">
      <w:pPr>
        <w:spacing w:line="240" w:lineRule="auto"/>
        <w:rPr>
          <w:lang w:val="es-VE"/>
        </w:rPr>
      </w:pPr>
    </w:p>
    <w:p w14:paraId="21704464" w14:textId="77777777" w:rsidR="00467516" w:rsidRPr="006B0525" w:rsidRDefault="00467516" w:rsidP="00530549">
      <w:pPr>
        <w:tabs>
          <w:tab w:val="left" w:pos="9360"/>
        </w:tabs>
        <w:spacing w:line="240" w:lineRule="auto"/>
        <w:ind w:left="810" w:right="720"/>
        <w:rPr>
          <w:sz w:val="18"/>
          <w:szCs w:val="18"/>
          <w:lang w:val="es-VE"/>
        </w:rPr>
      </w:pPr>
      <w:r w:rsidRPr="006B0525">
        <w:rPr>
          <w:sz w:val="18"/>
          <w:szCs w:val="18"/>
          <w:lang w:val="es-VE"/>
        </w:rPr>
        <w:t>“La pena de muerte, tiene carácter extraordinario y solo podrá aplicarse en los casos expresamente consignados en la ley y no se ejecutará, sino después de agotarse todos los recursos legales.</w:t>
      </w:r>
    </w:p>
    <w:p w14:paraId="6AFC703D" w14:textId="77777777" w:rsidR="00467516" w:rsidRPr="006B0525" w:rsidRDefault="00467516" w:rsidP="00530549">
      <w:pPr>
        <w:tabs>
          <w:tab w:val="left" w:pos="9360"/>
        </w:tabs>
        <w:spacing w:line="240" w:lineRule="auto"/>
        <w:ind w:left="810" w:right="720"/>
        <w:rPr>
          <w:sz w:val="18"/>
          <w:szCs w:val="18"/>
          <w:lang w:val="es-VE"/>
        </w:rPr>
      </w:pPr>
    </w:p>
    <w:p w14:paraId="716AD209" w14:textId="77777777" w:rsidR="00467516" w:rsidRPr="006B0525" w:rsidRDefault="00467516" w:rsidP="00530549">
      <w:pPr>
        <w:tabs>
          <w:tab w:val="left" w:pos="9360"/>
        </w:tabs>
        <w:spacing w:line="240" w:lineRule="auto"/>
        <w:ind w:left="810" w:right="720"/>
        <w:rPr>
          <w:sz w:val="18"/>
          <w:szCs w:val="18"/>
          <w:lang w:val="es-VE"/>
        </w:rPr>
      </w:pPr>
      <w:r w:rsidRPr="006B0525">
        <w:rPr>
          <w:sz w:val="18"/>
          <w:szCs w:val="18"/>
          <w:lang w:val="es-VE"/>
        </w:rPr>
        <w:t>No podrá imponerse la pena de muerte:</w:t>
      </w:r>
    </w:p>
    <w:p w14:paraId="2A08A978" w14:textId="77777777" w:rsidR="00467516" w:rsidRPr="006B0525" w:rsidRDefault="00467516" w:rsidP="00530549">
      <w:pPr>
        <w:tabs>
          <w:tab w:val="left" w:pos="9360"/>
        </w:tabs>
        <w:spacing w:line="240" w:lineRule="auto"/>
        <w:ind w:left="810" w:right="720"/>
        <w:rPr>
          <w:sz w:val="18"/>
          <w:szCs w:val="18"/>
          <w:lang w:val="es-VE"/>
        </w:rPr>
      </w:pPr>
    </w:p>
    <w:p w14:paraId="295A205C" w14:textId="77777777" w:rsidR="00467516" w:rsidRPr="006B0525" w:rsidRDefault="00467516" w:rsidP="00530549">
      <w:pPr>
        <w:pStyle w:val="Prrafodelista"/>
        <w:numPr>
          <w:ilvl w:val="0"/>
          <w:numId w:val="3"/>
        </w:numPr>
        <w:tabs>
          <w:tab w:val="left" w:pos="9360"/>
        </w:tabs>
        <w:spacing w:line="240" w:lineRule="auto"/>
        <w:ind w:left="1170" w:right="720"/>
        <w:rPr>
          <w:sz w:val="18"/>
          <w:szCs w:val="18"/>
          <w:lang w:val="es-VE"/>
        </w:rPr>
      </w:pPr>
      <w:r w:rsidRPr="006B0525">
        <w:rPr>
          <w:sz w:val="18"/>
          <w:szCs w:val="18"/>
          <w:lang w:val="es-VE"/>
        </w:rPr>
        <w:t>Por delitos políticos</w:t>
      </w:r>
    </w:p>
    <w:p w14:paraId="01983301" w14:textId="77777777" w:rsidR="00467516" w:rsidRPr="006B0525" w:rsidRDefault="00467516" w:rsidP="00530549">
      <w:pPr>
        <w:pStyle w:val="Prrafodelista"/>
        <w:numPr>
          <w:ilvl w:val="0"/>
          <w:numId w:val="3"/>
        </w:numPr>
        <w:tabs>
          <w:tab w:val="left" w:pos="9360"/>
        </w:tabs>
        <w:spacing w:line="240" w:lineRule="auto"/>
        <w:ind w:left="1170" w:right="720"/>
        <w:rPr>
          <w:sz w:val="18"/>
          <w:szCs w:val="18"/>
          <w:lang w:val="es-VE"/>
        </w:rPr>
      </w:pPr>
      <w:r w:rsidRPr="006B0525">
        <w:rPr>
          <w:sz w:val="18"/>
          <w:szCs w:val="18"/>
          <w:lang w:val="es-VE"/>
        </w:rPr>
        <w:t>Cuando la condena se fundamente en presunciones</w:t>
      </w:r>
    </w:p>
    <w:p w14:paraId="46E96F13" w14:textId="77777777" w:rsidR="00467516" w:rsidRPr="006B0525" w:rsidRDefault="00467516" w:rsidP="00530549">
      <w:pPr>
        <w:pStyle w:val="Prrafodelista"/>
        <w:numPr>
          <w:ilvl w:val="0"/>
          <w:numId w:val="3"/>
        </w:numPr>
        <w:tabs>
          <w:tab w:val="left" w:pos="9360"/>
        </w:tabs>
        <w:spacing w:line="240" w:lineRule="auto"/>
        <w:ind w:left="1170" w:right="720"/>
        <w:rPr>
          <w:sz w:val="18"/>
          <w:szCs w:val="18"/>
          <w:lang w:val="es-VE"/>
        </w:rPr>
      </w:pPr>
      <w:r w:rsidRPr="006B0525">
        <w:rPr>
          <w:sz w:val="18"/>
          <w:szCs w:val="18"/>
          <w:lang w:val="es-VE"/>
        </w:rPr>
        <w:t>A mujeres</w:t>
      </w:r>
    </w:p>
    <w:p w14:paraId="04571136" w14:textId="77777777" w:rsidR="00467516" w:rsidRPr="006B0525" w:rsidRDefault="00467516" w:rsidP="00530549">
      <w:pPr>
        <w:pStyle w:val="Prrafodelista"/>
        <w:numPr>
          <w:ilvl w:val="0"/>
          <w:numId w:val="3"/>
        </w:numPr>
        <w:tabs>
          <w:tab w:val="left" w:pos="9360"/>
        </w:tabs>
        <w:spacing w:line="240" w:lineRule="auto"/>
        <w:ind w:left="1170" w:right="720"/>
        <w:rPr>
          <w:sz w:val="18"/>
          <w:szCs w:val="18"/>
          <w:lang w:val="es-VE"/>
        </w:rPr>
      </w:pPr>
      <w:r w:rsidRPr="006B0525">
        <w:rPr>
          <w:sz w:val="18"/>
          <w:szCs w:val="18"/>
          <w:lang w:val="es-VE"/>
        </w:rPr>
        <w:t>A varones mayores de setenta años</w:t>
      </w:r>
    </w:p>
    <w:p w14:paraId="1B3BF360" w14:textId="77777777" w:rsidR="00467516" w:rsidRPr="006B0525" w:rsidRDefault="00467516" w:rsidP="00530549">
      <w:pPr>
        <w:pStyle w:val="Prrafodelista"/>
        <w:numPr>
          <w:ilvl w:val="0"/>
          <w:numId w:val="3"/>
        </w:numPr>
        <w:tabs>
          <w:tab w:val="left" w:pos="9360"/>
        </w:tabs>
        <w:spacing w:line="240" w:lineRule="auto"/>
        <w:ind w:left="1170" w:right="720"/>
        <w:rPr>
          <w:sz w:val="18"/>
          <w:szCs w:val="18"/>
          <w:lang w:val="es-VE"/>
        </w:rPr>
      </w:pPr>
      <w:r w:rsidRPr="006B0525">
        <w:rPr>
          <w:sz w:val="18"/>
          <w:szCs w:val="18"/>
          <w:lang w:val="es-VE"/>
        </w:rPr>
        <w:t>A personas cuya extradición haya sido concedida bajo esa condición.</w:t>
      </w:r>
    </w:p>
    <w:p w14:paraId="65F46A89" w14:textId="77777777" w:rsidR="00467516" w:rsidRPr="006B0525" w:rsidRDefault="00467516" w:rsidP="00530549">
      <w:pPr>
        <w:tabs>
          <w:tab w:val="left" w:pos="9360"/>
        </w:tabs>
        <w:spacing w:line="240" w:lineRule="auto"/>
        <w:ind w:left="810" w:right="720"/>
        <w:rPr>
          <w:sz w:val="18"/>
          <w:szCs w:val="18"/>
          <w:lang w:val="es-VE"/>
        </w:rPr>
      </w:pPr>
    </w:p>
    <w:p w14:paraId="6CA8009A" w14:textId="77777777" w:rsidR="00467516" w:rsidRPr="006B0525" w:rsidRDefault="00467516" w:rsidP="00530549">
      <w:pPr>
        <w:tabs>
          <w:tab w:val="left" w:pos="9360"/>
        </w:tabs>
        <w:spacing w:line="240" w:lineRule="auto"/>
        <w:ind w:left="810" w:right="720"/>
        <w:rPr>
          <w:sz w:val="18"/>
          <w:szCs w:val="18"/>
          <w:lang w:val="es-VE"/>
        </w:rPr>
      </w:pPr>
      <w:r w:rsidRPr="006B0525">
        <w:rPr>
          <w:sz w:val="18"/>
          <w:szCs w:val="18"/>
          <w:lang w:val="es-VE"/>
        </w:rPr>
        <w:t>En estos casos y siempre que la pena de muerte fuere conmutada por la de privación de libertad, se le aplicará prisión en su límite máximo”</w:t>
      </w:r>
      <w:r w:rsidRPr="006B0525">
        <w:rPr>
          <w:rStyle w:val="Refdenotaalpie"/>
          <w:rFonts w:cs="Calibri"/>
          <w:sz w:val="18"/>
          <w:szCs w:val="18"/>
          <w:lang w:val="es-VE"/>
        </w:rPr>
        <w:footnoteReference w:id="21"/>
      </w:r>
      <w:r w:rsidRPr="006B0525">
        <w:rPr>
          <w:sz w:val="18"/>
          <w:szCs w:val="18"/>
          <w:lang w:val="es-VE"/>
        </w:rPr>
        <w:t>.</w:t>
      </w:r>
    </w:p>
    <w:p w14:paraId="042C174C" w14:textId="77777777" w:rsidR="00390DC3" w:rsidRPr="006B0525" w:rsidRDefault="00390DC3" w:rsidP="00530549">
      <w:pPr>
        <w:spacing w:line="240" w:lineRule="auto"/>
      </w:pPr>
    </w:p>
    <w:p w14:paraId="2A86821F" w14:textId="77777777" w:rsidR="00467516" w:rsidRPr="006B0525" w:rsidRDefault="00467516"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El artículo </w:t>
      </w:r>
      <w:r w:rsidRPr="006B0525">
        <w:rPr>
          <w:rFonts w:ascii="Verdana" w:hAnsi="Verdana" w:cs="Calibri"/>
          <w:sz w:val="20"/>
          <w:szCs w:val="20"/>
          <w:lang w:val="es-VE"/>
        </w:rPr>
        <w:t>132</w:t>
      </w:r>
      <w:r w:rsidRPr="006B0525">
        <w:rPr>
          <w:rFonts w:ascii="Verdana" w:hAnsi="Verdana"/>
          <w:sz w:val="20"/>
          <w:szCs w:val="20"/>
        </w:rPr>
        <w:t xml:space="preserve"> del Código Penal vigente en 1995 tipificaba el asesinato en los siguientes términos: </w:t>
      </w:r>
    </w:p>
    <w:p w14:paraId="053AABFE" w14:textId="77777777" w:rsidR="00467516" w:rsidRPr="006B0525" w:rsidRDefault="00467516" w:rsidP="00530549">
      <w:pPr>
        <w:pStyle w:val="Default"/>
        <w:ind w:left="708"/>
        <w:jc w:val="both"/>
        <w:rPr>
          <w:color w:val="auto"/>
          <w:sz w:val="20"/>
          <w:szCs w:val="20"/>
        </w:rPr>
      </w:pPr>
    </w:p>
    <w:p w14:paraId="36E4E2C0" w14:textId="77777777" w:rsidR="00467516" w:rsidRPr="006B0525" w:rsidRDefault="00467516" w:rsidP="00667F73">
      <w:pPr>
        <w:pStyle w:val="Default"/>
        <w:ind w:left="708" w:right="720"/>
        <w:jc w:val="both"/>
        <w:rPr>
          <w:color w:val="auto"/>
          <w:sz w:val="18"/>
          <w:szCs w:val="18"/>
        </w:rPr>
      </w:pPr>
      <w:r w:rsidRPr="006B0525">
        <w:rPr>
          <w:color w:val="auto"/>
          <w:sz w:val="18"/>
          <w:szCs w:val="18"/>
        </w:rPr>
        <w:t xml:space="preserve">“Comete asesinato quién matare a una persona: </w:t>
      </w:r>
    </w:p>
    <w:p w14:paraId="05DBB16D" w14:textId="77777777" w:rsidR="00467516" w:rsidRPr="006B0525" w:rsidRDefault="00467516" w:rsidP="00667F73">
      <w:pPr>
        <w:pStyle w:val="Default"/>
        <w:ind w:left="708" w:right="720"/>
        <w:jc w:val="both"/>
        <w:rPr>
          <w:color w:val="auto"/>
          <w:sz w:val="18"/>
          <w:szCs w:val="18"/>
        </w:rPr>
      </w:pPr>
    </w:p>
    <w:p w14:paraId="5832559F" w14:textId="77777777" w:rsidR="00467516" w:rsidRPr="006B0525" w:rsidRDefault="00467516" w:rsidP="00667F73">
      <w:pPr>
        <w:pStyle w:val="Default"/>
        <w:ind w:left="708" w:right="720"/>
        <w:jc w:val="both"/>
        <w:rPr>
          <w:color w:val="auto"/>
          <w:sz w:val="18"/>
          <w:szCs w:val="18"/>
        </w:rPr>
      </w:pPr>
      <w:r w:rsidRPr="006B0525">
        <w:rPr>
          <w:color w:val="auto"/>
          <w:sz w:val="18"/>
          <w:szCs w:val="18"/>
        </w:rPr>
        <w:t xml:space="preserve">1) Con alevosía. </w:t>
      </w:r>
    </w:p>
    <w:p w14:paraId="1E0BA95A" w14:textId="77777777" w:rsidR="00467516" w:rsidRPr="006B0525" w:rsidRDefault="00467516" w:rsidP="00667F73">
      <w:pPr>
        <w:pStyle w:val="Default"/>
        <w:ind w:left="708" w:right="720"/>
        <w:jc w:val="both"/>
        <w:rPr>
          <w:color w:val="auto"/>
          <w:sz w:val="18"/>
          <w:szCs w:val="18"/>
        </w:rPr>
      </w:pPr>
      <w:r w:rsidRPr="006B0525">
        <w:rPr>
          <w:color w:val="auto"/>
          <w:sz w:val="18"/>
          <w:szCs w:val="18"/>
        </w:rPr>
        <w:t>2) Por precio, recompensa o promesa.</w:t>
      </w:r>
    </w:p>
    <w:p w14:paraId="406CAD73" w14:textId="77777777" w:rsidR="00467516" w:rsidRPr="006B0525" w:rsidRDefault="00467516" w:rsidP="00667F73">
      <w:pPr>
        <w:pStyle w:val="Default"/>
        <w:ind w:left="708" w:right="720"/>
        <w:jc w:val="both"/>
        <w:rPr>
          <w:color w:val="auto"/>
          <w:sz w:val="18"/>
          <w:szCs w:val="18"/>
        </w:rPr>
      </w:pPr>
      <w:r w:rsidRPr="006B0525">
        <w:rPr>
          <w:color w:val="auto"/>
          <w:sz w:val="18"/>
          <w:szCs w:val="18"/>
        </w:rPr>
        <w:t xml:space="preserve">3) Por medio o con ocasión de inundación, incendio, veneno, explosión, desmoronamiento, derrumbe de edificio u otro artificio que pueda ocasionar gran estrago. </w:t>
      </w:r>
    </w:p>
    <w:p w14:paraId="2446E0C2" w14:textId="77777777" w:rsidR="00467516" w:rsidRPr="006B0525" w:rsidRDefault="00467516" w:rsidP="00667F73">
      <w:pPr>
        <w:pStyle w:val="Default"/>
        <w:ind w:left="708" w:right="720"/>
        <w:jc w:val="both"/>
        <w:rPr>
          <w:color w:val="auto"/>
          <w:sz w:val="18"/>
          <w:szCs w:val="18"/>
        </w:rPr>
      </w:pPr>
      <w:r w:rsidRPr="006B0525">
        <w:rPr>
          <w:color w:val="auto"/>
          <w:sz w:val="18"/>
          <w:szCs w:val="18"/>
        </w:rPr>
        <w:t>4) Con premeditación conocida.</w:t>
      </w:r>
    </w:p>
    <w:p w14:paraId="4E292CFF" w14:textId="77777777" w:rsidR="00467516" w:rsidRPr="006B0525" w:rsidRDefault="00467516" w:rsidP="00667F73">
      <w:pPr>
        <w:pStyle w:val="Default"/>
        <w:ind w:left="708" w:right="720"/>
        <w:jc w:val="both"/>
        <w:rPr>
          <w:color w:val="auto"/>
          <w:sz w:val="18"/>
          <w:szCs w:val="18"/>
        </w:rPr>
      </w:pPr>
      <w:r w:rsidRPr="006B0525">
        <w:rPr>
          <w:color w:val="auto"/>
          <w:sz w:val="18"/>
          <w:szCs w:val="18"/>
        </w:rPr>
        <w:t xml:space="preserve">5) Con ensañamiento. </w:t>
      </w:r>
    </w:p>
    <w:p w14:paraId="1CB00729" w14:textId="77777777" w:rsidR="00467516" w:rsidRPr="006B0525" w:rsidRDefault="00467516" w:rsidP="00667F73">
      <w:pPr>
        <w:pStyle w:val="Default"/>
        <w:ind w:left="708" w:right="720"/>
        <w:jc w:val="both"/>
        <w:rPr>
          <w:color w:val="auto"/>
          <w:sz w:val="18"/>
          <w:szCs w:val="18"/>
        </w:rPr>
      </w:pPr>
      <w:r w:rsidRPr="006B0525">
        <w:rPr>
          <w:color w:val="auto"/>
          <w:sz w:val="18"/>
          <w:szCs w:val="18"/>
        </w:rPr>
        <w:t xml:space="preserve">6) Con impulso de perversidad brutal. </w:t>
      </w:r>
    </w:p>
    <w:p w14:paraId="280F5F2D" w14:textId="77777777" w:rsidR="00467516" w:rsidRPr="006B0525" w:rsidRDefault="00467516" w:rsidP="00667F73">
      <w:pPr>
        <w:pStyle w:val="Default"/>
        <w:ind w:left="708" w:right="720"/>
        <w:jc w:val="both"/>
        <w:rPr>
          <w:color w:val="auto"/>
          <w:sz w:val="18"/>
          <w:szCs w:val="18"/>
        </w:rPr>
      </w:pPr>
      <w:r w:rsidRPr="006B0525">
        <w:rPr>
          <w:color w:val="auto"/>
          <w:sz w:val="18"/>
          <w:szCs w:val="18"/>
        </w:rPr>
        <w:t xml:space="preserve">7) Para preparar, facilitar, consumar u ocultar otro delito o para asegurar sus resultados o la impunidad para sí o para sus copartícipes o por no haber obtenido el resultado que se hubiere propuesto al intentar otro hecho punible. </w:t>
      </w:r>
    </w:p>
    <w:p w14:paraId="70C30C6C" w14:textId="77777777" w:rsidR="00467516" w:rsidRPr="006B0525" w:rsidRDefault="00467516" w:rsidP="00530549">
      <w:pPr>
        <w:rPr>
          <w:sz w:val="18"/>
          <w:szCs w:val="18"/>
        </w:rPr>
      </w:pPr>
    </w:p>
    <w:p w14:paraId="05C08B97" w14:textId="77777777" w:rsidR="00467516" w:rsidRPr="006B0525" w:rsidRDefault="00467516" w:rsidP="00667F73">
      <w:pPr>
        <w:spacing w:line="240" w:lineRule="auto"/>
        <w:ind w:left="720" w:right="720"/>
        <w:rPr>
          <w:rFonts w:cs="Verdana"/>
          <w:sz w:val="18"/>
          <w:szCs w:val="18"/>
        </w:rPr>
      </w:pPr>
      <w:r w:rsidRPr="006B0525">
        <w:rPr>
          <w:sz w:val="18"/>
          <w:szCs w:val="18"/>
        </w:rPr>
        <w:t xml:space="preserve">Al reo de asesinato se le impondrá prisión de veinte a treinta años; sin </w:t>
      </w:r>
      <w:proofErr w:type="gramStart"/>
      <w:r w:rsidRPr="006B0525">
        <w:rPr>
          <w:sz w:val="18"/>
          <w:szCs w:val="18"/>
        </w:rPr>
        <w:t>embargo</w:t>
      </w:r>
      <w:proofErr w:type="gramEnd"/>
      <w:r w:rsidRPr="006B0525">
        <w:rPr>
          <w:sz w:val="18"/>
          <w:szCs w:val="18"/>
        </w:rPr>
        <w:t xml:space="preserve"> se impondrá la pena de muerte en lugar del máximo de prisión, si por las circunstancias del hecho y de la ocasión, la manera de realizarlo y los móviles determinantes, se revelare una mayor y particular </w:t>
      </w:r>
      <w:r w:rsidRPr="006B0525">
        <w:rPr>
          <w:sz w:val="18"/>
          <w:szCs w:val="18"/>
        </w:rPr>
        <w:lastRenderedPageBreak/>
        <w:t>peligrosidad del agente”</w:t>
      </w:r>
      <w:r w:rsidRPr="006B0525">
        <w:rPr>
          <w:rStyle w:val="Refdenotaalpie"/>
          <w:sz w:val="18"/>
          <w:szCs w:val="18"/>
        </w:rPr>
        <w:footnoteReference w:id="22"/>
      </w:r>
      <w:r w:rsidRPr="006B0525">
        <w:rPr>
          <w:sz w:val="18"/>
          <w:szCs w:val="18"/>
        </w:rPr>
        <w:t>.</w:t>
      </w:r>
    </w:p>
    <w:p w14:paraId="46B7D92D" w14:textId="77777777" w:rsidR="00390DC3" w:rsidRPr="006B0525" w:rsidRDefault="00390DC3" w:rsidP="00530549">
      <w:pPr>
        <w:pStyle w:val="Normal1"/>
        <w:widowControl/>
        <w:contextualSpacing/>
        <w:jc w:val="both"/>
        <w:rPr>
          <w:rFonts w:ascii="Verdana" w:hAnsi="Verdana"/>
          <w:sz w:val="20"/>
          <w:szCs w:val="20"/>
        </w:rPr>
      </w:pPr>
    </w:p>
    <w:p w14:paraId="16136B77" w14:textId="77777777" w:rsidR="00467516" w:rsidRPr="006B0525" w:rsidRDefault="00467516"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La</w:t>
      </w:r>
      <w:r w:rsidR="005879F4" w:rsidRPr="006B0525">
        <w:rPr>
          <w:rFonts w:ascii="Verdana" w:hAnsi="Verdana"/>
          <w:sz w:val="20"/>
          <w:szCs w:val="20"/>
        </w:rPr>
        <w:t xml:space="preserve"> </w:t>
      </w:r>
      <w:r w:rsidRPr="006B0525">
        <w:rPr>
          <w:rFonts w:ascii="Verdana" w:hAnsi="Verdana"/>
          <w:sz w:val="20"/>
          <w:szCs w:val="20"/>
        </w:rPr>
        <w:t>pena</w:t>
      </w:r>
      <w:r w:rsidR="005879F4" w:rsidRPr="006B0525">
        <w:rPr>
          <w:rFonts w:ascii="Verdana" w:hAnsi="Verdana"/>
          <w:sz w:val="20"/>
          <w:szCs w:val="20"/>
        </w:rPr>
        <w:t xml:space="preserve"> </w:t>
      </w:r>
      <w:r w:rsidRPr="006B0525">
        <w:rPr>
          <w:rFonts w:ascii="Verdana" w:hAnsi="Verdana"/>
          <w:sz w:val="20"/>
          <w:szCs w:val="20"/>
        </w:rPr>
        <w:t>de</w:t>
      </w:r>
      <w:r w:rsidR="005879F4" w:rsidRPr="006B0525">
        <w:rPr>
          <w:rFonts w:ascii="Verdana" w:hAnsi="Verdana"/>
          <w:sz w:val="20"/>
          <w:szCs w:val="20"/>
        </w:rPr>
        <w:t xml:space="preserve"> </w:t>
      </w:r>
      <w:r w:rsidRPr="006B0525">
        <w:rPr>
          <w:rFonts w:ascii="Verdana" w:hAnsi="Verdana"/>
          <w:sz w:val="20"/>
          <w:szCs w:val="20"/>
        </w:rPr>
        <w:t>muerte</w:t>
      </w:r>
      <w:r w:rsidR="005879F4" w:rsidRPr="006B0525">
        <w:rPr>
          <w:rFonts w:ascii="Verdana" w:hAnsi="Verdana"/>
          <w:sz w:val="20"/>
          <w:szCs w:val="20"/>
        </w:rPr>
        <w:t xml:space="preserve"> </w:t>
      </w:r>
      <w:r w:rsidRPr="006B0525">
        <w:rPr>
          <w:rFonts w:ascii="Verdana" w:hAnsi="Verdana"/>
          <w:sz w:val="20"/>
          <w:szCs w:val="20"/>
        </w:rPr>
        <w:t>en</w:t>
      </w:r>
      <w:r w:rsidR="005879F4" w:rsidRPr="006B0525">
        <w:rPr>
          <w:rFonts w:ascii="Verdana" w:hAnsi="Verdana"/>
          <w:sz w:val="20"/>
          <w:szCs w:val="20"/>
        </w:rPr>
        <w:t xml:space="preserve"> </w:t>
      </w:r>
      <w:r w:rsidRPr="006B0525">
        <w:rPr>
          <w:rFonts w:ascii="Verdana" w:hAnsi="Verdana"/>
          <w:sz w:val="20"/>
          <w:szCs w:val="20"/>
        </w:rPr>
        <w:t>Guatemala</w:t>
      </w:r>
      <w:r w:rsidR="005879F4" w:rsidRPr="006B0525">
        <w:rPr>
          <w:rFonts w:ascii="Verdana" w:hAnsi="Verdana"/>
          <w:sz w:val="20"/>
          <w:szCs w:val="20"/>
        </w:rPr>
        <w:t xml:space="preserve"> </w:t>
      </w:r>
      <w:r w:rsidRPr="006B0525">
        <w:rPr>
          <w:rFonts w:ascii="Verdana" w:hAnsi="Verdana"/>
          <w:sz w:val="20"/>
          <w:szCs w:val="20"/>
        </w:rPr>
        <w:t>era</w:t>
      </w:r>
      <w:r w:rsidR="005879F4" w:rsidRPr="006B0525">
        <w:rPr>
          <w:rFonts w:ascii="Verdana" w:hAnsi="Verdana"/>
          <w:sz w:val="20"/>
          <w:szCs w:val="20"/>
        </w:rPr>
        <w:t xml:space="preserve"> </w:t>
      </w:r>
      <w:r w:rsidRPr="006B0525">
        <w:rPr>
          <w:rFonts w:ascii="Verdana" w:hAnsi="Verdana"/>
          <w:sz w:val="20"/>
          <w:szCs w:val="20"/>
        </w:rPr>
        <w:t>aplicada</w:t>
      </w:r>
      <w:r w:rsidR="005879F4" w:rsidRPr="006B0525">
        <w:rPr>
          <w:rFonts w:ascii="Verdana" w:hAnsi="Verdana"/>
          <w:sz w:val="20"/>
          <w:szCs w:val="20"/>
        </w:rPr>
        <w:t xml:space="preserve"> </w:t>
      </w:r>
      <w:r w:rsidRPr="006B0525">
        <w:rPr>
          <w:rFonts w:ascii="Verdana" w:hAnsi="Verdana"/>
          <w:sz w:val="20"/>
          <w:szCs w:val="20"/>
        </w:rPr>
        <w:t>ocasionalmente</w:t>
      </w:r>
      <w:r w:rsidR="005879F4" w:rsidRPr="006B0525">
        <w:rPr>
          <w:rFonts w:ascii="Verdana" w:hAnsi="Verdana"/>
          <w:sz w:val="20"/>
          <w:szCs w:val="20"/>
        </w:rPr>
        <w:t xml:space="preserve"> </w:t>
      </w:r>
      <w:r w:rsidRPr="006B0525">
        <w:rPr>
          <w:rFonts w:ascii="Verdana" w:hAnsi="Verdana"/>
          <w:sz w:val="20"/>
          <w:szCs w:val="20"/>
        </w:rPr>
        <w:t>hasta</w:t>
      </w:r>
      <w:r w:rsidR="005879F4" w:rsidRPr="006B0525">
        <w:rPr>
          <w:rFonts w:ascii="Verdana" w:hAnsi="Verdana"/>
          <w:sz w:val="20"/>
          <w:szCs w:val="20"/>
        </w:rPr>
        <w:t xml:space="preserve"> </w:t>
      </w:r>
      <w:r w:rsidRPr="006B0525">
        <w:rPr>
          <w:rFonts w:ascii="Verdana" w:hAnsi="Verdana"/>
          <w:sz w:val="20"/>
          <w:szCs w:val="20"/>
        </w:rPr>
        <w:t>la</w:t>
      </w:r>
      <w:r w:rsidR="005879F4" w:rsidRPr="006B0525">
        <w:rPr>
          <w:rFonts w:ascii="Verdana" w:hAnsi="Verdana"/>
          <w:sz w:val="20"/>
          <w:szCs w:val="20"/>
        </w:rPr>
        <w:t xml:space="preserve"> </w:t>
      </w:r>
      <w:r w:rsidRPr="006B0525">
        <w:rPr>
          <w:rFonts w:ascii="Verdana" w:hAnsi="Verdana"/>
          <w:sz w:val="20"/>
          <w:szCs w:val="20"/>
        </w:rPr>
        <w:t>década</w:t>
      </w:r>
      <w:r w:rsidR="005879F4" w:rsidRPr="006B0525">
        <w:rPr>
          <w:rFonts w:ascii="Verdana" w:hAnsi="Verdana"/>
          <w:sz w:val="20"/>
          <w:szCs w:val="20"/>
        </w:rPr>
        <w:t xml:space="preserve"> </w:t>
      </w:r>
      <w:r w:rsidRPr="006B0525">
        <w:rPr>
          <w:rFonts w:ascii="Verdana" w:hAnsi="Verdana"/>
          <w:sz w:val="20"/>
          <w:szCs w:val="20"/>
        </w:rPr>
        <w:t>de</w:t>
      </w:r>
      <w:r w:rsidR="005879F4" w:rsidRPr="006B0525">
        <w:rPr>
          <w:rFonts w:ascii="Verdana" w:hAnsi="Verdana"/>
          <w:sz w:val="20"/>
          <w:szCs w:val="20"/>
        </w:rPr>
        <w:t xml:space="preserve"> </w:t>
      </w:r>
      <w:r w:rsidRPr="006B0525">
        <w:rPr>
          <w:rFonts w:ascii="Verdana" w:hAnsi="Verdana"/>
          <w:sz w:val="20"/>
          <w:szCs w:val="20"/>
        </w:rPr>
        <w:t>los noventa. Sin</w:t>
      </w:r>
      <w:r w:rsidR="005879F4" w:rsidRPr="006B0525">
        <w:rPr>
          <w:rFonts w:ascii="Verdana" w:hAnsi="Verdana"/>
          <w:sz w:val="20"/>
          <w:szCs w:val="20"/>
        </w:rPr>
        <w:t xml:space="preserve"> </w:t>
      </w:r>
      <w:r w:rsidRPr="006B0525">
        <w:rPr>
          <w:rFonts w:ascii="Verdana" w:hAnsi="Verdana"/>
          <w:sz w:val="20"/>
          <w:szCs w:val="20"/>
        </w:rPr>
        <w:t>embargo,</w:t>
      </w:r>
      <w:r w:rsidR="005879F4" w:rsidRPr="006B0525">
        <w:rPr>
          <w:rFonts w:ascii="Verdana" w:hAnsi="Verdana"/>
          <w:sz w:val="20"/>
          <w:szCs w:val="20"/>
        </w:rPr>
        <w:t xml:space="preserve"> </w:t>
      </w:r>
      <w:r w:rsidRPr="006B0525">
        <w:rPr>
          <w:rFonts w:ascii="Verdana" w:hAnsi="Verdana"/>
          <w:sz w:val="20"/>
          <w:szCs w:val="20"/>
        </w:rPr>
        <w:t>a</w:t>
      </w:r>
      <w:r w:rsidR="005879F4" w:rsidRPr="006B0525">
        <w:rPr>
          <w:rFonts w:ascii="Verdana" w:hAnsi="Verdana"/>
          <w:sz w:val="20"/>
          <w:szCs w:val="20"/>
        </w:rPr>
        <w:t xml:space="preserve"> </w:t>
      </w:r>
      <w:r w:rsidRPr="006B0525">
        <w:rPr>
          <w:rFonts w:ascii="Verdana" w:hAnsi="Verdana"/>
          <w:sz w:val="20"/>
          <w:szCs w:val="20"/>
        </w:rPr>
        <w:t>partir del año 1996 el Estado volvió a aplicarla, primero por medio de fusilamiento, conforme al Decreto No. 234 del Congreso de la República</w:t>
      </w:r>
      <w:r w:rsidRPr="006B0525">
        <w:rPr>
          <w:rStyle w:val="Refdenotaalpie"/>
          <w:rFonts w:ascii="Verdana" w:hAnsi="Verdana"/>
          <w:sz w:val="20"/>
          <w:szCs w:val="20"/>
        </w:rPr>
        <w:footnoteReference w:id="23"/>
      </w:r>
      <w:r w:rsidRPr="006B0525">
        <w:rPr>
          <w:rFonts w:ascii="Verdana" w:hAnsi="Verdana"/>
          <w:sz w:val="20"/>
          <w:szCs w:val="20"/>
        </w:rPr>
        <w:t>, y luego a través de inyección letal, después que el Decreto No. 234 fuera derogado por el Decreto No. 100-96 de noviembre de 1996, mediante el cual se estableció este nuevo método de ejecución</w:t>
      </w:r>
      <w:r w:rsidRPr="006B0525">
        <w:rPr>
          <w:rStyle w:val="Refdenotaalpie"/>
          <w:rFonts w:ascii="Verdana" w:hAnsi="Verdana"/>
          <w:sz w:val="20"/>
          <w:szCs w:val="20"/>
        </w:rPr>
        <w:footnoteReference w:id="24"/>
      </w:r>
      <w:r w:rsidRPr="006B0525">
        <w:rPr>
          <w:rFonts w:ascii="Verdana" w:hAnsi="Verdana"/>
          <w:sz w:val="20"/>
          <w:szCs w:val="20"/>
        </w:rPr>
        <w:t>.</w:t>
      </w:r>
    </w:p>
    <w:p w14:paraId="020E7F17" w14:textId="77777777" w:rsidR="00467516" w:rsidRPr="006B0525" w:rsidRDefault="00467516" w:rsidP="00530549">
      <w:pPr>
        <w:pStyle w:val="Normal1"/>
        <w:widowControl/>
        <w:contextualSpacing/>
        <w:jc w:val="both"/>
        <w:rPr>
          <w:rFonts w:ascii="Verdana" w:hAnsi="Verdana"/>
          <w:sz w:val="20"/>
          <w:szCs w:val="20"/>
        </w:rPr>
      </w:pPr>
    </w:p>
    <w:p w14:paraId="012E3415" w14:textId="77777777" w:rsidR="001D557D" w:rsidRPr="00E27090" w:rsidRDefault="001D557D" w:rsidP="001D557D">
      <w:pPr>
        <w:pStyle w:val="Normal1"/>
        <w:widowControl/>
        <w:numPr>
          <w:ilvl w:val="0"/>
          <w:numId w:val="4"/>
        </w:numPr>
        <w:ind w:left="0" w:firstLine="0"/>
        <w:contextualSpacing/>
        <w:jc w:val="both"/>
        <w:rPr>
          <w:rFonts w:ascii="Verdana" w:eastAsia="Calibri" w:hAnsi="Verdana" w:cs="Arial"/>
          <w:bCs/>
          <w:sz w:val="20"/>
          <w:szCs w:val="20"/>
          <w:lang w:val="es-ES_tradnl"/>
        </w:rPr>
      </w:pPr>
      <w:r w:rsidRPr="00E27090">
        <w:rPr>
          <w:rFonts w:ascii="Verdana" w:hAnsi="Verdana"/>
          <w:sz w:val="20"/>
          <w:szCs w:val="20"/>
        </w:rPr>
        <w:t xml:space="preserve">El 1 de junio de 2000 el Congreso de Guatemala derogó mediante Decreto Legislativo No. 32/00 el Decreto No. 159 del año </w:t>
      </w:r>
      <w:r w:rsidRPr="00E27090">
        <w:rPr>
          <w:rFonts w:ascii="Verdana" w:hAnsi="Verdana" w:cs="Verdana"/>
          <w:sz w:val="20"/>
          <w:szCs w:val="20"/>
        </w:rPr>
        <w:t>1892</w:t>
      </w:r>
      <w:r w:rsidRPr="00E27090">
        <w:rPr>
          <w:rFonts w:ascii="Verdana" w:hAnsi="Verdana"/>
          <w:sz w:val="20"/>
          <w:szCs w:val="20"/>
          <w:vertAlign w:val="superscript"/>
          <w:lang w:val="es-VE"/>
        </w:rPr>
        <w:footnoteReference w:id="25"/>
      </w:r>
      <w:r w:rsidRPr="00E27090">
        <w:rPr>
          <w:rFonts w:ascii="Verdana" w:hAnsi="Verdana"/>
          <w:sz w:val="20"/>
          <w:szCs w:val="20"/>
        </w:rPr>
        <w:t>, el cual contemplaba la facultad del Ejecutivo para conceder indulto o conmutación de la pena y reglamentaba el procedimiento para hacer efectivo tal derecho</w:t>
      </w:r>
      <w:r w:rsidRPr="00E27090">
        <w:rPr>
          <w:rStyle w:val="Refdenotaalpie"/>
          <w:rFonts w:ascii="Verdana" w:hAnsi="Verdana"/>
          <w:sz w:val="20"/>
          <w:szCs w:val="20"/>
        </w:rPr>
        <w:footnoteReference w:id="26"/>
      </w:r>
      <w:r w:rsidRPr="00E27090">
        <w:rPr>
          <w:rFonts w:ascii="Verdana" w:hAnsi="Verdana"/>
          <w:sz w:val="20"/>
          <w:szCs w:val="20"/>
        </w:rPr>
        <w:t xml:space="preserve">. </w:t>
      </w:r>
    </w:p>
    <w:p w14:paraId="6490A8E0" w14:textId="77777777" w:rsidR="00E27090" w:rsidRDefault="00E27090" w:rsidP="00E27090">
      <w:pPr>
        <w:pStyle w:val="Normal1"/>
        <w:widowControl/>
        <w:contextualSpacing/>
        <w:jc w:val="both"/>
        <w:rPr>
          <w:rFonts w:ascii="Verdana" w:hAnsi="Verdana"/>
          <w:sz w:val="20"/>
          <w:szCs w:val="20"/>
        </w:rPr>
      </w:pPr>
    </w:p>
    <w:p w14:paraId="1CAB8066" w14:textId="77777777" w:rsidR="00467516" w:rsidRPr="006B0525" w:rsidRDefault="00467516"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El 11 de febrero de 2016 la Corte de Constitucionalidad de Guatemala declaró inconstitucional el segundo párrafo del artículo 132 del Código Penal, relativo a la peligrosidad del agente como criterio para aplicar la pena de muerte, </w:t>
      </w:r>
      <w:r w:rsidR="003E5D77" w:rsidRPr="006B0525">
        <w:rPr>
          <w:rFonts w:ascii="Verdana" w:hAnsi="Verdana"/>
          <w:sz w:val="20"/>
          <w:szCs w:val="20"/>
        </w:rPr>
        <w:t>estableciendo</w:t>
      </w:r>
      <w:r w:rsidRPr="006B0525">
        <w:rPr>
          <w:rFonts w:ascii="Verdana" w:hAnsi="Verdana"/>
          <w:sz w:val="20"/>
          <w:szCs w:val="20"/>
        </w:rPr>
        <w:t xml:space="preserve"> que dicho precepto dejaría de surtir efectos a partir del día siguiente de la publicación del fallo en el Diario de Centro América”</w:t>
      </w:r>
      <w:r w:rsidRPr="006B0525">
        <w:rPr>
          <w:rStyle w:val="Refdenotaalpie"/>
          <w:rFonts w:ascii="Verdana" w:hAnsi="Verdana"/>
          <w:sz w:val="20"/>
          <w:szCs w:val="20"/>
        </w:rPr>
        <w:footnoteReference w:id="27"/>
      </w:r>
      <w:r w:rsidRPr="006B0525">
        <w:rPr>
          <w:rFonts w:ascii="Verdana" w:hAnsi="Verdana"/>
          <w:sz w:val="20"/>
          <w:szCs w:val="20"/>
        </w:rPr>
        <w:t xml:space="preserve">. </w:t>
      </w:r>
    </w:p>
    <w:p w14:paraId="7A69866B" w14:textId="77777777" w:rsidR="00390DC3" w:rsidRPr="006B0525" w:rsidRDefault="00390DC3" w:rsidP="00530549">
      <w:pPr>
        <w:pStyle w:val="Normal1"/>
        <w:widowControl/>
        <w:contextualSpacing/>
        <w:jc w:val="both"/>
        <w:rPr>
          <w:rFonts w:ascii="Verdana" w:hAnsi="Verdana"/>
          <w:sz w:val="20"/>
          <w:szCs w:val="20"/>
        </w:rPr>
      </w:pPr>
    </w:p>
    <w:p w14:paraId="3D56AE02" w14:textId="77777777" w:rsidR="004570E5" w:rsidRPr="006B0525" w:rsidRDefault="004570E5" w:rsidP="00530549">
      <w:pPr>
        <w:pStyle w:val="Normal1"/>
        <w:widowControl/>
        <w:numPr>
          <w:ilvl w:val="0"/>
          <w:numId w:val="4"/>
        </w:numPr>
        <w:ind w:left="0" w:firstLine="0"/>
        <w:contextualSpacing/>
        <w:jc w:val="both"/>
        <w:rPr>
          <w:rFonts w:ascii="Verdana" w:hAnsi="Verdana"/>
          <w:sz w:val="20"/>
          <w:szCs w:val="20"/>
          <w:lang w:val="es-ES_tradnl"/>
        </w:rPr>
      </w:pPr>
      <w:r w:rsidRPr="006B0525">
        <w:rPr>
          <w:rFonts w:ascii="Verdana" w:hAnsi="Verdana"/>
          <w:sz w:val="20"/>
          <w:szCs w:val="20"/>
        </w:rPr>
        <w:t>Posteriormente</w:t>
      </w:r>
      <w:r w:rsidRPr="006B0525">
        <w:rPr>
          <w:rFonts w:ascii="Verdana" w:hAnsi="Verdana"/>
          <w:sz w:val="20"/>
          <w:szCs w:val="20"/>
          <w:lang w:val="es-PE"/>
        </w:rPr>
        <w:t>, en la Resolución de la Corte Interamericana de 6 de febrero de 2019 en la Supervisión de Cumplimiento de la Sentencia</w:t>
      </w:r>
      <w:r w:rsidRPr="006B0525">
        <w:rPr>
          <w:rFonts w:ascii="Verdana" w:hAnsi="Verdana"/>
          <w:i/>
          <w:sz w:val="20"/>
          <w:szCs w:val="20"/>
          <w:lang w:val="es-PE"/>
        </w:rPr>
        <w:t xml:space="preserve"> </w:t>
      </w:r>
      <w:r w:rsidRPr="006B0525">
        <w:rPr>
          <w:rFonts w:ascii="Verdana" w:hAnsi="Verdana"/>
          <w:sz w:val="20"/>
          <w:szCs w:val="20"/>
          <w:lang w:val="es-PE"/>
        </w:rPr>
        <w:t>del citado</w:t>
      </w:r>
      <w:r w:rsidRPr="006B0525">
        <w:rPr>
          <w:rFonts w:ascii="Verdana" w:hAnsi="Verdana"/>
          <w:i/>
          <w:sz w:val="20"/>
          <w:szCs w:val="20"/>
          <w:lang w:val="es-PE"/>
        </w:rPr>
        <w:t xml:space="preserve"> Caso Fermín Ramírez Vs. Guatemala, </w:t>
      </w:r>
      <w:r w:rsidRPr="006B0525">
        <w:rPr>
          <w:rFonts w:ascii="Verdana" w:hAnsi="Verdana"/>
          <w:sz w:val="20"/>
          <w:szCs w:val="20"/>
          <w:lang w:val="es-ES_tradnl"/>
        </w:rPr>
        <w:t>este Tribunal, refiriéndose a</w:t>
      </w:r>
      <w:r w:rsidRPr="006B0525">
        <w:rPr>
          <w:rFonts w:ascii="Verdana" w:hAnsi="Verdana"/>
          <w:sz w:val="20"/>
          <w:szCs w:val="20"/>
        </w:rPr>
        <w:t xml:space="preserve"> la sentencia de la Corte de Constitucionalidad de 11 de febrero de 2016 señaló que:</w:t>
      </w:r>
    </w:p>
    <w:p w14:paraId="415E555F" w14:textId="77777777" w:rsidR="00DA4BDA" w:rsidRPr="006B0525" w:rsidRDefault="001B62C9" w:rsidP="001B62C9">
      <w:pPr>
        <w:pStyle w:val="Prrafodelista"/>
        <w:tabs>
          <w:tab w:val="left" w:pos="1860"/>
        </w:tabs>
        <w:spacing w:line="240" w:lineRule="auto"/>
        <w:ind w:left="706"/>
        <w:rPr>
          <w:lang w:val="es-ES_tradnl"/>
        </w:rPr>
      </w:pPr>
      <w:r w:rsidRPr="006B0525">
        <w:rPr>
          <w:lang w:val="es-ES_tradnl"/>
        </w:rPr>
        <w:tab/>
      </w:r>
    </w:p>
    <w:p w14:paraId="5AFE04C3" w14:textId="77777777" w:rsidR="00390DC3" w:rsidRPr="006B0525" w:rsidRDefault="004570E5" w:rsidP="001B62C9">
      <w:pPr>
        <w:pStyle w:val="Prrafodelista"/>
        <w:spacing w:line="240" w:lineRule="auto"/>
        <w:ind w:left="706" w:right="720"/>
        <w:rPr>
          <w:sz w:val="18"/>
          <w:szCs w:val="18"/>
          <w:lang w:val="es-ES_tradnl"/>
        </w:rPr>
      </w:pPr>
      <w:r w:rsidRPr="006B0525">
        <w:rPr>
          <w:sz w:val="18"/>
          <w:szCs w:val="18"/>
          <w:lang w:val="es-ES_tradnl"/>
        </w:rPr>
        <w:t xml:space="preserve">“[P]areciera que dicha sentencia de la Corte de Constitucionalidad declaró la inconstitucionalidad de la única frase del artículo 132 del Código Penal que preveía la posibilidad de aplicar la pena de muerte por el delito de asesinato. No se desprende con claridad de la referida sentencia que </w:t>
      </w:r>
      <w:r w:rsidRPr="006B0525">
        <w:rPr>
          <w:sz w:val="18"/>
          <w:szCs w:val="18"/>
          <w:lang w:val="es-ES_tradnl"/>
        </w:rPr>
        <w:lastRenderedPageBreak/>
        <w:t xml:space="preserve">haya eliminado del todo la posibilidad de aplicar la pena de muerte en Guatemala por el delito de asesinato, o si solo se limitaba a eliminar lo concerniente a la posibilidad de aplicarla con base en la peligrosidad del agente. No obstante, del alegato de </w:t>
      </w:r>
      <w:r w:rsidR="004D2A8A" w:rsidRPr="006B0525">
        <w:rPr>
          <w:sz w:val="18"/>
          <w:szCs w:val="18"/>
          <w:lang w:val="es-ES_tradnl"/>
        </w:rPr>
        <w:t>las representantes</w:t>
      </w:r>
      <w:r w:rsidRPr="006B0525">
        <w:rPr>
          <w:sz w:val="18"/>
          <w:szCs w:val="18"/>
          <w:lang w:val="es-ES_tradnl"/>
        </w:rPr>
        <w:t xml:space="preserve"> respecto a que existe un nuevo proyecto legislativo para volver a aplicar la pena de muerte eliminando la frase del tipo penal […], pareciera que se eliminó del ordenamiento jurídico la posibilidad de aplicar la pena de muerte por dicho delito. </w:t>
      </w:r>
      <w:r w:rsidRPr="006B0525">
        <w:rPr>
          <w:sz w:val="18"/>
          <w:szCs w:val="18"/>
        </w:rPr>
        <w:t xml:space="preserve">En ese sentido, en el supuesto de que conforme al ordenamiento jurídico guatemalteco se entienda derogada la pena de muerte para el delito de asesinato, la Corte estima necesario recordar que el artículo 4 de la Convención Americana recoge un </w:t>
      </w:r>
      <w:r w:rsidR="00D600E6">
        <w:rPr>
          <w:rFonts w:cs="Verdana"/>
          <w:sz w:val="18"/>
          <w:szCs w:val="18"/>
        </w:rPr>
        <w:t>‘</w:t>
      </w:r>
      <w:r w:rsidRPr="006B0525">
        <w:rPr>
          <w:rFonts w:cs="Verdana"/>
          <w:sz w:val="18"/>
          <w:szCs w:val="18"/>
        </w:rPr>
        <w:t>proceso progresivo e i</w:t>
      </w:r>
      <w:r w:rsidR="00D600E6">
        <w:rPr>
          <w:rFonts w:cs="Verdana"/>
          <w:sz w:val="18"/>
          <w:szCs w:val="18"/>
        </w:rPr>
        <w:t>rreversible’ que ‘</w:t>
      </w:r>
      <w:r w:rsidRPr="006B0525">
        <w:rPr>
          <w:rFonts w:cs="Verdana"/>
          <w:sz w:val="18"/>
          <w:szCs w:val="18"/>
        </w:rPr>
        <w:t>prohíbe de modo absoluto el restablecimiento de la pena capital para todo tipo de delito, de tal manera que la decisión de un Estado Parte en la Convención, cualquiera sea el tiempo en que la haya adoptado, en el sentido de abolir la pena de muerte se convierte, ipso jure, en una reso</w:t>
      </w:r>
      <w:r w:rsidR="00D600E6">
        <w:rPr>
          <w:rFonts w:cs="Verdana"/>
          <w:sz w:val="18"/>
          <w:szCs w:val="18"/>
        </w:rPr>
        <w:t>lución definitiva e irrevocable’. La Convención ‘</w:t>
      </w:r>
      <w:r w:rsidRPr="006B0525">
        <w:rPr>
          <w:rFonts w:cs="Verdana"/>
          <w:sz w:val="18"/>
          <w:szCs w:val="18"/>
        </w:rPr>
        <w:t>expresa una clara nota de progresividad, consistente en que, sin llegar a decidir la abolición de la pena de muerte, adopta las disposiciones requeridas para limitar definitivamente su aplicación y su ámbito, de modo que éste se vaya redu</w:t>
      </w:r>
      <w:r w:rsidR="00D600E6">
        <w:rPr>
          <w:rFonts w:cs="Verdana"/>
          <w:sz w:val="18"/>
          <w:szCs w:val="18"/>
        </w:rPr>
        <w:t>ciendo hasta su supresión final’</w:t>
      </w:r>
      <w:r w:rsidRPr="006B0525">
        <w:rPr>
          <w:rFonts w:cs="Verdana"/>
          <w:sz w:val="18"/>
          <w:szCs w:val="18"/>
        </w:rPr>
        <w:t>.</w:t>
      </w:r>
      <w:r w:rsidRPr="006B0525">
        <w:rPr>
          <w:sz w:val="18"/>
          <w:szCs w:val="18"/>
          <w:lang w:val="es-ES_tradnl"/>
        </w:rPr>
        <w:t xml:space="preserve"> De esa forma, si la pena de muerte fue eliminada del ordenamiento jurídico para el delito de asesinato, la misma no podría ser reinstaurada para ese delito</w:t>
      </w:r>
      <w:r w:rsidR="00390DC3" w:rsidRPr="006B0525">
        <w:rPr>
          <w:sz w:val="18"/>
          <w:szCs w:val="18"/>
          <w:lang w:val="es-ES_tradnl"/>
        </w:rPr>
        <w:t>”</w:t>
      </w:r>
      <w:r w:rsidRPr="006B0525">
        <w:rPr>
          <w:rStyle w:val="Textoennegrita"/>
          <w:b w:val="0"/>
          <w:sz w:val="18"/>
          <w:szCs w:val="18"/>
          <w:vertAlign w:val="superscript"/>
          <w:lang w:val="es-MX"/>
        </w:rPr>
        <w:footnoteReference w:id="28"/>
      </w:r>
      <w:r w:rsidRPr="006B0525">
        <w:rPr>
          <w:sz w:val="18"/>
          <w:szCs w:val="18"/>
          <w:lang w:val="es-ES_tradnl"/>
        </w:rPr>
        <w:t xml:space="preserve">. </w:t>
      </w:r>
    </w:p>
    <w:p w14:paraId="5E099237" w14:textId="77777777" w:rsidR="003E5D77" w:rsidRPr="006B0525" w:rsidRDefault="003E5D77" w:rsidP="00530549">
      <w:pPr>
        <w:pStyle w:val="Prrafodelista"/>
        <w:spacing w:line="240" w:lineRule="auto"/>
        <w:ind w:left="706"/>
        <w:rPr>
          <w:lang w:val="es-ES_tradnl"/>
        </w:rPr>
      </w:pPr>
    </w:p>
    <w:p w14:paraId="303B3EF8" w14:textId="77777777" w:rsidR="00390DC3" w:rsidRPr="006B0525" w:rsidRDefault="00390DC3"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cs="Arial"/>
          <w:sz w:val="20"/>
          <w:szCs w:val="20"/>
        </w:rPr>
        <w:t>Además, en dicha Resolución de la Corte, este Tribunal constató que a la fecha de la resolución “no ha[</w:t>
      </w:r>
      <w:proofErr w:type="spellStart"/>
      <w:r w:rsidRPr="006B0525">
        <w:rPr>
          <w:rFonts w:ascii="Verdana" w:hAnsi="Verdana" w:cs="Arial"/>
          <w:sz w:val="20"/>
          <w:szCs w:val="20"/>
        </w:rPr>
        <w:t>bía</w:t>
      </w:r>
      <w:proofErr w:type="spellEnd"/>
      <w:r w:rsidRPr="006B0525">
        <w:rPr>
          <w:rFonts w:ascii="Verdana" w:hAnsi="Verdana" w:cs="Arial"/>
          <w:sz w:val="20"/>
          <w:szCs w:val="20"/>
        </w:rPr>
        <w:t>]</w:t>
      </w:r>
      <w:r w:rsidR="002F5A43">
        <w:rPr>
          <w:rFonts w:ascii="Verdana" w:hAnsi="Verdana" w:cs="Arial"/>
          <w:sz w:val="20"/>
          <w:szCs w:val="20"/>
        </w:rPr>
        <w:t xml:space="preserve"> </w:t>
      </w:r>
      <w:r w:rsidRPr="006B0525">
        <w:rPr>
          <w:rFonts w:ascii="Verdana" w:hAnsi="Verdana" w:cs="Arial"/>
          <w:sz w:val="20"/>
          <w:szCs w:val="20"/>
        </w:rPr>
        <w:t>personas condenadas a la pena de muerte [en Guatemala], y que la misma no se ha aplicado desde el año 2002</w:t>
      </w:r>
      <w:r w:rsidR="0014109D" w:rsidRPr="006B0525">
        <w:rPr>
          <w:rFonts w:ascii="Verdana" w:hAnsi="Verdana" w:cs="Arial"/>
          <w:sz w:val="20"/>
          <w:szCs w:val="20"/>
        </w:rPr>
        <w:t xml:space="preserve"> </w:t>
      </w:r>
      <w:r w:rsidRPr="006B0525">
        <w:rPr>
          <w:rFonts w:ascii="Verdana" w:hAnsi="Verdana" w:cs="Arial"/>
          <w:sz w:val="20"/>
          <w:szCs w:val="20"/>
        </w:rPr>
        <w:t>[...] [, y ha]</w:t>
      </w:r>
      <w:r w:rsidR="0014109D" w:rsidRPr="006B0525">
        <w:rPr>
          <w:rFonts w:ascii="Verdana" w:hAnsi="Verdana" w:cs="Arial"/>
          <w:sz w:val="20"/>
          <w:szCs w:val="20"/>
        </w:rPr>
        <w:t xml:space="preserve"> </w:t>
      </w:r>
      <w:r w:rsidRPr="006B0525">
        <w:rPr>
          <w:rFonts w:ascii="Verdana" w:hAnsi="Verdana" w:cs="Arial"/>
          <w:sz w:val="20"/>
          <w:szCs w:val="20"/>
        </w:rPr>
        <w:t>toma[do]</w:t>
      </w:r>
      <w:r w:rsidR="0014109D" w:rsidRPr="006B0525">
        <w:rPr>
          <w:rFonts w:ascii="Verdana" w:hAnsi="Verdana" w:cs="Arial"/>
          <w:sz w:val="20"/>
          <w:szCs w:val="20"/>
        </w:rPr>
        <w:t xml:space="preserve"> </w:t>
      </w:r>
      <w:r w:rsidRPr="006B0525">
        <w:rPr>
          <w:rFonts w:ascii="Verdana" w:hAnsi="Verdana" w:cs="Arial"/>
          <w:sz w:val="20"/>
          <w:szCs w:val="20"/>
        </w:rPr>
        <w:t>nota[...]</w:t>
      </w:r>
      <w:r w:rsidR="0014109D" w:rsidRPr="006B0525">
        <w:rPr>
          <w:rFonts w:ascii="Verdana" w:hAnsi="Verdana" w:cs="Arial"/>
          <w:sz w:val="20"/>
          <w:szCs w:val="20"/>
        </w:rPr>
        <w:t xml:space="preserve"> </w:t>
      </w:r>
      <w:r w:rsidRPr="006B0525">
        <w:rPr>
          <w:rFonts w:ascii="Verdana" w:hAnsi="Verdana" w:cs="Arial"/>
          <w:sz w:val="20"/>
          <w:szCs w:val="20"/>
        </w:rPr>
        <w:t>[de la]</w:t>
      </w:r>
      <w:r w:rsidR="0014109D" w:rsidRPr="006B0525">
        <w:rPr>
          <w:rFonts w:ascii="Verdana" w:hAnsi="Verdana" w:cs="Arial"/>
          <w:sz w:val="20"/>
          <w:szCs w:val="20"/>
        </w:rPr>
        <w:t xml:space="preserve"> </w:t>
      </w:r>
      <w:r w:rsidRPr="006B0525">
        <w:rPr>
          <w:rFonts w:ascii="Verdana" w:hAnsi="Verdana" w:cs="Arial"/>
          <w:sz w:val="20"/>
          <w:szCs w:val="20"/>
        </w:rPr>
        <w:t>suspensión general a la aplicación de dicha pena, vinculada con el cumplimiento de la medida de reparación [dictada en la Sentencia de dicho caso]</w:t>
      </w:r>
      <w:r w:rsidR="0014109D" w:rsidRPr="006B0525">
        <w:rPr>
          <w:rFonts w:ascii="Verdana" w:hAnsi="Verdana" w:cs="Arial"/>
          <w:sz w:val="20"/>
          <w:szCs w:val="20"/>
        </w:rPr>
        <w:t xml:space="preserve"> </w:t>
      </w:r>
      <w:r w:rsidRPr="006B0525">
        <w:rPr>
          <w:rFonts w:ascii="Verdana" w:hAnsi="Verdana" w:cs="Arial"/>
          <w:sz w:val="20"/>
          <w:szCs w:val="20"/>
        </w:rPr>
        <w:t>relacionada al deber de regular el indulto en [su]</w:t>
      </w:r>
      <w:r w:rsidR="0014109D" w:rsidRPr="006B0525">
        <w:rPr>
          <w:rFonts w:ascii="Verdana" w:hAnsi="Verdana" w:cs="Arial"/>
          <w:sz w:val="20"/>
          <w:szCs w:val="20"/>
        </w:rPr>
        <w:t xml:space="preserve"> </w:t>
      </w:r>
      <w:r w:rsidRPr="006B0525">
        <w:rPr>
          <w:rFonts w:ascii="Verdana" w:hAnsi="Verdana" w:cs="Arial"/>
          <w:sz w:val="20"/>
          <w:szCs w:val="20"/>
        </w:rPr>
        <w:t>jurisdicción”</w:t>
      </w:r>
      <w:r w:rsidRPr="006B0525">
        <w:rPr>
          <w:rStyle w:val="Refdenotaalpie"/>
          <w:rFonts w:ascii="Verdana" w:eastAsiaTheme="majorEastAsia" w:hAnsi="Verdana" w:cs="Arial"/>
          <w:sz w:val="20"/>
          <w:szCs w:val="20"/>
        </w:rPr>
        <w:footnoteReference w:id="29"/>
      </w:r>
      <w:r w:rsidRPr="006B0525">
        <w:rPr>
          <w:rFonts w:ascii="Verdana" w:hAnsi="Verdana" w:cs="Arial"/>
          <w:sz w:val="20"/>
          <w:szCs w:val="20"/>
        </w:rPr>
        <w:t>.</w:t>
      </w:r>
    </w:p>
    <w:p w14:paraId="6BEB74A7" w14:textId="77777777" w:rsidR="00467516" w:rsidRPr="006B0525" w:rsidRDefault="00467516" w:rsidP="00530549">
      <w:pPr>
        <w:pStyle w:val="Ttulo2"/>
      </w:pPr>
      <w:bookmarkStart w:id="45" w:name="_Toc26177802"/>
      <w:r w:rsidRPr="006B0525">
        <w:t>B.</w:t>
      </w:r>
      <w:r w:rsidRPr="006B0525">
        <w:tab/>
        <w:t>El proceso penal seguido contra los señores Miguel Ángel Rodríguez Revolorio, Miguel Ángel López Calo y Aníbal Archila Pérez</w:t>
      </w:r>
      <w:bookmarkEnd w:id="45"/>
    </w:p>
    <w:p w14:paraId="42E70C3A" w14:textId="77777777" w:rsidR="00467516" w:rsidRPr="006B0525" w:rsidRDefault="00467516" w:rsidP="00530549">
      <w:pPr>
        <w:pStyle w:val="Ttulo3"/>
        <w:rPr>
          <w:b/>
        </w:rPr>
      </w:pPr>
      <w:r w:rsidRPr="006B0525">
        <w:tab/>
      </w:r>
      <w:bookmarkStart w:id="46" w:name="_Toc26177803"/>
      <w:r w:rsidRPr="006B0525">
        <w:t>b.1 Investigación, acusación, juicio y sentencia condenatoria</w:t>
      </w:r>
      <w:bookmarkEnd w:id="46"/>
    </w:p>
    <w:p w14:paraId="34CCD3BB" w14:textId="77777777" w:rsidR="00467516" w:rsidRPr="006B0525" w:rsidRDefault="00467516"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Los señores Rodríguez Revolorio, López Calo y Archila Pérez fueron detenidos el 11 de febrero de 1995 y puestos a disposición de la autoridad judicial, acusados de cometer un delito de asesinato y otro en grado de tentativa</w:t>
      </w:r>
      <w:r w:rsidRPr="006B0525">
        <w:rPr>
          <w:rStyle w:val="Refdenotaalpie"/>
          <w:rFonts w:ascii="Verdana" w:hAnsi="Verdana"/>
          <w:sz w:val="20"/>
          <w:szCs w:val="20"/>
        </w:rPr>
        <w:footnoteReference w:id="30"/>
      </w:r>
      <w:r w:rsidRPr="006B0525">
        <w:rPr>
          <w:rFonts w:ascii="Verdana" w:hAnsi="Verdana"/>
          <w:sz w:val="20"/>
          <w:szCs w:val="20"/>
        </w:rPr>
        <w:t xml:space="preserve">. </w:t>
      </w:r>
    </w:p>
    <w:p w14:paraId="30E36B6D" w14:textId="77777777" w:rsidR="00467516" w:rsidRPr="006B0525" w:rsidRDefault="00467516" w:rsidP="00530549">
      <w:pPr>
        <w:pStyle w:val="Normal1"/>
        <w:widowControl/>
        <w:contextualSpacing/>
        <w:jc w:val="both"/>
        <w:rPr>
          <w:rFonts w:ascii="Verdana" w:hAnsi="Verdana"/>
          <w:sz w:val="20"/>
          <w:szCs w:val="20"/>
        </w:rPr>
      </w:pPr>
    </w:p>
    <w:p w14:paraId="1F9CFACF" w14:textId="77777777" w:rsidR="00E27090" w:rsidRDefault="00467516" w:rsidP="006A708F">
      <w:pPr>
        <w:pStyle w:val="Normal1"/>
        <w:widowControl/>
        <w:numPr>
          <w:ilvl w:val="0"/>
          <w:numId w:val="4"/>
        </w:numPr>
        <w:ind w:left="0" w:firstLine="0"/>
        <w:contextualSpacing/>
        <w:jc w:val="both"/>
        <w:rPr>
          <w:rFonts w:ascii="Verdana" w:hAnsi="Verdana"/>
          <w:sz w:val="20"/>
          <w:szCs w:val="20"/>
        </w:rPr>
      </w:pPr>
      <w:r w:rsidRPr="00E27090">
        <w:rPr>
          <w:rFonts w:ascii="Verdana" w:hAnsi="Verdana"/>
          <w:sz w:val="20"/>
          <w:szCs w:val="20"/>
        </w:rPr>
        <w:t>La etapa de investigación</w:t>
      </w:r>
      <w:r w:rsidRPr="00E27090">
        <w:rPr>
          <w:rFonts w:ascii="Verdana" w:hAnsi="Verdana"/>
          <w:spacing w:val="15"/>
          <w:sz w:val="20"/>
          <w:szCs w:val="20"/>
        </w:rPr>
        <w:t xml:space="preserve"> </w:t>
      </w:r>
      <w:r w:rsidRPr="00E27090">
        <w:rPr>
          <w:rFonts w:ascii="Verdana" w:hAnsi="Verdana"/>
          <w:sz w:val="20"/>
          <w:szCs w:val="20"/>
        </w:rPr>
        <w:t>del</w:t>
      </w:r>
      <w:r w:rsidRPr="00E27090">
        <w:rPr>
          <w:rFonts w:ascii="Verdana" w:hAnsi="Verdana"/>
          <w:spacing w:val="7"/>
          <w:sz w:val="20"/>
          <w:szCs w:val="20"/>
        </w:rPr>
        <w:t xml:space="preserve"> </w:t>
      </w:r>
      <w:r w:rsidRPr="00E27090">
        <w:rPr>
          <w:rFonts w:ascii="Verdana" w:hAnsi="Verdana"/>
          <w:sz w:val="20"/>
          <w:szCs w:val="20"/>
        </w:rPr>
        <w:t>caso</w:t>
      </w:r>
      <w:r w:rsidRPr="00E27090">
        <w:rPr>
          <w:rFonts w:ascii="Verdana" w:hAnsi="Verdana"/>
          <w:spacing w:val="6"/>
          <w:sz w:val="20"/>
          <w:szCs w:val="20"/>
        </w:rPr>
        <w:t xml:space="preserve"> </w:t>
      </w:r>
      <w:r w:rsidRPr="00E27090">
        <w:rPr>
          <w:rFonts w:ascii="Verdana" w:hAnsi="Verdana"/>
          <w:sz w:val="20"/>
          <w:szCs w:val="20"/>
        </w:rPr>
        <w:t>estuvo a cargo del</w:t>
      </w:r>
      <w:r w:rsidRPr="00E27090">
        <w:rPr>
          <w:rFonts w:ascii="Verdana" w:hAnsi="Verdana"/>
          <w:spacing w:val="-6"/>
          <w:sz w:val="20"/>
          <w:szCs w:val="20"/>
        </w:rPr>
        <w:t xml:space="preserve"> </w:t>
      </w:r>
      <w:r w:rsidRPr="00E27090">
        <w:rPr>
          <w:rFonts w:ascii="Verdana" w:hAnsi="Verdana"/>
          <w:sz w:val="20"/>
          <w:szCs w:val="20"/>
        </w:rPr>
        <w:t>Ju</w:t>
      </w:r>
      <w:r w:rsidRPr="00E27090">
        <w:rPr>
          <w:rFonts w:ascii="Verdana" w:hAnsi="Verdana"/>
          <w:spacing w:val="-4"/>
          <w:sz w:val="20"/>
          <w:szCs w:val="20"/>
        </w:rPr>
        <w:t>e</w:t>
      </w:r>
      <w:r w:rsidRPr="00E27090">
        <w:rPr>
          <w:rFonts w:ascii="Verdana" w:hAnsi="Verdana"/>
          <w:sz w:val="20"/>
          <w:szCs w:val="20"/>
        </w:rPr>
        <w:t>z</w:t>
      </w:r>
      <w:r w:rsidRPr="00E27090">
        <w:rPr>
          <w:rFonts w:ascii="Verdana" w:hAnsi="Verdana"/>
          <w:spacing w:val="7"/>
          <w:sz w:val="20"/>
          <w:szCs w:val="20"/>
        </w:rPr>
        <w:t xml:space="preserve"> </w:t>
      </w:r>
      <w:r w:rsidR="00A52E73" w:rsidRPr="00E27090">
        <w:rPr>
          <w:rFonts w:ascii="Verdana" w:hAnsi="Verdana"/>
          <w:spacing w:val="7"/>
          <w:sz w:val="20"/>
          <w:szCs w:val="20"/>
        </w:rPr>
        <w:t>H.S.H.</w:t>
      </w:r>
      <w:r w:rsidRPr="006B0525">
        <w:rPr>
          <w:rStyle w:val="Refdenotaalpie"/>
          <w:rFonts w:ascii="Verdana" w:hAnsi="Verdana"/>
          <w:sz w:val="20"/>
          <w:szCs w:val="20"/>
        </w:rPr>
        <w:footnoteReference w:id="31"/>
      </w:r>
      <w:r w:rsidRPr="00E27090">
        <w:rPr>
          <w:rFonts w:ascii="Verdana" w:hAnsi="Verdana"/>
          <w:sz w:val="20"/>
          <w:szCs w:val="20"/>
        </w:rPr>
        <w:t>. El 10 de marzo de 1995 el Ministerio Público formuló acusación en contra ellos por el delito de asesinato e intento de asesinato contenido en el artículo 132 del Código Penal</w:t>
      </w:r>
      <w:r w:rsidRPr="006B0525">
        <w:rPr>
          <w:rStyle w:val="Refdenotaalpie"/>
          <w:rFonts w:ascii="Verdana" w:hAnsi="Verdana"/>
          <w:sz w:val="20"/>
          <w:szCs w:val="20"/>
        </w:rPr>
        <w:footnoteReference w:id="32"/>
      </w:r>
      <w:r w:rsidRPr="00E27090">
        <w:rPr>
          <w:rFonts w:ascii="Verdana" w:hAnsi="Verdana"/>
          <w:sz w:val="20"/>
          <w:szCs w:val="20"/>
        </w:rPr>
        <w:t xml:space="preserve">. </w:t>
      </w:r>
    </w:p>
    <w:p w14:paraId="644E923E" w14:textId="77777777" w:rsidR="00E27090" w:rsidRDefault="00E27090" w:rsidP="00E27090">
      <w:pPr>
        <w:pStyle w:val="Normal1"/>
        <w:widowControl/>
        <w:contextualSpacing/>
        <w:jc w:val="both"/>
        <w:rPr>
          <w:rFonts w:ascii="Verdana" w:hAnsi="Verdana"/>
          <w:sz w:val="20"/>
          <w:szCs w:val="20"/>
        </w:rPr>
      </w:pPr>
    </w:p>
    <w:p w14:paraId="354D3375" w14:textId="77777777" w:rsidR="00467516" w:rsidRPr="00E27090" w:rsidRDefault="00655DF6" w:rsidP="006A708F">
      <w:pPr>
        <w:pStyle w:val="Normal1"/>
        <w:widowControl/>
        <w:numPr>
          <w:ilvl w:val="0"/>
          <w:numId w:val="4"/>
        </w:numPr>
        <w:ind w:left="0" w:firstLine="0"/>
        <w:contextualSpacing/>
        <w:jc w:val="both"/>
        <w:rPr>
          <w:rFonts w:ascii="Verdana" w:hAnsi="Verdana"/>
          <w:sz w:val="20"/>
          <w:szCs w:val="20"/>
        </w:rPr>
      </w:pPr>
      <w:r w:rsidRPr="00E27090">
        <w:rPr>
          <w:rFonts w:ascii="Verdana" w:hAnsi="Verdana"/>
          <w:sz w:val="20"/>
          <w:szCs w:val="20"/>
        </w:rPr>
        <w:t>E</w:t>
      </w:r>
      <w:r w:rsidR="00467516" w:rsidRPr="00E27090">
        <w:rPr>
          <w:rFonts w:ascii="Verdana" w:hAnsi="Verdana"/>
          <w:sz w:val="20"/>
          <w:szCs w:val="20"/>
        </w:rPr>
        <w:t>l procedimiento</w:t>
      </w:r>
      <w:r w:rsidRPr="00E27090">
        <w:rPr>
          <w:rFonts w:ascii="Verdana" w:hAnsi="Verdana"/>
          <w:sz w:val="20"/>
          <w:szCs w:val="20"/>
        </w:rPr>
        <w:t xml:space="preserve"> penal </w:t>
      </w:r>
      <w:r w:rsidR="00467516" w:rsidRPr="00E27090">
        <w:rPr>
          <w:rFonts w:ascii="Verdana" w:hAnsi="Verdana"/>
          <w:sz w:val="20"/>
          <w:szCs w:val="20"/>
        </w:rPr>
        <w:t xml:space="preserve">se tramitó ante el Tribunal Cuarto de Sentencia Penal Narcoactividad y Delitos contra el Ambiente (en adelante, “Tribunal de Sentencia Penal”), integrado por el señor </w:t>
      </w:r>
      <w:r w:rsidR="00A52E73" w:rsidRPr="00E27090">
        <w:rPr>
          <w:rFonts w:ascii="Verdana" w:hAnsi="Verdana"/>
          <w:sz w:val="20"/>
          <w:szCs w:val="20"/>
        </w:rPr>
        <w:t>H.S.H.</w:t>
      </w:r>
      <w:r w:rsidR="00467516" w:rsidRPr="00E27090">
        <w:rPr>
          <w:rFonts w:ascii="Verdana" w:hAnsi="Verdana"/>
          <w:sz w:val="20"/>
          <w:szCs w:val="20"/>
        </w:rPr>
        <w:t xml:space="preserve">, Juez </w:t>
      </w:r>
      <w:proofErr w:type="gramStart"/>
      <w:r w:rsidR="00467516" w:rsidRPr="00E27090">
        <w:rPr>
          <w:rFonts w:ascii="Verdana" w:hAnsi="Verdana"/>
          <w:sz w:val="20"/>
          <w:szCs w:val="20"/>
        </w:rPr>
        <w:t>Presidente</w:t>
      </w:r>
      <w:proofErr w:type="gramEnd"/>
      <w:r w:rsidR="00E27090">
        <w:rPr>
          <w:rFonts w:ascii="Verdana" w:hAnsi="Verdana"/>
          <w:sz w:val="20"/>
          <w:szCs w:val="20"/>
        </w:rPr>
        <w:t xml:space="preserve"> (quien además había estado a cargo de la etapa de investigación del caso)</w:t>
      </w:r>
      <w:r w:rsidR="00467516" w:rsidRPr="00E27090">
        <w:rPr>
          <w:rFonts w:ascii="Verdana" w:hAnsi="Verdana"/>
          <w:sz w:val="20"/>
          <w:szCs w:val="20"/>
        </w:rPr>
        <w:t xml:space="preserve">, la señora </w:t>
      </w:r>
      <w:r w:rsidR="00A52E73" w:rsidRPr="00E27090">
        <w:rPr>
          <w:rFonts w:ascii="Verdana" w:hAnsi="Verdana"/>
          <w:sz w:val="20"/>
          <w:szCs w:val="20"/>
        </w:rPr>
        <w:t>T.F.A.</w:t>
      </w:r>
      <w:r w:rsidR="00467516" w:rsidRPr="00E27090">
        <w:rPr>
          <w:rFonts w:ascii="Verdana" w:hAnsi="Verdana"/>
          <w:sz w:val="20"/>
          <w:szCs w:val="20"/>
        </w:rPr>
        <w:t>, Juez Vocal</w:t>
      </w:r>
      <w:r w:rsidR="00A52E73" w:rsidRPr="00E27090">
        <w:rPr>
          <w:rFonts w:ascii="Verdana" w:hAnsi="Verdana"/>
          <w:sz w:val="20"/>
          <w:szCs w:val="20"/>
        </w:rPr>
        <w:t>,</w:t>
      </w:r>
      <w:r w:rsidR="00467516" w:rsidRPr="00E27090">
        <w:rPr>
          <w:rFonts w:ascii="Verdana" w:hAnsi="Verdana"/>
          <w:sz w:val="20"/>
          <w:szCs w:val="20"/>
        </w:rPr>
        <w:t xml:space="preserve"> y </w:t>
      </w:r>
      <w:r w:rsidR="00A52E73" w:rsidRPr="00E27090">
        <w:rPr>
          <w:rFonts w:ascii="Verdana" w:hAnsi="Verdana"/>
          <w:sz w:val="20"/>
          <w:szCs w:val="20"/>
        </w:rPr>
        <w:t xml:space="preserve">A.R.R.R., </w:t>
      </w:r>
      <w:r w:rsidR="00467516" w:rsidRPr="00E27090">
        <w:rPr>
          <w:rFonts w:ascii="Verdana" w:hAnsi="Verdana"/>
          <w:sz w:val="20"/>
          <w:szCs w:val="20"/>
        </w:rPr>
        <w:t>Juez Vocal</w:t>
      </w:r>
      <w:r w:rsidR="00467516" w:rsidRPr="006B0525">
        <w:rPr>
          <w:rStyle w:val="Refdenotaalpie"/>
          <w:rFonts w:ascii="Verdana" w:hAnsi="Verdana"/>
          <w:sz w:val="20"/>
          <w:szCs w:val="20"/>
        </w:rPr>
        <w:footnoteReference w:id="33"/>
      </w:r>
      <w:r w:rsidR="00467516" w:rsidRPr="00E27090">
        <w:rPr>
          <w:rFonts w:ascii="Verdana" w:hAnsi="Verdana"/>
          <w:sz w:val="20"/>
          <w:szCs w:val="20"/>
        </w:rPr>
        <w:t>.</w:t>
      </w:r>
      <w:r w:rsidRPr="00E27090">
        <w:rPr>
          <w:rFonts w:ascii="Verdana" w:hAnsi="Verdana"/>
          <w:sz w:val="20"/>
          <w:szCs w:val="20"/>
        </w:rPr>
        <w:t xml:space="preserve"> E</w:t>
      </w:r>
      <w:r w:rsidR="00467516" w:rsidRPr="00E27090">
        <w:rPr>
          <w:rFonts w:ascii="Verdana" w:hAnsi="Verdana"/>
          <w:sz w:val="20"/>
          <w:szCs w:val="20"/>
        </w:rPr>
        <w:t xml:space="preserve">n el marco </w:t>
      </w:r>
      <w:r w:rsidRPr="00E27090">
        <w:rPr>
          <w:rFonts w:ascii="Verdana" w:hAnsi="Verdana"/>
          <w:sz w:val="20"/>
          <w:szCs w:val="20"/>
        </w:rPr>
        <w:t>de dicho procedimiento</w:t>
      </w:r>
      <w:r w:rsidR="00467516" w:rsidRPr="00E27090">
        <w:rPr>
          <w:rFonts w:ascii="Verdana" w:hAnsi="Verdana"/>
          <w:sz w:val="20"/>
          <w:szCs w:val="20"/>
        </w:rPr>
        <w:t xml:space="preserve"> las presuntas víctimas interpusieron un</w:t>
      </w:r>
      <w:r w:rsidR="005879F4" w:rsidRPr="00E27090">
        <w:rPr>
          <w:rFonts w:ascii="Verdana" w:hAnsi="Verdana"/>
          <w:sz w:val="20"/>
          <w:szCs w:val="20"/>
        </w:rPr>
        <w:t xml:space="preserve"> </w:t>
      </w:r>
      <w:r w:rsidR="00467516" w:rsidRPr="00E27090">
        <w:rPr>
          <w:rFonts w:ascii="Verdana" w:hAnsi="Verdana"/>
          <w:sz w:val="20"/>
          <w:szCs w:val="20"/>
        </w:rPr>
        <w:t>incidente</w:t>
      </w:r>
      <w:r w:rsidR="005879F4" w:rsidRPr="00E27090">
        <w:rPr>
          <w:rFonts w:ascii="Verdana" w:hAnsi="Verdana"/>
          <w:sz w:val="20"/>
          <w:szCs w:val="20"/>
        </w:rPr>
        <w:t xml:space="preserve"> </w:t>
      </w:r>
      <w:r w:rsidR="00467516" w:rsidRPr="00E27090">
        <w:rPr>
          <w:rFonts w:ascii="Verdana" w:hAnsi="Verdana"/>
          <w:sz w:val="20"/>
          <w:szCs w:val="20"/>
        </w:rPr>
        <w:t>de recusación</w:t>
      </w:r>
      <w:r w:rsidR="001B12CA" w:rsidRPr="00E27090">
        <w:rPr>
          <w:rFonts w:ascii="Verdana" w:hAnsi="Verdana"/>
          <w:sz w:val="20"/>
          <w:szCs w:val="20"/>
        </w:rPr>
        <w:t>,</w:t>
      </w:r>
      <w:r w:rsidR="00A04B9C" w:rsidRPr="00E27090">
        <w:rPr>
          <w:rFonts w:ascii="Verdana" w:hAnsi="Verdana"/>
          <w:sz w:val="20"/>
          <w:szCs w:val="20"/>
        </w:rPr>
        <w:t xml:space="preserve"> así como una acción de </w:t>
      </w:r>
      <w:r w:rsidR="00A04B9C" w:rsidRPr="00E27090">
        <w:rPr>
          <w:rFonts w:ascii="Verdana" w:hAnsi="Verdana"/>
          <w:sz w:val="20"/>
          <w:szCs w:val="20"/>
        </w:rPr>
        <w:lastRenderedPageBreak/>
        <w:t>inconstitucionalidad</w:t>
      </w:r>
      <w:r w:rsidR="00467516" w:rsidRPr="00E27090">
        <w:rPr>
          <w:rFonts w:ascii="Verdana" w:hAnsi="Verdana"/>
          <w:sz w:val="20"/>
          <w:szCs w:val="20"/>
        </w:rPr>
        <w:t xml:space="preserve"> contra el juez </w:t>
      </w:r>
      <w:r w:rsidR="00A52E73" w:rsidRPr="00E27090">
        <w:rPr>
          <w:rFonts w:ascii="Verdana" w:hAnsi="Verdana"/>
          <w:spacing w:val="7"/>
          <w:sz w:val="20"/>
          <w:szCs w:val="20"/>
        </w:rPr>
        <w:t>H.S.H.</w:t>
      </w:r>
      <w:r w:rsidR="00467516" w:rsidRPr="006B0525">
        <w:rPr>
          <w:rStyle w:val="Refdenotaalpie"/>
          <w:rFonts w:ascii="Verdana" w:hAnsi="Verdana"/>
          <w:sz w:val="20"/>
          <w:szCs w:val="20"/>
        </w:rPr>
        <w:footnoteReference w:id="34"/>
      </w:r>
      <w:r w:rsidR="00467516" w:rsidRPr="00E27090">
        <w:rPr>
          <w:rFonts w:ascii="Verdana" w:hAnsi="Verdana"/>
          <w:sz w:val="20"/>
          <w:szCs w:val="20"/>
        </w:rPr>
        <w:t xml:space="preserve">. </w:t>
      </w:r>
      <w:r w:rsidR="00A04B9C" w:rsidRPr="00E27090">
        <w:rPr>
          <w:rFonts w:ascii="Verdana" w:hAnsi="Verdana"/>
          <w:sz w:val="20"/>
          <w:szCs w:val="20"/>
        </w:rPr>
        <w:t xml:space="preserve">Con respecto a la primera recusación, </w:t>
      </w:r>
      <w:r w:rsidR="002A5E94" w:rsidRPr="00E27090">
        <w:rPr>
          <w:rFonts w:ascii="Verdana" w:hAnsi="Verdana"/>
          <w:sz w:val="20"/>
          <w:szCs w:val="20"/>
        </w:rPr>
        <w:t xml:space="preserve">los abogados defensores de los recurrentes indicaron que el juez </w:t>
      </w:r>
      <w:r w:rsidR="00A52E73" w:rsidRPr="00E27090">
        <w:rPr>
          <w:rFonts w:ascii="Verdana" w:hAnsi="Verdana"/>
          <w:spacing w:val="7"/>
          <w:sz w:val="20"/>
          <w:szCs w:val="20"/>
        </w:rPr>
        <w:t xml:space="preserve">H.S.H. </w:t>
      </w:r>
      <w:r w:rsidR="002A5E94" w:rsidRPr="00E27090">
        <w:rPr>
          <w:rFonts w:ascii="Verdana" w:hAnsi="Verdana"/>
          <w:sz w:val="20"/>
          <w:szCs w:val="20"/>
        </w:rPr>
        <w:t>había emitido una opinión manifestando que “no le importaba[n] los resultados del peritaje, ya que para él lo único que importaba era el reconocimiento que el testigo había hecho de los procesados”</w:t>
      </w:r>
      <w:r w:rsidR="002A5E94" w:rsidRPr="006B0525">
        <w:rPr>
          <w:rStyle w:val="Refdenotaalpie"/>
          <w:rFonts w:ascii="Verdana" w:hAnsi="Verdana"/>
          <w:sz w:val="20"/>
          <w:szCs w:val="20"/>
        </w:rPr>
        <w:footnoteReference w:id="35"/>
      </w:r>
      <w:r w:rsidR="002A5E94" w:rsidRPr="00E27090">
        <w:rPr>
          <w:rFonts w:ascii="Verdana" w:hAnsi="Verdana"/>
          <w:sz w:val="20"/>
          <w:szCs w:val="20"/>
        </w:rPr>
        <w:t>. El Tribunal de Sentencia Penal rechazó la recusación interpuesta</w:t>
      </w:r>
      <w:r w:rsidR="002A5E94" w:rsidRPr="006B0525">
        <w:rPr>
          <w:rStyle w:val="Refdenotaalpie"/>
          <w:rFonts w:ascii="Verdana" w:hAnsi="Verdana"/>
          <w:sz w:val="20"/>
          <w:szCs w:val="20"/>
        </w:rPr>
        <w:footnoteReference w:id="36"/>
      </w:r>
      <w:r w:rsidR="002A5E94" w:rsidRPr="00E27090">
        <w:rPr>
          <w:rFonts w:ascii="Verdana" w:hAnsi="Verdana"/>
          <w:sz w:val="20"/>
          <w:szCs w:val="20"/>
        </w:rPr>
        <w:t xml:space="preserve">. </w:t>
      </w:r>
      <w:r w:rsidR="001B12CA" w:rsidRPr="00E27090">
        <w:rPr>
          <w:rFonts w:ascii="Verdana" w:hAnsi="Verdana"/>
          <w:sz w:val="20"/>
          <w:szCs w:val="20"/>
        </w:rPr>
        <w:t>Adicionalmente</w:t>
      </w:r>
      <w:r w:rsidR="002A5E94" w:rsidRPr="00E27090">
        <w:rPr>
          <w:rFonts w:ascii="Verdana" w:hAnsi="Verdana"/>
          <w:sz w:val="20"/>
          <w:szCs w:val="20"/>
        </w:rPr>
        <w:t xml:space="preserve">, las presuntas víctimas interpusieron una acción de inconstitucionalidad en la que alegaban que el juez </w:t>
      </w:r>
      <w:r w:rsidR="00A52E73" w:rsidRPr="00E27090">
        <w:rPr>
          <w:rFonts w:ascii="Verdana" w:hAnsi="Verdana"/>
          <w:spacing w:val="7"/>
          <w:sz w:val="20"/>
          <w:szCs w:val="20"/>
        </w:rPr>
        <w:t xml:space="preserve">H.S.H. </w:t>
      </w:r>
      <w:r w:rsidR="002A5E94" w:rsidRPr="00E27090">
        <w:rPr>
          <w:rFonts w:ascii="Verdana" w:hAnsi="Verdana"/>
          <w:sz w:val="20"/>
          <w:szCs w:val="20"/>
        </w:rPr>
        <w:t>“</w:t>
      </w:r>
      <w:r w:rsidR="00772CF7" w:rsidRPr="00E27090">
        <w:rPr>
          <w:rFonts w:ascii="Verdana" w:hAnsi="Verdana"/>
          <w:sz w:val="20"/>
          <w:szCs w:val="20"/>
        </w:rPr>
        <w:t xml:space="preserve">no </w:t>
      </w:r>
      <w:proofErr w:type="spellStart"/>
      <w:r w:rsidR="00772CF7" w:rsidRPr="00E27090">
        <w:rPr>
          <w:rFonts w:ascii="Verdana" w:hAnsi="Verdana"/>
          <w:sz w:val="20"/>
          <w:szCs w:val="20"/>
        </w:rPr>
        <w:t>reu</w:t>
      </w:r>
      <w:r w:rsidR="002A5E94" w:rsidRPr="00E27090">
        <w:rPr>
          <w:rFonts w:ascii="Verdana" w:hAnsi="Verdana"/>
          <w:sz w:val="20"/>
          <w:szCs w:val="20"/>
        </w:rPr>
        <w:t>n</w:t>
      </w:r>
      <w:proofErr w:type="spellEnd"/>
      <w:r w:rsidR="002A5E94" w:rsidRPr="00E27090">
        <w:rPr>
          <w:rFonts w:ascii="Verdana" w:hAnsi="Verdana"/>
          <w:sz w:val="20"/>
          <w:szCs w:val="20"/>
        </w:rPr>
        <w:t>[</w:t>
      </w:r>
      <w:proofErr w:type="spellStart"/>
      <w:r w:rsidR="002A5E94" w:rsidRPr="00E27090">
        <w:rPr>
          <w:rFonts w:ascii="Verdana" w:hAnsi="Verdana"/>
          <w:sz w:val="20"/>
          <w:szCs w:val="20"/>
        </w:rPr>
        <w:t>ía</w:t>
      </w:r>
      <w:proofErr w:type="spellEnd"/>
      <w:r w:rsidR="002A5E94" w:rsidRPr="00E27090">
        <w:rPr>
          <w:rFonts w:ascii="Verdana" w:hAnsi="Verdana"/>
          <w:sz w:val="20"/>
          <w:szCs w:val="20"/>
        </w:rPr>
        <w:t>]</w:t>
      </w:r>
      <w:r w:rsidR="000725E4" w:rsidRPr="00E27090">
        <w:rPr>
          <w:rFonts w:ascii="Verdana" w:hAnsi="Verdana"/>
          <w:sz w:val="20"/>
          <w:szCs w:val="20"/>
        </w:rPr>
        <w:t xml:space="preserve"> los requisitos que </w:t>
      </w:r>
      <w:proofErr w:type="spellStart"/>
      <w:r w:rsidR="000725E4" w:rsidRPr="00E27090">
        <w:rPr>
          <w:rFonts w:ascii="Verdana" w:hAnsi="Verdana"/>
          <w:sz w:val="20"/>
          <w:szCs w:val="20"/>
        </w:rPr>
        <w:t>exig</w:t>
      </w:r>
      <w:proofErr w:type="spellEnd"/>
      <w:r w:rsidR="000725E4" w:rsidRPr="00E27090">
        <w:rPr>
          <w:rFonts w:ascii="Verdana" w:hAnsi="Verdana"/>
          <w:sz w:val="20"/>
          <w:szCs w:val="20"/>
        </w:rPr>
        <w:t>[</w:t>
      </w:r>
      <w:proofErr w:type="spellStart"/>
      <w:r w:rsidR="000725E4" w:rsidRPr="00E27090">
        <w:rPr>
          <w:rFonts w:ascii="Verdana" w:hAnsi="Verdana"/>
          <w:sz w:val="20"/>
          <w:szCs w:val="20"/>
        </w:rPr>
        <w:t>ía</w:t>
      </w:r>
      <w:proofErr w:type="spellEnd"/>
      <w:r w:rsidR="000725E4" w:rsidRPr="00E27090">
        <w:rPr>
          <w:rFonts w:ascii="Verdana" w:hAnsi="Verdana"/>
          <w:sz w:val="20"/>
          <w:szCs w:val="20"/>
        </w:rPr>
        <w:t>]</w:t>
      </w:r>
      <w:r w:rsidR="002A5E94" w:rsidRPr="00E27090">
        <w:rPr>
          <w:rFonts w:ascii="Verdana" w:hAnsi="Verdana"/>
          <w:sz w:val="20"/>
          <w:szCs w:val="20"/>
        </w:rPr>
        <w:t xml:space="preserve"> la Constitución para ser juez de un tribunal colegiado, ya que no ha</w:t>
      </w:r>
      <w:r w:rsidR="00772CF7" w:rsidRPr="00E27090">
        <w:rPr>
          <w:rFonts w:ascii="Verdana" w:hAnsi="Verdana"/>
          <w:sz w:val="20"/>
          <w:szCs w:val="20"/>
        </w:rPr>
        <w:t>[</w:t>
      </w:r>
      <w:proofErr w:type="spellStart"/>
      <w:r w:rsidR="00772CF7" w:rsidRPr="00E27090">
        <w:rPr>
          <w:rFonts w:ascii="Verdana" w:hAnsi="Verdana"/>
          <w:sz w:val="20"/>
          <w:szCs w:val="20"/>
        </w:rPr>
        <w:t>bía</w:t>
      </w:r>
      <w:proofErr w:type="spellEnd"/>
      <w:r w:rsidR="00772CF7" w:rsidRPr="00E27090">
        <w:rPr>
          <w:rFonts w:ascii="Verdana" w:hAnsi="Verdana"/>
          <w:sz w:val="20"/>
          <w:szCs w:val="20"/>
        </w:rPr>
        <w:t>]</w:t>
      </w:r>
      <w:r w:rsidR="002A5E94" w:rsidRPr="00E27090">
        <w:rPr>
          <w:rFonts w:ascii="Verdana" w:hAnsi="Verdana"/>
          <w:sz w:val="20"/>
          <w:szCs w:val="20"/>
        </w:rPr>
        <w:t xml:space="preserve"> sido juez de primera instancia ni ha</w:t>
      </w:r>
      <w:r w:rsidR="00772CF7" w:rsidRPr="00E27090">
        <w:rPr>
          <w:rFonts w:ascii="Verdana" w:hAnsi="Verdana"/>
          <w:sz w:val="20"/>
          <w:szCs w:val="20"/>
        </w:rPr>
        <w:t>[</w:t>
      </w:r>
      <w:proofErr w:type="spellStart"/>
      <w:r w:rsidR="00772CF7" w:rsidRPr="00E27090">
        <w:rPr>
          <w:rFonts w:ascii="Verdana" w:hAnsi="Verdana"/>
          <w:sz w:val="20"/>
          <w:szCs w:val="20"/>
        </w:rPr>
        <w:t>bía</w:t>
      </w:r>
      <w:proofErr w:type="spellEnd"/>
      <w:r w:rsidR="00772CF7" w:rsidRPr="00E27090">
        <w:rPr>
          <w:rFonts w:ascii="Verdana" w:hAnsi="Verdana"/>
          <w:sz w:val="20"/>
          <w:szCs w:val="20"/>
        </w:rPr>
        <w:t>]</w:t>
      </w:r>
      <w:r w:rsidR="002A5E94" w:rsidRPr="00E27090">
        <w:rPr>
          <w:rFonts w:ascii="Verdana" w:hAnsi="Verdana"/>
          <w:sz w:val="20"/>
          <w:szCs w:val="20"/>
        </w:rPr>
        <w:t xml:space="preserve"> ejercido la profesión de abogado por más de 5 años</w:t>
      </w:r>
      <w:r w:rsidR="000725E4" w:rsidRPr="00E27090">
        <w:rPr>
          <w:rFonts w:ascii="Verdana" w:hAnsi="Verdana"/>
          <w:sz w:val="20"/>
          <w:szCs w:val="20"/>
        </w:rPr>
        <w:t>”</w:t>
      </w:r>
      <w:r w:rsidR="00772CF7" w:rsidRPr="006B0525">
        <w:rPr>
          <w:rStyle w:val="Refdenotaalpie"/>
          <w:rFonts w:ascii="Verdana" w:hAnsi="Verdana"/>
          <w:sz w:val="20"/>
          <w:szCs w:val="20"/>
        </w:rPr>
        <w:footnoteReference w:id="37"/>
      </w:r>
      <w:r w:rsidR="002A5E94" w:rsidRPr="00E27090">
        <w:rPr>
          <w:rFonts w:ascii="Verdana" w:hAnsi="Verdana"/>
          <w:sz w:val="20"/>
          <w:szCs w:val="20"/>
        </w:rPr>
        <w:t>.</w:t>
      </w:r>
      <w:r w:rsidR="00772CF7" w:rsidRPr="00E27090">
        <w:rPr>
          <w:rFonts w:ascii="Verdana" w:hAnsi="Verdana"/>
          <w:sz w:val="20"/>
          <w:szCs w:val="20"/>
        </w:rPr>
        <w:t xml:space="preserve"> El 28 de mayo de 1997 la Corte de Constitucionalidad declaró sin lugar la inconstitucionalidad planteada</w:t>
      </w:r>
      <w:r w:rsidR="00772CF7" w:rsidRPr="006B0525">
        <w:rPr>
          <w:rStyle w:val="Refdenotaalpie"/>
          <w:rFonts w:ascii="Verdana" w:hAnsi="Verdana"/>
          <w:sz w:val="20"/>
          <w:szCs w:val="20"/>
        </w:rPr>
        <w:footnoteReference w:id="38"/>
      </w:r>
      <w:r w:rsidR="00772CF7" w:rsidRPr="00E27090">
        <w:rPr>
          <w:rFonts w:ascii="Verdana" w:hAnsi="Verdana"/>
          <w:sz w:val="20"/>
          <w:szCs w:val="20"/>
        </w:rPr>
        <w:t>.</w:t>
      </w:r>
    </w:p>
    <w:p w14:paraId="6DBBEEA9" w14:textId="77777777" w:rsidR="00467516" w:rsidRPr="006B0525" w:rsidRDefault="00467516" w:rsidP="00530549">
      <w:pPr>
        <w:pStyle w:val="Normal1"/>
        <w:widowControl/>
        <w:contextualSpacing/>
        <w:jc w:val="both"/>
        <w:rPr>
          <w:rFonts w:ascii="Verdana" w:hAnsi="Verdana"/>
          <w:sz w:val="20"/>
          <w:szCs w:val="20"/>
          <w:highlight w:val="yellow"/>
        </w:rPr>
      </w:pPr>
    </w:p>
    <w:p w14:paraId="5DBFBD75" w14:textId="77777777" w:rsidR="00467516" w:rsidRPr="006B0525" w:rsidRDefault="00467516" w:rsidP="001B62C9">
      <w:pPr>
        <w:pStyle w:val="Normal1"/>
        <w:widowControl/>
        <w:numPr>
          <w:ilvl w:val="0"/>
          <w:numId w:val="4"/>
        </w:numPr>
        <w:ind w:left="0" w:firstLine="0"/>
        <w:contextualSpacing/>
        <w:jc w:val="both"/>
        <w:rPr>
          <w:rFonts w:ascii="Verdana" w:hAnsi="Verdana"/>
          <w:sz w:val="20"/>
          <w:szCs w:val="20"/>
        </w:rPr>
      </w:pPr>
      <w:r w:rsidRPr="006B0525" w:rsidDel="00AD0395">
        <w:rPr>
          <w:rFonts w:ascii="Verdana" w:hAnsi="Verdana"/>
          <w:sz w:val="20"/>
          <w:szCs w:val="20"/>
        </w:rPr>
        <w:t xml:space="preserve"> </w:t>
      </w:r>
      <w:r w:rsidRPr="006B0525">
        <w:rPr>
          <w:rFonts w:ascii="Verdana" w:hAnsi="Verdana"/>
          <w:sz w:val="20"/>
          <w:szCs w:val="20"/>
        </w:rPr>
        <w:t xml:space="preserve">El 23 de mayo de 1996 el Tribunal de Sentencia Penal dictó </w:t>
      </w:r>
      <w:r w:rsidR="00AF3E9E">
        <w:rPr>
          <w:rFonts w:ascii="Verdana" w:hAnsi="Verdana"/>
          <w:sz w:val="20"/>
          <w:szCs w:val="20"/>
        </w:rPr>
        <w:t xml:space="preserve">una </w:t>
      </w:r>
      <w:r w:rsidRPr="006B0525">
        <w:rPr>
          <w:rFonts w:ascii="Verdana" w:hAnsi="Verdana"/>
          <w:sz w:val="20"/>
          <w:szCs w:val="20"/>
        </w:rPr>
        <w:t xml:space="preserve">sentencia condenatoria en contra de </w:t>
      </w:r>
      <w:r w:rsidR="001B12CA" w:rsidRPr="006B0525">
        <w:rPr>
          <w:rFonts w:ascii="Verdana" w:hAnsi="Verdana"/>
          <w:sz w:val="20"/>
          <w:szCs w:val="20"/>
        </w:rPr>
        <w:t>los señores</w:t>
      </w:r>
      <w:r w:rsidRPr="006B0525">
        <w:rPr>
          <w:rFonts w:ascii="Verdana" w:hAnsi="Verdana"/>
          <w:sz w:val="20"/>
          <w:szCs w:val="20"/>
        </w:rPr>
        <w:t xml:space="preserve"> Rodríguez Revolorio, </w:t>
      </w:r>
      <w:r w:rsidR="001B12CA" w:rsidRPr="006B0525">
        <w:rPr>
          <w:rFonts w:ascii="Verdana" w:hAnsi="Verdana"/>
          <w:sz w:val="20"/>
          <w:szCs w:val="20"/>
        </w:rPr>
        <w:t>López Calo</w:t>
      </w:r>
      <w:r w:rsidRPr="006B0525">
        <w:rPr>
          <w:rFonts w:ascii="Verdana" w:hAnsi="Verdana"/>
          <w:sz w:val="20"/>
          <w:szCs w:val="20"/>
        </w:rPr>
        <w:t xml:space="preserve"> y Archila Pérez por los delitos de asesinato y asesinato en gr</w:t>
      </w:r>
      <w:r w:rsidR="001B12CA" w:rsidRPr="006B0525">
        <w:rPr>
          <w:rFonts w:ascii="Verdana" w:hAnsi="Verdana"/>
          <w:sz w:val="20"/>
          <w:szCs w:val="20"/>
        </w:rPr>
        <w:t xml:space="preserve">ado de tentativa, condenándolos </w:t>
      </w:r>
      <w:r w:rsidRPr="006B0525">
        <w:rPr>
          <w:rFonts w:ascii="Verdana" w:hAnsi="Verdana"/>
          <w:sz w:val="20"/>
          <w:szCs w:val="20"/>
        </w:rPr>
        <w:t>a la pena de muerte.</w:t>
      </w:r>
      <w:r w:rsidR="001B07E3" w:rsidRPr="006B0525">
        <w:rPr>
          <w:rFonts w:ascii="Verdana" w:hAnsi="Verdana"/>
          <w:sz w:val="20"/>
          <w:szCs w:val="20"/>
        </w:rPr>
        <w:t xml:space="preserve"> </w:t>
      </w:r>
      <w:r w:rsidR="001B62C9" w:rsidRPr="006B0525">
        <w:rPr>
          <w:rFonts w:ascii="Verdana" w:hAnsi="Verdana"/>
          <w:sz w:val="20"/>
          <w:szCs w:val="20"/>
        </w:rPr>
        <w:t>P</w:t>
      </w:r>
      <w:r w:rsidR="001B62C9" w:rsidRPr="006B0525">
        <w:rPr>
          <w:rFonts w:ascii="Verdana" w:eastAsiaTheme="minorHAnsi" w:hAnsi="Verdana" w:cs="Verdana"/>
          <w:sz w:val="20"/>
          <w:szCs w:val="20"/>
        </w:rPr>
        <w:t>ara determinar su condena</w:t>
      </w:r>
      <w:r w:rsidR="001B12CA" w:rsidRPr="006B0525">
        <w:rPr>
          <w:rFonts w:ascii="Verdana" w:eastAsiaTheme="minorHAnsi" w:hAnsi="Verdana" w:cs="Verdana"/>
          <w:sz w:val="20"/>
          <w:szCs w:val="20"/>
        </w:rPr>
        <w:t>,</w:t>
      </w:r>
      <w:r w:rsidR="001B62C9" w:rsidRPr="006B0525">
        <w:rPr>
          <w:rFonts w:ascii="Verdana" w:eastAsiaTheme="minorHAnsi" w:hAnsi="Verdana" w:cs="Verdana"/>
          <w:sz w:val="20"/>
          <w:szCs w:val="20"/>
        </w:rPr>
        <w:t xml:space="preserve"> el Tribunal de Sentencia Penal aplicó el artículo 132 del Código Penal guatemalteco vigente </w:t>
      </w:r>
      <w:r w:rsidR="001B12CA" w:rsidRPr="006B0525">
        <w:rPr>
          <w:rFonts w:ascii="Verdana" w:eastAsiaTheme="minorHAnsi" w:hAnsi="Verdana" w:cs="Verdana"/>
          <w:sz w:val="20"/>
          <w:szCs w:val="20"/>
        </w:rPr>
        <w:t>en</w:t>
      </w:r>
      <w:r w:rsidR="001B62C9" w:rsidRPr="006B0525">
        <w:rPr>
          <w:rFonts w:ascii="Verdana" w:eastAsiaTheme="minorHAnsi" w:hAnsi="Verdana" w:cs="Verdana"/>
          <w:sz w:val="20"/>
          <w:szCs w:val="20"/>
        </w:rPr>
        <w:t xml:space="preserve"> dicha </w:t>
      </w:r>
      <w:r w:rsidR="001B12CA" w:rsidRPr="006B0525">
        <w:rPr>
          <w:rFonts w:ascii="Verdana" w:eastAsiaTheme="minorHAnsi" w:hAnsi="Verdana" w:cs="Verdana"/>
          <w:sz w:val="20"/>
          <w:szCs w:val="20"/>
        </w:rPr>
        <w:t>época</w:t>
      </w:r>
      <w:r w:rsidR="001B62C9" w:rsidRPr="006B0525">
        <w:rPr>
          <w:rFonts w:ascii="Verdana" w:eastAsiaTheme="minorHAnsi" w:hAnsi="Verdana" w:cs="Verdana"/>
          <w:sz w:val="20"/>
          <w:szCs w:val="20"/>
        </w:rPr>
        <w:t xml:space="preserve">, </w:t>
      </w:r>
      <w:r w:rsidR="001B12CA" w:rsidRPr="006B0525">
        <w:rPr>
          <w:rFonts w:ascii="Verdana" w:eastAsiaTheme="minorHAnsi" w:hAnsi="Verdana" w:cs="Verdana"/>
          <w:sz w:val="20"/>
          <w:szCs w:val="20"/>
        </w:rPr>
        <w:t xml:space="preserve">en virtud del cual, en caso de que una persona fuera declarada culpable por </w:t>
      </w:r>
      <w:r w:rsidR="001B62C9" w:rsidRPr="006B0525">
        <w:rPr>
          <w:rFonts w:ascii="Verdana" w:eastAsiaTheme="minorHAnsi" w:hAnsi="Verdana" w:cs="Verdana"/>
          <w:sz w:val="20"/>
          <w:szCs w:val="20"/>
        </w:rPr>
        <w:t>asesinato</w:t>
      </w:r>
      <w:r w:rsidR="001B12CA" w:rsidRPr="006B0525">
        <w:rPr>
          <w:rFonts w:ascii="Verdana" w:eastAsiaTheme="minorHAnsi" w:hAnsi="Verdana" w:cs="Verdana"/>
          <w:sz w:val="20"/>
          <w:szCs w:val="20"/>
        </w:rPr>
        <w:t>, se le impondría</w:t>
      </w:r>
      <w:r w:rsidR="001B62C9" w:rsidRPr="006B0525">
        <w:rPr>
          <w:rFonts w:ascii="Verdana" w:eastAsiaTheme="minorHAnsi" w:hAnsi="Verdana" w:cs="Verdana"/>
          <w:sz w:val="20"/>
          <w:szCs w:val="20"/>
        </w:rPr>
        <w:t xml:space="preserve"> la pena de muerte en lugar del máximo de prisión “si por las circunstancias del hecho y de</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la</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ocasión,</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la</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manera</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de</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realizarlo</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y</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los</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móviles</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determinantes,</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se</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revelare</w:t>
      </w:r>
      <w:r w:rsidR="009E03F1" w:rsidRPr="006B0525">
        <w:rPr>
          <w:rFonts w:ascii="Verdana" w:eastAsiaTheme="minorHAnsi" w:hAnsi="Verdana" w:cs="Verdana"/>
          <w:sz w:val="20"/>
          <w:szCs w:val="20"/>
        </w:rPr>
        <w:t xml:space="preserve"> </w:t>
      </w:r>
      <w:proofErr w:type="gramStart"/>
      <w:r w:rsidR="001B62C9" w:rsidRPr="006B0525">
        <w:rPr>
          <w:rFonts w:ascii="Verdana" w:eastAsiaTheme="minorHAnsi" w:hAnsi="Verdana" w:cs="Verdana"/>
          <w:sz w:val="20"/>
          <w:szCs w:val="20"/>
        </w:rPr>
        <w:t>una</w:t>
      </w:r>
      <w:r w:rsidR="009E03F1" w:rsidRPr="006B0525">
        <w:rPr>
          <w:rFonts w:ascii="Verdana" w:eastAsiaTheme="minorHAnsi" w:hAnsi="Verdana" w:cs="Verdana"/>
          <w:sz w:val="20"/>
          <w:szCs w:val="20"/>
        </w:rPr>
        <w:t xml:space="preserve"> </w:t>
      </w:r>
      <w:r w:rsidR="001B62C9" w:rsidRPr="006B0525">
        <w:rPr>
          <w:rFonts w:ascii="Verdana" w:eastAsiaTheme="minorHAnsi" w:hAnsi="Verdana" w:cs="Verdana"/>
          <w:sz w:val="20"/>
          <w:szCs w:val="20"/>
        </w:rPr>
        <w:t>mayor particular</w:t>
      </w:r>
      <w:proofErr w:type="gramEnd"/>
      <w:r w:rsidR="001B62C9" w:rsidRPr="006B0525">
        <w:rPr>
          <w:rFonts w:ascii="Verdana" w:eastAsiaTheme="minorHAnsi" w:hAnsi="Verdana" w:cs="Verdana"/>
          <w:sz w:val="20"/>
          <w:szCs w:val="20"/>
        </w:rPr>
        <w:t xml:space="preserve"> peligrosidad del agente”. Para llegar a tal conclusión, el Tribunal de Sentencia Penal indicó lo siguiente: </w:t>
      </w:r>
    </w:p>
    <w:p w14:paraId="1FD41948" w14:textId="77777777" w:rsidR="001B62C9" w:rsidRPr="006B0525" w:rsidRDefault="001B62C9" w:rsidP="001B62C9">
      <w:pPr>
        <w:pStyle w:val="Normal1"/>
        <w:widowControl/>
        <w:contextualSpacing/>
        <w:jc w:val="both"/>
        <w:rPr>
          <w:rFonts w:ascii="Verdana" w:eastAsiaTheme="minorHAnsi" w:hAnsi="Verdana" w:cs="Verdana"/>
          <w:sz w:val="20"/>
          <w:szCs w:val="20"/>
        </w:rPr>
      </w:pPr>
    </w:p>
    <w:p w14:paraId="26DAA896" w14:textId="77777777" w:rsidR="001B62C9" w:rsidRPr="002761D7" w:rsidRDefault="001B62C9" w:rsidP="002761D7">
      <w:pPr>
        <w:pStyle w:val="Normal1"/>
        <w:widowControl/>
        <w:ind w:left="720" w:right="720"/>
        <w:contextualSpacing/>
        <w:jc w:val="both"/>
        <w:rPr>
          <w:rFonts w:ascii="Verdana" w:eastAsiaTheme="minorHAnsi" w:hAnsi="Verdana" w:cs="Verdana"/>
          <w:sz w:val="18"/>
          <w:szCs w:val="18"/>
        </w:rPr>
      </w:pPr>
      <w:r w:rsidRPr="006B0525">
        <w:rPr>
          <w:rFonts w:ascii="Verdana" w:eastAsiaTheme="minorHAnsi" w:hAnsi="Verdana" w:cs="Verdana"/>
          <w:sz w:val="18"/>
          <w:szCs w:val="18"/>
        </w:rPr>
        <w:t xml:space="preserve">“[E]n este caso también se evidencia la existencia del impulso de perversidad brutal, por cuanto esta circunstancia agravante o </w:t>
      </w:r>
      <w:proofErr w:type="spellStart"/>
      <w:r w:rsidRPr="006B0525">
        <w:rPr>
          <w:rFonts w:ascii="Verdana" w:eastAsiaTheme="minorHAnsi" w:hAnsi="Verdana" w:cs="Verdana"/>
          <w:sz w:val="18"/>
          <w:szCs w:val="18"/>
        </w:rPr>
        <w:t>cualificativa</w:t>
      </w:r>
      <w:proofErr w:type="spellEnd"/>
      <w:r w:rsidRPr="006B0525">
        <w:rPr>
          <w:rFonts w:ascii="Verdana" w:eastAsiaTheme="minorHAnsi" w:hAnsi="Verdana" w:cs="Verdana"/>
          <w:sz w:val="18"/>
          <w:szCs w:val="18"/>
        </w:rPr>
        <w:t xml:space="preserve"> consiste en </w:t>
      </w:r>
      <w:proofErr w:type="gramStart"/>
      <w:r w:rsidRPr="006B0525">
        <w:rPr>
          <w:rFonts w:ascii="Verdana" w:eastAsiaTheme="minorHAnsi" w:hAnsi="Verdana" w:cs="Verdana"/>
          <w:sz w:val="18"/>
          <w:szCs w:val="18"/>
        </w:rPr>
        <w:t>que</w:t>
      </w:r>
      <w:proofErr w:type="gramEnd"/>
      <w:r w:rsidRPr="006B0525">
        <w:rPr>
          <w:rFonts w:ascii="Verdana" w:eastAsiaTheme="minorHAnsi" w:hAnsi="Verdana" w:cs="Verdana"/>
          <w:sz w:val="18"/>
          <w:szCs w:val="18"/>
        </w:rPr>
        <w:t xml:space="preserve"> obrando el delincuente en forma totalmente carente de motivos aparentes, el peligro de ser víctima de sus agresiones produce alarma en todos los ciudadanos ya que nadie está a cubierto de ese riegos. Señala la doctrina que esta rara figura, reveladora de la extraordinaria peligrosidad general del sujeto, proviene de la carencia de motivos concretos conscientes para actuar, el ataque no va dirigido contra un individuo determinado y actúa por el bárbaro placer de derramar sangre</w:t>
      </w:r>
      <w:r w:rsidR="002761D7">
        <w:rPr>
          <w:rFonts w:ascii="Verdana" w:eastAsiaTheme="minorHAnsi" w:hAnsi="Verdana" w:cs="Verdana"/>
          <w:sz w:val="18"/>
          <w:szCs w:val="18"/>
        </w:rPr>
        <w:t>”</w:t>
      </w:r>
      <w:r w:rsidRPr="006B0525">
        <w:rPr>
          <w:rFonts w:ascii="Verdana" w:hAnsi="Verdana"/>
          <w:sz w:val="18"/>
          <w:szCs w:val="18"/>
          <w:vertAlign w:val="superscript"/>
        </w:rPr>
        <w:footnoteReference w:id="39"/>
      </w:r>
      <w:r w:rsidRPr="006B0525">
        <w:rPr>
          <w:rFonts w:ascii="Verdana" w:eastAsiaTheme="minorHAnsi" w:hAnsi="Verdana" w:cs="Verdana"/>
          <w:sz w:val="18"/>
          <w:szCs w:val="18"/>
        </w:rPr>
        <w:t>.</w:t>
      </w:r>
    </w:p>
    <w:p w14:paraId="2D825CA2" w14:textId="77777777" w:rsidR="00467516" w:rsidRPr="006B0525" w:rsidRDefault="00467516" w:rsidP="00530549">
      <w:pPr>
        <w:pStyle w:val="Ttulo3"/>
        <w:rPr>
          <w:lang w:eastAsia="en-US"/>
        </w:rPr>
      </w:pPr>
      <w:r w:rsidRPr="006B0525">
        <w:rPr>
          <w:lang w:eastAsia="en-US"/>
        </w:rPr>
        <w:tab/>
      </w:r>
      <w:bookmarkStart w:id="47" w:name="_Toc26177804"/>
      <w:r w:rsidRPr="006B0525">
        <w:rPr>
          <w:lang w:eastAsia="en-US"/>
        </w:rPr>
        <w:t>b.2 Recursos interpuestos</w:t>
      </w:r>
      <w:bookmarkEnd w:id="47"/>
    </w:p>
    <w:p w14:paraId="7D287A08" w14:textId="77777777" w:rsidR="00467516" w:rsidRPr="006B0525" w:rsidRDefault="00467516" w:rsidP="00530549">
      <w:pPr>
        <w:pStyle w:val="Ttulo4"/>
        <w:rPr>
          <w:b/>
          <w:bCs/>
        </w:rPr>
      </w:pPr>
      <w:r w:rsidRPr="006B0525">
        <w:tab/>
      </w:r>
      <w:r w:rsidRPr="006B0525">
        <w:tab/>
        <w:t xml:space="preserve">(i) Recurso de apelación especial </w:t>
      </w:r>
    </w:p>
    <w:p w14:paraId="14DE742D" w14:textId="77777777" w:rsidR="00467516" w:rsidRPr="006B0525" w:rsidRDefault="00467516"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Los señores</w:t>
      </w:r>
      <w:r w:rsidR="00BB6503" w:rsidRPr="006B0525">
        <w:rPr>
          <w:rFonts w:ascii="Verdana" w:hAnsi="Verdana"/>
          <w:sz w:val="20"/>
          <w:szCs w:val="20"/>
        </w:rPr>
        <w:t xml:space="preserve"> Rodríguez Revolorio, López Calo</w:t>
      </w:r>
      <w:r w:rsidRPr="006B0525">
        <w:rPr>
          <w:rFonts w:ascii="Verdana" w:hAnsi="Verdana"/>
          <w:sz w:val="20"/>
          <w:szCs w:val="20"/>
        </w:rPr>
        <w:t xml:space="preserve"> y Archila Pérez interpusieron un recurso de apelación especial en contra de la sentencia condenatoria, alegando una serie de vicios de forma </w:t>
      </w:r>
      <w:r w:rsidRPr="002F5A43">
        <w:rPr>
          <w:rFonts w:ascii="Verdana" w:hAnsi="Verdana" w:cs="Arial"/>
          <w:iCs/>
          <w:sz w:val="20"/>
          <w:szCs w:val="20"/>
        </w:rPr>
        <w:t>y</w:t>
      </w:r>
      <w:r w:rsidRPr="006B0525">
        <w:rPr>
          <w:rFonts w:ascii="Verdana" w:hAnsi="Verdana" w:cs="Arial"/>
          <w:i/>
          <w:iCs/>
          <w:sz w:val="20"/>
          <w:szCs w:val="20"/>
        </w:rPr>
        <w:t xml:space="preserve"> </w:t>
      </w:r>
      <w:r w:rsidRPr="006B0525">
        <w:rPr>
          <w:rFonts w:ascii="Verdana" w:hAnsi="Verdana"/>
          <w:sz w:val="20"/>
          <w:szCs w:val="20"/>
        </w:rPr>
        <w:t>de fondo de dicha decisión</w:t>
      </w:r>
      <w:r w:rsidRPr="006B0525">
        <w:rPr>
          <w:rStyle w:val="Refdenotaalpie"/>
          <w:rFonts w:ascii="Verdana" w:hAnsi="Verdana"/>
          <w:sz w:val="20"/>
          <w:szCs w:val="20"/>
        </w:rPr>
        <w:footnoteReference w:id="40"/>
      </w:r>
      <w:r w:rsidRPr="006B0525">
        <w:rPr>
          <w:rFonts w:ascii="Verdana" w:hAnsi="Verdana"/>
          <w:sz w:val="20"/>
          <w:szCs w:val="20"/>
        </w:rPr>
        <w:t xml:space="preserve">. Argumentaron, entre otras cuestiones, que: </w:t>
      </w:r>
      <w:r w:rsidR="002761D7">
        <w:rPr>
          <w:rFonts w:ascii="Verdana" w:hAnsi="Verdana"/>
          <w:sz w:val="20"/>
          <w:szCs w:val="20"/>
        </w:rPr>
        <w:t>(</w:t>
      </w:r>
      <w:r w:rsidRPr="006B0525">
        <w:rPr>
          <w:rFonts w:ascii="Verdana" w:hAnsi="Verdana"/>
          <w:sz w:val="20"/>
          <w:szCs w:val="20"/>
        </w:rPr>
        <w:t xml:space="preserve">i) el Tribunal omitió individualizar debidamente a los imputados; </w:t>
      </w:r>
      <w:r w:rsidR="002761D7">
        <w:rPr>
          <w:rFonts w:ascii="Verdana" w:hAnsi="Verdana"/>
          <w:sz w:val="20"/>
          <w:szCs w:val="20"/>
        </w:rPr>
        <w:t>(</w:t>
      </w:r>
      <w:proofErr w:type="spellStart"/>
      <w:r w:rsidRPr="006B0525">
        <w:rPr>
          <w:rFonts w:ascii="Verdana" w:hAnsi="Verdana"/>
          <w:sz w:val="20"/>
          <w:szCs w:val="20"/>
        </w:rPr>
        <w:t>ii</w:t>
      </w:r>
      <w:proofErr w:type="spellEnd"/>
      <w:r w:rsidRPr="006B0525">
        <w:rPr>
          <w:rFonts w:ascii="Verdana" w:hAnsi="Verdana"/>
          <w:sz w:val="20"/>
          <w:szCs w:val="20"/>
        </w:rPr>
        <w:t xml:space="preserve">) hubo una falta de un enunciación de los hechos y circunstancias objeto de la acusación; </w:t>
      </w:r>
      <w:r w:rsidR="002761D7">
        <w:rPr>
          <w:rFonts w:ascii="Verdana" w:hAnsi="Verdana"/>
          <w:sz w:val="20"/>
          <w:szCs w:val="20"/>
        </w:rPr>
        <w:t>(</w:t>
      </w:r>
      <w:proofErr w:type="spellStart"/>
      <w:r w:rsidRPr="006B0525">
        <w:rPr>
          <w:rFonts w:ascii="Verdana" w:hAnsi="Verdana"/>
          <w:sz w:val="20"/>
          <w:szCs w:val="20"/>
        </w:rPr>
        <w:t>iii</w:t>
      </w:r>
      <w:proofErr w:type="spellEnd"/>
      <w:r w:rsidRPr="006B0525">
        <w:rPr>
          <w:rFonts w:ascii="Verdana" w:hAnsi="Verdana"/>
          <w:sz w:val="20"/>
          <w:szCs w:val="20"/>
        </w:rPr>
        <w:t xml:space="preserve">) no hubo una determinación precisa y circunstanciada de los hechos; </w:t>
      </w:r>
      <w:r w:rsidR="002761D7">
        <w:rPr>
          <w:rFonts w:ascii="Verdana" w:hAnsi="Verdana"/>
          <w:sz w:val="20"/>
          <w:szCs w:val="20"/>
        </w:rPr>
        <w:t>(</w:t>
      </w:r>
      <w:proofErr w:type="spellStart"/>
      <w:r w:rsidRPr="006B0525">
        <w:rPr>
          <w:rFonts w:ascii="Verdana" w:hAnsi="Verdana"/>
          <w:sz w:val="20"/>
          <w:szCs w:val="20"/>
        </w:rPr>
        <w:t>iv</w:t>
      </w:r>
      <w:proofErr w:type="spellEnd"/>
      <w:r w:rsidRPr="006B0525">
        <w:rPr>
          <w:rFonts w:ascii="Verdana" w:hAnsi="Verdana"/>
          <w:sz w:val="20"/>
          <w:szCs w:val="20"/>
        </w:rPr>
        <w:t xml:space="preserve">) falta de motivación; </w:t>
      </w:r>
      <w:r w:rsidR="002761D7">
        <w:rPr>
          <w:rFonts w:ascii="Verdana" w:hAnsi="Verdana"/>
          <w:sz w:val="20"/>
          <w:szCs w:val="20"/>
        </w:rPr>
        <w:t>(</w:t>
      </w:r>
      <w:r w:rsidRPr="006B0525">
        <w:rPr>
          <w:rFonts w:ascii="Verdana" w:hAnsi="Verdana"/>
          <w:sz w:val="20"/>
          <w:szCs w:val="20"/>
        </w:rPr>
        <w:t xml:space="preserve">v) errónea valoración de la prueba; </w:t>
      </w:r>
      <w:r w:rsidR="002761D7">
        <w:rPr>
          <w:rFonts w:ascii="Verdana" w:hAnsi="Verdana"/>
          <w:sz w:val="20"/>
          <w:szCs w:val="20"/>
        </w:rPr>
        <w:t>(</w:t>
      </w:r>
      <w:r w:rsidRPr="006B0525">
        <w:rPr>
          <w:rFonts w:ascii="Verdana" w:hAnsi="Verdana"/>
          <w:sz w:val="20"/>
          <w:szCs w:val="20"/>
        </w:rPr>
        <w:t xml:space="preserve">vi) la parte resolutiva de </w:t>
      </w:r>
      <w:r w:rsidRPr="006B0525">
        <w:rPr>
          <w:rFonts w:ascii="Verdana" w:hAnsi="Verdana"/>
          <w:sz w:val="20"/>
          <w:szCs w:val="20"/>
        </w:rPr>
        <w:lastRenderedPageBreak/>
        <w:t>la senten</w:t>
      </w:r>
      <w:r w:rsidR="002761D7">
        <w:rPr>
          <w:rFonts w:ascii="Verdana" w:hAnsi="Verdana"/>
          <w:sz w:val="20"/>
          <w:szCs w:val="20"/>
        </w:rPr>
        <w:t>cia adolecía de vicios formales,</w:t>
      </w:r>
      <w:r w:rsidRPr="006B0525">
        <w:rPr>
          <w:rFonts w:ascii="Verdana" w:hAnsi="Verdana"/>
          <w:sz w:val="20"/>
          <w:szCs w:val="20"/>
        </w:rPr>
        <w:t xml:space="preserve"> e </w:t>
      </w:r>
      <w:r w:rsidR="002761D7">
        <w:rPr>
          <w:rFonts w:ascii="Verdana" w:hAnsi="Verdana"/>
          <w:sz w:val="20"/>
          <w:szCs w:val="20"/>
        </w:rPr>
        <w:t>(</w:t>
      </w:r>
      <w:proofErr w:type="spellStart"/>
      <w:r w:rsidRPr="006B0525">
        <w:rPr>
          <w:rFonts w:ascii="Verdana" w:hAnsi="Verdana"/>
          <w:sz w:val="20"/>
          <w:szCs w:val="20"/>
        </w:rPr>
        <w:t>vii</w:t>
      </w:r>
      <w:proofErr w:type="spellEnd"/>
      <w:r w:rsidRPr="006B0525">
        <w:rPr>
          <w:rFonts w:ascii="Verdana" w:hAnsi="Verdana"/>
          <w:sz w:val="20"/>
          <w:szCs w:val="20"/>
        </w:rPr>
        <w:t>) inobservancia de la ley sustantiva en relación a las circunstancias agravantes, fijación de la pena y fijación de la pena de muerte</w:t>
      </w:r>
      <w:r w:rsidRPr="006B0525">
        <w:rPr>
          <w:rStyle w:val="Refdenotaalpie"/>
          <w:rFonts w:ascii="Verdana" w:hAnsi="Verdana"/>
          <w:sz w:val="20"/>
          <w:szCs w:val="20"/>
        </w:rPr>
        <w:footnoteReference w:id="41"/>
      </w:r>
      <w:r w:rsidRPr="006B0525">
        <w:rPr>
          <w:rFonts w:ascii="Verdana" w:hAnsi="Verdana"/>
          <w:sz w:val="20"/>
          <w:szCs w:val="20"/>
        </w:rPr>
        <w:t>.</w:t>
      </w:r>
    </w:p>
    <w:p w14:paraId="351BB226" w14:textId="77777777" w:rsidR="003E5D77" w:rsidRPr="006B0525" w:rsidRDefault="003E5D77" w:rsidP="00530549">
      <w:pPr>
        <w:pStyle w:val="Normal1"/>
        <w:widowControl/>
        <w:contextualSpacing/>
        <w:jc w:val="both"/>
        <w:rPr>
          <w:rFonts w:ascii="Verdana" w:hAnsi="Verdana"/>
          <w:sz w:val="20"/>
          <w:szCs w:val="20"/>
        </w:rPr>
      </w:pPr>
    </w:p>
    <w:p w14:paraId="028E2071" w14:textId="77777777" w:rsidR="00467516" w:rsidRPr="006B0525" w:rsidRDefault="00467516"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El 2 de septiembre de 1996 la Sala Décima de la Corte de Apelaciones Penal, Narcoactividad </w:t>
      </w:r>
      <w:r w:rsidRPr="002F5A43">
        <w:rPr>
          <w:rFonts w:ascii="Verdana" w:hAnsi="Verdana" w:cs="Arial"/>
          <w:iCs/>
          <w:sz w:val="20"/>
          <w:szCs w:val="20"/>
        </w:rPr>
        <w:t>y</w:t>
      </w:r>
      <w:r w:rsidRPr="006B0525">
        <w:rPr>
          <w:rFonts w:ascii="Verdana" w:hAnsi="Verdana" w:cs="Arial"/>
          <w:i/>
          <w:iCs/>
          <w:sz w:val="20"/>
          <w:szCs w:val="20"/>
        </w:rPr>
        <w:t xml:space="preserve"> </w:t>
      </w:r>
      <w:r w:rsidRPr="006B0525">
        <w:rPr>
          <w:rFonts w:ascii="Verdana" w:hAnsi="Verdana"/>
          <w:sz w:val="20"/>
          <w:szCs w:val="20"/>
        </w:rPr>
        <w:t>Delitos contra el Ambiente (en adelante, “Corte de Apelaciones”) declaró sin lugar los recursos de apelación especial interpuestos</w:t>
      </w:r>
      <w:r w:rsidRPr="006B0525">
        <w:rPr>
          <w:rStyle w:val="Refdenotaalpie"/>
          <w:rFonts w:ascii="Verdana" w:hAnsi="Verdana"/>
          <w:sz w:val="20"/>
          <w:szCs w:val="20"/>
        </w:rPr>
        <w:footnoteReference w:id="42"/>
      </w:r>
      <w:r w:rsidRPr="006B0525">
        <w:rPr>
          <w:rFonts w:ascii="Verdana" w:hAnsi="Verdana"/>
          <w:sz w:val="20"/>
          <w:szCs w:val="20"/>
        </w:rPr>
        <w:t>. En cuanto a los vicios de fondo señalados en el recurso de apelación especial</w:t>
      </w:r>
      <w:r w:rsidRPr="006B0525">
        <w:rPr>
          <w:rStyle w:val="Refdenotaalpie"/>
          <w:rFonts w:ascii="Verdana" w:hAnsi="Verdana"/>
          <w:sz w:val="20"/>
          <w:szCs w:val="20"/>
        </w:rPr>
        <w:footnoteReference w:id="43"/>
      </w:r>
      <w:r w:rsidRPr="006B0525">
        <w:rPr>
          <w:rFonts w:ascii="Verdana" w:hAnsi="Verdana"/>
          <w:sz w:val="20"/>
          <w:szCs w:val="20"/>
        </w:rPr>
        <w:t xml:space="preserve">, la Corte de Apelaciones indicó que dichos motivos no podían ser acogidos </w:t>
      </w:r>
      <w:proofErr w:type="gramStart"/>
      <w:r w:rsidRPr="006B0525">
        <w:rPr>
          <w:rFonts w:ascii="Verdana" w:hAnsi="Verdana"/>
          <w:sz w:val="20"/>
          <w:szCs w:val="20"/>
        </w:rPr>
        <w:t>en razón de</w:t>
      </w:r>
      <w:proofErr w:type="gramEnd"/>
      <w:r w:rsidRPr="006B0525">
        <w:rPr>
          <w:rFonts w:ascii="Verdana" w:hAnsi="Verdana"/>
          <w:sz w:val="20"/>
          <w:szCs w:val="20"/>
        </w:rPr>
        <w:t xml:space="preserve"> que:</w:t>
      </w:r>
    </w:p>
    <w:p w14:paraId="217F5137" w14:textId="77777777" w:rsidR="00467516" w:rsidRPr="006B0525" w:rsidRDefault="00467516" w:rsidP="00530549">
      <w:pPr>
        <w:spacing w:line="240" w:lineRule="auto"/>
        <w:ind w:left="720" w:right="720"/>
        <w:rPr>
          <w:sz w:val="18"/>
          <w:szCs w:val="18"/>
        </w:rPr>
      </w:pPr>
      <w:r w:rsidRPr="006B0525">
        <w:rPr>
          <w:sz w:val="18"/>
          <w:szCs w:val="18"/>
        </w:rPr>
        <w:t>“a) es incontrolable a través del Recurso de Apelación Especial, la forma de cómo fueron aplicadas las circunstancias agravantes genéricas y especificas del delito, porque su aplicación deviene de decisiones del Tribunal de sentencia sobre las pruebas aportadas y dilig</w:t>
      </w:r>
      <w:r w:rsidR="00A52E73" w:rsidRPr="006B0525">
        <w:rPr>
          <w:sz w:val="18"/>
          <w:szCs w:val="18"/>
        </w:rPr>
        <w:t>enciadas en el debate: examen fá</w:t>
      </w:r>
      <w:r w:rsidRPr="006B0525">
        <w:rPr>
          <w:sz w:val="18"/>
          <w:szCs w:val="18"/>
        </w:rPr>
        <w:t xml:space="preserve">ctico que escapa de su control por este Tribunal </w:t>
      </w:r>
      <w:proofErr w:type="gramStart"/>
      <w:r w:rsidRPr="006B0525">
        <w:rPr>
          <w:sz w:val="18"/>
          <w:szCs w:val="18"/>
        </w:rPr>
        <w:t>en razón de</w:t>
      </w:r>
      <w:proofErr w:type="gramEnd"/>
      <w:r w:rsidRPr="006B0525">
        <w:rPr>
          <w:sz w:val="18"/>
          <w:szCs w:val="18"/>
        </w:rPr>
        <w:t xml:space="preserve"> la naturaleza exclusivamente revisora en el campo jurídico del recurso que nos ocupa. Solo es controlable la fijación de circunstancias agravantes o atenuantes para verificar si el tribunal sentenciador se ajustó a la norma jurídica que le confiere dicha facultad;</w:t>
      </w:r>
    </w:p>
    <w:p w14:paraId="2C5B6D5F" w14:textId="77777777" w:rsidR="00467516" w:rsidRPr="006B0525" w:rsidRDefault="00467516" w:rsidP="00530549">
      <w:pPr>
        <w:spacing w:line="240" w:lineRule="auto"/>
        <w:ind w:left="720" w:right="720"/>
        <w:rPr>
          <w:sz w:val="18"/>
          <w:szCs w:val="18"/>
        </w:rPr>
      </w:pPr>
    </w:p>
    <w:p w14:paraId="4A7F9D71" w14:textId="77777777" w:rsidR="00467516" w:rsidRPr="006B0525" w:rsidRDefault="00467516" w:rsidP="00530549">
      <w:pPr>
        <w:spacing w:line="240" w:lineRule="auto"/>
        <w:ind w:left="720" w:right="720"/>
        <w:rPr>
          <w:sz w:val="18"/>
          <w:szCs w:val="18"/>
        </w:rPr>
      </w:pPr>
      <w:r w:rsidRPr="006B0525">
        <w:rPr>
          <w:sz w:val="18"/>
          <w:szCs w:val="18"/>
        </w:rPr>
        <w:t>b) Todo lo relativo a la fijación de la pena, no es susceptible de conocerse por medio del recurso de apelación especial, porque deviene de una facultad discrecional que la ley confiere a los Jueces para que con fundamente en el artículo 65 del Código Penal, arribe a conclusiones de certeza jurídica en cuanto a su fijación: fijación que obviamente parte de los hechos valorados como prueba por Tribunal de Sentencia: control de dichos hechos que como ya se dijo, no pueden ser controlables por el tribunal que hoy resuelve. Solo se puede controlar mediante el recurso que nos ocupa, cuando el Tribunal no haya respetado la normativa que le confiere esa facultad discrecional;</w:t>
      </w:r>
    </w:p>
    <w:p w14:paraId="1CC7E047" w14:textId="77777777" w:rsidR="00467516" w:rsidRPr="006B0525" w:rsidRDefault="00467516" w:rsidP="00530549">
      <w:pPr>
        <w:spacing w:line="240" w:lineRule="auto"/>
        <w:ind w:left="720" w:right="720"/>
        <w:rPr>
          <w:sz w:val="18"/>
          <w:szCs w:val="18"/>
        </w:rPr>
      </w:pPr>
    </w:p>
    <w:p w14:paraId="3AF3D0AC" w14:textId="77777777" w:rsidR="00467516" w:rsidRPr="006B0525" w:rsidRDefault="00467516" w:rsidP="00530549">
      <w:pPr>
        <w:spacing w:line="240" w:lineRule="auto"/>
        <w:ind w:left="720" w:right="720"/>
      </w:pPr>
      <w:r w:rsidRPr="006B0525">
        <w:rPr>
          <w:sz w:val="18"/>
          <w:szCs w:val="18"/>
        </w:rPr>
        <w:t>c) El tribunal de sentencia s</w:t>
      </w:r>
      <w:r w:rsidR="001B12CA" w:rsidRPr="006B0525">
        <w:rPr>
          <w:sz w:val="18"/>
          <w:szCs w:val="18"/>
        </w:rPr>
        <w:t>í</w:t>
      </w:r>
      <w:r w:rsidRPr="006B0525">
        <w:rPr>
          <w:sz w:val="18"/>
          <w:szCs w:val="18"/>
        </w:rPr>
        <w:t xml:space="preserve"> efectuó la fijación de la pena de muerte dentro de los supuestos jurídicos que prescribe la ley de la materia. De cómo arribó a esa conclusión punitiva, no lo puede establecer este Tribunal de alzada, dado que el tribunal de sentencia efectuó su análisis sobre la prueba que apreció directamente, </w:t>
      </w:r>
      <w:proofErr w:type="gramStart"/>
      <w:r w:rsidRPr="006B0525">
        <w:rPr>
          <w:sz w:val="18"/>
          <w:szCs w:val="18"/>
        </w:rPr>
        <w:t>en razón de</w:t>
      </w:r>
      <w:proofErr w:type="gramEnd"/>
      <w:r w:rsidRPr="006B0525">
        <w:rPr>
          <w:sz w:val="18"/>
          <w:szCs w:val="18"/>
        </w:rPr>
        <w:t xml:space="preserve"> haberse diligenciado en el debate del juicio oral. En consecuencia, no se violaron los artículos del Código Penal señalados por el recurrente”</w:t>
      </w:r>
      <w:r w:rsidRPr="006B0525">
        <w:rPr>
          <w:rStyle w:val="Refdenotaalpie"/>
          <w:sz w:val="18"/>
          <w:szCs w:val="18"/>
        </w:rPr>
        <w:footnoteReference w:id="44"/>
      </w:r>
      <w:r w:rsidRPr="006B0525">
        <w:rPr>
          <w:sz w:val="18"/>
          <w:szCs w:val="18"/>
        </w:rPr>
        <w:t xml:space="preserve">. </w:t>
      </w:r>
    </w:p>
    <w:p w14:paraId="369917E6" w14:textId="77777777" w:rsidR="00467516" w:rsidRPr="006B0525" w:rsidRDefault="00467516" w:rsidP="00530549">
      <w:pPr>
        <w:pStyle w:val="Ttulo4"/>
      </w:pPr>
      <w:r w:rsidRPr="006B0525">
        <w:tab/>
      </w:r>
      <w:r w:rsidRPr="006B0525">
        <w:tab/>
        <w:t>(</w:t>
      </w:r>
      <w:proofErr w:type="spellStart"/>
      <w:r w:rsidRPr="006B0525">
        <w:t>ii</w:t>
      </w:r>
      <w:proofErr w:type="spellEnd"/>
      <w:r w:rsidRPr="006B0525">
        <w:t xml:space="preserve">) Recurso de casación </w:t>
      </w:r>
    </w:p>
    <w:p w14:paraId="2A369BFC" w14:textId="77777777" w:rsidR="00467516" w:rsidRPr="006B0525" w:rsidRDefault="00467516" w:rsidP="00530549">
      <w:pPr>
        <w:pStyle w:val="Normal1"/>
        <w:widowControl/>
        <w:numPr>
          <w:ilvl w:val="0"/>
          <w:numId w:val="4"/>
        </w:numPr>
        <w:autoSpaceDE w:val="0"/>
        <w:autoSpaceDN w:val="0"/>
        <w:ind w:left="0" w:firstLine="0"/>
        <w:contextualSpacing/>
        <w:jc w:val="both"/>
        <w:rPr>
          <w:rFonts w:ascii="Verdana" w:hAnsi="Verdana"/>
          <w:sz w:val="20"/>
          <w:szCs w:val="20"/>
        </w:rPr>
      </w:pPr>
      <w:r w:rsidRPr="006B0525">
        <w:rPr>
          <w:rFonts w:ascii="Verdana" w:hAnsi="Verdana"/>
          <w:sz w:val="20"/>
          <w:szCs w:val="20"/>
        </w:rPr>
        <w:t>Los señores Rodríguez Revolorio, López Calo y Archila Pérez interpusieron un recurso de casación en contra de la sentencia dictada por la Sala Dé</w:t>
      </w:r>
      <w:r w:rsidR="00E61E6F" w:rsidRPr="006B0525">
        <w:rPr>
          <w:rFonts w:ascii="Verdana" w:hAnsi="Verdana"/>
          <w:sz w:val="20"/>
          <w:szCs w:val="20"/>
        </w:rPr>
        <w:t xml:space="preserve">cima de la Corte de Apelaciones, alegando que </w:t>
      </w:r>
      <w:r w:rsidRPr="006B0525">
        <w:rPr>
          <w:rFonts w:ascii="Verdana" w:hAnsi="Verdana"/>
          <w:sz w:val="20"/>
          <w:szCs w:val="20"/>
        </w:rPr>
        <w:t>la sentencia dictada por la Corte de Apelaciones incurrió en defectos de forma y fondo</w:t>
      </w:r>
      <w:r w:rsidR="00E61E6F" w:rsidRPr="006B0525">
        <w:rPr>
          <w:rStyle w:val="Refdenotaalpie"/>
          <w:rFonts w:ascii="Verdana" w:hAnsi="Verdana"/>
          <w:sz w:val="20"/>
          <w:szCs w:val="20"/>
        </w:rPr>
        <w:footnoteReference w:id="45"/>
      </w:r>
      <w:r w:rsidRPr="006B0525">
        <w:rPr>
          <w:rFonts w:ascii="Verdana" w:hAnsi="Verdana"/>
          <w:sz w:val="20"/>
          <w:szCs w:val="20"/>
        </w:rPr>
        <w:t>. El 10 de febrero de 1997 la Cámara Penal de la Corte Suprema de Justicia (en adelante, “Corte Suprema”) declaró improcedentes los recursos de casación interpuestos</w:t>
      </w:r>
      <w:r w:rsidRPr="006B0525">
        <w:rPr>
          <w:rStyle w:val="Refdenotaalpie"/>
          <w:rFonts w:ascii="Verdana" w:hAnsi="Verdana"/>
          <w:sz w:val="20"/>
          <w:szCs w:val="20"/>
        </w:rPr>
        <w:footnoteReference w:id="46"/>
      </w:r>
      <w:r w:rsidRPr="006B0525">
        <w:rPr>
          <w:rFonts w:ascii="Verdana" w:hAnsi="Verdana"/>
          <w:sz w:val="20"/>
          <w:szCs w:val="20"/>
        </w:rPr>
        <w:t xml:space="preserve">. </w:t>
      </w:r>
    </w:p>
    <w:p w14:paraId="0C0AECB0" w14:textId="77777777" w:rsidR="00467516" w:rsidRPr="006B0525" w:rsidRDefault="00467516" w:rsidP="00530549">
      <w:pPr>
        <w:pStyle w:val="Ttulo4"/>
      </w:pPr>
      <w:r w:rsidRPr="006B0525">
        <w:lastRenderedPageBreak/>
        <w:tab/>
      </w:r>
      <w:r w:rsidRPr="006B0525">
        <w:tab/>
        <w:t>(</w:t>
      </w:r>
      <w:proofErr w:type="spellStart"/>
      <w:r w:rsidRPr="006B0525">
        <w:t>iii</w:t>
      </w:r>
      <w:proofErr w:type="spellEnd"/>
      <w:r w:rsidRPr="006B0525">
        <w:t xml:space="preserve">) Recurso de amparo </w:t>
      </w:r>
    </w:p>
    <w:p w14:paraId="1A26E31F" w14:textId="77777777" w:rsidR="00467516" w:rsidRPr="006B0525" w:rsidRDefault="00467516" w:rsidP="00530549">
      <w:pPr>
        <w:pStyle w:val="Normal1"/>
        <w:widowControl/>
        <w:numPr>
          <w:ilvl w:val="0"/>
          <w:numId w:val="4"/>
        </w:numPr>
        <w:autoSpaceDE w:val="0"/>
        <w:autoSpaceDN w:val="0"/>
        <w:ind w:left="0" w:firstLine="0"/>
        <w:contextualSpacing/>
        <w:jc w:val="both"/>
        <w:rPr>
          <w:rFonts w:ascii="Verdana" w:hAnsi="Verdana"/>
          <w:sz w:val="20"/>
          <w:szCs w:val="20"/>
        </w:rPr>
      </w:pPr>
      <w:r w:rsidRPr="006B0525">
        <w:rPr>
          <w:rFonts w:ascii="Verdana" w:hAnsi="Verdana"/>
          <w:sz w:val="20"/>
          <w:szCs w:val="20"/>
        </w:rPr>
        <w:t xml:space="preserve">El 14 de marzo de 1997 los señores Rodríguez Revolorio, López Calo y Archila Pérez interpusieron </w:t>
      </w:r>
      <w:r w:rsidR="00E61E6F" w:rsidRPr="006B0525">
        <w:rPr>
          <w:rFonts w:ascii="Verdana" w:hAnsi="Verdana"/>
          <w:sz w:val="20"/>
          <w:szCs w:val="20"/>
        </w:rPr>
        <w:t xml:space="preserve">ante la Corte de Constitucionalidad </w:t>
      </w:r>
      <w:r w:rsidRPr="006B0525">
        <w:rPr>
          <w:rFonts w:ascii="Verdana" w:hAnsi="Verdana"/>
          <w:sz w:val="20"/>
          <w:szCs w:val="20"/>
        </w:rPr>
        <w:t>un recurso de amparo en contra de la sentencia que denegó los recursos de casación, alegando violación del derecho de defensa y al debido proceso y petición</w:t>
      </w:r>
      <w:r w:rsidRPr="006B0525">
        <w:rPr>
          <w:rStyle w:val="Refdenotaalpie"/>
          <w:rFonts w:ascii="Verdana" w:hAnsi="Verdana"/>
          <w:sz w:val="20"/>
          <w:szCs w:val="20"/>
        </w:rPr>
        <w:footnoteReference w:id="47"/>
      </w:r>
      <w:r w:rsidRPr="006B0525">
        <w:rPr>
          <w:rFonts w:ascii="Verdana" w:hAnsi="Verdana"/>
          <w:sz w:val="20"/>
          <w:szCs w:val="20"/>
        </w:rPr>
        <w:t>. El 18 de junio de 1997 la Corte de Constitucionalidad denegó dicho recurso</w:t>
      </w:r>
      <w:r w:rsidRPr="006B0525">
        <w:rPr>
          <w:rStyle w:val="Refdenotaalpie"/>
          <w:rFonts w:ascii="Verdana" w:hAnsi="Verdana"/>
          <w:sz w:val="20"/>
          <w:szCs w:val="20"/>
        </w:rPr>
        <w:footnoteReference w:id="48"/>
      </w:r>
      <w:r w:rsidR="001B12CA" w:rsidRPr="006B0525">
        <w:rPr>
          <w:rFonts w:ascii="Verdana" w:hAnsi="Verdana"/>
          <w:sz w:val="20"/>
          <w:szCs w:val="20"/>
        </w:rPr>
        <w:t xml:space="preserve">, arguyendo que </w:t>
      </w:r>
      <w:r w:rsidRPr="006B0525">
        <w:rPr>
          <w:rFonts w:ascii="Verdana" w:hAnsi="Verdana"/>
          <w:sz w:val="20"/>
          <w:szCs w:val="20"/>
        </w:rPr>
        <w:t>la Corte Suprema “no violó a los postulantes los derechos denunciados y resolvió de conformidad con sus facultades legales”</w:t>
      </w:r>
      <w:r w:rsidRPr="006B0525">
        <w:rPr>
          <w:rStyle w:val="Refdenotaalpie"/>
          <w:rFonts w:ascii="Verdana" w:hAnsi="Verdana"/>
          <w:sz w:val="20"/>
          <w:szCs w:val="20"/>
        </w:rPr>
        <w:footnoteReference w:id="49"/>
      </w:r>
      <w:r w:rsidRPr="006B0525">
        <w:rPr>
          <w:rFonts w:ascii="Verdana" w:hAnsi="Verdana"/>
          <w:sz w:val="20"/>
          <w:szCs w:val="20"/>
        </w:rPr>
        <w:t xml:space="preserve">. </w:t>
      </w:r>
    </w:p>
    <w:p w14:paraId="60E3E52A" w14:textId="77777777" w:rsidR="00467516" w:rsidRPr="006B0525" w:rsidRDefault="00467516" w:rsidP="00530549">
      <w:pPr>
        <w:pStyle w:val="Ttulo4"/>
      </w:pPr>
      <w:r w:rsidRPr="006B0525">
        <w:tab/>
      </w:r>
      <w:r w:rsidRPr="006B0525">
        <w:tab/>
        <w:t>(</w:t>
      </w:r>
      <w:proofErr w:type="spellStart"/>
      <w:r w:rsidRPr="006B0525">
        <w:t>iv</w:t>
      </w:r>
      <w:proofErr w:type="spellEnd"/>
      <w:r w:rsidRPr="006B0525">
        <w:t>) Recurso</w:t>
      </w:r>
      <w:r w:rsidR="00372207" w:rsidRPr="006B0525">
        <w:t>s</w:t>
      </w:r>
      <w:r w:rsidRPr="006B0525">
        <w:t xml:space="preserve"> de revisión y posterior conmutación de la pena</w:t>
      </w:r>
    </w:p>
    <w:p w14:paraId="21DB7259" w14:textId="77777777" w:rsidR="00467516" w:rsidRPr="006B0525" w:rsidRDefault="00467516" w:rsidP="00530549">
      <w:pPr>
        <w:pStyle w:val="Normal1"/>
        <w:widowControl/>
        <w:numPr>
          <w:ilvl w:val="0"/>
          <w:numId w:val="4"/>
        </w:numPr>
        <w:autoSpaceDE w:val="0"/>
        <w:autoSpaceDN w:val="0"/>
        <w:ind w:left="0" w:firstLine="0"/>
        <w:contextualSpacing/>
        <w:jc w:val="both"/>
        <w:rPr>
          <w:rFonts w:ascii="Verdana" w:hAnsi="Verdana"/>
          <w:sz w:val="20"/>
          <w:szCs w:val="20"/>
        </w:rPr>
      </w:pPr>
      <w:r w:rsidRPr="006B0525">
        <w:rPr>
          <w:rFonts w:ascii="Verdana" w:hAnsi="Verdana"/>
          <w:sz w:val="20"/>
          <w:szCs w:val="20"/>
        </w:rPr>
        <w:t xml:space="preserve">El 30 de julio de 1997 los señores Rodríguez Revolorio, López Calo y Archila Pérez presentaron un recurso de revisión de la sentencia dictada por el Tribunal </w:t>
      </w:r>
      <w:r w:rsidR="001B12CA" w:rsidRPr="006B0525">
        <w:rPr>
          <w:rFonts w:ascii="Verdana" w:hAnsi="Verdana"/>
          <w:sz w:val="20"/>
          <w:szCs w:val="20"/>
        </w:rPr>
        <w:t>de Sentencia Penal</w:t>
      </w:r>
      <w:r w:rsidRPr="006B0525">
        <w:rPr>
          <w:rFonts w:ascii="Verdana" w:hAnsi="Verdana"/>
          <w:sz w:val="20"/>
          <w:szCs w:val="20"/>
        </w:rPr>
        <w:t>. El 18 de febrero de 1998 la Cámara Penal de la Corte Suprema de Justicia declaró sin lugar el recurso de revisión</w:t>
      </w:r>
      <w:r w:rsidRPr="006B0525">
        <w:rPr>
          <w:rStyle w:val="Refdenotaalpie"/>
          <w:rFonts w:ascii="Verdana" w:hAnsi="Verdana"/>
          <w:sz w:val="20"/>
          <w:szCs w:val="20"/>
        </w:rPr>
        <w:footnoteReference w:id="50"/>
      </w:r>
      <w:r w:rsidRPr="006B0525">
        <w:rPr>
          <w:rFonts w:ascii="Verdana" w:hAnsi="Verdana"/>
          <w:sz w:val="20"/>
          <w:szCs w:val="20"/>
        </w:rPr>
        <w:t xml:space="preserve">. Los señores Rodríguez Revolorio, López Calo y Archila Pérez interpusieron un recurso de reposición en contra dicha resolución, el cual fue declarado sin lugar el </w:t>
      </w:r>
      <w:r w:rsidRPr="006B0525">
        <w:rPr>
          <w:rFonts w:ascii="Verdana" w:hAnsi="Verdana" w:cs="Arial"/>
          <w:sz w:val="20"/>
          <w:szCs w:val="20"/>
        </w:rPr>
        <w:t xml:space="preserve">3 </w:t>
      </w:r>
      <w:r w:rsidRPr="006B0525">
        <w:rPr>
          <w:rFonts w:ascii="Verdana" w:hAnsi="Verdana"/>
          <w:sz w:val="20"/>
          <w:szCs w:val="20"/>
        </w:rPr>
        <w:t>de marzo de 1998</w:t>
      </w:r>
      <w:r w:rsidRPr="006B0525">
        <w:rPr>
          <w:rStyle w:val="Refdenotaalpie"/>
          <w:rFonts w:ascii="Verdana" w:hAnsi="Verdana"/>
          <w:sz w:val="20"/>
          <w:szCs w:val="20"/>
        </w:rPr>
        <w:footnoteReference w:id="51"/>
      </w:r>
      <w:r w:rsidRPr="006B0525">
        <w:rPr>
          <w:rFonts w:ascii="Verdana" w:hAnsi="Verdana"/>
          <w:sz w:val="20"/>
          <w:szCs w:val="20"/>
        </w:rPr>
        <w:t xml:space="preserve">. </w:t>
      </w:r>
    </w:p>
    <w:p w14:paraId="7ABE7DFF" w14:textId="77777777" w:rsidR="00467516" w:rsidRPr="006B0525" w:rsidRDefault="00467516" w:rsidP="00530549">
      <w:pPr>
        <w:pStyle w:val="Normal1"/>
        <w:widowControl/>
        <w:autoSpaceDE w:val="0"/>
        <w:autoSpaceDN w:val="0"/>
        <w:contextualSpacing/>
        <w:jc w:val="both"/>
        <w:rPr>
          <w:rFonts w:ascii="Verdana" w:hAnsi="Verdana"/>
          <w:sz w:val="20"/>
          <w:szCs w:val="20"/>
        </w:rPr>
      </w:pPr>
    </w:p>
    <w:p w14:paraId="78F48C48" w14:textId="77777777" w:rsidR="00E61E6F" w:rsidRPr="006B0525" w:rsidRDefault="00467516" w:rsidP="00530549">
      <w:pPr>
        <w:pStyle w:val="Normal1"/>
        <w:widowControl/>
        <w:numPr>
          <w:ilvl w:val="0"/>
          <w:numId w:val="4"/>
        </w:numPr>
        <w:autoSpaceDE w:val="0"/>
        <w:autoSpaceDN w:val="0"/>
        <w:ind w:left="0" w:firstLine="0"/>
        <w:contextualSpacing/>
        <w:jc w:val="both"/>
        <w:rPr>
          <w:rFonts w:ascii="Verdana" w:hAnsi="Verdana"/>
          <w:sz w:val="20"/>
          <w:szCs w:val="20"/>
        </w:rPr>
      </w:pPr>
      <w:r w:rsidRPr="006B0525">
        <w:rPr>
          <w:rFonts w:ascii="Verdana" w:hAnsi="Verdana"/>
          <w:sz w:val="20"/>
          <w:szCs w:val="20"/>
        </w:rPr>
        <w:t>El 15 de abril de 1998 el señor López Calo interpuso un recurso de amparo en contra de la decisión de 18 de febrero de 1998 que declaró sin lugar el recurso de revisión y la resolución de 3 de marzo de 1998 que declaró sin lugar los recursos de reposición presentados contra la anterior resolución de 18 de febrero de 1998</w:t>
      </w:r>
      <w:r w:rsidRPr="006B0525">
        <w:rPr>
          <w:rStyle w:val="Refdenotaalpie"/>
          <w:rFonts w:ascii="Verdana" w:hAnsi="Verdana"/>
          <w:sz w:val="20"/>
          <w:szCs w:val="20"/>
        </w:rPr>
        <w:footnoteReference w:id="52"/>
      </w:r>
      <w:r w:rsidRPr="006B0525">
        <w:rPr>
          <w:rFonts w:ascii="Verdana" w:hAnsi="Verdana"/>
          <w:sz w:val="20"/>
          <w:szCs w:val="20"/>
        </w:rPr>
        <w:t>. El 18 de junio</w:t>
      </w:r>
      <w:r w:rsidR="0081227B" w:rsidRPr="006B0525">
        <w:rPr>
          <w:rFonts w:ascii="Verdana" w:hAnsi="Verdana"/>
          <w:sz w:val="20"/>
          <w:szCs w:val="20"/>
        </w:rPr>
        <w:t xml:space="preserve"> de 1998</w:t>
      </w:r>
      <w:r w:rsidRPr="006B0525">
        <w:rPr>
          <w:rFonts w:ascii="Verdana" w:hAnsi="Verdana"/>
          <w:sz w:val="20"/>
          <w:szCs w:val="20"/>
        </w:rPr>
        <w:t xml:space="preserve"> la Corte de Constitucionalidad declaró sin lugar el amparo solicitado por el señor López Calo</w:t>
      </w:r>
      <w:r w:rsidRPr="006B0525">
        <w:rPr>
          <w:rStyle w:val="Refdenotaalpie"/>
          <w:rFonts w:ascii="Verdana" w:hAnsi="Verdana"/>
          <w:sz w:val="20"/>
          <w:szCs w:val="20"/>
        </w:rPr>
        <w:footnoteReference w:id="53"/>
      </w:r>
      <w:r w:rsidRPr="006B0525">
        <w:rPr>
          <w:rFonts w:ascii="Verdana" w:hAnsi="Verdana"/>
          <w:sz w:val="20"/>
          <w:szCs w:val="20"/>
        </w:rPr>
        <w:t xml:space="preserve">. </w:t>
      </w:r>
    </w:p>
    <w:p w14:paraId="58B68EAE" w14:textId="77777777" w:rsidR="00E61E6F" w:rsidRPr="006B0525" w:rsidRDefault="00E61E6F" w:rsidP="00530549">
      <w:pPr>
        <w:pStyle w:val="Normal1"/>
        <w:widowControl/>
        <w:autoSpaceDE w:val="0"/>
        <w:autoSpaceDN w:val="0"/>
        <w:contextualSpacing/>
        <w:jc w:val="both"/>
        <w:rPr>
          <w:rFonts w:ascii="Verdana" w:hAnsi="Verdana"/>
          <w:sz w:val="20"/>
          <w:szCs w:val="20"/>
        </w:rPr>
      </w:pPr>
    </w:p>
    <w:p w14:paraId="6E8C9208" w14:textId="77777777" w:rsidR="00467516" w:rsidRPr="006B0525" w:rsidRDefault="00505B56" w:rsidP="00530549">
      <w:pPr>
        <w:pStyle w:val="Normal1"/>
        <w:widowControl/>
        <w:numPr>
          <w:ilvl w:val="0"/>
          <w:numId w:val="4"/>
        </w:numPr>
        <w:autoSpaceDE w:val="0"/>
        <w:autoSpaceDN w:val="0"/>
        <w:ind w:left="0" w:firstLine="0"/>
        <w:contextualSpacing/>
        <w:jc w:val="both"/>
        <w:rPr>
          <w:rFonts w:ascii="Verdana" w:hAnsi="Verdana"/>
          <w:sz w:val="20"/>
          <w:szCs w:val="20"/>
        </w:rPr>
      </w:pPr>
      <w:r w:rsidRPr="006B0525">
        <w:rPr>
          <w:rFonts w:ascii="Verdana" w:hAnsi="Verdana"/>
          <w:sz w:val="20"/>
          <w:szCs w:val="20"/>
        </w:rPr>
        <w:t>El señor Archila Pérez falleció el 16 de julio de 1999</w:t>
      </w:r>
      <w:r w:rsidRPr="006B0525">
        <w:rPr>
          <w:rStyle w:val="Refdenotaalpie"/>
          <w:rFonts w:ascii="Verdana" w:hAnsi="Verdana" w:cs="Arial"/>
          <w:sz w:val="20"/>
          <w:szCs w:val="20"/>
        </w:rPr>
        <w:footnoteReference w:id="54"/>
      </w:r>
      <w:r w:rsidRPr="006B0525">
        <w:rPr>
          <w:rFonts w:ascii="Verdana" w:hAnsi="Verdana"/>
          <w:sz w:val="20"/>
          <w:szCs w:val="20"/>
        </w:rPr>
        <w:t>.</w:t>
      </w:r>
      <w:r w:rsidR="00E61E6F" w:rsidRPr="006B0525">
        <w:rPr>
          <w:rFonts w:ascii="Verdana" w:hAnsi="Verdana"/>
          <w:sz w:val="20"/>
          <w:szCs w:val="20"/>
        </w:rPr>
        <w:t xml:space="preserve"> </w:t>
      </w:r>
      <w:r w:rsidRPr="006B0525">
        <w:rPr>
          <w:rFonts w:ascii="Verdana" w:hAnsi="Verdana"/>
          <w:sz w:val="20"/>
          <w:szCs w:val="20"/>
        </w:rPr>
        <w:t>Años más tarde</w:t>
      </w:r>
      <w:r w:rsidR="00467516" w:rsidRPr="006B0525">
        <w:rPr>
          <w:rFonts w:ascii="Verdana" w:hAnsi="Verdana"/>
          <w:sz w:val="20"/>
          <w:szCs w:val="20"/>
        </w:rPr>
        <w:t xml:space="preserve">, los señores Rodríguez Revolorio y López Calo interpusieron un nuevo recurso de revisión contra la referida sentencia del Tribunal </w:t>
      </w:r>
      <w:r w:rsidR="006E0A18" w:rsidRPr="006B0525">
        <w:rPr>
          <w:rFonts w:ascii="Verdana" w:hAnsi="Verdana"/>
          <w:sz w:val="20"/>
          <w:szCs w:val="20"/>
        </w:rPr>
        <w:t>de Sentencia Penal</w:t>
      </w:r>
      <w:r w:rsidR="00467516" w:rsidRPr="006B0525">
        <w:rPr>
          <w:rFonts w:ascii="Verdana" w:hAnsi="Verdana"/>
          <w:sz w:val="20"/>
          <w:szCs w:val="20"/>
        </w:rPr>
        <w:t xml:space="preserve">, argumentando que los hechos tenidos como fundamento de su condena resultaban inconciliables con una sentencia de la Corte Interamericana de Derechos Humanos del </w:t>
      </w:r>
      <w:r w:rsidR="00467516" w:rsidRPr="006B0525">
        <w:rPr>
          <w:rFonts w:ascii="Verdana" w:hAnsi="Verdana"/>
          <w:sz w:val="20"/>
          <w:szCs w:val="20"/>
        </w:rPr>
        <w:lastRenderedPageBreak/>
        <w:t>año 2005</w:t>
      </w:r>
      <w:r w:rsidR="00467516" w:rsidRPr="006B0525">
        <w:rPr>
          <w:rStyle w:val="Refdenotaalpie"/>
          <w:rFonts w:ascii="Verdana" w:hAnsi="Verdana"/>
          <w:sz w:val="20"/>
          <w:szCs w:val="20"/>
        </w:rPr>
        <w:footnoteReference w:id="55"/>
      </w:r>
      <w:r w:rsidR="00467516" w:rsidRPr="006B0525">
        <w:rPr>
          <w:rFonts w:ascii="Verdana" w:hAnsi="Verdana"/>
          <w:sz w:val="20"/>
          <w:szCs w:val="20"/>
        </w:rPr>
        <w:t xml:space="preserve"> y una sentencia de la Corte Suprema de Justicia</w:t>
      </w:r>
      <w:r w:rsidR="00467516" w:rsidRPr="006B0525">
        <w:rPr>
          <w:rStyle w:val="Refdenotaalpie"/>
          <w:rFonts w:ascii="Verdana" w:hAnsi="Verdana"/>
          <w:sz w:val="20"/>
          <w:szCs w:val="20"/>
        </w:rPr>
        <w:footnoteReference w:id="56"/>
      </w:r>
      <w:r w:rsidR="00467516" w:rsidRPr="006B0525">
        <w:rPr>
          <w:rFonts w:ascii="Verdana" w:hAnsi="Verdana"/>
          <w:sz w:val="20"/>
          <w:szCs w:val="20"/>
        </w:rPr>
        <w:t xml:space="preserve">. El </w:t>
      </w:r>
      <w:r w:rsidR="00D4412B" w:rsidRPr="006B0525">
        <w:rPr>
          <w:rFonts w:ascii="Verdana" w:hAnsi="Verdana"/>
          <w:sz w:val="20"/>
          <w:szCs w:val="20"/>
        </w:rPr>
        <w:t>2</w:t>
      </w:r>
      <w:r w:rsidR="00467516" w:rsidRPr="006B0525">
        <w:rPr>
          <w:rFonts w:ascii="Verdana" w:hAnsi="Verdana"/>
          <w:sz w:val="20"/>
          <w:szCs w:val="20"/>
        </w:rPr>
        <w:t xml:space="preserve"> de </w:t>
      </w:r>
      <w:r w:rsidR="00D4412B" w:rsidRPr="006B0525">
        <w:rPr>
          <w:rFonts w:ascii="Verdana" w:hAnsi="Verdana"/>
          <w:sz w:val="20"/>
          <w:szCs w:val="20"/>
        </w:rPr>
        <w:t>julio</w:t>
      </w:r>
      <w:r w:rsidR="00467516" w:rsidRPr="006B0525">
        <w:rPr>
          <w:rFonts w:ascii="Verdana" w:hAnsi="Verdana"/>
          <w:sz w:val="20"/>
          <w:szCs w:val="20"/>
        </w:rPr>
        <w:t xml:space="preserve"> de </w:t>
      </w:r>
      <w:r w:rsidR="00D4412B" w:rsidRPr="006B0525">
        <w:rPr>
          <w:rFonts w:ascii="Verdana" w:hAnsi="Verdana"/>
          <w:sz w:val="20"/>
          <w:szCs w:val="20"/>
        </w:rPr>
        <w:t>2012</w:t>
      </w:r>
      <w:r w:rsidR="00467516" w:rsidRPr="006B0525">
        <w:rPr>
          <w:rFonts w:ascii="Verdana" w:hAnsi="Verdana"/>
          <w:sz w:val="20"/>
          <w:szCs w:val="20"/>
        </w:rPr>
        <w:t xml:space="preserve"> la Corte Suprema declaró con lugar dicho recurso y decidió anular parcialmente la sentencia en lo relativo a la pena de muerte impuesta, imponiéndoles</w:t>
      </w:r>
      <w:r w:rsidR="00467516" w:rsidRPr="006B0525">
        <w:rPr>
          <w:rFonts w:ascii="Verdana" w:hAnsi="Verdana" w:cs="Arial"/>
          <w:sz w:val="20"/>
          <w:szCs w:val="20"/>
        </w:rPr>
        <w:t xml:space="preserve"> “la pena superior inmediata a la pena de muerte, vigente al momento de la comisión del hecho delictivo, que era la de treinta años de prisión inconmutables”</w:t>
      </w:r>
      <w:r w:rsidR="00467516" w:rsidRPr="006B0525">
        <w:rPr>
          <w:rStyle w:val="Refdenotaalpie"/>
          <w:rFonts w:ascii="Verdana" w:hAnsi="Verdana" w:cs="Arial"/>
          <w:sz w:val="20"/>
          <w:szCs w:val="20"/>
        </w:rPr>
        <w:footnoteReference w:id="57"/>
      </w:r>
      <w:r w:rsidR="00467516" w:rsidRPr="006B0525">
        <w:rPr>
          <w:rFonts w:ascii="Verdana" w:hAnsi="Verdana" w:cs="Arial"/>
          <w:sz w:val="20"/>
          <w:szCs w:val="20"/>
        </w:rPr>
        <w:t>.</w:t>
      </w:r>
      <w:r w:rsidR="00467516" w:rsidRPr="006B0525" w:rsidDel="00A54EE3">
        <w:rPr>
          <w:rFonts w:ascii="Verdana" w:hAnsi="Verdana" w:cs="Arial"/>
          <w:sz w:val="20"/>
          <w:szCs w:val="20"/>
        </w:rPr>
        <w:t xml:space="preserve"> </w:t>
      </w:r>
    </w:p>
    <w:p w14:paraId="21CB4188" w14:textId="77777777" w:rsidR="00505B56" w:rsidRPr="006B0525" w:rsidRDefault="00505B56" w:rsidP="00530549">
      <w:pPr>
        <w:pStyle w:val="Normal1"/>
        <w:widowControl/>
        <w:contextualSpacing/>
        <w:jc w:val="both"/>
        <w:rPr>
          <w:rFonts w:ascii="Verdana" w:hAnsi="Verdana"/>
          <w:sz w:val="20"/>
          <w:szCs w:val="20"/>
        </w:rPr>
      </w:pPr>
    </w:p>
    <w:p w14:paraId="0D9DC55E" w14:textId="77777777" w:rsidR="00772CF7" w:rsidRPr="006B0525" w:rsidRDefault="00772CF7"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El 15 de noviembre de 2013 el Juzgado Primero </w:t>
      </w:r>
      <w:r w:rsidR="004D2A8A" w:rsidRPr="006B0525">
        <w:rPr>
          <w:rFonts w:ascii="Verdana" w:hAnsi="Verdana"/>
          <w:sz w:val="20"/>
          <w:szCs w:val="20"/>
        </w:rPr>
        <w:t>Pluripersonal</w:t>
      </w:r>
      <w:r w:rsidRPr="006B0525">
        <w:rPr>
          <w:rFonts w:ascii="Verdana" w:hAnsi="Verdana"/>
          <w:sz w:val="20"/>
          <w:szCs w:val="20"/>
        </w:rPr>
        <w:t xml:space="preserve"> de Ejecución Penal estableció que las presuntas víctimas cumplirían la pena total el 10 de febrero de 2025, tendrían derecho al beneficio de buena conducta y a solicitar la libertad condicional el 12 de agosto de 2017</w:t>
      </w:r>
      <w:r w:rsidR="00505B56" w:rsidRPr="006B0525">
        <w:rPr>
          <w:rStyle w:val="Refdenotaalpie"/>
          <w:rFonts w:ascii="Verdana" w:hAnsi="Verdana"/>
          <w:sz w:val="20"/>
          <w:szCs w:val="20"/>
        </w:rPr>
        <w:footnoteReference w:id="58"/>
      </w:r>
      <w:r w:rsidRPr="006B0525">
        <w:rPr>
          <w:rFonts w:ascii="Verdana" w:hAnsi="Verdana"/>
          <w:sz w:val="20"/>
          <w:szCs w:val="20"/>
        </w:rPr>
        <w:t xml:space="preserve">. Los señores Rodríguez Revolorio y López Calo obtuvieron </w:t>
      </w:r>
      <w:r w:rsidR="00771716" w:rsidRPr="006B0525">
        <w:rPr>
          <w:rFonts w:ascii="Verdana" w:hAnsi="Verdana"/>
          <w:sz w:val="20"/>
          <w:szCs w:val="20"/>
        </w:rPr>
        <w:t xml:space="preserve">finalmente </w:t>
      </w:r>
      <w:r w:rsidRPr="006B0525">
        <w:rPr>
          <w:rFonts w:ascii="Verdana" w:hAnsi="Verdana"/>
          <w:sz w:val="20"/>
          <w:szCs w:val="20"/>
        </w:rPr>
        <w:t>su libertad el 14 de abril y 23 de agosto de 2016, respectivamente</w:t>
      </w:r>
      <w:r w:rsidR="00771716" w:rsidRPr="006B0525">
        <w:rPr>
          <w:rFonts w:ascii="Verdana" w:hAnsi="Verdana"/>
          <w:sz w:val="20"/>
          <w:szCs w:val="20"/>
        </w:rPr>
        <w:t>, ambos por el beneficio de redención de penas por trabajo y buena conducta</w:t>
      </w:r>
      <w:r w:rsidRPr="006B0525">
        <w:rPr>
          <w:rStyle w:val="Refdenotaalpie"/>
          <w:rFonts w:ascii="Verdana" w:hAnsi="Verdana"/>
          <w:sz w:val="20"/>
          <w:szCs w:val="20"/>
        </w:rPr>
        <w:footnoteReference w:id="59"/>
      </w:r>
      <w:r w:rsidRPr="006B0525">
        <w:rPr>
          <w:rFonts w:ascii="Verdana" w:hAnsi="Verdana"/>
          <w:sz w:val="20"/>
          <w:szCs w:val="20"/>
        </w:rPr>
        <w:t xml:space="preserve">. </w:t>
      </w:r>
      <w:r w:rsidR="006E0A18" w:rsidRPr="006B0525">
        <w:rPr>
          <w:rFonts w:ascii="Verdana" w:hAnsi="Verdana"/>
          <w:sz w:val="20"/>
          <w:szCs w:val="20"/>
        </w:rPr>
        <w:t xml:space="preserve">El señor López Calo </w:t>
      </w:r>
      <w:r w:rsidR="006E0A18" w:rsidRPr="006B0525">
        <w:rPr>
          <w:rStyle w:val="fontstyle01"/>
          <w:rFonts w:ascii="Verdana" w:hAnsi="Verdana"/>
          <w:color w:val="auto"/>
          <w:sz w:val="20"/>
          <w:szCs w:val="20"/>
        </w:rPr>
        <w:t>falleció el día de 11 de enero de 2017 de un infarto de miocardio</w:t>
      </w:r>
      <w:r w:rsidR="006E0A18" w:rsidRPr="006B0525">
        <w:rPr>
          <w:rStyle w:val="Refdenotaalpie"/>
          <w:rFonts w:ascii="Verdana" w:hAnsi="Verdana" w:cs="Arial"/>
          <w:sz w:val="20"/>
          <w:szCs w:val="20"/>
        </w:rPr>
        <w:footnoteReference w:id="60"/>
      </w:r>
      <w:r w:rsidR="006E0A18" w:rsidRPr="006B0525">
        <w:rPr>
          <w:rStyle w:val="fontstyle01"/>
          <w:rFonts w:ascii="Verdana" w:hAnsi="Verdana"/>
          <w:color w:val="auto"/>
          <w:sz w:val="20"/>
          <w:szCs w:val="20"/>
        </w:rPr>
        <w:t>.</w:t>
      </w:r>
    </w:p>
    <w:p w14:paraId="78A95B25" w14:textId="77777777" w:rsidR="0087580C" w:rsidRPr="006B0525" w:rsidRDefault="0087580C" w:rsidP="00530549">
      <w:pPr>
        <w:pStyle w:val="Ttulo1"/>
      </w:pPr>
      <w:bookmarkStart w:id="48" w:name="_Toc26177805"/>
      <w:r w:rsidRPr="006B0525">
        <w:t>VII</w:t>
      </w:r>
      <w:r w:rsidR="00241F90" w:rsidRPr="006B0525">
        <w:t>I</w:t>
      </w:r>
      <w:r w:rsidRPr="006B0525">
        <w:br/>
        <w:t>FONDO</w:t>
      </w:r>
      <w:bookmarkEnd w:id="48"/>
    </w:p>
    <w:p w14:paraId="141A9CE5" w14:textId="77777777" w:rsidR="009951E1" w:rsidRPr="006B0525" w:rsidRDefault="009951E1" w:rsidP="000508B6">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En el presente caso, la Comisión y las representantes sostienen que la pena de muerte impuesta a los señores Rodríguez Revolorio, López Calo y Archila Pérez </w:t>
      </w:r>
      <w:r w:rsidR="00503CA9">
        <w:rPr>
          <w:rFonts w:ascii="Verdana" w:hAnsi="Verdana"/>
          <w:sz w:val="20"/>
          <w:szCs w:val="20"/>
        </w:rPr>
        <w:t>se realizó</w:t>
      </w:r>
      <w:r w:rsidRPr="006B0525">
        <w:rPr>
          <w:rFonts w:ascii="Verdana" w:hAnsi="Verdana"/>
          <w:sz w:val="20"/>
          <w:szCs w:val="20"/>
        </w:rPr>
        <w:t xml:space="preserve"> tras considerar por acreditada su peligrosidad futura y en el marco de un procedimiento penal donde se </w:t>
      </w:r>
      <w:r w:rsidRPr="006B0525">
        <w:rPr>
          <w:rFonts w:ascii="Verdana" w:hAnsi="Verdana"/>
          <w:iCs/>
          <w:sz w:val="20"/>
          <w:szCs w:val="20"/>
        </w:rPr>
        <w:t xml:space="preserve">produjeron graves violaciones al derecho al </w:t>
      </w:r>
      <w:r w:rsidR="00503CA9" w:rsidRPr="006B0525">
        <w:rPr>
          <w:rFonts w:ascii="Verdana" w:hAnsi="Verdana"/>
          <w:iCs/>
          <w:sz w:val="20"/>
          <w:szCs w:val="20"/>
        </w:rPr>
        <w:t xml:space="preserve">debido </w:t>
      </w:r>
      <w:r w:rsidRPr="006B0525">
        <w:rPr>
          <w:rFonts w:ascii="Verdana" w:hAnsi="Verdana"/>
          <w:iCs/>
          <w:sz w:val="20"/>
          <w:szCs w:val="20"/>
        </w:rPr>
        <w:t>proceso</w:t>
      </w:r>
      <w:r w:rsidRPr="006B0525">
        <w:rPr>
          <w:rFonts w:ascii="Verdana" w:hAnsi="Verdana"/>
          <w:sz w:val="20"/>
          <w:szCs w:val="20"/>
        </w:rPr>
        <w:t xml:space="preserve">. Asimismo, consideraron que se violó el derecho a la integridad personal de los señores Rodríguez Revolorio, López Calo y Archila Pérez, debido a las condiciones carcelarias a las que estuvieron sometidos, junto con la sujeción </w:t>
      </w:r>
      <w:r w:rsidR="006146E8">
        <w:rPr>
          <w:rFonts w:ascii="Verdana" w:hAnsi="Verdana"/>
          <w:sz w:val="20"/>
          <w:szCs w:val="20"/>
        </w:rPr>
        <w:t>de</w:t>
      </w:r>
      <w:r w:rsidR="00503CA9">
        <w:rPr>
          <w:rFonts w:ascii="Verdana" w:hAnsi="Verdana"/>
          <w:sz w:val="20"/>
          <w:szCs w:val="20"/>
        </w:rPr>
        <w:t xml:space="preserve"> éstos </w:t>
      </w:r>
      <w:r w:rsidRPr="006B0525">
        <w:rPr>
          <w:rFonts w:ascii="Verdana" w:hAnsi="Verdana"/>
          <w:sz w:val="20"/>
          <w:szCs w:val="20"/>
        </w:rPr>
        <w:t>al fenómeno del “corredor de la muerte”</w:t>
      </w:r>
      <w:r w:rsidR="003F65B9" w:rsidRPr="006B0525">
        <w:rPr>
          <w:rFonts w:ascii="Verdana" w:hAnsi="Verdana"/>
          <w:sz w:val="20"/>
          <w:szCs w:val="20"/>
        </w:rPr>
        <w:t>.</w:t>
      </w:r>
    </w:p>
    <w:p w14:paraId="5C01B9CF" w14:textId="77777777" w:rsidR="003F65B9" w:rsidRPr="006B0525" w:rsidRDefault="003F65B9" w:rsidP="003F65B9">
      <w:pPr>
        <w:pStyle w:val="Normal1"/>
        <w:widowControl/>
        <w:contextualSpacing/>
        <w:jc w:val="both"/>
        <w:rPr>
          <w:rFonts w:ascii="Verdana" w:hAnsi="Verdana"/>
          <w:sz w:val="20"/>
          <w:szCs w:val="20"/>
        </w:rPr>
      </w:pPr>
    </w:p>
    <w:p w14:paraId="49421204" w14:textId="77777777" w:rsidR="00467516" w:rsidRPr="006B0525" w:rsidRDefault="009951E1" w:rsidP="00A5185F">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A la vista de lo anterior, </w:t>
      </w:r>
      <w:r w:rsidR="00467516" w:rsidRPr="006B0525">
        <w:rPr>
          <w:rFonts w:ascii="Verdana" w:hAnsi="Verdana"/>
          <w:sz w:val="20"/>
          <w:szCs w:val="20"/>
        </w:rPr>
        <w:t>en el presente caso la Corte examinará la alegada responsabilidad del Estado por (</w:t>
      </w:r>
      <w:r w:rsidR="002761D7">
        <w:rPr>
          <w:rFonts w:ascii="Verdana" w:hAnsi="Verdana"/>
          <w:sz w:val="20"/>
          <w:szCs w:val="20"/>
        </w:rPr>
        <w:t>i</w:t>
      </w:r>
      <w:r w:rsidR="00467516" w:rsidRPr="006B0525">
        <w:rPr>
          <w:rFonts w:ascii="Verdana" w:hAnsi="Verdana"/>
          <w:sz w:val="20"/>
          <w:szCs w:val="20"/>
        </w:rPr>
        <w:t xml:space="preserve">) la condena a pena de muerte </w:t>
      </w:r>
      <w:r w:rsidR="00EB0EAF" w:rsidRPr="006B0525">
        <w:rPr>
          <w:rFonts w:ascii="Verdana" w:hAnsi="Verdana"/>
          <w:sz w:val="20"/>
          <w:szCs w:val="20"/>
        </w:rPr>
        <w:t>a los señores Rodríguez Revolorio, López Calo y Archila Pérez</w:t>
      </w:r>
      <w:r w:rsidR="00467516" w:rsidRPr="006B0525">
        <w:rPr>
          <w:rFonts w:ascii="Verdana" w:hAnsi="Verdana"/>
          <w:sz w:val="20"/>
          <w:szCs w:val="20"/>
        </w:rPr>
        <w:t>, (</w:t>
      </w:r>
      <w:proofErr w:type="spellStart"/>
      <w:r w:rsidR="002761D7">
        <w:rPr>
          <w:rFonts w:ascii="Verdana" w:hAnsi="Verdana"/>
          <w:sz w:val="20"/>
          <w:szCs w:val="20"/>
        </w:rPr>
        <w:t>ii</w:t>
      </w:r>
      <w:proofErr w:type="spellEnd"/>
      <w:r w:rsidR="00467516" w:rsidRPr="006B0525">
        <w:rPr>
          <w:rFonts w:ascii="Verdana" w:hAnsi="Verdana"/>
          <w:sz w:val="20"/>
          <w:szCs w:val="20"/>
        </w:rPr>
        <w:t xml:space="preserve">) </w:t>
      </w:r>
      <w:r w:rsidR="00EB0EAF" w:rsidRPr="006B0525">
        <w:rPr>
          <w:rFonts w:ascii="Verdana" w:hAnsi="Verdana"/>
          <w:sz w:val="20"/>
          <w:szCs w:val="20"/>
        </w:rPr>
        <w:t xml:space="preserve">las condiciones carcelarias a las que estuvieron sometidos, y, finalmente </w:t>
      </w:r>
      <w:r w:rsidR="00467516" w:rsidRPr="006B0525">
        <w:rPr>
          <w:rFonts w:ascii="Verdana" w:hAnsi="Verdana"/>
          <w:sz w:val="20"/>
          <w:szCs w:val="20"/>
        </w:rPr>
        <w:t>(</w:t>
      </w:r>
      <w:proofErr w:type="spellStart"/>
      <w:r w:rsidR="002761D7">
        <w:rPr>
          <w:rFonts w:ascii="Verdana" w:hAnsi="Verdana"/>
          <w:sz w:val="20"/>
          <w:szCs w:val="20"/>
        </w:rPr>
        <w:t>iii</w:t>
      </w:r>
      <w:proofErr w:type="spellEnd"/>
      <w:r w:rsidR="00EB0EAF" w:rsidRPr="006B0525">
        <w:rPr>
          <w:rFonts w:ascii="Verdana" w:hAnsi="Verdana"/>
          <w:sz w:val="20"/>
          <w:szCs w:val="20"/>
        </w:rPr>
        <w:t>)</w:t>
      </w:r>
      <w:r w:rsidR="00467516" w:rsidRPr="006B0525">
        <w:rPr>
          <w:rFonts w:ascii="Verdana" w:hAnsi="Verdana"/>
          <w:sz w:val="20"/>
          <w:szCs w:val="20"/>
        </w:rPr>
        <w:t xml:space="preserve"> </w:t>
      </w:r>
      <w:r w:rsidR="00EB0EAF" w:rsidRPr="006B0525">
        <w:rPr>
          <w:rFonts w:ascii="Verdana" w:hAnsi="Verdana"/>
          <w:sz w:val="20"/>
          <w:szCs w:val="20"/>
        </w:rPr>
        <w:t>l</w:t>
      </w:r>
      <w:r w:rsidR="00467516" w:rsidRPr="006B0525">
        <w:rPr>
          <w:rFonts w:ascii="Verdana" w:hAnsi="Verdana"/>
          <w:sz w:val="20"/>
          <w:szCs w:val="20"/>
        </w:rPr>
        <w:t xml:space="preserve">a presunta vulneración de los derechos a las </w:t>
      </w:r>
      <w:proofErr w:type="gramStart"/>
      <w:r w:rsidR="00467516" w:rsidRPr="006B0525">
        <w:rPr>
          <w:rFonts w:ascii="Verdana" w:hAnsi="Verdana"/>
          <w:sz w:val="20"/>
          <w:szCs w:val="20"/>
        </w:rPr>
        <w:t>garantías judiciales y protección judicial</w:t>
      </w:r>
      <w:bookmarkStart w:id="49" w:name="_Toc438113890"/>
      <w:bookmarkStart w:id="50" w:name="_Toc495658671"/>
      <w:bookmarkStart w:id="51" w:name="_Toc514172627"/>
      <w:proofErr w:type="gramEnd"/>
      <w:r w:rsidR="00EB0EAF" w:rsidRPr="006B0525">
        <w:rPr>
          <w:rFonts w:ascii="Verdana" w:hAnsi="Verdana"/>
          <w:sz w:val="20"/>
          <w:szCs w:val="20"/>
        </w:rPr>
        <w:t>.</w:t>
      </w:r>
    </w:p>
    <w:p w14:paraId="06B9F8CD" w14:textId="77777777" w:rsidR="009951E1" w:rsidRPr="006B0525" w:rsidRDefault="009951E1" w:rsidP="009951E1">
      <w:pPr>
        <w:pStyle w:val="Normal1"/>
        <w:widowControl/>
        <w:contextualSpacing/>
        <w:jc w:val="both"/>
        <w:rPr>
          <w:rFonts w:ascii="Verdana" w:hAnsi="Verdana"/>
          <w:sz w:val="20"/>
          <w:szCs w:val="20"/>
        </w:rPr>
      </w:pPr>
    </w:p>
    <w:p w14:paraId="278A7FAE" w14:textId="77777777" w:rsidR="00E04DEA" w:rsidRPr="006B0525" w:rsidRDefault="00E04DEA" w:rsidP="00530549">
      <w:pPr>
        <w:pStyle w:val="Ttulo1"/>
      </w:pPr>
      <w:bookmarkStart w:id="52" w:name="_Toc26177806"/>
      <w:r w:rsidRPr="006B0525">
        <w:t>VI</w:t>
      </w:r>
      <w:r w:rsidR="00241F90" w:rsidRPr="006B0525">
        <w:t>I</w:t>
      </w:r>
      <w:r w:rsidRPr="006B0525">
        <w:t>I-1</w:t>
      </w:r>
      <w:r w:rsidRPr="006B0525">
        <w:br/>
      </w:r>
      <w:r w:rsidR="008254BE" w:rsidRPr="006B0525">
        <w:t xml:space="preserve">DERECHO A LA VIDA Y </w:t>
      </w:r>
      <w:r w:rsidR="00D12A53" w:rsidRPr="006B0525">
        <w:t>PRINCIPIO DE LEGALIDAD</w:t>
      </w:r>
      <w:r w:rsidR="008254BE" w:rsidRPr="006B0525">
        <w:t xml:space="preserve"> Y DE RETROACTIVIDAD</w:t>
      </w:r>
      <w:r w:rsidR="002F0FF5">
        <w:rPr>
          <w:rStyle w:val="Refdenotaalpie"/>
        </w:rPr>
        <w:footnoteReference w:id="61"/>
      </w:r>
      <w:bookmarkEnd w:id="52"/>
      <w:r w:rsidR="004C3044" w:rsidRPr="006B0525">
        <w:t xml:space="preserve"> </w:t>
      </w:r>
    </w:p>
    <w:p w14:paraId="0750FA53" w14:textId="77777777" w:rsidR="00E04DEA" w:rsidRPr="006B0525" w:rsidRDefault="00E04DEA"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En el presente capítulo la Corte examinará los alegatos relativos a la</w:t>
      </w:r>
      <w:r w:rsidR="00D12A53" w:rsidRPr="006B0525">
        <w:rPr>
          <w:rFonts w:ascii="Verdana" w:hAnsi="Verdana"/>
          <w:sz w:val="20"/>
          <w:szCs w:val="20"/>
        </w:rPr>
        <w:t xml:space="preserve"> </w:t>
      </w:r>
      <w:r w:rsidR="0081227B" w:rsidRPr="006B0525">
        <w:rPr>
          <w:rFonts w:ascii="Verdana" w:hAnsi="Verdana"/>
          <w:sz w:val="20"/>
          <w:szCs w:val="20"/>
        </w:rPr>
        <w:t xml:space="preserve">violación al derecho a la vida y </w:t>
      </w:r>
      <w:r w:rsidRPr="006B0525">
        <w:rPr>
          <w:rFonts w:ascii="Verdana" w:hAnsi="Verdana"/>
          <w:sz w:val="20"/>
          <w:szCs w:val="20"/>
        </w:rPr>
        <w:t xml:space="preserve">principio de legalidad derivados </w:t>
      </w:r>
      <w:r w:rsidR="00D12A53" w:rsidRPr="006B0525">
        <w:rPr>
          <w:rFonts w:ascii="Verdana" w:hAnsi="Verdana"/>
          <w:sz w:val="20"/>
          <w:szCs w:val="20"/>
        </w:rPr>
        <w:t>de los artículos 4 y</w:t>
      </w:r>
      <w:r w:rsidRPr="006B0525">
        <w:rPr>
          <w:rFonts w:ascii="Verdana" w:hAnsi="Verdana"/>
          <w:sz w:val="20"/>
          <w:szCs w:val="20"/>
        </w:rPr>
        <w:t xml:space="preserve"> 9 de la Convención Americana, en relación con los artículos 1.1 y 2 de la Convención</w:t>
      </w:r>
      <w:r w:rsidR="00E61E6F" w:rsidRPr="006B0525">
        <w:rPr>
          <w:rFonts w:ascii="Verdana" w:hAnsi="Verdana"/>
          <w:sz w:val="20"/>
          <w:szCs w:val="20"/>
        </w:rPr>
        <w:t>,</w:t>
      </w:r>
      <w:r w:rsidRPr="006B0525">
        <w:rPr>
          <w:rFonts w:ascii="Verdana" w:hAnsi="Verdana"/>
          <w:sz w:val="20"/>
          <w:szCs w:val="20"/>
        </w:rPr>
        <w:t xml:space="preserve"> como resultado de la imposición de la pena de muerte a los señores Rodríguez Revolorio, López Calo y Archila Pérez.</w:t>
      </w:r>
    </w:p>
    <w:p w14:paraId="489FF9E6" w14:textId="77777777" w:rsidR="00E04DEA" w:rsidRPr="006B0525" w:rsidRDefault="00E04DEA" w:rsidP="00530549">
      <w:pPr>
        <w:pStyle w:val="Ttulo2"/>
      </w:pPr>
      <w:bookmarkStart w:id="53" w:name="_Toc26177807"/>
      <w:r w:rsidRPr="006B0525">
        <w:lastRenderedPageBreak/>
        <w:t>A.</w:t>
      </w:r>
      <w:r w:rsidRPr="006B0525">
        <w:tab/>
        <w:t>Argumentos de las partes y de la Comisión</w:t>
      </w:r>
      <w:bookmarkEnd w:id="53"/>
    </w:p>
    <w:p w14:paraId="3C42CBCA" w14:textId="77777777" w:rsidR="00E11D58" w:rsidRPr="006B0525" w:rsidRDefault="00E04DEA" w:rsidP="00530549">
      <w:pPr>
        <w:pStyle w:val="Normal1"/>
        <w:widowControl/>
        <w:numPr>
          <w:ilvl w:val="0"/>
          <w:numId w:val="4"/>
        </w:numPr>
        <w:tabs>
          <w:tab w:val="left" w:pos="567"/>
        </w:tabs>
        <w:ind w:left="0" w:firstLine="0"/>
        <w:contextualSpacing/>
        <w:jc w:val="both"/>
        <w:rPr>
          <w:rFonts w:ascii="Verdana" w:hAnsi="Verdana"/>
          <w:sz w:val="20"/>
          <w:szCs w:val="20"/>
        </w:rPr>
      </w:pPr>
      <w:r w:rsidRPr="006B0525">
        <w:rPr>
          <w:rFonts w:ascii="Verdana" w:hAnsi="Verdana"/>
          <w:sz w:val="20"/>
          <w:szCs w:val="20"/>
        </w:rPr>
        <w:t xml:space="preserve">La </w:t>
      </w:r>
      <w:r w:rsidRPr="006B0525">
        <w:rPr>
          <w:rFonts w:ascii="Verdana" w:hAnsi="Verdana"/>
          <w:b/>
          <w:i/>
          <w:sz w:val="20"/>
          <w:szCs w:val="20"/>
        </w:rPr>
        <w:t>Comisión</w:t>
      </w:r>
      <w:r w:rsidR="00FD4F2C" w:rsidRPr="006B0525">
        <w:rPr>
          <w:rFonts w:ascii="Verdana" w:hAnsi="Verdana"/>
          <w:sz w:val="20"/>
          <w:szCs w:val="20"/>
        </w:rPr>
        <w:t xml:space="preserve"> </w:t>
      </w:r>
      <w:r w:rsidRPr="006B0525">
        <w:rPr>
          <w:rFonts w:ascii="Verdana" w:hAnsi="Verdana"/>
          <w:sz w:val="20"/>
          <w:szCs w:val="20"/>
        </w:rPr>
        <w:t>resaltó que</w:t>
      </w:r>
      <w:r w:rsidR="00FD4F2C" w:rsidRPr="006B0525">
        <w:rPr>
          <w:rFonts w:ascii="Verdana" w:hAnsi="Verdana"/>
          <w:sz w:val="20"/>
          <w:szCs w:val="20"/>
        </w:rPr>
        <w:t xml:space="preserve"> en el presente caso</w:t>
      </w:r>
      <w:r w:rsidRPr="006B0525">
        <w:rPr>
          <w:rFonts w:ascii="Verdana" w:hAnsi="Verdana"/>
          <w:sz w:val="20"/>
          <w:szCs w:val="20"/>
        </w:rPr>
        <w:t xml:space="preserve"> se aplicó </w:t>
      </w:r>
      <w:r w:rsidRPr="006B0525">
        <w:rPr>
          <w:rFonts w:ascii="Verdana" w:eastAsiaTheme="minorHAnsi" w:hAnsi="Verdana"/>
          <w:sz w:val="20"/>
          <w:szCs w:val="20"/>
        </w:rPr>
        <w:t xml:space="preserve">el artículo 132 del Código </w:t>
      </w:r>
      <w:r w:rsidR="00FD4F2C" w:rsidRPr="006B0525">
        <w:rPr>
          <w:rFonts w:ascii="Verdana" w:eastAsiaTheme="minorHAnsi" w:hAnsi="Verdana"/>
          <w:sz w:val="20"/>
          <w:szCs w:val="20"/>
        </w:rPr>
        <w:t xml:space="preserve">Penal guatemalteco, el cual </w:t>
      </w:r>
      <w:r w:rsidRPr="006B0525">
        <w:rPr>
          <w:rFonts w:ascii="Verdana" w:eastAsiaTheme="minorHAnsi" w:hAnsi="Verdana"/>
          <w:sz w:val="20"/>
          <w:szCs w:val="20"/>
        </w:rPr>
        <w:t>establecía el elemento de peligrosidad como criterio para la imposición de la pena de muerte en caso de asesinato.</w:t>
      </w:r>
      <w:r w:rsidR="00FD4F2C" w:rsidRPr="006B0525">
        <w:rPr>
          <w:rFonts w:ascii="Verdana" w:eastAsiaTheme="minorHAnsi" w:hAnsi="Verdana"/>
          <w:sz w:val="20"/>
          <w:szCs w:val="20"/>
        </w:rPr>
        <w:t xml:space="preserve"> L</w:t>
      </w:r>
      <w:r w:rsidRPr="006B0525">
        <w:rPr>
          <w:rFonts w:ascii="Verdana" w:eastAsiaTheme="minorHAnsi" w:hAnsi="Verdana"/>
          <w:sz w:val="20"/>
          <w:szCs w:val="20"/>
        </w:rPr>
        <w:t xml:space="preserve">a Comisión subrayó </w:t>
      </w:r>
      <w:r w:rsidR="0081227B" w:rsidRPr="006B0525">
        <w:rPr>
          <w:rFonts w:ascii="Verdana" w:eastAsiaTheme="minorHAnsi" w:hAnsi="Verdana"/>
          <w:sz w:val="20"/>
          <w:szCs w:val="20"/>
        </w:rPr>
        <w:t xml:space="preserve">que </w:t>
      </w:r>
      <w:r w:rsidR="00FD4F2C" w:rsidRPr="006B0525">
        <w:rPr>
          <w:rFonts w:ascii="Verdana" w:eastAsiaTheme="minorHAnsi" w:hAnsi="Verdana"/>
          <w:sz w:val="20"/>
          <w:szCs w:val="20"/>
        </w:rPr>
        <w:t xml:space="preserve">se establecieron especulaciones sobre eventuales comportamientos futuros </w:t>
      </w:r>
      <w:r w:rsidRPr="006B0525">
        <w:rPr>
          <w:rFonts w:ascii="Verdana" w:eastAsiaTheme="minorHAnsi" w:hAnsi="Verdana"/>
          <w:sz w:val="20"/>
          <w:szCs w:val="20"/>
        </w:rPr>
        <w:t>derivad</w:t>
      </w:r>
      <w:r w:rsidR="00954F1E">
        <w:rPr>
          <w:rFonts w:ascii="Verdana" w:eastAsiaTheme="minorHAnsi" w:hAnsi="Verdana"/>
          <w:sz w:val="20"/>
          <w:szCs w:val="20"/>
        </w:rPr>
        <w:t>as</w:t>
      </w:r>
      <w:r w:rsidRPr="006B0525">
        <w:rPr>
          <w:rFonts w:ascii="Verdana" w:eastAsiaTheme="minorHAnsi" w:hAnsi="Verdana"/>
          <w:sz w:val="20"/>
          <w:szCs w:val="20"/>
        </w:rPr>
        <w:t xml:space="preserve"> de las circunstancias de la comisión de los delitos por los cuales fueron condenados. La Comisión </w:t>
      </w:r>
      <w:r w:rsidR="0081227B" w:rsidRPr="006B0525">
        <w:rPr>
          <w:rFonts w:ascii="Verdana" w:eastAsiaTheme="minorHAnsi" w:hAnsi="Verdana"/>
          <w:sz w:val="20"/>
          <w:szCs w:val="20"/>
        </w:rPr>
        <w:t>indicó además</w:t>
      </w:r>
      <w:r w:rsidR="00FD4F2C" w:rsidRPr="006B0525">
        <w:rPr>
          <w:rFonts w:ascii="Verdana" w:eastAsiaTheme="minorHAnsi" w:hAnsi="Verdana"/>
          <w:sz w:val="20"/>
          <w:szCs w:val="20"/>
        </w:rPr>
        <w:t xml:space="preserve"> que </w:t>
      </w:r>
      <w:r w:rsidRPr="006B0525">
        <w:rPr>
          <w:rFonts w:ascii="Verdana" w:eastAsiaTheme="minorHAnsi" w:hAnsi="Verdana" w:cs="Arial"/>
          <w:sz w:val="20"/>
          <w:szCs w:val="20"/>
        </w:rPr>
        <w:t xml:space="preserve">el criterio de peligrosidad en el tipo penal </w:t>
      </w:r>
      <w:r w:rsidR="0081227B" w:rsidRPr="006B0525">
        <w:rPr>
          <w:rFonts w:ascii="Verdana" w:eastAsiaTheme="minorHAnsi" w:hAnsi="Verdana" w:cs="Arial"/>
          <w:sz w:val="20"/>
          <w:szCs w:val="20"/>
        </w:rPr>
        <w:t>constituía</w:t>
      </w:r>
      <w:r w:rsidRPr="006B0525">
        <w:rPr>
          <w:rFonts w:ascii="Verdana" w:eastAsiaTheme="minorHAnsi" w:hAnsi="Verdana" w:cs="Arial"/>
          <w:sz w:val="20"/>
          <w:szCs w:val="20"/>
        </w:rPr>
        <w:t xml:space="preserve"> una vulneración directa al principio de legalidad, </w:t>
      </w:r>
      <w:r w:rsidRPr="006B0525">
        <w:rPr>
          <w:rFonts w:ascii="Verdana" w:eastAsiaTheme="minorHAnsi" w:hAnsi="Verdana" w:cs="Arial"/>
          <w:iCs/>
          <w:sz w:val="20"/>
          <w:szCs w:val="20"/>
        </w:rPr>
        <w:t>máxime</w:t>
      </w:r>
      <w:r w:rsidRPr="006B0525">
        <w:rPr>
          <w:rFonts w:ascii="Verdana" w:eastAsiaTheme="minorHAnsi" w:hAnsi="Verdana" w:cs="Arial"/>
          <w:i/>
          <w:iCs/>
          <w:sz w:val="20"/>
          <w:szCs w:val="20"/>
        </w:rPr>
        <w:t xml:space="preserve"> </w:t>
      </w:r>
      <w:r w:rsidRPr="006B0525">
        <w:rPr>
          <w:rFonts w:ascii="Verdana" w:eastAsiaTheme="minorHAnsi" w:hAnsi="Verdana" w:cs="Arial"/>
          <w:sz w:val="20"/>
          <w:szCs w:val="20"/>
        </w:rPr>
        <w:t xml:space="preserve">si dicho criterio </w:t>
      </w:r>
      <w:r w:rsidR="00FD4F2C" w:rsidRPr="006B0525">
        <w:rPr>
          <w:rFonts w:ascii="Verdana" w:eastAsiaTheme="minorHAnsi" w:hAnsi="Verdana" w:cs="Arial"/>
          <w:sz w:val="20"/>
          <w:szCs w:val="20"/>
        </w:rPr>
        <w:t>servía</w:t>
      </w:r>
      <w:r w:rsidRPr="006B0525">
        <w:rPr>
          <w:rFonts w:ascii="Verdana" w:eastAsiaTheme="minorHAnsi" w:hAnsi="Verdana" w:cs="Arial"/>
          <w:sz w:val="20"/>
          <w:szCs w:val="20"/>
        </w:rPr>
        <w:t xml:space="preserve"> para aplicar una condena irreversible e irremediable como la pena de muerte.</w:t>
      </w:r>
      <w:r w:rsidRPr="006B0525">
        <w:rPr>
          <w:rFonts w:ascii="Verdana" w:eastAsiaTheme="minorHAnsi" w:hAnsi="Verdana"/>
          <w:b/>
          <w:sz w:val="20"/>
          <w:szCs w:val="20"/>
        </w:rPr>
        <w:t xml:space="preserve"> </w:t>
      </w:r>
      <w:r w:rsidR="00FD4F2C" w:rsidRPr="006B0525">
        <w:rPr>
          <w:rFonts w:ascii="Verdana" w:hAnsi="Verdana"/>
          <w:sz w:val="20"/>
          <w:szCs w:val="20"/>
        </w:rPr>
        <w:t>La Comisión</w:t>
      </w:r>
      <w:r w:rsidRPr="006B0525">
        <w:rPr>
          <w:rFonts w:ascii="Verdana" w:hAnsi="Verdana"/>
          <w:sz w:val="20"/>
          <w:szCs w:val="20"/>
        </w:rPr>
        <w:t xml:space="preserve"> concluyó </w:t>
      </w:r>
      <w:r w:rsidRPr="006B0525">
        <w:rPr>
          <w:rFonts w:ascii="Verdana" w:eastAsiaTheme="minorHAnsi" w:hAnsi="Verdana"/>
          <w:sz w:val="20"/>
          <w:szCs w:val="20"/>
        </w:rPr>
        <w:t xml:space="preserve">que el Estado de Guatemala es responsable por la violación del principio de </w:t>
      </w:r>
      <w:r w:rsidRPr="006B0525">
        <w:rPr>
          <w:rFonts w:ascii="Verdana" w:hAnsi="Verdana"/>
          <w:sz w:val="20"/>
          <w:szCs w:val="20"/>
        </w:rPr>
        <w:t>legalidad</w:t>
      </w:r>
      <w:r w:rsidRPr="006B0525">
        <w:rPr>
          <w:rFonts w:ascii="Verdana" w:eastAsiaTheme="minorHAnsi" w:hAnsi="Verdana"/>
          <w:sz w:val="20"/>
          <w:szCs w:val="20"/>
        </w:rPr>
        <w:t xml:space="preserve"> establecido en el artículo 9 de la Convención Americana en relación con las obligaciones establecidas en los artículos 1.1 y 2 del mismo instrumento, en perjuicio de los señores Archila Pérez, López Calo y Rodríguez Revolorio. </w:t>
      </w:r>
    </w:p>
    <w:p w14:paraId="6990D90D" w14:textId="77777777" w:rsidR="00FD4F2C" w:rsidRPr="006B0525" w:rsidRDefault="00FD4F2C" w:rsidP="00530549">
      <w:pPr>
        <w:pStyle w:val="Normal1"/>
        <w:widowControl/>
        <w:tabs>
          <w:tab w:val="left" w:pos="567"/>
        </w:tabs>
        <w:contextualSpacing/>
        <w:jc w:val="both"/>
        <w:rPr>
          <w:rFonts w:ascii="Verdana" w:hAnsi="Verdana"/>
          <w:sz w:val="20"/>
          <w:szCs w:val="20"/>
        </w:rPr>
      </w:pPr>
    </w:p>
    <w:p w14:paraId="74E3AB4D" w14:textId="77777777" w:rsidR="00E11D58" w:rsidRPr="006B0525" w:rsidRDefault="0081227B"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Por otro lado</w:t>
      </w:r>
      <w:r w:rsidR="00E11D58" w:rsidRPr="006B0525">
        <w:rPr>
          <w:rFonts w:ascii="Verdana" w:hAnsi="Verdana"/>
          <w:sz w:val="20"/>
          <w:szCs w:val="20"/>
        </w:rPr>
        <w:t xml:space="preserve">, la </w:t>
      </w:r>
      <w:r w:rsidR="00E11D58" w:rsidRPr="002761D7">
        <w:rPr>
          <w:rFonts w:ascii="Verdana" w:hAnsi="Verdana"/>
          <w:sz w:val="20"/>
          <w:szCs w:val="20"/>
        </w:rPr>
        <w:t>Comisión</w:t>
      </w:r>
      <w:r w:rsidR="00E11D58" w:rsidRPr="006B0525">
        <w:rPr>
          <w:rFonts w:ascii="Verdana" w:hAnsi="Verdana"/>
          <w:sz w:val="20"/>
          <w:szCs w:val="20"/>
        </w:rPr>
        <w:t xml:space="preserve"> argumentó que la imposición de la pena de muerte se produjo en el marco de un proceso que vulneró el debido proceso y que fue arbitraria y, por tanto, violó los artículos 4.1 y 4.2 de la Convención Americana, en relación con las obligaciones establecidas en los artículos 1.1 y 2 del mismo instrumento.</w:t>
      </w:r>
      <w:r w:rsidR="00E11D58" w:rsidRPr="006B0525">
        <w:rPr>
          <w:rFonts w:ascii="Verdana" w:hAnsi="Verdana"/>
          <w:b/>
          <w:sz w:val="20"/>
          <w:szCs w:val="20"/>
        </w:rPr>
        <w:t xml:space="preserve"> </w:t>
      </w:r>
    </w:p>
    <w:p w14:paraId="5D2F922C" w14:textId="77777777" w:rsidR="003E5D77" w:rsidRPr="006B0525" w:rsidRDefault="003E5D77" w:rsidP="00530549">
      <w:pPr>
        <w:pStyle w:val="Normal1"/>
        <w:widowControl/>
        <w:contextualSpacing/>
        <w:jc w:val="both"/>
        <w:rPr>
          <w:rFonts w:ascii="Verdana" w:hAnsi="Verdana"/>
          <w:sz w:val="20"/>
          <w:szCs w:val="20"/>
        </w:rPr>
      </w:pPr>
    </w:p>
    <w:p w14:paraId="05077CBA" w14:textId="77777777" w:rsidR="00E11D58" w:rsidRPr="006B0525" w:rsidRDefault="004D2A8A" w:rsidP="00912D70">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Las </w:t>
      </w:r>
      <w:r w:rsidRPr="006B0525">
        <w:rPr>
          <w:rFonts w:ascii="Verdana" w:hAnsi="Verdana"/>
          <w:b/>
          <w:i/>
          <w:sz w:val="20"/>
          <w:szCs w:val="20"/>
        </w:rPr>
        <w:t>representantes</w:t>
      </w:r>
      <w:r w:rsidR="00E04DEA" w:rsidRPr="006B0525">
        <w:rPr>
          <w:rFonts w:ascii="Verdana" w:hAnsi="Verdana"/>
          <w:sz w:val="20"/>
          <w:szCs w:val="20"/>
        </w:rPr>
        <w:t xml:space="preserve"> </w:t>
      </w:r>
      <w:r w:rsidR="00B57788" w:rsidRPr="006B0525">
        <w:rPr>
          <w:rFonts w:ascii="Verdana" w:hAnsi="Verdana"/>
          <w:sz w:val="20"/>
          <w:szCs w:val="20"/>
        </w:rPr>
        <w:t xml:space="preserve">coincidieron con lo argumentado </w:t>
      </w:r>
      <w:r w:rsidRPr="006B0525">
        <w:rPr>
          <w:rFonts w:ascii="Verdana" w:hAnsi="Verdana"/>
          <w:sz w:val="20"/>
          <w:szCs w:val="20"/>
        </w:rPr>
        <w:t>por</w:t>
      </w:r>
      <w:r w:rsidR="00B57788" w:rsidRPr="006B0525">
        <w:rPr>
          <w:rFonts w:ascii="Verdana" w:hAnsi="Verdana"/>
          <w:sz w:val="20"/>
          <w:szCs w:val="20"/>
        </w:rPr>
        <w:t xml:space="preserve"> la Comisión con respecto a la aplicación del criterio de peligrosidad</w:t>
      </w:r>
      <w:r w:rsidR="0081227B" w:rsidRPr="006B0525">
        <w:rPr>
          <w:rFonts w:ascii="Verdana" w:hAnsi="Verdana"/>
          <w:sz w:val="20"/>
          <w:szCs w:val="20"/>
        </w:rPr>
        <w:t xml:space="preserve"> en el marco del proceso penal seguido en contra de las presuntas </w:t>
      </w:r>
      <w:proofErr w:type="gramStart"/>
      <w:r w:rsidR="0081227B" w:rsidRPr="006B0525">
        <w:rPr>
          <w:rFonts w:ascii="Verdana" w:hAnsi="Verdana"/>
          <w:sz w:val="20"/>
          <w:szCs w:val="20"/>
        </w:rPr>
        <w:t>víctimas</w:t>
      </w:r>
      <w:proofErr w:type="gramEnd"/>
      <w:r w:rsidR="00912D70" w:rsidRPr="006B0525">
        <w:rPr>
          <w:rFonts w:ascii="Verdana" w:hAnsi="Verdana"/>
          <w:sz w:val="20"/>
          <w:szCs w:val="20"/>
        </w:rPr>
        <w:t xml:space="preserve"> así como con respecto a la alegada violación de los artículos 4.1 y 4.2 de la Convención, en relación con los artículos 1.1 y 2 del mismo instrumento</w:t>
      </w:r>
      <w:r w:rsidR="00E11D58" w:rsidRPr="006B0525">
        <w:rPr>
          <w:rFonts w:ascii="Verdana" w:hAnsi="Verdana"/>
          <w:sz w:val="20"/>
          <w:szCs w:val="20"/>
        </w:rPr>
        <w:t xml:space="preserve">. </w:t>
      </w:r>
    </w:p>
    <w:p w14:paraId="0B489DC7" w14:textId="77777777" w:rsidR="00912D70" w:rsidRPr="006B0525" w:rsidRDefault="00912D70" w:rsidP="00912D70">
      <w:pPr>
        <w:pStyle w:val="Normal1"/>
        <w:widowControl/>
        <w:contextualSpacing/>
        <w:jc w:val="both"/>
        <w:rPr>
          <w:rFonts w:ascii="Verdana" w:hAnsi="Verdana"/>
          <w:sz w:val="20"/>
          <w:szCs w:val="20"/>
        </w:rPr>
      </w:pPr>
    </w:p>
    <w:p w14:paraId="7BD9833A" w14:textId="77777777" w:rsidR="00E11D58" w:rsidRPr="006B0525" w:rsidRDefault="00E04DEA"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El </w:t>
      </w:r>
      <w:r w:rsidRPr="006B0525">
        <w:rPr>
          <w:rFonts w:ascii="Verdana" w:hAnsi="Verdana"/>
          <w:b/>
          <w:i/>
          <w:sz w:val="20"/>
          <w:szCs w:val="20"/>
        </w:rPr>
        <w:t>Estado</w:t>
      </w:r>
      <w:r w:rsidRPr="006B0525">
        <w:rPr>
          <w:rFonts w:ascii="Verdana" w:hAnsi="Verdana"/>
          <w:sz w:val="20"/>
          <w:szCs w:val="20"/>
        </w:rPr>
        <w:t xml:space="preserve">, por su parte, </w:t>
      </w:r>
      <w:r w:rsidRPr="006B0525">
        <w:rPr>
          <w:rFonts w:ascii="Verdana" w:eastAsiaTheme="minorHAnsi" w:hAnsi="Verdana"/>
          <w:sz w:val="20"/>
          <w:szCs w:val="20"/>
        </w:rPr>
        <w:t>manifestó que la pena impuesta por el delito de asesinato y asesinato en grado de tentativa se encontraba regulada en l</w:t>
      </w:r>
      <w:r w:rsidR="0081227B" w:rsidRPr="006B0525">
        <w:rPr>
          <w:rFonts w:ascii="Verdana" w:eastAsiaTheme="minorHAnsi" w:hAnsi="Verdana"/>
          <w:sz w:val="20"/>
          <w:szCs w:val="20"/>
        </w:rPr>
        <w:t>a legislación domé</w:t>
      </w:r>
      <w:r w:rsidRPr="006B0525">
        <w:rPr>
          <w:rFonts w:ascii="Verdana" w:eastAsiaTheme="minorHAnsi" w:hAnsi="Verdana"/>
          <w:sz w:val="20"/>
          <w:szCs w:val="20"/>
        </w:rPr>
        <w:t>stica según el momento de la comisión del delito. Además, se aplicó la ley que más favorecía a los sentenciados</w:t>
      </w:r>
      <w:r w:rsidR="00B57788" w:rsidRPr="006B0525">
        <w:rPr>
          <w:rFonts w:ascii="Verdana" w:eastAsiaTheme="minorHAnsi" w:hAnsi="Verdana"/>
          <w:sz w:val="20"/>
          <w:szCs w:val="20"/>
        </w:rPr>
        <w:t>. P</w:t>
      </w:r>
      <w:r w:rsidRPr="006B0525">
        <w:rPr>
          <w:rFonts w:ascii="Verdana" w:eastAsiaTheme="minorHAnsi" w:hAnsi="Verdana"/>
          <w:sz w:val="20"/>
          <w:szCs w:val="20"/>
        </w:rPr>
        <w:t xml:space="preserve">rueba de ello </w:t>
      </w:r>
      <w:r w:rsidR="0081227B" w:rsidRPr="006B0525">
        <w:rPr>
          <w:rFonts w:ascii="Verdana" w:eastAsiaTheme="minorHAnsi" w:hAnsi="Verdana"/>
          <w:sz w:val="20"/>
          <w:szCs w:val="20"/>
        </w:rPr>
        <w:t>sería</w:t>
      </w:r>
      <w:r w:rsidRPr="006B0525">
        <w:rPr>
          <w:rFonts w:ascii="Verdana" w:eastAsiaTheme="minorHAnsi" w:hAnsi="Verdana"/>
          <w:sz w:val="20"/>
          <w:szCs w:val="20"/>
        </w:rPr>
        <w:t xml:space="preserve"> que</w:t>
      </w:r>
      <w:r w:rsidR="0081227B" w:rsidRPr="006B0525">
        <w:rPr>
          <w:rFonts w:ascii="Verdana" w:eastAsiaTheme="minorHAnsi" w:hAnsi="Verdana"/>
          <w:sz w:val="20"/>
          <w:szCs w:val="20"/>
        </w:rPr>
        <w:t>,</w:t>
      </w:r>
      <w:r w:rsidRPr="006B0525">
        <w:rPr>
          <w:rFonts w:ascii="Verdana" w:eastAsiaTheme="minorHAnsi" w:hAnsi="Verdana"/>
          <w:sz w:val="20"/>
          <w:szCs w:val="20"/>
        </w:rPr>
        <w:t xml:space="preserve"> según el </w:t>
      </w:r>
      <w:r w:rsidR="00B57788" w:rsidRPr="006B0525">
        <w:rPr>
          <w:rFonts w:ascii="Verdana" w:eastAsiaTheme="minorHAnsi" w:hAnsi="Verdana"/>
          <w:sz w:val="20"/>
          <w:szCs w:val="20"/>
        </w:rPr>
        <w:t>cómputo</w:t>
      </w:r>
      <w:r w:rsidRPr="006B0525">
        <w:rPr>
          <w:rFonts w:ascii="Verdana" w:eastAsiaTheme="minorHAnsi" w:hAnsi="Verdana"/>
          <w:sz w:val="20"/>
          <w:szCs w:val="20"/>
        </w:rPr>
        <w:t xml:space="preserve"> del plazo de cumplimiento total de la condena</w:t>
      </w:r>
      <w:r w:rsidR="0081227B" w:rsidRPr="006B0525">
        <w:rPr>
          <w:rFonts w:ascii="Verdana" w:eastAsiaTheme="minorHAnsi" w:hAnsi="Verdana"/>
          <w:sz w:val="20"/>
          <w:szCs w:val="20"/>
        </w:rPr>
        <w:t>, ésta</w:t>
      </w:r>
      <w:r w:rsidRPr="006B0525">
        <w:rPr>
          <w:rFonts w:ascii="Verdana" w:eastAsiaTheme="minorHAnsi" w:hAnsi="Verdana"/>
          <w:sz w:val="20"/>
          <w:szCs w:val="20"/>
        </w:rPr>
        <w:t xml:space="preserve"> vencía en el año 2025, </w:t>
      </w:r>
      <w:r w:rsidR="00B57788" w:rsidRPr="006B0525">
        <w:rPr>
          <w:rFonts w:ascii="Verdana" w:eastAsiaTheme="minorHAnsi" w:hAnsi="Verdana"/>
          <w:sz w:val="20"/>
          <w:szCs w:val="20"/>
        </w:rPr>
        <w:t xml:space="preserve">y, </w:t>
      </w:r>
      <w:r w:rsidRPr="006B0525">
        <w:rPr>
          <w:rFonts w:ascii="Verdana" w:eastAsiaTheme="minorHAnsi" w:hAnsi="Verdana"/>
          <w:sz w:val="20"/>
          <w:szCs w:val="20"/>
        </w:rPr>
        <w:t xml:space="preserve">sin embargo, gozaron del beneficio de la libertad </w:t>
      </w:r>
      <w:r w:rsidRPr="006B0525">
        <w:rPr>
          <w:rFonts w:ascii="Verdana" w:hAnsi="Verdana"/>
          <w:sz w:val="20"/>
          <w:szCs w:val="20"/>
        </w:rPr>
        <w:t>anticipada</w:t>
      </w:r>
      <w:r w:rsidRPr="006B0525">
        <w:rPr>
          <w:rFonts w:ascii="Verdana" w:eastAsiaTheme="minorHAnsi" w:hAnsi="Verdana"/>
          <w:sz w:val="20"/>
          <w:szCs w:val="20"/>
        </w:rPr>
        <w:t>, la cual se hizo efectiva en el año 2016</w:t>
      </w:r>
      <w:r w:rsidRPr="006B0525">
        <w:rPr>
          <w:rFonts w:ascii="Verdana" w:eastAsiaTheme="minorHAnsi" w:hAnsi="Verdana" w:cs="Arial"/>
          <w:sz w:val="20"/>
          <w:szCs w:val="20"/>
        </w:rPr>
        <w:t>.</w:t>
      </w:r>
      <w:r w:rsidRPr="006B0525">
        <w:rPr>
          <w:rFonts w:ascii="Verdana" w:eastAsiaTheme="minorHAnsi" w:hAnsi="Verdana"/>
          <w:sz w:val="20"/>
          <w:szCs w:val="20"/>
        </w:rPr>
        <w:t xml:space="preserve"> </w:t>
      </w:r>
      <w:r w:rsidR="00B57788" w:rsidRPr="006B0525">
        <w:rPr>
          <w:rFonts w:ascii="Verdana" w:eastAsiaTheme="minorHAnsi" w:hAnsi="Verdana"/>
          <w:sz w:val="20"/>
          <w:szCs w:val="20"/>
        </w:rPr>
        <w:t>En vista de lo anterior, el</w:t>
      </w:r>
      <w:r w:rsidRPr="006B0525">
        <w:rPr>
          <w:rFonts w:ascii="Verdana" w:eastAsiaTheme="minorHAnsi" w:hAnsi="Verdana"/>
          <w:sz w:val="20"/>
          <w:szCs w:val="20"/>
        </w:rPr>
        <w:t xml:space="preserve"> Estado </w:t>
      </w:r>
      <w:r w:rsidR="00B57788" w:rsidRPr="006B0525">
        <w:rPr>
          <w:rFonts w:ascii="Verdana" w:eastAsiaTheme="minorHAnsi" w:hAnsi="Verdana"/>
          <w:sz w:val="20"/>
          <w:szCs w:val="20"/>
        </w:rPr>
        <w:t>concluyó</w:t>
      </w:r>
      <w:r w:rsidRPr="006B0525">
        <w:rPr>
          <w:rFonts w:ascii="Verdana" w:eastAsiaTheme="minorHAnsi" w:hAnsi="Verdana"/>
          <w:sz w:val="20"/>
          <w:szCs w:val="20"/>
        </w:rPr>
        <w:t xml:space="preserve"> que carece de responsabilidad internacional respecto </w:t>
      </w:r>
      <w:r w:rsidR="00B57788" w:rsidRPr="006B0525">
        <w:rPr>
          <w:rFonts w:ascii="Verdana" w:eastAsiaTheme="minorHAnsi" w:hAnsi="Verdana"/>
          <w:sz w:val="20"/>
          <w:szCs w:val="20"/>
        </w:rPr>
        <w:t>a la violación del</w:t>
      </w:r>
      <w:r w:rsidRPr="006B0525">
        <w:rPr>
          <w:rFonts w:ascii="Verdana" w:eastAsiaTheme="minorHAnsi" w:hAnsi="Verdana"/>
          <w:sz w:val="20"/>
          <w:szCs w:val="20"/>
        </w:rPr>
        <w:t xml:space="preserve"> derecho consagrado en el artículo 9 de la Convención Americana. </w:t>
      </w:r>
    </w:p>
    <w:p w14:paraId="628C4127" w14:textId="77777777" w:rsidR="00E04DEA" w:rsidRPr="006B0525" w:rsidRDefault="00E04DEA" w:rsidP="00530549">
      <w:pPr>
        <w:pStyle w:val="Ttulo2"/>
      </w:pPr>
      <w:bookmarkStart w:id="54" w:name="_Toc26177808"/>
      <w:r w:rsidRPr="006B0525">
        <w:t>B.</w:t>
      </w:r>
      <w:r w:rsidRPr="006B0525">
        <w:tab/>
        <w:t>Consideraciones de la Corte</w:t>
      </w:r>
      <w:bookmarkEnd w:id="54"/>
    </w:p>
    <w:p w14:paraId="39AC6363" w14:textId="77777777" w:rsidR="00C403D1" w:rsidRPr="006B0525" w:rsidRDefault="00750FE9" w:rsidP="00A5185F">
      <w:pPr>
        <w:pStyle w:val="Normal1"/>
        <w:widowControl/>
        <w:numPr>
          <w:ilvl w:val="0"/>
          <w:numId w:val="4"/>
        </w:numPr>
        <w:ind w:left="0" w:firstLine="0"/>
        <w:contextualSpacing/>
        <w:jc w:val="both"/>
        <w:rPr>
          <w:rFonts w:ascii="Verdana" w:hAnsi="Verdana"/>
          <w:sz w:val="20"/>
          <w:szCs w:val="20"/>
        </w:rPr>
      </w:pPr>
      <w:r w:rsidRPr="006B0525">
        <w:rPr>
          <w:rFonts w:ascii="Verdana" w:eastAsia="MS Mincho" w:hAnsi="Verdana"/>
          <w:sz w:val="20"/>
          <w:szCs w:val="20"/>
        </w:rPr>
        <w:t xml:space="preserve">Como consideración previa, </w:t>
      </w:r>
      <w:r w:rsidR="00C403D1" w:rsidRPr="006B0525">
        <w:rPr>
          <w:rFonts w:ascii="Verdana" w:hAnsi="Verdana"/>
          <w:sz w:val="20"/>
          <w:szCs w:val="20"/>
        </w:rPr>
        <w:t>corresponde recordar que este Tribunal ha afirmado que el sistema interamericano de derechos humanos consta de un nivel nacional, a través del cual cada Estado debe garantizar los derechos y libertades previstos en la Convención e investigar y</w:t>
      </w:r>
      <w:r w:rsidR="005039F3" w:rsidRPr="006B0525">
        <w:rPr>
          <w:rFonts w:ascii="Verdana" w:hAnsi="Verdana"/>
          <w:sz w:val="20"/>
          <w:szCs w:val="20"/>
        </w:rPr>
        <w:t>,</w:t>
      </w:r>
      <w:r w:rsidR="00C403D1" w:rsidRPr="006B0525">
        <w:rPr>
          <w:rFonts w:ascii="Verdana" w:hAnsi="Verdana"/>
          <w:sz w:val="20"/>
          <w:szCs w:val="20"/>
        </w:rPr>
        <w:t xml:space="preserve"> en su caso</w:t>
      </w:r>
      <w:r w:rsidR="005039F3" w:rsidRPr="006B0525">
        <w:rPr>
          <w:rFonts w:ascii="Verdana" w:hAnsi="Verdana"/>
          <w:sz w:val="20"/>
          <w:szCs w:val="20"/>
        </w:rPr>
        <w:t>,</w:t>
      </w:r>
      <w:r w:rsidR="00C403D1" w:rsidRPr="006B0525">
        <w:rPr>
          <w:rFonts w:ascii="Verdana" w:hAnsi="Verdana"/>
          <w:sz w:val="20"/>
          <w:szCs w:val="20"/>
        </w:rPr>
        <w:t xml:space="preserve"> juzgar y sancionar las infracciones que se cometieren; y que si un caso concreto no es solucionado en la etapa interna o nacional, la Convención prevé un nivel internacional en el que los órganos principales son la Comisión y la Corte. Esta Corte también indicó que cuando una cuestión ha sido resuelta en el orden interno, según las cláusulas de la Convención, no es necesario traerla ante el Tribunal Interamericano para su aprobación o confirmación. Lo anterior se asienta en el principio de complementariedad, que informa transversalmente el sistema interamericano de derechos humanos, el cual es, tal como lo expresa el Preámbulo de la Convención Americana, “coadyuvante o complementario de la [protección] que ofrece el derecho interno de los Estados americanos”</w:t>
      </w:r>
      <w:r w:rsidR="00C403D1" w:rsidRPr="006B0525">
        <w:rPr>
          <w:rStyle w:val="Refdenotaalpie"/>
          <w:rFonts w:ascii="Verdana" w:hAnsi="Verdana"/>
          <w:sz w:val="20"/>
          <w:szCs w:val="20"/>
        </w:rPr>
        <w:footnoteReference w:id="62"/>
      </w:r>
      <w:r w:rsidR="00C403D1" w:rsidRPr="006B0525">
        <w:rPr>
          <w:rFonts w:ascii="Verdana" w:hAnsi="Verdana"/>
          <w:sz w:val="20"/>
          <w:szCs w:val="20"/>
        </w:rPr>
        <w:t>.</w:t>
      </w:r>
    </w:p>
    <w:p w14:paraId="256DAE39" w14:textId="77777777" w:rsidR="0092241B" w:rsidRPr="006B0525" w:rsidRDefault="0092241B" w:rsidP="0092241B">
      <w:pPr>
        <w:pStyle w:val="Normal1"/>
        <w:widowControl/>
        <w:contextualSpacing/>
        <w:jc w:val="both"/>
        <w:rPr>
          <w:rFonts w:ascii="Verdana" w:hAnsi="Verdana"/>
          <w:sz w:val="20"/>
          <w:szCs w:val="20"/>
        </w:rPr>
      </w:pPr>
    </w:p>
    <w:p w14:paraId="7BC191B4" w14:textId="77777777" w:rsidR="0092241B" w:rsidRPr="006B0525" w:rsidRDefault="0092241B" w:rsidP="002667D1">
      <w:pPr>
        <w:pStyle w:val="Normal1"/>
        <w:widowControl/>
        <w:numPr>
          <w:ilvl w:val="0"/>
          <w:numId w:val="4"/>
        </w:numPr>
        <w:ind w:left="0" w:firstLine="0"/>
        <w:contextualSpacing/>
        <w:jc w:val="both"/>
        <w:rPr>
          <w:rFonts w:ascii="Verdana" w:hAnsi="Verdana"/>
          <w:i/>
          <w:sz w:val="20"/>
          <w:szCs w:val="20"/>
        </w:rPr>
      </w:pPr>
      <w:r w:rsidRPr="006B0525">
        <w:rPr>
          <w:rFonts w:ascii="Verdana" w:hAnsi="Verdana"/>
          <w:sz w:val="20"/>
          <w:szCs w:val="20"/>
        </w:rPr>
        <w:t xml:space="preserve">El referido carácter complementario de la jurisdicción internacional significa que el sistema de protección instaurado por la Convención Americana no sustituye a las jurisdicciones nacionales, sino </w:t>
      </w:r>
      <w:r w:rsidRPr="006B0525">
        <w:rPr>
          <w:rFonts w:ascii="Verdana" w:hAnsi="Verdana"/>
          <w:sz w:val="20"/>
          <w:szCs w:val="20"/>
        </w:rPr>
        <w:lastRenderedPageBreak/>
        <w:t>que las complementa</w:t>
      </w:r>
      <w:r w:rsidRPr="006B0525">
        <w:rPr>
          <w:rStyle w:val="Refdenotaalpie"/>
          <w:rFonts w:ascii="Verdana" w:hAnsi="Verdana"/>
          <w:sz w:val="20"/>
          <w:szCs w:val="20"/>
        </w:rPr>
        <w:footnoteReference w:id="63"/>
      </w:r>
      <w:r w:rsidRPr="006B0525">
        <w:rPr>
          <w:rFonts w:ascii="Verdana" w:hAnsi="Verdana"/>
          <w:sz w:val="20"/>
          <w:szCs w:val="20"/>
        </w:rPr>
        <w:t xml:space="preserve">. De tal manera, el Estado es el principal garante de los derechos humanos de </w:t>
      </w:r>
      <w:proofErr w:type="gramStart"/>
      <w:r w:rsidRPr="006B0525">
        <w:rPr>
          <w:rFonts w:ascii="Verdana" w:hAnsi="Verdana"/>
          <w:sz w:val="20"/>
          <w:szCs w:val="20"/>
        </w:rPr>
        <w:t>la personas</w:t>
      </w:r>
      <w:proofErr w:type="gramEnd"/>
      <w:r w:rsidRPr="006B0525">
        <w:rPr>
          <w:rFonts w:ascii="Verdana" w:hAnsi="Verdana"/>
          <w:sz w:val="20"/>
          <w:szCs w:val="20"/>
        </w:rPr>
        <w:t>, por lo que, si se produce un acto violatorio de dichos derechos, es él quien debe de resolver el asunto a nivel interno y, de ser el caso, reparar, antes de tener que responder ante instancias internacionales</w:t>
      </w:r>
      <w:r w:rsidRPr="006B0525">
        <w:rPr>
          <w:rStyle w:val="Refdenotaalpie"/>
          <w:rFonts w:ascii="Verdana" w:hAnsi="Verdana"/>
          <w:sz w:val="20"/>
          <w:szCs w:val="20"/>
        </w:rPr>
        <w:footnoteReference w:id="64"/>
      </w:r>
      <w:r w:rsidRPr="006B0525">
        <w:rPr>
          <w:rFonts w:ascii="Verdana" w:hAnsi="Verdana"/>
          <w:sz w:val="20"/>
          <w:szCs w:val="20"/>
        </w:rPr>
        <w:t xml:space="preserve">. En este sentido, la jurisprudencia reciente ha reconocido que todas las autoridades de un Estado Parte en la </w:t>
      </w:r>
      <w:proofErr w:type="gramStart"/>
      <w:r w:rsidRPr="006B0525">
        <w:rPr>
          <w:rFonts w:ascii="Verdana" w:hAnsi="Verdana"/>
          <w:sz w:val="20"/>
          <w:szCs w:val="20"/>
        </w:rPr>
        <w:t>Convención,</w:t>
      </w:r>
      <w:proofErr w:type="gramEnd"/>
      <w:r w:rsidRPr="006B0525">
        <w:rPr>
          <w:rFonts w:ascii="Verdana" w:hAnsi="Verdana"/>
          <w:sz w:val="20"/>
          <w:szCs w:val="20"/>
        </w:rPr>
        <w:t xml:space="preserve"> tienen la obligación de ejercer un “control de convencionalidad”</w:t>
      </w:r>
      <w:r w:rsidRPr="006B0525">
        <w:rPr>
          <w:rStyle w:val="Refdenotaalpie"/>
          <w:rFonts w:ascii="Verdana" w:hAnsi="Verdana" w:cs="Arial"/>
          <w:sz w:val="20"/>
          <w:szCs w:val="20"/>
        </w:rPr>
        <w:footnoteReference w:id="65"/>
      </w:r>
      <w:r w:rsidRPr="006B0525">
        <w:rPr>
          <w:rFonts w:ascii="Verdana" w:hAnsi="Verdana"/>
          <w:sz w:val="20"/>
          <w:szCs w:val="20"/>
        </w:rPr>
        <w:t>, de forma tal que la interpretación y aplicación del derecho nacional sea consistente con las obligaciones internacionales del Estado en materia de derechos humanos.</w:t>
      </w:r>
    </w:p>
    <w:p w14:paraId="4BFF8DCB" w14:textId="77777777" w:rsidR="003248AE" w:rsidRPr="006B0525" w:rsidRDefault="003248AE" w:rsidP="003248AE">
      <w:pPr>
        <w:pStyle w:val="Normal1"/>
        <w:widowControl/>
        <w:contextualSpacing/>
        <w:jc w:val="both"/>
        <w:rPr>
          <w:rFonts w:ascii="Verdana" w:hAnsi="Verdana"/>
          <w:i/>
          <w:sz w:val="20"/>
          <w:szCs w:val="20"/>
        </w:rPr>
      </w:pPr>
    </w:p>
    <w:p w14:paraId="25EF71B3" w14:textId="77777777" w:rsidR="00C403D1" w:rsidRPr="006B0525" w:rsidRDefault="005039F3" w:rsidP="00A5185F">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De lo anterior se desprende que</w:t>
      </w:r>
      <w:r w:rsidR="002667D1" w:rsidRPr="006B0525">
        <w:rPr>
          <w:rFonts w:ascii="Verdana" w:hAnsi="Verdana"/>
          <w:sz w:val="20"/>
          <w:szCs w:val="20"/>
        </w:rPr>
        <w:t xml:space="preserve"> en el sistema interamericano existe un control dinámico y complementario de las obligaciones convencionales de los Estados de respetar y garantizar los derechos humanos, conjuntamente entre las autoridades internas (primariamente obligadas) y las instancias internacionales (en forma complementaria), de modo que los criterios de decisión, y los mecanismos de protección, tanto los nacionales como los internacionales, puedan ser conformados y adecuados entre sí</w:t>
      </w:r>
      <w:r w:rsidR="002667D1" w:rsidRPr="006B0525">
        <w:rPr>
          <w:rStyle w:val="Refdenotaalpie"/>
          <w:rFonts w:ascii="Verdana" w:hAnsi="Verdana"/>
          <w:sz w:val="20"/>
          <w:szCs w:val="20"/>
        </w:rPr>
        <w:footnoteReference w:id="66"/>
      </w:r>
      <w:r w:rsidR="002667D1" w:rsidRPr="006B0525">
        <w:rPr>
          <w:rFonts w:ascii="Verdana" w:hAnsi="Verdana"/>
          <w:sz w:val="20"/>
          <w:szCs w:val="20"/>
        </w:rPr>
        <w:t>.</w:t>
      </w:r>
      <w:r w:rsidR="003248AE" w:rsidRPr="006B0525">
        <w:rPr>
          <w:rFonts w:ascii="Verdana" w:hAnsi="Verdana"/>
          <w:sz w:val="20"/>
          <w:szCs w:val="20"/>
        </w:rPr>
        <w:t xml:space="preserve"> Así, la jurisprudencia de la Corte muestra casos en que, en forma concordante con las obligaciones internacionales, los órganos, instancias o tribunales internos han adoptado medidas adecuadas para remediar la situación que dio origen al caso</w:t>
      </w:r>
      <w:r w:rsidR="003248AE" w:rsidRPr="006B0525">
        <w:rPr>
          <w:rStyle w:val="Refdenotaalpie"/>
          <w:rFonts w:ascii="Verdana" w:eastAsia="MS Mincho" w:hAnsi="Verdana"/>
          <w:sz w:val="20"/>
          <w:szCs w:val="20"/>
        </w:rPr>
        <w:footnoteReference w:id="67"/>
      </w:r>
      <w:r w:rsidR="003248AE" w:rsidRPr="006B0525">
        <w:rPr>
          <w:rFonts w:ascii="Verdana" w:hAnsi="Verdana"/>
          <w:sz w:val="20"/>
          <w:szCs w:val="20"/>
        </w:rPr>
        <w:t>; ya han resuelto la violación alegada</w:t>
      </w:r>
      <w:r w:rsidR="003248AE" w:rsidRPr="006B0525">
        <w:rPr>
          <w:rStyle w:val="Refdenotaalpie"/>
          <w:rFonts w:ascii="Verdana" w:eastAsia="MS Mincho" w:hAnsi="Verdana"/>
          <w:sz w:val="20"/>
          <w:szCs w:val="20"/>
        </w:rPr>
        <w:footnoteReference w:id="68"/>
      </w:r>
      <w:r w:rsidR="003248AE" w:rsidRPr="006B0525">
        <w:rPr>
          <w:rFonts w:ascii="Verdana" w:hAnsi="Verdana"/>
          <w:sz w:val="20"/>
          <w:szCs w:val="20"/>
        </w:rPr>
        <w:t>; han dispuesto reparaciones razonables</w:t>
      </w:r>
      <w:r w:rsidR="003248AE" w:rsidRPr="006B0525">
        <w:rPr>
          <w:rStyle w:val="Refdenotaalpie"/>
          <w:rFonts w:ascii="Verdana" w:eastAsia="MS Mincho" w:hAnsi="Verdana"/>
          <w:sz w:val="20"/>
          <w:szCs w:val="20"/>
        </w:rPr>
        <w:footnoteReference w:id="69"/>
      </w:r>
      <w:r w:rsidR="003248AE" w:rsidRPr="006B0525">
        <w:rPr>
          <w:rFonts w:ascii="Verdana" w:hAnsi="Verdana"/>
          <w:sz w:val="20"/>
          <w:szCs w:val="20"/>
        </w:rPr>
        <w:t>, o han ejercido un adecuado control de convencionalidad</w:t>
      </w:r>
      <w:r w:rsidR="003248AE" w:rsidRPr="006B0525">
        <w:rPr>
          <w:rStyle w:val="Refdenotaalpie"/>
          <w:rFonts w:ascii="Verdana" w:eastAsia="MS Mincho" w:hAnsi="Verdana"/>
          <w:sz w:val="20"/>
          <w:szCs w:val="20"/>
        </w:rPr>
        <w:footnoteReference w:id="70"/>
      </w:r>
      <w:r w:rsidR="003248AE" w:rsidRPr="006B0525">
        <w:rPr>
          <w:rFonts w:ascii="Verdana" w:hAnsi="Verdana"/>
          <w:sz w:val="20"/>
          <w:szCs w:val="20"/>
        </w:rPr>
        <w:t>. En este sentido, la Corte ha señalado que la responsabilidad estatal bajo la Convención solo puede ser exigida a nivel internacional después de que el Estado haya tenido la oportunidad de reconocer, en su caso, una violación de un derecho, y de reparar por sus propios medios los daños ocasionados</w:t>
      </w:r>
      <w:r w:rsidR="003248AE" w:rsidRPr="006B0525">
        <w:rPr>
          <w:rStyle w:val="Refdenotaalpie"/>
          <w:rFonts w:ascii="Verdana" w:eastAsia="MS Mincho" w:hAnsi="Verdana"/>
          <w:sz w:val="20"/>
          <w:szCs w:val="20"/>
        </w:rPr>
        <w:footnoteReference w:id="71"/>
      </w:r>
      <w:r w:rsidR="003248AE" w:rsidRPr="006B0525">
        <w:rPr>
          <w:rFonts w:ascii="Verdana" w:hAnsi="Verdana"/>
          <w:sz w:val="20"/>
          <w:szCs w:val="20"/>
        </w:rPr>
        <w:t xml:space="preserve">. </w:t>
      </w:r>
    </w:p>
    <w:p w14:paraId="6DE9A868" w14:textId="77777777" w:rsidR="003248AE" w:rsidRPr="006B0525" w:rsidRDefault="003248AE" w:rsidP="003248AE">
      <w:pPr>
        <w:pStyle w:val="Normal1"/>
        <w:widowControl/>
        <w:contextualSpacing/>
        <w:jc w:val="both"/>
        <w:rPr>
          <w:rFonts w:ascii="Verdana" w:hAnsi="Verdana"/>
          <w:sz w:val="20"/>
          <w:szCs w:val="20"/>
        </w:rPr>
      </w:pPr>
    </w:p>
    <w:p w14:paraId="37EE8974" w14:textId="77777777" w:rsidR="00D4412B" w:rsidRPr="006B0525" w:rsidRDefault="003248AE" w:rsidP="00D8798C">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En el presente caso, la Corte observa que las alegadas violaciones </w:t>
      </w:r>
      <w:r w:rsidR="00D4412B" w:rsidRPr="006B0525">
        <w:rPr>
          <w:rFonts w:ascii="Verdana" w:hAnsi="Verdana"/>
          <w:sz w:val="20"/>
          <w:szCs w:val="20"/>
        </w:rPr>
        <w:t>que eventualmente derivarían</w:t>
      </w:r>
      <w:r w:rsidRPr="006B0525">
        <w:rPr>
          <w:rFonts w:ascii="Verdana" w:hAnsi="Verdana"/>
          <w:sz w:val="20"/>
          <w:szCs w:val="20"/>
        </w:rPr>
        <w:t xml:space="preserve"> de la imposición de la pena de muerte </w:t>
      </w:r>
      <w:r w:rsidR="005039F3" w:rsidRPr="006B0525">
        <w:rPr>
          <w:rFonts w:ascii="Verdana" w:hAnsi="Verdana"/>
          <w:sz w:val="20"/>
          <w:szCs w:val="20"/>
        </w:rPr>
        <w:t xml:space="preserve">con respecto a los señores Rodríguez Revolorio y López Calo fueron reconocidas y </w:t>
      </w:r>
      <w:r w:rsidR="00C00B1C" w:rsidRPr="006B0525">
        <w:rPr>
          <w:rFonts w:ascii="Verdana" w:hAnsi="Verdana"/>
          <w:sz w:val="20"/>
          <w:szCs w:val="20"/>
        </w:rPr>
        <w:t>reparadas</w:t>
      </w:r>
      <w:r w:rsidRPr="006B0525">
        <w:rPr>
          <w:rFonts w:ascii="Verdana" w:hAnsi="Verdana"/>
          <w:sz w:val="20"/>
          <w:szCs w:val="20"/>
        </w:rPr>
        <w:t xml:space="preserve"> el </w:t>
      </w:r>
      <w:r w:rsidR="00D4412B" w:rsidRPr="006B0525">
        <w:rPr>
          <w:rFonts w:ascii="Verdana" w:hAnsi="Verdana"/>
          <w:sz w:val="20"/>
          <w:szCs w:val="20"/>
        </w:rPr>
        <w:t>2 de julio de 2012</w:t>
      </w:r>
      <w:r w:rsidRPr="006B0525">
        <w:rPr>
          <w:rFonts w:ascii="Verdana" w:hAnsi="Verdana"/>
          <w:sz w:val="20"/>
          <w:szCs w:val="20"/>
        </w:rPr>
        <w:t xml:space="preserve">, fecha en la que la Corte Suprema anuló parcialmente la condena impuesta </w:t>
      </w:r>
      <w:r w:rsidR="00A43896" w:rsidRPr="006B0525">
        <w:rPr>
          <w:rFonts w:ascii="Verdana" w:hAnsi="Verdana"/>
          <w:sz w:val="20"/>
          <w:szCs w:val="20"/>
        </w:rPr>
        <w:t xml:space="preserve">a éstos, conmutándoles </w:t>
      </w:r>
      <w:r w:rsidR="00D4412B" w:rsidRPr="006B0525">
        <w:rPr>
          <w:rFonts w:ascii="Verdana" w:hAnsi="Verdana"/>
          <w:sz w:val="20"/>
          <w:szCs w:val="20"/>
        </w:rPr>
        <w:t>la pena de muerte por una pena privativa de libertad. L</w:t>
      </w:r>
      <w:r w:rsidR="00D4412B" w:rsidRPr="006B0525">
        <w:rPr>
          <w:rFonts w:ascii="Verdana" w:eastAsia="MS Mincho" w:hAnsi="Verdana"/>
          <w:sz w:val="20"/>
          <w:szCs w:val="20"/>
        </w:rPr>
        <w:t xml:space="preserve">a Corte </w:t>
      </w:r>
      <w:r w:rsidR="00F36CCB">
        <w:rPr>
          <w:rFonts w:ascii="Verdana" w:eastAsia="MS Mincho" w:hAnsi="Verdana"/>
          <w:sz w:val="20"/>
          <w:szCs w:val="20"/>
        </w:rPr>
        <w:t>advierte</w:t>
      </w:r>
      <w:r w:rsidR="00D4412B" w:rsidRPr="006B0525">
        <w:rPr>
          <w:rFonts w:ascii="Verdana" w:eastAsia="MS Mincho" w:hAnsi="Verdana"/>
          <w:sz w:val="20"/>
          <w:szCs w:val="20"/>
        </w:rPr>
        <w:t xml:space="preserve"> que, efectivamente, e</w:t>
      </w:r>
      <w:r w:rsidR="00D4412B" w:rsidRPr="006B0525">
        <w:rPr>
          <w:rFonts w:ascii="Verdana" w:hAnsi="Verdana"/>
          <w:sz w:val="20"/>
          <w:szCs w:val="20"/>
        </w:rPr>
        <w:t xml:space="preserve">l señalado 2 de julio de 2012 la Corte Suprema declaró con lugar el recurso de revisión interpuesto por los señores Rodríguez Revolorio y López Calo y decidió anular parcialmente la sentencia en lo relativo a la pena de muerte impuesta, </w:t>
      </w:r>
      <w:r w:rsidR="00D4412B" w:rsidRPr="006B0525">
        <w:rPr>
          <w:rFonts w:ascii="Verdana" w:hAnsi="Verdana"/>
          <w:sz w:val="20"/>
          <w:szCs w:val="20"/>
        </w:rPr>
        <w:lastRenderedPageBreak/>
        <w:t>imponiéndoles</w:t>
      </w:r>
      <w:r w:rsidR="00D4412B" w:rsidRPr="006B0525">
        <w:rPr>
          <w:rFonts w:ascii="Verdana" w:hAnsi="Verdana" w:cs="Arial"/>
          <w:sz w:val="20"/>
          <w:szCs w:val="20"/>
        </w:rPr>
        <w:t xml:space="preserve"> “la pena superior inmediata a la pena de muerte, vigente al momento de la comisión del hecho delictivo, que era la de treinta años de prisión inconmutables”</w:t>
      </w:r>
      <w:r w:rsidR="00D4412B" w:rsidRPr="006B0525">
        <w:rPr>
          <w:rStyle w:val="Refdenotaalpie"/>
          <w:rFonts w:ascii="Verdana" w:hAnsi="Verdana" w:cs="Arial"/>
          <w:sz w:val="20"/>
          <w:szCs w:val="20"/>
        </w:rPr>
        <w:footnoteReference w:id="72"/>
      </w:r>
      <w:r w:rsidR="00D4412B" w:rsidRPr="006B0525">
        <w:rPr>
          <w:rFonts w:ascii="Verdana" w:hAnsi="Verdana" w:cs="Arial"/>
          <w:sz w:val="20"/>
          <w:szCs w:val="20"/>
        </w:rPr>
        <w:t>.</w:t>
      </w:r>
      <w:r w:rsidR="00D4412B" w:rsidRPr="006B0525" w:rsidDel="00A54EE3">
        <w:rPr>
          <w:rFonts w:ascii="Verdana" w:hAnsi="Verdana" w:cs="Arial"/>
          <w:sz w:val="20"/>
          <w:szCs w:val="20"/>
        </w:rPr>
        <w:t xml:space="preserve"> </w:t>
      </w:r>
      <w:r w:rsidR="00D4412B" w:rsidRPr="006B0525">
        <w:rPr>
          <w:rFonts w:ascii="Verdana" w:hAnsi="Verdana"/>
          <w:sz w:val="20"/>
          <w:szCs w:val="20"/>
        </w:rPr>
        <w:t xml:space="preserve">La Corte además nota que la Corte Suprema argumentó, </w:t>
      </w:r>
      <w:r w:rsidR="00D4412B" w:rsidRPr="006B0525">
        <w:rPr>
          <w:rFonts w:ascii="Verdana" w:hAnsi="Verdana"/>
          <w:i/>
          <w:sz w:val="20"/>
          <w:szCs w:val="20"/>
        </w:rPr>
        <w:t xml:space="preserve">inter </w:t>
      </w:r>
      <w:proofErr w:type="spellStart"/>
      <w:r w:rsidR="00D4412B" w:rsidRPr="006B0525">
        <w:rPr>
          <w:rFonts w:ascii="Verdana" w:hAnsi="Verdana"/>
          <w:i/>
          <w:sz w:val="20"/>
          <w:szCs w:val="20"/>
        </w:rPr>
        <w:t>alia</w:t>
      </w:r>
      <w:proofErr w:type="spellEnd"/>
      <w:r w:rsidR="00D4412B" w:rsidRPr="006B0525">
        <w:rPr>
          <w:rFonts w:ascii="Verdana" w:hAnsi="Verdana"/>
          <w:sz w:val="20"/>
          <w:szCs w:val="20"/>
        </w:rPr>
        <w:t xml:space="preserve">, que, tras la sentencia de la Corte Interamericana recaída en el caso </w:t>
      </w:r>
      <w:r w:rsidR="00D4412B" w:rsidRPr="006B0525">
        <w:rPr>
          <w:rFonts w:ascii="Verdana" w:hAnsi="Verdana"/>
          <w:i/>
          <w:sz w:val="20"/>
          <w:szCs w:val="20"/>
        </w:rPr>
        <w:t>Fermín Ramírez Vs. Guatemala</w:t>
      </w:r>
      <w:r w:rsidR="00D4412B" w:rsidRPr="006B0525">
        <w:rPr>
          <w:rFonts w:ascii="Verdana" w:hAnsi="Verdana"/>
          <w:sz w:val="20"/>
          <w:szCs w:val="20"/>
        </w:rPr>
        <w:t xml:space="preserve"> </w:t>
      </w:r>
      <w:r w:rsidR="005039F3" w:rsidRPr="006B0525">
        <w:rPr>
          <w:rFonts w:ascii="Verdana" w:hAnsi="Verdana"/>
          <w:sz w:val="20"/>
          <w:szCs w:val="20"/>
        </w:rPr>
        <w:t>–la cual</w:t>
      </w:r>
      <w:r w:rsidR="00D4412B" w:rsidRPr="006B0525">
        <w:rPr>
          <w:rFonts w:ascii="Verdana" w:hAnsi="Verdana"/>
          <w:sz w:val="20"/>
          <w:szCs w:val="20"/>
        </w:rPr>
        <w:t xml:space="preserve"> declaró </w:t>
      </w:r>
      <w:proofErr w:type="spellStart"/>
      <w:r w:rsidR="00D4412B" w:rsidRPr="006B0525">
        <w:rPr>
          <w:rFonts w:ascii="Verdana" w:hAnsi="Verdana"/>
          <w:sz w:val="20"/>
          <w:szCs w:val="20"/>
        </w:rPr>
        <w:t>inconvencional</w:t>
      </w:r>
      <w:proofErr w:type="spellEnd"/>
      <w:r w:rsidR="00D4412B" w:rsidRPr="006B0525">
        <w:rPr>
          <w:rFonts w:ascii="Verdana" w:hAnsi="Verdana"/>
          <w:sz w:val="20"/>
          <w:szCs w:val="20"/>
        </w:rPr>
        <w:t xml:space="preserve"> el criterio de peligrosidad establecido en el artículo 132 del Código Penal guatemalteco-, estaba obligada “por mandato de la Constitución Política de la República y de la Convención Americana de Derechos Humanos” a declarar con lugar la revisión solicitada</w:t>
      </w:r>
      <w:r w:rsidR="00D4412B" w:rsidRPr="006B0525">
        <w:rPr>
          <w:rStyle w:val="Refdenotaalpie"/>
          <w:rFonts w:ascii="Verdana" w:hAnsi="Verdana"/>
          <w:sz w:val="20"/>
          <w:szCs w:val="20"/>
        </w:rPr>
        <w:footnoteReference w:id="73"/>
      </w:r>
      <w:r w:rsidR="00D4412B" w:rsidRPr="006B0525">
        <w:rPr>
          <w:rFonts w:ascii="Verdana" w:hAnsi="Verdana"/>
          <w:sz w:val="20"/>
          <w:szCs w:val="20"/>
        </w:rPr>
        <w:t xml:space="preserve">. Por tanto, </w:t>
      </w:r>
      <w:r w:rsidR="00D8798C" w:rsidRPr="006B0525">
        <w:rPr>
          <w:rFonts w:ascii="Verdana" w:hAnsi="Verdana"/>
          <w:sz w:val="20"/>
          <w:szCs w:val="20"/>
        </w:rPr>
        <w:t>la Corte observa que</w:t>
      </w:r>
      <w:r w:rsidR="00F36CCB">
        <w:rPr>
          <w:rFonts w:ascii="Verdana" w:hAnsi="Verdana"/>
          <w:sz w:val="20"/>
          <w:szCs w:val="20"/>
        </w:rPr>
        <w:t>,</w:t>
      </w:r>
      <w:r w:rsidR="00D8798C" w:rsidRPr="006B0525">
        <w:rPr>
          <w:rFonts w:ascii="Verdana" w:hAnsi="Verdana"/>
          <w:sz w:val="20"/>
          <w:szCs w:val="20"/>
        </w:rPr>
        <w:t xml:space="preserve"> </w:t>
      </w:r>
      <w:r w:rsidR="00D4412B" w:rsidRPr="006B0525">
        <w:rPr>
          <w:rFonts w:ascii="Verdana" w:hAnsi="Verdana"/>
          <w:sz w:val="20"/>
          <w:szCs w:val="20"/>
        </w:rPr>
        <w:t>en virtud de la referida sentencia de la Corte Suprema de Justicia de 2 de julio de 2012</w:t>
      </w:r>
      <w:r w:rsidR="00F36CCB">
        <w:rPr>
          <w:rFonts w:ascii="Verdana" w:hAnsi="Verdana"/>
          <w:sz w:val="20"/>
          <w:szCs w:val="20"/>
        </w:rPr>
        <w:t>,</w:t>
      </w:r>
      <w:r w:rsidR="00D4412B" w:rsidRPr="006B0525">
        <w:rPr>
          <w:rFonts w:ascii="Verdana" w:hAnsi="Verdana"/>
          <w:sz w:val="20"/>
          <w:szCs w:val="20"/>
        </w:rPr>
        <w:t xml:space="preserve"> </w:t>
      </w:r>
      <w:r w:rsidR="00BD7BBF" w:rsidRPr="006B0525">
        <w:rPr>
          <w:rFonts w:ascii="Verdana" w:hAnsi="Verdana"/>
          <w:sz w:val="20"/>
          <w:szCs w:val="20"/>
        </w:rPr>
        <w:t>se reconocieron las violaciones producidas</w:t>
      </w:r>
      <w:r w:rsidR="00A43896" w:rsidRPr="006B0525">
        <w:rPr>
          <w:rFonts w:ascii="Verdana" w:hAnsi="Verdana"/>
          <w:sz w:val="20"/>
          <w:szCs w:val="20"/>
        </w:rPr>
        <w:t xml:space="preserve"> por la imposición de la pena de muerte</w:t>
      </w:r>
      <w:r w:rsidR="00BD7BBF" w:rsidRPr="006B0525">
        <w:rPr>
          <w:rFonts w:ascii="Verdana" w:hAnsi="Verdana"/>
          <w:sz w:val="20"/>
          <w:szCs w:val="20"/>
        </w:rPr>
        <w:t xml:space="preserve"> y se reparó </w:t>
      </w:r>
      <w:r w:rsidR="00A43896" w:rsidRPr="006B0525">
        <w:rPr>
          <w:rFonts w:ascii="Verdana" w:hAnsi="Verdana"/>
          <w:sz w:val="20"/>
          <w:szCs w:val="20"/>
        </w:rPr>
        <w:t xml:space="preserve">adecuadamente </w:t>
      </w:r>
      <w:r w:rsidR="00BD7BBF" w:rsidRPr="006B0525">
        <w:rPr>
          <w:rFonts w:ascii="Verdana" w:hAnsi="Verdana"/>
          <w:sz w:val="20"/>
          <w:szCs w:val="20"/>
        </w:rPr>
        <w:t xml:space="preserve">el daño en tanto que se </w:t>
      </w:r>
      <w:r w:rsidR="00BD7BBF" w:rsidRPr="006B0525">
        <w:rPr>
          <w:rFonts w:ascii="Verdana" w:eastAsiaTheme="minorHAnsi" w:hAnsi="Verdana" w:cs="Verdana"/>
          <w:sz w:val="20"/>
          <w:szCs w:val="20"/>
          <w:lang w:val="es-ES_tradnl"/>
        </w:rPr>
        <w:t>modificó</w:t>
      </w:r>
      <w:r w:rsidR="00BD7BBF" w:rsidRPr="006B0525">
        <w:rPr>
          <w:rFonts w:ascii="Verdana" w:hAnsi="Verdana"/>
          <w:sz w:val="20"/>
          <w:szCs w:val="20"/>
        </w:rPr>
        <w:t xml:space="preserve"> la pena impuesta</w:t>
      </w:r>
      <w:r w:rsidR="00D8798C" w:rsidRPr="006B0525">
        <w:rPr>
          <w:rFonts w:ascii="Verdana" w:hAnsi="Verdana"/>
          <w:sz w:val="20"/>
          <w:szCs w:val="20"/>
        </w:rPr>
        <w:t>, lo que a su vez constituyó un oportuno y adecuado control de convencionalidad</w:t>
      </w:r>
      <w:r w:rsidR="00BD7BBF" w:rsidRPr="006B0525">
        <w:rPr>
          <w:rFonts w:ascii="Verdana" w:hAnsi="Verdana"/>
          <w:sz w:val="20"/>
          <w:szCs w:val="20"/>
        </w:rPr>
        <w:t xml:space="preserve">. </w:t>
      </w:r>
      <w:proofErr w:type="gramStart"/>
      <w:r w:rsidR="00BD7BBF" w:rsidRPr="006B0525">
        <w:rPr>
          <w:rFonts w:ascii="Verdana" w:hAnsi="Verdana"/>
          <w:sz w:val="20"/>
          <w:szCs w:val="20"/>
        </w:rPr>
        <w:t>En razón de</w:t>
      </w:r>
      <w:proofErr w:type="gramEnd"/>
      <w:r w:rsidR="00BD7BBF" w:rsidRPr="006B0525">
        <w:rPr>
          <w:rFonts w:ascii="Verdana" w:hAnsi="Verdana"/>
          <w:sz w:val="20"/>
          <w:szCs w:val="20"/>
        </w:rPr>
        <w:t xml:space="preserve"> lo anterior, y de conformidad con el principio de complementariedad, la Corte considera que el Estado no es responsable por las alegadas violaciones a la Convención que eventualmente derivarían de la imposición de la pena de muerte a los señores Rodríguez Revolorio y </w:t>
      </w:r>
      <w:r w:rsidR="00362EF1">
        <w:rPr>
          <w:rFonts w:ascii="Verdana" w:hAnsi="Verdana"/>
          <w:sz w:val="20"/>
          <w:szCs w:val="20"/>
        </w:rPr>
        <w:t>López Calo</w:t>
      </w:r>
      <w:r w:rsidR="005039F3" w:rsidRPr="006B0525">
        <w:rPr>
          <w:rStyle w:val="Refdenotaalpie"/>
          <w:rFonts w:ascii="Verdana" w:hAnsi="Verdana"/>
          <w:sz w:val="20"/>
          <w:szCs w:val="20"/>
        </w:rPr>
        <w:footnoteReference w:id="74"/>
      </w:r>
      <w:r w:rsidR="00BD7BBF" w:rsidRPr="006B0525">
        <w:rPr>
          <w:rFonts w:ascii="Verdana" w:hAnsi="Verdana"/>
          <w:sz w:val="20"/>
          <w:szCs w:val="20"/>
        </w:rPr>
        <w:t>.</w:t>
      </w:r>
    </w:p>
    <w:p w14:paraId="551C01BA" w14:textId="77777777" w:rsidR="003248AE" w:rsidRPr="006B0525" w:rsidRDefault="003248AE" w:rsidP="003248AE">
      <w:pPr>
        <w:pStyle w:val="Normal1"/>
        <w:widowControl/>
        <w:contextualSpacing/>
        <w:jc w:val="both"/>
        <w:rPr>
          <w:rFonts w:ascii="Verdana" w:hAnsi="Verdana"/>
          <w:sz w:val="20"/>
          <w:szCs w:val="20"/>
        </w:rPr>
      </w:pPr>
    </w:p>
    <w:p w14:paraId="2E7B2D90" w14:textId="77777777" w:rsidR="00C01B2E" w:rsidRPr="006B0525" w:rsidRDefault="0092241B" w:rsidP="00454CF5">
      <w:pPr>
        <w:pStyle w:val="Normal1"/>
        <w:widowControl/>
        <w:numPr>
          <w:ilvl w:val="0"/>
          <w:numId w:val="4"/>
        </w:numPr>
        <w:ind w:left="0" w:firstLine="0"/>
        <w:contextualSpacing/>
        <w:jc w:val="both"/>
        <w:rPr>
          <w:rFonts w:ascii="Verdana" w:eastAsia="MS Mincho" w:hAnsi="Verdana"/>
          <w:sz w:val="20"/>
          <w:szCs w:val="20"/>
        </w:rPr>
      </w:pPr>
      <w:r w:rsidRPr="006B0525">
        <w:rPr>
          <w:rFonts w:ascii="Verdana" w:eastAsiaTheme="minorHAnsi" w:hAnsi="Verdana" w:cs="Verdana"/>
          <w:sz w:val="20"/>
          <w:szCs w:val="20"/>
          <w:lang w:val="es-ES_tradnl"/>
        </w:rPr>
        <w:t>Sentado lo anterior</w:t>
      </w:r>
      <w:r w:rsidR="007E78F2" w:rsidRPr="006B0525">
        <w:rPr>
          <w:rFonts w:ascii="Verdana" w:eastAsiaTheme="minorHAnsi" w:hAnsi="Verdana" w:cs="Verdana"/>
          <w:sz w:val="20"/>
          <w:szCs w:val="20"/>
          <w:lang w:val="es-ES_tradnl"/>
        </w:rPr>
        <w:t>,</w:t>
      </w:r>
      <w:r w:rsidR="009926FC" w:rsidRPr="006B0525">
        <w:rPr>
          <w:rFonts w:ascii="Verdana" w:eastAsiaTheme="minorHAnsi" w:hAnsi="Verdana" w:cs="Verdana"/>
          <w:sz w:val="20"/>
          <w:szCs w:val="20"/>
          <w:lang w:val="es-ES_tradnl"/>
        </w:rPr>
        <w:t xml:space="preserve"> la Corte procederá a exa</w:t>
      </w:r>
      <w:r w:rsidR="00C01B2E" w:rsidRPr="006B0525">
        <w:rPr>
          <w:rFonts w:ascii="Verdana" w:eastAsiaTheme="minorHAnsi" w:hAnsi="Verdana" w:cs="Verdana"/>
          <w:sz w:val="20"/>
          <w:szCs w:val="20"/>
        </w:rPr>
        <w:t xml:space="preserve">minar la alegada violación del derecho a la vida </w:t>
      </w:r>
      <w:r w:rsidR="009926FC" w:rsidRPr="006B0525">
        <w:rPr>
          <w:rFonts w:ascii="Verdana" w:eastAsiaTheme="minorHAnsi" w:hAnsi="Verdana" w:cs="Verdana"/>
          <w:sz w:val="20"/>
          <w:szCs w:val="20"/>
        </w:rPr>
        <w:t>por la imposición de la pena de muerte al</w:t>
      </w:r>
      <w:r w:rsidR="007E78F2" w:rsidRPr="006B0525">
        <w:rPr>
          <w:rFonts w:ascii="Verdana" w:eastAsiaTheme="minorHAnsi" w:hAnsi="Verdana" w:cs="Verdana"/>
          <w:sz w:val="20"/>
          <w:szCs w:val="20"/>
        </w:rPr>
        <w:t xml:space="preserve"> señor</w:t>
      </w:r>
      <w:r w:rsidR="00C01B2E" w:rsidRPr="006B0525">
        <w:rPr>
          <w:rFonts w:ascii="Verdana" w:eastAsiaTheme="minorHAnsi" w:hAnsi="Verdana" w:cs="Verdana"/>
          <w:sz w:val="20"/>
          <w:szCs w:val="20"/>
        </w:rPr>
        <w:t xml:space="preserve"> Archila Pérez</w:t>
      </w:r>
      <w:r w:rsidR="009926FC" w:rsidRPr="006B0525">
        <w:rPr>
          <w:rFonts w:ascii="Verdana" w:eastAsiaTheme="minorHAnsi" w:hAnsi="Verdana" w:cs="Verdana"/>
          <w:sz w:val="20"/>
          <w:szCs w:val="20"/>
        </w:rPr>
        <w:t>. A este respecto</w:t>
      </w:r>
      <w:r w:rsidR="00503CA9">
        <w:rPr>
          <w:rFonts w:ascii="Verdana" w:eastAsiaTheme="minorHAnsi" w:hAnsi="Verdana" w:cs="Verdana"/>
          <w:sz w:val="20"/>
          <w:szCs w:val="20"/>
        </w:rPr>
        <w:t>,</w:t>
      </w:r>
      <w:r w:rsidR="00C01B2E" w:rsidRPr="006B0525">
        <w:rPr>
          <w:rFonts w:ascii="Verdana" w:eastAsiaTheme="minorHAnsi" w:hAnsi="Verdana" w:cs="Verdana"/>
          <w:sz w:val="20"/>
          <w:szCs w:val="20"/>
        </w:rPr>
        <w:t xml:space="preserve"> cabe recordar que la Corte ha destacado recientemente en el caso </w:t>
      </w:r>
      <w:r w:rsidR="00C01B2E" w:rsidRPr="006B0525">
        <w:rPr>
          <w:rFonts w:ascii="Verdana" w:eastAsiaTheme="minorHAnsi" w:hAnsi="Verdana" w:cs="Verdana"/>
          <w:i/>
          <w:sz w:val="20"/>
          <w:szCs w:val="20"/>
        </w:rPr>
        <w:t>Martínez Coronado Vs. Guatemala</w:t>
      </w:r>
      <w:r w:rsidR="00C01B2E" w:rsidRPr="006B0525">
        <w:rPr>
          <w:rFonts w:ascii="Verdana" w:eastAsiaTheme="minorHAnsi" w:hAnsi="Verdana" w:cs="Verdana"/>
          <w:sz w:val="20"/>
          <w:szCs w:val="20"/>
          <w:vertAlign w:val="superscript"/>
        </w:rPr>
        <w:t xml:space="preserve"> </w:t>
      </w:r>
      <w:r w:rsidR="00C01B2E" w:rsidRPr="006B0525">
        <w:rPr>
          <w:rFonts w:ascii="Verdana" w:eastAsiaTheme="minorHAnsi" w:hAnsi="Verdana" w:cs="Verdana"/>
          <w:sz w:val="20"/>
          <w:szCs w:val="20"/>
        </w:rPr>
        <w:t>que en los casos excepcionales en los cuáles está permitido a los Estados la aplicación de la pena de muerte, tal posibilidad está sujeta a un conjunto de rigurosas limitaciones</w:t>
      </w:r>
      <w:r w:rsidR="00C01B2E" w:rsidRPr="006B0525">
        <w:rPr>
          <w:rFonts w:ascii="Verdana" w:eastAsiaTheme="minorHAnsi" w:hAnsi="Verdana" w:cs="Verdana"/>
          <w:sz w:val="20"/>
          <w:szCs w:val="20"/>
          <w:vertAlign w:val="superscript"/>
        </w:rPr>
        <w:footnoteReference w:id="75"/>
      </w:r>
      <w:r w:rsidR="00C01B2E" w:rsidRPr="006B0525">
        <w:rPr>
          <w:rFonts w:ascii="Verdana" w:eastAsiaTheme="minorHAnsi" w:hAnsi="Verdana" w:cs="Verdana"/>
          <w:sz w:val="20"/>
          <w:szCs w:val="20"/>
        </w:rPr>
        <w:t>. Por una parte, se dispone que la pena de muerte no podrá imponerse sino para los delitos más graves (artículo 4.2) y por la otra, se excluye de modo absoluto su aplicación por delitos políticos o por delitos comunes conexos con los políticos (artículo 4.4). Asimismo, p</w:t>
      </w:r>
      <w:r w:rsidR="00E04DEA" w:rsidRPr="006B0525">
        <w:rPr>
          <w:rFonts w:ascii="Verdana" w:eastAsiaTheme="minorHAnsi" w:hAnsi="Verdana" w:cs="Verdana"/>
          <w:sz w:val="20"/>
          <w:szCs w:val="20"/>
        </w:rPr>
        <w:t>ara efectos de examinar la alegada violación del principio de legalidad, cabe recordar que la Corte ha establecido reiteradamente que el principio de legalidad constituye uno de los elementos centrales de la persecución penal en una sociedad democrática</w:t>
      </w:r>
      <w:r w:rsidR="00C16C7B" w:rsidRPr="006B0525">
        <w:rPr>
          <w:rStyle w:val="Refdenotaalpie"/>
          <w:rFonts w:ascii="Verdana" w:eastAsiaTheme="minorHAnsi" w:hAnsi="Verdana" w:cs="Verdana"/>
          <w:sz w:val="20"/>
          <w:szCs w:val="20"/>
        </w:rPr>
        <w:footnoteReference w:id="76"/>
      </w:r>
      <w:r w:rsidR="00E04DEA" w:rsidRPr="006B0525">
        <w:rPr>
          <w:rFonts w:ascii="Verdana" w:eastAsiaTheme="minorHAnsi" w:hAnsi="Verdana" w:cs="Verdana"/>
          <w:sz w:val="20"/>
          <w:szCs w:val="20"/>
        </w:rPr>
        <w:t xml:space="preserve">. </w:t>
      </w:r>
    </w:p>
    <w:p w14:paraId="468FC3DB" w14:textId="77777777" w:rsidR="00C01B2E" w:rsidRPr="006B0525" w:rsidRDefault="00C01B2E" w:rsidP="00C01B2E">
      <w:pPr>
        <w:pStyle w:val="Normal1"/>
        <w:widowControl/>
        <w:contextualSpacing/>
        <w:jc w:val="both"/>
        <w:rPr>
          <w:rFonts w:ascii="Verdana" w:eastAsia="MS Mincho" w:hAnsi="Verdana"/>
          <w:sz w:val="20"/>
          <w:szCs w:val="20"/>
        </w:rPr>
      </w:pPr>
    </w:p>
    <w:p w14:paraId="14597A88" w14:textId="77777777" w:rsidR="00E04DEA" w:rsidRPr="006B0525" w:rsidRDefault="00C16C7B" w:rsidP="00530549">
      <w:pPr>
        <w:pStyle w:val="Normal1"/>
        <w:widowControl/>
        <w:numPr>
          <w:ilvl w:val="0"/>
          <w:numId w:val="4"/>
        </w:numPr>
        <w:ind w:left="0" w:firstLine="0"/>
        <w:contextualSpacing/>
        <w:jc w:val="both"/>
        <w:rPr>
          <w:rFonts w:ascii="Verdana" w:eastAsia="MS Mincho" w:hAnsi="Verdana"/>
          <w:sz w:val="20"/>
          <w:szCs w:val="20"/>
        </w:rPr>
      </w:pPr>
      <w:r w:rsidRPr="006B0525">
        <w:rPr>
          <w:rFonts w:ascii="Verdana" w:eastAsiaTheme="minorHAnsi" w:hAnsi="Verdana" w:cs="Verdana"/>
          <w:sz w:val="20"/>
          <w:szCs w:val="20"/>
        </w:rPr>
        <w:lastRenderedPageBreak/>
        <w:t>La</w:t>
      </w:r>
      <w:r w:rsidR="00E04DEA" w:rsidRPr="006B0525">
        <w:rPr>
          <w:rFonts w:ascii="Verdana" w:eastAsiaTheme="minorHAnsi" w:hAnsi="Verdana" w:cs="Verdana"/>
          <w:sz w:val="20"/>
          <w:szCs w:val="20"/>
        </w:rPr>
        <w:t xml:space="preserve"> Corte resalta </w:t>
      </w:r>
      <w:proofErr w:type="gramStart"/>
      <w:r w:rsidR="00E04DEA" w:rsidRPr="006B0525">
        <w:rPr>
          <w:rFonts w:ascii="Verdana" w:eastAsiaTheme="minorHAnsi" w:hAnsi="Verdana" w:cs="Verdana"/>
          <w:sz w:val="20"/>
          <w:szCs w:val="20"/>
        </w:rPr>
        <w:t>que</w:t>
      </w:r>
      <w:proofErr w:type="gramEnd"/>
      <w:r w:rsidR="00E04DEA" w:rsidRPr="006B0525">
        <w:rPr>
          <w:rFonts w:ascii="Verdana" w:eastAsiaTheme="minorHAnsi" w:hAnsi="Verdana" w:cs="Verdana"/>
          <w:sz w:val="20"/>
          <w:szCs w:val="20"/>
        </w:rPr>
        <w:t xml:space="preserve"> en el presente </w:t>
      </w:r>
      <w:r w:rsidR="00E04DEA" w:rsidRPr="006B0525">
        <w:rPr>
          <w:rFonts w:ascii="Verdana" w:hAnsi="Verdana"/>
          <w:sz w:val="20"/>
          <w:szCs w:val="20"/>
        </w:rPr>
        <w:t>caso</w:t>
      </w:r>
      <w:r w:rsidRPr="006B0525">
        <w:rPr>
          <w:rFonts w:ascii="Verdana" w:hAnsi="Verdana"/>
          <w:sz w:val="20"/>
          <w:szCs w:val="20"/>
        </w:rPr>
        <w:t>,</w:t>
      </w:r>
      <w:r w:rsidR="00E04DEA" w:rsidRPr="006B0525">
        <w:rPr>
          <w:rFonts w:ascii="Verdana" w:eastAsiaTheme="minorHAnsi" w:hAnsi="Verdana" w:cs="Verdana"/>
          <w:sz w:val="20"/>
          <w:szCs w:val="20"/>
        </w:rPr>
        <w:t xml:space="preserve"> para determinar la condena de los señores Rodríguez Revolorio, López Calo y Archila Pérez</w:t>
      </w:r>
      <w:r w:rsidR="00A316A6" w:rsidRPr="006B0525">
        <w:rPr>
          <w:rFonts w:ascii="Verdana" w:eastAsiaTheme="minorHAnsi" w:hAnsi="Verdana" w:cs="Verdana"/>
          <w:sz w:val="20"/>
          <w:szCs w:val="20"/>
        </w:rPr>
        <w:t>,</w:t>
      </w:r>
      <w:r w:rsidR="00E04DEA" w:rsidRPr="006B0525">
        <w:rPr>
          <w:rFonts w:ascii="Verdana" w:eastAsiaTheme="minorHAnsi" w:hAnsi="Verdana" w:cs="Verdana"/>
          <w:sz w:val="20"/>
          <w:szCs w:val="20"/>
        </w:rPr>
        <w:t xml:space="preserve"> se aplicó el artículo 132 del Código Penal guatemalteco vigente </w:t>
      </w:r>
      <w:r w:rsidR="00503CA9">
        <w:rPr>
          <w:rFonts w:ascii="Verdana" w:eastAsiaTheme="minorHAnsi" w:hAnsi="Verdana" w:cs="Verdana"/>
          <w:sz w:val="20"/>
          <w:szCs w:val="20"/>
        </w:rPr>
        <w:t>en</w:t>
      </w:r>
      <w:r w:rsidR="00E04DEA" w:rsidRPr="006B0525">
        <w:rPr>
          <w:rFonts w:ascii="Verdana" w:eastAsiaTheme="minorHAnsi" w:hAnsi="Verdana" w:cs="Verdana"/>
          <w:sz w:val="20"/>
          <w:szCs w:val="20"/>
        </w:rPr>
        <w:t xml:space="preserve"> dicha fecha</w:t>
      </w:r>
      <w:r w:rsidR="00503CA9">
        <w:rPr>
          <w:rFonts w:ascii="Verdana" w:eastAsiaTheme="minorHAnsi" w:hAnsi="Verdana" w:cs="Verdana"/>
          <w:sz w:val="20"/>
          <w:szCs w:val="20"/>
        </w:rPr>
        <w:t>, el cual</w:t>
      </w:r>
      <w:r w:rsidR="00E04DEA" w:rsidRPr="006B0525">
        <w:rPr>
          <w:rFonts w:ascii="Verdana" w:eastAsiaTheme="minorHAnsi" w:hAnsi="Verdana" w:cs="Verdana"/>
          <w:sz w:val="20"/>
          <w:szCs w:val="20"/>
        </w:rPr>
        <w:t xml:space="preserve"> regulaba el tipo penal de asesinato (</w:t>
      </w:r>
      <w:r w:rsidR="00E04DEA" w:rsidRPr="006B0525">
        <w:rPr>
          <w:rFonts w:ascii="Verdana" w:eastAsiaTheme="minorHAnsi" w:hAnsi="Verdana" w:cs="Verdana"/>
          <w:i/>
          <w:iCs/>
          <w:sz w:val="20"/>
          <w:szCs w:val="20"/>
        </w:rPr>
        <w:t xml:space="preserve">supra </w:t>
      </w:r>
      <w:r w:rsidR="00E04DEA" w:rsidRPr="006B0525">
        <w:rPr>
          <w:rFonts w:ascii="Verdana" w:eastAsiaTheme="minorHAnsi" w:hAnsi="Verdana" w:cs="Verdana"/>
          <w:sz w:val="20"/>
          <w:szCs w:val="20"/>
        </w:rPr>
        <w:t xml:space="preserve">párr. </w:t>
      </w:r>
      <w:r w:rsidR="00BF373F">
        <w:rPr>
          <w:rFonts w:ascii="Verdana" w:eastAsiaTheme="minorHAnsi" w:hAnsi="Verdana" w:cs="Verdana"/>
          <w:sz w:val="20"/>
          <w:szCs w:val="20"/>
        </w:rPr>
        <w:t>32</w:t>
      </w:r>
      <w:r w:rsidRPr="006B0525">
        <w:rPr>
          <w:rFonts w:ascii="Verdana" w:eastAsiaTheme="minorHAnsi" w:hAnsi="Verdana" w:cs="Verdana"/>
          <w:sz w:val="20"/>
          <w:szCs w:val="20"/>
        </w:rPr>
        <w:t xml:space="preserve">). </w:t>
      </w:r>
      <w:r w:rsidR="00A316A6" w:rsidRPr="006B0525">
        <w:rPr>
          <w:rFonts w:ascii="Verdana" w:eastAsiaTheme="minorHAnsi" w:hAnsi="Verdana" w:cs="Verdana"/>
          <w:sz w:val="20"/>
          <w:szCs w:val="20"/>
        </w:rPr>
        <w:t>E</w:t>
      </w:r>
      <w:r w:rsidRPr="006B0525">
        <w:rPr>
          <w:rFonts w:ascii="Verdana" w:eastAsiaTheme="minorHAnsi" w:hAnsi="Verdana" w:cs="Verdana"/>
          <w:sz w:val="20"/>
          <w:szCs w:val="20"/>
        </w:rPr>
        <w:t>n concreto</w:t>
      </w:r>
      <w:r w:rsidR="00A316A6" w:rsidRPr="006B0525">
        <w:rPr>
          <w:rFonts w:ascii="Verdana" w:eastAsiaTheme="minorHAnsi" w:hAnsi="Verdana" w:cs="Verdana"/>
          <w:sz w:val="20"/>
          <w:szCs w:val="20"/>
        </w:rPr>
        <w:t>,</w:t>
      </w:r>
      <w:r w:rsidR="00E04DEA" w:rsidRPr="006B0525">
        <w:rPr>
          <w:rFonts w:ascii="Verdana" w:eastAsiaTheme="minorHAnsi" w:hAnsi="Verdana" w:cs="Verdana"/>
          <w:sz w:val="20"/>
          <w:szCs w:val="20"/>
        </w:rPr>
        <w:t xml:space="preserve"> se condenó a pena de muerte a los señores Rodríguez Revolorio, López Calo y Archila Pérez en aplicación del segundo párrafo de dicha norma, que preveía la aplicación de dicha pena “si por las circunstancias del hecho y de la ocasión, la manera de realizarlo y los móviles determinantes, se revelare una mayor y particular peligrosidad del agente”. </w:t>
      </w:r>
    </w:p>
    <w:p w14:paraId="47BE824E" w14:textId="77777777" w:rsidR="003E5D77" w:rsidRPr="006B0525" w:rsidRDefault="003E5D77" w:rsidP="00530549">
      <w:pPr>
        <w:pStyle w:val="Normal1"/>
        <w:widowControl/>
        <w:contextualSpacing/>
        <w:jc w:val="both"/>
        <w:rPr>
          <w:rFonts w:ascii="Verdana" w:eastAsia="MS Mincho" w:hAnsi="Verdana"/>
          <w:sz w:val="20"/>
          <w:szCs w:val="20"/>
        </w:rPr>
      </w:pPr>
    </w:p>
    <w:p w14:paraId="7299CE70" w14:textId="77777777" w:rsidR="00E04DEA" w:rsidRPr="006B0525" w:rsidRDefault="00E04DEA" w:rsidP="00530549">
      <w:pPr>
        <w:pStyle w:val="Normal1"/>
        <w:widowControl/>
        <w:numPr>
          <w:ilvl w:val="0"/>
          <w:numId w:val="4"/>
        </w:numPr>
        <w:ind w:left="0" w:firstLine="0"/>
        <w:contextualSpacing/>
        <w:jc w:val="both"/>
        <w:rPr>
          <w:rFonts w:ascii="Verdana" w:eastAsiaTheme="minorHAnsi" w:hAnsi="Verdana" w:cs="Verdana"/>
          <w:sz w:val="20"/>
          <w:szCs w:val="20"/>
        </w:rPr>
      </w:pPr>
      <w:r w:rsidRPr="006B0525">
        <w:rPr>
          <w:rFonts w:ascii="Verdana" w:eastAsiaTheme="minorHAnsi" w:hAnsi="Verdana" w:cs="Verdana"/>
          <w:sz w:val="20"/>
          <w:szCs w:val="20"/>
        </w:rPr>
        <w:t xml:space="preserve">Esta Corte ya ha tenido la oportunidad de pronunciarse específicamente sobre la aplicación del referido artículo 132 del Código Penal y el concepto de “peligrosidad futura” en </w:t>
      </w:r>
      <w:r w:rsidRPr="006B0525">
        <w:rPr>
          <w:rFonts w:ascii="Verdana" w:hAnsi="Verdana"/>
          <w:sz w:val="20"/>
          <w:szCs w:val="20"/>
        </w:rPr>
        <w:t xml:space="preserve">los </w:t>
      </w:r>
      <w:r w:rsidRPr="006B0525">
        <w:rPr>
          <w:rFonts w:ascii="Verdana" w:eastAsiaTheme="minorHAnsi" w:hAnsi="Verdana" w:cs="Verdana"/>
          <w:sz w:val="20"/>
          <w:szCs w:val="20"/>
        </w:rPr>
        <w:t>caso</w:t>
      </w:r>
      <w:r w:rsidRPr="006B0525">
        <w:rPr>
          <w:rFonts w:ascii="Verdana" w:hAnsi="Verdana"/>
          <w:sz w:val="20"/>
          <w:szCs w:val="20"/>
        </w:rPr>
        <w:t>s</w:t>
      </w:r>
      <w:r w:rsidRPr="006B0525">
        <w:rPr>
          <w:rFonts w:ascii="Verdana" w:eastAsiaTheme="minorHAnsi" w:hAnsi="Verdana" w:cs="Verdana"/>
          <w:sz w:val="20"/>
          <w:szCs w:val="20"/>
        </w:rPr>
        <w:t xml:space="preserve"> </w:t>
      </w:r>
      <w:r w:rsidRPr="006B0525">
        <w:rPr>
          <w:rFonts w:ascii="Verdana" w:hAnsi="Verdana"/>
          <w:i/>
          <w:sz w:val="20"/>
          <w:szCs w:val="20"/>
        </w:rPr>
        <w:t xml:space="preserve">Martínez Coronado Vs. Guatemala y </w:t>
      </w:r>
      <w:r w:rsidRPr="006B0525">
        <w:rPr>
          <w:rFonts w:ascii="Verdana" w:eastAsiaTheme="minorHAnsi" w:hAnsi="Verdana" w:cs="Verdana"/>
          <w:i/>
          <w:iCs/>
          <w:sz w:val="20"/>
          <w:szCs w:val="20"/>
        </w:rPr>
        <w:t xml:space="preserve">Fermín Ramírez Vs. Guatemala. </w:t>
      </w:r>
      <w:r w:rsidRPr="006B0525">
        <w:rPr>
          <w:rFonts w:ascii="Verdana" w:eastAsiaTheme="minorHAnsi" w:hAnsi="Verdana" w:cs="Verdana"/>
          <w:sz w:val="20"/>
          <w:szCs w:val="20"/>
        </w:rPr>
        <w:t>En dicha</w:t>
      </w:r>
      <w:r w:rsidRPr="006B0525">
        <w:rPr>
          <w:rFonts w:ascii="Verdana" w:hAnsi="Verdana"/>
          <w:sz w:val="20"/>
          <w:szCs w:val="20"/>
        </w:rPr>
        <w:t>s</w:t>
      </w:r>
      <w:r w:rsidRPr="006B0525">
        <w:rPr>
          <w:rFonts w:ascii="Verdana" w:eastAsiaTheme="minorHAnsi" w:hAnsi="Verdana" w:cs="Verdana"/>
          <w:sz w:val="20"/>
          <w:szCs w:val="20"/>
        </w:rPr>
        <w:t xml:space="preserve"> sentencia</w:t>
      </w:r>
      <w:r w:rsidRPr="006B0525">
        <w:rPr>
          <w:rFonts w:ascii="Verdana" w:hAnsi="Verdana"/>
          <w:sz w:val="20"/>
          <w:szCs w:val="20"/>
        </w:rPr>
        <w:t>s</w:t>
      </w:r>
      <w:r w:rsidRPr="006B0525">
        <w:rPr>
          <w:rFonts w:ascii="Verdana" w:eastAsiaTheme="minorHAnsi" w:hAnsi="Verdana" w:cs="Verdana"/>
          <w:sz w:val="20"/>
          <w:szCs w:val="20"/>
        </w:rPr>
        <w:t xml:space="preserve"> se </w:t>
      </w:r>
      <w:r w:rsidR="0081227B" w:rsidRPr="006B0525">
        <w:rPr>
          <w:rFonts w:ascii="Verdana" w:eastAsiaTheme="minorHAnsi" w:hAnsi="Verdana" w:cs="Verdana"/>
          <w:sz w:val="20"/>
          <w:szCs w:val="20"/>
        </w:rPr>
        <w:t>determinó</w:t>
      </w:r>
      <w:r w:rsidRPr="006B0525">
        <w:rPr>
          <w:rFonts w:ascii="Verdana" w:eastAsiaTheme="minorHAnsi" w:hAnsi="Verdana" w:cs="Verdana"/>
          <w:sz w:val="20"/>
          <w:szCs w:val="20"/>
        </w:rPr>
        <w:t xml:space="preserve"> que la referida norma era contraria a la Convención Americana, particularmente por cuanto violaba el artículo 9 de la Convención</w:t>
      </w:r>
      <w:r w:rsidR="00C16C7B" w:rsidRPr="006B0525">
        <w:rPr>
          <w:rFonts w:ascii="Verdana" w:eastAsiaTheme="minorHAnsi" w:hAnsi="Verdana" w:cs="Verdana"/>
          <w:sz w:val="20"/>
          <w:szCs w:val="20"/>
        </w:rPr>
        <w:t xml:space="preserve">, </w:t>
      </w:r>
      <w:r w:rsidRPr="006B0525">
        <w:rPr>
          <w:rFonts w:ascii="Verdana" w:eastAsiaTheme="minorHAnsi" w:hAnsi="Verdana" w:cs="Verdana"/>
          <w:sz w:val="20"/>
          <w:szCs w:val="20"/>
        </w:rPr>
        <w:t xml:space="preserve">ordenándose </w:t>
      </w:r>
      <w:r w:rsidR="00C16C7B" w:rsidRPr="006B0525">
        <w:rPr>
          <w:rFonts w:ascii="Verdana" w:eastAsiaTheme="minorHAnsi" w:hAnsi="Verdana" w:cs="Verdana"/>
          <w:sz w:val="20"/>
          <w:szCs w:val="20"/>
        </w:rPr>
        <w:t xml:space="preserve">además </w:t>
      </w:r>
      <w:r w:rsidRPr="006B0525">
        <w:rPr>
          <w:rFonts w:ascii="Verdana" w:eastAsiaTheme="minorHAnsi" w:hAnsi="Verdana" w:cs="Verdana"/>
          <w:sz w:val="20"/>
          <w:szCs w:val="20"/>
        </w:rPr>
        <w:t xml:space="preserve">adecuar dicha norma al derecho internacional de los derechos humanos. En particular, en </w:t>
      </w:r>
      <w:r w:rsidRPr="006B0525">
        <w:rPr>
          <w:rFonts w:ascii="Verdana" w:hAnsi="Verdana"/>
          <w:sz w:val="20"/>
          <w:szCs w:val="20"/>
        </w:rPr>
        <w:t xml:space="preserve">el caso </w:t>
      </w:r>
      <w:r w:rsidRPr="006B0525">
        <w:rPr>
          <w:rFonts w:ascii="Verdana" w:eastAsiaTheme="minorHAnsi" w:hAnsi="Verdana" w:cs="Verdana"/>
          <w:i/>
          <w:iCs/>
          <w:sz w:val="20"/>
          <w:szCs w:val="20"/>
        </w:rPr>
        <w:t>Fermín Ramírez Vs. Guatemala</w:t>
      </w:r>
      <w:r w:rsidRPr="006B0525">
        <w:rPr>
          <w:rFonts w:ascii="Verdana" w:eastAsiaTheme="minorHAnsi" w:hAnsi="Verdana" w:cs="Verdana"/>
          <w:sz w:val="20"/>
          <w:szCs w:val="20"/>
        </w:rPr>
        <w:t xml:space="preserve"> la Corte indicó que:</w:t>
      </w:r>
      <w:r w:rsidR="005879F4" w:rsidRPr="006B0525">
        <w:rPr>
          <w:rFonts w:ascii="Verdana" w:eastAsiaTheme="minorHAnsi" w:hAnsi="Verdana" w:cs="Verdana"/>
          <w:sz w:val="20"/>
          <w:szCs w:val="20"/>
        </w:rPr>
        <w:t xml:space="preserve"> </w:t>
      </w:r>
    </w:p>
    <w:p w14:paraId="1191924E" w14:textId="77777777" w:rsidR="003E5D77" w:rsidRPr="006B0525" w:rsidRDefault="003E5D77" w:rsidP="00530549">
      <w:pPr>
        <w:pStyle w:val="Normal1"/>
        <w:widowControl/>
        <w:contextualSpacing/>
        <w:jc w:val="both"/>
        <w:rPr>
          <w:rFonts w:ascii="Verdana" w:eastAsiaTheme="minorHAnsi" w:hAnsi="Verdana" w:cs="Verdana"/>
          <w:sz w:val="20"/>
          <w:szCs w:val="20"/>
        </w:rPr>
      </w:pPr>
    </w:p>
    <w:p w14:paraId="18A6784E" w14:textId="77777777" w:rsidR="00E04DEA" w:rsidRPr="006B0525" w:rsidRDefault="00E04DEA" w:rsidP="00530549">
      <w:pPr>
        <w:spacing w:line="240" w:lineRule="auto"/>
        <w:ind w:left="720" w:right="720"/>
        <w:rPr>
          <w:rFonts w:eastAsiaTheme="minorHAnsi"/>
          <w:sz w:val="18"/>
          <w:szCs w:val="18"/>
          <w:lang w:eastAsia="en-US"/>
        </w:rPr>
      </w:pPr>
      <w:r w:rsidRPr="006B0525">
        <w:rPr>
          <w:rFonts w:eastAsiaTheme="minorHAnsi"/>
          <w:sz w:val="18"/>
          <w:szCs w:val="18"/>
          <w:lang w:eastAsia="en-US"/>
        </w:rPr>
        <w:t xml:space="preserve">“94. En concepto de esta Corte, el problema que plantea la invocación de la peligrosidad no sólo puede ser analizado a la luz de las garantías del debido proceso, dentro del artículo 8 de la Convención. Esa invocación tiene mayor alcance y gravedad. En efecto, constituye claramente una expresión del ejercicio del </w:t>
      </w:r>
      <w:r w:rsidRPr="006B0525">
        <w:rPr>
          <w:rFonts w:eastAsiaTheme="minorHAnsi"/>
          <w:i/>
          <w:iCs/>
          <w:sz w:val="18"/>
          <w:szCs w:val="18"/>
          <w:lang w:eastAsia="en-US"/>
        </w:rPr>
        <w:t xml:space="preserve">ius puniendi </w:t>
      </w:r>
      <w:r w:rsidRPr="006B0525">
        <w:rPr>
          <w:rFonts w:eastAsiaTheme="minorHAnsi"/>
          <w:sz w:val="18"/>
          <w:szCs w:val="18"/>
          <w:lang w:eastAsia="en-US"/>
        </w:rPr>
        <w:t xml:space="preserve">estatal sobre la base de las características personales del agente y no del hecho cometido, es decir, sustituye el Derecho Penal de acto </w:t>
      </w:r>
      <w:proofErr w:type="gramStart"/>
      <w:r w:rsidRPr="006B0525">
        <w:rPr>
          <w:rFonts w:eastAsiaTheme="minorHAnsi"/>
          <w:sz w:val="18"/>
          <w:szCs w:val="18"/>
          <w:lang w:eastAsia="en-US"/>
        </w:rPr>
        <w:t>o</w:t>
      </w:r>
      <w:proofErr w:type="gramEnd"/>
      <w:r w:rsidRPr="006B0525">
        <w:rPr>
          <w:rFonts w:eastAsiaTheme="minorHAnsi"/>
          <w:sz w:val="18"/>
          <w:szCs w:val="18"/>
          <w:lang w:eastAsia="en-US"/>
        </w:rPr>
        <w:t xml:space="preserve"> de hecho, propio del sistema penal de una sociedad democrática, por el Derecho Penal de autor, que abre la puerta al autoritarismo precisamente en una materia en la que se hallan en juego los bienes jurídicos de mayor jerarquía. </w:t>
      </w:r>
    </w:p>
    <w:p w14:paraId="45620421" w14:textId="77777777" w:rsidR="00E04DEA" w:rsidRPr="006B0525" w:rsidRDefault="00E04DEA" w:rsidP="00530549">
      <w:pPr>
        <w:spacing w:line="240" w:lineRule="auto"/>
        <w:ind w:left="720" w:right="720"/>
        <w:rPr>
          <w:rFonts w:eastAsiaTheme="minorHAnsi"/>
          <w:sz w:val="18"/>
          <w:szCs w:val="18"/>
          <w:lang w:eastAsia="en-US"/>
        </w:rPr>
      </w:pPr>
    </w:p>
    <w:p w14:paraId="5C453DE1" w14:textId="77777777" w:rsidR="00E04DEA" w:rsidRPr="006B0525" w:rsidRDefault="00E04DEA" w:rsidP="00530549">
      <w:pPr>
        <w:spacing w:line="240" w:lineRule="auto"/>
        <w:ind w:left="720" w:right="720"/>
        <w:rPr>
          <w:rFonts w:eastAsiaTheme="minorHAnsi"/>
          <w:sz w:val="18"/>
          <w:szCs w:val="18"/>
          <w:lang w:eastAsia="en-US"/>
        </w:rPr>
      </w:pPr>
      <w:r w:rsidRPr="006B0525">
        <w:rPr>
          <w:rFonts w:eastAsiaTheme="minorHAnsi"/>
          <w:sz w:val="18"/>
          <w:szCs w:val="18"/>
          <w:lang w:eastAsia="en-US"/>
        </w:rPr>
        <w:t xml:space="preserve">95. La valoración de la peligrosidad del agente implica la apreciación del juzgador acerca de las probabilidades de que el imputado cometa hechos delictuosos en el futuro, es decir, agrega a la imputación por los hechos realizados, la previsión de hechos futuros que probablemente ocurrirán. […] </w:t>
      </w:r>
    </w:p>
    <w:p w14:paraId="6763BD0C" w14:textId="77777777" w:rsidR="00E04DEA" w:rsidRPr="006B0525" w:rsidRDefault="00E04DEA" w:rsidP="00530549">
      <w:pPr>
        <w:spacing w:line="240" w:lineRule="auto"/>
        <w:ind w:left="720" w:right="720"/>
        <w:rPr>
          <w:rFonts w:eastAsiaTheme="minorHAnsi"/>
          <w:sz w:val="18"/>
          <w:szCs w:val="18"/>
          <w:lang w:eastAsia="en-US"/>
        </w:rPr>
      </w:pPr>
    </w:p>
    <w:p w14:paraId="78586D2B" w14:textId="77777777" w:rsidR="00E04DEA" w:rsidRPr="006B0525" w:rsidRDefault="00E04DEA" w:rsidP="00530549">
      <w:pPr>
        <w:spacing w:line="240" w:lineRule="auto"/>
        <w:ind w:left="720" w:right="720"/>
        <w:rPr>
          <w:rFonts w:eastAsiaTheme="minorHAnsi"/>
          <w:sz w:val="18"/>
          <w:szCs w:val="18"/>
          <w:lang w:eastAsia="en-US"/>
        </w:rPr>
      </w:pPr>
      <w:r w:rsidRPr="006B0525">
        <w:rPr>
          <w:rFonts w:eastAsiaTheme="minorHAnsi"/>
          <w:sz w:val="18"/>
          <w:szCs w:val="18"/>
          <w:lang w:eastAsia="en-US"/>
        </w:rPr>
        <w:t xml:space="preserve">96. En consecuencia, la introducción en el texto penal de la peligrosidad del agente como criterio para la calificación típica de los hechos y la aplicación de ciertas sanciones, es incompatible con el principio de legalidad criminal y, por ende, contrario a la Convención. </w:t>
      </w:r>
    </w:p>
    <w:p w14:paraId="7360F577" w14:textId="77777777" w:rsidR="00E04DEA" w:rsidRPr="006B0525" w:rsidRDefault="00E04DEA" w:rsidP="00530549">
      <w:pPr>
        <w:spacing w:line="240" w:lineRule="auto"/>
        <w:ind w:left="720" w:right="720"/>
        <w:rPr>
          <w:rFonts w:eastAsiaTheme="minorHAnsi"/>
          <w:sz w:val="18"/>
          <w:szCs w:val="18"/>
          <w:lang w:eastAsia="en-US"/>
        </w:rPr>
      </w:pPr>
    </w:p>
    <w:p w14:paraId="69B5D754" w14:textId="77777777" w:rsidR="00E04DEA" w:rsidRPr="006B0525" w:rsidRDefault="00E04DEA" w:rsidP="00530549">
      <w:pPr>
        <w:spacing w:line="240" w:lineRule="auto"/>
        <w:ind w:left="720" w:right="720"/>
        <w:rPr>
          <w:rFonts w:eastAsiaTheme="minorHAnsi"/>
          <w:sz w:val="18"/>
          <w:szCs w:val="18"/>
          <w:lang w:eastAsia="en-US"/>
        </w:rPr>
      </w:pPr>
      <w:r w:rsidRPr="006B0525">
        <w:rPr>
          <w:rFonts w:eastAsiaTheme="minorHAnsi"/>
          <w:sz w:val="18"/>
          <w:szCs w:val="18"/>
          <w:lang w:eastAsia="en-US"/>
        </w:rPr>
        <w:t xml:space="preserve">97. […] [s]i los Estados tienen, de acuerdo con el artículo 2 de la Convención Americana, la obligación positiva de adoptar las medidas legislativas que fueren necesarias para garantizar el ejercicio de los derechos reconocidos por la Convención, con mayor razón están en la obligación de no expedir leyes que desconozcan esos derechos u obstaculicen su ejercicio, y la de suprimir o modificar las que tengan estos últimos alcances. De lo contrario, incurren en violación del artículo 2 de la Convención. </w:t>
      </w:r>
    </w:p>
    <w:p w14:paraId="0012B086" w14:textId="77777777" w:rsidR="00E04DEA" w:rsidRPr="006B0525" w:rsidRDefault="00E04DEA" w:rsidP="00530549">
      <w:pPr>
        <w:spacing w:line="240" w:lineRule="auto"/>
        <w:ind w:left="720" w:right="720"/>
        <w:rPr>
          <w:rFonts w:eastAsiaTheme="minorHAnsi"/>
          <w:sz w:val="18"/>
          <w:szCs w:val="18"/>
          <w:lang w:eastAsia="en-US"/>
        </w:rPr>
      </w:pPr>
    </w:p>
    <w:p w14:paraId="680AB395" w14:textId="77777777" w:rsidR="00E04DEA" w:rsidRPr="006B0525" w:rsidRDefault="00E04DEA" w:rsidP="00530549">
      <w:pPr>
        <w:spacing w:line="240" w:lineRule="auto"/>
        <w:ind w:left="720" w:right="720"/>
      </w:pPr>
      <w:r w:rsidRPr="006B0525">
        <w:rPr>
          <w:rFonts w:eastAsiaTheme="minorHAnsi"/>
          <w:sz w:val="18"/>
          <w:szCs w:val="18"/>
          <w:lang w:eastAsia="en-US"/>
        </w:rPr>
        <w:t>98. Por todo lo anterior, la Corte considera que el Estado ha violado el artículo 9 de la Convención, en relación con el artículo 2 de la misma, por haber mantenido vigente la parte del artículo 132 del Código Penal que se refiere a la peligrosidad del agente, una vez ratificada la Convención por parte de Guatemala</w:t>
      </w:r>
      <w:r w:rsidRPr="006B0525">
        <w:rPr>
          <w:rFonts w:eastAsiaTheme="minorHAnsi"/>
          <w:lang w:eastAsia="en-US"/>
        </w:rPr>
        <w:t>”</w:t>
      </w:r>
      <w:r w:rsidRPr="006B0525">
        <w:rPr>
          <w:rStyle w:val="Refdenotaalpie"/>
          <w:rFonts w:eastAsiaTheme="minorHAnsi"/>
          <w:lang w:eastAsia="en-US"/>
        </w:rPr>
        <w:footnoteReference w:id="77"/>
      </w:r>
      <w:r w:rsidRPr="006B0525">
        <w:rPr>
          <w:rFonts w:eastAsiaTheme="minorHAnsi"/>
          <w:lang w:eastAsia="en-US"/>
        </w:rPr>
        <w:t>.</w:t>
      </w:r>
    </w:p>
    <w:p w14:paraId="7D985017" w14:textId="77777777" w:rsidR="003E5D77" w:rsidRPr="006B0525" w:rsidRDefault="003E5D77" w:rsidP="00530549">
      <w:pPr>
        <w:spacing w:line="240" w:lineRule="auto"/>
        <w:ind w:right="720"/>
      </w:pPr>
    </w:p>
    <w:p w14:paraId="57457E96" w14:textId="77777777" w:rsidR="00C16C7B" w:rsidRPr="006B0525" w:rsidRDefault="00C16C7B" w:rsidP="001B12CA">
      <w:pPr>
        <w:pStyle w:val="Normal1"/>
        <w:widowControl/>
        <w:numPr>
          <w:ilvl w:val="0"/>
          <w:numId w:val="4"/>
        </w:numPr>
        <w:ind w:left="0" w:firstLine="0"/>
        <w:contextualSpacing/>
        <w:jc w:val="both"/>
        <w:rPr>
          <w:rFonts w:ascii="Verdana" w:hAnsi="Verdana"/>
          <w:sz w:val="20"/>
          <w:szCs w:val="20"/>
        </w:rPr>
      </w:pPr>
      <w:r w:rsidRPr="006B0525">
        <w:rPr>
          <w:rFonts w:ascii="Verdana" w:eastAsiaTheme="minorHAnsi" w:hAnsi="Verdana" w:cs="Verdana"/>
          <w:sz w:val="20"/>
          <w:szCs w:val="20"/>
        </w:rPr>
        <w:t xml:space="preserve">En lo que respecta al presente caso, la Corte observa que el empleo del criterio de peligrosidad del agente, tanto en la tipificación de los hechos del ilícito como en la determinación de la sanción correspondiente, </w:t>
      </w:r>
      <w:r w:rsidR="0081227B" w:rsidRPr="006B0525">
        <w:rPr>
          <w:rFonts w:ascii="Verdana" w:eastAsiaTheme="minorHAnsi" w:hAnsi="Verdana" w:cs="Verdana"/>
          <w:sz w:val="20"/>
          <w:szCs w:val="20"/>
        </w:rPr>
        <w:t>resultó</w:t>
      </w:r>
      <w:r w:rsidRPr="006B0525">
        <w:rPr>
          <w:rFonts w:ascii="Verdana" w:eastAsiaTheme="minorHAnsi" w:hAnsi="Verdana" w:cs="Verdana"/>
          <w:sz w:val="20"/>
          <w:szCs w:val="20"/>
        </w:rPr>
        <w:t xml:space="preserve"> incompatible con el principio de legalidad previsto en la Convención Americana. El examen de la peligrosidad del agente implica</w:t>
      </w:r>
      <w:r w:rsidR="0081227B" w:rsidRPr="006B0525">
        <w:rPr>
          <w:rFonts w:ascii="Verdana" w:eastAsiaTheme="minorHAnsi" w:hAnsi="Verdana" w:cs="Verdana"/>
          <w:sz w:val="20"/>
          <w:szCs w:val="20"/>
        </w:rPr>
        <w:t>ba</w:t>
      </w:r>
      <w:r w:rsidRPr="006B0525">
        <w:rPr>
          <w:rFonts w:ascii="Verdana" w:eastAsiaTheme="minorHAnsi" w:hAnsi="Verdana" w:cs="Verdana"/>
          <w:sz w:val="20"/>
          <w:szCs w:val="20"/>
        </w:rPr>
        <w:t xml:space="preserve"> la valoración por parte del juzgador de hechos que no </w:t>
      </w:r>
      <w:r w:rsidR="0081227B" w:rsidRPr="006B0525">
        <w:rPr>
          <w:rFonts w:ascii="Verdana" w:eastAsiaTheme="minorHAnsi" w:hAnsi="Verdana" w:cs="Verdana"/>
          <w:sz w:val="20"/>
          <w:szCs w:val="20"/>
        </w:rPr>
        <w:t>habían</w:t>
      </w:r>
      <w:r w:rsidRPr="006B0525">
        <w:rPr>
          <w:rFonts w:ascii="Verdana" w:eastAsiaTheme="minorHAnsi" w:hAnsi="Verdana" w:cs="Verdana"/>
          <w:sz w:val="20"/>
          <w:szCs w:val="20"/>
        </w:rPr>
        <w:t xml:space="preserve"> ocurrido y, por lo tanto, </w:t>
      </w:r>
      <w:r w:rsidR="0081227B" w:rsidRPr="006B0525">
        <w:rPr>
          <w:rFonts w:ascii="Verdana" w:eastAsiaTheme="minorHAnsi" w:hAnsi="Verdana" w:cs="Verdana"/>
          <w:sz w:val="20"/>
          <w:szCs w:val="20"/>
        </w:rPr>
        <w:t>supuso</w:t>
      </w:r>
      <w:r w:rsidRPr="006B0525">
        <w:rPr>
          <w:rFonts w:ascii="Verdana" w:eastAsiaTheme="minorHAnsi" w:hAnsi="Verdana" w:cs="Verdana"/>
          <w:sz w:val="20"/>
          <w:szCs w:val="20"/>
        </w:rPr>
        <w:t xml:space="preserve"> una sanción basada en un juicio sobre la personalidad del infractor y no en los hechos delictivos imputados conforme la tipificación penal </w:t>
      </w:r>
      <w:r w:rsidRPr="006B0525">
        <w:rPr>
          <w:rFonts w:ascii="Verdana" w:eastAsiaTheme="minorHAnsi" w:hAnsi="Verdana" w:cs="Verdana"/>
          <w:sz w:val="20"/>
          <w:szCs w:val="20"/>
        </w:rPr>
        <w:lastRenderedPageBreak/>
        <w:t>aplicable</w:t>
      </w:r>
      <w:r w:rsidRPr="006B0525">
        <w:rPr>
          <w:rStyle w:val="Refdenotaalpie"/>
          <w:rFonts w:ascii="Verdana" w:eastAsiaTheme="minorHAnsi" w:hAnsi="Verdana" w:cs="Verdana"/>
          <w:sz w:val="20"/>
          <w:szCs w:val="20"/>
        </w:rPr>
        <w:footnoteReference w:id="78"/>
      </w:r>
      <w:r w:rsidRPr="006B0525">
        <w:rPr>
          <w:rFonts w:ascii="Verdana" w:eastAsiaTheme="minorHAnsi" w:hAnsi="Verdana" w:cs="Verdana"/>
          <w:sz w:val="20"/>
          <w:szCs w:val="20"/>
        </w:rPr>
        <w:t>.</w:t>
      </w:r>
      <w:r w:rsidRPr="006B0525">
        <w:rPr>
          <w:rFonts w:ascii="Verdana" w:hAnsi="Verdana"/>
          <w:sz w:val="20"/>
          <w:szCs w:val="20"/>
        </w:rPr>
        <w:t xml:space="preserve"> </w:t>
      </w:r>
      <w:r w:rsidRPr="006B0525">
        <w:rPr>
          <w:rFonts w:ascii="Verdana" w:eastAsiaTheme="minorHAnsi" w:hAnsi="Verdana" w:cs="Verdana"/>
          <w:sz w:val="20"/>
          <w:szCs w:val="20"/>
        </w:rPr>
        <w:t xml:space="preserve">En consecuencia, este Tribunal estima que el Estado es responsable por la violación </w:t>
      </w:r>
      <w:r w:rsidR="00FD2A3C" w:rsidRPr="006B0525">
        <w:rPr>
          <w:rFonts w:ascii="Verdana" w:eastAsiaTheme="minorHAnsi" w:hAnsi="Verdana" w:cs="Verdana"/>
          <w:sz w:val="20"/>
          <w:szCs w:val="20"/>
        </w:rPr>
        <w:t>de los artículos 4.2 y</w:t>
      </w:r>
      <w:r w:rsidRPr="006B0525">
        <w:rPr>
          <w:rFonts w:ascii="Verdana" w:eastAsiaTheme="minorHAnsi" w:hAnsi="Verdana" w:cs="Verdana"/>
          <w:sz w:val="20"/>
          <w:szCs w:val="20"/>
        </w:rPr>
        <w:t xml:space="preserve"> 9 de la Convención Americana, en relación con los artículos 1.1 y 2 de la Convención, en perjuicio </w:t>
      </w:r>
      <w:r w:rsidR="007E78F2" w:rsidRPr="006B0525">
        <w:rPr>
          <w:rFonts w:ascii="Verdana" w:eastAsiaTheme="minorHAnsi" w:hAnsi="Verdana" w:cs="Verdana"/>
          <w:sz w:val="20"/>
          <w:szCs w:val="20"/>
        </w:rPr>
        <w:t>del señor</w:t>
      </w:r>
      <w:r w:rsidRPr="006B0525">
        <w:rPr>
          <w:rFonts w:ascii="Verdana" w:eastAsiaTheme="minorHAnsi" w:hAnsi="Verdana" w:cs="Verdana"/>
          <w:sz w:val="20"/>
          <w:szCs w:val="20"/>
        </w:rPr>
        <w:t xml:space="preserve"> Archila Pérez.</w:t>
      </w:r>
    </w:p>
    <w:p w14:paraId="201620A1" w14:textId="77777777" w:rsidR="00C16C7B" w:rsidRPr="006B0525" w:rsidRDefault="00C16C7B" w:rsidP="00530549">
      <w:pPr>
        <w:pStyle w:val="Normal1"/>
        <w:widowControl/>
        <w:contextualSpacing/>
        <w:jc w:val="both"/>
        <w:rPr>
          <w:rFonts w:ascii="Verdana" w:hAnsi="Verdana"/>
          <w:sz w:val="20"/>
          <w:szCs w:val="20"/>
        </w:rPr>
      </w:pPr>
    </w:p>
    <w:bookmarkEnd w:id="49"/>
    <w:bookmarkEnd w:id="50"/>
    <w:bookmarkEnd w:id="51"/>
    <w:p w14:paraId="0BEE75B1" w14:textId="77777777" w:rsidR="002D09F5" w:rsidRPr="006B0525" w:rsidRDefault="006A06FC" w:rsidP="00530549">
      <w:pPr>
        <w:pStyle w:val="Normal1"/>
        <w:widowControl/>
        <w:numPr>
          <w:ilvl w:val="0"/>
          <w:numId w:val="4"/>
        </w:numPr>
        <w:ind w:left="0" w:firstLine="0"/>
        <w:contextualSpacing/>
        <w:jc w:val="both"/>
        <w:rPr>
          <w:rFonts w:ascii="Verdana" w:hAnsi="Verdana"/>
          <w:sz w:val="20"/>
          <w:szCs w:val="20"/>
          <w:lang w:val="es-ES_tradnl"/>
        </w:rPr>
      </w:pPr>
      <w:r w:rsidRPr="006B0525">
        <w:rPr>
          <w:rFonts w:ascii="Verdana" w:hAnsi="Verdana"/>
          <w:sz w:val="20"/>
          <w:szCs w:val="20"/>
          <w:lang w:val="es-ES_tradnl"/>
        </w:rPr>
        <w:t xml:space="preserve">En lo que respecta a la violación </w:t>
      </w:r>
      <w:r w:rsidR="00FD2A3C" w:rsidRPr="006B0525">
        <w:rPr>
          <w:rFonts w:ascii="Verdana" w:hAnsi="Verdana"/>
          <w:sz w:val="20"/>
          <w:szCs w:val="20"/>
          <w:lang w:val="es-ES_tradnl"/>
        </w:rPr>
        <w:t>del artículo</w:t>
      </w:r>
      <w:r w:rsidRPr="006B0525">
        <w:rPr>
          <w:rFonts w:ascii="Verdana" w:hAnsi="Verdana"/>
          <w:sz w:val="20"/>
          <w:szCs w:val="20"/>
          <w:lang w:val="es-ES_tradnl"/>
        </w:rPr>
        <w:t xml:space="preserve"> 4.1 de la Convención, la Corte observa que la condena a pena</w:t>
      </w:r>
      <w:r w:rsidR="00773E86" w:rsidRPr="006B0525">
        <w:rPr>
          <w:rFonts w:ascii="Verdana" w:hAnsi="Verdana"/>
          <w:sz w:val="20"/>
          <w:szCs w:val="20"/>
          <w:lang w:val="es-ES_tradnl"/>
        </w:rPr>
        <w:t xml:space="preserve"> de muerte nunca fue ejecutad</w:t>
      </w:r>
      <w:r w:rsidR="004D19BA" w:rsidRPr="006B0525">
        <w:rPr>
          <w:rFonts w:ascii="Verdana" w:hAnsi="Verdana"/>
          <w:sz w:val="20"/>
          <w:szCs w:val="20"/>
          <w:lang w:val="es-ES_tradnl"/>
        </w:rPr>
        <w:t>a</w:t>
      </w:r>
      <w:r w:rsidR="00773E86" w:rsidRPr="006B0525">
        <w:rPr>
          <w:rFonts w:ascii="Verdana" w:hAnsi="Verdana"/>
          <w:sz w:val="20"/>
          <w:szCs w:val="20"/>
          <w:lang w:val="es-ES_tradnl"/>
        </w:rPr>
        <w:t>, toda vez que</w:t>
      </w:r>
      <w:r w:rsidR="000F0120" w:rsidRPr="006B0525">
        <w:rPr>
          <w:rFonts w:ascii="Verdana" w:hAnsi="Verdana"/>
          <w:sz w:val="20"/>
          <w:szCs w:val="20"/>
          <w:lang w:val="es-ES_tradnl"/>
        </w:rPr>
        <w:t xml:space="preserve"> </w:t>
      </w:r>
      <w:r w:rsidR="0081227B" w:rsidRPr="006B0525">
        <w:rPr>
          <w:rFonts w:ascii="Verdana" w:hAnsi="Verdana"/>
          <w:sz w:val="20"/>
          <w:szCs w:val="20"/>
          <w:lang w:val="es-ES_tradnl"/>
        </w:rPr>
        <w:t xml:space="preserve">el señor </w:t>
      </w:r>
      <w:r w:rsidR="00354A24" w:rsidRPr="006B0525">
        <w:rPr>
          <w:rFonts w:ascii="Verdana" w:hAnsi="Verdana"/>
          <w:sz w:val="20"/>
          <w:szCs w:val="20"/>
        </w:rPr>
        <w:t xml:space="preserve">Archila Pérez falleció el 16 de julio de 1999 a consecuencia de una </w:t>
      </w:r>
      <w:proofErr w:type="spellStart"/>
      <w:r w:rsidR="00354A24" w:rsidRPr="006B0525">
        <w:rPr>
          <w:rFonts w:ascii="Verdana" w:hAnsi="Verdana"/>
          <w:sz w:val="20"/>
          <w:szCs w:val="20"/>
        </w:rPr>
        <w:t>catoacidosis</w:t>
      </w:r>
      <w:proofErr w:type="spellEnd"/>
      <w:r w:rsidR="00354A24" w:rsidRPr="006B0525">
        <w:rPr>
          <w:rFonts w:ascii="Verdana" w:hAnsi="Verdana"/>
          <w:sz w:val="20"/>
          <w:szCs w:val="20"/>
        </w:rPr>
        <w:t xml:space="preserve"> diabética</w:t>
      </w:r>
      <w:r w:rsidR="00354A24" w:rsidRPr="006B0525">
        <w:rPr>
          <w:rStyle w:val="Refdenotaalpie"/>
          <w:rFonts w:ascii="Verdana" w:hAnsi="Verdana" w:cs="Arial"/>
          <w:sz w:val="20"/>
          <w:szCs w:val="20"/>
        </w:rPr>
        <w:footnoteReference w:id="79"/>
      </w:r>
      <w:r w:rsidR="00354A24" w:rsidRPr="006B0525">
        <w:rPr>
          <w:rFonts w:ascii="Verdana" w:hAnsi="Verdana"/>
          <w:sz w:val="20"/>
          <w:szCs w:val="20"/>
        </w:rPr>
        <w:t xml:space="preserve"> (esto es, una complicación aguda de la diabetes). </w:t>
      </w:r>
      <w:r w:rsidRPr="006B0525">
        <w:rPr>
          <w:rFonts w:ascii="Verdana" w:hAnsi="Verdana" w:cs="Arial"/>
          <w:sz w:val="20"/>
          <w:szCs w:val="20"/>
        </w:rPr>
        <w:t xml:space="preserve">En vista de lo anterior, la Corte considera que el Estado no ha violado </w:t>
      </w:r>
      <w:r w:rsidR="00056E57" w:rsidRPr="006B0525">
        <w:rPr>
          <w:rFonts w:ascii="Verdana" w:hAnsi="Verdana" w:cs="Arial"/>
          <w:sz w:val="20"/>
          <w:szCs w:val="20"/>
        </w:rPr>
        <w:t xml:space="preserve">el referido artículo 4.1 </w:t>
      </w:r>
      <w:r w:rsidR="00E11D58" w:rsidRPr="006B0525">
        <w:rPr>
          <w:rFonts w:ascii="Verdana" w:hAnsi="Verdana" w:cs="Arial"/>
          <w:sz w:val="20"/>
          <w:szCs w:val="20"/>
        </w:rPr>
        <w:t xml:space="preserve">de la Convención Americana, </w:t>
      </w:r>
      <w:r w:rsidR="00E11D58" w:rsidRPr="006B0525">
        <w:rPr>
          <w:rFonts w:ascii="Verdana" w:hAnsi="Verdana"/>
          <w:sz w:val="20"/>
          <w:szCs w:val="20"/>
        </w:rPr>
        <w:t xml:space="preserve">en relación con las obligaciones establecidas en </w:t>
      </w:r>
      <w:r w:rsidR="00056E57" w:rsidRPr="006B0525">
        <w:rPr>
          <w:rFonts w:ascii="Verdana" w:hAnsi="Verdana"/>
          <w:sz w:val="20"/>
          <w:szCs w:val="20"/>
        </w:rPr>
        <w:t>el</w:t>
      </w:r>
      <w:r w:rsidR="00E11D58" w:rsidRPr="006B0525">
        <w:rPr>
          <w:rFonts w:ascii="Verdana" w:hAnsi="Verdana"/>
          <w:sz w:val="20"/>
          <w:szCs w:val="20"/>
        </w:rPr>
        <w:t xml:space="preserve"> artículo 1.1 del mismo instrumento</w:t>
      </w:r>
      <w:r w:rsidRPr="006B0525">
        <w:rPr>
          <w:rFonts w:ascii="Verdana" w:hAnsi="Verdana" w:cs="Arial"/>
          <w:sz w:val="20"/>
          <w:szCs w:val="20"/>
        </w:rPr>
        <w:t>.</w:t>
      </w:r>
    </w:p>
    <w:p w14:paraId="5625B96D" w14:textId="77777777" w:rsidR="00467516" w:rsidRPr="006B0525" w:rsidRDefault="00467516" w:rsidP="00530549">
      <w:pPr>
        <w:pStyle w:val="Ttulo1"/>
      </w:pPr>
      <w:bookmarkStart w:id="55" w:name="_Toc26177809"/>
      <w:r w:rsidRPr="006B0525">
        <w:rPr>
          <w:rStyle w:val="Ttulo1Car"/>
          <w:b/>
          <w:bCs/>
          <w:caps/>
        </w:rPr>
        <w:t>V</w:t>
      </w:r>
      <w:r w:rsidR="00241F90" w:rsidRPr="006B0525">
        <w:rPr>
          <w:rStyle w:val="Ttulo1Car"/>
          <w:b/>
          <w:bCs/>
          <w:caps/>
        </w:rPr>
        <w:t>I</w:t>
      </w:r>
      <w:r w:rsidRPr="006B0525">
        <w:rPr>
          <w:rStyle w:val="Ttulo1Car"/>
          <w:b/>
          <w:bCs/>
          <w:caps/>
        </w:rPr>
        <w:t>II-</w:t>
      </w:r>
      <w:r w:rsidR="00964E7B" w:rsidRPr="006B0525">
        <w:rPr>
          <w:rStyle w:val="Ttulo1Car"/>
          <w:b/>
          <w:bCs/>
          <w:caps/>
        </w:rPr>
        <w:t>2</w:t>
      </w:r>
      <w:r w:rsidR="00F36CCB">
        <w:rPr>
          <w:rStyle w:val="Ttulo1Car"/>
          <w:b/>
          <w:bCs/>
          <w:caps/>
        </w:rPr>
        <w:br/>
        <w:t>INTEGRIDAD PERSONAL</w:t>
      </w:r>
      <w:r w:rsidR="002F0FF5">
        <w:rPr>
          <w:rStyle w:val="Refdenotaalpie"/>
          <w:snapToGrid/>
        </w:rPr>
        <w:footnoteReference w:id="80"/>
      </w:r>
      <w:bookmarkEnd w:id="55"/>
    </w:p>
    <w:p w14:paraId="0047784C" w14:textId="77777777" w:rsidR="00964E7B" w:rsidRPr="006B0525" w:rsidRDefault="00964E7B"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En el presente capítulo la Corte examinará los alegatos relativos a</w:t>
      </w:r>
      <w:r w:rsidR="009E03F1" w:rsidRPr="006B0525">
        <w:rPr>
          <w:rFonts w:ascii="Verdana" w:hAnsi="Verdana"/>
          <w:sz w:val="20"/>
          <w:szCs w:val="20"/>
        </w:rPr>
        <w:t xml:space="preserve"> </w:t>
      </w:r>
      <w:r w:rsidRPr="006B0525">
        <w:rPr>
          <w:rFonts w:ascii="Verdana" w:hAnsi="Verdana"/>
          <w:sz w:val="20"/>
          <w:szCs w:val="20"/>
        </w:rPr>
        <w:t xml:space="preserve">las condiciones carcelarias de los señores Rodríguez Revolorio, López Calo y Archila Pérez, todo ello en alegada violación </w:t>
      </w:r>
      <w:r w:rsidR="0021767B">
        <w:rPr>
          <w:rFonts w:ascii="Verdana" w:hAnsi="Verdana"/>
          <w:sz w:val="20"/>
          <w:szCs w:val="20"/>
        </w:rPr>
        <w:t xml:space="preserve">de los artículos </w:t>
      </w:r>
      <w:r w:rsidRPr="006B0525">
        <w:rPr>
          <w:rFonts w:ascii="Verdana" w:hAnsi="Verdana"/>
          <w:sz w:val="20"/>
          <w:szCs w:val="20"/>
        </w:rPr>
        <w:t>5</w:t>
      </w:r>
      <w:r w:rsidR="0021767B">
        <w:rPr>
          <w:rFonts w:ascii="Verdana" w:hAnsi="Verdana"/>
          <w:sz w:val="20"/>
          <w:szCs w:val="20"/>
        </w:rPr>
        <w:t>.1 y 5.2</w:t>
      </w:r>
      <w:r w:rsidRPr="006B0525">
        <w:rPr>
          <w:rFonts w:ascii="Verdana" w:hAnsi="Verdana"/>
          <w:sz w:val="20"/>
          <w:szCs w:val="20"/>
        </w:rPr>
        <w:t xml:space="preserve"> de la Convención Americana, en relación con </w:t>
      </w:r>
      <w:r w:rsidR="004D7ECF">
        <w:rPr>
          <w:rFonts w:ascii="Verdana" w:hAnsi="Verdana"/>
          <w:sz w:val="20"/>
          <w:szCs w:val="20"/>
        </w:rPr>
        <w:t>el artículo</w:t>
      </w:r>
      <w:r w:rsidRPr="006B0525">
        <w:rPr>
          <w:rFonts w:ascii="Verdana" w:hAnsi="Verdana"/>
          <w:sz w:val="20"/>
          <w:szCs w:val="20"/>
        </w:rPr>
        <w:t xml:space="preserve"> 1.1 de dicho instrumento y de los artículos 1, 6 y 8 de la CIPST.</w:t>
      </w:r>
    </w:p>
    <w:p w14:paraId="50DEAC16" w14:textId="77777777" w:rsidR="00467516" w:rsidRPr="006B0525" w:rsidRDefault="00467516" w:rsidP="00530549">
      <w:pPr>
        <w:pStyle w:val="Ttulo2"/>
      </w:pPr>
      <w:bookmarkStart w:id="56" w:name="_Toc26177810"/>
      <w:r w:rsidRPr="006B0525">
        <w:t>A.</w:t>
      </w:r>
      <w:r w:rsidRPr="006B0525">
        <w:tab/>
        <w:t>Argumentos de las partes y de la Comisión</w:t>
      </w:r>
      <w:bookmarkEnd w:id="56"/>
    </w:p>
    <w:p w14:paraId="097CB5D8" w14:textId="77777777" w:rsidR="00467516" w:rsidRPr="006B0525" w:rsidRDefault="00467516"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La </w:t>
      </w:r>
      <w:r w:rsidRPr="006B0525">
        <w:rPr>
          <w:rFonts w:ascii="Verdana" w:hAnsi="Verdana"/>
          <w:b/>
          <w:i/>
          <w:sz w:val="20"/>
          <w:szCs w:val="20"/>
        </w:rPr>
        <w:t>Comisión</w:t>
      </w:r>
      <w:r w:rsidRPr="006B0525">
        <w:rPr>
          <w:rFonts w:ascii="Verdana" w:hAnsi="Verdana"/>
          <w:sz w:val="20"/>
          <w:szCs w:val="20"/>
        </w:rPr>
        <w:t xml:space="preserve"> sostuvo, en primer lugar, </w:t>
      </w:r>
      <w:r w:rsidR="00D56F88" w:rsidRPr="006B0525">
        <w:rPr>
          <w:rFonts w:ascii="Verdana" w:hAnsi="Verdana"/>
          <w:sz w:val="20"/>
          <w:szCs w:val="20"/>
        </w:rPr>
        <w:t>que las presuntas víctimas se encontraban detenidas en condiciones inadecuadas, con una ausencia casi total de artículos médicos y esto a pesar de que dos de ellos padecían diabetes</w:t>
      </w:r>
      <w:r w:rsidR="00E72142" w:rsidRPr="006B0525">
        <w:rPr>
          <w:rFonts w:ascii="Verdana" w:hAnsi="Verdana"/>
          <w:sz w:val="20"/>
          <w:szCs w:val="20"/>
        </w:rPr>
        <w:t xml:space="preserve"> (esto es, los señores López Calo y Archila Pérez)</w:t>
      </w:r>
      <w:r w:rsidR="00D56F88" w:rsidRPr="006B0525">
        <w:rPr>
          <w:rFonts w:ascii="Verdana" w:hAnsi="Verdana"/>
          <w:sz w:val="20"/>
          <w:szCs w:val="20"/>
        </w:rPr>
        <w:t xml:space="preserve">, falleciendo uno de ellos de esta enfermedad. Indicó además que las presuntas víctimas tuvieron un acceso limitado a visitas, contacto físico y agua. </w:t>
      </w:r>
    </w:p>
    <w:p w14:paraId="1058C5E9" w14:textId="77777777" w:rsidR="0011211B" w:rsidRPr="006B0525" w:rsidRDefault="0011211B" w:rsidP="00530549">
      <w:pPr>
        <w:pStyle w:val="Normal1"/>
        <w:widowControl/>
        <w:contextualSpacing/>
        <w:jc w:val="both"/>
        <w:rPr>
          <w:rFonts w:ascii="Verdana" w:hAnsi="Verdana"/>
          <w:sz w:val="20"/>
          <w:szCs w:val="20"/>
        </w:rPr>
      </w:pPr>
    </w:p>
    <w:p w14:paraId="38AD3617" w14:textId="77777777" w:rsidR="00D50BA8" w:rsidRPr="006B0525" w:rsidRDefault="00D50BA8"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La </w:t>
      </w:r>
      <w:r w:rsidRPr="006B0525">
        <w:rPr>
          <w:rFonts w:ascii="Verdana" w:hAnsi="Verdana"/>
          <w:b/>
          <w:i/>
          <w:sz w:val="20"/>
          <w:szCs w:val="20"/>
        </w:rPr>
        <w:t>Comisión</w:t>
      </w:r>
      <w:r w:rsidRPr="006B0525">
        <w:rPr>
          <w:rFonts w:ascii="Verdana" w:hAnsi="Verdana"/>
          <w:sz w:val="20"/>
          <w:szCs w:val="20"/>
        </w:rPr>
        <w:t xml:space="preserve"> </w:t>
      </w:r>
      <w:r w:rsidR="006D21AB" w:rsidRPr="006B0525">
        <w:rPr>
          <w:rFonts w:ascii="Verdana" w:hAnsi="Verdana"/>
          <w:sz w:val="20"/>
          <w:szCs w:val="20"/>
        </w:rPr>
        <w:t>p</w:t>
      </w:r>
      <w:r w:rsidRPr="006B0525">
        <w:rPr>
          <w:rFonts w:ascii="Verdana" w:hAnsi="Verdana"/>
          <w:sz w:val="20"/>
          <w:szCs w:val="20"/>
        </w:rPr>
        <w:t xml:space="preserve">recisó que el señor Aníbal Archila falleció el 16 de julio </w:t>
      </w:r>
      <w:r w:rsidR="009E5B7E" w:rsidRPr="006B0525">
        <w:rPr>
          <w:rFonts w:ascii="Verdana" w:hAnsi="Verdana"/>
          <w:sz w:val="20"/>
          <w:szCs w:val="20"/>
        </w:rPr>
        <w:t>de 1999</w:t>
      </w:r>
      <w:r w:rsidRPr="006B0525">
        <w:rPr>
          <w:rFonts w:ascii="Verdana" w:hAnsi="Verdana"/>
          <w:sz w:val="20"/>
          <w:szCs w:val="20"/>
        </w:rPr>
        <w:t xml:space="preserve"> a causa de complicaciones relacionadas con la diabetes, por lo que permaneció en el corredor de la muerte por más de tres años, mientras que </w:t>
      </w:r>
      <w:r w:rsidR="00912D70" w:rsidRPr="006B0525">
        <w:rPr>
          <w:rFonts w:ascii="Verdana" w:hAnsi="Verdana"/>
          <w:sz w:val="20"/>
          <w:szCs w:val="20"/>
        </w:rPr>
        <w:t xml:space="preserve">los señores </w:t>
      </w:r>
      <w:r w:rsidRPr="006B0525">
        <w:rPr>
          <w:rFonts w:ascii="Verdana" w:hAnsi="Verdana"/>
          <w:sz w:val="20"/>
          <w:szCs w:val="20"/>
        </w:rPr>
        <w:t xml:space="preserve">Rodríguez </w:t>
      </w:r>
      <w:r w:rsidR="00912D70" w:rsidRPr="006B0525">
        <w:rPr>
          <w:rFonts w:ascii="Verdana" w:hAnsi="Verdana"/>
          <w:sz w:val="20"/>
          <w:szCs w:val="20"/>
        </w:rPr>
        <w:t xml:space="preserve">Revolorio </w:t>
      </w:r>
      <w:r w:rsidRPr="006B0525">
        <w:rPr>
          <w:rFonts w:ascii="Verdana" w:hAnsi="Verdana"/>
          <w:sz w:val="20"/>
          <w:szCs w:val="20"/>
        </w:rPr>
        <w:t xml:space="preserve">y López </w:t>
      </w:r>
      <w:r w:rsidR="00912D70" w:rsidRPr="006B0525">
        <w:rPr>
          <w:rFonts w:ascii="Verdana" w:hAnsi="Verdana"/>
          <w:sz w:val="20"/>
          <w:szCs w:val="20"/>
        </w:rPr>
        <w:t xml:space="preserve">Calo </w:t>
      </w:r>
      <w:r w:rsidRPr="006B0525">
        <w:rPr>
          <w:rFonts w:ascii="Verdana" w:hAnsi="Verdana"/>
          <w:sz w:val="20"/>
          <w:szCs w:val="20"/>
        </w:rPr>
        <w:t xml:space="preserve">permanecieron en el corredor de la muerte hasta el 23 de agosto de 2011 cuando la Corte Suprema les conmutó la pena, lo cual quiere decir que permanecieron en el corredor de la muerte por más de 14 años. La Comisión concluyó que el tiempo y circunstancias en que permanecieron en el corredor de la muerte tras la imposición de la pena de muerte, con la expectativa prolongada de que dicha pena pudiera ejecutarse, alcanza la gravedad suficiente para ser considera como un trato cruel, inhumano y degradante, en violación de los artículos 5.1 y 5.2 de la Convención Americana en relación con el artículo 1.1 del mismo instrumento, así como de los artículos 1, 6 y 8 de la CIPST. </w:t>
      </w:r>
    </w:p>
    <w:p w14:paraId="6800DDE7" w14:textId="77777777" w:rsidR="00D50BA8" w:rsidRPr="006B0525" w:rsidRDefault="00D50BA8" w:rsidP="00530549">
      <w:pPr>
        <w:pStyle w:val="Normal1"/>
        <w:widowControl/>
        <w:contextualSpacing/>
        <w:jc w:val="both"/>
        <w:rPr>
          <w:rFonts w:ascii="Verdana" w:hAnsi="Verdana"/>
          <w:sz w:val="20"/>
          <w:szCs w:val="20"/>
        </w:rPr>
      </w:pPr>
    </w:p>
    <w:p w14:paraId="044DE70D" w14:textId="77777777" w:rsidR="00D50BA8" w:rsidRPr="006B0525" w:rsidRDefault="0011211B" w:rsidP="00667F73">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Por su parte, </w:t>
      </w:r>
      <w:r w:rsidR="004D2A8A" w:rsidRPr="006B0525">
        <w:rPr>
          <w:rFonts w:ascii="Verdana" w:hAnsi="Verdana"/>
          <w:sz w:val="20"/>
          <w:szCs w:val="20"/>
        </w:rPr>
        <w:t xml:space="preserve">las </w:t>
      </w:r>
      <w:r w:rsidR="004D2A8A" w:rsidRPr="006B0525">
        <w:rPr>
          <w:rFonts w:ascii="Verdana" w:hAnsi="Verdana"/>
          <w:b/>
          <w:i/>
          <w:sz w:val="20"/>
          <w:szCs w:val="20"/>
        </w:rPr>
        <w:t>representantes</w:t>
      </w:r>
      <w:r w:rsidRPr="006B0525">
        <w:rPr>
          <w:rFonts w:ascii="Verdana" w:hAnsi="Verdana"/>
          <w:sz w:val="20"/>
          <w:szCs w:val="20"/>
        </w:rPr>
        <w:t xml:space="preserve"> afirmaron que los señores </w:t>
      </w:r>
      <w:r w:rsidR="00CC63BE" w:rsidRPr="006B0525">
        <w:rPr>
          <w:rFonts w:ascii="Verdana" w:hAnsi="Verdana"/>
          <w:sz w:val="20"/>
          <w:szCs w:val="20"/>
        </w:rPr>
        <w:t>R</w:t>
      </w:r>
      <w:r w:rsidRPr="006B0525">
        <w:rPr>
          <w:rFonts w:ascii="Verdana" w:hAnsi="Verdana"/>
          <w:sz w:val="20"/>
          <w:szCs w:val="20"/>
        </w:rPr>
        <w:t>odríguez Revolo</w:t>
      </w:r>
      <w:r w:rsidR="006D21AB" w:rsidRPr="006B0525">
        <w:rPr>
          <w:rFonts w:ascii="Verdana" w:hAnsi="Verdana"/>
          <w:sz w:val="20"/>
          <w:szCs w:val="20"/>
        </w:rPr>
        <w:t>rio, López Calo y Archila Pérez</w:t>
      </w:r>
      <w:r w:rsidRPr="006B0525">
        <w:rPr>
          <w:rFonts w:ascii="Verdana" w:hAnsi="Verdana"/>
          <w:sz w:val="20"/>
          <w:szCs w:val="20"/>
        </w:rPr>
        <w:t xml:space="preserve"> fueron sometidos a condiciones de detención que no se adecuan a estándares internacionales, teniendo además que soportar una prolongada espera de ejecución.</w:t>
      </w:r>
      <w:r w:rsidRPr="006B0525">
        <w:rPr>
          <w:rFonts w:ascii="Verdana" w:hAnsi="Verdana"/>
          <w:b/>
          <w:sz w:val="20"/>
          <w:szCs w:val="20"/>
        </w:rPr>
        <w:t xml:space="preserve"> </w:t>
      </w:r>
      <w:r w:rsidR="003F0125" w:rsidRPr="006B0525">
        <w:rPr>
          <w:rFonts w:ascii="Verdana" w:hAnsi="Verdana"/>
          <w:sz w:val="20"/>
          <w:szCs w:val="20"/>
        </w:rPr>
        <w:t>Precisaron que</w:t>
      </w:r>
      <w:r w:rsidR="003F0125" w:rsidRPr="006B0525">
        <w:rPr>
          <w:rFonts w:ascii="Verdana" w:hAnsi="Verdana"/>
          <w:b/>
          <w:sz w:val="20"/>
          <w:szCs w:val="20"/>
        </w:rPr>
        <w:t xml:space="preserve"> </w:t>
      </w:r>
      <w:r w:rsidR="00F5534E" w:rsidRPr="006B0525">
        <w:rPr>
          <w:rFonts w:ascii="Verdana" w:hAnsi="Verdana"/>
          <w:sz w:val="20"/>
          <w:szCs w:val="20"/>
        </w:rPr>
        <w:t>las celdas no tenían ventanas y no había ventilación. Añadieron que había un riesgo de muerte y situaciones de maltrato en general, que no había separación entre ellos y otros reos a pesar de que ellos eran policías y se encontraban con otros grupos armados, rivales, bajo amenaza de muerte constante</w:t>
      </w:r>
      <w:r w:rsidR="006146E8">
        <w:rPr>
          <w:rFonts w:ascii="Verdana" w:hAnsi="Verdana"/>
          <w:sz w:val="20"/>
          <w:szCs w:val="20"/>
        </w:rPr>
        <w:t>.</w:t>
      </w:r>
      <w:r w:rsidR="00F5534E" w:rsidRPr="006B0525">
        <w:rPr>
          <w:rFonts w:ascii="Verdana" w:hAnsi="Verdana"/>
          <w:sz w:val="20"/>
          <w:szCs w:val="20"/>
        </w:rPr>
        <w:t xml:space="preserve"> </w:t>
      </w:r>
      <w:r w:rsidR="00D50BA8" w:rsidRPr="006B0525">
        <w:rPr>
          <w:rFonts w:ascii="Verdana" w:hAnsi="Verdana"/>
          <w:sz w:val="20"/>
          <w:szCs w:val="20"/>
        </w:rPr>
        <w:t xml:space="preserve">Asimismo, </w:t>
      </w:r>
      <w:r w:rsidR="004D2A8A" w:rsidRPr="006B0525">
        <w:rPr>
          <w:rFonts w:ascii="Verdana" w:hAnsi="Verdana"/>
          <w:sz w:val="20"/>
          <w:szCs w:val="20"/>
        </w:rPr>
        <w:t>las representantes</w:t>
      </w:r>
      <w:r w:rsidR="00D50BA8" w:rsidRPr="006B0525">
        <w:rPr>
          <w:rFonts w:ascii="Verdana" w:hAnsi="Verdana"/>
          <w:sz w:val="20"/>
          <w:szCs w:val="20"/>
        </w:rPr>
        <w:t xml:space="preserve"> sostuvieron que la espera de la ejecución generó en los condenados a muerte una situación emocional de permanente angustia.</w:t>
      </w:r>
      <w:r w:rsidR="00D50BA8" w:rsidRPr="006B0525">
        <w:rPr>
          <w:rFonts w:ascii="Verdana" w:hAnsi="Verdana"/>
          <w:b/>
          <w:sz w:val="20"/>
          <w:szCs w:val="20"/>
        </w:rPr>
        <w:t xml:space="preserve"> </w:t>
      </w:r>
    </w:p>
    <w:p w14:paraId="3BA58210" w14:textId="77777777" w:rsidR="00AC4E0D" w:rsidRPr="006B0525" w:rsidRDefault="00AC4E0D" w:rsidP="00530549">
      <w:pPr>
        <w:pStyle w:val="Normal1"/>
        <w:widowControl/>
        <w:contextualSpacing/>
        <w:jc w:val="both"/>
        <w:rPr>
          <w:rFonts w:ascii="Verdana" w:hAnsi="Verdana"/>
          <w:b/>
          <w:sz w:val="20"/>
          <w:szCs w:val="20"/>
        </w:rPr>
      </w:pPr>
    </w:p>
    <w:p w14:paraId="577B7D52" w14:textId="77777777" w:rsidR="00AC4E0D" w:rsidRPr="006B0525" w:rsidRDefault="00AC4E0D"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lastRenderedPageBreak/>
        <w:t>El</w:t>
      </w:r>
      <w:r w:rsidRPr="006B0525">
        <w:rPr>
          <w:rFonts w:ascii="Verdana" w:hAnsi="Verdana"/>
          <w:b/>
          <w:i/>
          <w:sz w:val="20"/>
          <w:szCs w:val="20"/>
        </w:rPr>
        <w:t xml:space="preserve"> Estado</w:t>
      </w:r>
      <w:r w:rsidRPr="006B0525">
        <w:rPr>
          <w:rFonts w:ascii="Verdana" w:hAnsi="Verdana"/>
          <w:sz w:val="20"/>
          <w:szCs w:val="20"/>
        </w:rPr>
        <w:t xml:space="preserve"> sostuvo que en todo momento se respetó y resguardó la integridad de los señores Rodríguez Revolorio, López Calo y Archila Pérez. Afirmó que la diabetes que afectó el desarrollo integral de los sentenciados no podía ser considerada como responsabilidad del Estado. Al mismo tiempo, indicó que en ningún momento se le ocasionaron lesiones, ni se cometieron tratos crueles, inhumanos o degradantes por parte de las fuerzas de seguridad del Estado que participaron en la captura de los señores. En virtud de lo anterior, concluyó que en ningún momento vulneró los derechos a la integridad personal y tortura, consagrados en los artículos 5 de la Convención Americana, y los artículos 1, 6 y 8 de la CIPST. </w:t>
      </w:r>
    </w:p>
    <w:p w14:paraId="3783A701" w14:textId="77777777" w:rsidR="0087580C" w:rsidRPr="006B0525" w:rsidRDefault="0087580C" w:rsidP="00530549">
      <w:pPr>
        <w:pStyle w:val="Ttulo2"/>
      </w:pPr>
      <w:bookmarkStart w:id="57" w:name="_Toc26177811"/>
      <w:r w:rsidRPr="006B0525">
        <w:t>B.</w:t>
      </w:r>
      <w:r w:rsidRPr="006B0525">
        <w:tab/>
        <w:t>Consideraciones de la Corte</w:t>
      </w:r>
      <w:bookmarkEnd w:id="57"/>
    </w:p>
    <w:p w14:paraId="50AAA0A3" w14:textId="77777777" w:rsidR="00A05D96" w:rsidRPr="006B0525" w:rsidRDefault="00671BF2" w:rsidP="00530549">
      <w:pPr>
        <w:pStyle w:val="Normal1"/>
        <w:widowControl/>
        <w:numPr>
          <w:ilvl w:val="0"/>
          <w:numId w:val="4"/>
        </w:numPr>
        <w:ind w:left="0" w:firstLine="0"/>
        <w:contextualSpacing/>
        <w:jc w:val="both"/>
        <w:rPr>
          <w:rFonts w:ascii="Verdana" w:hAnsi="Verdana"/>
          <w:sz w:val="20"/>
          <w:szCs w:val="20"/>
        </w:rPr>
      </w:pPr>
      <w:r w:rsidRPr="006B0525">
        <w:rPr>
          <w:rFonts w:ascii="Verdana" w:eastAsia="Times" w:hAnsi="Verdana" w:cs="Arial"/>
          <w:sz w:val="20"/>
          <w:szCs w:val="20"/>
        </w:rPr>
        <w:t>L</w:t>
      </w:r>
      <w:r w:rsidRPr="006B0525">
        <w:rPr>
          <w:rFonts w:ascii="Verdana" w:eastAsiaTheme="minorHAnsi" w:hAnsi="Verdana" w:cs="Arial"/>
          <w:sz w:val="20"/>
          <w:szCs w:val="20"/>
        </w:rPr>
        <w:t xml:space="preserve">a Convención Americana reconoce expresamente el derecho a la integridad personal, física y psíquica, cuya </w:t>
      </w:r>
      <w:r w:rsidRPr="006B0525">
        <w:rPr>
          <w:rFonts w:ascii="Verdana" w:hAnsi="Verdana"/>
          <w:sz w:val="20"/>
          <w:szCs w:val="20"/>
        </w:rPr>
        <w:t>infracción</w:t>
      </w:r>
      <w:r w:rsidRPr="006B0525">
        <w:rPr>
          <w:rFonts w:ascii="Verdana" w:eastAsiaTheme="minorHAnsi" w:hAnsi="Verdana" w:cs="Arial"/>
          <w:sz w:val="20"/>
          <w:szCs w:val="20"/>
        </w:rPr>
        <w:t xml:space="preserve"> “es una clase de violación que tiene diversas connotaciones de grado y […] cuyas secuelas físicas y psíquicas varían de intensidad según los factores endógenos y exógenos que deberán ser demostrados en cada situación concreta”</w:t>
      </w:r>
      <w:r w:rsidRPr="006B0525">
        <w:rPr>
          <w:rFonts w:ascii="Verdana" w:hAnsi="Verdana"/>
          <w:sz w:val="20"/>
          <w:szCs w:val="20"/>
          <w:vertAlign w:val="superscript"/>
        </w:rPr>
        <w:footnoteReference w:id="81"/>
      </w:r>
      <w:r w:rsidRPr="006B0525">
        <w:rPr>
          <w:rFonts w:ascii="Verdana" w:eastAsiaTheme="minorHAnsi" w:hAnsi="Verdana" w:cs="Arial"/>
          <w:sz w:val="20"/>
          <w:szCs w:val="20"/>
        </w:rPr>
        <w:t>.</w:t>
      </w:r>
      <w:r w:rsidRPr="006B0525">
        <w:rPr>
          <w:rFonts w:ascii="Verdana" w:eastAsiaTheme="minorHAnsi" w:hAnsi="Verdana"/>
          <w:sz w:val="20"/>
          <w:szCs w:val="20"/>
          <w:lang w:eastAsia="es-CR"/>
        </w:rPr>
        <w:t xml:space="preserve"> </w:t>
      </w:r>
      <w:r w:rsidR="00A05D96" w:rsidRPr="006B0525">
        <w:rPr>
          <w:rFonts w:ascii="Verdana" w:hAnsi="Verdana"/>
          <w:sz w:val="20"/>
          <w:szCs w:val="20"/>
        </w:rPr>
        <w:t>Asimismo, esta Corte ha indicado que, de conformidad con el artículo 5.1 y 5.2 de la Convención, toda persona privada de libertad tiene derecho a vivir en condiciones de detención compatibles con su dignidad personal</w:t>
      </w:r>
      <w:r w:rsidR="00A05D96" w:rsidRPr="006B0525">
        <w:rPr>
          <w:rStyle w:val="Refdenotaalpie"/>
          <w:rFonts w:ascii="Verdana" w:hAnsi="Verdana"/>
          <w:sz w:val="20"/>
          <w:szCs w:val="20"/>
        </w:rPr>
        <w:footnoteReference w:id="82"/>
      </w:r>
      <w:r w:rsidR="00A05D96" w:rsidRPr="006B0525">
        <w:rPr>
          <w:rFonts w:ascii="Verdana" w:hAnsi="Verdana"/>
          <w:sz w:val="20"/>
          <w:szCs w:val="20"/>
        </w:rPr>
        <w:t xml:space="preserve">. Como responsable de los establecimientos de detención, el Estado se encuentra en una posición </w:t>
      </w:r>
      <w:r w:rsidR="00A05D96" w:rsidRPr="006B0525">
        <w:rPr>
          <w:rFonts w:ascii="Verdana" w:hAnsi="Verdana" w:cs="Arial"/>
          <w:sz w:val="20"/>
          <w:szCs w:val="20"/>
        </w:rPr>
        <w:t>especial</w:t>
      </w:r>
      <w:r w:rsidR="00A05D96" w:rsidRPr="006B0525">
        <w:rPr>
          <w:rFonts w:ascii="Verdana" w:hAnsi="Verdana"/>
          <w:sz w:val="20"/>
          <w:szCs w:val="20"/>
        </w:rPr>
        <w:t xml:space="preserve"> de garante de los derechos de toda persona que se halle bajo su custodia</w:t>
      </w:r>
      <w:r w:rsidR="00A05D96" w:rsidRPr="006B0525">
        <w:rPr>
          <w:rStyle w:val="Refdenotaalpie"/>
          <w:rFonts w:ascii="Verdana" w:eastAsia="MS Mincho" w:hAnsi="Verdana"/>
          <w:sz w:val="20"/>
          <w:szCs w:val="20"/>
        </w:rPr>
        <w:footnoteReference w:id="83"/>
      </w:r>
      <w:r w:rsidR="00A05D96" w:rsidRPr="006B0525">
        <w:rPr>
          <w:rFonts w:ascii="Verdana" w:hAnsi="Verdana"/>
          <w:sz w:val="20"/>
          <w:szCs w:val="20"/>
        </w:rPr>
        <w:t>.</w:t>
      </w:r>
      <w:r w:rsidR="00A05D96" w:rsidRPr="006B0525">
        <w:rPr>
          <w:rFonts w:ascii="Verdana" w:hAnsi="Verdana"/>
          <w:i/>
          <w:sz w:val="20"/>
          <w:szCs w:val="20"/>
        </w:rPr>
        <w:t xml:space="preserve"> </w:t>
      </w:r>
      <w:r w:rsidR="00A05D96" w:rsidRPr="006B0525">
        <w:rPr>
          <w:rFonts w:ascii="Verdana" w:hAnsi="Verdana"/>
          <w:sz w:val="20"/>
          <w:szCs w:val="20"/>
        </w:rPr>
        <w:t>Esto implica el deber del Estado de salvaguardar la salud y el bienestar de los reclusos, brindándoles, entre otras cosas, la asistencia médica requerida, y de garantizar que la manera y el método de privación de libertad no excedan el nivel de sufrimiento inherente a la detención</w:t>
      </w:r>
      <w:r w:rsidR="00A05D96" w:rsidRPr="006B0525">
        <w:rPr>
          <w:rStyle w:val="Refdenotaalpie"/>
          <w:rFonts w:ascii="Verdana" w:eastAsia="MS Mincho" w:hAnsi="Verdana"/>
          <w:sz w:val="20"/>
          <w:szCs w:val="20"/>
        </w:rPr>
        <w:footnoteReference w:id="84"/>
      </w:r>
      <w:r w:rsidR="00A05D96" w:rsidRPr="006B0525">
        <w:rPr>
          <w:rFonts w:ascii="Verdana" w:hAnsi="Verdana"/>
          <w:sz w:val="20"/>
          <w:szCs w:val="20"/>
        </w:rPr>
        <w:t>.</w:t>
      </w:r>
    </w:p>
    <w:p w14:paraId="3CE16DCC" w14:textId="77777777" w:rsidR="00A05D96" w:rsidRPr="006B0525" w:rsidRDefault="00A05D96" w:rsidP="00530549">
      <w:pPr>
        <w:pStyle w:val="Normal1"/>
        <w:widowControl/>
        <w:contextualSpacing/>
        <w:jc w:val="both"/>
        <w:rPr>
          <w:rFonts w:ascii="Verdana" w:hAnsi="Verdana"/>
          <w:b/>
          <w:sz w:val="20"/>
          <w:szCs w:val="20"/>
        </w:rPr>
      </w:pPr>
    </w:p>
    <w:p w14:paraId="2F3E0A1F" w14:textId="77777777" w:rsidR="00F83A85" w:rsidRPr="00DD4BA6" w:rsidRDefault="00565C70" w:rsidP="00530549">
      <w:pPr>
        <w:pStyle w:val="Normal1"/>
        <w:widowControl/>
        <w:numPr>
          <w:ilvl w:val="0"/>
          <w:numId w:val="4"/>
        </w:numPr>
        <w:ind w:left="0" w:firstLine="0"/>
        <w:contextualSpacing/>
        <w:jc w:val="both"/>
        <w:rPr>
          <w:rFonts w:ascii="Verdana" w:hAnsi="Verdana"/>
          <w:b/>
          <w:sz w:val="20"/>
          <w:szCs w:val="20"/>
        </w:rPr>
      </w:pPr>
      <w:r w:rsidRPr="006B0525">
        <w:rPr>
          <w:rFonts w:ascii="Verdana" w:hAnsi="Verdana"/>
          <w:sz w:val="20"/>
          <w:szCs w:val="20"/>
        </w:rPr>
        <w:t xml:space="preserve">A </w:t>
      </w:r>
      <w:proofErr w:type="gramStart"/>
      <w:r w:rsidRPr="006B0525">
        <w:rPr>
          <w:rFonts w:ascii="Verdana" w:hAnsi="Verdana"/>
          <w:sz w:val="20"/>
          <w:szCs w:val="20"/>
        </w:rPr>
        <w:t>continuación</w:t>
      </w:r>
      <w:proofErr w:type="gramEnd"/>
      <w:r w:rsidRPr="006B0525">
        <w:rPr>
          <w:rFonts w:ascii="Verdana" w:hAnsi="Verdana"/>
          <w:sz w:val="20"/>
          <w:szCs w:val="20"/>
        </w:rPr>
        <w:t xml:space="preserve"> la Corte realizará un análisis individualizado y detallado de las condiciones carcelarias de los señores </w:t>
      </w:r>
      <w:r w:rsidR="00CC63BE" w:rsidRPr="006B0525">
        <w:rPr>
          <w:rFonts w:ascii="Verdana" w:hAnsi="Verdana"/>
          <w:sz w:val="20"/>
          <w:szCs w:val="20"/>
        </w:rPr>
        <w:t>Rodríguez Revolorio, López Calo y Archila Pérez, así como de las consecuencias que éstas tuvieron sobre ellos.</w:t>
      </w:r>
    </w:p>
    <w:p w14:paraId="7A170706" w14:textId="77777777" w:rsidR="00DD4BA6" w:rsidRPr="00DC2B71" w:rsidRDefault="00DD4BA6" w:rsidP="00DD4BA6">
      <w:pPr>
        <w:pStyle w:val="Ttulo3"/>
        <w:rPr>
          <w:bCs w:val="0"/>
        </w:rPr>
      </w:pPr>
      <w:r w:rsidRPr="00DC2B71">
        <w:rPr>
          <w:bCs w:val="0"/>
        </w:rPr>
        <w:tab/>
      </w:r>
      <w:bookmarkStart w:id="58" w:name="_Toc26177812"/>
      <w:r w:rsidRPr="00DC2B71">
        <w:rPr>
          <w:bCs w:val="0"/>
        </w:rPr>
        <w:t>b.1 Condiciones carcelarias</w:t>
      </w:r>
      <w:bookmarkEnd w:id="58"/>
      <w:r w:rsidRPr="00DC2B71">
        <w:rPr>
          <w:bCs w:val="0"/>
        </w:rPr>
        <w:t xml:space="preserve"> </w:t>
      </w:r>
    </w:p>
    <w:p w14:paraId="6075611F" w14:textId="77777777" w:rsidR="00DD4BA6" w:rsidRPr="00DD4BA6" w:rsidRDefault="00DD4BA6" w:rsidP="00DD4BA6">
      <w:pPr>
        <w:pStyle w:val="Ttulo4"/>
      </w:pPr>
      <w:r w:rsidRPr="00DD4BA6">
        <w:tab/>
      </w:r>
      <w:r w:rsidRPr="00DD4BA6">
        <w:tab/>
        <w:t>(i) Condiciones carcelarias del señor Rodríguez Revolorio</w:t>
      </w:r>
    </w:p>
    <w:p w14:paraId="121BCA7D" w14:textId="77777777" w:rsidR="0087580C" w:rsidRPr="006B0525" w:rsidRDefault="0087580C" w:rsidP="00530549">
      <w:pPr>
        <w:pStyle w:val="Normal1"/>
        <w:widowControl/>
        <w:numPr>
          <w:ilvl w:val="0"/>
          <w:numId w:val="4"/>
        </w:numPr>
        <w:ind w:left="0" w:firstLine="0"/>
        <w:contextualSpacing/>
        <w:jc w:val="both"/>
        <w:rPr>
          <w:rStyle w:val="fontstyle01"/>
          <w:rFonts w:ascii="Verdana" w:hAnsi="Verdana" w:cs="Times New Roman"/>
          <w:color w:val="auto"/>
          <w:sz w:val="20"/>
          <w:szCs w:val="20"/>
        </w:rPr>
      </w:pPr>
      <w:r w:rsidRPr="006B0525">
        <w:rPr>
          <w:rStyle w:val="fontstyle01"/>
          <w:rFonts w:ascii="Verdana" w:hAnsi="Verdana"/>
          <w:color w:val="auto"/>
          <w:sz w:val="20"/>
          <w:szCs w:val="20"/>
        </w:rPr>
        <w:t xml:space="preserve">Durante los primeros 4 años y medio de cárcel el señor Rodríguez Revolorio permaneció </w:t>
      </w:r>
      <w:r w:rsidR="00654122" w:rsidRPr="006B0525">
        <w:rPr>
          <w:rStyle w:val="fontstyle01"/>
          <w:rFonts w:ascii="Verdana" w:hAnsi="Verdana"/>
          <w:color w:val="auto"/>
          <w:sz w:val="20"/>
          <w:szCs w:val="20"/>
        </w:rPr>
        <w:t>e</w:t>
      </w:r>
      <w:r w:rsidR="00BF373F">
        <w:rPr>
          <w:rStyle w:val="fontstyle01"/>
          <w:rFonts w:ascii="Verdana" w:hAnsi="Verdana"/>
          <w:color w:val="auto"/>
          <w:sz w:val="20"/>
          <w:szCs w:val="20"/>
        </w:rPr>
        <w:t>n la Cárcel Preventiva Zona 18. E</w:t>
      </w:r>
      <w:r w:rsidRPr="006B0525">
        <w:rPr>
          <w:rStyle w:val="fontstyle01"/>
          <w:rFonts w:ascii="Verdana" w:hAnsi="Verdana"/>
          <w:color w:val="auto"/>
          <w:sz w:val="20"/>
          <w:szCs w:val="20"/>
        </w:rPr>
        <w:t xml:space="preserve">l 29 de mayo de 1999 fue trasladado a la cárcel de máxima seguridad, Anexo a la Granja Penal Canadá, </w:t>
      </w:r>
      <w:r w:rsidR="00EE16ED" w:rsidRPr="006B0525">
        <w:rPr>
          <w:rStyle w:val="fontstyle01"/>
          <w:rFonts w:ascii="Verdana" w:hAnsi="Verdana"/>
          <w:color w:val="auto"/>
          <w:sz w:val="20"/>
          <w:szCs w:val="20"/>
        </w:rPr>
        <w:t>también conocida como</w:t>
      </w:r>
      <w:r w:rsidRPr="006B0525">
        <w:rPr>
          <w:rStyle w:val="fontstyle01"/>
          <w:rFonts w:ascii="Verdana" w:hAnsi="Verdana"/>
          <w:color w:val="auto"/>
          <w:sz w:val="20"/>
          <w:szCs w:val="20"/>
        </w:rPr>
        <w:t xml:space="preserve"> “El Infiernito”</w:t>
      </w:r>
      <w:r w:rsidRPr="006B0525">
        <w:rPr>
          <w:rStyle w:val="fontstyle01"/>
          <w:rFonts w:ascii="Verdana" w:hAnsi="Verdana"/>
          <w:color w:val="auto"/>
          <w:sz w:val="20"/>
          <w:szCs w:val="20"/>
          <w:vertAlign w:val="superscript"/>
        </w:rPr>
        <w:footnoteReference w:id="85"/>
      </w:r>
      <w:r w:rsidRPr="006B0525">
        <w:rPr>
          <w:rStyle w:val="fontstyle01"/>
          <w:rFonts w:ascii="Verdana" w:hAnsi="Verdana"/>
          <w:color w:val="auto"/>
          <w:sz w:val="20"/>
          <w:szCs w:val="20"/>
        </w:rPr>
        <w:t>, donde permaneció hasta el</w:t>
      </w:r>
      <w:r w:rsidR="009970C0" w:rsidRPr="006B0525">
        <w:rPr>
          <w:rStyle w:val="fontstyle01"/>
          <w:rFonts w:ascii="Verdana" w:hAnsi="Verdana"/>
          <w:color w:val="auto"/>
          <w:sz w:val="20"/>
          <w:szCs w:val="20"/>
        </w:rPr>
        <w:t xml:space="preserve"> 14 de abril de 2016, día que fue liberado</w:t>
      </w:r>
      <w:r w:rsidRPr="006B0525">
        <w:rPr>
          <w:rStyle w:val="Refdenotaalpie"/>
          <w:rFonts w:ascii="Verdana" w:hAnsi="Verdana" w:cs="Arial"/>
          <w:sz w:val="20"/>
          <w:szCs w:val="20"/>
        </w:rPr>
        <w:footnoteReference w:id="86"/>
      </w:r>
      <w:r w:rsidRPr="006B0525">
        <w:rPr>
          <w:rStyle w:val="fontstyle01"/>
          <w:rFonts w:ascii="Verdana" w:hAnsi="Verdana"/>
          <w:color w:val="auto"/>
          <w:sz w:val="20"/>
          <w:szCs w:val="20"/>
        </w:rPr>
        <w:t>.</w:t>
      </w:r>
      <w:r w:rsidR="009970C0" w:rsidRPr="006B0525">
        <w:rPr>
          <w:rStyle w:val="fontstyle01"/>
          <w:rFonts w:ascii="Verdana" w:hAnsi="Verdana"/>
          <w:color w:val="auto"/>
          <w:sz w:val="20"/>
          <w:szCs w:val="20"/>
        </w:rPr>
        <w:t xml:space="preserve"> </w:t>
      </w:r>
    </w:p>
    <w:p w14:paraId="4F33EA49" w14:textId="77777777" w:rsidR="00E52671" w:rsidRPr="006B0525" w:rsidRDefault="00E52671" w:rsidP="00530549">
      <w:pPr>
        <w:pStyle w:val="Normal1"/>
        <w:widowControl/>
        <w:contextualSpacing/>
        <w:jc w:val="both"/>
        <w:rPr>
          <w:rStyle w:val="fontstyle01"/>
          <w:rFonts w:ascii="Verdana" w:hAnsi="Verdana" w:cs="Times New Roman"/>
          <w:color w:val="auto"/>
          <w:sz w:val="20"/>
          <w:szCs w:val="20"/>
        </w:rPr>
      </w:pPr>
    </w:p>
    <w:p w14:paraId="15AFDA4C" w14:textId="77777777" w:rsidR="00E52671" w:rsidRPr="006B0525" w:rsidRDefault="00E52671" w:rsidP="00530549">
      <w:pPr>
        <w:pStyle w:val="Normal1"/>
        <w:widowControl/>
        <w:numPr>
          <w:ilvl w:val="0"/>
          <w:numId w:val="4"/>
        </w:numPr>
        <w:ind w:left="0" w:firstLine="0"/>
        <w:contextualSpacing/>
        <w:jc w:val="both"/>
        <w:rPr>
          <w:rFonts w:ascii="Verdana" w:hAnsi="Verdana" w:cs="ArialMT"/>
          <w:sz w:val="20"/>
          <w:szCs w:val="20"/>
        </w:rPr>
      </w:pPr>
      <w:r w:rsidRPr="006B0525">
        <w:rPr>
          <w:rStyle w:val="fontstyle01"/>
          <w:rFonts w:ascii="Verdana" w:hAnsi="Verdana"/>
          <w:color w:val="auto"/>
          <w:sz w:val="20"/>
          <w:szCs w:val="20"/>
        </w:rPr>
        <w:t xml:space="preserve">La Corte destaca en primer lugar lo señalado por el peritaje de 23 de junio de 2005 realizado por la </w:t>
      </w:r>
      <w:r w:rsidR="00AF0882" w:rsidRPr="006B0525">
        <w:rPr>
          <w:rStyle w:val="fontstyle01"/>
          <w:rFonts w:ascii="Verdana" w:hAnsi="Verdana"/>
          <w:color w:val="auto"/>
          <w:sz w:val="20"/>
          <w:szCs w:val="20"/>
        </w:rPr>
        <w:t>señora</w:t>
      </w:r>
      <w:r w:rsidRPr="006B0525">
        <w:rPr>
          <w:rStyle w:val="fontstyle01"/>
          <w:rFonts w:ascii="Verdana" w:hAnsi="Verdana"/>
          <w:color w:val="auto"/>
          <w:sz w:val="20"/>
          <w:szCs w:val="20"/>
        </w:rPr>
        <w:t xml:space="preserve"> Castro-Conde sobre las condiciones carcelarias de los </w:t>
      </w:r>
      <w:r w:rsidRPr="006B0525">
        <w:rPr>
          <w:rFonts w:ascii="Verdana" w:hAnsi="Verdana"/>
          <w:sz w:val="20"/>
          <w:szCs w:val="20"/>
        </w:rPr>
        <w:t>señores</w:t>
      </w:r>
      <w:r w:rsidRPr="006B0525">
        <w:rPr>
          <w:rStyle w:val="fontstyle01"/>
          <w:rFonts w:ascii="Verdana" w:hAnsi="Verdana"/>
          <w:color w:val="auto"/>
          <w:sz w:val="20"/>
          <w:szCs w:val="20"/>
        </w:rPr>
        <w:t xml:space="preserve"> Rodríguez</w:t>
      </w:r>
      <w:r w:rsidRPr="006B0525">
        <w:rPr>
          <w:rFonts w:ascii="Verdana" w:hAnsi="Verdana"/>
          <w:sz w:val="20"/>
          <w:szCs w:val="20"/>
        </w:rPr>
        <w:t xml:space="preserve"> Revolorio y López Calo y los daños a su salud mental y física que estas condiciones les habrían provocado. </w:t>
      </w:r>
      <w:proofErr w:type="gramStart"/>
      <w:r w:rsidRPr="006B0525">
        <w:rPr>
          <w:rFonts w:ascii="Verdana" w:hAnsi="Verdana" w:cs="ArialMT"/>
          <w:sz w:val="20"/>
          <w:szCs w:val="20"/>
        </w:rPr>
        <w:t>La perito</w:t>
      </w:r>
      <w:proofErr w:type="gramEnd"/>
      <w:r w:rsidRPr="006B0525">
        <w:rPr>
          <w:rFonts w:ascii="Verdana" w:hAnsi="Verdana" w:cs="ArialMT"/>
          <w:sz w:val="20"/>
          <w:szCs w:val="20"/>
        </w:rPr>
        <w:t xml:space="preserve"> realizó cinco visitas la prisión de “El Infiernito” entre los días </w:t>
      </w:r>
      <w:r w:rsidRPr="006B0525">
        <w:rPr>
          <w:rFonts w:ascii="Verdana" w:hAnsi="Verdana"/>
          <w:sz w:val="20"/>
          <w:szCs w:val="20"/>
        </w:rPr>
        <w:t xml:space="preserve">20 de diciembre de 2004 y 18 de </w:t>
      </w:r>
      <w:r w:rsidRPr="006B0525">
        <w:rPr>
          <w:rFonts w:ascii="Verdana" w:hAnsi="Verdana"/>
          <w:sz w:val="20"/>
          <w:szCs w:val="20"/>
        </w:rPr>
        <w:lastRenderedPageBreak/>
        <w:t xml:space="preserve">mayo de 2005. En su informe pericial la </w:t>
      </w:r>
      <w:r w:rsidR="00AF0882" w:rsidRPr="006B0525">
        <w:rPr>
          <w:rFonts w:ascii="Verdana" w:hAnsi="Verdana"/>
          <w:sz w:val="20"/>
          <w:szCs w:val="20"/>
        </w:rPr>
        <w:t>señora</w:t>
      </w:r>
      <w:r w:rsidRPr="006B0525">
        <w:rPr>
          <w:rFonts w:ascii="Verdana" w:hAnsi="Verdana"/>
          <w:sz w:val="20"/>
          <w:szCs w:val="20"/>
        </w:rPr>
        <w:t xml:space="preserve"> Castro</w:t>
      </w:r>
      <w:r w:rsidR="00503CA9">
        <w:rPr>
          <w:rFonts w:ascii="Verdana" w:hAnsi="Verdana"/>
          <w:sz w:val="20"/>
          <w:szCs w:val="20"/>
        </w:rPr>
        <w:t>-</w:t>
      </w:r>
      <w:r w:rsidRPr="006B0525">
        <w:rPr>
          <w:rFonts w:ascii="Verdana" w:hAnsi="Verdana"/>
          <w:sz w:val="20"/>
          <w:szCs w:val="20"/>
        </w:rPr>
        <w:t>Conde destacó que las ventanas estaban ubicadas en la parte superior de las paredes, no permitiendo ver hacia fuera, impidiendo la entrada de mucha luz, de aire fresco, lo que provocaba que “el aire que se respira[</w:t>
      </w:r>
      <w:proofErr w:type="spellStart"/>
      <w:r w:rsidRPr="006B0525">
        <w:rPr>
          <w:rFonts w:ascii="Verdana" w:hAnsi="Verdana"/>
          <w:sz w:val="20"/>
          <w:szCs w:val="20"/>
        </w:rPr>
        <w:t>ba</w:t>
      </w:r>
      <w:proofErr w:type="spellEnd"/>
      <w:r w:rsidRPr="006B0525">
        <w:rPr>
          <w:rFonts w:ascii="Verdana" w:hAnsi="Verdana"/>
          <w:sz w:val="20"/>
          <w:szCs w:val="20"/>
        </w:rPr>
        <w:t>] dentro [era] muy denso, no ha[</w:t>
      </w:r>
      <w:proofErr w:type="spellStart"/>
      <w:r w:rsidRPr="006B0525">
        <w:rPr>
          <w:rFonts w:ascii="Verdana" w:hAnsi="Verdana"/>
          <w:sz w:val="20"/>
          <w:szCs w:val="20"/>
        </w:rPr>
        <w:t>bía</w:t>
      </w:r>
      <w:proofErr w:type="spellEnd"/>
      <w:r w:rsidRPr="006B0525">
        <w:rPr>
          <w:rFonts w:ascii="Verdana" w:hAnsi="Verdana"/>
          <w:sz w:val="20"/>
          <w:szCs w:val="20"/>
        </w:rPr>
        <w:t>] corriente de aire y el calor e[</w:t>
      </w:r>
      <w:proofErr w:type="spellStart"/>
      <w:r w:rsidRPr="006B0525">
        <w:rPr>
          <w:rFonts w:ascii="Verdana" w:hAnsi="Verdana"/>
          <w:sz w:val="20"/>
          <w:szCs w:val="20"/>
        </w:rPr>
        <w:t>ra</w:t>
      </w:r>
      <w:proofErr w:type="spellEnd"/>
      <w:r w:rsidRPr="006B0525">
        <w:rPr>
          <w:rFonts w:ascii="Verdana" w:hAnsi="Verdana"/>
          <w:sz w:val="20"/>
          <w:szCs w:val="20"/>
        </w:rPr>
        <w:t>] insoportable”</w:t>
      </w:r>
      <w:r w:rsidRPr="006B0525">
        <w:rPr>
          <w:rStyle w:val="Refdenotaalpie"/>
          <w:rFonts w:ascii="Verdana" w:hAnsi="Verdana"/>
          <w:sz w:val="20"/>
          <w:szCs w:val="20"/>
        </w:rPr>
        <w:footnoteReference w:id="87"/>
      </w:r>
      <w:r w:rsidRPr="006B0525">
        <w:rPr>
          <w:rFonts w:ascii="Verdana" w:hAnsi="Verdana"/>
          <w:sz w:val="20"/>
          <w:szCs w:val="20"/>
        </w:rPr>
        <w:t xml:space="preserve">. </w:t>
      </w:r>
      <w:proofErr w:type="gramStart"/>
      <w:r w:rsidRPr="006B0525">
        <w:rPr>
          <w:rFonts w:ascii="Verdana" w:hAnsi="Verdana"/>
          <w:sz w:val="20"/>
          <w:szCs w:val="20"/>
        </w:rPr>
        <w:t>En relación a</w:t>
      </w:r>
      <w:proofErr w:type="gramEnd"/>
      <w:r w:rsidRPr="006B0525">
        <w:rPr>
          <w:rFonts w:ascii="Verdana" w:hAnsi="Verdana"/>
          <w:sz w:val="20"/>
          <w:szCs w:val="20"/>
        </w:rPr>
        <w:t xml:space="preserve"> las celdas, el informe pericial indica lo siguiente:</w:t>
      </w:r>
    </w:p>
    <w:p w14:paraId="16565F0B" w14:textId="77777777" w:rsidR="00E52671" w:rsidRPr="006B0525" w:rsidRDefault="00E52671" w:rsidP="00530549">
      <w:pPr>
        <w:pStyle w:val="Normal1"/>
        <w:widowControl/>
        <w:contextualSpacing/>
        <w:jc w:val="both"/>
        <w:rPr>
          <w:rFonts w:ascii="Verdana" w:hAnsi="Verdana"/>
          <w:sz w:val="20"/>
          <w:szCs w:val="20"/>
        </w:rPr>
      </w:pPr>
    </w:p>
    <w:p w14:paraId="0A88DCC6" w14:textId="77777777" w:rsidR="00E52671" w:rsidRPr="006B0525" w:rsidRDefault="00E52671" w:rsidP="00530549">
      <w:pPr>
        <w:pStyle w:val="Normal1"/>
        <w:widowControl/>
        <w:ind w:left="720" w:right="810"/>
        <w:contextualSpacing/>
        <w:jc w:val="both"/>
        <w:rPr>
          <w:rFonts w:ascii="Verdana" w:hAnsi="Verdana" w:cs="ArialMT"/>
          <w:sz w:val="18"/>
          <w:szCs w:val="18"/>
        </w:rPr>
      </w:pPr>
      <w:r w:rsidRPr="006B0525">
        <w:rPr>
          <w:rFonts w:ascii="Verdana" w:hAnsi="Verdana"/>
          <w:sz w:val="18"/>
          <w:szCs w:val="18"/>
        </w:rPr>
        <w:t xml:space="preserve">“Los dormitorios son dos cuartos, cada uno con dos filas de planchas de cemento, el espacio de la plancha es muy pequeño y no es adecuado para internos que midan más de 1,65 </w:t>
      </w:r>
      <w:proofErr w:type="spellStart"/>
      <w:r w:rsidRPr="006B0525">
        <w:rPr>
          <w:rFonts w:ascii="Verdana" w:hAnsi="Verdana"/>
          <w:sz w:val="18"/>
          <w:szCs w:val="18"/>
        </w:rPr>
        <w:t>mts</w:t>
      </w:r>
      <w:proofErr w:type="spellEnd"/>
      <w:r w:rsidRPr="006B0525">
        <w:rPr>
          <w:rFonts w:ascii="Verdana" w:hAnsi="Verdana"/>
          <w:sz w:val="18"/>
          <w:szCs w:val="18"/>
        </w:rPr>
        <w:t xml:space="preserve"> de altura ya que cuando se acuestan, la mitad de los tobillos queda afuera de la plancha. Tienen un espacio mínimo para colocar sus pertenencias. Con respecto a la iluminación, no se puede leer ni escribir con luz natural por la posición de las ventanas”</w:t>
      </w:r>
      <w:r w:rsidRPr="006B0525">
        <w:rPr>
          <w:rStyle w:val="Refdenotaalpie"/>
          <w:rFonts w:ascii="Verdana" w:hAnsi="Verdana"/>
          <w:sz w:val="18"/>
          <w:szCs w:val="18"/>
        </w:rPr>
        <w:footnoteReference w:id="88"/>
      </w:r>
      <w:r w:rsidRPr="006B0525">
        <w:rPr>
          <w:rFonts w:ascii="Verdana" w:hAnsi="Verdana"/>
          <w:sz w:val="18"/>
          <w:szCs w:val="18"/>
        </w:rPr>
        <w:t>.</w:t>
      </w:r>
      <w:r w:rsidR="00E258C4" w:rsidRPr="006B0525">
        <w:rPr>
          <w:rFonts w:ascii="Verdana" w:hAnsi="Verdana"/>
          <w:sz w:val="18"/>
          <w:szCs w:val="18"/>
        </w:rPr>
        <w:t xml:space="preserve"> </w:t>
      </w:r>
    </w:p>
    <w:p w14:paraId="3F8A5F1D" w14:textId="77777777" w:rsidR="00E52671" w:rsidRPr="006B0525" w:rsidRDefault="00E52671" w:rsidP="00530549">
      <w:pPr>
        <w:pStyle w:val="Normal1"/>
        <w:widowControl/>
        <w:contextualSpacing/>
        <w:jc w:val="both"/>
        <w:rPr>
          <w:rFonts w:ascii="Verdana" w:hAnsi="Verdana" w:cs="ArialMT"/>
          <w:sz w:val="20"/>
          <w:szCs w:val="20"/>
        </w:rPr>
      </w:pPr>
    </w:p>
    <w:p w14:paraId="3A6FA471" w14:textId="77777777" w:rsidR="00E52671" w:rsidRPr="006B0525" w:rsidRDefault="00E52671" w:rsidP="00530549">
      <w:pPr>
        <w:pStyle w:val="Normal1"/>
        <w:widowControl/>
        <w:numPr>
          <w:ilvl w:val="0"/>
          <w:numId w:val="4"/>
        </w:numPr>
        <w:ind w:left="0" w:firstLine="0"/>
        <w:contextualSpacing/>
        <w:jc w:val="both"/>
        <w:rPr>
          <w:rFonts w:ascii="Verdana" w:hAnsi="Verdana" w:cs="ArialMT"/>
          <w:sz w:val="20"/>
          <w:szCs w:val="20"/>
        </w:rPr>
      </w:pPr>
      <w:r w:rsidRPr="006B0525">
        <w:rPr>
          <w:rFonts w:ascii="Verdana" w:hAnsi="Verdana"/>
          <w:sz w:val="20"/>
          <w:szCs w:val="20"/>
        </w:rPr>
        <w:t>La Corte además observa que, con respecto al acceso al agua, los internos se tenían que levantar a las 3 de la mañana para hacer cola para recolectarla en envases de dos litros, de los cuales utilizaban dos para bañarse por la mañana y uno para bañarse en la noche. Asimismo, existía una ausencia casi total de artículos médicos, así como una carencia grave de personal capacitado</w:t>
      </w:r>
      <w:r w:rsidRPr="006B0525">
        <w:rPr>
          <w:rStyle w:val="Refdenotaalpie"/>
          <w:rFonts w:ascii="Verdana" w:hAnsi="Verdana"/>
          <w:sz w:val="20"/>
          <w:szCs w:val="20"/>
        </w:rPr>
        <w:footnoteReference w:id="89"/>
      </w:r>
      <w:r w:rsidRPr="006B0525">
        <w:rPr>
          <w:rFonts w:ascii="Verdana" w:hAnsi="Verdana"/>
          <w:sz w:val="20"/>
          <w:szCs w:val="20"/>
        </w:rPr>
        <w:t>.</w:t>
      </w:r>
    </w:p>
    <w:p w14:paraId="680452C6" w14:textId="77777777" w:rsidR="009970C0" w:rsidRPr="006B0525" w:rsidRDefault="009970C0" w:rsidP="00530549">
      <w:pPr>
        <w:pStyle w:val="Normal1"/>
        <w:widowControl/>
        <w:contextualSpacing/>
        <w:jc w:val="both"/>
        <w:rPr>
          <w:rFonts w:ascii="Verdana" w:hAnsi="Verdana"/>
          <w:sz w:val="20"/>
          <w:szCs w:val="20"/>
        </w:rPr>
      </w:pPr>
    </w:p>
    <w:p w14:paraId="08E859F6" w14:textId="77777777" w:rsidR="0087580C" w:rsidRPr="006B0525" w:rsidRDefault="00E52671"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En lo que respecta al régimen de visitas, la Corte </w:t>
      </w:r>
      <w:r w:rsidR="00C73DAD" w:rsidRPr="006B0525">
        <w:rPr>
          <w:rFonts w:ascii="Verdana" w:hAnsi="Verdana"/>
          <w:sz w:val="20"/>
          <w:szCs w:val="20"/>
        </w:rPr>
        <w:t>nota</w:t>
      </w:r>
      <w:r w:rsidRPr="006B0525">
        <w:rPr>
          <w:rFonts w:ascii="Verdana" w:hAnsi="Verdana"/>
          <w:sz w:val="20"/>
          <w:szCs w:val="20"/>
        </w:rPr>
        <w:t xml:space="preserve"> que el mismo era muy restringido, toda vez que éstas se</w:t>
      </w:r>
      <w:r w:rsidR="00856541">
        <w:rPr>
          <w:rFonts w:ascii="Verdana" w:hAnsi="Verdana"/>
          <w:sz w:val="20"/>
          <w:szCs w:val="20"/>
        </w:rPr>
        <w:t xml:space="preserve"> realizaban sin contacto físico</w:t>
      </w:r>
      <w:r w:rsidRPr="006B0525">
        <w:rPr>
          <w:rFonts w:ascii="Verdana" w:hAnsi="Verdana"/>
          <w:sz w:val="20"/>
          <w:szCs w:val="20"/>
        </w:rPr>
        <w:t xml:space="preserve"> </w:t>
      </w:r>
      <w:r w:rsidR="00C73DAD" w:rsidRPr="006B0525">
        <w:rPr>
          <w:rFonts w:ascii="Verdana" w:hAnsi="Verdana"/>
          <w:sz w:val="20"/>
          <w:szCs w:val="20"/>
        </w:rPr>
        <w:t xml:space="preserve">y </w:t>
      </w:r>
      <w:r w:rsidRPr="006B0525">
        <w:rPr>
          <w:rFonts w:ascii="Verdana" w:hAnsi="Verdana"/>
          <w:sz w:val="20"/>
          <w:szCs w:val="20"/>
        </w:rPr>
        <w:t xml:space="preserve">los internos </w:t>
      </w:r>
      <w:r w:rsidR="00C73DAD" w:rsidRPr="006B0525">
        <w:rPr>
          <w:rFonts w:ascii="Verdana" w:hAnsi="Verdana"/>
          <w:sz w:val="20"/>
          <w:szCs w:val="20"/>
        </w:rPr>
        <w:t>se encontraban</w:t>
      </w:r>
      <w:r w:rsidRPr="006B0525">
        <w:rPr>
          <w:rFonts w:ascii="Verdana" w:hAnsi="Verdana"/>
          <w:sz w:val="20"/>
          <w:szCs w:val="20"/>
        </w:rPr>
        <w:t xml:space="preserve"> esposados de una muñeca a un tubo mientras la familia se encontraba al otro lado, donde solo podían tocarse los dedos a través de los barrotes. </w:t>
      </w:r>
      <w:r w:rsidR="00C73DAD" w:rsidRPr="006B0525">
        <w:rPr>
          <w:rFonts w:ascii="Verdana" w:hAnsi="Verdana"/>
          <w:sz w:val="20"/>
          <w:szCs w:val="20"/>
        </w:rPr>
        <w:t>Únicamente se permitía visita abierta en Semana Santa, día de la madre, del padre, del cariño, Navidad y Año Nuevo, visita en la cual la familia podía entrar al centro y compartir con los internos durante varias horas</w:t>
      </w:r>
      <w:r w:rsidR="00C73DAD" w:rsidRPr="006B0525">
        <w:rPr>
          <w:rStyle w:val="Refdenotaalpie"/>
          <w:rFonts w:ascii="Verdana" w:hAnsi="Verdana"/>
          <w:sz w:val="20"/>
          <w:szCs w:val="20"/>
        </w:rPr>
        <w:footnoteReference w:id="90"/>
      </w:r>
      <w:r w:rsidR="00C73DAD" w:rsidRPr="006B0525">
        <w:rPr>
          <w:rFonts w:ascii="Verdana" w:hAnsi="Verdana"/>
          <w:sz w:val="20"/>
          <w:szCs w:val="20"/>
        </w:rPr>
        <w:t xml:space="preserve">. </w:t>
      </w:r>
      <w:r w:rsidR="0087580C" w:rsidRPr="006B0525">
        <w:rPr>
          <w:rFonts w:ascii="Verdana" w:hAnsi="Verdana"/>
          <w:sz w:val="20"/>
          <w:szCs w:val="20"/>
        </w:rPr>
        <w:t>Según lo declarado por el señor Rodríguez Revolorio en la audiencia celebrada ante esta Corte, una vez trasladados a la cárcel de “El Infiernito”, estuvieron unos dos meses y medio sin visita</w:t>
      </w:r>
      <w:r w:rsidR="0087580C" w:rsidRPr="006B0525">
        <w:rPr>
          <w:rFonts w:ascii="Verdana" w:hAnsi="Verdana"/>
          <w:sz w:val="20"/>
          <w:szCs w:val="20"/>
          <w:vertAlign w:val="superscript"/>
        </w:rPr>
        <w:footnoteReference w:id="91"/>
      </w:r>
      <w:r w:rsidR="0087580C" w:rsidRPr="006B0525">
        <w:rPr>
          <w:rFonts w:ascii="Verdana" w:hAnsi="Verdana"/>
          <w:sz w:val="20"/>
          <w:szCs w:val="20"/>
        </w:rPr>
        <w:t>. A este respecto</w:t>
      </w:r>
      <w:r w:rsidR="00503CA9">
        <w:rPr>
          <w:rFonts w:ascii="Verdana" w:hAnsi="Verdana"/>
          <w:sz w:val="20"/>
          <w:szCs w:val="20"/>
        </w:rPr>
        <w:t>, el</w:t>
      </w:r>
      <w:r w:rsidR="0087580C" w:rsidRPr="006B0525">
        <w:rPr>
          <w:rFonts w:ascii="Verdana" w:hAnsi="Verdana"/>
          <w:sz w:val="20"/>
          <w:szCs w:val="20"/>
        </w:rPr>
        <w:t xml:space="preserve"> señor Rodríguez Revolorio indicó lo siguiente:</w:t>
      </w:r>
    </w:p>
    <w:p w14:paraId="54CFF8A6" w14:textId="77777777" w:rsidR="0087580C" w:rsidRPr="006B0525" w:rsidRDefault="009A078E" w:rsidP="00530549">
      <w:pPr>
        <w:pStyle w:val="Normal1"/>
        <w:widowControl/>
        <w:tabs>
          <w:tab w:val="left" w:pos="3810"/>
        </w:tabs>
        <w:contextualSpacing/>
        <w:jc w:val="both"/>
        <w:rPr>
          <w:rFonts w:ascii="Verdana" w:hAnsi="Verdana"/>
          <w:sz w:val="20"/>
          <w:szCs w:val="20"/>
        </w:rPr>
      </w:pPr>
      <w:r w:rsidRPr="006B0525">
        <w:rPr>
          <w:rFonts w:ascii="Verdana" w:hAnsi="Verdana"/>
          <w:sz w:val="20"/>
          <w:szCs w:val="20"/>
        </w:rPr>
        <w:tab/>
      </w:r>
    </w:p>
    <w:p w14:paraId="4982E0AE" w14:textId="77777777" w:rsidR="0087580C" w:rsidRPr="006B0525" w:rsidRDefault="0087580C" w:rsidP="00530549">
      <w:pPr>
        <w:pStyle w:val="Prrafodelista"/>
        <w:spacing w:line="240" w:lineRule="auto"/>
        <w:ind w:right="720"/>
        <w:rPr>
          <w:sz w:val="18"/>
          <w:szCs w:val="18"/>
        </w:rPr>
      </w:pPr>
      <w:r w:rsidRPr="006B0525">
        <w:rPr>
          <w:sz w:val="18"/>
          <w:szCs w:val="18"/>
        </w:rPr>
        <w:t xml:space="preserve">“[N]o teníamos visita, la comida era realmente mala no era una comida buena, sufrimos ahí porque no teníamos agua, en </w:t>
      </w:r>
      <w:proofErr w:type="gramStart"/>
      <w:r w:rsidRPr="006B0525">
        <w:rPr>
          <w:sz w:val="18"/>
          <w:szCs w:val="18"/>
        </w:rPr>
        <w:t>fin</w:t>
      </w:r>
      <w:proofErr w:type="gramEnd"/>
      <w:r w:rsidRPr="006B0525">
        <w:rPr>
          <w:sz w:val="18"/>
          <w:szCs w:val="18"/>
        </w:rPr>
        <w:t xml:space="preserve"> vivimos una situación terrible. Cuando logramos la oportunidad de tener nuestra visita la tuvimos sin contacto físico con barrote y cedazos donde no podíamos ni tocarles la yema del dedo a nuestros hijos que también sufrieron mucho al vernos en esta situación”</w:t>
      </w:r>
      <w:r w:rsidRPr="006B0525">
        <w:rPr>
          <w:rStyle w:val="Refdenotaalpie"/>
          <w:sz w:val="18"/>
          <w:szCs w:val="18"/>
        </w:rPr>
        <w:footnoteReference w:id="92"/>
      </w:r>
      <w:r w:rsidRPr="006B0525">
        <w:rPr>
          <w:sz w:val="18"/>
          <w:szCs w:val="18"/>
        </w:rPr>
        <w:t>.</w:t>
      </w:r>
    </w:p>
    <w:p w14:paraId="3CF24E06" w14:textId="77777777" w:rsidR="0087580C" w:rsidRPr="006B0525" w:rsidRDefault="0087580C" w:rsidP="00530549">
      <w:pPr>
        <w:pStyle w:val="Prrafodelista"/>
        <w:spacing w:line="240" w:lineRule="auto"/>
      </w:pPr>
    </w:p>
    <w:p w14:paraId="36A81BB7" w14:textId="77777777" w:rsidR="002025CD" w:rsidRPr="006B0525" w:rsidRDefault="00503CA9" w:rsidP="00530549">
      <w:pPr>
        <w:pStyle w:val="Normal1"/>
        <w:widowControl/>
        <w:numPr>
          <w:ilvl w:val="0"/>
          <w:numId w:val="4"/>
        </w:numPr>
        <w:ind w:left="0" w:firstLine="0"/>
        <w:contextualSpacing/>
        <w:jc w:val="both"/>
        <w:rPr>
          <w:rFonts w:ascii="Verdana" w:hAnsi="Verdana"/>
          <w:sz w:val="20"/>
          <w:szCs w:val="20"/>
        </w:rPr>
      </w:pPr>
      <w:r>
        <w:rPr>
          <w:rFonts w:ascii="Verdana" w:hAnsi="Verdana"/>
          <w:sz w:val="20"/>
          <w:szCs w:val="20"/>
        </w:rPr>
        <w:t>En relación con</w:t>
      </w:r>
      <w:r w:rsidR="002025CD" w:rsidRPr="006B0525">
        <w:rPr>
          <w:rFonts w:ascii="Verdana" w:hAnsi="Verdana"/>
          <w:sz w:val="20"/>
          <w:szCs w:val="20"/>
        </w:rPr>
        <w:t xml:space="preserve"> la atención médica</w:t>
      </w:r>
      <w:r>
        <w:rPr>
          <w:rFonts w:ascii="Verdana" w:hAnsi="Verdana"/>
          <w:sz w:val="20"/>
          <w:szCs w:val="20"/>
        </w:rPr>
        <w:t xml:space="preserve"> brindada a los reclusos</w:t>
      </w:r>
      <w:r w:rsidR="002025CD" w:rsidRPr="006B0525">
        <w:rPr>
          <w:rFonts w:ascii="Verdana" w:hAnsi="Verdana"/>
          <w:sz w:val="20"/>
          <w:szCs w:val="20"/>
        </w:rPr>
        <w:t xml:space="preserve">, el informe pericial indicaba que la enfermería carecía de “los artículos médicos básicos”, ya que solo contaban con “acetaminofén, diclofenaco sódico y </w:t>
      </w:r>
      <w:proofErr w:type="spellStart"/>
      <w:r w:rsidR="002025CD" w:rsidRPr="006B0525">
        <w:rPr>
          <w:rFonts w:ascii="Verdana" w:hAnsi="Verdana"/>
          <w:sz w:val="20"/>
          <w:szCs w:val="20"/>
        </w:rPr>
        <w:t>silogel</w:t>
      </w:r>
      <w:proofErr w:type="spellEnd"/>
      <w:r w:rsidR="002025CD" w:rsidRPr="006B0525">
        <w:rPr>
          <w:rFonts w:ascii="Verdana" w:hAnsi="Verdana"/>
          <w:sz w:val="20"/>
          <w:szCs w:val="20"/>
        </w:rPr>
        <w:t>”, destacando además que a los reclusos no les practicaban exámenes médicos “ni aun solicitándolos”.</w:t>
      </w:r>
      <w:r w:rsidR="004D2A8A" w:rsidRPr="006B0525">
        <w:rPr>
          <w:rFonts w:ascii="Verdana" w:hAnsi="Verdana"/>
          <w:sz w:val="20"/>
          <w:szCs w:val="20"/>
        </w:rPr>
        <w:t xml:space="preserve"> Precisó que existía “una ausencia casi total de artículos médicos y una carencia grave de personal capacitado”</w:t>
      </w:r>
      <w:r w:rsidR="004D2A8A" w:rsidRPr="006B0525">
        <w:rPr>
          <w:rStyle w:val="Refdenotaalpie"/>
          <w:rFonts w:ascii="Verdana" w:hAnsi="Verdana"/>
          <w:sz w:val="20"/>
          <w:szCs w:val="20"/>
        </w:rPr>
        <w:t xml:space="preserve"> </w:t>
      </w:r>
      <w:r w:rsidR="004D2A8A" w:rsidRPr="006B0525">
        <w:rPr>
          <w:rStyle w:val="Refdenotaalpie"/>
          <w:rFonts w:ascii="Verdana" w:hAnsi="Verdana"/>
          <w:sz w:val="20"/>
          <w:szCs w:val="20"/>
        </w:rPr>
        <w:footnoteReference w:id="93"/>
      </w:r>
      <w:r w:rsidR="004D2A8A" w:rsidRPr="006B0525">
        <w:rPr>
          <w:rFonts w:ascii="Verdana" w:hAnsi="Verdana"/>
          <w:sz w:val="20"/>
          <w:szCs w:val="20"/>
        </w:rPr>
        <w:t>.</w:t>
      </w:r>
    </w:p>
    <w:p w14:paraId="6A3C05A8" w14:textId="77777777" w:rsidR="002E5FF5" w:rsidRPr="006B0525" w:rsidRDefault="002E5FF5" w:rsidP="00530549">
      <w:pPr>
        <w:pStyle w:val="Normal1"/>
        <w:widowControl/>
        <w:contextualSpacing/>
        <w:jc w:val="both"/>
        <w:rPr>
          <w:rFonts w:ascii="Verdana" w:hAnsi="Verdana"/>
          <w:sz w:val="20"/>
          <w:szCs w:val="20"/>
        </w:rPr>
      </w:pPr>
    </w:p>
    <w:p w14:paraId="1BB1F77E" w14:textId="77777777" w:rsidR="0087580C" w:rsidRPr="006B0525" w:rsidRDefault="0087580C"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lastRenderedPageBreak/>
        <w:t xml:space="preserve">Además, </w:t>
      </w:r>
      <w:r w:rsidR="00503CA9">
        <w:rPr>
          <w:rFonts w:ascii="Verdana" w:hAnsi="Verdana"/>
          <w:sz w:val="20"/>
          <w:szCs w:val="20"/>
        </w:rPr>
        <w:t xml:space="preserve">el señor Rodríguez Revolorio </w:t>
      </w:r>
      <w:r w:rsidRPr="006B0525">
        <w:rPr>
          <w:rFonts w:ascii="Verdana" w:hAnsi="Verdana"/>
          <w:sz w:val="20"/>
          <w:szCs w:val="20"/>
        </w:rPr>
        <w:t xml:space="preserve">destacó </w:t>
      </w:r>
      <w:r w:rsidR="00503CA9">
        <w:rPr>
          <w:rFonts w:ascii="Verdana" w:hAnsi="Verdana"/>
          <w:sz w:val="20"/>
          <w:szCs w:val="20"/>
        </w:rPr>
        <w:t xml:space="preserve">en la audiencia pública celebrada ante esta Corte </w:t>
      </w:r>
      <w:r w:rsidRPr="006B0525">
        <w:rPr>
          <w:rFonts w:ascii="Verdana" w:hAnsi="Verdana"/>
          <w:sz w:val="20"/>
          <w:szCs w:val="20"/>
        </w:rPr>
        <w:t xml:space="preserve">que presenció la ejecución del señor Martínez Coronado, la cual fue retransmitida por la </w:t>
      </w:r>
      <w:r w:rsidRPr="006B0525">
        <w:rPr>
          <w:rStyle w:val="fontstyle01"/>
          <w:rFonts w:ascii="Verdana" w:hAnsi="Verdana"/>
          <w:color w:val="auto"/>
          <w:sz w:val="20"/>
          <w:szCs w:val="20"/>
        </w:rPr>
        <w:t>televisión</w:t>
      </w:r>
      <w:r w:rsidRPr="006B0525">
        <w:rPr>
          <w:rFonts w:ascii="Verdana" w:hAnsi="Verdana"/>
          <w:sz w:val="20"/>
          <w:szCs w:val="20"/>
        </w:rPr>
        <w:t xml:space="preserve"> del centro penitenciario</w:t>
      </w:r>
      <w:r w:rsidRPr="006B0525">
        <w:rPr>
          <w:rStyle w:val="Refdenotaalpie"/>
          <w:rFonts w:ascii="Verdana" w:hAnsi="Verdana"/>
          <w:sz w:val="20"/>
          <w:szCs w:val="20"/>
        </w:rPr>
        <w:footnoteReference w:id="94"/>
      </w:r>
      <w:r w:rsidRPr="006B0525">
        <w:rPr>
          <w:rFonts w:ascii="Verdana" w:hAnsi="Verdana"/>
          <w:sz w:val="20"/>
          <w:szCs w:val="20"/>
        </w:rPr>
        <w:t>.</w:t>
      </w:r>
      <w:r w:rsidR="00C73DAD" w:rsidRPr="006B0525">
        <w:rPr>
          <w:rFonts w:ascii="Verdana" w:hAnsi="Verdana"/>
          <w:sz w:val="20"/>
          <w:szCs w:val="20"/>
        </w:rPr>
        <w:t xml:space="preserve"> Según el peritaje de la señora Castro-Conde, el señor Rodríguez Revolorio padecía de un nivel de ansiedad y estrés moderado</w:t>
      </w:r>
      <w:r w:rsidR="00466A26" w:rsidRPr="006B0525">
        <w:rPr>
          <w:rFonts w:ascii="Verdana" w:hAnsi="Verdana"/>
          <w:sz w:val="20"/>
          <w:szCs w:val="20"/>
        </w:rPr>
        <w:t>, depresión leve</w:t>
      </w:r>
      <w:r w:rsidR="006418F0" w:rsidRPr="006B0525">
        <w:rPr>
          <w:rFonts w:ascii="Verdana" w:hAnsi="Verdana"/>
          <w:sz w:val="20"/>
          <w:szCs w:val="20"/>
        </w:rPr>
        <w:t xml:space="preserve"> y que sufría de trastorno por estrés post </w:t>
      </w:r>
      <w:r w:rsidR="00927458" w:rsidRPr="006B0525">
        <w:rPr>
          <w:rFonts w:ascii="Verdana" w:hAnsi="Verdana"/>
          <w:sz w:val="20"/>
          <w:szCs w:val="20"/>
        </w:rPr>
        <w:t>traumático</w:t>
      </w:r>
      <w:r w:rsidR="00C73DAD" w:rsidRPr="006B0525">
        <w:rPr>
          <w:rStyle w:val="Refdenotaalpie"/>
          <w:rFonts w:ascii="Verdana" w:hAnsi="Verdana"/>
          <w:sz w:val="20"/>
          <w:szCs w:val="20"/>
        </w:rPr>
        <w:footnoteReference w:id="95"/>
      </w:r>
      <w:r w:rsidR="00C73DAD" w:rsidRPr="006B0525">
        <w:rPr>
          <w:rFonts w:ascii="Verdana" w:hAnsi="Verdana"/>
          <w:sz w:val="20"/>
          <w:szCs w:val="20"/>
        </w:rPr>
        <w:t>.</w:t>
      </w:r>
      <w:r w:rsidRPr="006B0525">
        <w:rPr>
          <w:rFonts w:ascii="Verdana" w:hAnsi="Verdana"/>
          <w:sz w:val="20"/>
          <w:szCs w:val="20"/>
        </w:rPr>
        <w:t xml:space="preserve"> La Corte observa que el señor Rodríguez Revolorio permaneció bajo estas condiciones durante aproximadamente 6 años</w:t>
      </w:r>
      <w:r w:rsidRPr="006B0525">
        <w:rPr>
          <w:rStyle w:val="Refdenotaalpie"/>
          <w:rFonts w:ascii="Verdana" w:hAnsi="Verdana"/>
          <w:sz w:val="20"/>
          <w:szCs w:val="20"/>
        </w:rPr>
        <w:footnoteReference w:id="96"/>
      </w:r>
      <w:r w:rsidRPr="006B0525">
        <w:rPr>
          <w:rFonts w:ascii="Verdana" w:hAnsi="Verdana"/>
          <w:sz w:val="20"/>
          <w:szCs w:val="20"/>
        </w:rPr>
        <w:t>.</w:t>
      </w:r>
    </w:p>
    <w:p w14:paraId="1570611C" w14:textId="77777777" w:rsidR="0087580C" w:rsidRPr="00083489" w:rsidRDefault="0087580C" w:rsidP="00DD4BA6">
      <w:pPr>
        <w:pStyle w:val="Ttulo4"/>
      </w:pPr>
      <w:r w:rsidRPr="00083489">
        <w:tab/>
      </w:r>
      <w:r w:rsidR="00DD4BA6" w:rsidRPr="00083489">
        <w:rPr>
          <w:bCs/>
        </w:rPr>
        <w:t>(</w:t>
      </w:r>
      <w:proofErr w:type="spellStart"/>
      <w:r w:rsidR="00DD4BA6" w:rsidRPr="00083489">
        <w:rPr>
          <w:bCs/>
        </w:rPr>
        <w:t>ii</w:t>
      </w:r>
      <w:proofErr w:type="spellEnd"/>
      <w:r w:rsidR="00DD4BA6" w:rsidRPr="00083489">
        <w:rPr>
          <w:bCs/>
        </w:rPr>
        <w:t xml:space="preserve">) </w:t>
      </w:r>
      <w:r w:rsidR="00C05D4F" w:rsidRPr="00083489">
        <w:rPr>
          <w:bCs/>
        </w:rPr>
        <w:t>C</w:t>
      </w:r>
      <w:r w:rsidRPr="00083489">
        <w:rPr>
          <w:bCs/>
        </w:rPr>
        <w:t>ondiciones carcelarias del señor López Calo</w:t>
      </w:r>
    </w:p>
    <w:p w14:paraId="134A3BD4" w14:textId="77777777" w:rsidR="009970C0" w:rsidRPr="006B0525" w:rsidRDefault="0087580C" w:rsidP="00530549">
      <w:pPr>
        <w:pStyle w:val="Normal1"/>
        <w:widowControl/>
        <w:numPr>
          <w:ilvl w:val="0"/>
          <w:numId w:val="4"/>
        </w:numPr>
        <w:ind w:left="0" w:firstLine="0"/>
        <w:contextualSpacing/>
        <w:jc w:val="both"/>
        <w:rPr>
          <w:rFonts w:ascii="Verdana" w:hAnsi="Verdana" w:cs="ArialMT"/>
          <w:sz w:val="20"/>
          <w:szCs w:val="20"/>
        </w:rPr>
      </w:pPr>
      <w:r w:rsidRPr="006B0525">
        <w:rPr>
          <w:rStyle w:val="fontstyle01"/>
          <w:rFonts w:ascii="Verdana" w:hAnsi="Verdana"/>
          <w:color w:val="auto"/>
          <w:sz w:val="20"/>
          <w:szCs w:val="20"/>
        </w:rPr>
        <w:t xml:space="preserve">Durante los primeros 4 años y medio de cárcel el Señor López Calo </w:t>
      </w:r>
      <w:r w:rsidR="009E5B7E" w:rsidRPr="006B0525">
        <w:rPr>
          <w:rStyle w:val="fontstyle01"/>
          <w:rFonts w:ascii="Verdana" w:hAnsi="Verdana"/>
          <w:color w:val="auto"/>
          <w:sz w:val="20"/>
          <w:szCs w:val="20"/>
        </w:rPr>
        <w:t>permaneció</w:t>
      </w:r>
      <w:r w:rsidRPr="006B0525">
        <w:rPr>
          <w:rFonts w:ascii="Verdana" w:hAnsi="Verdana" w:cs="Arial"/>
          <w:sz w:val="20"/>
          <w:szCs w:val="20"/>
        </w:rPr>
        <w:t xml:space="preserve"> </w:t>
      </w:r>
      <w:r w:rsidRPr="006B0525">
        <w:rPr>
          <w:rStyle w:val="fontstyle01"/>
          <w:rFonts w:ascii="Verdana" w:hAnsi="Verdana"/>
          <w:color w:val="auto"/>
          <w:sz w:val="20"/>
          <w:szCs w:val="20"/>
        </w:rPr>
        <w:t>en la Cárcel Preventiva Zona 18. El 29 de mayo de 1999 fue trasladado a la cárcel de máxima seguridad, Anexo a la Granja Penal Canadá, denominada “El Infiernito”</w:t>
      </w:r>
      <w:r w:rsidRPr="006B0525">
        <w:rPr>
          <w:rStyle w:val="fontstyle01"/>
          <w:rFonts w:ascii="Verdana" w:hAnsi="Verdana"/>
          <w:color w:val="auto"/>
          <w:sz w:val="20"/>
          <w:szCs w:val="20"/>
          <w:vertAlign w:val="superscript"/>
        </w:rPr>
        <w:footnoteReference w:id="97"/>
      </w:r>
      <w:r w:rsidRPr="006B0525">
        <w:rPr>
          <w:rStyle w:val="fontstyle01"/>
          <w:rFonts w:ascii="Verdana" w:hAnsi="Verdana"/>
          <w:color w:val="auto"/>
          <w:sz w:val="20"/>
          <w:szCs w:val="20"/>
        </w:rPr>
        <w:t xml:space="preserve">. </w:t>
      </w:r>
      <w:r w:rsidR="002025CD" w:rsidRPr="006B0525">
        <w:rPr>
          <w:rFonts w:ascii="Verdana" w:hAnsi="Verdana" w:cs="Arial"/>
          <w:sz w:val="20"/>
          <w:szCs w:val="20"/>
        </w:rPr>
        <w:t xml:space="preserve">Con respecto a las limitaciones relativas a las condiciones generales de la prisión, las celdas, el acceso atención médica, </w:t>
      </w:r>
      <w:r w:rsidR="00B70CAE" w:rsidRPr="006B0525">
        <w:rPr>
          <w:rFonts w:ascii="Verdana" w:hAnsi="Verdana" w:cs="Arial"/>
          <w:sz w:val="20"/>
          <w:szCs w:val="20"/>
        </w:rPr>
        <w:t xml:space="preserve">alimentación, </w:t>
      </w:r>
      <w:r w:rsidR="002025CD" w:rsidRPr="006B0525">
        <w:rPr>
          <w:rFonts w:ascii="Verdana" w:hAnsi="Verdana" w:cs="Arial"/>
          <w:sz w:val="20"/>
          <w:szCs w:val="20"/>
        </w:rPr>
        <w:t xml:space="preserve">medicamentos y agua, la Corte se remite a lo ya señalado en los párrafos </w:t>
      </w:r>
      <w:r w:rsidR="00BF373F">
        <w:rPr>
          <w:rFonts w:ascii="Verdana" w:hAnsi="Verdana" w:cs="Arial"/>
          <w:sz w:val="20"/>
          <w:szCs w:val="20"/>
        </w:rPr>
        <w:t>74 a 77</w:t>
      </w:r>
      <w:r w:rsidR="002025CD" w:rsidRPr="006B0525">
        <w:rPr>
          <w:rFonts w:ascii="Verdana" w:hAnsi="Verdana" w:cs="Arial"/>
          <w:sz w:val="20"/>
          <w:szCs w:val="20"/>
        </w:rPr>
        <w:t xml:space="preserve"> </w:t>
      </w:r>
      <w:r w:rsidR="002025CD" w:rsidRPr="006B0525">
        <w:rPr>
          <w:rFonts w:ascii="Verdana" w:hAnsi="Verdana" w:cs="Arial"/>
          <w:i/>
          <w:sz w:val="20"/>
          <w:szCs w:val="20"/>
        </w:rPr>
        <w:t>supra</w:t>
      </w:r>
      <w:r w:rsidR="002025CD" w:rsidRPr="006B0525">
        <w:rPr>
          <w:rFonts w:ascii="Verdana" w:hAnsi="Verdana" w:cs="Arial"/>
          <w:sz w:val="20"/>
          <w:szCs w:val="20"/>
        </w:rPr>
        <w:t xml:space="preserve">. </w:t>
      </w:r>
    </w:p>
    <w:p w14:paraId="21E5E086" w14:textId="77777777" w:rsidR="002025CD" w:rsidRPr="006B0525" w:rsidRDefault="002025CD" w:rsidP="00530549">
      <w:pPr>
        <w:pStyle w:val="Normal1"/>
        <w:widowControl/>
        <w:contextualSpacing/>
        <w:jc w:val="both"/>
        <w:rPr>
          <w:rFonts w:ascii="Verdana" w:hAnsi="Verdana" w:cs="ArialMT"/>
          <w:sz w:val="20"/>
          <w:szCs w:val="20"/>
        </w:rPr>
      </w:pPr>
    </w:p>
    <w:p w14:paraId="0AE34A7A" w14:textId="77777777" w:rsidR="00E72142" w:rsidRPr="006B0525" w:rsidRDefault="002025CD" w:rsidP="00530549">
      <w:pPr>
        <w:pStyle w:val="Normal1"/>
        <w:widowControl/>
        <w:numPr>
          <w:ilvl w:val="0"/>
          <w:numId w:val="4"/>
        </w:numPr>
        <w:ind w:left="0" w:firstLine="0"/>
        <w:contextualSpacing/>
        <w:jc w:val="both"/>
        <w:rPr>
          <w:rFonts w:ascii="Verdana" w:hAnsi="Verdana"/>
          <w:sz w:val="20"/>
          <w:szCs w:val="20"/>
        </w:rPr>
      </w:pPr>
      <w:proofErr w:type="gramStart"/>
      <w:r w:rsidRPr="006B0525">
        <w:rPr>
          <w:rStyle w:val="fontstyle01"/>
          <w:rFonts w:ascii="Verdana" w:hAnsi="Verdana"/>
          <w:color w:val="auto"/>
          <w:sz w:val="20"/>
          <w:szCs w:val="20"/>
        </w:rPr>
        <w:t>En relación a</w:t>
      </w:r>
      <w:proofErr w:type="gramEnd"/>
      <w:r w:rsidRPr="006B0525">
        <w:rPr>
          <w:rStyle w:val="fontstyle01"/>
          <w:rFonts w:ascii="Verdana" w:hAnsi="Verdana"/>
          <w:color w:val="auto"/>
          <w:sz w:val="20"/>
          <w:szCs w:val="20"/>
        </w:rPr>
        <w:t xml:space="preserve"> la situación del</w:t>
      </w:r>
      <w:r w:rsidR="0087580C" w:rsidRPr="006B0525">
        <w:rPr>
          <w:rStyle w:val="fontstyle01"/>
          <w:rFonts w:ascii="Verdana" w:hAnsi="Verdana"/>
          <w:color w:val="auto"/>
          <w:sz w:val="20"/>
          <w:szCs w:val="20"/>
        </w:rPr>
        <w:t xml:space="preserve"> señor López Calo en particular, </w:t>
      </w:r>
      <w:r w:rsidRPr="006B0525">
        <w:rPr>
          <w:rStyle w:val="fontstyle01"/>
          <w:rFonts w:ascii="Verdana" w:hAnsi="Verdana"/>
          <w:color w:val="auto"/>
          <w:sz w:val="20"/>
          <w:szCs w:val="20"/>
        </w:rPr>
        <w:t>la Corte observa que</w:t>
      </w:r>
      <w:r w:rsidR="00364CE4" w:rsidRPr="006B0525">
        <w:rPr>
          <w:rStyle w:val="fontstyle01"/>
          <w:rFonts w:ascii="Verdana" w:hAnsi="Verdana"/>
          <w:color w:val="auto"/>
          <w:sz w:val="20"/>
          <w:szCs w:val="20"/>
        </w:rPr>
        <w:t>, al menos a partir de</w:t>
      </w:r>
      <w:r w:rsidR="00364CE4" w:rsidRPr="006B0525">
        <w:rPr>
          <w:rFonts w:ascii="Verdana" w:hAnsi="Verdana" w:cs="Arial"/>
          <w:sz w:val="20"/>
          <w:szCs w:val="20"/>
        </w:rPr>
        <w:t>l 15 de junio de 2005, éste</w:t>
      </w:r>
      <w:r w:rsidRPr="006B0525">
        <w:rPr>
          <w:rFonts w:ascii="Verdana" w:hAnsi="Verdana" w:cs="Arial"/>
          <w:sz w:val="20"/>
          <w:szCs w:val="20"/>
        </w:rPr>
        <w:t xml:space="preserve"> presenta</w:t>
      </w:r>
      <w:r w:rsidR="00364CE4" w:rsidRPr="006B0525">
        <w:rPr>
          <w:rFonts w:ascii="Verdana" w:hAnsi="Verdana" w:cs="Arial"/>
          <w:sz w:val="20"/>
          <w:szCs w:val="20"/>
        </w:rPr>
        <w:t>ba un</w:t>
      </w:r>
      <w:r w:rsidRPr="006B0525">
        <w:rPr>
          <w:rFonts w:ascii="Verdana" w:hAnsi="Verdana" w:cs="Arial"/>
          <w:sz w:val="20"/>
          <w:szCs w:val="20"/>
        </w:rPr>
        <w:t xml:space="preserve"> cuadro clínico de diabetes mellitus, neuropatía secundaria y disfunción eréctil</w:t>
      </w:r>
      <w:r w:rsidRPr="006B0525">
        <w:rPr>
          <w:rStyle w:val="Refdenotaalpie"/>
          <w:rFonts w:ascii="Verdana" w:hAnsi="Verdana" w:cs="Arial"/>
          <w:sz w:val="20"/>
          <w:szCs w:val="20"/>
        </w:rPr>
        <w:footnoteReference w:id="98"/>
      </w:r>
      <w:r w:rsidRPr="006B0525">
        <w:rPr>
          <w:rFonts w:ascii="Verdana" w:hAnsi="Verdana" w:cs="Arial"/>
          <w:sz w:val="20"/>
          <w:szCs w:val="20"/>
        </w:rPr>
        <w:t xml:space="preserve">. El médico </w:t>
      </w:r>
      <w:r w:rsidR="00364CE4" w:rsidRPr="006B0525">
        <w:rPr>
          <w:rFonts w:ascii="Verdana" w:hAnsi="Verdana" w:cs="Arial"/>
          <w:sz w:val="20"/>
          <w:szCs w:val="20"/>
        </w:rPr>
        <w:t xml:space="preserve">que realizó el certificado médico acreditando esta condición </w:t>
      </w:r>
      <w:r w:rsidRPr="006B0525">
        <w:rPr>
          <w:rFonts w:ascii="Verdana" w:hAnsi="Verdana" w:cs="Arial"/>
          <w:sz w:val="20"/>
          <w:szCs w:val="20"/>
        </w:rPr>
        <w:t>recomendó, entre otros, que el señor López Calo llevara una “dieta hipocalórica prescrita por nutricionista y/o este facultativo”, le recetó una medicina y solicitó que se le practicaran ciertos exámenes médicos</w:t>
      </w:r>
      <w:r w:rsidRPr="006B0525">
        <w:rPr>
          <w:rStyle w:val="Refdenotaalpie"/>
          <w:rFonts w:ascii="Verdana" w:hAnsi="Verdana" w:cs="Arial"/>
          <w:sz w:val="20"/>
          <w:szCs w:val="20"/>
        </w:rPr>
        <w:footnoteReference w:id="99"/>
      </w:r>
      <w:r w:rsidRPr="006B0525">
        <w:rPr>
          <w:rFonts w:ascii="Verdana" w:hAnsi="Verdana" w:cs="Arial"/>
          <w:sz w:val="20"/>
          <w:szCs w:val="20"/>
        </w:rPr>
        <w:t xml:space="preserve">. Según </w:t>
      </w:r>
      <w:r w:rsidR="0087580C" w:rsidRPr="006B0525">
        <w:rPr>
          <w:rStyle w:val="fontstyle01"/>
          <w:rFonts w:ascii="Verdana" w:hAnsi="Verdana"/>
          <w:color w:val="auto"/>
          <w:sz w:val="20"/>
          <w:szCs w:val="20"/>
        </w:rPr>
        <w:t xml:space="preserve">el peritaje </w:t>
      </w:r>
      <w:r w:rsidR="00503CA9">
        <w:rPr>
          <w:rStyle w:val="fontstyle01"/>
          <w:rFonts w:ascii="Verdana" w:hAnsi="Verdana"/>
          <w:color w:val="auto"/>
          <w:sz w:val="20"/>
          <w:szCs w:val="20"/>
        </w:rPr>
        <w:t xml:space="preserve">de la señora </w:t>
      </w:r>
      <w:r w:rsidR="0087580C" w:rsidRPr="006B0525">
        <w:rPr>
          <w:rStyle w:val="fontstyle01"/>
          <w:rFonts w:ascii="Verdana" w:hAnsi="Verdana"/>
          <w:color w:val="auto"/>
          <w:sz w:val="20"/>
          <w:szCs w:val="20"/>
        </w:rPr>
        <w:t xml:space="preserve">Castro-Conde </w:t>
      </w:r>
      <w:r w:rsidR="0087580C" w:rsidRPr="006B0525">
        <w:rPr>
          <w:rFonts w:ascii="Verdana" w:hAnsi="Verdana"/>
          <w:sz w:val="20"/>
          <w:szCs w:val="20"/>
        </w:rPr>
        <w:t>“[n]o ha</w:t>
      </w:r>
      <w:r w:rsidR="00785EE9" w:rsidRPr="006B0525">
        <w:rPr>
          <w:rFonts w:ascii="Verdana" w:hAnsi="Verdana"/>
          <w:sz w:val="20"/>
          <w:szCs w:val="20"/>
        </w:rPr>
        <w:t>[</w:t>
      </w:r>
      <w:proofErr w:type="spellStart"/>
      <w:r w:rsidR="00785EE9" w:rsidRPr="006B0525">
        <w:rPr>
          <w:rFonts w:ascii="Verdana" w:hAnsi="Verdana"/>
          <w:sz w:val="20"/>
          <w:szCs w:val="20"/>
        </w:rPr>
        <w:t>bía</w:t>
      </w:r>
      <w:proofErr w:type="spellEnd"/>
      <w:r w:rsidR="00785EE9" w:rsidRPr="006B0525">
        <w:rPr>
          <w:rFonts w:ascii="Verdana" w:hAnsi="Verdana"/>
          <w:sz w:val="20"/>
          <w:szCs w:val="20"/>
        </w:rPr>
        <w:t>]</w:t>
      </w:r>
      <w:r w:rsidR="0087580C" w:rsidRPr="006B0525">
        <w:rPr>
          <w:rFonts w:ascii="Verdana" w:hAnsi="Verdana"/>
          <w:sz w:val="20"/>
          <w:szCs w:val="20"/>
        </w:rPr>
        <w:t xml:space="preserve"> dietas especiales para diabéticos, </w:t>
      </w:r>
      <w:r w:rsidR="0087580C" w:rsidRPr="006B0525">
        <w:rPr>
          <w:rStyle w:val="fontstyle01"/>
          <w:rFonts w:ascii="Verdana" w:hAnsi="Verdana"/>
          <w:color w:val="auto"/>
          <w:sz w:val="20"/>
          <w:szCs w:val="20"/>
        </w:rPr>
        <w:t>hipertensos</w:t>
      </w:r>
      <w:r w:rsidR="0087580C" w:rsidRPr="006B0525">
        <w:rPr>
          <w:rFonts w:ascii="Verdana" w:hAnsi="Verdana"/>
          <w:sz w:val="20"/>
          <w:szCs w:val="20"/>
        </w:rPr>
        <w:t xml:space="preserve"> o internos con ulcera, como el señor López Calo quien debería de tener una dieta especial por su condición de diabético”</w:t>
      </w:r>
      <w:r w:rsidR="00E52671" w:rsidRPr="006B0525">
        <w:rPr>
          <w:rFonts w:ascii="Verdana" w:hAnsi="Verdana"/>
          <w:sz w:val="20"/>
          <w:szCs w:val="20"/>
        </w:rPr>
        <w:t xml:space="preserve">. </w:t>
      </w:r>
      <w:r w:rsidR="0088325F" w:rsidRPr="006B0525">
        <w:rPr>
          <w:rFonts w:ascii="Verdana" w:hAnsi="Verdana" w:cs="Arial"/>
          <w:sz w:val="20"/>
          <w:szCs w:val="20"/>
        </w:rPr>
        <w:t>Como el señor López Calo no disponía de una dieta especial ni recibía la atención médica necesaria por su condición de diabético, tenía dificultades en la respiración, dolor de cabeza, calambres, prurito, dolor de ojos y mareos.</w:t>
      </w:r>
      <w:r w:rsidR="00E258C4" w:rsidRPr="006B0525">
        <w:rPr>
          <w:rFonts w:ascii="Verdana" w:hAnsi="Verdana" w:cs="Arial"/>
          <w:sz w:val="20"/>
          <w:szCs w:val="20"/>
        </w:rPr>
        <w:t xml:space="preserve"> </w:t>
      </w:r>
      <w:r w:rsidR="00E52671" w:rsidRPr="006B0525">
        <w:rPr>
          <w:rFonts w:ascii="Verdana" w:hAnsi="Verdana"/>
          <w:sz w:val="20"/>
          <w:szCs w:val="20"/>
        </w:rPr>
        <w:t>Dicho informe indicaba además que el s</w:t>
      </w:r>
      <w:r w:rsidR="00E52671" w:rsidRPr="006B0525">
        <w:rPr>
          <w:rStyle w:val="fontstyle01"/>
          <w:rFonts w:ascii="Verdana" w:hAnsi="Verdana"/>
          <w:color w:val="auto"/>
          <w:sz w:val="20"/>
          <w:szCs w:val="20"/>
        </w:rPr>
        <w:t>eñor López Calo, debido a sus d</w:t>
      </w:r>
      <w:r w:rsidR="0087580C" w:rsidRPr="006B0525">
        <w:rPr>
          <w:rFonts w:ascii="Verdana" w:hAnsi="Verdana"/>
          <w:sz w:val="20"/>
          <w:szCs w:val="20"/>
        </w:rPr>
        <w:t>olencias</w:t>
      </w:r>
      <w:r w:rsidR="00E52671" w:rsidRPr="006B0525">
        <w:rPr>
          <w:rFonts w:ascii="Verdana" w:hAnsi="Verdana"/>
          <w:sz w:val="20"/>
          <w:szCs w:val="20"/>
        </w:rPr>
        <w:t>,</w:t>
      </w:r>
      <w:r w:rsidR="0087580C" w:rsidRPr="006B0525">
        <w:rPr>
          <w:rFonts w:ascii="Verdana" w:hAnsi="Verdana"/>
          <w:sz w:val="20"/>
          <w:szCs w:val="20"/>
        </w:rPr>
        <w:t xml:space="preserve"> </w:t>
      </w:r>
      <w:r w:rsidR="00E52671" w:rsidRPr="006B0525">
        <w:rPr>
          <w:rFonts w:ascii="Verdana" w:hAnsi="Verdana"/>
          <w:sz w:val="20"/>
          <w:szCs w:val="20"/>
        </w:rPr>
        <w:t xml:space="preserve">tenía </w:t>
      </w:r>
      <w:r w:rsidR="0087580C" w:rsidRPr="006B0525">
        <w:rPr>
          <w:rFonts w:ascii="Verdana" w:hAnsi="Verdana"/>
          <w:sz w:val="20"/>
          <w:szCs w:val="20"/>
        </w:rPr>
        <w:t xml:space="preserve">que ser </w:t>
      </w:r>
      <w:r w:rsidR="00E52671" w:rsidRPr="006B0525">
        <w:rPr>
          <w:rFonts w:ascii="Verdana" w:hAnsi="Verdana"/>
          <w:sz w:val="20"/>
          <w:szCs w:val="20"/>
        </w:rPr>
        <w:t>“</w:t>
      </w:r>
      <w:r w:rsidR="0087580C" w:rsidRPr="006B0525">
        <w:rPr>
          <w:rFonts w:ascii="Verdana" w:hAnsi="Verdana"/>
          <w:sz w:val="20"/>
          <w:szCs w:val="20"/>
        </w:rPr>
        <w:t xml:space="preserve">atendido en un hospital, no en la clínica de la Cárcel de Alta Seguridad de Escuintla, ya que carecen de aparatos adecuados para evaluaciones especificas; y así darle el tratamiento adecuado”. </w:t>
      </w:r>
      <w:r w:rsidR="00C73DAD" w:rsidRPr="006B0525">
        <w:rPr>
          <w:rFonts w:ascii="Verdana" w:hAnsi="Verdana"/>
          <w:sz w:val="20"/>
          <w:szCs w:val="20"/>
        </w:rPr>
        <w:t>Indicó además que el señor López Calo presentaba un “trastorno psíquico significativo”, sufría de angustia y nivel de ansiedad elevado, niveles de estrés alto, disfunción social y depresión.</w:t>
      </w:r>
      <w:r w:rsidR="006418F0" w:rsidRPr="006B0525">
        <w:rPr>
          <w:rFonts w:ascii="Verdana" w:hAnsi="Verdana"/>
          <w:sz w:val="20"/>
          <w:szCs w:val="20"/>
        </w:rPr>
        <w:t xml:space="preserve"> Señaló </w:t>
      </w:r>
      <w:r w:rsidR="00503CA9">
        <w:rPr>
          <w:rFonts w:ascii="Verdana" w:hAnsi="Verdana"/>
          <w:sz w:val="20"/>
          <w:szCs w:val="20"/>
        </w:rPr>
        <w:t>adicionalmente</w:t>
      </w:r>
      <w:r w:rsidR="006418F0" w:rsidRPr="006B0525">
        <w:rPr>
          <w:rFonts w:ascii="Verdana" w:hAnsi="Verdana"/>
          <w:sz w:val="20"/>
          <w:szCs w:val="20"/>
        </w:rPr>
        <w:t xml:space="preserve"> que</w:t>
      </w:r>
      <w:r w:rsidR="00503CA9">
        <w:rPr>
          <w:rFonts w:ascii="Verdana" w:hAnsi="Verdana"/>
          <w:sz w:val="20"/>
          <w:szCs w:val="20"/>
        </w:rPr>
        <w:t>,</w:t>
      </w:r>
      <w:r w:rsidR="006418F0" w:rsidRPr="006B0525">
        <w:rPr>
          <w:rFonts w:ascii="Verdana" w:hAnsi="Verdana"/>
          <w:sz w:val="20"/>
          <w:szCs w:val="20"/>
        </w:rPr>
        <w:t xml:space="preserve"> entre más tiempo estuviera expuesto a estrés </w:t>
      </w:r>
      <w:proofErr w:type="spellStart"/>
      <w:r w:rsidR="006418F0" w:rsidRPr="006B0525">
        <w:rPr>
          <w:rFonts w:ascii="Verdana" w:hAnsi="Verdana"/>
          <w:sz w:val="20"/>
          <w:szCs w:val="20"/>
        </w:rPr>
        <w:t>post-traumático</w:t>
      </w:r>
      <w:proofErr w:type="spellEnd"/>
      <w:r w:rsidR="006418F0" w:rsidRPr="006B0525">
        <w:rPr>
          <w:rFonts w:ascii="Verdana" w:hAnsi="Verdana"/>
          <w:sz w:val="20"/>
          <w:szCs w:val="20"/>
        </w:rPr>
        <w:t>, más difícil sería la posibilidad de recuperación, lo cual exacerbaba los síntomas de diabetes</w:t>
      </w:r>
      <w:r w:rsidR="006418F0" w:rsidRPr="006B0525">
        <w:rPr>
          <w:rStyle w:val="Refdenotaalpie"/>
          <w:rFonts w:ascii="Verdana" w:hAnsi="Verdana"/>
          <w:sz w:val="20"/>
          <w:szCs w:val="20"/>
        </w:rPr>
        <w:footnoteReference w:id="100"/>
      </w:r>
      <w:r w:rsidR="006418F0" w:rsidRPr="006B0525">
        <w:rPr>
          <w:rFonts w:ascii="Verdana" w:hAnsi="Verdana"/>
          <w:sz w:val="20"/>
          <w:szCs w:val="20"/>
        </w:rPr>
        <w:t>.</w:t>
      </w:r>
      <w:r w:rsidR="0088325F" w:rsidRPr="006B0525">
        <w:rPr>
          <w:rFonts w:ascii="Verdana" w:hAnsi="Verdana"/>
          <w:sz w:val="20"/>
          <w:szCs w:val="20"/>
        </w:rPr>
        <w:t xml:space="preserve"> </w:t>
      </w:r>
    </w:p>
    <w:p w14:paraId="4CACDCF9" w14:textId="77777777" w:rsidR="00E72142" w:rsidRPr="006B0525" w:rsidRDefault="00E72142" w:rsidP="00530549">
      <w:pPr>
        <w:pStyle w:val="Normal1"/>
        <w:widowControl/>
        <w:contextualSpacing/>
        <w:jc w:val="both"/>
        <w:rPr>
          <w:rFonts w:ascii="Verdana" w:hAnsi="Verdana"/>
          <w:sz w:val="20"/>
          <w:szCs w:val="20"/>
        </w:rPr>
      </w:pPr>
    </w:p>
    <w:p w14:paraId="1EA60E35" w14:textId="77777777" w:rsidR="00B70CAE" w:rsidRPr="006B0525" w:rsidRDefault="00B70CAE"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Con respecto a las visitas y las condiciones carcelarias, la señora Osorio García de López, esposa del señor López Caro, declaró lo siguiente:</w:t>
      </w:r>
    </w:p>
    <w:p w14:paraId="637BC13F" w14:textId="77777777" w:rsidR="00B70CAE" w:rsidRPr="006B0525" w:rsidRDefault="00B70CAE" w:rsidP="00530549">
      <w:pPr>
        <w:pStyle w:val="Textonotapie"/>
      </w:pPr>
    </w:p>
    <w:p w14:paraId="1DB17E5B" w14:textId="77777777" w:rsidR="0087580C" w:rsidRPr="006B0525" w:rsidRDefault="00B70CAE" w:rsidP="00530549">
      <w:pPr>
        <w:pStyle w:val="Textonotapie"/>
        <w:ind w:left="720" w:right="720"/>
        <w:rPr>
          <w:sz w:val="18"/>
          <w:szCs w:val="18"/>
        </w:rPr>
      </w:pPr>
      <w:r w:rsidRPr="006B0525">
        <w:rPr>
          <w:sz w:val="18"/>
          <w:szCs w:val="18"/>
        </w:rPr>
        <w:lastRenderedPageBreak/>
        <w:t>“</w:t>
      </w:r>
      <w:r w:rsidR="002316FA" w:rsidRPr="006B0525">
        <w:rPr>
          <w:sz w:val="18"/>
          <w:szCs w:val="18"/>
        </w:rPr>
        <w:t>[</w:t>
      </w:r>
      <w:r w:rsidR="008C2FE4" w:rsidRPr="006B0525">
        <w:rPr>
          <w:sz w:val="18"/>
          <w:szCs w:val="18"/>
        </w:rPr>
        <w:t>V]</w:t>
      </w:r>
      <w:proofErr w:type="spellStart"/>
      <w:r w:rsidRPr="006B0525">
        <w:rPr>
          <w:sz w:val="18"/>
          <w:szCs w:val="18"/>
        </w:rPr>
        <w:t>isitaba</w:t>
      </w:r>
      <w:proofErr w:type="spellEnd"/>
      <w:r w:rsidRPr="006B0525">
        <w:rPr>
          <w:sz w:val="18"/>
          <w:szCs w:val="18"/>
        </w:rPr>
        <w:t xml:space="preserve"> a sus esposo en donde se encontraba preso y dicha visita duraba un tiempo aproximado de una hora pero al final únicamente le daban veinticinco minutos de visita y a la vez se deba cuenta de lo mal alimentado que se encontraba su esposo ya que dicha comida parecía de animales, así mismo no podían tener un aseo personal adecuado ya que el agua llegaba a cada ocho o quince aproximadamente</w:t>
      </w:r>
      <w:r w:rsidR="00717EDD" w:rsidRPr="006B0525">
        <w:rPr>
          <w:sz w:val="18"/>
          <w:szCs w:val="18"/>
        </w:rPr>
        <w:t xml:space="preserve"> […] cuando llevaba a sus hijos a los días de visita a ver a su esposo […] su esposo no podía abrazarlos porque tenía una grilleta en la mano izquierda atado a un barrote de hierro y solo con la mano derecha podía hacerles una muestra de cariño a sus hijos”</w:t>
      </w:r>
      <w:r w:rsidRPr="006B0525">
        <w:rPr>
          <w:rStyle w:val="Refdenotaalpie"/>
          <w:rFonts w:cs="Arial"/>
          <w:sz w:val="18"/>
          <w:szCs w:val="18"/>
        </w:rPr>
        <w:footnoteReference w:id="101"/>
      </w:r>
      <w:r w:rsidR="00BF373F">
        <w:rPr>
          <w:sz w:val="18"/>
          <w:szCs w:val="18"/>
        </w:rPr>
        <w:t>.</w:t>
      </w:r>
    </w:p>
    <w:p w14:paraId="3D493530" w14:textId="77777777" w:rsidR="001D5BF4" w:rsidRPr="006B0525" w:rsidRDefault="001D5BF4" w:rsidP="00530549">
      <w:pPr>
        <w:pStyle w:val="Textonotapie"/>
        <w:ind w:left="720" w:right="720"/>
        <w:rPr>
          <w:rStyle w:val="fontstyle01"/>
          <w:rFonts w:ascii="Verdana" w:hAnsi="Verdana" w:cs="Times New Roman"/>
          <w:color w:val="auto"/>
          <w:sz w:val="20"/>
          <w:szCs w:val="20"/>
        </w:rPr>
      </w:pPr>
    </w:p>
    <w:p w14:paraId="3C8A3AE5" w14:textId="77777777" w:rsidR="00B70CAE" w:rsidRPr="006B0525" w:rsidRDefault="00B70CAE" w:rsidP="00530549">
      <w:pPr>
        <w:pStyle w:val="Normal1"/>
        <w:widowControl/>
        <w:numPr>
          <w:ilvl w:val="0"/>
          <w:numId w:val="4"/>
        </w:numPr>
        <w:ind w:left="0" w:firstLine="0"/>
        <w:contextualSpacing/>
        <w:jc w:val="both"/>
        <w:rPr>
          <w:rStyle w:val="fontstyle01"/>
          <w:rFonts w:ascii="Verdana" w:hAnsi="Verdana"/>
          <w:bCs/>
          <w:color w:val="auto"/>
          <w:sz w:val="20"/>
          <w:szCs w:val="20"/>
        </w:rPr>
      </w:pPr>
      <w:r w:rsidRPr="006B0525">
        <w:rPr>
          <w:rStyle w:val="fontstyle01"/>
          <w:rFonts w:ascii="Verdana" w:hAnsi="Verdana"/>
          <w:bCs/>
          <w:color w:val="auto"/>
          <w:sz w:val="20"/>
          <w:szCs w:val="20"/>
        </w:rPr>
        <w:t>Asimismo, la señora Osorio García de López declaró que intentaba llevarle “</w:t>
      </w:r>
      <w:r w:rsidR="00717EDD" w:rsidRPr="006B0525">
        <w:rPr>
          <w:rStyle w:val="fontstyle01"/>
          <w:rFonts w:ascii="Verdana" w:hAnsi="Verdana"/>
          <w:bCs/>
          <w:color w:val="auto"/>
          <w:sz w:val="20"/>
          <w:szCs w:val="20"/>
        </w:rPr>
        <w:t>lo poco que podía</w:t>
      </w:r>
      <w:r w:rsidRPr="006B0525">
        <w:rPr>
          <w:rStyle w:val="fontstyle01"/>
          <w:rFonts w:ascii="Verdana" w:hAnsi="Verdana"/>
          <w:bCs/>
          <w:color w:val="auto"/>
          <w:sz w:val="20"/>
          <w:szCs w:val="20"/>
        </w:rPr>
        <w:t xml:space="preserve"> en medicina” para su enfermedad y que costaba entrar dicha medicina</w:t>
      </w:r>
      <w:r w:rsidR="00717EDD" w:rsidRPr="006B0525">
        <w:rPr>
          <w:rStyle w:val="fontstyle01"/>
          <w:rFonts w:ascii="Verdana" w:hAnsi="Verdana"/>
          <w:bCs/>
          <w:color w:val="auto"/>
          <w:sz w:val="20"/>
          <w:szCs w:val="20"/>
        </w:rPr>
        <w:t>, destacando también que la diabetes que sufría el señor López Calo le afectó los riñones y le produjo pérdida parcial de la visión, todo ello debido a la falta de atención médica</w:t>
      </w:r>
      <w:r w:rsidR="00717EDD" w:rsidRPr="006B0525">
        <w:rPr>
          <w:rStyle w:val="Refdenotaalpie"/>
          <w:rFonts w:ascii="Verdana" w:hAnsi="Verdana" w:cs="Arial"/>
          <w:bCs/>
          <w:sz w:val="20"/>
          <w:szCs w:val="20"/>
        </w:rPr>
        <w:footnoteReference w:id="102"/>
      </w:r>
      <w:r w:rsidR="00717EDD" w:rsidRPr="006B0525">
        <w:rPr>
          <w:rStyle w:val="fontstyle01"/>
          <w:rFonts w:ascii="Verdana" w:hAnsi="Verdana"/>
          <w:bCs/>
          <w:color w:val="auto"/>
          <w:sz w:val="20"/>
          <w:szCs w:val="20"/>
        </w:rPr>
        <w:t>.</w:t>
      </w:r>
    </w:p>
    <w:p w14:paraId="1E022F79" w14:textId="77777777" w:rsidR="00B70CAE" w:rsidRPr="006B0525" w:rsidRDefault="00B70CAE" w:rsidP="00530549">
      <w:pPr>
        <w:pStyle w:val="Normal1"/>
        <w:widowControl/>
        <w:ind w:left="851"/>
        <w:contextualSpacing/>
        <w:jc w:val="both"/>
        <w:rPr>
          <w:rStyle w:val="fontstyle01"/>
          <w:rFonts w:ascii="Verdana" w:hAnsi="Verdana"/>
          <w:bCs/>
          <w:color w:val="auto"/>
          <w:sz w:val="20"/>
          <w:szCs w:val="20"/>
        </w:rPr>
      </w:pPr>
    </w:p>
    <w:p w14:paraId="54E3E4FC" w14:textId="77777777" w:rsidR="0087580C" w:rsidRPr="006B0525" w:rsidRDefault="0087580C" w:rsidP="00530549">
      <w:pPr>
        <w:pStyle w:val="Normal1"/>
        <w:widowControl/>
        <w:numPr>
          <w:ilvl w:val="0"/>
          <w:numId w:val="4"/>
        </w:numPr>
        <w:ind w:left="0" w:firstLine="0"/>
        <w:contextualSpacing/>
        <w:jc w:val="both"/>
        <w:rPr>
          <w:rStyle w:val="fontstyle01"/>
          <w:rFonts w:ascii="Verdana" w:hAnsi="Verdana"/>
          <w:bCs/>
          <w:color w:val="auto"/>
          <w:sz w:val="20"/>
          <w:szCs w:val="20"/>
        </w:rPr>
      </w:pPr>
      <w:r w:rsidRPr="006B0525">
        <w:rPr>
          <w:rStyle w:val="fontstyle01"/>
          <w:rFonts w:ascii="Verdana" w:hAnsi="Verdana"/>
          <w:color w:val="auto"/>
          <w:sz w:val="20"/>
          <w:szCs w:val="20"/>
        </w:rPr>
        <w:t>El señor López</w:t>
      </w:r>
      <w:r w:rsidR="00717EDD" w:rsidRPr="006B0525">
        <w:rPr>
          <w:rStyle w:val="fontstyle01"/>
          <w:rFonts w:ascii="Verdana" w:hAnsi="Verdana"/>
          <w:color w:val="auto"/>
          <w:sz w:val="20"/>
          <w:szCs w:val="20"/>
        </w:rPr>
        <w:t xml:space="preserve"> Calo</w:t>
      </w:r>
      <w:r w:rsidRPr="006B0525">
        <w:rPr>
          <w:rStyle w:val="fontstyle01"/>
          <w:rFonts w:ascii="Verdana" w:hAnsi="Verdana"/>
          <w:color w:val="auto"/>
          <w:sz w:val="20"/>
          <w:szCs w:val="20"/>
        </w:rPr>
        <w:t xml:space="preserve"> obtuvo su libertad el 23 de agosto de 2016 por el beneficio de </w:t>
      </w:r>
      <w:r w:rsidR="006D21AB" w:rsidRPr="006B0525">
        <w:rPr>
          <w:rStyle w:val="fontstyle01"/>
          <w:rFonts w:ascii="Verdana" w:hAnsi="Verdana"/>
          <w:color w:val="auto"/>
          <w:sz w:val="20"/>
          <w:szCs w:val="20"/>
        </w:rPr>
        <w:t>r</w:t>
      </w:r>
      <w:r w:rsidRPr="006B0525">
        <w:rPr>
          <w:rStyle w:val="fontstyle01"/>
          <w:rFonts w:ascii="Verdana" w:hAnsi="Verdana"/>
          <w:color w:val="auto"/>
          <w:sz w:val="20"/>
          <w:szCs w:val="20"/>
        </w:rPr>
        <w:t xml:space="preserve">edención de </w:t>
      </w:r>
      <w:r w:rsidR="006D21AB" w:rsidRPr="006B0525">
        <w:rPr>
          <w:rStyle w:val="fontstyle01"/>
          <w:rFonts w:ascii="Verdana" w:hAnsi="Verdana"/>
          <w:color w:val="auto"/>
          <w:sz w:val="20"/>
          <w:szCs w:val="20"/>
        </w:rPr>
        <w:t>p</w:t>
      </w:r>
      <w:r w:rsidRPr="006B0525">
        <w:rPr>
          <w:rStyle w:val="fontstyle01"/>
          <w:rFonts w:ascii="Verdana" w:hAnsi="Verdana"/>
          <w:color w:val="auto"/>
          <w:sz w:val="20"/>
          <w:szCs w:val="20"/>
        </w:rPr>
        <w:t xml:space="preserve">enas por </w:t>
      </w:r>
      <w:r w:rsidR="006D21AB" w:rsidRPr="006B0525">
        <w:rPr>
          <w:rFonts w:ascii="Verdana" w:hAnsi="Verdana"/>
          <w:sz w:val="20"/>
          <w:szCs w:val="20"/>
        </w:rPr>
        <w:t>t</w:t>
      </w:r>
      <w:r w:rsidRPr="006B0525">
        <w:rPr>
          <w:rFonts w:ascii="Verdana" w:hAnsi="Verdana"/>
          <w:sz w:val="20"/>
          <w:szCs w:val="20"/>
        </w:rPr>
        <w:t>rabajo</w:t>
      </w:r>
      <w:r w:rsidRPr="006B0525">
        <w:rPr>
          <w:rStyle w:val="fontstyle01"/>
          <w:rFonts w:ascii="Verdana" w:hAnsi="Verdana"/>
          <w:color w:val="auto"/>
          <w:sz w:val="20"/>
          <w:szCs w:val="20"/>
        </w:rPr>
        <w:t xml:space="preserve"> y buena conducta</w:t>
      </w:r>
      <w:r w:rsidRPr="006B0525">
        <w:rPr>
          <w:rStyle w:val="Refdenotaalpie"/>
          <w:rFonts w:ascii="Verdana" w:hAnsi="Verdana" w:cs="Arial"/>
          <w:sz w:val="20"/>
          <w:szCs w:val="20"/>
        </w:rPr>
        <w:footnoteReference w:id="103"/>
      </w:r>
      <w:r w:rsidRPr="006B0525">
        <w:rPr>
          <w:rStyle w:val="fontstyle01"/>
          <w:rFonts w:ascii="Verdana" w:hAnsi="Verdana"/>
          <w:color w:val="auto"/>
          <w:sz w:val="20"/>
          <w:szCs w:val="20"/>
        </w:rPr>
        <w:t xml:space="preserve"> </w:t>
      </w:r>
      <w:r w:rsidR="0088325F" w:rsidRPr="006B0525">
        <w:rPr>
          <w:rStyle w:val="fontstyle01"/>
          <w:rFonts w:ascii="Verdana" w:hAnsi="Verdana"/>
          <w:color w:val="auto"/>
          <w:sz w:val="20"/>
          <w:szCs w:val="20"/>
        </w:rPr>
        <w:t>y</w:t>
      </w:r>
      <w:r w:rsidRPr="006B0525">
        <w:rPr>
          <w:rFonts w:ascii="Verdana" w:hAnsi="Verdana"/>
          <w:sz w:val="20"/>
          <w:szCs w:val="20"/>
        </w:rPr>
        <w:t xml:space="preserve"> </w:t>
      </w:r>
      <w:r w:rsidRPr="006B0525">
        <w:rPr>
          <w:rStyle w:val="fontstyle01"/>
          <w:rFonts w:ascii="Verdana" w:hAnsi="Verdana"/>
          <w:color w:val="auto"/>
          <w:sz w:val="20"/>
          <w:szCs w:val="20"/>
        </w:rPr>
        <w:t>falleció el día de 11 de enero de 2017 de un infarto de miocardio</w:t>
      </w:r>
      <w:r w:rsidRPr="006B0525">
        <w:rPr>
          <w:rStyle w:val="Refdenotaalpie"/>
          <w:rFonts w:ascii="Verdana" w:hAnsi="Verdana" w:cs="Arial"/>
          <w:sz w:val="20"/>
          <w:szCs w:val="20"/>
        </w:rPr>
        <w:footnoteReference w:id="104"/>
      </w:r>
      <w:r w:rsidR="0088325F" w:rsidRPr="006B0525">
        <w:rPr>
          <w:rStyle w:val="fontstyle01"/>
          <w:rFonts w:ascii="Verdana" w:hAnsi="Verdana"/>
          <w:color w:val="auto"/>
          <w:sz w:val="20"/>
          <w:szCs w:val="20"/>
        </w:rPr>
        <w:t>.</w:t>
      </w:r>
    </w:p>
    <w:p w14:paraId="45D481F2" w14:textId="77777777" w:rsidR="0087580C" w:rsidRPr="006B0525" w:rsidRDefault="0087580C" w:rsidP="00DD4BA6">
      <w:pPr>
        <w:pStyle w:val="Ttulo4"/>
      </w:pPr>
      <w:r w:rsidRPr="006B0525">
        <w:tab/>
      </w:r>
      <w:r w:rsidR="00DD4BA6">
        <w:t>(</w:t>
      </w:r>
      <w:proofErr w:type="spellStart"/>
      <w:r w:rsidR="00DD4BA6">
        <w:t>iii</w:t>
      </w:r>
      <w:proofErr w:type="spellEnd"/>
      <w:r w:rsidR="00DD4BA6">
        <w:t>)</w:t>
      </w:r>
      <w:r w:rsidR="00565C70" w:rsidRPr="006B0525">
        <w:t xml:space="preserve"> C</w:t>
      </w:r>
      <w:r w:rsidRPr="006B0525">
        <w:t xml:space="preserve">ondiciones carcelarias del señor Archila Pérez </w:t>
      </w:r>
    </w:p>
    <w:p w14:paraId="0489F80F" w14:textId="77777777" w:rsidR="00E10C54" w:rsidRPr="006B0525" w:rsidRDefault="00717EDD" w:rsidP="00454CF5">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El señor Archila Pérez estu</w:t>
      </w:r>
      <w:r w:rsidR="00FF2138" w:rsidRPr="006B0525">
        <w:rPr>
          <w:rFonts w:ascii="Verdana" w:hAnsi="Verdana"/>
          <w:sz w:val="20"/>
          <w:szCs w:val="20"/>
        </w:rPr>
        <w:t>vo recluido en la cárcel de la Z</w:t>
      </w:r>
      <w:r w:rsidRPr="006B0525">
        <w:rPr>
          <w:rFonts w:ascii="Verdana" w:hAnsi="Verdana"/>
          <w:sz w:val="20"/>
          <w:szCs w:val="20"/>
        </w:rPr>
        <w:t>ona 18 en la ciudad de Guatemala durante cinco años, hasta que el 29 de mayo de 1999 fue traslado a la cárcel de “El Infiernito”</w:t>
      </w:r>
      <w:r w:rsidRPr="006B0525">
        <w:rPr>
          <w:rStyle w:val="Refdenotaalpie"/>
          <w:rFonts w:ascii="Verdana" w:hAnsi="Verdana"/>
          <w:sz w:val="20"/>
          <w:szCs w:val="20"/>
        </w:rPr>
        <w:footnoteReference w:id="105"/>
      </w:r>
      <w:r w:rsidRPr="006B0525">
        <w:rPr>
          <w:rFonts w:ascii="Verdana" w:hAnsi="Verdana"/>
          <w:sz w:val="20"/>
          <w:szCs w:val="20"/>
        </w:rPr>
        <w:t xml:space="preserve">. </w:t>
      </w:r>
      <w:r w:rsidRPr="006B0525">
        <w:rPr>
          <w:rFonts w:ascii="Verdana" w:hAnsi="Verdana" w:cs="Arial"/>
          <w:sz w:val="20"/>
          <w:szCs w:val="20"/>
        </w:rPr>
        <w:t xml:space="preserve">Con respecto a las limitaciones relativas a las condiciones generales de la prisión, las celdas, el acceso atención médica, alimentación, medicamentos y agua, la Corte se remite a lo ya señalado en los párrafos </w:t>
      </w:r>
      <w:r w:rsidR="00BF373F">
        <w:rPr>
          <w:rFonts w:ascii="Verdana" w:hAnsi="Verdana" w:cs="Arial"/>
          <w:sz w:val="20"/>
          <w:szCs w:val="20"/>
        </w:rPr>
        <w:t>74 a 77</w:t>
      </w:r>
      <w:r w:rsidRPr="006B0525">
        <w:rPr>
          <w:rFonts w:ascii="Verdana" w:hAnsi="Verdana" w:cs="Arial"/>
          <w:sz w:val="20"/>
          <w:szCs w:val="20"/>
        </w:rPr>
        <w:t xml:space="preserve"> </w:t>
      </w:r>
      <w:r w:rsidRPr="006B0525">
        <w:rPr>
          <w:rFonts w:ascii="Verdana" w:hAnsi="Verdana" w:cs="Arial"/>
          <w:i/>
          <w:sz w:val="20"/>
          <w:szCs w:val="20"/>
        </w:rPr>
        <w:t>supra</w:t>
      </w:r>
      <w:r w:rsidRPr="006B0525">
        <w:rPr>
          <w:rFonts w:ascii="Verdana" w:hAnsi="Verdana" w:cs="Arial"/>
          <w:sz w:val="20"/>
          <w:szCs w:val="20"/>
        </w:rPr>
        <w:t>.</w:t>
      </w:r>
    </w:p>
    <w:p w14:paraId="3BFE1471" w14:textId="77777777" w:rsidR="00E10C54" w:rsidRPr="006B0525" w:rsidRDefault="00717EDD" w:rsidP="00530549">
      <w:pPr>
        <w:pStyle w:val="Normal1"/>
        <w:widowControl/>
        <w:contextualSpacing/>
        <w:jc w:val="both"/>
        <w:rPr>
          <w:rFonts w:ascii="Verdana" w:hAnsi="Verdana"/>
          <w:sz w:val="20"/>
          <w:szCs w:val="20"/>
        </w:rPr>
      </w:pPr>
      <w:r w:rsidRPr="006B0525">
        <w:rPr>
          <w:rFonts w:ascii="Verdana" w:hAnsi="Verdana" w:cs="Arial"/>
          <w:sz w:val="20"/>
          <w:szCs w:val="20"/>
        </w:rPr>
        <w:t xml:space="preserve"> </w:t>
      </w:r>
    </w:p>
    <w:p w14:paraId="1D630759" w14:textId="77777777" w:rsidR="00105AB8" w:rsidRPr="00503CA9" w:rsidRDefault="00E10C54" w:rsidP="00530549">
      <w:pPr>
        <w:pStyle w:val="Normal1"/>
        <w:widowControl/>
        <w:numPr>
          <w:ilvl w:val="0"/>
          <w:numId w:val="4"/>
        </w:numPr>
        <w:ind w:left="0" w:firstLine="0"/>
        <w:contextualSpacing/>
        <w:jc w:val="both"/>
        <w:rPr>
          <w:rFonts w:ascii="Verdana" w:hAnsi="Verdana"/>
          <w:sz w:val="20"/>
          <w:szCs w:val="20"/>
        </w:rPr>
      </w:pPr>
      <w:r w:rsidRPr="00503CA9">
        <w:rPr>
          <w:rFonts w:ascii="Verdana" w:hAnsi="Verdana" w:cs="Arial"/>
          <w:sz w:val="20"/>
          <w:szCs w:val="20"/>
        </w:rPr>
        <w:t>Por otro lado, s</w:t>
      </w:r>
      <w:r w:rsidR="00717EDD" w:rsidRPr="00503CA9">
        <w:rPr>
          <w:rFonts w:ascii="Verdana" w:hAnsi="Verdana"/>
          <w:sz w:val="20"/>
          <w:szCs w:val="20"/>
        </w:rPr>
        <w:t xml:space="preserve">egún lo declarado por </w:t>
      </w:r>
      <w:r w:rsidR="0087580C" w:rsidRPr="00503CA9">
        <w:rPr>
          <w:rFonts w:ascii="Verdana" w:hAnsi="Verdana"/>
          <w:sz w:val="20"/>
          <w:szCs w:val="20"/>
        </w:rPr>
        <w:t>la señora Irma Morales Morata,</w:t>
      </w:r>
      <w:r w:rsidR="00717EDD" w:rsidRPr="00503CA9">
        <w:rPr>
          <w:rFonts w:ascii="Verdana" w:hAnsi="Verdana"/>
          <w:sz w:val="20"/>
          <w:szCs w:val="20"/>
        </w:rPr>
        <w:t xml:space="preserve"> esposa del señor Archila Pérez, éste “s</w:t>
      </w:r>
      <w:r w:rsidR="0087580C" w:rsidRPr="00503CA9">
        <w:rPr>
          <w:rFonts w:ascii="Verdana" w:hAnsi="Verdana"/>
          <w:sz w:val="20"/>
          <w:szCs w:val="20"/>
        </w:rPr>
        <w:t>ufría mucho</w:t>
      </w:r>
      <w:r w:rsidR="00717EDD" w:rsidRPr="00503CA9">
        <w:rPr>
          <w:rFonts w:ascii="Verdana" w:hAnsi="Verdana"/>
          <w:sz w:val="20"/>
          <w:szCs w:val="20"/>
        </w:rPr>
        <w:t>” en la</w:t>
      </w:r>
      <w:r w:rsidR="0087580C" w:rsidRPr="00503CA9">
        <w:rPr>
          <w:rFonts w:ascii="Verdana" w:hAnsi="Verdana"/>
          <w:sz w:val="20"/>
          <w:szCs w:val="20"/>
        </w:rPr>
        <w:t xml:space="preserve"> cárcel</w:t>
      </w:r>
      <w:r w:rsidR="00C2670C" w:rsidRPr="00503CA9">
        <w:rPr>
          <w:rFonts w:ascii="Verdana" w:hAnsi="Verdana"/>
          <w:sz w:val="20"/>
          <w:szCs w:val="20"/>
        </w:rPr>
        <w:t>,</w:t>
      </w:r>
      <w:r w:rsidR="0087580C" w:rsidRPr="00503CA9">
        <w:rPr>
          <w:rFonts w:ascii="Verdana" w:hAnsi="Verdana"/>
          <w:sz w:val="20"/>
          <w:szCs w:val="20"/>
        </w:rPr>
        <w:t xml:space="preserve"> ya que </w:t>
      </w:r>
      <w:r w:rsidR="00717EDD" w:rsidRPr="00503CA9">
        <w:rPr>
          <w:rFonts w:ascii="Verdana" w:hAnsi="Verdana"/>
          <w:sz w:val="20"/>
          <w:szCs w:val="20"/>
        </w:rPr>
        <w:t>le</w:t>
      </w:r>
      <w:r w:rsidR="0087580C" w:rsidRPr="00503CA9">
        <w:rPr>
          <w:rFonts w:ascii="Verdana" w:hAnsi="Verdana"/>
          <w:sz w:val="20"/>
          <w:szCs w:val="20"/>
        </w:rPr>
        <w:t xml:space="preserve"> contaba que </w:t>
      </w:r>
      <w:r w:rsidR="00717EDD" w:rsidRPr="00503CA9">
        <w:rPr>
          <w:rFonts w:ascii="Verdana" w:hAnsi="Verdana"/>
          <w:sz w:val="20"/>
          <w:szCs w:val="20"/>
        </w:rPr>
        <w:t>“todo era</w:t>
      </w:r>
      <w:r w:rsidR="0087580C" w:rsidRPr="00503CA9">
        <w:rPr>
          <w:rFonts w:ascii="Verdana" w:hAnsi="Verdana"/>
          <w:sz w:val="20"/>
          <w:szCs w:val="20"/>
        </w:rPr>
        <w:t xml:space="preserve"> difícil allí dentro ya que no tenía los servicios ni condiciones humanas</w:t>
      </w:r>
      <w:r w:rsidR="00717EDD" w:rsidRPr="00503CA9">
        <w:rPr>
          <w:rFonts w:ascii="Verdana" w:hAnsi="Verdana"/>
          <w:sz w:val="20"/>
          <w:szCs w:val="20"/>
        </w:rPr>
        <w:t>,</w:t>
      </w:r>
      <w:r w:rsidR="0087580C" w:rsidRPr="00503CA9">
        <w:rPr>
          <w:rFonts w:ascii="Verdana" w:hAnsi="Verdana"/>
          <w:sz w:val="20"/>
          <w:szCs w:val="20"/>
        </w:rPr>
        <w:t xml:space="preserve"> sino que dentro de </w:t>
      </w:r>
      <w:proofErr w:type="gramStart"/>
      <w:r w:rsidR="0087580C" w:rsidRPr="00503CA9">
        <w:rPr>
          <w:rFonts w:ascii="Verdana" w:hAnsi="Verdana"/>
          <w:sz w:val="20"/>
          <w:szCs w:val="20"/>
        </w:rPr>
        <w:t>las cárcel</w:t>
      </w:r>
      <w:proofErr w:type="gramEnd"/>
      <w:r w:rsidR="0087580C" w:rsidRPr="00503CA9">
        <w:rPr>
          <w:rFonts w:ascii="Verdana" w:hAnsi="Verdana"/>
          <w:sz w:val="20"/>
          <w:szCs w:val="20"/>
        </w:rPr>
        <w:t xml:space="preserve"> las condiciones </w:t>
      </w:r>
      <w:r w:rsidR="00717EDD" w:rsidRPr="00503CA9">
        <w:rPr>
          <w:rFonts w:ascii="Verdana" w:hAnsi="Verdana"/>
          <w:sz w:val="20"/>
          <w:szCs w:val="20"/>
        </w:rPr>
        <w:t>[eran]</w:t>
      </w:r>
      <w:r w:rsidR="0087580C" w:rsidRPr="00503CA9">
        <w:rPr>
          <w:rFonts w:ascii="Verdana" w:hAnsi="Verdana"/>
          <w:sz w:val="20"/>
          <w:szCs w:val="20"/>
        </w:rPr>
        <w:t xml:space="preserve"> precarias y por todo tenían que pagar o si no hasta lo golpeaban</w:t>
      </w:r>
      <w:r w:rsidR="00717EDD" w:rsidRPr="00503CA9">
        <w:rPr>
          <w:rFonts w:ascii="Verdana" w:hAnsi="Verdana"/>
          <w:sz w:val="20"/>
          <w:szCs w:val="20"/>
        </w:rPr>
        <w:t>”. Con respecto al régimen de visitas, la señora Morales indicó que “nunca [le] dejaron verlo”, pese a que ella iba con sus hijos y solicitaba verle, a lo que le respondían que no podía porque estaba enfermo</w:t>
      </w:r>
      <w:r w:rsidR="00717EDD" w:rsidRPr="00503CA9">
        <w:rPr>
          <w:rStyle w:val="Refdenotaalpie"/>
          <w:rFonts w:ascii="Verdana" w:hAnsi="Verdana"/>
          <w:sz w:val="20"/>
          <w:szCs w:val="20"/>
        </w:rPr>
        <w:footnoteReference w:id="106"/>
      </w:r>
      <w:r w:rsidR="00717EDD" w:rsidRPr="00503CA9">
        <w:rPr>
          <w:rFonts w:ascii="Verdana" w:hAnsi="Verdana"/>
          <w:sz w:val="20"/>
          <w:szCs w:val="20"/>
        </w:rPr>
        <w:t>.</w:t>
      </w:r>
      <w:r w:rsidR="0087580C" w:rsidRPr="00503CA9">
        <w:rPr>
          <w:rFonts w:ascii="Verdana" w:hAnsi="Verdana"/>
          <w:sz w:val="20"/>
          <w:szCs w:val="20"/>
        </w:rPr>
        <w:t xml:space="preserve"> </w:t>
      </w:r>
      <w:r w:rsidR="00717EDD" w:rsidRPr="00503CA9">
        <w:rPr>
          <w:rFonts w:ascii="Verdana" w:hAnsi="Verdana"/>
          <w:sz w:val="20"/>
          <w:szCs w:val="20"/>
        </w:rPr>
        <w:t xml:space="preserve">Según la señora Morales, tras la muerte del señor Archila Pérez se enteró de que “lo tenían en una celda de castigo más conocida </w:t>
      </w:r>
      <w:r w:rsidR="00717EDD" w:rsidRPr="00503CA9">
        <w:rPr>
          <w:rFonts w:ascii="Verdana" w:hAnsi="Verdana"/>
          <w:sz w:val="20"/>
          <w:szCs w:val="20"/>
        </w:rPr>
        <w:lastRenderedPageBreak/>
        <w:t xml:space="preserve">como ‘Bartolina’” y que en dicha celda “no conocía el </w:t>
      </w:r>
      <w:r w:rsidR="009352D9" w:rsidRPr="00503CA9">
        <w:rPr>
          <w:rFonts w:ascii="Verdana" w:hAnsi="Verdana"/>
          <w:sz w:val="20"/>
          <w:szCs w:val="20"/>
        </w:rPr>
        <w:t>a</w:t>
      </w:r>
      <w:r w:rsidR="00717EDD" w:rsidRPr="00503CA9">
        <w:rPr>
          <w:rFonts w:ascii="Verdana" w:hAnsi="Verdana"/>
          <w:sz w:val="20"/>
          <w:szCs w:val="20"/>
        </w:rPr>
        <w:t>manecer ni el anoch</w:t>
      </w:r>
      <w:r w:rsidR="009352D9" w:rsidRPr="00503CA9">
        <w:rPr>
          <w:rFonts w:ascii="Verdana" w:hAnsi="Verdana"/>
          <w:sz w:val="20"/>
          <w:szCs w:val="20"/>
        </w:rPr>
        <w:t>e</w:t>
      </w:r>
      <w:r w:rsidR="00717EDD" w:rsidRPr="00503CA9">
        <w:rPr>
          <w:rFonts w:ascii="Verdana" w:hAnsi="Verdana"/>
          <w:sz w:val="20"/>
          <w:szCs w:val="20"/>
        </w:rPr>
        <w:t>cer, lo tenían esposado de una mano, estuvo 40 días sin alimentos, agua, ni medicinas, lo cual lo llevó a una depresión y agravar su estado de salud</w:t>
      </w:r>
      <w:r w:rsidR="0080157D" w:rsidRPr="00503CA9">
        <w:rPr>
          <w:rFonts w:ascii="Verdana" w:hAnsi="Verdana"/>
          <w:sz w:val="20"/>
          <w:szCs w:val="20"/>
        </w:rPr>
        <w:t>, además de estar sin comunicación de los demás reos</w:t>
      </w:r>
      <w:r w:rsidR="00717EDD" w:rsidRPr="00503CA9">
        <w:rPr>
          <w:rFonts w:ascii="Verdana" w:hAnsi="Verdana"/>
          <w:sz w:val="20"/>
          <w:szCs w:val="20"/>
        </w:rPr>
        <w:t>”</w:t>
      </w:r>
      <w:r w:rsidR="009352D9" w:rsidRPr="00503CA9">
        <w:rPr>
          <w:rFonts w:ascii="Verdana" w:hAnsi="Verdana"/>
          <w:sz w:val="20"/>
          <w:szCs w:val="20"/>
        </w:rPr>
        <w:t>. Indicó además que no le dieron la medicina adecuada para su diabetes</w:t>
      </w:r>
      <w:r w:rsidR="009352D9" w:rsidRPr="00503CA9">
        <w:rPr>
          <w:rStyle w:val="Refdenotaalpie"/>
          <w:rFonts w:ascii="Verdana" w:hAnsi="Verdana"/>
          <w:sz w:val="20"/>
          <w:szCs w:val="20"/>
        </w:rPr>
        <w:footnoteReference w:id="107"/>
      </w:r>
      <w:r w:rsidR="009352D9" w:rsidRPr="00503CA9">
        <w:rPr>
          <w:rFonts w:ascii="Verdana" w:hAnsi="Verdana"/>
          <w:sz w:val="20"/>
          <w:szCs w:val="20"/>
        </w:rPr>
        <w:t>.</w:t>
      </w:r>
      <w:r w:rsidRPr="00503CA9">
        <w:rPr>
          <w:rFonts w:ascii="Verdana" w:hAnsi="Verdana"/>
          <w:sz w:val="20"/>
          <w:szCs w:val="20"/>
        </w:rPr>
        <w:t xml:space="preserve"> </w:t>
      </w:r>
      <w:r w:rsidR="00C2670C" w:rsidRPr="00503CA9">
        <w:rPr>
          <w:rFonts w:ascii="Verdana" w:hAnsi="Verdana"/>
          <w:sz w:val="20"/>
          <w:szCs w:val="20"/>
        </w:rPr>
        <w:t>Lo anterior también fue refrendado por el señor Rodríguez Revolorio en la audiencia pública celebrada ante esta Corte, donde indicó que el señor Archila Pérez “murió a los 40 días de haber llegado al Infiernito, se deprimió, él enferm</w:t>
      </w:r>
      <w:r w:rsidR="006146E8">
        <w:rPr>
          <w:rFonts w:ascii="Verdana" w:hAnsi="Verdana"/>
          <w:sz w:val="20"/>
          <w:szCs w:val="20"/>
        </w:rPr>
        <w:t>ó</w:t>
      </w:r>
      <w:r w:rsidR="00C2670C" w:rsidRPr="00503CA9">
        <w:rPr>
          <w:rFonts w:ascii="Verdana" w:hAnsi="Verdana"/>
          <w:sz w:val="20"/>
          <w:szCs w:val="20"/>
        </w:rPr>
        <w:t xml:space="preserve"> de diabetes y nunca le dieron la medicina adecuada a la enfermedad que </w:t>
      </w:r>
      <w:r w:rsidR="001D6AEB" w:rsidRPr="00503CA9">
        <w:rPr>
          <w:rFonts w:ascii="Verdana" w:hAnsi="Verdana"/>
          <w:sz w:val="20"/>
          <w:szCs w:val="20"/>
        </w:rPr>
        <w:t>él</w:t>
      </w:r>
      <w:r w:rsidR="00C2670C" w:rsidRPr="00503CA9">
        <w:rPr>
          <w:rFonts w:ascii="Verdana" w:hAnsi="Verdana"/>
          <w:sz w:val="20"/>
          <w:szCs w:val="20"/>
        </w:rPr>
        <w:t xml:space="preserve"> </w:t>
      </w:r>
      <w:r w:rsidR="001D6AEB" w:rsidRPr="00503CA9">
        <w:rPr>
          <w:rFonts w:ascii="Verdana" w:hAnsi="Verdana"/>
          <w:sz w:val="20"/>
          <w:szCs w:val="20"/>
        </w:rPr>
        <w:t>tenía</w:t>
      </w:r>
      <w:r w:rsidR="00C2670C" w:rsidRPr="00503CA9">
        <w:rPr>
          <w:rFonts w:ascii="Verdana" w:hAnsi="Verdana"/>
          <w:sz w:val="20"/>
          <w:szCs w:val="20"/>
        </w:rPr>
        <w:t>”</w:t>
      </w:r>
      <w:r w:rsidR="00C2670C" w:rsidRPr="00503CA9">
        <w:rPr>
          <w:rStyle w:val="Refdenotaalpie"/>
          <w:rFonts w:ascii="Verdana" w:eastAsia="MS Mincho" w:hAnsi="Verdana"/>
          <w:sz w:val="20"/>
          <w:szCs w:val="20"/>
        </w:rPr>
        <w:footnoteReference w:id="108"/>
      </w:r>
      <w:r w:rsidR="00C2670C" w:rsidRPr="00503CA9">
        <w:rPr>
          <w:rFonts w:ascii="Verdana" w:hAnsi="Verdana"/>
          <w:sz w:val="20"/>
          <w:szCs w:val="20"/>
        </w:rPr>
        <w:t xml:space="preserve">. </w:t>
      </w:r>
      <w:r w:rsidR="00C1205E" w:rsidRPr="00503CA9">
        <w:rPr>
          <w:rFonts w:ascii="Verdana" w:hAnsi="Verdana"/>
          <w:sz w:val="20"/>
          <w:szCs w:val="20"/>
        </w:rPr>
        <w:t xml:space="preserve">El señor </w:t>
      </w:r>
      <w:r w:rsidR="0087580C" w:rsidRPr="00503CA9">
        <w:rPr>
          <w:rFonts w:ascii="Verdana" w:hAnsi="Verdana"/>
          <w:sz w:val="20"/>
          <w:szCs w:val="20"/>
        </w:rPr>
        <w:t xml:space="preserve">Archila Pérez falleció el 16 de julio de 1999 a consecuencia de </w:t>
      </w:r>
      <w:r w:rsidR="00C1205E" w:rsidRPr="00503CA9">
        <w:rPr>
          <w:rFonts w:ascii="Verdana" w:hAnsi="Verdana"/>
          <w:sz w:val="20"/>
          <w:szCs w:val="20"/>
        </w:rPr>
        <w:t>una c</w:t>
      </w:r>
      <w:r w:rsidR="00083489">
        <w:rPr>
          <w:rFonts w:ascii="Verdana" w:hAnsi="Verdana"/>
          <w:sz w:val="20"/>
          <w:szCs w:val="20"/>
        </w:rPr>
        <w:t>e</w:t>
      </w:r>
      <w:r w:rsidR="0087580C" w:rsidRPr="00503CA9">
        <w:rPr>
          <w:rFonts w:ascii="Verdana" w:hAnsi="Verdana"/>
          <w:sz w:val="20"/>
          <w:szCs w:val="20"/>
        </w:rPr>
        <w:t xml:space="preserve">toacidosis </w:t>
      </w:r>
      <w:r w:rsidR="00C1205E" w:rsidRPr="00503CA9">
        <w:rPr>
          <w:rFonts w:ascii="Verdana" w:hAnsi="Verdana"/>
          <w:sz w:val="20"/>
          <w:szCs w:val="20"/>
        </w:rPr>
        <w:t>d</w:t>
      </w:r>
      <w:r w:rsidR="0087580C" w:rsidRPr="00503CA9">
        <w:rPr>
          <w:rFonts w:ascii="Verdana" w:hAnsi="Verdana"/>
          <w:sz w:val="20"/>
          <w:szCs w:val="20"/>
        </w:rPr>
        <w:t>iabética</w:t>
      </w:r>
      <w:r w:rsidR="0087580C" w:rsidRPr="00503CA9">
        <w:rPr>
          <w:rStyle w:val="Refdenotaalpie"/>
          <w:rFonts w:ascii="Verdana" w:hAnsi="Verdana" w:cs="Arial"/>
          <w:sz w:val="20"/>
          <w:szCs w:val="20"/>
        </w:rPr>
        <w:footnoteReference w:id="109"/>
      </w:r>
      <w:r w:rsidR="009352D9" w:rsidRPr="00503CA9">
        <w:rPr>
          <w:rFonts w:ascii="Verdana" w:hAnsi="Verdana"/>
          <w:sz w:val="20"/>
          <w:szCs w:val="20"/>
        </w:rPr>
        <w:t xml:space="preserve">, </w:t>
      </w:r>
      <w:r w:rsidR="00C1205E" w:rsidRPr="00503CA9">
        <w:rPr>
          <w:rFonts w:ascii="Verdana" w:hAnsi="Verdana"/>
          <w:sz w:val="20"/>
          <w:szCs w:val="20"/>
        </w:rPr>
        <w:t>esto es, una complicación aguda de la diabetes.</w:t>
      </w:r>
    </w:p>
    <w:p w14:paraId="7B1DA211" w14:textId="77777777" w:rsidR="00565C70" w:rsidRPr="006B0525" w:rsidRDefault="00565C70" w:rsidP="00DD4BA6">
      <w:pPr>
        <w:pStyle w:val="Ttulo4"/>
      </w:pPr>
      <w:r w:rsidRPr="006B0525">
        <w:tab/>
      </w:r>
      <w:r w:rsidR="00DD4BA6">
        <w:t>(</w:t>
      </w:r>
      <w:proofErr w:type="spellStart"/>
      <w:r w:rsidR="00DD4BA6">
        <w:t>iv</w:t>
      </w:r>
      <w:proofErr w:type="spellEnd"/>
      <w:r w:rsidR="00DD4BA6">
        <w:t>)</w:t>
      </w:r>
      <w:r w:rsidRPr="006B0525">
        <w:t xml:space="preserve"> </w:t>
      </w:r>
      <w:r w:rsidR="00190F6E" w:rsidRPr="006B0525">
        <w:t>Conclusiones</w:t>
      </w:r>
    </w:p>
    <w:p w14:paraId="3ADF63FB" w14:textId="77777777" w:rsidR="00842E01" w:rsidRPr="006B0525" w:rsidRDefault="00671BF2" w:rsidP="00530549">
      <w:pPr>
        <w:pStyle w:val="Normal1"/>
        <w:widowControl/>
        <w:numPr>
          <w:ilvl w:val="0"/>
          <w:numId w:val="4"/>
        </w:numPr>
        <w:ind w:left="0" w:firstLine="0"/>
        <w:contextualSpacing/>
        <w:jc w:val="both"/>
        <w:rPr>
          <w:rFonts w:ascii="Verdana" w:hAnsi="Verdana"/>
          <w:bCs/>
          <w:iCs/>
          <w:sz w:val="20"/>
          <w:szCs w:val="20"/>
        </w:rPr>
      </w:pPr>
      <w:r w:rsidRPr="006B0525">
        <w:rPr>
          <w:rFonts w:ascii="Verdana" w:hAnsi="Verdana"/>
          <w:bCs/>
          <w:iCs/>
          <w:sz w:val="20"/>
          <w:szCs w:val="20"/>
        </w:rPr>
        <w:t xml:space="preserve">La Corte observa, en primer lugar, </w:t>
      </w:r>
      <w:r w:rsidR="00EE16ED" w:rsidRPr="006B0525">
        <w:rPr>
          <w:rFonts w:ascii="Verdana" w:hAnsi="Verdana"/>
          <w:bCs/>
          <w:iCs/>
          <w:sz w:val="20"/>
          <w:szCs w:val="20"/>
        </w:rPr>
        <w:t xml:space="preserve">que este Tribunal ha tenido oportunidad de analizar </w:t>
      </w:r>
      <w:r w:rsidR="009A078E" w:rsidRPr="006B0525">
        <w:rPr>
          <w:rFonts w:ascii="Verdana" w:hAnsi="Verdana"/>
          <w:bCs/>
          <w:iCs/>
          <w:sz w:val="20"/>
          <w:szCs w:val="20"/>
        </w:rPr>
        <w:t xml:space="preserve">en el caso </w:t>
      </w:r>
      <w:r w:rsidR="009A078E" w:rsidRPr="006B0525">
        <w:rPr>
          <w:rFonts w:ascii="Verdana" w:hAnsi="Verdana"/>
          <w:bCs/>
          <w:i/>
          <w:iCs/>
          <w:sz w:val="20"/>
          <w:szCs w:val="20"/>
        </w:rPr>
        <w:t xml:space="preserve">Fermín </w:t>
      </w:r>
      <w:r w:rsidR="003C6B58">
        <w:rPr>
          <w:rFonts w:ascii="Verdana" w:hAnsi="Verdana"/>
          <w:bCs/>
          <w:i/>
          <w:iCs/>
          <w:sz w:val="20"/>
          <w:szCs w:val="20"/>
        </w:rPr>
        <w:t>Ramírez</w:t>
      </w:r>
      <w:r w:rsidR="009A078E" w:rsidRPr="006B0525">
        <w:rPr>
          <w:rFonts w:ascii="Verdana" w:hAnsi="Verdana"/>
          <w:bCs/>
          <w:i/>
          <w:iCs/>
          <w:sz w:val="20"/>
          <w:szCs w:val="20"/>
        </w:rPr>
        <w:t xml:space="preserve"> Vs. Guatemala</w:t>
      </w:r>
      <w:r w:rsidR="009A078E" w:rsidRPr="006B0525">
        <w:rPr>
          <w:rFonts w:ascii="Verdana" w:hAnsi="Verdana"/>
          <w:bCs/>
          <w:iCs/>
          <w:sz w:val="20"/>
          <w:szCs w:val="20"/>
        </w:rPr>
        <w:t xml:space="preserve"> </w:t>
      </w:r>
      <w:r w:rsidR="00EE16ED" w:rsidRPr="006B0525">
        <w:rPr>
          <w:rFonts w:ascii="Verdana" w:hAnsi="Verdana"/>
          <w:bCs/>
          <w:iCs/>
          <w:sz w:val="20"/>
          <w:szCs w:val="20"/>
        </w:rPr>
        <w:t xml:space="preserve">las condiciones </w:t>
      </w:r>
      <w:r w:rsidR="009A078E" w:rsidRPr="006B0525">
        <w:rPr>
          <w:rFonts w:ascii="Verdana" w:hAnsi="Verdana"/>
          <w:bCs/>
          <w:iCs/>
          <w:sz w:val="20"/>
          <w:szCs w:val="20"/>
        </w:rPr>
        <w:t>físicas</w:t>
      </w:r>
      <w:r w:rsidR="00EE16ED" w:rsidRPr="006B0525">
        <w:rPr>
          <w:rFonts w:ascii="Verdana" w:hAnsi="Verdana"/>
          <w:bCs/>
          <w:iCs/>
          <w:sz w:val="20"/>
          <w:szCs w:val="20"/>
        </w:rPr>
        <w:t xml:space="preserve"> de la cárcel “El Infiernito” </w:t>
      </w:r>
      <w:r w:rsidR="00C45B86" w:rsidRPr="006B0525">
        <w:rPr>
          <w:rFonts w:ascii="Verdana" w:hAnsi="Verdana"/>
          <w:bCs/>
          <w:iCs/>
          <w:sz w:val="20"/>
          <w:szCs w:val="20"/>
        </w:rPr>
        <w:t xml:space="preserve">en el período comprendido </w:t>
      </w:r>
      <w:r w:rsidR="00FF2138" w:rsidRPr="006B0525">
        <w:rPr>
          <w:rFonts w:ascii="Verdana" w:hAnsi="Verdana"/>
          <w:bCs/>
          <w:iCs/>
          <w:sz w:val="20"/>
          <w:szCs w:val="20"/>
        </w:rPr>
        <w:t>en el que también permanecieron recluidos l</w:t>
      </w:r>
      <w:r w:rsidR="00083489">
        <w:rPr>
          <w:rFonts w:ascii="Verdana" w:hAnsi="Verdana"/>
          <w:bCs/>
          <w:iCs/>
          <w:sz w:val="20"/>
          <w:szCs w:val="20"/>
        </w:rPr>
        <w:t xml:space="preserve">os señores Rodríguez Revolorio y </w:t>
      </w:r>
      <w:r w:rsidR="00FF2138" w:rsidRPr="006B0525">
        <w:rPr>
          <w:rFonts w:ascii="Verdana" w:hAnsi="Verdana"/>
          <w:bCs/>
          <w:iCs/>
          <w:sz w:val="20"/>
          <w:szCs w:val="20"/>
        </w:rPr>
        <w:t>López Calo</w:t>
      </w:r>
      <w:r w:rsidR="00C45B86" w:rsidRPr="006B0525">
        <w:rPr>
          <w:rStyle w:val="Refdenotaalpie"/>
          <w:rFonts w:ascii="Verdana" w:hAnsi="Verdana"/>
          <w:bCs/>
          <w:iCs/>
          <w:sz w:val="20"/>
          <w:szCs w:val="20"/>
        </w:rPr>
        <w:footnoteReference w:id="110"/>
      </w:r>
      <w:r w:rsidR="009A078E" w:rsidRPr="006B0525">
        <w:rPr>
          <w:rFonts w:ascii="Verdana" w:hAnsi="Verdana"/>
          <w:bCs/>
          <w:iCs/>
          <w:sz w:val="20"/>
          <w:szCs w:val="20"/>
        </w:rPr>
        <w:t xml:space="preserve">, </w:t>
      </w:r>
      <w:r w:rsidR="00EE16ED" w:rsidRPr="006B0525">
        <w:rPr>
          <w:rFonts w:ascii="Verdana" w:hAnsi="Verdana"/>
          <w:bCs/>
          <w:iCs/>
          <w:sz w:val="20"/>
          <w:szCs w:val="20"/>
        </w:rPr>
        <w:t>donde observó lo siguiente:</w:t>
      </w:r>
    </w:p>
    <w:p w14:paraId="270B6D20" w14:textId="77777777" w:rsidR="00EE16ED" w:rsidRPr="006B0525" w:rsidRDefault="00EE16ED" w:rsidP="00530549">
      <w:pPr>
        <w:pStyle w:val="Normal1"/>
        <w:widowControl/>
        <w:contextualSpacing/>
        <w:jc w:val="both"/>
        <w:rPr>
          <w:rFonts w:ascii="Verdana" w:hAnsi="Verdana"/>
          <w:bCs/>
          <w:iCs/>
          <w:sz w:val="20"/>
          <w:szCs w:val="20"/>
        </w:rPr>
      </w:pPr>
    </w:p>
    <w:p w14:paraId="7C662F66" w14:textId="77777777" w:rsidR="00D6447D" w:rsidRPr="006B0525" w:rsidRDefault="00EE16ED" w:rsidP="00530549">
      <w:pPr>
        <w:pStyle w:val="Normal1"/>
        <w:widowControl/>
        <w:ind w:left="720" w:right="720"/>
        <w:contextualSpacing/>
        <w:jc w:val="both"/>
        <w:rPr>
          <w:rFonts w:ascii="Verdana" w:hAnsi="Verdana"/>
          <w:bCs/>
          <w:iCs/>
          <w:sz w:val="18"/>
          <w:szCs w:val="18"/>
        </w:rPr>
      </w:pPr>
      <w:r w:rsidRPr="006B0525">
        <w:rPr>
          <w:rFonts w:ascii="Verdana" w:hAnsi="Verdana"/>
          <w:bCs/>
          <w:iCs/>
          <w:sz w:val="18"/>
          <w:szCs w:val="18"/>
        </w:rPr>
        <w:t>“El Centro de Alta Seguridad de Escuintla [“el Infiernito”] presenta malas condiciones de higiene y carece de agua y ventilación, especialmente durante el verano.</w:t>
      </w:r>
      <w:r w:rsidR="00E258C4" w:rsidRPr="006B0525">
        <w:rPr>
          <w:rFonts w:ascii="Verdana" w:hAnsi="Verdana"/>
          <w:bCs/>
          <w:iCs/>
          <w:sz w:val="18"/>
          <w:szCs w:val="18"/>
        </w:rPr>
        <w:t xml:space="preserve"> </w:t>
      </w:r>
      <w:r w:rsidRPr="006B0525">
        <w:rPr>
          <w:rFonts w:ascii="Verdana" w:hAnsi="Verdana"/>
          <w:bCs/>
          <w:iCs/>
          <w:sz w:val="18"/>
          <w:szCs w:val="18"/>
        </w:rPr>
        <w:t>El sector en que se encuentra el señor Fermín Ramírez es de aproximadamente 20 metros por 6 y 8 metros y cuenta con 40 planchas de cemento.</w:t>
      </w:r>
      <w:r w:rsidR="00E258C4" w:rsidRPr="006B0525">
        <w:rPr>
          <w:rFonts w:ascii="Verdana" w:hAnsi="Verdana"/>
          <w:bCs/>
          <w:iCs/>
          <w:sz w:val="18"/>
          <w:szCs w:val="18"/>
        </w:rPr>
        <w:t xml:space="preserve"> </w:t>
      </w:r>
      <w:r w:rsidRPr="006B0525">
        <w:rPr>
          <w:rFonts w:ascii="Verdana" w:hAnsi="Verdana"/>
          <w:bCs/>
          <w:iCs/>
          <w:sz w:val="18"/>
          <w:szCs w:val="18"/>
        </w:rPr>
        <w:t>En el sector hay cerca de 40 reclusos, algunos de ellos condenados a muerte y otros a penas de 30 a 50 años de prisión. No existen programas educativos ni deportivos adecuados. La asistencia médica y psicológica es deficiente</w:t>
      </w:r>
      <w:r w:rsidR="00C45B86" w:rsidRPr="006B0525">
        <w:rPr>
          <w:rStyle w:val="Refdenotaalpie"/>
          <w:rFonts w:ascii="Verdana" w:hAnsi="Verdana"/>
          <w:bCs/>
          <w:iCs/>
          <w:sz w:val="18"/>
          <w:szCs w:val="18"/>
        </w:rPr>
        <w:footnoteReference w:id="111"/>
      </w:r>
      <w:r w:rsidR="00C45B86" w:rsidRPr="006B0525">
        <w:rPr>
          <w:rFonts w:ascii="Verdana" w:hAnsi="Verdana"/>
          <w:bCs/>
          <w:iCs/>
          <w:sz w:val="18"/>
          <w:szCs w:val="18"/>
        </w:rPr>
        <w:t>”.</w:t>
      </w:r>
    </w:p>
    <w:p w14:paraId="773566E5" w14:textId="77777777" w:rsidR="00C45B86" w:rsidRPr="006B0525" w:rsidRDefault="00C45B86" w:rsidP="00530549">
      <w:pPr>
        <w:pStyle w:val="Normal1"/>
        <w:widowControl/>
        <w:ind w:left="720" w:right="720"/>
        <w:contextualSpacing/>
        <w:jc w:val="both"/>
        <w:rPr>
          <w:rFonts w:ascii="Verdana" w:hAnsi="Verdana"/>
          <w:bCs/>
          <w:iCs/>
          <w:sz w:val="20"/>
          <w:szCs w:val="20"/>
        </w:rPr>
      </w:pPr>
    </w:p>
    <w:p w14:paraId="56B94F5C" w14:textId="77777777" w:rsidR="00EE16ED" w:rsidRPr="006B0525" w:rsidRDefault="00C45B86" w:rsidP="00530549">
      <w:pPr>
        <w:pStyle w:val="Normal1"/>
        <w:widowControl/>
        <w:numPr>
          <w:ilvl w:val="0"/>
          <w:numId w:val="4"/>
        </w:numPr>
        <w:ind w:left="0" w:firstLine="0"/>
        <w:contextualSpacing/>
        <w:jc w:val="both"/>
        <w:rPr>
          <w:rFonts w:ascii="Verdana" w:hAnsi="Verdana"/>
          <w:sz w:val="20"/>
          <w:szCs w:val="20"/>
          <w:lang w:val="es-ES_tradnl"/>
        </w:rPr>
      </w:pPr>
      <w:r w:rsidRPr="006B0525">
        <w:rPr>
          <w:rFonts w:ascii="Verdana" w:hAnsi="Verdana"/>
          <w:bCs/>
          <w:iCs/>
          <w:sz w:val="20"/>
          <w:szCs w:val="20"/>
        </w:rPr>
        <w:t xml:space="preserve">La Corte observó </w:t>
      </w:r>
      <w:r w:rsidR="009A078E" w:rsidRPr="006B0525">
        <w:rPr>
          <w:rFonts w:ascii="Verdana" w:hAnsi="Verdana"/>
          <w:bCs/>
          <w:iCs/>
          <w:sz w:val="20"/>
          <w:szCs w:val="20"/>
        </w:rPr>
        <w:t xml:space="preserve">además </w:t>
      </w:r>
      <w:r w:rsidRPr="006B0525">
        <w:rPr>
          <w:rFonts w:ascii="Verdana" w:hAnsi="Verdana"/>
          <w:bCs/>
          <w:iCs/>
          <w:sz w:val="20"/>
          <w:szCs w:val="20"/>
        </w:rPr>
        <w:t xml:space="preserve">que el señor Fermín </w:t>
      </w:r>
      <w:r w:rsidR="00466A26" w:rsidRPr="006B0525">
        <w:rPr>
          <w:rFonts w:ascii="Verdana" w:hAnsi="Verdana"/>
          <w:bCs/>
          <w:iCs/>
          <w:sz w:val="20"/>
          <w:szCs w:val="20"/>
        </w:rPr>
        <w:t>Ramírez</w:t>
      </w:r>
      <w:r w:rsidRPr="006B0525">
        <w:rPr>
          <w:rFonts w:ascii="Verdana" w:hAnsi="Verdana"/>
          <w:bCs/>
          <w:iCs/>
          <w:sz w:val="20"/>
          <w:szCs w:val="20"/>
        </w:rPr>
        <w:t xml:space="preserve"> </w:t>
      </w:r>
      <w:r w:rsidRPr="006B0525">
        <w:rPr>
          <w:rFonts w:ascii="Verdana" w:hAnsi="Verdana"/>
          <w:sz w:val="20"/>
          <w:szCs w:val="20"/>
          <w:lang w:val="es-ES_tradnl"/>
        </w:rPr>
        <w:t xml:space="preserve">había sido sometido a “graves condiciones carcelarias”, las cuales </w:t>
      </w:r>
      <w:r w:rsidRPr="006B0525">
        <w:rPr>
          <w:rFonts w:ascii="Verdana" w:hAnsi="Verdana"/>
          <w:noProof/>
          <w:sz w:val="20"/>
          <w:szCs w:val="20"/>
          <w:lang w:val="es-ES_tradnl"/>
        </w:rPr>
        <w:t xml:space="preserve">se inscribieron en un contexto general de graves deficiencias carcelarias, </w:t>
      </w:r>
      <w:r w:rsidRPr="006B0525">
        <w:rPr>
          <w:rFonts w:ascii="Verdana" w:hAnsi="Verdana"/>
          <w:bCs/>
          <w:iCs/>
          <w:sz w:val="20"/>
          <w:szCs w:val="20"/>
        </w:rPr>
        <w:t>señaladas</w:t>
      </w:r>
      <w:r w:rsidRPr="006B0525">
        <w:rPr>
          <w:rFonts w:ascii="Verdana" w:hAnsi="Verdana"/>
          <w:noProof/>
          <w:sz w:val="20"/>
          <w:szCs w:val="20"/>
          <w:lang w:val="es-ES_tradnl"/>
        </w:rPr>
        <w:t xml:space="preserve"> por organismos internacionales</w:t>
      </w:r>
      <w:r w:rsidRPr="006B0525">
        <w:rPr>
          <w:rStyle w:val="Refdenotaalpie"/>
          <w:rFonts w:ascii="Verdana" w:hAnsi="Verdana"/>
          <w:noProof/>
          <w:sz w:val="20"/>
          <w:szCs w:val="20"/>
          <w:lang w:val="es-ES_tradnl"/>
        </w:rPr>
        <w:footnoteReference w:id="112"/>
      </w:r>
      <w:r w:rsidRPr="006B0525">
        <w:rPr>
          <w:rFonts w:ascii="Verdana" w:hAnsi="Verdana"/>
          <w:i/>
          <w:noProof/>
          <w:sz w:val="20"/>
          <w:szCs w:val="20"/>
          <w:lang w:val="es-ES_tradnl"/>
        </w:rPr>
        <w:t>.</w:t>
      </w:r>
      <w:r w:rsidRPr="006B0525">
        <w:rPr>
          <w:rFonts w:ascii="Verdana" w:hAnsi="Verdana"/>
          <w:sz w:val="20"/>
          <w:szCs w:val="20"/>
          <w:lang w:val="es-ES_tradnl"/>
        </w:rPr>
        <w:t xml:space="preserve"> Por todo lo anterior, la Corte consideró que el Estado violó el artículo 5.1 y 5.2 de la Convención, en relación con el artículo 1.1 de la misma</w:t>
      </w:r>
      <w:r w:rsidRPr="006B0525">
        <w:rPr>
          <w:rStyle w:val="Refdenotaalpie"/>
          <w:rFonts w:ascii="Verdana" w:hAnsi="Verdana"/>
          <w:bCs/>
          <w:iCs/>
          <w:sz w:val="20"/>
          <w:szCs w:val="20"/>
        </w:rPr>
        <w:footnoteReference w:id="113"/>
      </w:r>
      <w:r w:rsidRPr="006B0525">
        <w:rPr>
          <w:rFonts w:ascii="Verdana" w:hAnsi="Verdana"/>
          <w:bCs/>
          <w:iCs/>
          <w:sz w:val="20"/>
          <w:szCs w:val="20"/>
        </w:rPr>
        <w:t>.</w:t>
      </w:r>
    </w:p>
    <w:p w14:paraId="1E26531E" w14:textId="77777777" w:rsidR="00842E01" w:rsidRPr="006B0525" w:rsidRDefault="00842E01" w:rsidP="00530549">
      <w:pPr>
        <w:pStyle w:val="Normal1"/>
        <w:widowControl/>
        <w:contextualSpacing/>
        <w:jc w:val="both"/>
        <w:rPr>
          <w:rFonts w:ascii="Verdana" w:hAnsi="Verdana"/>
          <w:bCs/>
          <w:iCs/>
          <w:sz w:val="20"/>
          <w:szCs w:val="20"/>
          <w:lang w:val="es-ES_tradnl"/>
        </w:rPr>
      </w:pPr>
    </w:p>
    <w:p w14:paraId="3F4F5F72" w14:textId="77777777" w:rsidR="00BE32BB" w:rsidRPr="006B0525" w:rsidRDefault="00C45B86" w:rsidP="00530549">
      <w:pPr>
        <w:pStyle w:val="Normal1"/>
        <w:widowControl/>
        <w:numPr>
          <w:ilvl w:val="0"/>
          <w:numId w:val="4"/>
        </w:numPr>
        <w:ind w:left="0" w:firstLine="0"/>
        <w:contextualSpacing/>
        <w:jc w:val="both"/>
        <w:rPr>
          <w:rFonts w:ascii="Verdana" w:hAnsi="Verdana"/>
          <w:bCs/>
          <w:iCs/>
          <w:sz w:val="20"/>
          <w:szCs w:val="20"/>
        </w:rPr>
      </w:pPr>
      <w:r w:rsidRPr="006B0525">
        <w:rPr>
          <w:rFonts w:ascii="Verdana" w:hAnsi="Verdana"/>
          <w:bCs/>
          <w:iCs/>
          <w:sz w:val="20"/>
          <w:szCs w:val="20"/>
        </w:rPr>
        <w:t>Sin perjuicio de lo anterior</w:t>
      </w:r>
      <w:r w:rsidR="00842E01" w:rsidRPr="006B0525">
        <w:rPr>
          <w:rFonts w:ascii="Verdana" w:hAnsi="Verdana"/>
          <w:bCs/>
          <w:iCs/>
          <w:sz w:val="20"/>
          <w:szCs w:val="20"/>
        </w:rPr>
        <w:t>, la Corte considera</w:t>
      </w:r>
      <w:r w:rsidRPr="006B0525">
        <w:rPr>
          <w:rFonts w:ascii="Verdana" w:hAnsi="Verdana"/>
          <w:bCs/>
          <w:iCs/>
          <w:sz w:val="20"/>
          <w:szCs w:val="20"/>
        </w:rPr>
        <w:t xml:space="preserve"> además</w:t>
      </w:r>
      <w:r w:rsidR="00842E01" w:rsidRPr="006B0525">
        <w:rPr>
          <w:rFonts w:ascii="Verdana" w:hAnsi="Verdana"/>
          <w:bCs/>
          <w:iCs/>
          <w:sz w:val="20"/>
          <w:szCs w:val="20"/>
        </w:rPr>
        <w:t xml:space="preserve"> </w:t>
      </w:r>
      <w:r w:rsidR="00BE32BB" w:rsidRPr="006B0525">
        <w:rPr>
          <w:rFonts w:ascii="Verdana" w:hAnsi="Verdana"/>
          <w:bCs/>
          <w:iCs/>
          <w:sz w:val="20"/>
          <w:szCs w:val="20"/>
        </w:rPr>
        <w:t xml:space="preserve">que del acervo probatorio del presente caso también se puede concluir </w:t>
      </w:r>
      <w:r w:rsidR="00E10C54" w:rsidRPr="006B0525">
        <w:rPr>
          <w:rFonts w:ascii="Verdana" w:hAnsi="Verdana"/>
          <w:bCs/>
          <w:iCs/>
          <w:sz w:val="20"/>
          <w:szCs w:val="20"/>
        </w:rPr>
        <w:t xml:space="preserve">que </w:t>
      </w:r>
      <w:r w:rsidR="00BE32BB" w:rsidRPr="006B0525">
        <w:rPr>
          <w:rFonts w:ascii="Verdana" w:hAnsi="Verdana"/>
          <w:bCs/>
          <w:iCs/>
          <w:sz w:val="20"/>
          <w:szCs w:val="20"/>
        </w:rPr>
        <w:t xml:space="preserve">la cárcel “El Infiernito” en donde estuvieron recluidos los señores </w:t>
      </w:r>
      <w:r w:rsidR="00BE32BB" w:rsidRPr="006B0525">
        <w:rPr>
          <w:rFonts w:ascii="Verdana" w:hAnsi="Verdana"/>
          <w:sz w:val="20"/>
          <w:szCs w:val="20"/>
        </w:rPr>
        <w:t>Rodríguez Revolorio, López Calo y Archila Pérez</w:t>
      </w:r>
      <w:r w:rsidR="00BE32BB" w:rsidRPr="006B0525">
        <w:rPr>
          <w:rFonts w:ascii="Verdana" w:hAnsi="Verdana"/>
          <w:bCs/>
          <w:iCs/>
          <w:sz w:val="20"/>
          <w:szCs w:val="20"/>
        </w:rPr>
        <w:t xml:space="preserve"> poseía </w:t>
      </w:r>
      <w:r w:rsidR="00E10C54" w:rsidRPr="006B0525">
        <w:rPr>
          <w:rFonts w:ascii="Verdana" w:hAnsi="Verdana"/>
          <w:bCs/>
          <w:iCs/>
          <w:sz w:val="20"/>
          <w:szCs w:val="20"/>
        </w:rPr>
        <w:t xml:space="preserve">efectivamente </w:t>
      </w:r>
      <w:r w:rsidR="00BE32BB" w:rsidRPr="006B0525">
        <w:rPr>
          <w:rFonts w:ascii="Verdana" w:hAnsi="Verdana"/>
          <w:bCs/>
          <w:iCs/>
          <w:sz w:val="20"/>
          <w:szCs w:val="20"/>
        </w:rPr>
        <w:t xml:space="preserve">unas deficientes condiciones físicas y sanitarias </w:t>
      </w:r>
      <w:r w:rsidR="00BE32BB" w:rsidRPr="006B0525">
        <w:rPr>
          <w:rFonts w:ascii="Verdana" w:hAnsi="Verdana"/>
          <w:sz w:val="20"/>
          <w:szCs w:val="20"/>
        </w:rPr>
        <w:t>que en modo alguno cumplían con los estándares internacionales</w:t>
      </w:r>
      <w:r w:rsidR="00BE32BB" w:rsidRPr="006B0525">
        <w:rPr>
          <w:rStyle w:val="Refdenotaalpie"/>
          <w:rFonts w:ascii="Verdana" w:hAnsi="Verdana"/>
          <w:sz w:val="20"/>
          <w:szCs w:val="20"/>
        </w:rPr>
        <w:footnoteReference w:id="114"/>
      </w:r>
      <w:r w:rsidR="00BE32BB" w:rsidRPr="006B0525">
        <w:rPr>
          <w:rFonts w:ascii="Verdana" w:hAnsi="Verdana"/>
          <w:sz w:val="20"/>
          <w:szCs w:val="20"/>
        </w:rPr>
        <w:t xml:space="preserve">. </w:t>
      </w:r>
      <w:r w:rsidR="00BE32BB" w:rsidRPr="006B0525">
        <w:rPr>
          <w:rFonts w:ascii="Verdana" w:hAnsi="Verdana" w:cs="Verdana"/>
          <w:sz w:val="20"/>
          <w:szCs w:val="20"/>
        </w:rPr>
        <w:t xml:space="preserve">En esta línea, </w:t>
      </w:r>
      <w:r w:rsidR="00BE32BB" w:rsidRPr="006B0525">
        <w:rPr>
          <w:rFonts w:ascii="Verdana" w:hAnsi="Verdana" w:cs="Verdana"/>
          <w:sz w:val="20"/>
          <w:szCs w:val="20"/>
        </w:rPr>
        <w:lastRenderedPageBreak/>
        <w:t xml:space="preserve">la Corte ha considerado que las malas condiciones físicas y sanitarias de los lugares de detención, así como la falta de luz y ventilación adecuadas, pueden ser en sí mismas violatorias del artículo 5 de la </w:t>
      </w:r>
      <w:r w:rsidR="00BE32BB" w:rsidRPr="006B0525">
        <w:rPr>
          <w:rFonts w:ascii="Verdana" w:hAnsi="Verdana"/>
          <w:bCs/>
          <w:iCs/>
          <w:sz w:val="20"/>
          <w:szCs w:val="20"/>
        </w:rPr>
        <w:t>Convención</w:t>
      </w:r>
      <w:r w:rsidR="00BE32BB" w:rsidRPr="006B0525">
        <w:rPr>
          <w:rFonts w:ascii="Verdana" w:hAnsi="Verdana" w:cs="Verdana"/>
          <w:sz w:val="20"/>
          <w:szCs w:val="20"/>
        </w:rPr>
        <w:t xml:space="preserve"> Americana, dependiendo de la intensidad de las mismas, su duración y las características personales de quien las sufre, pues pueden causar sufrimientos de una intensidad que exceda el límite inevitable de sufrimiento que acarrea la detención, y porque conllevan sentimientos de humillación e inferioridad</w:t>
      </w:r>
      <w:r w:rsidR="00ED5ADD" w:rsidRPr="006B0525">
        <w:rPr>
          <w:rStyle w:val="Refdenotaalpie"/>
          <w:rFonts w:ascii="Verdana" w:eastAsia="MS Mincho" w:hAnsi="Verdana" w:cs="Verdana"/>
          <w:sz w:val="20"/>
          <w:szCs w:val="20"/>
        </w:rPr>
        <w:footnoteReference w:id="115"/>
      </w:r>
      <w:r w:rsidR="00BE32BB" w:rsidRPr="006B0525">
        <w:rPr>
          <w:rFonts w:ascii="Verdana" w:hAnsi="Verdana" w:cs="Verdana"/>
          <w:sz w:val="20"/>
          <w:szCs w:val="20"/>
        </w:rPr>
        <w:t xml:space="preserve">. </w:t>
      </w:r>
    </w:p>
    <w:p w14:paraId="630D5F12" w14:textId="77777777" w:rsidR="00BE32BB" w:rsidRPr="006B0525" w:rsidRDefault="00BE32BB" w:rsidP="00530549">
      <w:pPr>
        <w:pStyle w:val="Normal1"/>
        <w:widowControl/>
        <w:contextualSpacing/>
        <w:jc w:val="both"/>
        <w:rPr>
          <w:rFonts w:ascii="Verdana" w:hAnsi="Verdana"/>
          <w:bCs/>
          <w:iCs/>
          <w:sz w:val="20"/>
          <w:szCs w:val="20"/>
        </w:rPr>
      </w:pPr>
    </w:p>
    <w:p w14:paraId="13051A65" w14:textId="77777777" w:rsidR="00671BF2" w:rsidRPr="006B0525" w:rsidRDefault="00E10C54" w:rsidP="00530549">
      <w:pPr>
        <w:pStyle w:val="Normal1"/>
        <w:widowControl/>
        <w:numPr>
          <w:ilvl w:val="0"/>
          <w:numId w:val="4"/>
        </w:numPr>
        <w:ind w:left="0" w:firstLine="0"/>
        <w:contextualSpacing/>
        <w:jc w:val="both"/>
        <w:rPr>
          <w:rFonts w:ascii="Verdana" w:hAnsi="Verdana"/>
          <w:bCs/>
          <w:iCs/>
          <w:sz w:val="20"/>
          <w:szCs w:val="20"/>
        </w:rPr>
      </w:pPr>
      <w:r w:rsidRPr="006B0525">
        <w:rPr>
          <w:rFonts w:ascii="Verdana" w:hAnsi="Verdana" w:cs="Verdana"/>
          <w:sz w:val="20"/>
          <w:szCs w:val="20"/>
        </w:rPr>
        <w:t xml:space="preserve">En cuanto a las condiciones carcelarias específicas al presente caso, </w:t>
      </w:r>
      <w:r w:rsidR="008254BE" w:rsidRPr="006B0525">
        <w:rPr>
          <w:rFonts w:ascii="Verdana" w:hAnsi="Verdana" w:cs="Verdana"/>
          <w:sz w:val="20"/>
          <w:szCs w:val="20"/>
        </w:rPr>
        <w:t>la Corte nota, en primer lugar,</w:t>
      </w:r>
      <w:r w:rsidR="00842E01" w:rsidRPr="006B0525">
        <w:rPr>
          <w:rFonts w:ascii="Verdana" w:hAnsi="Verdana"/>
          <w:bCs/>
          <w:iCs/>
          <w:sz w:val="20"/>
          <w:szCs w:val="20"/>
        </w:rPr>
        <w:t xml:space="preserve"> </w:t>
      </w:r>
      <w:r w:rsidR="00671BF2" w:rsidRPr="006B0525">
        <w:rPr>
          <w:rFonts w:ascii="Verdana" w:hAnsi="Verdana"/>
          <w:bCs/>
          <w:iCs/>
          <w:sz w:val="20"/>
          <w:szCs w:val="20"/>
        </w:rPr>
        <w:t>que l</w:t>
      </w:r>
      <w:r w:rsidR="00671BF2" w:rsidRPr="006B0525">
        <w:rPr>
          <w:rFonts w:ascii="Verdana" w:hAnsi="Verdana"/>
          <w:sz w:val="20"/>
          <w:szCs w:val="20"/>
        </w:rPr>
        <w:t>as ventanas de la prisión estaban ubicadas en la parte superior de las paredes lo que impedía la entrada de mucha luz y la circulación del aire</w:t>
      </w:r>
      <w:r w:rsidR="00671BF2" w:rsidRPr="006B0525">
        <w:rPr>
          <w:rStyle w:val="Refdenotaalpie"/>
          <w:rFonts w:ascii="Verdana" w:hAnsi="Verdana"/>
          <w:sz w:val="20"/>
          <w:szCs w:val="20"/>
        </w:rPr>
        <w:footnoteReference w:id="116"/>
      </w:r>
      <w:r w:rsidR="00671BF2" w:rsidRPr="006B0525">
        <w:rPr>
          <w:rFonts w:ascii="Verdana" w:hAnsi="Verdana"/>
          <w:sz w:val="20"/>
          <w:szCs w:val="20"/>
        </w:rPr>
        <w:t xml:space="preserve">. La Corte además observa que el </w:t>
      </w:r>
      <w:r w:rsidR="00671BF2" w:rsidRPr="006B0525">
        <w:rPr>
          <w:rFonts w:ascii="Verdana" w:hAnsi="Verdana"/>
          <w:bCs/>
          <w:iCs/>
          <w:sz w:val="20"/>
          <w:szCs w:val="20"/>
        </w:rPr>
        <w:t>acceso</w:t>
      </w:r>
      <w:r w:rsidR="00671BF2" w:rsidRPr="006B0525">
        <w:rPr>
          <w:rFonts w:ascii="Verdana" w:hAnsi="Verdana"/>
          <w:sz w:val="20"/>
          <w:szCs w:val="20"/>
        </w:rPr>
        <w:t xml:space="preserve"> </w:t>
      </w:r>
      <w:r w:rsidR="00671BF2" w:rsidRPr="006B0525">
        <w:rPr>
          <w:rFonts w:ascii="Verdana" w:hAnsi="Verdana"/>
          <w:sz w:val="20"/>
          <w:szCs w:val="20"/>
        </w:rPr>
        <w:lastRenderedPageBreak/>
        <w:t>al agua</w:t>
      </w:r>
      <w:r w:rsidR="009A078E" w:rsidRPr="006B0525">
        <w:rPr>
          <w:rFonts w:ascii="Verdana" w:hAnsi="Verdana"/>
          <w:sz w:val="20"/>
          <w:szCs w:val="20"/>
        </w:rPr>
        <w:t xml:space="preserve"> era</w:t>
      </w:r>
      <w:r w:rsidR="00671BF2" w:rsidRPr="006B0525">
        <w:rPr>
          <w:rFonts w:ascii="Verdana" w:hAnsi="Verdana"/>
          <w:sz w:val="20"/>
          <w:szCs w:val="20"/>
        </w:rPr>
        <w:t xml:space="preserve"> muy restringido, limitado a 6 litros de agua para utilizar cada día</w:t>
      </w:r>
      <w:r w:rsidR="00671BF2" w:rsidRPr="006B0525">
        <w:rPr>
          <w:rStyle w:val="Refdenotaalpie"/>
          <w:rFonts w:ascii="Verdana" w:hAnsi="Verdana"/>
          <w:sz w:val="20"/>
          <w:szCs w:val="20"/>
        </w:rPr>
        <w:footnoteReference w:id="117"/>
      </w:r>
      <w:r w:rsidR="00671BF2" w:rsidRPr="006B0525">
        <w:rPr>
          <w:rFonts w:ascii="Verdana" w:hAnsi="Verdana"/>
          <w:sz w:val="20"/>
          <w:szCs w:val="20"/>
        </w:rPr>
        <w:t>.</w:t>
      </w:r>
      <w:r w:rsidR="00E258C4" w:rsidRPr="006B0525">
        <w:rPr>
          <w:rFonts w:ascii="Verdana" w:hAnsi="Verdana"/>
          <w:sz w:val="20"/>
          <w:szCs w:val="20"/>
        </w:rPr>
        <w:t xml:space="preserve"> </w:t>
      </w:r>
      <w:r w:rsidR="00671BF2" w:rsidRPr="006B0525">
        <w:rPr>
          <w:rFonts w:ascii="Verdana" w:hAnsi="Verdana"/>
          <w:sz w:val="20"/>
          <w:szCs w:val="20"/>
        </w:rPr>
        <w:t xml:space="preserve">Lo anterior además </w:t>
      </w:r>
      <w:r w:rsidR="00671BF2" w:rsidRPr="006B0525">
        <w:rPr>
          <w:rFonts w:ascii="Verdana" w:hAnsi="Verdana"/>
          <w:bCs/>
          <w:iCs/>
          <w:sz w:val="20"/>
          <w:szCs w:val="20"/>
        </w:rPr>
        <w:t>conducía a</w:t>
      </w:r>
      <w:r w:rsidR="00E258C4" w:rsidRPr="006B0525">
        <w:rPr>
          <w:rFonts w:ascii="Verdana" w:hAnsi="Verdana"/>
          <w:bCs/>
          <w:iCs/>
          <w:sz w:val="20"/>
          <w:szCs w:val="20"/>
        </w:rPr>
        <w:t xml:space="preserve"> </w:t>
      </w:r>
      <w:r w:rsidR="00671BF2" w:rsidRPr="006B0525">
        <w:rPr>
          <w:rFonts w:ascii="Verdana" w:hAnsi="Verdana"/>
          <w:bCs/>
          <w:iCs/>
          <w:sz w:val="20"/>
          <w:szCs w:val="20"/>
        </w:rPr>
        <w:t>que las condiciones de higiene fueran muy precarias</w:t>
      </w:r>
      <w:r w:rsidR="00AF0882" w:rsidRPr="006B0525">
        <w:rPr>
          <w:rFonts w:ascii="Verdana" w:hAnsi="Verdana"/>
          <w:bCs/>
          <w:iCs/>
          <w:sz w:val="20"/>
          <w:szCs w:val="20"/>
        </w:rPr>
        <w:t>, tal y como así lo afirmó la perito Castro-Conde</w:t>
      </w:r>
      <w:r w:rsidR="00671BF2" w:rsidRPr="006B0525">
        <w:rPr>
          <w:rStyle w:val="Refdenotaalpie"/>
          <w:rFonts w:ascii="Verdana" w:hAnsi="Verdana"/>
          <w:bCs/>
          <w:iCs/>
          <w:sz w:val="20"/>
          <w:szCs w:val="20"/>
        </w:rPr>
        <w:footnoteReference w:id="118"/>
      </w:r>
      <w:r w:rsidR="00671BF2" w:rsidRPr="006B0525">
        <w:rPr>
          <w:rFonts w:ascii="Verdana" w:hAnsi="Verdana"/>
          <w:bCs/>
          <w:iCs/>
          <w:sz w:val="20"/>
          <w:szCs w:val="20"/>
        </w:rPr>
        <w:t>.</w:t>
      </w:r>
    </w:p>
    <w:p w14:paraId="45D25AE6" w14:textId="77777777" w:rsidR="00671BF2" w:rsidRPr="006B0525" w:rsidRDefault="00671BF2" w:rsidP="00530549">
      <w:pPr>
        <w:pStyle w:val="Normal1"/>
        <w:widowControl/>
        <w:contextualSpacing/>
        <w:jc w:val="both"/>
        <w:rPr>
          <w:rFonts w:ascii="Verdana" w:hAnsi="Verdana"/>
          <w:bCs/>
          <w:iCs/>
          <w:sz w:val="20"/>
          <w:szCs w:val="20"/>
          <w:highlight w:val="yellow"/>
        </w:rPr>
      </w:pPr>
    </w:p>
    <w:p w14:paraId="31F60AF6" w14:textId="77777777" w:rsidR="00443AB4" w:rsidRPr="006B0525" w:rsidRDefault="00671BF2" w:rsidP="00A22E91">
      <w:pPr>
        <w:pStyle w:val="Normal1"/>
        <w:widowControl/>
        <w:numPr>
          <w:ilvl w:val="0"/>
          <w:numId w:val="4"/>
        </w:numPr>
        <w:ind w:left="0" w:firstLine="0"/>
        <w:contextualSpacing/>
        <w:jc w:val="both"/>
        <w:rPr>
          <w:rFonts w:ascii="Verdana" w:hAnsi="Verdana"/>
          <w:bCs/>
          <w:iCs/>
          <w:sz w:val="20"/>
          <w:szCs w:val="20"/>
        </w:rPr>
      </w:pPr>
      <w:r w:rsidRPr="006B0525">
        <w:rPr>
          <w:rFonts w:ascii="Verdana" w:hAnsi="Verdana"/>
          <w:sz w:val="20"/>
          <w:szCs w:val="20"/>
        </w:rPr>
        <w:t xml:space="preserve">Con respecto a la atención sanitaria, </w:t>
      </w:r>
      <w:r w:rsidR="008254BE" w:rsidRPr="006B0525">
        <w:rPr>
          <w:rFonts w:ascii="Verdana" w:hAnsi="Verdana"/>
          <w:sz w:val="20"/>
          <w:szCs w:val="20"/>
          <w:lang w:val="es-ES" w:eastAsia="x-none"/>
        </w:rPr>
        <w:t>consta probado</w:t>
      </w:r>
      <w:r w:rsidRPr="006B0525">
        <w:rPr>
          <w:rFonts w:ascii="Verdana" w:hAnsi="Verdana"/>
          <w:sz w:val="20"/>
          <w:szCs w:val="20"/>
          <w:lang w:val="es-ES" w:eastAsia="x-none"/>
        </w:rPr>
        <w:t xml:space="preserve"> que la misma no sólo era insuficiente, sino que en muchas </w:t>
      </w:r>
      <w:r w:rsidRPr="006B0525">
        <w:rPr>
          <w:rFonts w:ascii="Verdana" w:hAnsi="Verdana"/>
          <w:sz w:val="20"/>
          <w:szCs w:val="20"/>
        </w:rPr>
        <w:t>ocasiones</w:t>
      </w:r>
      <w:r w:rsidRPr="006B0525">
        <w:rPr>
          <w:rFonts w:ascii="Verdana" w:hAnsi="Verdana"/>
          <w:sz w:val="20"/>
          <w:szCs w:val="20"/>
          <w:lang w:val="es-ES" w:eastAsia="x-none"/>
        </w:rPr>
        <w:t xml:space="preserve"> era inexistente. La Corte recuerda </w:t>
      </w:r>
      <w:r w:rsidR="005879F4" w:rsidRPr="006B0525">
        <w:rPr>
          <w:rFonts w:ascii="Verdana" w:hAnsi="Verdana"/>
          <w:sz w:val="20"/>
          <w:szCs w:val="20"/>
          <w:lang w:val="es-ES" w:eastAsia="x-none"/>
        </w:rPr>
        <w:t>que la integridad personal se halla directa e inmediatamente vinculada con la atención a la salud humana</w:t>
      </w:r>
      <w:r w:rsidR="005879F4" w:rsidRPr="006B0525">
        <w:rPr>
          <w:rFonts w:ascii="Verdana" w:hAnsi="Verdana"/>
          <w:sz w:val="20"/>
          <w:szCs w:val="20"/>
          <w:vertAlign w:val="superscript"/>
          <w:lang w:val="es-ES"/>
        </w:rPr>
        <w:footnoteReference w:id="119"/>
      </w:r>
      <w:r w:rsidR="002E5FF5" w:rsidRPr="006B0525">
        <w:rPr>
          <w:rFonts w:ascii="Verdana" w:hAnsi="Verdana"/>
          <w:sz w:val="20"/>
          <w:szCs w:val="20"/>
          <w:lang w:val="es-ES" w:eastAsia="x-none"/>
        </w:rPr>
        <w:t xml:space="preserve">. </w:t>
      </w:r>
      <w:r w:rsidR="002E5FF5" w:rsidRPr="006B0525">
        <w:rPr>
          <w:rFonts w:ascii="Verdana" w:hAnsi="Verdana"/>
          <w:sz w:val="20"/>
          <w:szCs w:val="20"/>
        </w:rPr>
        <w:t>En efecto</w:t>
      </w:r>
      <w:r w:rsidR="002E5FF5" w:rsidRPr="006B0525">
        <w:rPr>
          <w:rFonts w:ascii="Verdana" w:hAnsi="Verdana"/>
          <w:bCs/>
          <w:sz w:val="20"/>
          <w:szCs w:val="20"/>
        </w:rPr>
        <w:t xml:space="preserve">, la Corte </w:t>
      </w:r>
      <w:r w:rsidR="00994215" w:rsidRPr="006B0525">
        <w:rPr>
          <w:rFonts w:ascii="Verdana" w:hAnsi="Verdana"/>
          <w:bCs/>
          <w:sz w:val="20"/>
          <w:szCs w:val="20"/>
        </w:rPr>
        <w:t xml:space="preserve">ha señalado en varias ocasiones que </w:t>
      </w:r>
      <w:r w:rsidR="002E5FF5" w:rsidRPr="006B0525">
        <w:rPr>
          <w:rFonts w:ascii="Verdana" w:hAnsi="Verdana" w:cs="Verdana"/>
          <w:sz w:val="20"/>
          <w:szCs w:val="20"/>
        </w:rPr>
        <w:t xml:space="preserve">el Estado tiene el deber de proporcionar a los detenidos revisión médica regular y atención y tratamiento adecuados cuando así se </w:t>
      </w:r>
      <w:r w:rsidR="002E5FF5" w:rsidRPr="006B0525">
        <w:rPr>
          <w:rFonts w:ascii="Verdana" w:hAnsi="Verdana"/>
          <w:sz w:val="20"/>
          <w:szCs w:val="20"/>
        </w:rPr>
        <w:t>requiera</w:t>
      </w:r>
      <w:r w:rsidR="002E5FF5" w:rsidRPr="006B0525">
        <w:rPr>
          <w:rStyle w:val="Refdenotaalpie"/>
          <w:rFonts w:ascii="Verdana" w:eastAsia="MS Mincho" w:hAnsi="Verdana" w:cs="Verdana"/>
          <w:sz w:val="20"/>
          <w:szCs w:val="20"/>
        </w:rPr>
        <w:footnoteReference w:id="120"/>
      </w:r>
      <w:r w:rsidR="002E5FF5" w:rsidRPr="006B0525">
        <w:rPr>
          <w:rFonts w:ascii="Verdana" w:hAnsi="Verdana" w:cs="Verdana"/>
          <w:sz w:val="20"/>
          <w:szCs w:val="20"/>
        </w:rPr>
        <w:t xml:space="preserve"> y </w:t>
      </w:r>
      <w:r w:rsidR="005879F4" w:rsidRPr="006B0525">
        <w:rPr>
          <w:rFonts w:ascii="Verdana" w:hAnsi="Verdana"/>
          <w:sz w:val="20"/>
          <w:szCs w:val="20"/>
          <w:lang w:val="es-ES" w:eastAsia="x-none"/>
        </w:rPr>
        <w:t xml:space="preserve">que la falta de atención médica adecuada </w:t>
      </w:r>
      <w:r w:rsidR="002E5FF5" w:rsidRPr="006B0525">
        <w:rPr>
          <w:rFonts w:ascii="Verdana" w:hAnsi="Verdana"/>
          <w:sz w:val="20"/>
          <w:szCs w:val="20"/>
        </w:rPr>
        <w:t>a una persona que se encuentra privada de la libertad y bajo custodia del Estado podría considerarse violatoria del artículo 5.1 y 5.2 de la Convención dependiendo de las circunstancias concretas de la persona en particular, tales como su estado de salud o el tipo de dolencia que padece, el lapso transcurrido sin atención, sus efectos físicos y mentales acumulativos y, en algunos casos, el sexo y la edad de la misma, entre otros</w:t>
      </w:r>
      <w:r w:rsidR="002E5FF5" w:rsidRPr="006B0525">
        <w:rPr>
          <w:rFonts w:ascii="Verdana" w:hAnsi="Verdana"/>
          <w:sz w:val="20"/>
          <w:szCs w:val="20"/>
          <w:vertAlign w:val="superscript"/>
        </w:rPr>
        <w:footnoteReference w:id="121"/>
      </w:r>
      <w:r w:rsidR="002E5FF5" w:rsidRPr="006B0525">
        <w:rPr>
          <w:rFonts w:ascii="Verdana" w:hAnsi="Verdana"/>
          <w:sz w:val="20"/>
          <w:szCs w:val="20"/>
        </w:rPr>
        <w:t xml:space="preserve">. </w:t>
      </w:r>
      <w:r w:rsidRPr="006B0525">
        <w:rPr>
          <w:rFonts w:ascii="Verdana" w:hAnsi="Verdana"/>
          <w:sz w:val="20"/>
          <w:szCs w:val="20"/>
          <w:lang w:val="es-ES" w:eastAsia="x-none"/>
        </w:rPr>
        <w:t>En el presente caso, la Corte nota</w:t>
      </w:r>
      <w:r w:rsidRPr="006B0525">
        <w:rPr>
          <w:rFonts w:ascii="Verdana" w:hAnsi="Verdana"/>
          <w:sz w:val="20"/>
          <w:szCs w:val="20"/>
        </w:rPr>
        <w:t xml:space="preserve"> </w:t>
      </w:r>
      <w:r w:rsidR="00E72142" w:rsidRPr="006B0525">
        <w:rPr>
          <w:rFonts w:ascii="Verdana" w:hAnsi="Verdana"/>
          <w:sz w:val="20"/>
          <w:szCs w:val="20"/>
        </w:rPr>
        <w:t xml:space="preserve">que </w:t>
      </w:r>
      <w:r w:rsidRPr="006B0525">
        <w:rPr>
          <w:rFonts w:ascii="Verdana" w:hAnsi="Verdana"/>
          <w:sz w:val="20"/>
          <w:szCs w:val="20"/>
        </w:rPr>
        <w:t>existía una ausencia casi total de artículos médicos y de personal médico capacit</w:t>
      </w:r>
      <w:r w:rsidR="005D4B02" w:rsidRPr="006B0525">
        <w:rPr>
          <w:rFonts w:ascii="Verdana" w:hAnsi="Verdana"/>
          <w:sz w:val="20"/>
          <w:szCs w:val="20"/>
        </w:rPr>
        <w:t>ado para atender a los reclusos</w:t>
      </w:r>
      <w:r w:rsidR="00436F04" w:rsidRPr="006B0525">
        <w:rPr>
          <w:rFonts w:ascii="Verdana" w:hAnsi="Verdana"/>
          <w:sz w:val="20"/>
          <w:szCs w:val="20"/>
        </w:rPr>
        <w:t>, lo cual además aumentaba la incidencia de los problemas de salud físicos y mentales</w:t>
      </w:r>
      <w:r w:rsidR="00436F04" w:rsidRPr="006B0525">
        <w:rPr>
          <w:rStyle w:val="Refdenotaalpie"/>
          <w:rFonts w:ascii="Verdana" w:hAnsi="Verdana"/>
          <w:sz w:val="20"/>
          <w:szCs w:val="20"/>
        </w:rPr>
        <w:footnoteReference w:id="122"/>
      </w:r>
      <w:r w:rsidR="00E72142" w:rsidRPr="006B0525">
        <w:rPr>
          <w:rFonts w:ascii="Verdana" w:hAnsi="Verdana"/>
          <w:sz w:val="20"/>
          <w:szCs w:val="20"/>
        </w:rPr>
        <w:t xml:space="preserve">. </w:t>
      </w:r>
      <w:r w:rsidR="00436F04" w:rsidRPr="006B0525">
        <w:rPr>
          <w:rFonts w:ascii="Verdana" w:hAnsi="Verdana"/>
          <w:sz w:val="20"/>
          <w:szCs w:val="20"/>
        </w:rPr>
        <w:t xml:space="preserve">A ello se une </w:t>
      </w:r>
      <w:r w:rsidR="00AF0882" w:rsidRPr="006B0525">
        <w:rPr>
          <w:rFonts w:ascii="Verdana" w:hAnsi="Verdana"/>
          <w:sz w:val="20"/>
          <w:szCs w:val="20"/>
        </w:rPr>
        <w:t xml:space="preserve">en particular </w:t>
      </w:r>
      <w:r w:rsidR="00436F04" w:rsidRPr="006B0525">
        <w:rPr>
          <w:rFonts w:ascii="Verdana" w:hAnsi="Verdana"/>
          <w:sz w:val="20"/>
          <w:szCs w:val="20"/>
        </w:rPr>
        <w:t xml:space="preserve">la ausencia de atención médica en salud mental, lo cual excluía cualquier posibilidad de alivio a la angustia mental que sufrían los condenados a pena de </w:t>
      </w:r>
      <w:r w:rsidR="00436F04" w:rsidRPr="006B0525">
        <w:rPr>
          <w:rFonts w:ascii="Verdana" w:hAnsi="Verdana"/>
          <w:sz w:val="20"/>
          <w:szCs w:val="20"/>
        </w:rPr>
        <w:lastRenderedPageBreak/>
        <w:t>muerte</w:t>
      </w:r>
      <w:r w:rsidR="00436F04" w:rsidRPr="006B0525">
        <w:rPr>
          <w:rStyle w:val="Refdenotaalpie"/>
          <w:rFonts w:ascii="Verdana" w:hAnsi="Verdana"/>
          <w:sz w:val="20"/>
          <w:szCs w:val="20"/>
        </w:rPr>
        <w:footnoteReference w:id="123"/>
      </w:r>
      <w:r w:rsidR="00436F04" w:rsidRPr="006B0525">
        <w:rPr>
          <w:rFonts w:ascii="Verdana" w:hAnsi="Verdana"/>
          <w:sz w:val="20"/>
          <w:szCs w:val="20"/>
        </w:rPr>
        <w:t xml:space="preserve">. </w:t>
      </w:r>
      <w:r w:rsidR="00EA102E" w:rsidRPr="006B0525">
        <w:rPr>
          <w:rFonts w:ascii="Verdana" w:hAnsi="Verdana"/>
          <w:sz w:val="20"/>
          <w:szCs w:val="20"/>
        </w:rPr>
        <w:t>También u</w:t>
      </w:r>
      <w:r w:rsidR="00443AB4" w:rsidRPr="006B0525">
        <w:rPr>
          <w:rFonts w:ascii="Verdana" w:hAnsi="Verdana"/>
          <w:sz w:val="20"/>
          <w:szCs w:val="20"/>
        </w:rPr>
        <w:t>nido a lo anterior, con respecto a la alimentación, la Corte observa que no existía una dieta adecuada a las condiciones médicas de los reclusos que padecían de diabetes</w:t>
      </w:r>
      <w:r w:rsidR="00FE0425" w:rsidRPr="006B0525">
        <w:rPr>
          <w:rFonts w:ascii="Verdana" w:hAnsi="Verdana"/>
          <w:sz w:val="20"/>
          <w:szCs w:val="20"/>
        </w:rPr>
        <w:t>, eran hipertensos o padecían de úlcera</w:t>
      </w:r>
      <w:r w:rsidR="00443AB4" w:rsidRPr="006B0525">
        <w:rPr>
          <w:rFonts w:ascii="Verdana" w:hAnsi="Verdana"/>
          <w:sz w:val="20"/>
          <w:szCs w:val="20"/>
        </w:rPr>
        <w:t xml:space="preserve"> (</w:t>
      </w:r>
      <w:r w:rsidR="00443AB4" w:rsidRPr="006B0525">
        <w:rPr>
          <w:rFonts w:ascii="Verdana" w:hAnsi="Verdana"/>
          <w:i/>
          <w:sz w:val="20"/>
          <w:szCs w:val="20"/>
        </w:rPr>
        <w:t>supra</w:t>
      </w:r>
      <w:r w:rsidR="00443AB4" w:rsidRPr="006B0525">
        <w:rPr>
          <w:rFonts w:ascii="Verdana" w:hAnsi="Verdana"/>
          <w:sz w:val="20"/>
          <w:szCs w:val="20"/>
        </w:rPr>
        <w:t xml:space="preserve"> párr. </w:t>
      </w:r>
      <w:r w:rsidR="006146E8">
        <w:rPr>
          <w:rFonts w:ascii="Verdana" w:hAnsi="Verdana"/>
          <w:sz w:val="20"/>
          <w:szCs w:val="20"/>
        </w:rPr>
        <w:t>85</w:t>
      </w:r>
      <w:r w:rsidR="00443AB4" w:rsidRPr="006B0525">
        <w:rPr>
          <w:rFonts w:ascii="Verdana" w:hAnsi="Verdana"/>
          <w:sz w:val="20"/>
          <w:szCs w:val="20"/>
        </w:rPr>
        <w:t>), lo cual además</w:t>
      </w:r>
      <w:r w:rsidR="00FE0425" w:rsidRPr="006B0525">
        <w:rPr>
          <w:rFonts w:ascii="Verdana" w:hAnsi="Verdana"/>
          <w:sz w:val="20"/>
          <w:szCs w:val="20"/>
        </w:rPr>
        <w:t xml:space="preserve"> empeoraba los efectos de sus enfermedades</w:t>
      </w:r>
      <w:r w:rsidR="00443AB4" w:rsidRPr="006B0525">
        <w:rPr>
          <w:rStyle w:val="Refdenotaalpie"/>
          <w:rFonts w:ascii="Verdana" w:hAnsi="Verdana" w:cs="Arial"/>
          <w:spacing w:val="-1"/>
          <w:sz w:val="20"/>
          <w:szCs w:val="20"/>
        </w:rPr>
        <w:footnoteReference w:id="124"/>
      </w:r>
      <w:r w:rsidR="00FE0425" w:rsidRPr="006B0525">
        <w:rPr>
          <w:rFonts w:ascii="Verdana" w:hAnsi="Verdana" w:cs="Arial"/>
          <w:sz w:val="20"/>
          <w:szCs w:val="20"/>
        </w:rPr>
        <w:t>.</w:t>
      </w:r>
    </w:p>
    <w:p w14:paraId="470F5E4D" w14:textId="77777777" w:rsidR="00436F04" w:rsidRPr="006B0525" w:rsidRDefault="00436F04" w:rsidP="00530549">
      <w:pPr>
        <w:pStyle w:val="Normal1"/>
        <w:widowControl/>
        <w:contextualSpacing/>
        <w:jc w:val="both"/>
        <w:rPr>
          <w:rFonts w:ascii="Verdana" w:hAnsi="Verdana"/>
          <w:bCs/>
          <w:iCs/>
          <w:sz w:val="20"/>
          <w:szCs w:val="20"/>
        </w:rPr>
      </w:pPr>
    </w:p>
    <w:p w14:paraId="33A18F22" w14:textId="77777777" w:rsidR="00671BF2" w:rsidRPr="006B0525" w:rsidRDefault="00671BF2" w:rsidP="00443AB4">
      <w:pPr>
        <w:pStyle w:val="Normal1"/>
        <w:widowControl/>
        <w:numPr>
          <w:ilvl w:val="0"/>
          <w:numId w:val="4"/>
        </w:numPr>
        <w:ind w:left="0" w:firstLine="0"/>
        <w:contextualSpacing/>
        <w:jc w:val="both"/>
        <w:rPr>
          <w:rFonts w:ascii="Verdana" w:hAnsi="Verdana"/>
          <w:bCs/>
          <w:iCs/>
          <w:sz w:val="20"/>
          <w:szCs w:val="20"/>
        </w:rPr>
      </w:pPr>
      <w:r w:rsidRPr="006B0525">
        <w:rPr>
          <w:rFonts w:ascii="Verdana" w:hAnsi="Verdana"/>
          <w:sz w:val="20"/>
          <w:szCs w:val="20"/>
        </w:rPr>
        <w:t xml:space="preserve">En lo que respecta al régimen de visitas, </w:t>
      </w:r>
      <w:r w:rsidR="00443AB4" w:rsidRPr="006B0525">
        <w:rPr>
          <w:rFonts w:ascii="Verdana" w:hAnsi="Verdana"/>
          <w:sz w:val="20"/>
          <w:szCs w:val="20"/>
        </w:rPr>
        <w:t>la Corte recuerda que las visitas deben ser garantizada</w:t>
      </w:r>
      <w:r w:rsidR="00CE4855">
        <w:rPr>
          <w:rFonts w:ascii="Verdana" w:hAnsi="Verdana"/>
          <w:sz w:val="20"/>
          <w:szCs w:val="20"/>
        </w:rPr>
        <w:t>s en los centros penitenciarios</w:t>
      </w:r>
      <w:r w:rsidR="00443AB4" w:rsidRPr="006B0525">
        <w:rPr>
          <w:rFonts w:ascii="Verdana" w:hAnsi="Verdana"/>
          <w:sz w:val="20"/>
          <w:szCs w:val="20"/>
        </w:rPr>
        <w:t xml:space="preserve"> </w:t>
      </w:r>
      <w:r w:rsidR="00CE4855">
        <w:rPr>
          <w:rFonts w:ascii="Verdana" w:hAnsi="Verdana"/>
          <w:sz w:val="20"/>
          <w:szCs w:val="20"/>
        </w:rPr>
        <w:t xml:space="preserve">y </w:t>
      </w:r>
      <w:r w:rsidR="00443AB4" w:rsidRPr="006B0525">
        <w:rPr>
          <w:rFonts w:ascii="Verdana" w:hAnsi="Verdana"/>
          <w:sz w:val="20"/>
          <w:szCs w:val="20"/>
        </w:rPr>
        <w:t>que la reclusión bajo un régimen de visitas restringido puede ser contraria a la integridad personal en determinadas circunstancias</w:t>
      </w:r>
      <w:r w:rsidR="00443AB4" w:rsidRPr="006B0525">
        <w:rPr>
          <w:rStyle w:val="Refdenotaalpie"/>
          <w:rFonts w:ascii="Verdana" w:hAnsi="Verdana"/>
          <w:sz w:val="20"/>
          <w:szCs w:val="20"/>
        </w:rPr>
        <w:footnoteReference w:id="125"/>
      </w:r>
      <w:r w:rsidR="00443AB4" w:rsidRPr="006B0525">
        <w:rPr>
          <w:rFonts w:ascii="Verdana" w:hAnsi="Verdana"/>
          <w:sz w:val="20"/>
          <w:szCs w:val="20"/>
        </w:rPr>
        <w:t>. En el presente caso</w:t>
      </w:r>
      <w:r w:rsidR="00CE4855">
        <w:rPr>
          <w:rFonts w:ascii="Verdana" w:hAnsi="Verdana"/>
          <w:sz w:val="20"/>
          <w:szCs w:val="20"/>
        </w:rPr>
        <w:t>,</w:t>
      </w:r>
      <w:r w:rsidR="00443AB4" w:rsidRPr="006B0525">
        <w:rPr>
          <w:rFonts w:ascii="Verdana" w:hAnsi="Verdana"/>
          <w:sz w:val="20"/>
          <w:szCs w:val="20"/>
        </w:rPr>
        <w:t xml:space="preserve"> </w:t>
      </w:r>
      <w:r w:rsidRPr="006B0525">
        <w:rPr>
          <w:rFonts w:ascii="Verdana" w:hAnsi="Verdana"/>
          <w:sz w:val="20"/>
          <w:szCs w:val="20"/>
        </w:rPr>
        <w:t xml:space="preserve">la Corte nota que </w:t>
      </w:r>
      <w:r w:rsidR="00443AB4" w:rsidRPr="006B0525">
        <w:rPr>
          <w:rFonts w:ascii="Verdana" w:hAnsi="Verdana"/>
          <w:sz w:val="20"/>
          <w:szCs w:val="20"/>
        </w:rPr>
        <w:t>el régimen de visitas</w:t>
      </w:r>
      <w:r w:rsidRPr="006B0525">
        <w:rPr>
          <w:rFonts w:ascii="Verdana" w:hAnsi="Verdana"/>
          <w:sz w:val="20"/>
          <w:szCs w:val="20"/>
        </w:rPr>
        <w:t xml:space="preserve"> era muy restringido, toda vez que éstas</w:t>
      </w:r>
      <w:r w:rsidR="00436F04" w:rsidRPr="006B0525">
        <w:rPr>
          <w:rFonts w:ascii="Verdana" w:hAnsi="Verdana"/>
          <w:sz w:val="20"/>
          <w:szCs w:val="20"/>
        </w:rPr>
        <w:t xml:space="preserve"> en su mayoría</w:t>
      </w:r>
      <w:r w:rsidRPr="006B0525">
        <w:rPr>
          <w:rFonts w:ascii="Verdana" w:hAnsi="Verdana"/>
          <w:sz w:val="20"/>
          <w:szCs w:val="20"/>
        </w:rPr>
        <w:t xml:space="preserve"> se realizaban sin contacto físico</w:t>
      </w:r>
      <w:r w:rsidRPr="006B0525">
        <w:rPr>
          <w:rStyle w:val="Refdenotaalpie"/>
          <w:rFonts w:ascii="Verdana" w:hAnsi="Verdana"/>
          <w:sz w:val="20"/>
          <w:szCs w:val="20"/>
        </w:rPr>
        <w:footnoteReference w:id="126"/>
      </w:r>
      <w:r w:rsidRPr="006B0525">
        <w:rPr>
          <w:rFonts w:ascii="Verdana" w:hAnsi="Verdana"/>
          <w:sz w:val="20"/>
          <w:szCs w:val="20"/>
        </w:rPr>
        <w:t>, y los internos se encontraban esposados de una muñeca a un tubo mientras la familia se encontraba al otro lado, donde solo podían tocarse los dedos a través de los barrotes</w:t>
      </w:r>
      <w:r w:rsidRPr="006B0525">
        <w:rPr>
          <w:rStyle w:val="Refdenotaalpie"/>
          <w:rFonts w:ascii="Verdana" w:hAnsi="Verdana"/>
          <w:sz w:val="20"/>
          <w:szCs w:val="20"/>
        </w:rPr>
        <w:footnoteReference w:id="127"/>
      </w:r>
      <w:r w:rsidRPr="006B0525">
        <w:rPr>
          <w:rFonts w:ascii="Verdana" w:hAnsi="Verdana"/>
          <w:sz w:val="20"/>
          <w:szCs w:val="20"/>
        </w:rPr>
        <w:t xml:space="preserve">. </w:t>
      </w:r>
      <w:r w:rsidR="00AF0882" w:rsidRPr="006B0525">
        <w:rPr>
          <w:rFonts w:ascii="Verdana" w:hAnsi="Verdana"/>
          <w:sz w:val="20"/>
          <w:szCs w:val="20"/>
        </w:rPr>
        <w:t>A lo anterior se unen lo alegado por el señor Rodríguez Revolorio en la audiencia pública celebrada ante esta Corte, donde declaró que estuvieron durante aproximadamente dos meses y medio sin visita</w:t>
      </w:r>
      <w:r w:rsidR="00AF0882" w:rsidRPr="006B0525">
        <w:rPr>
          <w:rStyle w:val="Refdenotaalpie"/>
          <w:rFonts w:ascii="Verdana" w:hAnsi="Verdana"/>
          <w:sz w:val="20"/>
          <w:szCs w:val="20"/>
        </w:rPr>
        <w:footnoteReference w:id="128"/>
      </w:r>
      <w:r w:rsidR="00FF057C" w:rsidRPr="006B0525">
        <w:rPr>
          <w:rFonts w:ascii="Verdana" w:hAnsi="Verdana"/>
          <w:sz w:val="20"/>
          <w:szCs w:val="20"/>
        </w:rPr>
        <w:t>, así como la declaración de la señora Morataya de Archila, viuda del señor Archila Pérez</w:t>
      </w:r>
      <w:r w:rsidR="00C1468F" w:rsidRPr="006B0525">
        <w:rPr>
          <w:rFonts w:ascii="Verdana" w:hAnsi="Verdana"/>
          <w:sz w:val="20"/>
          <w:szCs w:val="20"/>
        </w:rPr>
        <w:t>,</w:t>
      </w:r>
      <w:r w:rsidR="00FF057C" w:rsidRPr="006B0525">
        <w:rPr>
          <w:rFonts w:ascii="Verdana" w:hAnsi="Verdana"/>
          <w:sz w:val="20"/>
          <w:szCs w:val="20"/>
        </w:rPr>
        <w:t xml:space="preserve"> quién manifestó que nunca le dejaron ver a su entonces marido durante el período que permaneció recluido en la cárcel de “El Infiernito”</w:t>
      </w:r>
      <w:r w:rsidR="00FF057C" w:rsidRPr="006B0525">
        <w:rPr>
          <w:rStyle w:val="Refdenotaalpie"/>
          <w:rFonts w:ascii="Verdana" w:hAnsi="Verdana"/>
          <w:sz w:val="20"/>
          <w:szCs w:val="20"/>
        </w:rPr>
        <w:footnoteReference w:id="129"/>
      </w:r>
      <w:r w:rsidR="00FF057C" w:rsidRPr="006B0525">
        <w:rPr>
          <w:rFonts w:ascii="Verdana" w:hAnsi="Verdana"/>
          <w:sz w:val="20"/>
          <w:szCs w:val="20"/>
        </w:rPr>
        <w:t>.</w:t>
      </w:r>
      <w:r w:rsidR="00443AB4" w:rsidRPr="006B0525">
        <w:rPr>
          <w:rFonts w:ascii="Verdana" w:hAnsi="Verdana"/>
          <w:sz w:val="20"/>
          <w:szCs w:val="20"/>
        </w:rPr>
        <w:t xml:space="preserve"> </w:t>
      </w:r>
    </w:p>
    <w:p w14:paraId="57FCD90D" w14:textId="77777777" w:rsidR="00E52193" w:rsidRPr="006B0525" w:rsidRDefault="00E52193" w:rsidP="00530549">
      <w:pPr>
        <w:pStyle w:val="Normal1"/>
        <w:widowControl/>
        <w:contextualSpacing/>
        <w:jc w:val="both"/>
        <w:rPr>
          <w:rFonts w:ascii="Verdana" w:hAnsi="Verdana"/>
          <w:bCs/>
          <w:iCs/>
          <w:sz w:val="20"/>
          <w:szCs w:val="20"/>
        </w:rPr>
      </w:pPr>
    </w:p>
    <w:p w14:paraId="1A1FAF6D" w14:textId="77777777" w:rsidR="00D81826" w:rsidRPr="00DD4BA6" w:rsidRDefault="00CE4855" w:rsidP="00530549">
      <w:pPr>
        <w:pStyle w:val="Normal1"/>
        <w:widowControl/>
        <w:numPr>
          <w:ilvl w:val="0"/>
          <w:numId w:val="4"/>
        </w:numPr>
        <w:ind w:left="0" w:firstLine="0"/>
        <w:contextualSpacing/>
        <w:jc w:val="both"/>
        <w:rPr>
          <w:rFonts w:ascii="Verdana" w:hAnsi="Verdana"/>
          <w:sz w:val="20"/>
          <w:szCs w:val="20"/>
        </w:rPr>
      </w:pPr>
      <w:r>
        <w:rPr>
          <w:rFonts w:ascii="Verdana" w:hAnsi="Verdana"/>
          <w:sz w:val="20"/>
          <w:szCs w:val="20"/>
        </w:rPr>
        <w:t>A la vista de todo lo anterior</w:t>
      </w:r>
      <w:r w:rsidR="00E56B37" w:rsidRPr="006B0525">
        <w:rPr>
          <w:rFonts w:ascii="Verdana" w:hAnsi="Verdana"/>
          <w:sz w:val="20"/>
          <w:szCs w:val="20"/>
        </w:rPr>
        <w:t xml:space="preserve">, </w:t>
      </w:r>
      <w:r w:rsidR="0019200D" w:rsidRPr="006B0525">
        <w:rPr>
          <w:rFonts w:ascii="Verdana" w:hAnsi="Verdana"/>
          <w:sz w:val="20"/>
          <w:szCs w:val="20"/>
        </w:rPr>
        <w:t xml:space="preserve">la Corte concluye que </w:t>
      </w:r>
      <w:r w:rsidR="00E52193" w:rsidRPr="006B0525">
        <w:rPr>
          <w:rFonts w:ascii="Verdana" w:hAnsi="Verdana"/>
          <w:sz w:val="20"/>
          <w:szCs w:val="20"/>
        </w:rPr>
        <w:t>las condiciones carcelarias en las que fueron recluidos los señores</w:t>
      </w:r>
      <w:r w:rsidR="00E52193" w:rsidRPr="006B0525">
        <w:rPr>
          <w:rFonts w:ascii="Verdana" w:hAnsi="Verdana"/>
          <w:bCs/>
          <w:iCs/>
          <w:sz w:val="20"/>
          <w:szCs w:val="20"/>
        </w:rPr>
        <w:t xml:space="preserve"> </w:t>
      </w:r>
      <w:r w:rsidR="00E52193" w:rsidRPr="006B0525">
        <w:rPr>
          <w:rFonts w:ascii="Verdana" w:hAnsi="Verdana"/>
          <w:sz w:val="20"/>
          <w:szCs w:val="20"/>
        </w:rPr>
        <w:t xml:space="preserve">Rodríguez Revolorio, López Calo y Archila Pérez no </w:t>
      </w:r>
      <w:r w:rsidR="00F83A85" w:rsidRPr="006B0525">
        <w:rPr>
          <w:rFonts w:ascii="Verdana" w:hAnsi="Verdana"/>
          <w:sz w:val="20"/>
          <w:szCs w:val="20"/>
        </w:rPr>
        <w:t xml:space="preserve">cumplieron los requisitos materiales </w:t>
      </w:r>
      <w:r w:rsidR="00FE2E00" w:rsidRPr="006B0525">
        <w:rPr>
          <w:rFonts w:ascii="Verdana" w:hAnsi="Verdana"/>
          <w:sz w:val="20"/>
          <w:szCs w:val="20"/>
        </w:rPr>
        <w:t>mínimos de un tratamiento digno</w:t>
      </w:r>
      <w:r w:rsidR="00E856E5" w:rsidRPr="006B0525">
        <w:rPr>
          <w:rStyle w:val="Refdenotaalpie"/>
          <w:rFonts w:ascii="Verdana" w:hAnsi="Verdana"/>
          <w:sz w:val="20"/>
          <w:szCs w:val="20"/>
        </w:rPr>
        <w:footnoteReference w:id="130"/>
      </w:r>
      <w:r w:rsidR="00E856E5" w:rsidRPr="006B0525">
        <w:rPr>
          <w:rFonts w:ascii="Verdana" w:hAnsi="Verdana"/>
          <w:sz w:val="20"/>
          <w:szCs w:val="20"/>
        </w:rPr>
        <w:t xml:space="preserve"> y</w:t>
      </w:r>
      <w:r w:rsidR="00FE2E00" w:rsidRPr="006B0525">
        <w:rPr>
          <w:rFonts w:ascii="Verdana" w:hAnsi="Verdana"/>
          <w:sz w:val="20"/>
          <w:szCs w:val="20"/>
        </w:rPr>
        <w:t xml:space="preserve"> </w:t>
      </w:r>
      <w:r w:rsidR="00F83A85" w:rsidRPr="006B0525">
        <w:rPr>
          <w:rFonts w:ascii="Verdana" w:hAnsi="Verdana"/>
          <w:sz w:val="20"/>
          <w:szCs w:val="20"/>
        </w:rPr>
        <w:t>con</w:t>
      </w:r>
      <w:r w:rsidR="008244E9" w:rsidRPr="006B0525">
        <w:rPr>
          <w:rFonts w:ascii="Verdana" w:hAnsi="Verdana"/>
          <w:sz w:val="20"/>
          <w:szCs w:val="20"/>
        </w:rPr>
        <w:t>stituyeron en su conjunto un trato cruel,</w:t>
      </w:r>
      <w:r w:rsidR="009A078E" w:rsidRPr="006B0525">
        <w:rPr>
          <w:rFonts w:ascii="Verdana" w:hAnsi="Verdana"/>
          <w:sz w:val="20"/>
          <w:szCs w:val="20"/>
        </w:rPr>
        <w:t xml:space="preserve"> </w:t>
      </w:r>
      <w:r w:rsidR="008244E9" w:rsidRPr="006B0525">
        <w:rPr>
          <w:rFonts w:ascii="Verdana" w:hAnsi="Verdana"/>
          <w:sz w:val="20"/>
          <w:szCs w:val="20"/>
        </w:rPr>
        <w:t>inhumano</w:t>
      </w:r>
      <w:r w:rsidR="00F83A85" w:rsidRPr="006B0525">
        <w:rPr>
          <w:rFonts w:ascii="Verdana" w:hAnsi="Verdana"/>
          <w:sz w:val="20"/>
          <w:szCs w:val="20"/>
        </w:rPr>
        <w:t xml:space="preserve"> y degradante violatorio de lo dispuesto en el artículo 5.1 y 5.2 de la Convención Americana, en relación </w:t>
      </w:r>
      <w:r w:rsidR="008254BE" w:rsidRPr="006B0525">
        <w:rPr>
          <w:rFonts w:ascii="Verdana" w:hAnsi="Verdana"/>
          <w:sz w:val="20"/>
          <w:szCs w:val="20"/>
        </w:rPr>
        <w:t>con el artículo 1.1 de la misma</w:t>
      </w:r>
      <w:r w:rsidR="00B6245B" w:rsidRPr="006B0525">
        <w:rPr>
          <w:rFonts w:ascii="Verdana" w:hAnsi="Verdana"/>
          <w:sz w:val="20"/>
          <w:szCs w:val="20"/>
        </w:rPr>
        <w:t>, así como del artículo 6 de la CIPST</w:t>
      </w:r>
      <w:r w:rsidR="007901B2" w:rsidRPr="006B0525">
        <w:rPr>
          <w:rFonts w:ascii="Verdana" w:hAnsi="Verdana"/>
          <w:sz w:val="20"/>
          <w:szCs w:val="20"/>
        </w:rPr>
        <w:t>.</w:t>
      </w:r>
      <w:r w:rsidR="00E56B37" w:rsidRPr="006B0525">
        <w:rPr>
          <w:rFonts w:ascii="Verdana" w:hAnsi="Verdana"/>
          <w:sz w:val="20"/>
          <w:szCs w:val="20"/>
        </w:rPr>
        <w:t xml:space="preserve"> </w:t>
      </w:r>
    </w:p>
    <w:p w14:paraId="4C99AB0F" w14:textId="77777777" w:rsidR="00DD4BA6" w:rsidRDefault="00DD4BA6" w:rsidP="00DD4BA6">
      <w:pPr>
        <w:pStyle w:val="Normal1"/>
        <w:widowControl/>
        <w:contextualSpacing/>
        <w:jc w:val="both"/>
        <w:rPr>
          <w:rFonts w:ascii="Verdana" w:hAnsi="Verdana"/>
          <w:strike/>
          <w:sz w:val="20"/>
          <w:szCs w:val="20"/>
        </w:rPr>
      </w:pPr>
    </w:p>
    <w:p w14:paraId="3E443CB6" w14:textId="77777777" w:rsidR="00DD4BA6" w:rsidRPr="00DC2B71" w:rsidRDefault="00DD4BA6" w:rsidP="00DD4BA6">
      <w:pPr>
        <w:pStyle w:val="Ttulo3"/>
        <w:rPr>
          <w:bCs w:val="0"/>
        </w:rPr>
      </w:pPr>
      <w:r w:rsidRPr="00DC2B71">
        <w:rPr>
          <w:bCs w:val="0"/>
        </w:rPr>
        <w:lastRenderedPageBreak/>
        <w:tab/>
      </w:r>
      <w:bookmarkStart w:id="59" w:name="_Toc26177813"/>
      <w:r w:rsidRPr="00DC2B71">
        <w:rPr>
          <w:bCs w:val="0"/>
        </w:rPr>
        <w:t>b.2 Corredor de la muerte</w:t>
      </w:r>
      <w:bookmarkEnd w:id="59"/>
    </w:p>
    <w:p w14:paraId="5AD9D8EC" w14:textId="77777777" w:rsidR="00DD4BA6" w:rsidRPr="00DD4BA6" w:rsidRDefault="00DD4BA6" w:rsidP="00DD4BA6">
      <w:pPr>
        <w:pStyle w:val="Normal1"/>
        <w:widowControl/>
        <w:numPr>
          <w:ilvl w:val="0"/>
          <w:numId w:val="4"/>
        </w:numPr>
        <w:ind w:left="0" w:firstLine="0"/>
        <w:contextualSpacing/>
        <w:jc w:val="both"/>
        <w:rPr>
          <w:rFonts w:ascii="Verdana" w:eastAsia="Calibri" w:hAnsi="Verdana"/>
          <w:b/>
          <w:kern w:val="2"/>
          <w:sz w:val="20"/>
          <w:szCs w:val="20"/>
        </w:rPr>
      </w:pPr>
      <w:r w:rsidRPr="00DD4BA6">
        <w:rPr>
          <w:rFonts w:ascii="Verdana" w:hAnsi="Verdana"/>
          <w:sz w:val="20"/>
          <w:szCs w:val="20"/>
        </w:rPr>
        <w:t xml:space="preserve">A </w:t>
      </w:r>
      <w:proofErr w:type="gramStart"/>
      <w:r w:rsidRPr="00DD4BA6">
        <w:rPr>
          <w:rFonts w:ascii="Verdana" w:hAnsi="Verdana"/>
          <w:sz w:val="20"/>
          <w:szCs w:val="20"/>
        </w:rPr>
        <w:t>continuación</w:t>
      </w:r>
      <w:proofErr w:type="gramEnd"/>
      <w:r w:rsidRPr="00DD4BA6">
        <w:rPr>
          <w:rFonts w:ascii="Verdana" w:hAnsi="Verdana"/>
          <w:sz w:val="20"/>
          <w:szCs w:val="20"/>
        </w:rPr>
        <w:t xml:space="preserve"> corresponde a la Corte determinar </w:t>
      </w:r>
      <w:r w:rsidR="00221D3E">
        <w:rPr>
          <w:rFonts w:ascii="Verdana" w:hAnsi="Verdana"/>
          <w:sz w:val="20"/>
          <w:szCs w:val="20"/>
        </w:rPr>
        <w:t>el sometimiento</w:t>
      </w:r>
      <w:r>
        <w:rPr>
          <w:rFonts w:ascii="Verdana" w:hAnsi="Verdana"/>
          <w:sz w:val="20"/>
          <w:szCs w:val="20"/>
        </w:rPr>
        <w:t xml:space="preserve"> de los señores Rodríguez Revolorio, López Calo y Archila Pérez</w:t>
      </w:r>
      <w:r w:rsidR="00221D3E">
        <w:rPr>
          <w:rFonts w:ascii="Verdana" w:hAnsi="Verdana"/>
          <w:sz w:val="20"/>
          <w:szCs w:val="20"/>
        </w:rPr>
        <w:t xml:space="preserve"> al corredor de la muerte constituyó, </w:t>
      </w:r>
      <w:r w:rsidRPr="00DD4BA6">
        <w:rPr>
          <w:rFonts w:ascii="Verdana" w:hAnsi="Verdana"/>
          <w:sz w:val="20"/>
          <w:szCs w:val="20"/>
        </w:rPr>
        <w:t>en este caso en concreto, un trato cruel, inhumano y degradante a la luz del artículo 5.1 y 5.2 de la Convención.</w:t>
      </w:r>
    </w:p>
    <w:p w14:paraId="7263C886" w14:textId="77777777" w:rsidR="00DD4BA6" w:rsidRPr="00DD4BA6" w:rsidRDefault="00DD4BA6" w:rsidP="00DD4BA6">
      <w:pPr>
        <w:widowControl/>
        <w:tabs>
          <w:tab w:val="left" w:pos="567"/>
        </w:tabs>
        <w:adjustRightInd/>
        <w:spacing w:line="240" w:lineRule="auto"/>
        <w:textAlignment w:val="auto"/>
        <w:rPr>
          <w:rFonts w:eastAsia="Calibri"/>
          <w:b/>
          <w:kern w:val="2"/>
          <w:lang w:eastAsia="en-US"/>
        </w:rPr>
      </w:pPr>
    </w:p>
    <w:p w14:paraId="7910A101" w14:textId="77777777" w:rsidR="00DD4BA6" w:rsidRPr="00221D3E" w:rsidRDefault="00DD4BA6" w:rsidP="00221D3E">
      <w:pPr>
        <w:pStyle w:val="Normal1"/>
        <w:widowControl/>
        <w:numPr>
          <w:ilvl w:val="0"/>
          <w:numId w:val="4"/>
        </w:numPr>
        <w:ind w:left="0" w:firstLine="0"/>
        <w:contextualSpacing/>
        <w:jc w:val="both"/>
        <w:rPr>
          <w:rFonts w:ascii="Verdana" w:hAnsi="Verdana" w:cs="AmnestyTradeGothic"/>
          <w:b/>
          <w:sz w:val="20"/>
          <w:szCs w:val="20"/>
        </w:rPr>
      </w:pPr>
      <w:r w:rsidRPr="00DD4BA6">
        <w:rPr>
          <w:rFonts w:ascii="Verdana" w:hAnsi="Verdana"/>
          <w:kern w:val="2"/>
          <w:sz w:val="20"/>
          <w:szCs w:val="20"/>
        </w:rPr>
        <w:t xml:space="preserve">Esta Corte ha tenido oportunidad de pronunciarse al respecto del llamado “fenómeno del corredor de la muerte” </w:t>
      </w:r>
      <w:r w:rsidRPr="00DD4BA6">
        <w:rPr>
          <w:rStyle w:val="Textoennegrita"/>
          <w:rFonts w:ascii="Verdana" w:hAnsi="Verdana"/>
          <w:b w:val="0"/>
          <w:sz w:val="20"/>
          <w:szCs w:val="20"/>
        </w:rPr>
        <w:t>en el caso</w:t>
      </w:r>
      <w:r w:rsidRPr="00DD4BA6">
        <w:rPr>
          <w:rStyle w:val="Textoennegrita"/>
          <w:rFonts w:ascii="Verdana" w:hAnsi="Verdana"/>
          <w:b w:val="0"/>
          <w:i/>
          <w:sz w:val="20"/>
          <w:szCs w:val="20"/>
        </w:rPr>
        <w:t xml:space="preserve"> Hilaire, </w:t>
      </w:r>
      <w:proofErr w:type="spellStart"/>
      <w:r w:rsidRPr="00DD4BA6">
        <w:rPr>
          <w:rStyle w:val="Textoennegrita"/>
          <w:rFonts w:ascii="Verdana" w:hAnsi="Verdana"/>
          <w:b w:val="0"/>
          <w:i/>
          <w:sz w:val="20"/>
          <w:szCs w:val="20"/>
        </w:rPr>
        <w:t>Constantine</w:t>
      </w:r>
      <w:proofErr w:type="spellEnd"/>
      <w:r w:rsidRPr="00DD4BA6">
        <w:rPr>
          <w:rStyle w:val="Textoennegrita"/>
          <w:rFonts w:ascii="Verdana" w:hAnsi="Verdana"/>
          <w:b w:val="0"/>
          <w:i/>
          <w:sz w:val="20"/>
          <w:szCs w:val="20"/>
        </w:rPr>
        <w:t xml:space="preserve"> y </w:t>
      </w:r>
      <w:proofErr w:type="spellStart"/>
      <w:r w:rsidRPr="00DD4BA6">
        <w:rPr>
          <w:rStyle w:val="Textoennegrita"/>
          <w:rFonts w:ascii="Verdana" w:hAnsi="Verdana"/>
          <w:b w:val="0"/>
          <w:i/>
          <w:sz w:val="20"/>
          <w:szCs w:val="20"/>
        </w:rPr>
        <w:t>Benjamin</w:t>
      </w:r>
      <w:proofErr w:type="spellEnd"/>
      <w:r w:rsidRPr="00DD4BA6">
        <w:rPr>
          <w:rStyle w:val="Textoennegrita"/>
          <w:rFonts w:ascii="Verdana" w:hAnsi="Verdana"/>
          <w:b w:val="0"/>
          <w:i/>
          <w:sz w:val="20"/>
          <w:szCs w:val="20"/>
        </w:rPr>
        <w:t xml:space="preserve"> y otros Vs. Trinidad y Tobago</w:t>
      </w:r>
      <w:r w:rsidRPr="00DD4BA6">
        <w:rPr>
          <w:rStyle w:val="Refdenotaalpie"/>
          <w:rFonts w:ascii="Verdana" w:hAnsi="Verdana"/>
          <w:bCs/>
          <w:sz w:val="20"/>
          <w:szCs w:val="20"/>
        </w:rPr>
        <w:footnoteReference w:id="131"/>
      </w:r>
      <w:r w:rsidRPr="00DD4BA6">
        <w:rPr>
          <w:rFonts w:ascii="Verdana" w:hAnsi="Verdana"/>
          <w:kern w:val="2"/>
          <w:sz w:val="20"/>
          <w:szCs w:val="20"/>
        </w:rPr>
        <w:t xml:space="preserve"> y en el caso</w:t>
      </w:r>
      <w:r w:rsidRPr="00DD4BA6">
        <w:rPr>
          <w:rFonts w:ascii="Verdana" w:hAnsi="Verdana"/>
          <w:b/>
          <w:kern w:val="2"/>
          <w:sz w:val="20"/>
          <w:szCs w:val="20"/>
        </w:rPr>
        <w:t xml:space="preserve"> </w:t>
      </w:r>
      <w:proofErr w:type="spellStart"/>
      <w:r w:rsidRPr="00DD4BA6">
        <w:rPr>
          <w:rStyle w:val="Textoennegrita"/>
          <w:rFonts w:ascii="Verdana" w:hAnsi="Verdana"/>
          <w:b w:val="0"/>
          <w:i/>
          <w:sz w:val="20"/>
          <w:szCs w:val="20"/>
        </w:rPr>
        <w:t>Raxcacó</w:t>
      </w:r>
      <w:proofErr w:type="spellEnd"/>
      <w:r w:rsidRPr="00DD4BA6">
        <w:rPr>
          <w:rStyle w:val="Textoennegrita"/>
          <w:rFonts w:ascii="Verdana" w:hAnsi="Verdana"/>
          <w:b w:val="0"/>
          <w:i/>
          <w:sz w:val="20"/>
          <w:szCs w:val="20"/>
        </w:rPr>
        <w:t xml:space="preserve"> Reyes Vs. Guatemala</w:t>
      </w:r>
      <w:r w:rsidRPr="00DD4BA6">
        <w:rPr>
          <w:rStyle w:val="Textoennegrita"/>
          <w:rFonts w:ascii="Verdana" w:hAnsi="Verdana"/>
          <w:b w:val="0"/>
          <w:sz w:val="20"/>
          <w:szCs w:val="20"/>
        </w:rPr>
        <w:t xml:space="preserve">. </w:t>
      </w:r>
      <w:r w:rsidR="00221D3E">
        <w:rPr>
          <w:rFonts w:ascii="Verdana" w:eastAsia="Calibri" w:hAnsi="Verdana" w:cs="Calibri"/>
          <w:sz w:val="20"/>
          <w:szCs w:val="20"/>
        </w:rPr>
        <w:t>Tal y como ha señalado esta Corte,</w:t>
      </w:r>
      <w:r w:rsidRPr="00DD4BA6">
        <w:rPr>
          <w:rFonts w:ascii="Verdana" w:eastAsia="Calibri" w:hAnsi="Verdana" w:cs="Calibri"/>
          <w:sz w:val="20"/>
          <w:szCs w:val="20"/>
        </w:rPr>
        <w:t xml:space="preserve"> determinar la existencia de una violación a la integridad personal derivada del fenómeno del corredor de la muerte, es necesario analizar las circunstancias personales y particulares del caso para poder valorar si un determinado trato o pena alcanzó el nivel mínimo de gravedad para calificarse como cruel, inhumano o degradante</w:t>
      </w:r>
      <w:r w:rsidRPr="00DD4BA6">
        <w:rPr>
          <w:rStyle w:val="Refdenotaalpie"/>
          <w:rFonts w:ascii="Verdana" w:eastAsia="Calibri" w:hAnsi="Verdana" w:cs="Calibri"/>
          <w:sz w:val="20"/>
          <w:szCs w:val="20"/>
        </w:rPr>
        <w:footnoteReference w:id="132"/>
      </w:r>
      <w:r w:rsidRPr="00DD4BA6">
        <w:rPr>
          <w:rFonts w:ascii="Verdana" w:eastAsia="Calibri" w:hAnsi="Verdana" w:cs="Calibri"/>
          <w:sz w:val="20"/>
          <w:szCs w:val="20"/>
        </w:rPr>
        <w:t>.</w:t>
      </w:r>
      <w:r w:rsidR="00221D3E">
        <w:rPr>
          <w:rFonts w:ascii="Verdana" w:hAnsi="Verdana" w:cs="AmnestyTradeGothic"/>
          <w:b/>
          <w:sz w:val="20"/>
          <w:szCs w:val="20"/>
        </w:rPr>
        <w:t xml:space="preserve"> </w:t>
      </w:r>
      <w:r w:rsidRPr="00221D3E">
        <w:rPr>
          <w:rFonts w:ascii="Verdana" w:hAnsi="Verdana"/>
          <w:sz w:val="20"/>
          <w:szCs w:val="20"/>
          <w:lang w:val="es-CO"/>
        </w:rPr>
        <w:t>Asimismo</w:t>
      </w:r>
      <w:r w:rsidRPr="00221D3E">
        <w:rPr>
          <w:rFonts w:ascii="Verdana" w:hAnsi="Verdana"/>
          <w:sz w:val="20"/>
          <w:szCs w:val="20"/>
        </w:rPr>
        <w:t>, el Tribunal Europeo de Derechos Humanos</w:t>
      </w:r>
      <w:r w:rsidRPr="00DD4BA6">
        <w:rPr>
          <w:rStyle w:val="Refdenotaalpie"/>
          <w:rFonts w:ascii="Verdana" w:hAnsi="Verdana" w:cs="AmnestyTradeGothic"/>
          <w:sz w:val="20"/>
          <w:szCs w:val="20"/>
        </w:rPr>
        <w:footnoteReference w:id="133"/>
      </w:r>
      <w:r w:rsidRPr="00221D3E">
        <w:rPr>
          <w:rFonts w:ascii="Verdana" w:hAnsi="Verdana"/>
          <w:sz w:val="20"/>
          <w:szCs w:val="20"/>
        </w:rPr>
        <w:t>, el Sistema Universal de Derechos Humanos</w:t>
      </w:r>
      <w:r w:rsidRPr="00DD4BA6">
        <w:rPr>
          <w:rStyle w:val="Refdenotaalpie"/>
          <w:rFonts w:ascii="Verdana" w:hAnsi="Verdana"/>
          <w:sz w:val="20"/>
          <w:szCs w:val="20"/>
        </w:rPr>
        <w:footnoteReference w:id="134"/>
      </w:r>
      <w:r w:rsidRPr="00221D3E">
        <w:rPr>
          <w:rFonts w:ascii="Verdana" w:hAnsi="Verdana"/>
          <w:sz w:val="20"/>
          <w:szCs w:val="20"/>
        </w:rPr>
        <w:t xml:space="preserve"> y algunos tribunales nacionales</w:t>
      </w:r>
      <w:r w:rsidRPr="00DD4BA6">
        <w:rPr>
          <w:rStyle w:val="Refdenotaalpie"/>
          <w:rFonts w:ascii="Verdana" w:hAnsi="Verdana"/>
          <w:sz w:val="20"/>
          <w:szCs w:val="20"/>
        </w:rPr>
        <w:footnoteReference w:id="135"/>
      </w:r>
      <w:r w:rsidRPr="00221D3E">
        <w:rPr>
          <w:rFonts w:ascii="Verdana" w:hAnsi="Verdana"/>
          <w:sz w:val="20"/>
          <w:szCs w:val="20"/>
        </w:rPr>
        <w:t xml:space="preserve"> advierten que el llamado “corredor de la muerte” causa una afectación al derecho a la integridad personal por la angustia en la que se encuentran </w:t>
      </w:r>
      <w:r w:rsidRPr="00221D3E">
        <w:rPr>
          <w:rFonts w:ascii="Verdana" w:hAnsi="Verdana"/>
          <w:kern w:val="2"/>
          <w:sz w:val="20"/>
          <w:szCs w:val="20"/>
        </w:rPr>
        <w:t>las</w:t>
      </w:r>
      <w:r w:rsidRPr="00221D3E">
        <w:rPr>
          <w:rFonts w:ascii="Verdana" w:hAnsi="Verdana"/>
          <w:sz w:val="20"/>
          <w:szCs w:val="20"/>
        </w:rPr>
        <w:t xml:space="preserve"> personas condenadas a muerte, situación, que genera traumas psicológicos por la manifestación presente y creciente de la ejecución de la pena máxima</w:t>
      </w:r>
      <w:r w:rsidRPr="00DD4BA6">
        <w:rPr>
          <w:rStyle w:val="Refdenotaalpie"/>
          <w:rFonts w:ascii="Verdana" w:hAnsi="Verdana"/>
          <w:sz w:val="20"/>
          <w:szCs w:val="20"/>
        </w:rPr>
        <w:footnoteReference w:id="136"/>
      </w:r>
      <w:r w:rsidRPr="00221D3E">
        <w:rPr>
          <w:rFonts w:ascii="Verdana" w:hAnsi="Verdana"/>
          <w:sz w:val="20"/>
          <w:szCs w:val="20"/>
        </w:rPr>
        <w:t>, por ende, es considerado como un trato cruel inhumano y degradante.</w:t>
      </w:r>
    </w:p>
    <w:p w14:paraId="0DFDABF6" w14:textId="77777777" w:rsidR="005622BB" w:rsidRPr="00DD4BA6" w:rsidRDefault="005622BB" w:rsidP="005622BB">
      <w:pPr>
        <w:pStyle w:val="Normal1"/>
        <w:widowControl/>
        <w:contextualSpacing/>
        <w:jc w:val="both"/>
        <w:rPr>
          <w:rFonts w:ascii="Verdana" w:hAnsi="Verdana" w:cs="AmnestyTradeGothic"/>
          <w:sz w:val="20"/>
          <w:szCs w:val="20"/>
        </w:rPr>
      </w:pPr>
    </w:p>
    <w:p w14:paraId="57BAB4F0" w14:textId="77777777" w:rsidR="00DD4BA6" w:rsidRPr="00DD4BA6" w:rsidRDefault="00DD4BA6" w:rsidP="00522701">
      <w:pPr>
        <w:pStyle w:val="Normal1"/>
        <w:widowControl/>
        <w:numPr>
          <w:ilvl w:val="0"/>
          <w:numId w:val="4"/>
        </w:numPr>
        <w:ind w:left="0" w:firstLine="0"/>
        <w:contextualSpacing/>
        <w:jc w:val="both"/>
        <w:rPr>
          <w:rFonts w:ascii="Verdana" w:hAnsi="Verdana"/>
          <w:bCs/>
          <w:iCs/>
          <w:sz w:val="20"/>
          <w:szCs w:val="20"/>
        </w:rPr>
      </w:pPr>
      <w:r w:rsidRPr="00DD4BA6">
        <w:rPr>
          <w:rFonts w:ascii="Verdana" w:hAnsi="Verdana"/>
          <w:sz w:val="20"/>
          <w:szCs w:val="20"/>
        </w:rPr>
        <w:t xml:space="preserve"> </w:t>
      </w:r>
      <w:r>
        <w:rPr>
          <w:rFonts w:ascii="Verdana" w:hAnsi="Verdana"/>
          <w:sz w:val="20"/>
          <w:szCs w:val="20"/>
        </w:rPr>
        <w:t>La Corte destaca que</w:t>
      </w:r>
      <w:r w:rsidRPr="00DD4BA6">
        <w:rPr>
          <w:rFonts w:ascii="Verdana" w:hAnsi="Verdana"/>
          <w:sz w:val="20"/>
          <w:szCs w:val="20"/>
        </w:rPr>
        <w:t xml:space="preserve"> la forma en la que se impone una condena a pena de muerte puede constituir un factor que determine su incompatibilidad con lo establecido en el artículo 5 de la Convención Americana</w:t>
      </w:r>
      <w:r w:rsidRPr="00DD4BA6">
        <w:rPr>
          <w:rStyle w:val="Refdenotaalpie"/>
          <w:rFonts w:ascii="Verdana" w:hAnsi="Verdana"/>
          <w:sz w:val="20"/>
          <w:szCs w:val="20"/>
        </w:rPr>
        <w:footnoteReference w:id="137"/>
      </w:r>
      <w:r w:rsidRPr="00DD4BA6">
        <w:rPr>
          <w:rFonts w:ascii="Verdana" w:hAnsi="Verdana"/>
          <w:sz w:val="20"/>
          <w:szCs w:val="20"/>
        </w:rPr>
        <w:t xml:space="preserve">. La Corte observa que </w:t>
      </w:r>
      <w:r w:rsidR="00FF5129">
        <w:rPr>
          <w:rFonts w:ascii="Verdana" w:hAnsi="Verdana"/>
          <w:sz w:val="20"/>
          <w:szCs w:val="20"/>
          <w:lang w:val="es-ES_tradnl"/>
        </w:rPr>
        <w:t>los señores Rodríguez Revolorio, López Calo y Archila Pérez fueron</w:t>
      </w:r>
      <w:r w:rsidRPr="00DD4BA6">
        <w:rPr>
          <w:rFonts w:ascii="Verdana" w:hAnsi="Verdana"/>
          <w:sz w:val="20"/>
          <w:szCs w:val="20"/>
          <w:lang w:val="es-ES_tradnl"/>
        </w:rPr>
        <w:t xml:space="preserve"> condenado</w:t>
      </w:r>
      <w:r w:rsidR="00FF5129">
        <w:rPr>
          <w:rFonts w:ascii="Verdana" w:hAnsi="Verdana"/>
          <w:sz w:val="20"/>
          <w:szCs w:val="20"/>
          <w:lang w:val="es-ES_tradnl"/>
        </w:rPr>
        <w:t>s</w:t>
      </w:r>
      <w:r w:rsidRPr="00DD4BA6">
        <w:rPr>
          <w:rFonts w:ascii="Verdana" w:hAnsi="Verdana"/>
          <w:sz w:val="20"/>
          <w:szCs w:val="20"/>
          <w:lang w:val="es-ES_tradnl"/>
        </w:rPr>
        <w:t xml:space="preserve"> a la pena capital en el marco de un procedimiento penal en el que se produjeron patentes violaciones de los artículos</w:t>
      </w:r>
      <w:r w:rsidR="00FF5129">
        <w:rPr>
          <w:rFonts w:ascii="Verdana" w:hAnsi="Verdana"/>
          <w:sz w:val="20"/>
          <w:szCs w:val="20"/>
          <w:lang w:val="es-ES_tradnl"/>
        </w:rPr>
        <w:t xml:space="preserve"> </w:t>
      </w:r>
      <w:r w:rsidRPr="00DD4BA6">
        <w:rPr>
          <w:rFonts w:ascii="Verdana" w:hAnsi="Verdana"/>
          <w:sz w:val="20"/>
          <w:szCs w:val="20"/>
          <w:lang w:val="es-ES_tradnl"/>
        </w:rPr>
        <w:t>4.2</w:t>
      </w:r>
      <w:r w:rsidR="00FF5129">
        <w:rPr>
          <w:rFonts w:ascii="Verdana" w:hAnsi="Verdana"/>
          <w:sz w:val="20"/>
          <w:szCs w:val="20"/>
          <w:lang w:val="es-ES_tradnl"/>
        </w:rPr>
        <w:t xml:space="preserve"> y 9 </w:t>
      </w:r>
      <w:r w:rsidRPr="00DD4BA6">
        <w:rPr>
          <w:rFonts w:ascii="Verdana" w:hAnsi="Verdana"/>
          <w:sz w:val="20"/>
          <w:szCs w:val="20"/>
          <w:lang w:val="es-ES_tradnl"/>
        </w:rPr>
        <w:t xml:space="preserve">de la Convención, y en violación </w:t>
      </w:r>
      <w:r w:rsidR="00856541">
        <w:rPr>
          <w:rFonts w:ascii="Verdana" w:hAnsi="Verdana"/>
          <w:sz w:val="20"/>
          <w:szCs w:val="20"/>
          <w:lang w:val="es-ES_tradnl"/>
        </w:rPr>
        <w:t>d</w:t>
      </w:r>
      <w:r w:rsidR="00856541" w:rsidRPr="006B0525">
        <w:rPr>
          <w:rFonts w:ascii="Verdana" w:hAnsi="Verdana"/>
          <w:sz w:val="20"/>
          <w:szCs w:val="20"/>
        </w:rPr>
        <w:t>el derech</w:t>
      </w:r>
      <w:r w:rsidR="00856541">
        <w:rPr>
          <w:rFonts w:ascii="Verdana" w:hAnsi="Verdana"/>
          <w:sz w:val="20"/>
          <w:szCs w:val="20"/>
        </w:rPr>
        <w:t>o a recurrir del fallo</w:t>
      </w:r>
      <w:r w:rsidR="00856541" w:rsidRPr="006B0525">
        <w:rPr>
          <w:rFonts w:ascii="Verdana" w:hAnsi="Verdana"/>
          <w:sz w:val="20"/>
          <w:szCs w:val="20"/>
        </w:rPr>
        <w:t xml:space="preserve"> contemplado en el artículo 8.2.h) de la Convención Americana,</w:t>
      </w:r>
      <w:r w:rsidR="006D3159">
        <w:rPr>
          <w:rFonts w:ascii="Verdana" w:hAnsi="Verdana"/>
          <w:sz w:val="20"/>
          <w:szCs w:val="20"/>
        </w:rPr>
        <w:t xml:space="preserve"> </w:t>
      </w:r>
      <w:r w:rsidRPr="00DD4BA6">
        <w:rPr>
          <w:rFonts w:ascii="Verdana" w:hAnsi="Verdana"/>
          <w:sz w:val="20"/>
          <w:szCs w:val="20"/>
          <w:lang w:val="es-ES_tradnl"/>
        </w:rPr>
        <w:t xml:space="preserve">(ver </w:t>
      </w:r>
      <w:r w:rsidRPr="00DD4BA6">
        <w:rPr>
          <w:rFonts w:ascii="Verdana" w:hAnsi="Verdana"/>
          <w:i/>
          <w:sz w:val="20"/>
          <w:szCs w:val="20"/>
          <w:lang w:val="es-ES_tradnl"/>
        </w:rPr>
        <w:t>infra</w:t>
      </w:r>
      <w:r w:rsidRPr="00DD4BA6">
        <w:rPr>
          <w:rFonts w:ascii="Verdana" w:hAnsi="Verdana"/>
          <w:sz w:val="20"/>
          <w:szCs w:val="20"/>
          <w:lang w:val="es-ES_tradnl"/>
        </w:rPr>
        <w:t xml:space="preserve"> </w:t>
      </w:r>
      <w:r w:rsidR="00264747">
        <w:rPr>
          <w:rFonts w:ascii="Verdana" w:hAnsi="Verdana"/>
          <w:sz w:val="20"/>
          <w:szCs w:val="20"/>
          <w:lang w:val="es-ES_tradnl"/>
        </w:rPr>
        <w:t>apartado VIII.3</w:t>
      </w:r>
      <w:r w:rsidR="00856541">
        <w:rPr>
          <w:rFonts w:ascii="Verdana" w:hAnsi="Verdana"/>
          <w:sz w:val="20"/>
          <w:szCs w:val="20"/>
          <w:lang w:val="es-ES_tradnl"/>
        </w:rPr>
        <w:t>.b.3)</w:t>
      </w:r>
      <w:r w:rsidRPr="00DD4BA6">
        <w:rPr>
          <w:rFonts w:ascii="Verdana" w:hAnsi="Verdana"/>
          <w:sz w:val="20"/>
          <w:szCs w:val="20"/>
          <w:lang w:val="es-ES_tradnl"/>
        </w:rPr>
        <w:t xml:space="preserve">. </w:t>
      </w:r>
      <w:r w:rsidRPr="00DD4BA6">
        <w:rPr>
          <w:rFonts w:ascii="Verdana" w:hAnsi="Verdana"/>
          <w:sz w:val="20"/>
          <w:szCs w:val="20"/>
        </w:rPr>
        <w:t>La Corte considera que el proceso penal al que fue</w:t>
      </w:r>
      <w:r w:rsidR="005622BB">
        <w:rPr>
          <w:rFonts w:ascii="Verdana" w:hAnsi="Verdana"/>
          <w:sz w:val="20"/>
          <w:szCs w:val="20"/>
        </w:rPr>
        <w:t>ron</w:t>
      </w:r>
      <w:r w:rsidRPr="00DD4BA6">
        <w:rPr>
          <w:rFonts w:ascii="Verdana" w:hAnsi="Verdana"/>
          <w:sz w:val="20"/>
          <w:szCs w:val="20"/>
        </w:rPr>
        <w:t xml:space="preserve"> sometido</w:t>
      </w:r>
      <w:r w:rsidR="005622BB">
        <w:rPr>
          <w:rFonts w:ascii="Verdana" w:hAnsi="Verdana"/>
          <w:sz w:val="20"/>
          <w:szCs w:val="20"/>
        </w:rPr>
        <w:t>s</w:t>
      </w:r>
      <w:r w:rsidRPr="00DD4BA6">
        <w:rPr>
          <w:rFonts w:ascii="Verdana" w:hAnsi="Verdana"/>
          <w:sz w:val="20"/>
          <w:szCs w:val="20"/>
        </w:rPr>
        <w:t xml:space="preserve"> </w:t>
      </w:r>
      <w:r w:rsidR="005622BB">
        <w:rPr>
          <w:rFonts w:ascii="Verdana" w:hAnsi="Verdana"/>
          <w:sz w:val="20"/>
          <w:szCs w:val="20"/>
        </w:rPr>
        <w:t xml:space="preserve">los señores Rodríguez Revolorio, López Calo </w:t>
      </w:r>
      <w:r w:rsidR="00522701">
        <w:rPr>
          <w:rFonts w:ascii="Verdana" w:hAnsi="Verdana"/>
          <w:sz w:val="20"/>
          <w:szCs w:val="20"/>
        </w:rPr>
        <w:t xml:space="preserve">y Archila Pérez, </w:t>
      </w:r>
      <w:r w:rsidR="00522701" w:rsidRPr="00522701">
        <w:rPr>
          <w:rFonts w:ascii="Verdana" w:hAnsi="Verdana"/>
          <w:sz w:val="20"/>
          <w:szCs w:val="20"/>
        </w:rPr>
        <w:t>cuyo resultado</w:t>
      </w:r>
      <w:r w:rsidR="00522701">
        <w:rPr>
          <w:rFonts w:ascii="Verdana" w:hAnsi="Verdana"/>
          <w:sz w:val="20"/>
          <w:szCs w:val="20"/>
        </w:rPr>
        <w:t xml:space="preserve"> además</w:t>
      </w:r>
      <w:r w:rsidR="00522701" w:rsidRPr="00522701">
        <w:rPr>
          <w:rFonts w:ascii="Verdana" w:hAnsi="Verdana"/>
          <w:sz w:val="20"/>
          <w:szCs w:val="20"/>
        </w:rPr>
        <w:t xml:space="preserve"> fue la imposición de la pena de muerte</w:t>
      </w:r>
      <w:r w:rsidR="00522701">
        <w:rPr>
          <w:rFonts w:ascii="Verdana" w:hAnsi="Verdana"/>
          <w:sz w:val="20"/>
          <w:szCs w:val="20"/>
        </w:rPr>
        <w:t xml:space="preserve">, </w:t>
      </w:r>
      <w:r w:rsidRPr="00DD4BA6">
        <w:rPr>
          <w:rFonts w:ascii="Verdana" w:hAnsi="Verdana"/>
          <w:sz w:val="20"/>
          <w:szCs w:val="20"/>
        </w:rPr>
        <w:t>pudo producirle</w:t>
      </w:r>
      <w:r w:rsidR="005622BB">
        <w:rPr>
          <w:rFonts w:ascii="Verdana" w:hAnsi="Verdana"/>
          <w:sz w:val="20"/>
          <w:szCs w:val="20"/>
        </w:rPr>
        <w:t>s</w:t>
      </w:r>
      <w:r w:rsidRPr="00DD4BA6">
        <w:rPr>
          <w:rFonts w:ascii="Verdana" w:hAnsi="Verdana"/>
          <w:sz w:val="20"/>
          <w:szCs w:val="20"/>
        </w:rPr>
        <w:t xml:space="preserve"> un profundo sufrimiento, </w:t>
      </w:r>
      <w:r w:rsidRPr="00522701">
        <w:rPr>
          <w:rFonts w:ascii="Verdana" w:hAnsi="Verdana"/>
          <w:color w:val="000000" w:themeColor="text1"/>
          <w:sz w:val="20"/>
          <w:szCs w:val="20"/>
        </w:rPr>
        <w:t>angustia</w:t>
      </w:r>
      <w:r w:rsidRPr="00DD4BA6">
        <w:rPr>
          <w:rFonts w:ascii="Verdana" w:hAnsi="Verdana"/>
          <w:sz w:val="20"/>
          <w:szCs w:val="20"/>
        </w:rPr>
        <w:t xml:space="preserve">, ansiedad, frustración y estrés, del cual incluso </w:t>
      </w:r>
      <w:r w:rsidRPr="00DD4BA6">
        <w:rPr>
          <w:rFonts w:ascii="Verdana" w:hAnsi="Verdana"/>
          <w:sz w:val="20"/>
          <w:szCs w:val="20"/>
        </w:rPr>
        <w:lastRenderedPageBreak/>
        <w:t xml:space="preserve">pudo derivar algún tipo de trastorno por estrés </w:t>
      </w:r>
      <w:proofErr w:type="spellStart"/>
      <w:r w:rsidRPr="00DD4BA6">
        <w:rPr>
          <w:rFonts w:ascii="Verdana" w:hAnsi="Verdana"/>
          <w:sz w:val="20"/>
          <w:szCs w:val="20"/>
        </w:rPr>
        <w:t>post-traumático</w:t>
      </w:r>
      <w:proofErr w:type="spellEnd"/>
      <w:r w:rsidRPr="00DD4BA6">
        <w:rPr>
          <w:rFonts w:ascii="Verdana" w:hAnsi="Verdana"/>
          <w:sz w:val="20"/>
          <w:szCs w:val="20"/>
        </w:rPr>
        <w:t>, tal y como ha sucedido en otros casos de personas condenadas a pena de muerte</w:t>
      </w:r>
      <w:r w:rsidR="005622BB">
        <w:rPr>
          <w:rStyle w:val="Refdenotaalpie"/>
          <w:rFonts w:ascii="Verdana" w:hAnsi="Verdana"/>
          <w:sz w:val="20"/>
          <w:szCs w:val="20"/>
        </w:rPr>
        <w:footnoteReference w:id="138"/>
      </w:r>
      <w:r w:rsidRPr="00DD4BA6">
        <w:rPr>
          <w:rFonts w:ascii="Verdana" w:hAnsi="Verdana"/>
          <w:sz w:val="20"/>
          <w:szCs w:val="20"/>
        </w:rPr>
        <w:t>.</w:t>
      </w:r>
      <w:r w:rsidR="00083489">
        <w:rPr>
          <w:rFonts w:ascii="Verdana" w:hAnsi="Verdana"/>
          <w:sz w:val="20"/>
          <w:szCs w:val="20"/>
        </w:rPr>
        <w:t xml:space="preserve"> A lo anterior se </w:t>
      </w:r>
      <w:r w:rsidR="00271B21">
        <w:rPr>
          <w:rFonts w:ascii="Verdana" w:hAnsi="Verdana"/>
          <w:sz w:val="20"/>
          <w:szCs w:val="20"/>
        </w:rPr>
        <w:t>suman</w:t>
      </w:r>
      <w:r w:rsidR="00083489">
        <w:rPr>
          <w:rFonts w:ascii="Verdana" w:hAnsi="Verdana"/>
          <w:sz w:val="20"/>
          <w:szCs w:val="20"/>
        </w:rPr>
        <w:t xml:space="preserve"> las condiciones carcelarias</w:t>
      </w:r>
      <w:r w:rsidR="00271B21">
        <w:rPr>
          <w:rFonts w:ascii="Verdana" w:hAnsi="Verdana"/>
          <w:sz w:val="20"/>
          <w:szCs w:val="20"/>
        </w:rPr>
        <w:t xml:space="preserve"> a las que estuvieron sometidos, y que ya la Corte indicó que eran </w:t>
      </w:r>
      <w:r w:rsidR="00083489">
        <w:rPr>
          <w:rFonts w:ascii="Verdana" w:hAnsi="Verdana"/>
          <w:sz w:val="20"/>
          <w:szCs w:val="20"/>
        </w:rPr>
        <w:t>incompatibles con los est</w:t>
      </w:r>
      <w:r w:rsidR="00271B21">
        <w:rPr>
          <w:rFonts w:ascii="Verdana" w:hAnsi="Verdana"/>
          <w:sz w:val="20"/>
          <w:szCs w:val="20"/>
        </w:rPr>
        <w:t xml:space="preserve">ándares </w:t>
      </w:r>
      <w:r w:rsidR="00E20EBB">
        <w:rPr>
          <w:rFonts w:ascii="Verdana" w:hAnsi="Verdana"/>
          <w:sz w:val="20"/>
          <w:szCs w:val="20"/>
        </w:rPr>
        <w:t xml:space="preserve">referidos </w:t>
      </w:r>
      <w:r w:rsidR="00083489">
        <w:rPr>
          <w:rFonts w:ascii="Verdana" w:hAnsi="Verdana"/>
          <w:sz w:val="20"/>
          <w:szCs w:val="20"/>
        </w:rPr>
        <w:t>en el capítulo anterior.</w:t>
      </w:r>
    </w:p>
    <w:p w14:paraId="30BC3A59" w14:textId="77777777" w:rsidR="00DD4BA6" w:rsidRPr="00DD4BA6" w:rsidRDefault="00DD4BA6" w:rsidP="00DD4BA6">
      <w:pPr>
        <w:widowControl/>
        <w:tabs>
          <w:tab w:val="left" w:pos="567"/>
        </w:tabs>
        <w:adjustRightInd/>
        <w:spacing w:line="240" w:lineRule="auto"/>
        <w:contextualSpacing/>
        <w:textAlignment w:val="auto"/>
        <w:rPr>
          <w:bCs/>
          <w:iCs/>
        </w:rPr>
      </w:pPr>
    </w:p>
    <w:p w14:paraId="40173608" w14:textId="77777777" w:rsidR="00DD4BA6" w:rsidRPr="00DD4BA6" w:rsidRDefault="00DD4BA6" w:rsidP="00DD4BA6">
      <w:pPr>
        <w:pStyle w:val="Normal1"/>
        <w:widowControl/>
        <w:numPr>
          <w:ilvl w:val="0"/>
          <w:numId w:val="4"/>
        </w:numPr>
        <w:ind w:left="0" w:firstLine="0"/>
        <w:contextualSpacing/>
        <w:jc w:val="both"/>
        <w:rPr>
          <w:rFonts w:ascii="Verdana" w:hAnsi="Verdana"/>
          <w:bCs/>
          <w:iCs/>
          <w:sz w:val="20"/>
          <w:szCs w:val="20"/>
        </w:rPr>
      </w:pPr>
      <w:r w:rsidRPr="00DD4BA6">
        <w:rPr>
          <w:rFonts w:ascii="Verdana" w:hAnsi="Verdana"/>
          <w:color w:val="000000" w:themeColor="text1"/>
          <w:sz w:val="20"/>
          <w:szCs w:val="20"/>
        </w:rPr>
        <w:t xml:space="preserve">Por tal motivo, </w:t>
      </w:r>
      <w:r w:rsidRPr="00DD4BA6">
        <w:rPr>
          <w:rFonts w:ascii="Verdana" w:hAnsi="Verdana"/>
          <w:sz w:val="20"/>
          <w:szCs w:val="20"/>
        </w:rPr>
        <w:t xml:space="preserve">la Corte concluye que </w:t>
      </w:r>
      <w:r w:rsidR="00FF5129">
        <w:rPr>
          <w:rFonts w:ascii="Verdana" w:hAnsi="Verdana"/>
          <w:sz w:val="20"/>
          <w:szCs w:val="20"/>
        </w:rPr>
        <w:t>los señores Rodríguez Revolorio, López Calo y Archila Pérez sufrieron</w:t>
      </w:r>
      <w:r w:rsidRPr="00DD4BA6">
        <w:rPr>
          <w:rFonts w:ascii="Verdana" w:hAnsi="Verdana"/>
          <w:sz w:val="20"/>
          <w:szCs w:val="20"/>
        </w:rPr>
        <w:t xml:space="preserve"> graves sufrimientos psíquicos provenientes de la angustia de </w:t>
      </w:r>
      <w:r w:rsidR="00E20EBB">
        <w:rPr>
          <w:rFonts w:ascii="Verdana" w:hAnsi="Verdana"/>
          <w:sz w:val="20"/>
          <w:szCs w:val="20"/>
        </w:rPr>
        <w:t>permanecer</w:t>
      </w:r>
      <w:r w:rsidRPr="00DD4BA6">
        <w:rPr>
          <w:rFonts w:ascii="Verdana" w:hAnsi="Verdana"/>
          <w:sz w:val="20"/>
          <w:szCs w:val="20"/>
        </w:rPr>
        <w:t xml:space="preserve"> en el “corredor de la muerte” tras un procedimiento que </w:t>
      </w:r>
      <w:r w:rsidR="00856541">
        <w:rPr>
          <w:rFonts w:ascii="Verdana" w:hAnsi="Verdana"/>
          <w:sz w:val="20"/>
          <w:szCs w:val="20"/>
        </w:rPr>
        <w:t>una importante</w:t>
      </w:r>
      <w:r w:rsidRPr="00DD4BA6">
        <w:rPr>
          <w:rFonts w:ascii="Verdana" w:hAnsi="Verdana"/>
          <w:sz w:val="20"/>
          <w:szCs w:val="20"/>
        </w:rPr>
        <w:t xml:space="preserve"> falencia,</w:t>
      </w:r>
      <w:r w:rsidR="0010377C">
        <w:rPr>
          <w:rFonts w:ascii="Verdana" w:hAnsi="Verdana"/>
          <w:sz w:val="20"/>
          <w:szCs w:val="20"/>
        </w:rPr>
        <w:t xml:space="preserve"> en condiciones carcelarias incompatibles con los estándares de la Convención, </w:t>
      </w:r>
      <w:r w:rsidRPr="00DD4BA6">
        <w:rPr>
          <w:rFonts w:ascii="Verdana" w:hAnsi="Verdana"/>
          <w:sz w:val="20"/>
          <w:szCs w:val="20"/>
        </w:rPr>
        <w:t xml:space="preserve">lo cual </w:t>
      </w:r>
      <w:r w:rsidRPr="00DD4BA6">
        <w:rPr>
          <w:rFonts w:ascii="Verdana" w:hAnsi="Verdana"/>
          <w:bCs/>
          <w:iCs/>
          <w:sz w:val="20"/>
          <w:szCs w:val="20"/>
        </w:rPr>
        <w:t xml:space="preserve">fue violatorio de su derecho a la integridad física, </w:t>
      </w:r>
      <w:r w:rsidRPr="00DD4BA6">
        <w:rPr>
          <w:rFonts w:ascii="Verdana" w:hAnsi="Verdana"/>
          <w:sz w:val="20"/>
          <w:szCs w:val="20"/>
        </w:rPr>
        <w:t>psíquica</w:t>
      </w:r>
      <w:r w:rsidRPr="00DD4BA6">
        <w:rPr>
          <w:rFonts w:ascii="Verdana" w:hAnsi="Verdana"/>
          <w:bCs/>
          <w:iCs/>
          <w:sz w:val="20"/>
          <w:szCs w:val="20"/>
        </w:rPr>
        <w:t xml:space="preserve"> y moral, contenido en el artículo 5.1 de la Convención Americana y </w:t>
      </w:r>
      <w:r w:rsidR="0010377C">
        <w:rPr>
          <w:rFonts w:ascii="Verdana" w:hAnsi="Verdana"/>
          <w:bCs/>
          <w:iCs/>
          <w:sz w:val="20"/>
          <w:szCs w:val="20"/>
        </w:rPr>
        <w:t>constituyó</w:t>
      </w:r>
      <w:r w:rsidRPr="00DD4BA6">
        <w:rPr>
          <w:rFonts w:ascii="Verdana" w:hAnsi="Verdana"/>
          <w:bCs/>
          <w:iCs/>
          <w:sz w:val="20"/>
          <w:szCs w:val="20"/>
        </w:rPr>
        <w:t xml:space="preserve"> un trato cruel, inhumano y degradante contrario al artículo 5.2 de la misma, todo ello con relación al artículo 1.1 del mismo instrumento.</w:t>
      </w:r>
    </w:p>
    <w:p w14:paraId="5580B89B" w14:textId="77777777" w:rsidR="00964384" w:rsidRPr="00DD4BA6" w:rsidRDefault="00964384" w:rsidP="00530549">
      <w:pPr>
        <w:pStyle w:val="Normal1"/>
        <w:widowControl/>
        <w:contextualSpacing/>
        <w:jc w:val="both"/>
        <w:rPr>
          <w:rFonts w:ascii="Verdana" w:hAnsi="Verdana"/>
          <w:sz w:val="20"/>
          <w:szCs w:val="20"/>
        </w:rPr>
      </w:pPr>
    </w:p>
    <w:p w14:paraId="4636FB22" w14:textId="77777777" w:rsidR="00210C11" w:rsidRPr="006B0525" w:rsidRDefault="00EF19BD" w:rsidP="00530549">
      <w:pPr>
        <w:pStyle w:val="Ttulo1"/>
      </w:pPr>
      <w:bookmarkStart w:id="60" w:name="_Toc26177814"/>
      <w:r w:rsidRPr="006B0525">
        <w:rPr>
          <w:rStyle w:val="Ttulo1Car"/>
          <w:b/>
          <w:bCs/>
          <w:caps/>
          <w:snapToGrid w:val="0"/>
        </w:rPr>
        <w:t>V</w:t>
      </w:r>
      <w:r w:rsidR="00241F90" w:rsidRPr="006B0525">
        <w:rPr>
          <w:rStyle w:val="Ttulo1Car"/>
          <w:b/>
          <w:bCs/>
          <w:caps/>
          <w:snapToGrid w:val="0"/>
        </w:rPr>
        <w:t>I</w:t>
      </w:r>
      <w:r w:rsidRPr="006B0525">
        <w:rPr>
          <w:rStyle w:val="Ttulo1Car"/>
          <w:b/>
          <w:bCs/>
          <w:caps/>
          <w:snapToGrid w:val="0"/>
        </w:rPr>
        <w:t>II-3</w:t>
      </w:r>
      <w:r w:rsidRPr="006B0525">
        <w:rPr>
          <w:rStyle w:val="Ttulo1Car"/>
          <w:b/>
          <w:bCs/>
          <w:caps/>
          <w:snapToGrid w:val="0"/>
        </w:rPr>
        <w:br/>
      </w:r>
      <w:r w:rsidR="00210C11" w:rsidRPr="006B0525">
        <w:t xml:space="preserve">DERECHO A LAS </w:t>
      </w:r>
      <w:proofErr w:type="gramStart"/>
      <w:r w:rsidR="00210C11" w:rsidRPr="006B0525">
        <w:t>GARANTÍAS JUDICIALES</w:t>
      </w:r>
      <w:r w:rsidR="004C3044" w:rsidRPr="006B0525">
        <w:t xml:space="preserve"> </w:t>
      </w:r>
      <w:r w:rsidR="00210C11" w:rsidRPr="006B0525">
        <w:t>Y PROTECCIÓN JUDICIAL</w:t>
      </w:r>
      <w:proofErr w:type="gramEnd"/>
      <w:r w:rsidR="002F0FF5">
        <w:rPr>
          <w:rStyle w:val="Refdenotaalpie"/>
        </w:rPr>
        <w:footnoteReference w:id="139"/>
      </w:r>
      <w:bookmarkEnd w:id="60"/>
      <w:r w:rsidR="004C3044" w:rsidRPr="006B0525">
        <w:t xml:space="preserve"> </w:t>
      </w:r>
    </w:p>
    <w:p w14:paraId="464D259C" w14:textId="77777777" w:rsidR="00C32DC3" w:rsidRPr="006B0525" w:rsidRDefault="00C32DC3" w:rsidP="00C32DC3">
      <w:pPr>
        <w:pStyle w:val="Ttulo2"/>
      </w:pPr>
      <w:bookmarkStart w:id="61" w:name="_Toc26177815"/>
      <w:bookmarkStart w:id="62" w:name="_Toc514172661"/>
      <w:bookmarkStart w:id="63" w:name="_Toc375517149"/>
      <w:bookmarkStart w:id="64" w:name="_Toc449460763"/>
      <w:bookmarkStart w:id="65" w:name="_Toc459158147"/>
      <w:bookmarkStart w:id="66" w:name="_Toc495658693"/>
      <w:bookmarkStart w:id="67" w:name="_Toc15933770"/>
      <w:bookmarkStart w:id="68" w:name="_Toc16270609"/>
      <w:r w:rsidRPr="006B0525">
        <w:t>A.</w:t>
      </w:r>
      <w:r w:rsidRPr="006B0525">
        <w:tab/>
        <w:t>Argumentos de las partes y de la Comisión</w:t>
      </w:r>
      <w:bookmarkEnd w:id="61"/>
    </w:p>
    <w:p w14:paraId="18A8BED8" w14:textId="77777777" w:rsidR="00513FB5" w:rsidRPr="006B0525" w:rsidRDefault="00513FB5" w:rsidP="00513FB5">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La </w:t>
      </w:r>
      <w:r w:rsidRPr="006B0525">
        <w:rPr>
          <w:rFonts w:ascii="Verdana" w:hAnsi="Verdana"/>
          <w:b/>
          <w:i/>
          <w:sz w:val="20"/>
          <w:szCs w:val="20"/>
        </w:rPr>
        <w:t>Comisión</w:t>
      </w:r>
      <w:r w:rsidRPr="006B0525">
        <w:rPr>
          <w:rFonts w:ascii="Verdana" w:hAnsi="Verdana"/>
          <w:sz w:val="20"/>
          <w:szCs w:val="20"/>
        </w:rPr>
        <w:t xml:space="preserve"> concluyó que, de acuerdo con el marco del riguroso control que deben observar los Estados en los casos que involucren la aplicación de la pena de muerte, el proceso penal al que fueron sometidas las presuntas víctimas fue violatorio de los derechos humanos de legalidad, </w:t>
      </w:r>
      <w:proofErr w:type="gramStart"/>
      <w:r w:rsidRPr="006B0525">
        <w:rPr>
          <w:rFonts w:ascii="Verdana" w:hAnsi="Verdana"/>
          <w:sz w:val="20"/>
          <w:szCs w:val="20"/>
        </w:rPr>
        <w:t>garantías judiciales y protección judicial</w:t>
      </w:r>
      <w:proofErr w:type="gramEnd"/>
      <w:r w:rsidRPr="006B0525">
        <w:rPr>
          <w:rFonts w:ascii="Verdana" w:hAnsi="Verdana"/>
          <w:sz w:val="20"/>
          <w:szCs w:val="20"/>
        </w:rPr>
        <w:t xml:space="preserve">, establecidos en los artículos 8.1, 8.2.h), 9 y 25.1, en relación con las obligaciones establecidas por los artículos 1.1. y 2 de la Convención Americana; así como los artículos 8.2 y 8.2.c) en relación con las obligaciones derivadas del artículo 1.1 del mismo tratado. Asimismo, dado que la regulación de las funciones del juzgador implicaba necesariamente que se desempeñara en las etapas de control y sentencia, se generó una afectación a la imparcialidad objetiva del tribunal, ya que ello implicó que previo a resolver habría realizado una preconcepción sobre el encuadramiento al tipo penal de la conducta de los acusados; sin que en el caso concreto el Estado aportara elementos para demostrar que dicha circunstancia no se materializó. Además, consideró que la garantía de motivación fue afectada en virtud de que dos pruebas determinantes en la imposición de la pena fueron valoradas a pesar de no cumplir con las formalidades que exigía la legislación aplicable; aunado a que en la sentencia no se explicó de manera suficiente y clara las razones por las cuales lo anterior no afectaba las posibilidades de defensa de los procesados y su presunción de inocencia, así como tampoco por qué se descartaron los elementos de prueba ofrecidos por la defensa. Por último, consideró que </w:t>
      </w:r>
      <w:proofErr w:type="gramStart"/>
      <w:r w:rsidRPr="006B0525">
        <w:rPr>
          <w:rFonts w:ascii="Verdana" w:hAnsi="Verdana"/>
          <w:sz w:val="20"/>
          <w:szCs w:val="20"/>
        </w:rPr>
        <w:t>ninguno de los recursos interpuestos por las presuntas víctimas resultaron</w:t>
      </w:r>
      <w:proofErr w:type="gramEnd"/>
      <w:r w:rsidRPr="006B0525">
        <w:rPr>
          <w:rFonts w:ascii="Verdana" w:hAnsi="Verdana"/>
          <w:sz w:val="20"/>
          <w:szCs w:val="20"/>
        </w:rPr>
        <w:t xml:space="preserve"> efectivos y acordes con los estándares internacionales en materia de derechos humanos, al estar regulados con un margen de actuación limitado a errores de procedimientos, excluyendo el análisis de los hechos y las pruebas.</w:t>
      </w:r>
      <w:r w:rsidR="000F0120" w:rsidRPr="006B0525">
        <w:rPr>
          <w:rFonts w:ascii="Verdana" w:hAnsi="Verdana"/>
          <w:sz w:val="20"/>
          <w:szCs w:val="20"/>
        </w:rPr>
        <w:t xml:space="preserve"> </w:t>
      </w:r>
    </w:p>
    <w:p w14:paraId="1CAE30E6" w14:textId="77777777" w:rsidR="00513FB5" w:rsidRPr="006B0525" w:rsidRDefault="002F21AD" w:rsidP="00513FB5">
      <w:pPr>
        <w:spacing w:line="240" w:lineRule="auto"/>
      </w:pPr>
      <w:r>
        <w:t xml:space="preserve"> </w:t>
      </w:r>
    </w:p>
    <w:p w14:paraId="6196A585" w14:textId="77777777" w:rsidR="00513FB5" w:rsidRPr="006B0525" w:rsidRDefault="00513FB5" w:rsidP="00513FB5">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Las </w:t>
      </w:r>
      <w:r w:rsidRPr="006B0525">
        <w:rPr>
          <w:rFonts w:ascii="Verdana" w:hAnsi="Verdana"/>
          <w:b/>
          <w:i/>
          <w:sz w:val="20"/>
          <w:szCs w:val="20"/>
        </w:rPr>
        <w:t>representantes</w:t>
      </w:r>
      <w:r w:rsidRPr="006B0525">
        <w:rPr>
          <w:rFonts w:ascii="Verdana" w:hAnsi="Verdana"/>
          <w:sz w:val="20"/>
          <w:szCs w:val="20"/>
        </w:rPr>
        <w:t xml:space="preserve"> alegaron que la condena impuesta violó los artículos 8, 8.1, 8.2</w:t>
      </w:r>
      <w:r w:rsidR="001E592D">
        <w:rPr>
          <w:rFonts w:ascii="Verdana" w:hAnsi="Verdana"/>
          <w:sz w:val="20"/>
          <w:szCs w:val="20"/>
        </w:rPr>
        <w:t>.</w:t>
      </w:r>
      <w:r w:rsidRPr="006B0525">
        <w:rPr>
          <w:rFonts w:ascii="Verdana" w:hAnsi="Verdana"/>
          <w:sz w:val="20"/>
          <w:szCs w:val="20"/>
        </w:rPr>
        <w:t xml:space="preserve">c), 8.2.h) y 25, en relación los artículos 1.1 y 2; así como los artículos 8.2 y 8.2 b), en relación con el artículo 1.1 de la Convención Americana. En este sentido, afirmaron que existió violación a las garantías judiciales y al derecho a la protección judicial efectiva, coincidiendo con los señalamientos de la Comisión relativos a que dos elementos determinantes de los medios de prueba no siguieron los requisitos legales previstos, así como que hubo una evidente selectividad de pruebas. En adición a ello, manifestaron que existió imparcialidad subjetiva, ya que el </w:t>
      </w:r>
      <w:proofErr w:type="gramStart"/>
      <w:r w:rsidRPr="006B0525">
        <w:rPr>
          <w:rFonts w:ascii="Verdana" w:hAnsi="Verdana"/>
          <w:sz w:val="20"/>
          <w:szCs w:val="20"/>
        </w:rPr>
        <w:t>Presidente</w:t>
      </w:r>
      <w:proofErr w:type="gramEnd"/>
      <w:r w:rsidRPr="006B0525">
        <w:rPr>
          <w:rFonts w:ascii="Verdana" w:hAnsi="Verdana"/>
          <w:sz w:val="20"/>
          <w:szCs w:val="20"/>
        </w:rPr>
        <w:t xml:space="preserve"> del Tribunal realizó manifestaciones que evidenciaron que, previo al desahogo total del proceso, ya había adoptado una </w:t>
      </w:r>
      <w:r w:rsidRPr="006B0525">
        <w:rPr>
          <w:rFonts w:ascii="Verdana" w:hAnsi="Verdana"/>
          <w:sz w:val="20"/>
          <w:szCs w:val="20"/>
        </w:rPr>
        <w:lastRenderedPageBreak/>
        <w:t xml:space="preserve">postura sobre el sentido de su resolución, y objetiva, debido a la estructura del sistema procesal, en los términos que indicó la Comisión. De igual forma, refirieron la violación a la presunción de inocencia y a ser informados sobre la acusación formulada, puesto que con anterioridad al inicio del proceso se hicieron prejuzgamientos sobre su culpabilidad. </w:t>
      </w:r>
    </w:p>
    <w:p w14:paraId="6B58C178" w14:textId="77777777" w:rsidR="00513FB5" w:rsidRPr="006B0525" w:rsidRDefault="00513FB5" w:rsidP="00513FB5">
      <w:pPr>
        <w:pStyle w:val="Normal1"/>
        <w:widowControl/>
        <w:jc w:val="both"/>
        <w:rPr>
          <w:rFonts w:ascii="Verdana" w:hAnsi="Verdana"/>
          <w:sz w:val="20"/>
          <w:szCs w:val="20"/>
        </w:rPr>
      </w:pPr>
    </w:p>
    <w:p w14:paraId="470316D9" w14:textId="77777777" w:rsidR="00513FB5" w:rsidRPr="006B0525" w:rsidRDefault="00513FB5" w:rsidP="00513FB5">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En lo relativo al derecho de defensa, las representantes aludieron que a las presuntas víctimas les fue negada la posibilidad de controvertir las pruebas presentadas durante el procedimiento y de ejercer una defensa técnica adecuada. En cuanto a la motivación insuficiente, reiteraron lo aducido por la Comisión y añadieron que no fueron observados los requerimientos acerca de los procedimientos y calificaciones de los peritos, así como que el órgano judicial no realizó una valoración del comportamiento previo o posterior de los acusados como una circunstancia atenuante de la pena para excluir la pena capital como sanción.</w:t>
      </w:r>
    </w:p>
    <w:p w14:paraId="5C905F38" w14:textId="77777777" w:rsidR="00513FB5" w:rsidRPr="006B0525" w:rsidRDefault="00513FB5" w:rsidP="00513FB5">
      <w:pPr>
        <w:pStyle w:val="Normal1"/>
        <w:widowControl/>
        <w:jc w:val="both"/>
        <w:rPr>
          <w:rFonts w:ascii="Verdana" w:hAnsi="Verdana"/>
          <w:sz w:val="20"/>
          <w:szCs w:val="20"/>
        </w:rPr>
      </w:pPr>
    </w:p>
    <w:p w14:paraId="29A1BFC3" w14:textId="77777777" w:rsidR="00513FB5" w:rsidRPr="006B0525" w:rsidRDefault="00513FB5" w:rsidP="00513FB5">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En lo que atañe a la violación al derecho a un recurso efectivo, manifestaron que el Estado es responsable por no garantizar tal derecho debido a que los distintos recursos interpuestos fueron resueltos faltando a la fundamentación legal y, por sus características, carecían de efectividad para la defensa de los acusados.</w:t>
      </w:r>
      <w:r w:rsidR="002F21AD">
        <w:rPr>
          <w:rFonts w:ascii="Verdana" w:hAnsi="Verdana"/>
          <w:sz w:val="20"/>
          <w:szCs w:val="20"/>
        </w:rPr>
        <w:t xml:space="preserve"> </w:t>
      </w:r>
    </w:p>
    <w:p w14:paraId="3D465C34" w14:textId="77777777" w:rsidR="00513FB5" w:rsidRPr="006B0525" w:rsidRDefault="00513FB5" w:rsidP="00513FB5">
      <w:pPr>
        <w:pStyle w:val="Normal1"/>
        <w:widowControl/>
        <w:jc w:val="both"/>
        <w:rPr>
          <w:rFonts w:ascii="Verdana" w:hAnsi="Verdana"/>
          <w:sz w:val="20"/>
          <w:szCs w:val="20"/>
        </w:rPr>
      </w:pPr>
    </w:p>
    <w:p w14:paraId="4F4C11DA" w14:textId="77777777" w:rsidR="00513FB5" w:rsidRPr="006B0525" w:rsidRDefault="00513FB5" w:rsidP="00513FB5">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El </w:t>
      </w:r>
      <w:r w:rsidRPr="006B0525">
        <w:rPr>
          <w:rFonts w:ascii="Verdana" w:hAnsi="Verdana"/>
          <w:b/>
          <w:i/>
          <w:sz w:val="20"/>
          <w:szCs w:val="20"/>
        </w:rPr>
        <w:t>Estado</w:t>
      </w:r>
      <w:r w:rsidRPr="006B0525">
        <w:rPr>
          <w:rFonts w:ascii="Verdana" w:hAnsi="Verdana"/>
          <w:i/>
          <w:sz w:val="20"/>
          <w:szCs w:val="20"/>
        </w:rPr>
        <w:t xml:space="preserve"> </w:t>
      </w:r>
      <w:r w:rsidRPr="006B0525">
        <w:rPr>
          <w:rFonts w:ascii="Verdana" w:hAnsi="Verdana"/>
          <w:sz w:val="20"/>
          <w:szCs w:val="20"/>
        </w:rPr>
        <w:t xml:space="preserve">solicitó que se declarara su falta de responsabilidad internacional respecto de la violación de los artículos 8.1, 9 y 25.1 de la Convención Americana al argumentar que el juicio instado en contra de las presuntas víctimas cumplió con el debido proceso legal establecido en la normativa interna. Por último, expuso que, </w:t>
      </w:r>
      <w:proofErr w:type="gramStart"/>
      <w:r w:rsidRPr="006B0525">
        <w:rPr>
          <w:rFonts w:ascii="Verdana" w:hAnsi="Verdana"/>
          <w:sz w:val="20"/>
          <w:szCs w:val="20"/>
        </w:rPr>
        <w:t>en razón del</w:t>
      </w:r>
      <w:proofErr w:type="gramEnd"/>
      <w:r w:rsidRPr="006B0525">
        <w:rPr>
          <w:rFonts w:ascii="Verdana" w:hAnsi="Verdana"/>
          <w:sz w:val="20"/>
          <w:szCs w:val="20"/>
        </w:rPr>
        <w:t xml:space="preserve"> carácter subsidiario del </w:t>
      </w:r>
      <w:r w:rsidR="002B37D0">
        <w:rPr>
          <w:rFonts w:ascii="Verdana" w:hAnsi="Verdana"/>
          <w:sz w:val="20"/>
          <w:szCs w:val="20"/>
        </w:rPr>
        <w:t>s</w:t>
      </w:r>
      <w:r w:rsidRPr="006B0525">
        <w:rPr>
          <w:rFonts w:ascii="Verdana" w:hAnsi="Verdana"/>
          <w:sz w:val="20"/>
          <w:szCs w:val="20"/>
        </w:rPr>
        <w:t xml:space="preserve">istema </w:t>
      </w:r>
      <w:r w:rsidR="002B37D0">
        <w:rPr>
          <w:rFonts w:ascii="Verdana" w:hAnsi="Verdana"/>
          <w:sz w:val="20"/>
          <w:szCs w:val="20"/>
        </w:rPr>
        <w:t>i</w:t>
      </w:r>
      <w:r w:rsidRPr="006B0525">
        <w:rPr>
          <w:rFonts w:ascii="Verdana" w:hAnsi="Verdana"/>
          <w:sz w:val="20"/>
          <w:szCs w:val="20"/>
        </w:rPr>
        <w:t>nteramericano, la Corte Interamericana no puede constituirse como una instancia de apelación de sentencias dictadas por los tribunales nacionales, por lo que no cuenta con facultades para crear o tipificar nuevas figuras legale</w:t>
      </w:r>
      <w:r w:rsidR="007B7D1D">
        <w:rPr>
          <w:rFonts w:ascii="Verdana" w:hAnsi="Verdana"/>
          <w:sz w:val="20"/>
          <w:szCs w:val="20"/>
        </w:rPr>
        <w:t>s en las legislaciones internas.</w:t>
      </w:r>
    </w:p>
    <w:p w14:paraId="3455C5AB" w14:textId="77777777" w:rsidR="00530549" w:rsidRPr="006B0525" w:rsidRDefault="00530549" w:rsidP="00530549">
      <w:pPr>
        <w:pStyle w:val="Ttulo2"/>
      </w:pPr>
      <w:bookmarkStart w:id="69" w:name="_Toc26177816"/>
      <w:r w:rsidRPr="006B0525">
        <w:t>B. Consideraciones de la Corte</w:t>
      </w:r>
      <w:bookmarkEnd w:id="69"/>
    </w:p>
    <w:p w14:paraId="598CF30F"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lang w:val="es-ES"/>
        </w:rPr>
        <w:t xml:space="preserve">En </w:t>
      </w:r>
      <w:r w:rsidR="00CE4855">
        <w:rPr>
          <w:rFonts w:ascii="Verdana" w:hAnsi="Verdana"/>
          <w:sz w:val="20"/>
          <w:szCs w:val="20"/>
          <w:lang w:val="es-ES"/>
        </w:rPr>
        <w:t>el presente</w:t>
      </w:r>
      <w:r w:rsidRPr="006B0525">
        <w:rPr>
          <w:rFonts w:ascii="Verdana" w:hAnsi="Verdana"/>
          <w:sz w:val="20"/>
          <w:szCs w:val="20"/>
          <w:lang w:val="es-ES"/>
        </w:rPr>
        <w:t xml:space="preserve"> caso la Corte ha sido llamada a determinar si en el proceso penal seguido en contra de los señores </w:t>
      </w:r>
      <w:r w:rsidRPr="006B0525">
        <w:rPr>
          <w:rFonts w:ascii="Verdana" w:hAnsi="Verdana"/>
          <w:sz w:val="20"/>
          <w:szCs w:val="20"/>
        </w:rPr>
        <w:t>Rodríguez Revolorio, López Calo y Archila Pérez</w:t>
      </w:r>
      <w:r w:rsidRPr="006B0525">
        <w:rPr>
          <w:rFonts w:ascii="Verdana" w:hAnsi="Verdana"/>
          <w:sz w:val="20"/>
          <w:szCs w:val="20"/>
          <w:lang w:val="es-ES"/>
        </w:rPr>
        <w:t xml:space="preserve">, el cual culminó en una sentencia condenatoria a pena de muerte, fueron observadas las </w:t>
      </w:r>
      <w:r w:rsidRPr="006B0525">
        <w:rPr>
          <w:rFonts w:ascii="Verdana" w:hAnsi="Verdana"/>
          <w:sz w:val="20"/>
          <w:szCs w:val="20"/>
        </w:rPr>
        <w:t>garantías</w:t>
      </w:r>
      <w:r w:rsidRPr="006B0525">
        <w:rPr>
          <w:rFonts w:ascii="Verdana" w:hAnsi="Verdana"/>
          <w:sz w:val="20"/>
          <w:szCs w:val="20"/>
          <w:lang w:val="es-ES"/>
        </w:rPr>
        <w:t xml:space="preserve"> del debido proceso según lo exige, en particular, el artículo 8 de la Convención, y si dichas personas tuvieron acceso a un recurso efectivo en los términos del artículo 25 de aquella, ambos en relación con el artículo 1.1 de ese instrumento. </w:t>
      </w:r>
    </w:p>
    <w:p w14:paraId="0F555A4C" w14:textId="77777777" w:rsidR="00513FB5" w:rsidRPr="006B0525" w:rsidRDefault="00513FB5" w:rsidP="00513FB5">
      <w:pPr>
        <w:pStyle w:val="Normal1"/>
        <w:widowControl/>
        <w:jc w:val="both"/>
        <w:rPr>
          <w:rFonts w:ascii="Verdana" w:eastAsia="Verdana" w:hAnsi="Verdana" w:cs="Verdana"/>
          <w:sz w:val="20"/>
          <w:szCs w:val="20"/>
        </w:rPr>
      </w:pPr>
    </w:p>
    <w:p w14:paraId="5875D2E6"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rPr>
        <w:t xml:space="preserve">La Corte ha señalado que el derecho al debido proceso se refiere al conjunto de requisitos que deben observarse en las instancias procesales a efectos de que las personas estén en condiciones de defender adecuadamente sus derechos ante cualquier acto del Estado, adoptado por cualquier </w:t>
      </w:r>
      <w:proofErr w:type="gramStart"/>
      <w:r w:rsidRPr="006B0525">
        <w:rPr>
          <w:rFonts w:ascii="Verdana" w:hAnsi="Verdana"/>
          <w:sz w:val="20"/>
          <w:szCs w:val="20"/>
        </w:rPr>
        <w:t>autoridad pública</w:t>
      </w:r>
      <w:proofErr w:type="gramEnd"/>
      <w:r w:rsidRPr="006B0525">
        <w:rPr>
          <w:rFonts w:ascii="Verdana" w:hAnsi="Verdana"/>
          <w:sz w:val="20"/>
          <w:szCs w:val="20"/>
        </w:rPr>
        <w:t>, sea administrativa, legislativa o judicial, que pueda afectarlos</w:t>
      </w:r>
      <w:r w:rsidRPr="006B0525">
        <w:rPr>
          <w:rFonts w:ascii="Verdana" w:hAnsi="Verdana"/>
          <w:sz w:val="20"/>
          <w:szCs w:val="20"/>
          <w:vertAlign w:val="superscript"/>
        </w:rPr>
        <w:footnoteReference w:id="140"/>
      </w:r>
      <w:r w:rsidRPr="006B0525">
        <w:rPr>
          <w:rFonts w:ascii="Verdana" w:hAnsi="Verdana"/>
          <w:sz w:val="20"/>
          <w:szCs w:val="20"/>
        </w:rPr>
        <w:t xml:space="preserve">. </w:t>
      </w:r>
    </w:p>
    <w:p w14:paraId="3B28B1B9" w14:textId="77777777" w:rsidR="00513FB5" w:rsidRPr="006B0525" w:rsidRDefault="00513FB5" w:rsidP="00513FB5">
      <w:pPr>
        <w:pStyle w:val="Normal1"/>
        <w:widowControl/>
        <w:jc w:val="both"/>
        <w:rPr>
          <w:rFonts w:ascii="Verdana" w:eastAsia="Verdana" w:hAnsi="Verdana" w:cs="Verdana"/>
          <w:sz w:val="20"/>
          <w:szCs w:val="20"/>
        </w:rPr>
      </w:pPr>
    </w:p>
    <w:p w14:paraId="2336DCD4"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rPr>
        <w:t xml:space="preserve">En términos convencionales el debido proceso se traduce centralmente en las “garantías judiciales” reconocidas en el artículo 8 de la Convención Americana. La referida disposición convencional contempla un sistema de garantías que condicionan el ejercicio del </w:t>
      </w:r>
      <w:r w:rsidRPr="006B0525">
        <w:rPr>
          <w:rFonts w:ascii="Verdana" w:hAnsi="Verdana"/>
          <w:i/>
          <w:sz w:val="20"/>
          <w:szCs w:val="20"/>
        </w:rPr>
        <w:t>ius puniendi</w:t>
      </w:r>
      <w:r w:rsidRPr="006B0525">
        <w:rPr>
          <w:rFonts w:ascii="Verdana" w:hAnsi="Verdana"/>
          <w:sz w:val="20"/>
          <w:szCs w:val="20"/>
        </w:rPr>
        <w:t xml:space="preserve"> del Estado y que buscan asegurar que el inculpado o imputado no sea sometido a decisiones arbitrarias, toda vez que se deben observar “las debidas garantías” que aseguren, según el procedimiento de que se trate, el derecho al debido proceso</w:t>
      </w:r>
      <w:r w:rsidRPr="006B0525">
        <w:rPr>
          <w:rFonts w:ascii="Verdana" w:hAnsi="Verdana"/>
          <w:sz w:val="20"/>
          <w:szCs w:val="20"/>
          <w:vertAlign w:val="superscript"/>
        </w:rPr>
        <w:footnoteReference w:id="141"/>
      </w:r>
      <w:r w:rsidRPr="006B0525">
        <w:rPr>
          <w:rFonts w:ascii="Verdana" w:hAnsi="Verdana"/>
          <w:sz w:val="20"/>
          <w:szCs w:val="20"/>
        </w:rPr>
        <w:t xml:space="preserve">. Desde el inicio de las primeras diligencias de un proceso </w:t>
      </w:r>
      <w:r w:rsidRPr="006B0525">
        <w:rPr>
          <w:rFonts w:ascii="Verdana" w:hAnsi="Verdana"/>
          <w:sz w:val="20"/>
          <w:szCs w:val="20"/>
        </w:rPr>
        <w:lastRenderedPageBreak/>
        <w:t>deben concurrir las máximas garantías procesales para salvaguardar el derecho del imputado a la defensa</w:t>
      </w:r>
      <w:r w:rsidRPr="006B0525">
        <w:rPr>
          <w:rFonts w:ascii="Verdana" w:hAnsi="Verdana"/>
          <w:sz w:val="20"/>
          <w:szCs w:val="20"/>
          <w:vertAlign w:val="superscript"/>
        </w:rPr>
        <w:footnoteReference w:id="142"/>
      </w:r>
      <w:r w:rsidRPr="006B0525">
        <w:rPr>
          <w:rFonts w:ascii="Verdana" w:hAnsi="Verdana"/>
          <w:sz w:val="20"/>
          <w:szCs w:val="20"/>
        </w:rPr>
        <w:t>. Asimismo, deben concurrir los elementos necesarios para que exista el mayor equilibrio entre las partes, para la debida defensa de sus intereses y derechos, lo cual implica, entre otras cosas, que rija el principio de contradictorio</w:t>
      </w:r>
      <w:r w:rsidRPr="006B0525">
        <w:rPr>
          <w:rFonts w:ascii="Verdana" w:hAnsi="Verdana"/>
          <w:sz w:val="20"/>
          <w:szCs w:val="20"/>
          <w:vertAlign w:val="superscript"/>
        </w:rPr>
        <w:footnoteReference w:id="143"/>
      </w:r>
      <w:r w:rsidRPr="006B0525">
        <w:rPr>
          <w:rFonts w:ascii="Verdana" w:hAnsi="Verdana"/>
          <w:sz w:val="20"/>
          <w:szCs w:val="20"/>
        </w:rPr>
        <w:t>.</w:t>
      </w:r>
    </w:p>
    <w:p w14:paraId="0AC26399" w14:textId="77777777" w:rsidR="00530549" w:rsidRPr="006B0525" w:rsidRDefault="00530549" w:rsidP="00530549">
      <w:pPr>
        <w:pStyle w:val="Ttulo3"/>
      </w:pPr>
      <w:bookmarkStart w:id="70" w:name="_Toc26177817"/>
      <w:r w:rsidRPr="006B0525">
        <w:t>b.1 Derecho a contar con un juez imparcial y el principio de presunción de inocencia</w:t>
      </w:r>
      <w:bookmarkEnd w:id="70"/>
    </w:p>
    <w:p w14:paraId="5E7388FF" w14:textId="77777777" w:rsidR="00513FB5" w:rsidRPr="006B0525" w:rsidRDefault="00513FB5" w:rsidP="00513FB5">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lang w:val="es-CO"/>
        </w:rPr>
        <w:t>En el presente caso, la Comisión y las representantes alegaron que el Estado violó la garantía de imparcialidad y el principio de presunción de inocencia con base en dos cuestionamientos. El primero se basa en que el presidente del Tribunal Cuarto de Sentencia</w:t>
      </w:r>
      <w:r w:rsidR="00CC58D2">
        <w:rPr>
          <w:rFonts w:ascii="Verdana" w:hAnsi="Verdana"/>
          <w:sz w:val="20"/>
          <w:szCs w:val="20"/>
          <w:lang w:val="es-CO"/>
        </w:rPr>
        <w:t>, el</w:t>
      </w:r>
      <w:r w:rsidRPr="006B0525">
        <w:rPr>
          <w:rFonts w:ascii="Verdana" w:hAnsi="Verdana"/>
          <w:sz w:val="20"/>
          <w:szCs w:val="20"/>
          <w:lang w:val="es-CO"/>
        </w:rPr>
        <w:t xml:space="preserve"> señor </w:t>
      </w:r>
      <w:r w:rsidRPr="006B0525">
        <w:rPr>
          <w:rFonts w:ascii="Verdana" w:eastAsia="Verdana" w:hAnsi="Verdana" w:cs="Verdana"/>
          <w:sz w:val="20"/>
          <w:szCs w:val="20"/>
        </w:rPr>
        <w:t>H</w:t>
      </w:r>
      <w:r w:rsidR="00CE4855">
        <w:rPr>
          <w:rFonts w:ascii="Verdana" w:eastAsia="Verdana" w:hAnsi="Verdana" w:cs="Verdana"/>
          <w:sz w:val="20"/>
          <w:szCs w:val="20"/>
        </w:rPr>
        <w:t>.</w:t>
      </w:r>
      <w:r w:rsidRPr="006B0525">
        <w:rPr>
          <w:rFonts w:ascii="Verdana" w:eastAsia="Verdana" w:hAnsi="Verdana" w:cs="Verdana"/>
          <w:sz w:val="20"/>
          <w:szCs w:val="20"/>
        </w:rPr>
        <w:t>S</w:t>
      </w:r>
      <w:r w:rsidR="00CE4855">
        <w:rPr>
          <w:rFonts w:ascii="Verdana" w:eastAsia="Verdana" w:hAnsi="Verdana" w:cs="Verdana"/>
          <w:sz w:val="20"/>
          <w:szCs w:val="20"/>
        </w:rPr>
        <w:t>.</w:t>
      </w:r>
      <w:r w:rsidRPr="006B0525">
        <w:rPr>
          <w:rFonts w:ascii="Verdana" w:eastAsia="Verdana" w:hAnsi="Verdana" w:cs="Verdana"/>
          <w:sz w:val="20"/>
          <w:szCs w:val="20"/>
        </w:rPr>
        <w:t>H</w:t>
      </w:r>
      <w:r w:rsidR="00CE4855">
        <w:rPr>
          <w:rFonts w:ascii="Verdana" w:eastAsia="Verdana" w:hAnsi="Verdana" w:cs="Verdana"/>
          <w:sz w:val="20"/>
          <w:szCs w:val="20"/>
        </w:rPr>
        <w:t>.</w:t>
      </w:r>
      <w:r w:rsidR="00CC58D2">
        <w:rPr>
          <w:rFonts w:ascii="Verdana" w:eastAsia="Verdana" w:hAnsi="Verdana" w:cs="Verdana"/>
          <w:sz w:val="20"/>
          <w:szCs w:val="20"/>
        </w:rPr>
        <w:t>,</w:t>
      </w:r>
      <w:r w:rsidRPr="006B0525">
        <w:rPr>
          <w:rFonts w:ascii="Verdana" w:eastAsia="Verdana" w:hAnsi="Verdana" w:cs="Verdana"/>
          <w:sz w:val="20"/>
          <w:szCs w:val="20"/>
        </w:rPr>
        <w:t xml:space="preserve"> </w:t>
      </w:r>
      <w:r w:rsidRPr="006B0525">
        <w:rPr>
          <w:rFonts w:ascii="Verdana" w:hAnsi="Verdana"/>
          <w:sz w:val="20"/>
          <w:szCs w:val="20"/>
        </w:rPr>
        <w:t xml:space="preserve">habría manifestado frente a uno de los defensores de las presuntas víctimas y un perito que “con o sin un experto, ellos serán condenados”. El segundo cuestionamiento se fundamenta en que el </w:t>
      </w:r>
      <w:r w:rsidRPr="006B0525">
        <w:rPr>
          <w:rFonts w:ascii="Verdana" w:hAnsi="Verdana"/>
          <w:sz w:val="20"/>
          <w:szCs w:val="20"/>
          <w:lang w:val="es-CO"/>
        </w:rPr>
        <w:t xml:space="preserve">señor </w:t>
      </w:r>
      <w:r w:rsidRPr="006B0525">
        <w:rPr>
          <w:rFonts w:ascii="Verdana" w:eastAsia="Verdana" w:hAnsi="Verdana" w:cs="Verdana"/>
          <w:sz w:val="20"/>
          <w:szCs w:val="20"/>
        </w:rPr>
        <w:t>H</w:t>
      </w:r>
      <w:r w:rsidR="00CE4855">
        <w:rPr>
          <w:rFonts w:ascii="Verdana" w:eastAsia="Verdana" w:hAnsi="Verdana" w:cs="Verdana"/>
          <w:sz w:val="20"/>
          <w:szCs w:val="20"/>
        </w:rPr>
        <w:t>.</w:t>
      </w:r>
      <w:r w:rsidRPr="006B0525">
        <w:rPr>
          <w:rFonts w:ascii="Verdana" w:eastAsia="Verdana" w:hAnsi="Verdana" w:cs="Verdana"/>
          <w:sz w:val="20"/>
          <w:szCs w:val="20"/>
        </w:rPr>
        <w:t>S</w:t>
      </w:r>
      <w:r w:rsidR="00CE4855">
        <w:rPr>
          <w:rFonts w:ascii="Verdana" w:eastAsia="Verdana" w:hAnsi="Verdana" w:cs="Verdana"/>
          <w:sz w:val="20"/>
          <w:szCs w:val="20"/>
        </w:rPr>
        <w:t>.</w:t>
      </w:r>
      <w:r w:rsidRPr="006B0525">
        <w:rPr>
          <w:rFonts w:ascii="Verdana" w:eastAsia="Verdana" w:hAnsi="Verdana" w:cs="Verdana"/>
          <w:sz w:val="20"/>
          <w:szCs w:val="20"/>
        </w:rPr>
        <w:t>H</w:t>
      </w:r>
      <w:r w:rsidR="00CE4855">
        <w:rPr>
          <w:rFonts w:ascii="Verdana" w:eastAsia="Verdana" w:hAnsi="Verdana" w:cs="Verdana"/>
          <w:sz w:val="20"/>
          <w:szCs w:val="20"/>
        </w:rPr>
        <w:t>.</w:t>
      </w:r>
      <w:r w:rsidRPr="006B0525">
        <w:rPr>
          <w:rFonts w:ascii="Verdana" w:eastAsia="Verdana" w:hAnsi="Verdana" w:cs="Verdana"/>
          <w:sz w:val="20"/>
          <w:szCs w:val="20"/>
        </w:rPr>
        <w:t xml:space="preserve"> </w:t>
      </w:r>
      <w:r w:rsidRPr="006B0525">
        <w:rPr>
          <w:rFonts w:ascii="Verdana" w:hAnsi="Verdana"/>
          <w:sz w:val="20"/>
          <w:szCs w:val="20"/>
          <w:lang w:val="es-CO"/>
        </w:rPr>
        <w:t>fungió como juez de control en la etapa de investigación</w:t>
      </w:r>
      <w:r w:rsidRPr="006B0525">
        <w:rPr>
          <w:rStyle w:val="Refdenotaalpie"/>
          <w:rFonts w:ascii="Verdana" w:eastAsiaTheme="majorEastAsia" w:hAnsi="Verdana"/>
          <w:sz w:val="20"/>
          <w:szCs w:val="20"/>
          <w:lang w:val="es-CO"/>
        </w:rPr>
        <w:footnoteReference w:id="144"/>
      </w:r>
      <w:r w:rsidRPr="006B0525">
        <w:rPr>
          <w:rFonts w:ascii="Verdana" w:hAnsi="Verdana"/>
          <w:sz w:val="20"/>
          <w:szCs w:val="20"/>
          <w:lang w:val="es-CO"/>
        </w:rPr>
        <w:t xml:space="preserve"> del caso, y luego se desempeñó como presidente del Tribunal </w:t>
      </w:r>
      <w:r w:rsidRPr="006B0525">
        <w:rPr>
          <w:rFonts w:ascii="Verdana" w:hAnsi="Verdana"/>
          <w:sz w:val="20"/>
          <w:szCs w:val="20"/>
        </w:rPr>
        <w:t>Cuarto de Sentencia Penal, Narcoactividad y Delitos contra el Ambiente, el cual impuso la condena a las presuntas víctimas</w:t>
      </w:r>
      <w:r w:rsidRPr="006B0525">
        <w:rPr>
          <w:rStyle w:val="Refdenotaalpie"/>
          <w:rFonts w:ascii="Verdana" w:eastAsiaTheme="majorEastAsia" w:hAnsi="Verdana"/>
          <w:sz w:val="20"/>
          <w:szCs w:val="20"/>
        </w:rPr>
        <w:footnoteReference w:id="145"/>
      </w:r>
      <w:r w:rsidRPr="006B0525">
        <w:rPr>
          <w:rFonts w:ascii="Verdana" w:hAnsi="Verdana"/>
          <w:sz w:val="20"/>
          <w:szCs w:val="20"/>
        </w:rPr>
        <w:t>.</w:t>
      </w:r>
    </w:p>
    <w:p w14:paraId="115B831E" w14:textId="77777777" w:rsidR="00513FB5" w:rsidRPr="006B0525" w:rsidRDefault="00513FB5" w:rsidP="00513FB5">
      <w:pPr>
        <w:pStyle w:val="Normal1"/>
        <w:widowControl/>
        <w:jc w:val="both"/>
        <w:rPr>
          <w:rFonts w:ascii="Verdana" w:hAnsi="Verdana"/>
          <w:sz w:val="20"/>
          <w:szCs w:val="20"/>
        </w:rPr>
      </w:pPr>
    </w:p>
    <w:p w14:paraId="7EC1DFA0" w14:textId="77777777" w:rsidR="00513FB5" w:rsidRPr="006B0525" w:rsidRDefault="00513FB5" w:rsidP="00513FB5">
      <w:pPr>
        <w:pStyle w:val="Normal1"/>
        <w:widowControl/>
        <w:numPr>
          <w:ilvl w:val="0"/>
          <w:numId w:val="4"/>
        </w:numPr>
        <w:ind w:left="0" w:firstLine="0"/>
        <w:contextualSpacing/>
        <w:jc w:val="both"/>
        <w:rPr>
          <w:rFonts w:ascii="Verdana" w:hAnsi="Verdana"/>
          <w:sz w:val="20"/>
          <w:szCs w:val="20"/>
        </w:rPr>
      </w:pPr>
      <w:proofErr w:type="gramStart"/>
      <w:r w:rsidRPr="006B0525">
        <w:rPr>
          <w:rFonts w:ascii="Verdana" w:hAnsi="Verdana"/>
          <w:sz w:val="20"/>
          <w:szCs w:val="20"/>
        </w:rPr>
        <w:t>En razón de</w:t>
      </w:r>
      <w:proofErr w:type="gramEnd"/>
      <w:r w:rsidRPr="006B0525">
        <w:rPr>
          <w:rFonts w:ascii="Verdana" w:hAnsi="Verdana"/>
          <w:sz w:val="20"/>
          <w:szCs w:val="20"/>
        </w:rPr>
        <w:t xml:space="preserve"> lo anteriormente planteado, corresponde a la Corte determinar si en el presente caso, el Estado incurrió en una violación internacional de sus obligaciones establecidas en el artículo 8.1 y 8.2 de la Convención Americana. </w:t>
      </w:r>
    </w:p>
    <w:p w14:paraId="6EACF322" w14:textId="77777777" w:rsidR="00513FB5" w:rsidRPr="006B0525" w:rsidRDefault="00513FB5" w:rsidP="00513FB5">
      <w:pPr>
        <w:pStyle w:val="Normal1"/>
        <w:widowControl/>
        <w:jc w:val="both"/>
        <w:rPr>
          <w:rFonts w:ascii="Verdana" w:eastAsia="Verdana" w:hAnsi="Verdana" w:cs="Verdana"/>
          <w:sz w:val="20"/>
          <w:szCs w:val="20"/>
        </w:rPr>
      </w:pPr>
    </w:p>
    <w:p w14:paraId="7BF862D9"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rPr>
        <w:t>La Corte recuerda que el derecho a ser juzgado por un juez o tribunal imparcial es una garantía fundamental del debido proceso, debiéndose garantizar que el juez o tribunal en el ejercicio de su función como juzgador cuente con la mayor objetividad para enfrentar el juicio. Este Tribunal ha establecido que la imparcialidad exige que el juez que interviene en una contienda particular se aproxime a los hechos de la causa careciendo, de manera subjetiva, de todo prejuicio y, asimismo, ofreciendo garantías suficientes de índole objetiva que inspiren la confianza necesaria a las partes en el caso, así como a los ciudadanos en una sociedad democrática</w:t>
      </w:r>
      <w:r w:rsidRPr="006B0525">
        <w:rPr>
          <w:rStyle w:val="Refdenotaalpie"/>
          <w:rFonts w:ascii="Verdana" w:eastAsiaTheme="majorEastAsia" w:hAnsi="Verdana"/>
          <w:sz w:val="20"/>
          <w:szCs w:val="20"/>
        </w:rPr>
        <w:footnoteReference w:id="146"/>
      </w:r>
      <w:r w:rsidRPr="006B0525">
        <w:rPr>
          <w:rFonts w:ascii="Verdana" w:hAnsi="Verdana"/>
          <w:sz w:val="20"/>
          <w:szCs w:val="20"/>
        </w:rPr>
        <w:t>. La imparcialidad del tribunal implica que sus integrantes no tengan un interés directo, una posición tomada, una preferencia por alguna de las partes y que no se encuentren involucrados en la controversia</w:t>
      </w:r>
      <w:r w:rsidRPr="006B0525">
        <w:rPr>
          <w:rStyle w:val="Refdenotaalpie"/>
          <w:rFonts w:ascii="Verdana" w:eastAsiaTheme="majorEastAsia" w:hAnsi="Verdana"/>
          <w:sz w:val="20"/>
          <w:szCs w:val="20"/>
        </w:rPr>
        <w:footnoteReference w:id="147"/>
      </w:r>
      <w:r w:rsidRPr="006B0525">
        <w:rPr>
          <w:rFonts w:ascii="Verdana" w:hAnsi="Verdana"/>
          <w:sz w:val="20"/>
          <w:szCs w:val="20"/>
        </w:rPr>
        <w:t>. Ello puesto que el juez debe aparecer como actuando sin estar sujeto a influencia, aliciente, presión, amenaza o intromisión, directa o indirecta</w:t>
      </w:r>
      <w:r w:rsidRPr="006B0525">
        <w:rPr>
          <w:rStyle w:val="Refdenotaalpie"/>
          <w:rFonts w:ascii="Verdana" w:eastAsiaTheme="majorEastAsia" w:hAnsi="Verdana"/>
          <w:sz w:val="20"/>
          <w:szCs w:val="20"/>
        </w:rPr>
        <w:footnoteReference w:id="148"/>
      </w:r>
      <w:r w:rsidRPr="006B0525">
        <w:rPr>
          <w:rFonts w:ascii="Verdana" w:hAnsi="Verdana"/>
          <w:sz w:val="20"/>
          <w:szCs w:val="20"/>
        </w:rPr>
        <w:t>, sino única y exclusivamente conforme a -y movido por- el Derecho</w:t>
      </w:r>
      <w:r w:rsidRPr="006B0525">
        <w:rPr>
          <w:rStyle w:val="Refdenotaalpie"/>
          <w:rFonts w:ascii="Verdana" w:eastAsiaTheme="majorEastAsia" w:hAnsi="Verdana"/>
          <w:sz w:val="20"/>
          <w:szCs w:val="20"/>
        </w:rPr>
        <w:footnoteReference w:id="149"/>
      </w:r>
      <w:r w:rsidRPr="006B0525">
        <w:rPr>
          <w:rFonts w:ascii="Verdana" w:hAnsi="Verdana"/>
          <w:sz w:val="20"/>
          <w:szCs w:val="20"/>
        </w:rPr>
        <w:t xml:space="preserve">. </w:t>
      </w:r>
    </w:p>
    <w:p w14:paraId="02F516A5" w14:textId="77777777" w:rsidR="00513FB5" w:rsidRPr="006B0525" w:rsidRDefault="00513FB5" w:rsidP="00513FB5">
      <w:pPr>
        <w:pStyle w:val="Normal1"/>
        <w:jc w:val="both"/>
        <w:rPr>
          <w:rFonts w:ascii="Verdana" w:eastAsia="Verdana" w:hAnsi="Verdana" w:cs="Verdana"/>
          <w:bCs/>
          <w:sz w:val="20"/>
          <w:szCs w:val="20"/>
        </w:rPr>
      </w:pPr>
    </w:p>
    <w:p w14:paraId="0F727C81"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rPr>
        <w:lastRenderedPageBreak/>
        <w:t>Además, el Tribunal reitera que la imparcialidad personal de un juez debe ser presumida, salvo prueba en contrario</w:t>
      </w:r>
      <w:r w:rsidRPr="006B0525">
        <w:rPr>
          <w:rStyle w:val="Refdenotaalpie"/>
          <w:rFonts w:ascii="Verdana" w:eastAsiaTheme="majorEastAsia" w:hAnsi="Verdana"/>
          <w:sz w:val="20"/>
          <w:szCs w:val="20"/>
        </w:rPr>
        <w:footnoteReference w:id="150"/>
      </w:r>
      <w:r w:rsidRPr="006B0525">
        <w:rPr>
          <w:rFonts w:ascii="Verdana" w:hAnsi="Verdana"/>
          <w:sz w:val="20"/>
          <w:szCs w:val="20"/>
        </w:rPr>
        <w:t>. Para el análisis de la imparcialidad subjetiva, el Tribunal debe intentar averiguar las convicciones, intereses o motivaciones personales del</w:t>
      </w:r>
      <w:r w:rsidRPr="006B0525">
        <w:rPr>
          <w:rFonts w:ascii="Verdana" w:eastAsiaTheme="minorHAnsi" w:hAnsi="Verdana" w:cstheme="minorBidi"/>
          <w:sz w:val="20"/>
          <w:szCs w:val="20"/>
        </w:rPr>
        <w:t xml:space="preserve"> </w:t>
      </w:r>
      <w:r w:rsidRPr="006B0525">
        <w:rPr>
          <w:rFonts w:ascii="Verdana" w:hAnsi="Verdana"/>
          <w:sz w:val="20"/>
          <w:szCs w:val="20"/>
        </w:rPr>
        <w:t>juez en un determinado caso</w:t>
      </w:r>
      <w:r w:rsidRPr="006B0525">
        <w:rPr>
          <w:rStyle w:val="Refdenotaalpie"/>
          <w:rFonts w:ascii="Verdana" w:eastAsiaTheme="majorEastAsia" w:hAnsi="Verdana"/>
          <w:sz w:val="20"/>
          <w:szCs w:val="20"/>
        </w:rPr>
        <w:footnoteReference w:id="151"/>
      </w:r>
      <w:r w:rsidRPr="006B0525">
        <w:rPr>
          <w:rFonts w:ascii="Verdana" w:hAnsi="Verdana"/>
          <w:sz w:val="20"/>
          <w:szCs w:val="20"/>
        </w:rPr>
        <w:t>. En cuanto al tipo de evidencia que se necesita para probar la imparcialidad subjetiva, se debe tratar de determinar, por ejemplo, si el juez ha manifestado hostilidad o si ha hecho que el caso sea asignado a él por razones personales</w:t>
      </w:r>
      <w:r w:rsidRPr="006B0525">
        <w:rPr>
          <w:rStyle w:val="Refdenotaalpie"/>
          <w:rFonts w:ascii="Verdana" w:eastAsiaTheme="majorEastAsia" w:hAnsi="Verdana"/>
          <w:sz w:val="20"/>
          <w:szCs w:val="20"/>
        </w:rPr>
        <w:footnoteReference w:id="152"/>
      </w:r>
      <w:r w:rsidRPr="006B0525">
        <w:rPr>
          <w:rFonts w:ascii="Verdana" w:hAnsi="Verdana"/>
          <w:sz w:val="20"/>
          <w:szCs w:val="20"/>
        </w:rPr>
        <w:t>. Por su parte, la denominada prueba objetiva consiste en determinar si el juez cuestionado brindó elementos convincentes que permitan eliminar temores legítimos o fundadas sospechas de parcialidad sobre su persona</w:t>
      </w:r>
      <w:r w:rsidRPr="006B0525">
        <w:rPr>
          <w:rStyle w:val="Refdenotaalpie"/>
          <w:rFonts w:ascii="Verdana" w:eastAsiaTheme="majorEastAsia" w:hAnsi="Verdana"/>
          <w:sz w:val="20"/>
          <w:szCs w:val="20"/>
        </w:rPr>
        <w:footnoteReference w:id="153"/>
      </w:r>
      <w:r w:rsidRPr="006B0525">
        <w:rPr>
          <w:rFonts w:ascii="Verdana" w:hAnsi="Verdana"/>
          <w:sz w:val="20"/>
          <w:szCs w:val="20"/>
        </w:rPr>
        <w:t>.</w:t>
      </w:r>
    </w:p>
    <w:p w14:paraId="361F1C0F" w14:textId="77777777" w:rsidR="00513FB5" w:rsidRPr="006B0525" w:rsidRDefault="00513FB5" w:rsidP="00513FB5">
      <w:pPr>
        <w:pStyle w:val="Normal1"/>
        <w:widowControl/>
        <w:jc w:val="both"/>
        <w:rPr>
          <w:rFonts w:ascii="Verdana" w:eastAsia="Verdana" w:hAnsi="Verdana" w:cs="Verdana"/>
          <w:sz w:val="20"/>
          <w:szCs w:val="20"/>
        </w:rPr>
      </w:pPr>
    </w:p>
    <w:p w14:paraId="628448F5" w14:textId="77777777" w:rsidR="00513FB5" w:rsidRPr="006B0525" w:rsidRDefault="00513FB5" w:rsidP="00513FB5">
      <w:pPr>
        <w:pStyle w:val="Normal1"/>
        <w:widowControl/>
        <w:numPr>
          <w:ilvl w:val="0"/>
          <w:numId w:val="4"/>
        </w:numPr>
        <w:ind w:left="0" w:firstLine="0"/>
        <w:contextualSpacing/>
        <w:jc w:val="both"/>
        <w:rPr>
          <w:rFonts w:ascii="Verdana" w:hAnsi="Verdana"/>
          <w:sz w:val="20"/>
          <w:szCs w:val="20"/>
          <w:lang w:val="es-CO"/>
        </w:rPr>
      </w:pPr>
      <w:r w:rsidRPr="006B0525">
        <w:rPr>
          <w:rFonts w:ascii="Verdana" w:hAnsi="Verdana"/>
          <w:sz w:val="20"/>
          <w:szCs w:val="20"/>
        </w:rPr>
        <w:t>Asimismo, el artículo 8.2 de la Convención dispone que “[t]oda persona inculpada de delito tiene derecho a que se presuma su inocencia mientras no se establezca legalmente su culpabilidad”. Por ello, la Corte ha señalado que el principio de presunción de inocencia constituye un fundamento de las garantías judiciales</w:t>
      </w:r>
      <w:r w:rsidRPr="006B0525">
        <w:rPr>
          <w:rStyle w:val="Refdenotaalpie"/>
          <w:rFonts w:ascii="Verdana" w:eastAsiaTheme="majorEastAsia" w:hAnsi="Verdana"/>
          <w:sz w:val="20"/>
          <w:szCs w:val="20"/>
        </w:rPr>
        <w:footnoteReference w:id="154"/>
      </w:r>
      <w:r w:rsidRPr="006B0525">
        <w:rPr>
          <w:rFonts w:ascii="Verdana" w:hAnsi="Verdana"/>
          <w:sz w:val="20"/>
          <w:szCs w:val="20"/>
        </w:rPr>
        <w:t>.</w:t>
      </w:r>
      <w:r w:rsidRPr="006B0525">
        <w:rPr>
          <w:rFonts w:ascii="Verdana" w:eastAsia="Verdana" w:hAnsi="Verdana" w:cs="Verdana"/>
          <w:sz w:val="20"/>
          <w:szCs w:val="20"/>
        </w:rPr>
        <w:t xml:space="preserve"> Asimismo, la Corte ha señalado que el principio de presunción de inocencia implica que los juzgadores no inicien el proceso con una idea preconcebida de que el acusado ha cometido el delito </w:t>
      </w:r>
      <w:r w:rsidRPr="006B0525">
        <w:rPr>
          <w:rFonts w:ascii="Verdana" w:hAnsi="Verdana"/>
          <w:sz w:val="20"/>
          <w:szCs w:val="20"/>
        </w:rPr>
        <w:t>que</w:t>
      </w:r>
      <w:r w:rsidRPr="006B0525">
        <w:rPr>
          <w:rFonts w:ascii="Verdana" w:eastAsia="Verdana" w:hAnsi="Verdana" w:cs="Verdana"/>
          <w:sz w:val="20"/>
          <w:szCs w:val="20"/>
        </w:rPr>
        <w:t xml:space="preserve"> se le imputa</w:t>
      </w:r>
      <w:r w:rsidRPr="006B0525">
        <w:rPr>
          <w:rStyle w:val="Refdenotaalpie"/>
          <w:rFonts w:ascii="Verdana" w:eastAsia="Verdana" w:hAnsi="Verdana" w:cs="Verdana"/>
          <w:sz w:val="20"/>
          <w:szCs w:val="20"/>
        </w:rPr>
        <w:footnoteReference w:id="155"/>
      </w:r>
      <w:r w:rsidRPr="006B0525">
        <w:rPr>
          <w:rFonts w:ascii="Verdana" w:eastAsia="Verdana" w:hAnsi="Verdana" w:cs="Verdana"/>
          <w:sz w:val="20"/>
          <w:szCs w:val="20"/>
        </w:rPr>
        <w:t>. A su vez, exige que el Estado no condene informalmente a una persona o emita juicio ante la sociedad, contribuyendo así a formar una opinión pública, mientras no se acredite conforme a la ley la responsabilidad penal de aquella</w:t>
      </w:r>
      <w:r w:rsidRPr="006B0525">
        <w:rPr>
          <w:rStyle w:val="Refdenotaalpie"/>
          <w:rFonts w:ascii="Verdana" w:eastAsia="Verdana" w:hAnsi="Verdana" w:cs="Verdana"/>
          <w:sz w:val="20"/>
          <w:szCs w:val="20"/>
        </w:rPr>
        <w:footnoteReference w:id="156"/>
      </w:r>
      <w:r w:rsidRPr="006B0525">
        <w:rPr>
          <w:rFonts w:ascii="Verdana" w:eastAsia="Verdana" w:hAnsi="Verdana" w:cs="Verdana"/>
          <w:sz w:val="20"/>
          <w:szCs w:val="20"/>
        </w:rPr>
        <w:t>.</w:t>
      </w:r>
    </w:p>
    <w:p w14:paraId="07EFD339" w14:textId="77777777" w:rsidR="00513FB5" w:rsidRPr="006B0525" w:rsidRDefault="00513FB5" w:rsidP="00513FB5">
      <w:pPr>
        <w:pStyle w:val="Prrafodelista"/>
        <w:spacing w:line="240" w:lineRule="auto"/>
        <w:rPr>
          <w:lang w:val="es-CO"/>
        </w:rPr>
      </w:pPr>
    </w:p>
    <w:p w14:paraId="1686DA9F" w14:textId="77777777" w:rsidR="00513FB5" w:rsidRPr="006B0525" w:rsidRDefault="00513FB5" w:rsidP="00513FB5">
      <w:pPr>
        <w:pStyle w:val="Normal1"/>
        <w:widowControl/>
        <w:numPr>
          <w:ilvl w:val="0"/>
          <w:numId w:val="4"/>
        </w:numPr>
        <w:ind w:left="0" w:firstLine="0"/>
        <w:contextualSpacing/>
        <w:jc w:val="both"/>
        <w:rPr>
          <w:rFonts w:ascii="Verdana" w:hAnsi="Verdana"/>
          <w:sz w:val="20"/>
          <w:szCs w:val="20"/>
          <w:lang w:val="es-CO"/>
        </w:rPr>
      </w:pPr>
      <w:r w:rsidRPr="006B0525">
        <w:rPr>
          <w:rFonts w:ascii="Verdana" w:hAnsi="Verdana"/>
          <w:sz w:val="20"/>
          <w:szCs w:val="20"/>
        </w:rPr>
        <w:t xml:space="preserve">En cuanto al primer cuestionamiento relativo a las alegadas manifestaciones </w:t>
      </w:r>
      <w:r w:rsidRPr="006B0525">
        <w:rPr>
          <w:rFonts w:ascii="Verdana" w:hAnsi="Verdana" w:cs="Verdana"/>
          <w:sz w:val="20"/>
          <w:szCs w:val="20"/>
        </w:rPr>
        <w:t xml:space="preserve">del juez </w:t>
      </w:r>
      <w:r w:rsidRPr="006B0525">
        <w:rPr>
          <w:rFonts w:ascii="Verdana" w:eastAsia="Verdana" w:hAnsi="Verdana" w:cs="Verdana"/>
          <w:sz w:val="20"/>
          <w:szCs w:val="20"/>
        </w:rPr>
        <w:t>H</w:t>
      </w:r>
      <w:r w:rsidR="00264747">
        <w:rPr>
          <w:rFonts w:ascii="Verdana" w:eastAsia="Verdana" w:hAnsi="Verdana" w:cs="Verdana"/>
          <w:sz w:val="20"/>
          <w:szCs w:val="20"/>
        </w:rPr>
        <w:t>.</w:t>
      </w:r>
      <w:r w:rsidRPr="006B0525">
        <w:rPr>
          <w:rFonts w:ascii="Verdana" w:eastAsia="Verdana" w:hAnsi="Verdana" w:cs="Verdana"/>
          <w:sz w:val="20"/>
          <w:szCs w:val="20"/>
        </w:rPr>
        <w:t>S</w:t>
      </w:r>
      <w:r w:rsidR="00264747">
        <w:rPr>
          <w:rFonts w:ascii="Verdana" w:eastAsia="Verdana" w:hAnsi="Verdana" w:cs="Verdana"/>
          <w:sz w:val="20"/>
          <w:szCs w:val="20"/>
        </w:rPr>
        <w:t>.</w:t>
      </w:r>
      <w:r w:rsidRPr="006B0525">
        <w:rPr>
          <w:rFonts w:ascii="Verdana" w:eastAsia="Verdana" w:hAnsi="Verdana" w:cs="Verdana"/>
          <w:sz w:val="20"/>
          <w:szCs w:val="20"/>
        </w:rPr>
        <w:t>H</w:t>
      </w:r>
      <w:r w:rsidR="00264747">
        <w:rPr>
          <w:rFonts w:ascii="Verdana" w:eastAsia="Verdana" w:hAnsi="Verdana" w:cs="Verdana"/>
          <w:sz w:val="20"/>
          <w:szCs w:val="20"/>
        </w:rPr>
        <w:t>.</w:t>
      </w:r>
      <w:r w:rsidRPr="006B0525">
        <w:rPr>
          <w:rFonts w:ascii="Verdana" w:hAnsi="Verdana" w:cs="Verdana"/>
          <w:sz w:val="20"/>
          <w:szCs w:val="20"/>
        </w:rPr>
        <w:t>, e</w:t>
      </w:r>
      <w:r w:rsidRPr="006B0525">
        <w:rPr>
          <w:rFonts w:ascii="Verdana" w:hAnsi="Verdana"/>
          <w:sz w:val="20"/>
          <w:szCs w:val="20"/>
        </w:rPr>
        <w:t xml:space="preserve">stá probado que en el acta de debate </w:t>
      </w:r>
      <w:r w:rsidRPr="006B0525">
        <w:rPr>
          <w:rFonts w:ascii="Verdana" w:hAnsi="Verdana" w:cs="Verdana"/>
          <w:sz w:val="20"/>
          <w:szCs w:val="20"/>
        </w:rPr>
        <w:t>ante el Tribunal Cuarto de Sentencia Penal Narcoactividad y Delitos contra el Ambiente de 22 de abril de 1996 consta que el defensor R</w:t>
      </w:r>
      <w:r w:rsidR="00D7421B" w:rsidRPr="006B0525">
        <w:rPr>
          <w:rFonts w:ascii="Verdana" w:hAnsi="Verdana" w:cs="Verdana"/>
          <w:sz w:val="20"/>
          <w:szCs w:val="20"/>
        </w:rPr>
        <w:t>.</w:t>
      </w:r>
      <w:r w:rsidRPr="006B0525">
        <w:rPr>
          <w:rFonts w:ascii="Verdana" w:hAnsi="Verdana" w:cs="Verdana"/>
          <w:sz w:val="20"/>
          <w:szCs w:val="20"/>
        </w:rPr>
        <w:t>E</w:t>
      </w:r>
      <w:r w:rsidR="00D7421B" w:rsidRPr="006B0525">
        <w:rPr>
          <w:rFonts w:ascii="Verdana" w:hAnsi="Verdana" w:cs="Verdana"/>
          <w:sz w:val="20"/>
          <w:szCs w:val="20"/>
        </w:rPr>
        <w:t>.</w:t>
      </w:r>
      <w:r w:rsidRPr="006B0525">
        <w:rPr>
          <w:rFonts w:ascii="Verdana" w:hAnsi="Verdana" w:cs="Verdana"/>
          <w:sz w:val="20"/>
          <w:szCs w:val="20"/>
        </w:rPr>
        <w:t>Q</w:t>
      </w:r>
      <w:r w:rsidR="00D7421B" w:rsidRPr="006B0525">
        <w:rPr>
          <w:rFonts w:ascii="Verdana" w:hAnsi="Verdana" w:cs="Verdana"/>
          <w:sz w:val="20"/>
          <w:szCs w:val="20"/>
        </w:rPr>
        <w:t>.</w:t>
      </w:r>
      <w:r w:rsidRPr="006B0525">
        <w:rPr>
          <w:rFonts w:ascii="Verdana" w:hAnsi="Verdana" w:cs="Verdana"/>
          <w:sz w:val="20"/>
          <w:szCs w:val="20"/>
        </w:rPr>
        <w:t>D</w:t>
      </w:r>
      <w:r w:rsidR="00D7421B" w:rsidRPr="006B0525">
        <w:rPr>
          <w:rFonts w:ascii="Verdana" w:hAnsi="Verdana" w:cs="Verdana"/>
          <w:sz w:val="20"/>
          <w:szCs w:val="20"/>
        </w:rPr>
        <w:t>.</w:t>
      </w:r>
      <w:r w:rsidRPr="006B0525">
        <w:rPr>
          <w:rFonts w:ascii="Verdana" w:hAnsi="Verdana" w:cs="Verdana"/>
          <w:sz w:val="20"/>
          <w:szCs w:val="20"/>
        </w:rPr>
        <w:t xml:space="preserve"> presentó recurso de recusación de manera oral en contra del juez </w:t>
      </w:r>
      <w:r w:rsidRPr="006B0525">
        <w:rPr>
          <w:rFonts w:ascii="Verdana" w:eastAsia="Verdana" w:hAnsi="Verdana" w:cs="Verdana"/>
          <w:sz w:val="20"/>
          <w:szCs w:val="20"/>
        </w:rPr>
        <w:t>H</w:t>
      </w:r>
      <w:r w:rsidR="00D7421B" w:rsidRPr="006B0525">
        <w:rPr>
          <w:rFonts w:ascii="Verdana" w:eastAsia="Verdana" w:hAnsi="Verdana" w:cs="Verdana"/>
          <w:sz w:val="20"/>
          <w:szCs w:val="20"/>
        </w:rPr>
        <w:t>.</w:t>
      </w:r>
      <w:r w:rsidRPr="006B0525">
        <w:rPr>
          <w:rFonts w:ascii="Verdana" w:eastAsia="Verdana" w:hAnsi="Verdana" w:cs="Verdana"/>
          <w:sz w:val="20"/>
          <w:szCs w:val="20"/>
        </w:rPr>
        <w:t>S</w:t>
      </w:r>
      <w:r w:rsidR="00D7421B" w:rsidRPr="006B0525">
        <w:rPr>
          <w:rFonts w:ascii="Verdana" w:eastAsia="Verdana" w:hAnsi="Verdana" w:cs="Verdana"/>
          <w:sz w:val="20"/>
          <w:szCs w:val="20"/>
        </w:rPr>
        <w:t>.</w:t>
      </w:r>
      <w:r w:rsidRPr="006B0525">
        <w:rPr>
          <w:rFonts w:ascii="Verdana" w:eastAsia="Verdana" w:hAnsi="Verdana" w:cs="Verdana"/>
          <w:sz w:val="20"/>
          <w:szCs w:val="20"/>
        </w:rPr>
        <w:t>H</w:t>
      </w:r>
      <w:r w:rsidR="00D7421B" w:rsidRPr="006B0525">
        <w:rPr>
          <w:rFonts w:ascii="Verdana" w:eastAsia="Verdana" w:hAnsi="Verdana" w:cs="Verdana"/>
          <w:sz w:val="20"/>
          <w:szCs w:val="20"/>
        </w:rPr>
        <w:t>.</w:t>
      </w:r>
      <w:r w:rsidRPr="006B0525">
        <w:rPr>
          <w:rFonts w:ascii="Verdana" w:hAnsi="Verdana" w:cs="Verdana"/>
          <w:sz w:val="20"/>
          <w:szCs w:val="20"/>
        </w:rPr>
        <w:t xml:space="preserve"> </w:t>
      </w:r>
      <w:r w:rsidRPr="006B0525">
        <w:rPr>
          <w:rFonts w:ascii="Verdana" w:hAnsi="Verdana"/>
          <w:sz w:val="20"/>
          <w:szCs w:val="20"/>
        </w:rPr>
        <w:t>indicando</w:t>
      </w:r>
      <w:r w:rsidRPr="006B0525">
        <w:rPr>
          <w:rFonts w:ascii="Verdana" w:hAnsi="Verdana" w:cs="Verdana"/>
          <w:sz w:val="20"/>
          <w:szCs w:val="20"/>
        </w:rPr>
        <w:t xml:space="preserve"> que dicho juez </w:t>
      </w:r>
      <w:r w:rsidRPr="006B0525">
        <w:rPr>
          <w:rFonts w:ascii="Verdana" w:hAnsi="Verdana"/>
          <w:sz w:val="20"/>
          <w:szCs w:val="20"/>
        </w:rPr>
        <w:t>manifestó que “no le importaba[n] los resultados del peritaje, ya que para él lo único que importaba era el reconocimiento que el testigo había hecho de los procesados”</w:t>
      </w:r>
      <w:r w:rsidRPr="006B0525">
        <w:rPr>
          <w:rStyle w:val="Refdenotaalpie"/>
          <w:rFonts w:ascii="Verdana" w:eastAsiaTheme="majorEastAsia" w:hAnsi="Verdana"/>
          <w:sz w:val="20"/>
          <w:szCs w:val="20"/>
        </w:rPr>
        <w:footnoteReference w:id="157"/>
      </w:r>
      <w:r w:rsidRPr="006B0525">
        <w:rPr>
          <w:rFonts w:ascii="Verdana" w:hAnsi="Verdana"/>
          <w:sz w:val="20"/>
          <w:szCs w:val="20"/>
        </w:rPr>
        <w:t>. El recurso fue planteado ya que estas supuestas aseveraciones ponían en tela de juicio su imparcialidad y mostraban un adelanto de criterio respecto al caso. Ante esta recusación, el presidente del Tribunal de Sentencia Penal negó las causales de la recusación, cumpliendo lo estipulado en el artículo 131 de la Ley del Organismo judicial</w:t>
      </w:r>
      <w:r w:rsidRPr="006B0525">
        <w:rPr>
          <w:rStyle w:val="Refdenotaalpie"/>
          <w:rFonts w:ascii="Verdana" w:eastAsiaTheme="majorEastAsia" w:hAnsi="Verdana"/>
          <w:sz w:val="20"/>
          <w:szCs w:val="20"/>
        </w:rPr>
        <w:footnoteReference w:id="158"/>
      </w:r>
      <w:r w:rsidRPr="006B0525">
        <w:rPr>
          <w:rFonts w:ascii="Verdana" w:hAnsi="Verdana"/>
          <w:sz w:val="20"/>
          <w:szCs w:val="20"/>
        </w:rPr>
        <w:t xml:space="preserve">. Seguidamente, el tribunal solicitó a la Corte Suprema de Justicia que nombrara a un tercer </w:t>
      </w:r>
      <w:r w:rsidRPr="006B0525">
        <w:rPr>
          <w:rFonts w:ascii="Verdana" w:hAnsi="Verdana"/>
          <w:sz w:val="20"/>
          <w:szCs w:val="20"/>
        </w:rPr>
        <w:lastRenderedPageBreak/>
        <w:t>miembro para que se pronunciara al respecto</w:t>
      </w:r>
      <w:r w:rsidRPr="006B0525">
        <w:rPr>
          <w:rStyle w:val="Refdenotaalpie"/>
          <w:rFonts w:ascii="Verdana" w:eastAsiaTheme="majorEastAsia" w:hAnsi="Verdana"/>
          <w:sz w:val="20"/>
          <w:szCs w:val="20"/>
        </w:rPr>
        <w:footnoteReference w:id="159"/>
      </w:r>
      <w:r w:rsidRPr="006B0525">
        <w:rPr>
          <w:rFonts w:ascii="Verdana" w:hAnsi="Verdana"/>
          <w:sz w:val="20"/>
          <w:szCs w:val="20"/>
        </w:rPr>
        <w:t>, según el artículo 129 de la misma ley</w:t>
      </w:r>
      <w:r w:rsidRPr="006B0525">
        <w:rPr>
          <w:rStyle w:val="Refdenotaalpie"/>
          <w:rFonts w:ascii="Verdana" w:eastAsiaTheme="majorEastAsia" w:hAnsi="Verdana"/>
          <w:sz w:val="20"/>
          <w:szCs w:val="20"/>
        </w:rPr>
        <w:footnoteReference w:id="160"/>
      </w:r>
      <w:r w:rsidRPr="006B0525">
        <w:rPr>
          <w:rFonts w:ascii="Verdana" w:hAnsi="Verdana"/>
          <w:sz w:val="20"/>
          <w:szCs w:val="20"/>
        </w:rPr>
        <w:t>. El juez M</w:t>
      </w:r>
      <w:r w:rsidR="00D7421B" w:rsidRPr="006B0525">
        <w:rPr>
          <w:rFonts w:ascii="Verdana" w:hAnsi="Verdana"/>
          <w:sz w:val="20"/>
          <w:szCs w:val="20"/>
        </w:rPr>
        <w:t>.</w:t>
      </w:r>
      <w:r w:rsidRPr="006B0525">
        <w:rPr>
          <w:rFonts w:ascii="Verdana" w:hAnsi="Verdana"/>
          <w:sz w:val="20"/>
          <w:szCs w:val="20"/>
        </w:rPr>
        <w:t>A</w:t>
      </w:r>
      <w:r w:rsidR="00D7421B" w:rsidRPr="006B0525">
        <w:rPr>
          <w:rFonts w:ascii="Verdana" w:hAnsi="Verdana"/>
          <w:sz w:val="20"/>
          <w:szCs w:val="20"/>
        </w:rPr>
        <w:t>.</w:t>
      </w:r>
      <w:r w:rsidRPr="006B0525">
        <w:rPr>
          <w:rFonts w:ascii="Verdana" w:hAnsi="Verdana"/>
          <w:sz w:val="20"/>
          <w:szCs w:val="20"/>
        </w:rPr>
        <w:t>S</w:t>
      </w:r>
      <w:r w:rsidR="00D7421B" w:rsidRPr="006B0525">
        <w:rPr>
          <w:rFonts w:ascii="Verdana" w:hAnsi="Verdana"/>
          <w:sz w:val="20"/>
          <w:szCs w:val="20"/>
        </w:rPr>
        <w:t>.</w:t>
      </w:r>
      <w:r w:rsidRPr="006B0525">
        <w:rPr>
          <w:rFonts w:ascii="Verdana" w:hAnsi="Verdana"/>
          <w:sz w:val="20"/>
          <w:szCs w:val="20"/>
        </w:rPr>
        <w:t>M</w:t>
      </w:r>
      <w:r w:rsidR="00D7421B" w:rsidRPr="006B0525">
        <w:rPr>
          <w:rFonts w:ascii="Verdana" w:hAnsi="Verdana"/>
          <w:sz w:val="20"/>
          <w:szCs w:val="20"/>
        </w:rPr>
        <w:t>.</w:t>
      </w:r>
      <w:r w:rsidRPr="006B0525">
        <w:rPr>
          <w:rFonts w:ascii="Verdana" w:hAnsi="Verdana"/>
          <w:sz w:val="20"/>
          <w:szCs w:val="20"/>
        </w:rPr>
        <w:t xml:space="preserve"> fue nombrado para conocer la recusación, quien estimó que, a su juicio, no había suficientes bases de evidencia. </w:t>
      </w:r>
    </w:p>
    <w:p w14:paraId="4E7DBFFB" w14:textId="77777777" w:rsidR="00513FB5" w:rsidRPr="006B0525" w:rsidRDefault="00513FB5" w:rsidP="00513FB5">
      <w:pPr>
        <w:spacing w:line="240" w:lineRule="auto"/>
        <w:rPr>
          <w:rFonts w:eastAsia="Verdana" w:cs="Verdana"/>
        </w:rPr>
      </w:pPr>
    </w:p>
    <w:p w14:paraId="493ADF31"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eastAsia="Verdana" w:hAnsi="Verdana" w:cs="Verdana"/>
          <w:sz w:val="20"/>
          <w:szCs w:val="20"/>
        </w:rPr>
        <w:t>Visto lo anterior, este Tribunal considera que la alegada falta de imparcialidad subjetiva de dicho juzgador por el quebranto del principio de presunción de inocencia</w:t>
      </w:r>
      <w:r w:rsidR="00856541">
        <w:rPr>
          <w:rFonts w:ascii="Verdana" w:eastAsia="Verdana" w:hAnsi="Verdana" w:cs="Verdana"/>
          <w:sz w:val="20"/>
          <w:szCs w:val="20"/>
        </w:rPr>
        <w:t xml:space="preserve"> e imparcialidad ya fue evaluada y resuelta</w:t>
      </w:r>
      <w:r w:rsidRPr="006B0525">
        <w:rPr>
          <w:rFonts w:ascii="Verdana" w:eastAsia="Verdana" w:hAnsi="Verdana" w:cs="Verdana"/>
          <w:sz w:val="20"/>
          <w:szCs w:val="20"/>
        </w:rPr>
        <w:t xml:space="preserve"> en la jurisdicción interna, y </w:t>
      </w:r>
      <w:r w:rsidR="009463F5" w:rsidRPr="006B0525">
        <w:rPr>
          <w:rFonts w:ascii="Verdana" w:eastAsia="Verdana" w:hAnsi="Verdana" w:cs="Verdana"/>
          <w:sz w:val="20"/>
          <w:szCs w:val="20"/>
        </w:rPr>
        <w:t xml:space="preserve">el recurso fue descartado con base en que no había suficiente evidencia para que prosperara la recusación. Ante este Tribunal no fueron aportados elementos nuevos </w:t>
      </w:r>
      <w:r w:rsidRPr="006B0525">
        <w:rPr>
          <w:rFonts w:ascii="Verdana" w:eastAsia="Verdana" w:hAnsi="Verdana" w:cs="Verdana"/>
          <w:sz w:val="20"/>
          <w:szCs w:val="20"/>
        </w:rPr>
        <w:t xml:space="preserve">para separarse del criterio establecido por el juez </w:t>
      </w:r>
      <w:r w:rsidR="00856541">
        <w:rPr>
          <w:rFonts w:ascii="Verdana" w:eastAsia="Verdana" w:hAnsi="Verdana" w:cs="Verdana"/>
          <w:sz w:val="20"/>
          <w:szCs w:val="20"/>
        </w:rPr>
        <w:t>nacional</w:t>
      </w:r>
      <w:r w:rsidRPr="006B0525">
        <w:rPr>
          <w:rFonts w:ascii="Verdana" w:eastAsia="Verdana" w:hAnsi="Verdana" w:cs="Verdana"/>
          <w:sz w:val="20"/>
          <w:szCs w:val="20"/>
        </w:rPr>
        <w:t>. Por lo tanto, la Corte concluye en este punto que no se ha vulnerado el principio de presunción de inocencia y de</w:t>
      </w:r>
      <w:r w:rsidR="00856541">
        <w:rPr>
          <w:rFonts w:ascii="Verdana" w:eastAsia="Verdana" w:hAnsi="Verdana" w:cs="Verdana"/>
          <w:sz w:val="20"/>
          <w:szCs w:val="20"/>
        </w:rPr>
        <w:t>l</w:t>
      </w:r>
      <w:r w:rsidRPr="006B0525">
        <w:rPr>
          <w:rFonts w:ascii="Verdana" w:eastAsia="Verdana" w:hAnsi="Verdana" w:cs="Verdana"/>
          <w:sz w:val="20"/>
          <w:szCs w:val="20"/>
        </w:rPr>
        <w:t xml:space="preserve"> juez imparcial.</w:t>
      </w:r>
    </w:p>
    <w:p w14:paraId="729140ED" w14:textId="77777777" w:rsidR="00513FB5" w:rsidRPr="006B0525" w:rsidRDefault="00513FB5" w:rsidP="00513FB5">
      <w:pPr>
        <w:pStyle w:val="Normal1"/>
        <w:widowControl/>
        <w:jc w:val="both"/>
        <w:rPr>
          <w:rFonts w:ascii="Verdana" w:eastAsia="Verdana" w:hAnsi="Verdana" w:cs="Verdana"/>
          <w:sz w:val="20"/>
          <w:szCs w:val="20"/>
        </w:rPr>
      </w:pPr>
    </w:p>
    <w:p w14:paraId="4974B40A" w14:textId="77777777" w:rsidR="00513FB5" w:rsidRPr="006B0525" w:rsidRDefault="00513FB5" w:rsidP="00513FB5">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En cuanto al segundo cuestionamiento relativo a la doble función del juez en el proceso penal, es un hecho probado que el señor H</w:t>
      </w:r>
      <w:r w:rsidR="00D7421B" w:rsidRPr="006B0525">
        <w:rPr>
          <w:rFonts w:ascii="Verdana" w:hAnsi="Verdana"/>
          <w:sz w:val="20"/>
          <w:szCs w:val="20"/>
        </w:rPr>
        <w:t>.</w:t>
      </w:r>
      <w:r w:rsidRPr="006B0525">
        <w:rPr>
          <w:rFonts w:ascii="Verdana" w:hAnsi="Verdana"/>
          <w:sz w:val="20"/>
          <w:szCs w:val="20"/>
        </w:rPr>
        <w:t>S</w:t>
      </w:r>
      <w:r w:rsidR="00D7421B" w:rsidRPr="006B0525">
        <w:rPr>
          <w:rFonts w:ascii="Verdana" w:hAnsi="Verdana"/>
          <w:sz w:val="20"/>
          <w:szCs w:val="20"/>
        </w:rPr>
        <w:t>.</w:t>
      </w:r>
      <w:r w:rsidRPr="006B0525">
        <w:rPr>
          <w:rFonts w:ascii="Verdana" w:hAnsi="Verdana"/>
          <w:sz w:val="20"/>
          <w:szCs w:val="20"/>
        </w:rPr>
        <w:t>H</w:t>
      </w:r>
      <w:r w:rsidR="00D7421B" w:rsidRPr="006B0525">
        <w:rPr>
          <w:rFonts w:ascii="Verdana" w:hAnsi="Verdana"/>
          <w:sz w:val="20"/>
          <w:szCs w:val="20"/>
        </w:rPr>
        <w:t>.</w:t>
      </w:r>
      <w:r w:rsidRPr="006B0525">
        <w:rPr>
          <w:rFonts w:ascii="Verdana" w:hAnsi="Verdana"/>
          <w:sz w:val="20"/>
          <w:szCs w:val="20"/>
        </w:rPr>
        <w:t xml:space="preserve"> participó como juez en la etapa de investigación y seguidamente fue presidente del tribunal de sentencia. </w:t>
      </w:r>
    </w:p>
    <w:p w14:paraId="1D2BCBDC" w14:textId="77777777" w:rsidR="00513FB5" w:rsidRPr="006B0525" w:rsidRDefault="00513FB5" w:rsidP="00513FB5">
      <w:pPr>
        <w:pStyle w:val="Normal1"/>
        <w:widowControl/>
        <w:jc w:val="both"/>
        <w:rPr>
          <w:rFonts w:ascii="Verdana" w:hAnsi="Verdana"/>
          <w:sz w:val="20"/>
          <w:szCs w:val="20"/>
        </w:rPr>
      </w:pPr>
    </w:p>
    <w:p w14:paraId="343883CD"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lang w:val="es-CO"/>
        </w:rPr>
        <w:t>El Código Procesal Penal guatemalteco vigente al momento de los hechos contemplaba en sus artículos 309 y siguientes, las funciones del juez de control entre las que se encontraba que, a solicitud del Ministerio Público podía ejercer funciones de anticipo de prueba</w:t>
      </w:r>
      <w:r w:rsidRPr="006B0525">
        <w:rPr>
          <w:rStyle w:val="Refdenotaalpie"/>
          <w:rFonts w:ascii="Verdana" w:eastAsiaTheme="majorEastAsia" w:hAnsi="Verdana"/>
          <w:sz w:val="20"/>
          <w:szCs w:val="20"/>
          <w:lang w:val="es-CO"/>
        </w:rPr>
        <w:footnoteReference w:id="161"/>
      </w:r>
      <w:r w:rsidRPr="006B0525">
        <w:rPr>
          <w:rFonts w:ascii="Verdana" w:hAnsi="Verdana"/>
          <w:sz w:val="20"/>
          <w:szCs w:val="20"/>
          <w:lang w:val="es-CO"/>
        </w:rPr>
        <w:t>, además, tenía la función de emitir el “auto de procesamiento”</w:t>
      </w:r>
      <w:r w:rsidRPr="006B0525">
        <w:rPr>
          <w:rStyle w:val="Refdenotaalpie"/>
          <w:rFonts w:ascii="Verdana" w:eastAsiaTheme="majorEastAsia" w:hAnsi="Verdana"/>
          <w:sz w:val="20"/>
          <w:szCs w:val="20"/>
          <w:lang w:val="es-CO"/>
        </w:rPr>
        <w:footnoteReference w:id="162"/>
      </w:r>
      <w:r w:rsidRPr="006B0525">
        <w:rPr>
          <w:rFonts w:ascii="Verdana" w:hAnsi="Verdana"/>
          <w:sz w:val="20"/>
          <w:szCs w:val="20"/>
          <w:lang w:val="es-CO"/>
        </w:rPr>
        <w:t xml:space="preserve">, que a su vez debía contener de manera </w:t>
      </w:r>
      <w:r w:rsidRPr="006B0525">
        <w:rPr>
          <w:rFonts w:ascii="Verdana" w:hAnsi="Verdana"/>
          <w:sz w:val="20"/>
          <w:szCs w:val="20"/>
        </w:rPr>
        <w:t>debidamente</w:t>
      </w:r>
      <w:r w:rsidRPr="006B0525">
        <w:rPr>
          <w:rFonts w:ascii="Verdana" w:hAnsi="Verdana"/>
          <w:sz w:val="20"/>
          <w:szCs w:val="20"/>
          <w:lang w:val="es-CO"/>
        </w:rPr>
        <w:t xml:space="preserve"> fundamentada la “enunciación del hecho”</w:t>
      </w:r>
      <w:r w:rsidRPr="006B0525">
        <w:rPr>
          <w:rStyle w:val="Refdenotaalpie"/>
          <w:rFonts w:ascii="Verdana" w:eastAsiaTheme="majorEastAsia" w:hAnsi="Verdana"/>
          <w:sz w:val="20"/>
          <w:szCs w:val="20"/>
          <w:lang w:val="es-CO"/>
        </w:rPr>
        <w:footnoteReference w:id="163"/>
      </w:r>
      <w:r w:rsidRPr="006B0525">
        <w:rPr>
          <w:rFonts w:ascii="Verdana" w:hAnsi="Verdana"/>
          <w:sz w:val="20"/>
          <w:szCs w:val="20"/>
          <w:lang w:val="es-CO"/>
        </w:rPr>
        <w:t xml:space="preserve"> y “la calificación legal del delito”, entre otros aspectos. </w:t>
      </w:r>
    </w:p>
    <w:p w14:paraId="772510E2" w14:textId="77777777" w:rsidR="00513FB5" w:rsidRPr="006B0525" w:rsidRDefault="00513FB5" w:rsidP="00513FB5">
      <w:pPr>
        <w:pStyle w:val="Normal1"/>
        <w:widowControl/>
        <w:jc w:val="both"/>
        <w:rPr>
          <w:rFonts w:ascii="Verdana" w:eastAsia="Verdana" w:hAnsi="Verdana" w:cs="Verdana"/>
          <w:sz w:val="20"/>
          <w:szCs w:val="20"/>
        </w:rPr>
      </w:pPr>
    </w:p>
    <w:p w14:paraId="64059DE5" w14:textId="77777777" w:rsidR="00513FB5" w:rsidRPr="00CE4855" w:rsidRDefault="00513FB5" w:rsidP="006A708F">
      <w:pPr>
        <w:pStyle w:val="Normal1"/>
        <w:widowControl/>
        <w:numPr>
          <w:ilvl w:val="0"/>
          <w:numId w:val="4"/>
        </w:numPr>
        <w:ind w:left="0" w:firstLine="0"/>
        <w:contextualSpacing/>
        <w:jc w:val="both"/>
        <w:rPr>
          <w:rFonts w:ascii="Verdana" w:hAnsi="Verdana"/>
          <w:sz w:val="20"/>
          <w:szCs w:val="20"/>
        </w:rPr>
      </w:pPr>
      <w:r w:rsidRPr="00CE4855">
        <w:rPr>
          <w:rFonts w:ascii="Verdana" w:hAnsi="Verdana"/>
          <w:sz w:val="20"/>
          <w:szCs w:val="20"/>
        </w:rPr>
        <w:t>La Corte aprecia que</w:t>
      </w:r>
      <w:r w:rsidR="00CE4855" w:rsidRPr="00CE4855">
        <w:rPr>
          <w:rFonts w:ascii="Verdana" w:hAnsi="Verdana"/>
          <w:sz w:val="20"/>
          <w:szCs w:val="20"/>
        </w:rPr>
        <w:t>,</w:t>
      </w:r>
      <w:r w:rsidRPr="00CE4855">
        <w:rPr>
          <w:rFonts w:ascii="Verdana" w:hAnsi="Verdana"/>
          <w:sz w:val="20"/>
          <w:szCs w:val="20"/>
        </w:rPr>
        <w:t xml:space="preserve"> tanto la Comisión como las representantes</w:t>
      </w:r>
      <w:r w:rsidR="00CE4855" w:rsidRPr="00CE4855">
        <w:rPr>
          <w:rFonts w:ascii="Verdana" w:hAnsi="Verdana"/>
          <w:sz w:val="20"/>
          <w:szCs w:val="20"/>
        </w:rPr>
        <w:t>,</w:t>
      </w:r>
      <w:r w:rsidRPr="00CE4855">
        <w:rPr>
          <w:rFonts w:ascii="Verdana" w:hAnsi="Verdana"/>
          <w:sz w:val="20"/>
          <w:szCs w:val="20"/>
        </w:rPr>
        <w:t xml:space="preserve"> se limitaron </w:t>
      </w:r>
      <w:r w:rsidRPr="00DE6A80">
        <w:rPr>
          <w:rFonts w:ascii="Verdana" w:hAnsi="Verdana"/>
          <w:sz w:val="20"/>
          <w:szCs w:val="20"/>
        </w:rPr>
        <w:t xml:space="preserve">a </w:t>
      </w:r>
      <w:r w:rsidR="008510E6" w:rsidRPr="00DE6A80">
        <w:rPr>
          <w:rFonts w:ascii="Verdana" w:hAnsi="Verdana"/>
          <w:sz w:val="20"/>
          <w:szCs w:val="20"/>
        </w:rPr>
        <w:t xml:space="preserve">fundamentar la alegada </w:t>
      </w:r>
      <w:proofErr w:type="spellStart"/>
      <w:r w:rsidR="008510E6" w:rsidRPr="00DE6A80">
        <w:rPr>
          <w:rFonts w:ascii="Verdana" w:hAnsi="Verdana"/>
          <w:sz w:val="20"/>
          <w:szCs w:val="20"/>
        </w:rPr>
        <w:t>inconvencionalidad</w:t>
      </w:r>
      <w:proofErr w:type="spellEnd"/>
      <w:r w:rsidR="008510E6">
        <w:rPr>
          <w:rFonts w:ascii="Verdana" w:hAnsi="Verdana"/>
          <w:sz w:val="20"/>
          <w:szCs w:val="20"/>
        </w:rPr>
        <w:t xml:space="preserve"> </w:t>
      </w:r>
      <w:r w:rsidRPr="00CE4855">
        <w:rPr>
          <w:rFonts w:ascii="Verdana" w:hAnsi="Verdana"/>
          <w:sz w:val="20"/>
          <w:szCs w:val="20"/>
        </w:rPr>
        <w:t>respecto a la doble función del juez con base en la normativa procesal. Así</w:t>
      </w:r>
      <w:r w:rsidR="008510E6">
        <w:rPr>
          <w:rFonts w:ascii="Verdana" w:hAnsi="Verdana"/>
          <w:sz w:val="20"/>
          <w:szCs w:val="20"/>
        </w:rPr>
        <w:t>,</w:t>
      </w:r>
      <w:r w:rsidRPr="00CE4855">
        <w:rPr>
          <w:rFonts w:ascii="Verdana" w:hAnsi="Verdana"/>
          <w:sz w:val="20"/>
          <w:szCs w:val="20"/>
        </w:rPr>
        <w:t xml:space="preserve"> la Comisión argumentó que la doble función “resulta problemática frente a la garantía de imparcialidad</w:t>
      </w:r>
      <w:r w:rsidR="00264747">
        <w:rPr>
          <w:rFonts w:ascii="Verdana" w:hAnsi="Verdana"/>
          <w:sz w:val="20"/>
          <w:szCs w:val="20"/>
        </w:rPr>
        <w:t>”</w:t>
      </w:r>
      <w:r w:rsidRPr="00CE4855">
        <w:rPr>
          <w:rFonts w:ascii="Verdana" w:hAnsi="Verdana"/>
          <w:sz w:val="20"/>
          <w:szCs w:val="20"/>
        </w:rPr>
        <w:t xml:space="preserve">, ya que </w:t>
      </w:r>
      <w:r w:rsidR="006146E8">
        <w:rPr>
          <w:rFonts w:ascii="Verdana" w:hAnsi="Verdana"/>
          <w:sz w:val="20"/>
          <w:szCs w:val="20"/>
        </w:rPr>
        <w:t xml:space="preserve">la </w:t>
      </w:r>
      <w:r w:rsidRPr="00CE4855">
        <w:rPr>
          <w:rFonts w:ascii="Verdana" w:hAnsi="Verdana"/>
          <w:sz w:val="20"/>
          <w:szCs w:val="20"/>
        </w:rPr>
        <w:t>propia regulación citada “evidencia que las funciones del juez de control implicaban necesariamente que dicha autoridad se formara</w:t>
      </w:r>
      <w:r w:rsidR="006146E8">
        <w:rPr>
          <w:rFonts w:ascii="Verdana" w:hAnsi="Verdana"/>
          <w:sz w:val="20"/>
          <w:szCs w:val="20"/>
        </w:rPr>
        <w:t>,</w:t>
      </w:r>
      <w:r w:rsidRPr="00CE4855">
        <w:rPr>
          <w:rFonts w:ascii="Verdana" w:hAnsi="Verdana"/>
          <w:sz w:val="20"/>
          <w:szCs w:val="20"/>
        </w:rPr>
        <w:t xml:space="preserve"> antes del juicio, un</w:t>
      </w:r>
      <w:r w:rsidR="006146E8">
        <w:rPr>
          <w:rFonts w:ascii="Verdana" w:hAnsi="Verdana"/>
          <w:sz w:val="20"/>
          <w:szCs w:val="20"/>
        </w:rPr>
        <w:t>a</w:t>
      </w:r>
      <w:r w:rsidRPr="00CE4855">
        <w:rPr>
          <w:rFonts w:ascii="Verdana" w:hAnsi="Verdana"/>
          <w:sz w:val="20"/>
          <w:szCs w:val="20"/>
        </w:rPr>
        <w:t xml:space="preserve"> idea sobre los hechos </w:t>
      </w:r>
      <w:r w:rsidR="006146E8">
        <w:rPr>
          <w:rFonts w:ascii="Verdana" w:hAnsi="Verdana"/>
          <w:sz w:val="20"/>
          <w:szCs w:val="20"/>
        </w:rPr>
        <w:t xml:space="preserve">y </w:t>
      </w:r>
      <w:r w:rsidRPr="00CE4855">
        <w:rPr>
          <w:rFonts w:ascii="Verdana" w:hAnsi="Verdana"/>
          <w:sz w:val="20"/>
          <w:szCs w:val="20"/>
        </w:rPr>
        <w:t xml:space="preserve">la manera en que los mismos encuadraban en determinado tipo penal”. </w:t>
      </w:r>
      <w:r w:rsidRPr="00CE4855">
        <w:rPr>
          <w:rFonts w:ascii="Verdana" w:hAnsi="Verdana"/>
          <w:sz w:val="20"/>
          <w:szCs w:val="20"/>
          <w:lang w:val="es-CO"/>
        </w:rPr>
        <w:t>E</w:t>
      </w:r>
      <w:proofErr w:type="spellStart"/>
      <w:r w:rsidRPr="00CE4855">
        <w:rPr>
          <w:rFonts w:ascii="Verdana" w:hAnsi="Verdana"/>
          <w:sz w:val="20"/>
          <w:szCs w:val="20"/>
        </w:rPr>
        <w:t>ste</w:t>
      </w:r>
      <w:proofErr w:type="spellEnd"/>
      <w:r w:rsidRPr="00CE4855">
        <w:rPr>
          <w:rFonts w:ascii="Verdana" w:hAnsi="Verdana"/>
          <w:sz w:val="20"/>
          <w:szCs w:val="20"/>
        </w:rPr>
        <w:t xml:space="preserve"> Tribunal nota </w:t>
      </w:r>
      <w:r w:rsidRPr="00CE4855">
        <w:rPr>
          <w:rFonts w:ascii="Verdana" w:hAnsi="Verdana"/>
          <w:sz w:val="20"/>
          <w:szCs w:val="20"/>
        </w:rPr>
        <w:lastRenderedPageBreak/>
        <w:t>que la Comisión y las representantes no se refirieron a las actuaciones específicas</w:t>
      </w:r>
      <w:r w:rsidR="00404CAA">
        <w:rPr>
          <w:rFonts w:ascii="Verdana" w:hAnsi="Verdana"/>
          <w:sz w:val="20"/>
          <w:szCs w:val="20"/>
        </w:rPr>
        <w:t xml:space="preserve"> de control</w:t>
      </w:r>
      <w:r w:rsidRPr="00CE4855">
        <w:rPr>
          <w:rFonts w:ascii="Verdana" w:hAnsi="Verdana"/>
          <w:sz w:val="20"/>
          <w:szCs w:val="20"/>
        </w:rPr>
        <w:t xml:space="preserve"> realizadas por el juez H</w:t>
      </w:r>
      <w:r w:rsidR="00CE4855">
        <w:rPr>
          <w:rFonts w:ascii="Verdana" w:hAnsi="Verdana"/>
          <w:sz w:val="20"/>
          <w:szCs w:val="20"/>
        </w:rPr>
        <w:t>.</w:t>
      </w:r>
      <w:r w:rsidRPr="00CE4855">
        <w:rPr>
          <w:rFonts w:ascii="Verdana" w:hAnsi="Verdana"/>
          <w:sz w:val="20"/>
          <w:szCs w:val="20"/>
        </w:rPr>
        <w:t>S</w:t>
      </w:r>
      <w:r w:rsidR="00CE4855">
        <w:rPr>
          <w:rFonts w:ascii="Verdana" w:hAnsi="Verdana"/>
          <w:sz w:val="20"/>
          <w:szCs w:val="20"/>
        </w:rPr>
        <w:t>.</w:t>
      </w:r>
      <w:r w:rsidRPr="00CE4855">
        <w:rPr>
          <w:rFonts w:ascii="Verdana" w:hAnsi="Verdana"/>
          <w:sz w:val="20"/>
          <w:szCs w:val="20"/>
        </w:rPr>
        <w:t>H</w:t>
      </w:r>
      <w:r w:rsidR="00CE4855">
        <w:rPr>
          <w:rFonts w:ascii="Verdana" w:hAnsi="Verdana"/>
          <w:sz w:val="20"/>
          <w:szCs w:val="20"/>
        </w:rPr>
        <w:t>. en el caso concreto. T</w:t>
      </w:r>
      <w:r w:rsidRPr="00CE4855">
        <w:rPr>
          <w:rFonts w:ascii="Verdana" w:hAnsi="Verdana"/>
          <w:sz w:val="20"/>
          <w:szCs w:val="20"/>
        </w:rPr>
        <w:t xml:space="preserve">ampoco </w:t>
      </w:r>
      <w:r w:rsidR="00CE4855">
        <w:rPr>
          <w:rFonts w:ascii="Verdana" w:hAnsi="Verdana"/>
          <w:sz w:val="20"/>
          <w:szCs w:val="20"/>
        </w:rPr>
        <w:t xml:space="preserve">constan </w:t>
      </w:r>
      <w:r w:rsidRPr="00CE4855">
        <w:rPr>
          <w:rFonts w:ascii="Verdana" w:hAnsi="Verdana"/>
          <w:sz w:val="20"/>
          <w:szCs w:val="20"/>
        </w:rPr>
        <w:t xml:space="preserve">en el acervo probatorio </w:t>
      </w:r>
      <w:r w:rsidR="00CE4855">
        <w:rPr>
          <w:rFonts w:ascii="Verdana" w:hAnsi="Verdana"/>
          <w:sz w:val="20"/>
          <w:szCs w:val="20"/>
        </w:rPr>
        <w:t xml:space="preserve">ante este Tribunal actuaciones específicas </w:t>
      </w:r>
      <w:r w:rsidRPr="00CE4855">
        <w:rPr>
          <w:rFonts w:ascii="Verdana" w:hAnsi="Verdana"/>
          <w:sz w:val="20"/>
          <w:szCs w:val="20"/>
        </w:rPr>
        <w:t xml:space="preserve">que permitan a la Corte examinar </w:t>
      </w:r>
      <w:r w:rsidR="00CE4855">
        <w:rPr>
          <w:rFonts w:ascii="Verdana" w:hAnsi="Verdana"/>
          <w:sz w:val="20"/>
          <w:szCs w:val="20"/>
        </w:rPr>
        <w:t>la</w:t>
      </w:r>
      <w:r w:rsidRPr="00CE4855">
        <w:rPr>
          <w:rFonts w:ascii="Verdana" w:hAnsi="Verdana"/>
          <w:sz w:val="20"/>
          <w:szCs w:val="20"/>
        </w:rPr>
        <w:t xml:space="preserve"> actuación </w:t>
      </w:r>
      <w:r w:rsidR="00CE4855">
        <w:rPr>
          <w:rFonts w:ascii="Verdana" w:hAnsi="Verdana"/>
          <w:sz w:val="20"/>
          <w:szCs w:val="20"/>
        </w:rPr>
        <w:t xml:space="preserve">del juez nacional </w:t>
      </w:r>
      <w:r w:rsidRPr="00CE4855">
        <w:rPr>
          <w:rFonts w:ascii="Verdana" w:hAnsi="Verdana"/>
          <w:sz w:val="20"/>
          <w:szCs w:val="20"/>
        </w:rPr>
        <w:t xml:space="preserve">y determinar si se garantizó o no la imparcialidad </w:t>
      </w:r>
      <w:r w:rsidR="00CE4855">
        <w:rPr>
          <w:rFonts w:ascii="Verdana" w:hAnsi="Verdana"/>
          <w:sz w:val="20"/>
          <w:szCs w:val="20"/>
        </w:rPr>
        <w:t>de éste</w:t>
      </w:r>
      <w:r w:rsidRPr="00CE4855">
        <w:rPr>
          <w:rFonts w:ascii="Verdana" w:hAnsi="Verdana"/>
          <w:sz w:val="20"/>
          <w:szCs w:val="20"/>
        </w:rPr>
        <w:t xml:space="preserve">. </w:t>
      </w:r>
      <w:r w:rsidR="00CE4855">
        <w:rPr>
          <w:rFonts w:ascii="Verdana" w:hAnsi="Verdana"/>
          <w:sz w:val="20"/>
          <w:szCs w:val="20"/>
        </w:rPr>
        <w:t>La Corte advierte que n</w:t>
      </w:r>
      <w:r w:rsidRPr="00CE4855">
        <w:rPr>
          <w:rFonts w:ascii="Verdana" w:hAnsi="Verdana"/>
          <w:sz w:val="20"/>
          <w:szCs w:val="20"/>
        </w:rPr>
        <w:t xml:space="preserve">o basta que las partes enuncien la normativa para el fundamento de las alegadas violaciones, sino que </w:t>
      </w:r>
      <w:r w:rsidR="00CE4855">
        <w:rPr>
          <w:rFonts w:ascii="Verdana" w:hAnsi="Verdana"/>
          <w:sz w:val="20"/>
          <w:szCs w:val="20"/>
        </w:rPr>
        <w:t xml:space="preserve">tienen el deber de </w:t>
      </w:r>
      <w:r w:rsidRPr="00CE4855">
        <w:rPr>
          <w:rFonts w:ascii="Verdana" w:hAnsi="Verdana"/>
          <w:sz w:val="20"/>
          <w:szCs w:val="20"/>
        </w:rPr>
        <w:t xml:space="preserve">indicar </w:t>
      </w:r>
      <w:r w:rsidR="00CE4855">
        <w:rPr>
          <w:rFonts w:ascii="Verdana" w:hAnsi="Verdana"/>
          <w:sz w:val="20"/>
          <w:szCs w:val="20"/>
        </w:rPr>
        <w:t xml:space="preserve">y precisar </w:t>
      </w:r>
      <w:r w:rsidRPr="00CE4855">
        <w:rPr>
          <w:rFonts w:ascii="Verdana" w:hAnsi="Verdana"/>
          <w:sz w:val="20"/>
          <w:szCs w:val="20"/>
        </w:rPr>
        <w:t xml:space="preserve">además las actuaciones o diligencias que el juzgador realizó concretamente en la etapa de control que </w:t>
      </w:r>
      <w:r w:rsidR="00CE4855">
        <w:rPr>
          <w:rFonts w:ascii="Verdana" w:hAnsi="Verdana"/>
          <w:sz w:val="20"/>
          <w:szCs w:val="20"/>
        </w:rPr>
        <w:t>eventualmente habrían causado</w:t>
      </w:r>
      <w:r w:rsidRPr="00CE4855">
        <w:rPr>
          <w:rFonts w:ascii="Verdana" w:hAnsi="Verdana"/>
          <w:sz w:val="20"/>
          <w:szCs w:val="20"/>
        </w:rPr>
        <w:t xml:space="preserve"> una vulneración de los derechos de las presuntas víctimas. </w:t>
      </w:r>
    </w:p>
    <w:p w14:paraId="46873454" w14:textId="77777777" w:rsidR="00513FB5" w:rsidRPr="006B0525" w:rsidRDefault="00513FB5" w:rsidP="00513FB5">
      <w:pPr>
        <w:pStyle w:val="Normal1"/>
        <w:widowControl/>
        <w:contextualSpacing/>
        <w:jc w:val="both"/>
        <w:rPr>
          <w:rFonts w:ascii="Verdana" w:eastAsia="Calibri" w:hAnsi="Verdana" w:cs="Arial"/>
          <w:sz w:val="20"/>
          <w:szCs w:val="20"/>
          <w:lang w:val="es-CO" w:eastAsia="es-CR"/>
        </w:rPr>
      </w:pPr>
    </w:p>
    <w:p w14:paraId="4BEF680F"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eastAsia="Verdana" w:hAnsi="Verdana" w:cs="Verdana"/>
          <w:sz w:val="20"/>
          <w:szCs w:val="20"/>
        </w:rPr>
        <w:t xml:space="preserve">En consecuencia, la Corte concluye que el Estado no es responsable por la violación de los artículos 8.1 y 8.2 de la Convención Americana, en relación con el 1.1 del mismo instrumento, en perjuicio de los señores </w:t>
      </w:r>
      <w:r w:rsidRPr="006B0525">
        <w:rPr>
          <w:rFonts w:ascii="Verdana" w:hAnsi="Verdana"/>
          <w:color w:val="1D1D1D"/>
          <w:sz w:val="20"/>
          <w:szCs w:val="20"/>
        </w:rPr>
        <w:t>Rodríguez Revolorio, López Calo y Archila Pérez</w:t>
      </w:r>
      <w:r w:rsidRPr="006B0525">
        <w:rPr>
          <w:rFonts w:ascii="Verdana" w:eastAsia="Verdana" w:hAnsi="Verdana" w:cs="Verdana"/>
          <w:sz w:val="20"/>
          <w:szCs w:val="20"/>
        </w:rPr>
        <w:t>.</w:t>
      </w:r>
    </w:p>
    <w:p w14:paraId="3A77F6B8" w14:textId="77777777" w:rsidR="00513FB5" w:rsidRPr="006B0525" w:rsidRDefault="00513FB5" w:rsidP="00513FB5">
      <w:pPr>
        <w:pStyle w:val="Ttulo3"/>
      </w:pPr>
      <w:bookmarkStart w:id="71" w:name="_Toc26177818"/>
      <w:r w:rsidRPr="006B0525">
        <w:t>b.2 Derecho de defensa, el deber de motivación y el principio de presunción de inocencia</w:t>
      </w:r>
      <w:bookmarkEnd w:id="71"/>
    </w:p>
    <w:p w14:paraId="2740C092"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bCs/>
          <w:sz w:val="20"/>
          <w:szCs w:val="20"/>
        </w:rPr>
        <w:t>En el presente apartado, la Corte analizará la alegada responsabilidad del Estado con relación a sus obligaciones relativas al derecho de defensa, deber de motivación y respeto al principio de presunción inocencia, ya que las representantes y la Comisión alegaron que el Estado fue omiso en otorgar una exposición razonada y suficiente de los motivos y fundamentos jurídicos que tomó en cuenta a través de sus agentes judiciales, para imponer la pena capital a las presuntas víctimas. Tales deficiencias argumentativas se hacen consistir en la indebida admisibilidad y valoración de las pruebas de identificación y pericial en materia de balística que fueron fundamentales para dictar la condena y la desestimación de pruebas de</w:t>
      </w:r>
      <w:r w:rsidR="00DE6A80">
        <w:rPr>
          <w:rFonts w:ascii="Verdana" w:hAnsi="Verdana"/>
          <w:bCs/>
          <w:sz w:val="20"/>
          <w:szCs w:val="20"/>
        </w:rPr>
        <w:t xml:space="preserve"> defensa carentes de motivación</w:t>
      </w:r>
      <w:r w:rsidRPr="006B0525">
        <w:rPr>
          <w:rFonts w:ascii="Verdana" w:hAnsi="Verdana"/>
          <w:bCs/>
          <w:sz w:val="20"/>
          <w:szCs w:val="20"/>
        </w:rPr>
        <w:t xml:space="preserve">. </w:t>
      </w:r>
    </w:p>
    <w:p w14:paraId="7A285EB4" w14:textId="77777777" w:rsidR="00513FB5" w:rsidRPr="006B0525" w:rsidRDefault="00513FB5" w:rsidP="00513FB5">
      <w:pPr>
        <w:pStyle w:val="Normal1"/>
        <w:widowControl/>
        <w:contextualSpacing/>
        <w:jc w:val="both"/>
        <w:rPr>
          <w:rFonts w:ascii="Verdana" w:eastAsia="Verdana" w:hAnsi="Verdana" w:cs="Verdana"/>
          <w:sz w:val="20"/>
          <w:szCs w:val="20"/>
        </w:rPr>
      </w:pPr>
    </w:p>
    <w:p w14:paraId="79C60C09"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rPr>
        <w:t>Esta Corte considera necesario recordar que el derecho a la defensa es un componente central del debido proceso</w:t>
      </w:r>
      <w:r w:rsidRPr="006B0525">
        <w:rPr>
          <w:rStyle w:val="Refdenotaalpie"/>
          <w:rFonts w:ascii="Verdana" w:hAnsi="Verdana"/>
          <w:sz w:val="20"/>
          <w:szCs w:val="20"/>
        </w:rPr>
        <w:footnoteReference w:id="164"/>
      </w:r>
      <w:r w:rsidRPr="006B0525">
        <w:rPr>
          <w:rFonts w:ascii="Verdana" w:hAnsi="Verdana"/>
          <w:sz w:val="20"/>
          <w:szCs w:val="20"/>
        </w:rPr>
        <w:t>. En los procesos de orden penal, el derecho a la defensa tiene como finalidad tanto dotar al acusado de las herramientas necesarias para demostrar su inocencia, como posicionarse en un rol activo en un riguroso control del proceso para garantizar la validez y credibilidad de los medios de convicción que se alleguen para demostrar la culpabilidad de la persona sometida a juicio</w:t>
      </w:r>
      <w:r w:rsidRPr="006B0525">
        <w:rPr>
          <w:rStyle w:val="Refdenotaalpie"/>
          <w:rFonts w:ascii="Verdana" w:hAnsi="Verdana"/>
          <w:sz w:val="20"/>
          <w:szCs w:val="20"/>
        </w:rPr>
        <w:footnoteReference w:id="165"/>
      </w:r>
      <w:r w:rsidRPr="006B0525">
        <w:rPr>
          <w:rFonts w:ascii="Verdana" w:hAnsi="Verdana"/>
          <w:sz w:val="20"/>
          <w:szCs w:val="20"/>
        </w:rPr>
        <w:t>.</w:t>
      </w:r>
    </w:p>
    <w:p w14:paraId="3DC89DCC" w14:textId="77777777" w:rsidR="00513FB5" w:rsidRPr="006B0525" w:rsidRDefault="00513FB5" w:rsidP="00513FB5">
      <w:pPr>
        <w:spacing w:line="240" w:lineRule="auto"/>
      </w:pPr>
    </w:p>
    <w:p w14:paraId="545A5D92"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rPr>
        <w:t>En principio, el deber de motivación a que están sujetas las autoridades de los Estados, representa un derecho instrumental de las personas para contar con las debidas garantías judiciales y ejercer plenamente su derecho de defensa, al imponerles la obligación de exteriorizar las razones que justifiquen sus decisiones</w:t>
      </w:r>
      <w:r w:rsidRPr="006B0525">
        <w:rPr>
          <w:rStyle w:val="Refdenotaalpie"/>
          <w:rFonts w:ascii="Verdana" w:hAnsi="Verdana"/>
          <w:sz w:val="20"/>
          <w:szCs w:val="20"/>
        </w:rPr>
        <w:footnoteReference w:id="166"/>
      </w:r>
      <w:r w:rsidRPr="006B0525">
        <w:rPr>
          <w:rFonts w:ascii="Verdana" w:hAnsi="Verdana"/>
          <w:sz w:val="20"/>
          <w:szCs w:val="20"/>
        </w:rPr>
        <w:t>. De esta forma, la administración de justicia permite a las personas que resientan una afectación a sus derechos humanos, conocer los motivos que llevaron a los juzgadores a resolver de una determinada forma, para que así, puedan contar con la oportunidad de rebatir las consideraciones que sustentan la resolución por considerarlas injustas. Ahora, si bien este deber de motivación no exige una respuesta detallada a todo argumento, sí requiere que las decisiones cuenten con una argumentación racional que tome en cuenta los alegatos y el acervo probatorio que haya conformado el proceso</w:t>
      </w:r>
      <w:r w:rsidRPr="006B0525">
        <w:rPr>
          <w:rStyle w:val="Refdenotaalpie"/>
          <w:rFonts w:ascii="Verdana" w:hAnsi="Verdana"/>
          <w:sz w:val="20"/>
          <w:szCs w:val="20"/>
        </w:rPr>
        <w:footnoteReference w:id="167"/>
      </w:r>
      <w:r w:rsidRPr="006B0525">
        <w:rPr>
          <w:rFonts w:ascii="Verdana" w:hAnsi="Verdana"/>
          <w:sz w:val="20"/>
          <w:szCs w:val="20"/>
        </w:rPr>
        <w:t xml:space="preserve">. </w:t>
      </w:r>
    </w:p>
    <w:p w14:paraId="29C4884D" w14:textId="77777777" w:rsidR="00513FB5" w:rsidRPr="006B0525" w:rsidRDefault="00513FB5" w:rsidP="00513FB5">
      <w:pPr>
        <w:pStyle w:val="Prrafodelista"/>
        <w:spacing w:line="240" w:lineRule="auto"/>
      </w:pPr>
    </w:p>
    <w:p w14:paraId="73ADB8C7"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rPr>
        <w:t xml:space="preserve">Los procesos penales en que estén involucradas sanciones de gran relevancia, como la privación de la libertad personal, o con mayor énfasis, la pena capital, imponen a los juzgadores </w:t>
      </w:r>
      <w:r w:rsidRPr="006B0525">
        <w:rPr>
          <w:rFonts w:ascii="Verdana" w:hAnsi="Verdana"/>
          <w:sz w:val="20"/>
          <w:szCs w:val="20"/>
        </w:rPr>
        <w:lastRenderedPageBreak/>
        <w:t>realizar el más escrupuloso escrutinio al momento de resolver, ya que en caso contrario se generaría una afectación irreversible a las personas condenadas</w:t>
      </w:r>
      <w:r w:rsidRPr="006B0525">
        <w:rPr>
          <w:rStyle w:val="Refdenotaalpie"/>
          <w:rFonts w:ascii="Verdana" w:hAnsi="Verdana"/>
          <w:sz w:val="20"/>
          <w:szCs w:val="20"/>
        </w:rPr>
        <w:footnoteReference w:id="168"/>
      </w:r>
      <w:r w:rsidRPr="006B0525">
        <w:rPr>
          <w:rFonts w:ascii="Verdana" w:hAnsi="Verdana"/>
          <w:sz w:val="20"/>
          <w:szCs w:val="20"/>
        </w:rPr>
        <w:t>. En ese contexto, se reviste de importancia el principio de la presunción de inocencia, el cual obliga a la autoridad judicial a adoptar sus decisiones condenatorias en una certera y evidente convicción sobre la responsabilidad penal de los acusados, obtenida en un juicio en que se hayan respetado las formalidades que garanticen la posibilidad de defensa y las debidas garantías del debido proceso legal.</w:t>
      </w:r>
      <w:r w:rsidR="000F0120" w:rsidRPr="006B0525">
        <w:rPr>
          <w:rFonts w:ascii="Verdana" w:hAnsi="Verdana"/>
          <w:sz w:val="20"/>
          <w:szCs w:val="20"/>
        </w:rPr>
        <w:t xml:space="preserve"> </w:t>
      </w:r>
    </w:p>
    <w:p w14:paraId="6A969D15" w14:textId="77777777" w:rsidR="00513FB5" w:rsidRPr="006B0525" w:rsidRDefault="00513FB5" w:rsidP="00513FB5">
      <w:pPr>
        <w:pStyle w:val="Prrafodelista"/>
        <w:spacing w:line="240" w:lineRule="auto"/>
      </w:pPr>
    </w:p>
    <w:p w14:paraId="2F1512F6"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rPr>
        <w:t>Este tribunal ha descrito el contenido que debe ser satisfech</w:t>
      </w:r>
      <w:r w:rsidR="00264747">
        <w:rPr>
          <w:rFonts w:ascii="Verdana" w:hAnsi="Verdana"/>
          <w:sz w:val="20"/>
          <w:szCs w:val="20"/>
        </w:rPr>
        <w:t>o</w:t>
      </w:r>
      <w:r w:rsidRPr="006B0525">
        <w:rPr>
          <w:rFonts w:ascii="Verdana" w:hAnsi="Verdana"/>
          <w:sz w:val="20"/>
          <w:szCs w:val="20"/>
        </w:rPr>
        <w:t xml:space="preserve"> de acuerdo al deber de motivación en relación con el respeto a la presunción de inocencia de los acusados, al sostener que “[l]</w:t>
      </w:r>
      <w:r w:rsidRPr="006B0525">
        <w:rPr>
          <w:rFonts w:ascii="Verdana" w:hAnsi="Verdana"/>
          <w:sz w:val="20"/>
          <w:szCs w:val="20"/>
          <w:lang w:val="es-MX"/>
        </w:rPr>
        <w:t xml:space="preserve">a Corte subraya la relevancia de la motivación, a fin de garantizar el principio de presunción de inocencia, principalmente en una sentencia condenatoria, la cual debe expresar la suficiencia de prueba de cargo para confirmar la hipótesis acusatoria; la observancia de las reglas de la sana crítica en la apreciación de la prueba, incluidas aquellas que pudieran generar duda de la responsabilidad penal; y el juicio final que deriva de esta valoración. En su caso, debe reflejar las razones por las que fue posible obtener convicción sobre la imputación y la responsabilidad penal, así como la apreciación de las pruebas para desvirtuar cualquier hipótesis de inocencia, y solo así poder confirmar o refutar la hipótesis acusatoria. Lo anterior, permitiría desvirtuar la presunción de inocencia y determinar la responsabilidad penal más allá de toda duda razonable. Ante la duda, la presunción de inocencia y el principio in dubio </w:t>
      </w:r>
      <w:proofErr w:type="gramStart"/>
      <w:r w:rsidRPr="006B0525">
        <w:rPr>
          <w:rFonts w:ascii="Verdana" w:hAnsi="Verdana"/>
          <w:sz w:val="20"/>
          <w:szCs w:val="20"/>
          <w:lang w:val="es-MX"/>
        </w:rPr>
        <w:t>pro reo</w:t>
      </w:r>
      <w:proofErr w:type="gramEnd"/>
      <w:r w:rsidRPr="006B0525">
        <w:rPr>
          <w:rFonts w:ascii="Verdana" w:hAnsi="Verdana"/>
          <w:sz w:val="20"/>
          <w:szCs w:val="20"/>
          <w:lang w:val="es-MX"/>
        </w:rPr>
        <w:t>, operan como criterio decisorio al momento de emitir el fallo”</w:t>
      </w:r>
      <w:r w:rsidRPr="006B0525">
        <w:rPr>
          <w:rStyle w:val="Refdenotaalpie"/>
          <w:rFonts w:ascii="Verdana" w:hAnsi="Verdana"/>
          <w:sz w:val="20"/>
          <w:szCs w:val="20"/>
          <w:lang w:val="es-MX"/>
        </w:rPr>
        <w:footnoteReference w:id="169"/>
      </w:r>
      <w:r w:rsidRPr="006B0525">
        <w:rPr>
          <w:rFonts w:ascii="Verdana" w:hAnsi="Verdana"/>
          <w:sz w:val="20"/>
          <w:szCs w:val="20"/>
          <w:lang w:val="es-MX"/>
        </w:rPr>
        <w:t>.</w:t>
      </w:r>
    </w:p>
    <w:p w14:paraId="56852329" w14:textId="77777777" w:rsidR="00513FB5" w:rsidRPr="006B0525" w:rsidRDefault="00513FB5" w:rsidP="00513FB5">
      <w:pPr>
        <w:pStyle w:val="Prrafodelista"/>
        <w:spacing w:line="240" w:lineRule="auto"/>
        <w:rPr>
          <w:color w:val="1A1A1A"/>
          <w:lang w:val="es-MX"/>
        </w:rPr>
      </w:pPr>
    </w:p>
    <w:p w14:paraId="4CA2B3C9"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eastAsia="Verdana" w:hAnsi="Verdana" w:cs="Verdana"/>
          <w:sz w:val="20"/>
          <w:szCs w:val="20"/>
          <w:lang w:val="es-MX"/>
        </w:rPr>
        <w:t>D</w:t>
      </w:r>
      <w:proofErr w:type="spellStart"/>
      <w:r w:rsidRPr="006B0525">
        <w:rPr>
          <w:rFonts w:ascii="Verdana" w:eastAsia="Verdana" w:hAnsi="Verdana" w:cs="Verdana"/>
          <w:sz w:val="20"/>
          <w:szCs w:val="20"/>
        </w:rPr>
        <w:t>e</w:t>
      </w:r>
      <w:proofErr w:type="spellEnd"/>
      <w:r w:rsidRPr="006B0525">
        <w:rPr>
          <w:rFonts w:ascii="Verdana" w:eastAsia="Verdana" w:hAnsi="Verdana" w:cs="Verdana"/>
          <w:sz w:val="20"/>
          <w:szCs w:val="20"/>
        </w:rPr>
        <w:t xml:space="preserve"> conformidad con los principios de la sana crítica y la unidad de la prueba, el juzgador puede realizar un estudio concatenado y racional de todo el acervo probatorio que tengan a su disposición en el proceso, para generarles convicción respecto algún hecho, siempre y cuando ello sea acorde con las garantías judiciales como el principio contradictorio, la presunción de inocencia, el derecho de defensa, entre otros. Por lo cual, la exigencia impuesta al juzgador al momento de motivar las determinaciones que </w:t>
      </w:r>
      <w:proofErr w:type="gramStart"/>
      <w:r w:rsidRPr="006B0525">
        <w:rPr>
          <w:rFonts w:ascii="Verdana" w:eastAsia="Verdana" w:hAnsi="Verdana" w:cs="Verdana"/>
          <w:sz w:val="20"/>
          <w:szCs w:val="20"/>
        </w:rPr>
        <w:t>adopte,</w:t>
      </w:r>
      <w:proofErr w:type="gramEnd"/>
      <w:r w:rsidRPr="006B0525">
        <w:rPr>
          <w:rFonts w:ascii="Verdana" w:eastAsia="Verdana" w:hAnsi="Verdana" w:cs="Verdana"/>
          <w:sz w:val="20"/>
          <w:szCs w:val="20"/>
        </w:rPr>
        <w:t xml:space="preserve"> es fundamentar las causas y razones que respalden la apreciación de los elementos probatorios que tengan a su disposición. </w:t>
      </w:r>
    </w:p>
    <w:p w14:paraId="18D80255" w14:textId="77777777" w:rsidR="00513FB5" w:rsidRPr="006B0525" w:rsidRDefault="00513FB5" w:rsidP="00513FB5">
      <w:pPr>
        <w:pStyle w:val="Prrafodelista"/>
        <w:spacing w:line="240" w:lineRule="auto"/>
        <w:rPr>
          <w:color w:val="1A1A1A"/>
        </w:rPr>
      </w:pPr>
    </w:p>
    <w:p w14:paraId="31DE4854"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color w:val="1A1A1A"/>
          <w:sz w:val="20"/>
          <w:szCs w:val="20"/>
          <w:lang w:val="es-MX"/>
        </w:rPr>
        <w:t xml:space="preserve">En un primer aspecto, en lo relativo a la alegada irregularidad de prueba de identificación de los presuntos culpables realizada a través de tarjetas </w:t>
      </w:r>
      <w:proofErr w:type="spellStart"/>
      <w:r w:rsidRPr="006B0525">
        <w:rPr>
          <w:rFonts w:ascii="Verdana" w:hAnsi="Verdana"/>
          <w:color w:val="1A1A1A"/>
          <w:sz w:val="20"/>
          <w:szCs w:val="20"/>
          <w:lang w:val="es-MX"/>
        </w:rPr>
        <w:t>kardex</w:t>
      </w:r>
      <w:proofErr w:type="spellEnd"/>
      <w:r w:rsidRPr="006B0525">
        <w:rPr>
          <w:rFonts w:ascii="Verdana" w:hAnsi="Verdana"/>
          <w:color w:val="1A1A1A"/>
          <w:sz w:val="20"/>
          <w:szCs w:val="20"/>
          <w:lang w:val="es-MX"/>
        </w:rPr>
        <w:t xml:space="preserve"> con fotografías, este Tribunal constata del contenido de la sentencia de primera instancia que el órgano jurisdiccional indicó que </w:t>
      </w:r>
      <w:r w:rsidR="00207A2A">
        <w:rPr>
          <w:rFonts w:ascii="Verdana" w:hAnsi="Verdana"/>
          <w:color w:val="1A1A1A"/>
          <w:sz w:val="20"/>
          <w:szCs w:val="20"/>
          <w:lang w:val="es-MX"/>
        </w:rPr>
        <w:t xml:space="preserve">dicha prueba se consideraba </w:t>
      </w:r>
      <w:r w:rsidRPr="006B0525">
        <w:rPr>
          <w:rFonts w:ascii="Verdana" w:hAnsi="Verdana"/>
          <w:color w:val="1A1A1A"/>
          <w:sz w:val="20"/>
          <w:szCs w:val="20"/>
          <w:lang w:val="es-MX"/>
        </w:rPr>
        <w:t>“</w:t>
      </w:r>
      <w:r w:rsidR="00207A2A">
        <w:rPr>
          <w:rFonts w:ascii="Verdana" w:hAnsi="Verdana"/>
          <w:color w:val="1A1A1A"/>
          <w:sz w:val="20"/>
          <w:szCs w:val="20"/>
          <w:lang w:val="es-MX"/>
        </w:rPr>
        <w:t>c</w:t>
      </w:r>
      <w:r w:rsidRPr="006B0525">
        <w:rPr>
          <w:rFonts w:ascii="Verdana" w:hAnsi="Verdana"/>
          <w:color w:val="1A1A1A"/>
          <w:sz w:val="20"/>
          <w:szCs w:val="20"/>
          <w:lang w:val="es-MX"/>
        </w:rPr>
        <w:t>omo el punto de partida de investigación que condujo al esclarecimiento del injusto penal objeto del juicio</w:t>
      </w:r>
      <w:r w:rsidR="00207A2A">
        <w:rPr>
          <w:rFonts w:ascii="Verdana" w:hAnsi="Verdana"/>
          <w:color w:val="1A1A1A"/>
          <w:sz w:val="20"/>
          <w:szCs w:val="20"/>
          <w:lang w:val="es-MX"/>
        </w:rPr>
        <w:t>”</w:t>
      </w:r>
      <w:r w:rsidR="00207A2A" w:rsidRPr="006B0525">
        <w:rPr>
          <w:rStyle w:val="Refdenotaalpie"/>
          <w:rFonts w:ascii="Verdana" w:hAnsi="Verdana"/>
          <w:color w:val="1A1A1A"/>
          <w:sz w:val="20"/>
          <w:szCs w:val="20"/>
          <w:lang w:val="es-MX"/>
        </w:rPr>
        <w:footnoteReference w:id="170"/>
      </w:r>
      <w:r w:rsidRPr="006B0525">
        <w:rPr>
          <w:rFonts w:ascii="Verdana" w:hAnsi="Verdana"/>
          <w:color w:val="1A1A1A"/>
          <w:sz w:val="20"/>
          <w:szCs w:val="20"/>
          <w:lang w:val="es-MX"/>
        </w:rPr>
        <w:t>.</w:t>
      </w:r>
      <w:r w:rsidR="00207A2A">
        <w:rPr>
          <w:rFonts w:ascii="Verdana" w:hAnsi="Verdana"/>
          <w:color w:val="1A1A1A"/>
          <w:sz w:val="20"/>
          <w:szCs w:val="20"/>
          <w:lang w:val="es-MX"/>
        </w:rPr>
        <w:t xml:space="preserve"> Añadió además que “</w:t>
      </w:r>
      <w:r w:rsidRPr="006B0525">
        <w:rPr>
          <w:rFonts w:ascii="Verdana" w:hAnsi="Verdana"/>
          <w:color w:val="1A1A1A"/>
          <w:sz w:val="20"/>
          <w:szCs w:val="20"/>
          <w:lang w:val="es-MX"/>
        </w:rPr>
        <w:t>los investigadores de la Oficina de Respons</w:t>
      </w:r>
      <w:r w:rsidR="00207A2A">
        <w:rPr>
          <w:rFonts w:ascii="Verdana" w:hAnsi="Verdana"/>
          <w:color w:val="1A1A1A"/>
          <w:sz w:val="20"/>
          <w:szCs w:val="20"/>
          <w:lang w:val="es-MX"/>
        </w:rPr>
        <w:t>abilidad de la Policía Nacional</w:t>
      </w:r>
      <w:r w:rsidRPr="006B0525">
        <w:rPr>
          <w:rFonts w:ascii="Verdana" w:hAnsi="Verdana"/>
          <w:color w:val="1A1A1A"/>
          <w:sz w:val="20"/>
          <w:szCs w:val="20"/>
          <w:lang w:val="es-MX"/>
        </w:rPr>
        <w:t xml:space="preserve"> coinciden con la misma versión, lo que lleva al ánimo de los Juzgadores el convencimiento de que es verdad lo que ellos declaran”</w:t>
      </w:r>
      <w:r w:rsidRPr="006B0525">
        <w:rPr>
          <w:rStyle w:val="Refdenotaalpie"/>
          <w:rFonts w:ascii="Verdana" w:hAnsi="Verdana"/>
          <w:color w:val="1A1A1A"/>
          <w:sz w:val="20"/>
          <w:szCs w:val="20"/>
          <w:lang w:val="es-MX"/>
        </w:rPr>
        <w:footnoteReference w:id="171"/>
      </w:r>
      <w:r w:rsidRPr="006B0525">
        <w:rPr>
          <w:rFonts w:ascii="Verdana" w:hAnsi="Verdana"/>
          <w:color w:val="1A1A1A"/>
          <w:sz w:val="20"/>
          <w:szCs w:val="20"/>
          <w:lang w:val="es-MX"/>
        </w:rPr>
        <w:t>.</w:t>
      </w:r>
      <w:r w:rsidR="000F0120" w:rsidRPr="006B0525">
        <w:rPr>
          <w:rFonts w:ascii="Verdana" w:hAnsi="Verdana"/>
          <w:color w:val="1A1A1A"/>
          <w:sz w:val="20"/>
          <w:szCs w:val="20"/>
          <w:lang w:val="es-MX"/>
        </w:rPr>
        <w:t xml:space="preserve"> </w:t>
      </w:r>
      <w:r w:rsidRPr="006B0525">
        <w:rPr>
          <w:rFonts w:ascii="Verdana" w:hAnsi="Verdana"/>
          <w:color w:val="1A1A1A"/>
          <w:sz w:val="20"/>
          <w:szCs w:val="20"/>
          <w:lang w:val="es-MX"/>
        </w:rPr>
        <w:t>En consecuencia, este Tribunal aprecia que existió un pronunciamiento para acoger el medio de convicción anteriormente referido, no como u</w:t>
      </w:r>
      <w:r w:rsidR="00207A2A">
        <w:rPr>
          <w:rFonts w:ascii="Verdana" w:hAnsi="Verdana"/>
          <w:color w:val="1A1A1A"/>
          <w:sz w:val="20"/>
          <w:szCs w:val="20"/>
          <w:lang w:val="es-MX"/>
        </w:rPr>
        <w:t>na prueba de identificación, si</w:t>
      </w:r>
      <w:r w:rsidRPr="006B0525">
        <w:rPr>
          <w:rFonts w:ascii="Verdana" w:hAnsi="Verdana"/>
          <w:color w:val="1A1A1A"/>
          <w:sz w:val="20"/>
          <w:szCs w:val="20"/>
          <w:lang w:val="es-MX"/>
        </w:rPr>
        <w:t>no como parte de la investigación realizada por los agentes policíacos, respaldada por determinados razonamientos.</w:t>
      </w:r>
      <w:r w:rsidR="00207A2A">
        <w:rPr>
          <w:rFonts w:ascii="Verdana" w:hAnsi="Verdana"/>
          <w:color w:val="1A1A1A"/>
          <w:sz w:val="20"/>
          <w:szCs w:val="20"/>
          <w:lang w:val="es-MX"/>
        </w:rPr>
        <w:t xml:space="preserve"> El Tribunal observa que los hechos declarados probados en la sentencia se basaron en el convencimiento por parte del órgano juzgador a través de múltiples pruebas, p</w:t>
      </w:r>
      <w:r w:rsidRPr="006B0525">
        <w:rPr>
          <w:rFonts w:ascii="Verdana" w:hAnsi="Verdana"/>
          <w:color w:val="1A1A1A"/>
          <w:sz w:val="20"/>
          <w:szCs w:val="20"/>
          <w:lang w:val="es-MX"/>
        </w:rPr>
        <w:t xml:space="preserve">or lo que en dicho aspecto se cumplió con el requisito de motivación. </w:t>
      </w:r>
    </w:p>
    <w:p w14:paraId="37898300" w14:textId="77777777" w:rsidR="00513FB5" w:rsidRPr="006B0525" w:rsidRDefault="00513FB5" w:rsidP="00513FB5">
      <w:pPr>
        <w:pStyle w:val="Normal1"/>
        <w:widowControl/>
        <w:contextualSpacing/>
        <w:jc w:val="both"/>
        <w:rPr>
          <w:rFonts w:ascii="Verdana" w:eastAsia="Verdana" w:hAnsi="Verdana" w:cs="Verdana"/>
          <w:sz w:val="20"/>
          <w:szCs w:val="20"/>
        </w:rPr>
      </w:pPr>
    </w:p>
    <w:p w14:paraId="31737197"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color w:val="1A1A1A"/>
          <w:sz w:val="20"/>
          <w:szCs w:val="20"/>
          <w:lang w:val="es-MX"/>
        </w:rPr>
        <w:t>Por otra parte, en lo que atañe a la prueba pericial en materia de balística presentada por el perito M</w:t>
      </w:r>
      <w:r w:rsidR="00D7421B" w:rsidRPr="006B0525">
        <w:rPr>
          <w:rFonts w:ascii="Verdana" w:hAnsi="Verdana"/>
          <w:color w:val="1A1A1A"/>
          <w:sz w:val="20"/>
          <w:szCs w:val="20"/>
          <w:lang w:val="es-MX"/>
        </w:rPr>
        <w:t>.</w:t>
      </w:r>
      <w:r w:rsidRPr="006B0525">
        <w:rPr>
          <w:rFonts w:ascii="Verdana" w:hAnsi="Verdana"/>
          <w:color w:val="1A1A1A"/>
          <w:sz w:val="20"/>
          <w:szCs w:val="20"/>
          <w:lang w:val="es-MX"/>
        </w:rPr>
        <w:t>X</w:t>
      </w:r>
      <w:r w:rsidR="00D7421B" w:rsidRPr="006B0525">
        <w:rPr>
          <w:rFonts w:ascii="Verdana" w:hAnsi="Verdana"/>
          <w:color w:val="1A1A1A"/>
          <w:sz w:val="20"/>
          <w:szCs w:val="20"/>
          <w:lang w:val="es-MX"/>
        </w:rPr>
        <w:t>.</w:t>
      </w:r>
      <w:r w:rsidRPr="006B0525">
        <w:rPr>
          <w:rFonts w:ascii="Verdana" w:hAnsi="Verdana"/>
          <w:color w:val="1A1A1A"/>
          <w:sz w:val="20"/>
          <w:szCs w:val="20"/>
          <w:lang w:val="es-MX"/>
        </w:rPr>
        <w:t>X</w:t>
      </w:r>
      <w:r w:rsidR="00D7421B" w:rsidRPr="006B0525">
        <w:rPr>
          <w:rFonts w:ascii="Verdana" w:hAnsi="Verdana"/>
          <w:color w:val="1A1A1A"/>
          <w:sz w:val="20"/>
          <w:szCs w:val="20"/>
          <w:lang w:val="es-MX"/>
        </w:rPr>
        <w:t>.</w:t>
      </w:r>
      <w:r w:rsidRPr="006B0525">
        <w:rPr>
          <w:rFonts w:ascii="Verdana" w:hAnsi="Verdana"/>
          <w:color w:val="1A1A1A"/>
          <w:sz w:val="20"/>
          <w:szCs w:val="20"/>
          <w:lang w:val="es-MX"/>
        </w:rPr>
        <w:t xml:space="preserve">, las representantes alegaron que esta adolecía de las formalidades legales que </w:t>
      </w:r>
      <w:r w:rsidRPr="006B0525">
        <w:rPr>
          <w:rFonts w:ascii="Verdana" w:hAnsi="Verdana"/>
          <w:color w:val="1A1A1A"/>
          <w:sz w:val="20"/>
          <w:szCs w:val="20"/>
          <w:lang w:val="es-MX"/>
        </w:rPr>
        <w:lastRenderedPageBreak/>
        <w:t>establecía la legislación aplicable. No obstante, esta Corte aprecia que el tribunal ordinario consideró que “el perito declaró en el debate, realizándose así la excepción contenida en el inciso 1) del artículo 364 del Código Procesal Penal”</w:t>
      </w:r>
      <w:r w:rsidRPr="006B0525">
        <w:rPr>
          <w:rStyle w:val="Refdenotaalpie"/>
          <w:rFonts w:ascii="Verdana" w:hAnsi="Verdana"/>
          <w:color w:val="1A1A1A"/>
          <w:sz w:val="20"/>
          <w:szCs w:val="20"/>
          <w:lang w:val="es-MX"/>
        </w:rPr>
        <w:footnoteReference w:id="172"/>
      </w:r>
      <w:r w:rsidRPr="006B0525">
        <w:rPr>
          <w:rFonts w:ascii="Verdana" w:hAnsi="Verdana"/>
          <w:color w:val="1A1A1A"/>
          <w:sz w:val="20"/>
          <w:szCs w:val="20"/>
          <w:lang w:val="es-MX"/>
        </w:rPr>
        <w:t>. Por lo tanto, la Corte considera que la determinación adoptada al hacer referencia a un caso de excepción y mencionar el artículo en que se fundaba, externó la información requerida a los sujetos procesales de las razones en que los jueces apoyaron aceptar su admisión.</w:t>
      </w:r>
    </w:p>
    <w:p w14:paraId="34D9787C" w14:textId="77777777" w:rsidR="00513FB5" w:rsidRPr="006B0525" w:rsidRDefault="00513FB5" w:rsidP="00513FB5">
      <w:pPr>
        <w:pStyle w:val="Normal1"/>
        <w:widowControl/>
        <w:contextualSpacing/>
        <w:jc w:val="both"/>
        <w:rPr>
          <w:rFonts w:ascii="Verdana" w:eastAsia="Verdana" w:hAnsi="Verdana" w:cs="Verdana"/>
          <w:sz w:val="20"/>
          <w:szCs w:val="20"/>
        </w:rPr>
      </w:pPr>
    </w:p>
    <w:p w14:paraId="15F00398"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color w:val="1A1A1A"/>
          <w:sz w:val="20"/>
          <w:szCs w:val="20"/>
          <w:lang w:val="es-MX"/>
        </w:rPr>
        <w:t>Por último, en lo relativo a la alegada falta de motivación presente en la omisión de analizar las causas atenuantes relativas al comportamiento de los acusados que sirvieran para omitir la aplicación de la pena capital, la Corte considera que este aspecto se encuentra vinculado al empleo del criterio de peligrosidad del agente y la tipificación penal aplicable, que ya fue examinado por este Tribunal (</w:t>
      </w:r>
      <w:r w:rsidRPr="006B0525">
        <w:rPr>
          <w:rFonts w:ascii="Verdana" w:hAnsi="Verdana"/>
          <w:i/>
          <w:color w:val="1A1A1A"/>
          <w:sz w:val="20"/>
          <w:szCs w:val="20"/>
          <w:lang w:val="es-MX"/>
        </w:rPr>
        <w:t>supra</w:t>
      </w:r>
      <w:r w:rsidRPr="006B0525">
        <w:rPr>
          <w:rFonts w:ascii="Verdana" w:hAnsi="Verdana"/>
          <w:color w:val="1A1A1A"/>
          <w:sz w:val="20"/>
          <w:szCs w:val="20"/>
          <w:lang w:val="es-MX"/>
        </w:rPr>
        <w:t xml:space="preserve"> </w:t>
      </w:r>
      <w:proofErr w:type="spellStart"/>
      <w:r w:rsidRPr="006B0525">
        <w:rPr>
          <w:rFonts w:ascii="Verdana" w:hAnsi="Verdana"/>
          <w:color w:val="1A1A1A"/>
          <w:sz w:val="20"/>
          <w:szCs w:val="20"/>
          <w:lang w:val="es-MX"/>
        </w:rPr>
        <w:t>párr</w:t>
      </w:r>
      <w:r w:rsidR="00264747">
        <w:rPr>
          <w:rFonts w:ascii="Verdana" w:hAnsi="Verdana"/>
          <w:color w:val="1A1A1A"/>
          <w:sz w:val="20"/>
          <w:szCs w:val="20"/>
          <w:lang w:val="es-MX"/>
        </w:rPr>
        <w:t>s</w:t>
      </w:r>
      <w:proofErr w:type="spellEnd"/>
      <w:r w:rsidRPr="006B0525">
        <w:rPr>
          <w:rFonts w:ascii="Verdana" w:hAnsi="Verdana"/>
          <w:color w:val="1A1A1A"/>
          <w:sz w:val="20"/>
          <w:szCs w:val="20"/>
          <w:lang w:val="es-MX"/>
        </w:rPr>
        <w:t xml:space="preserve">. </w:t>
      </w:r>
      <w:r w:rsidR="0072160A">
        <w:rPr>
          <w:rFonts w:ascii="Verdana" w:hAnsi="Verdana"/>
          <w:color w:val="1A1A1A"/>
          <w:sz w:val="20"/>
          <w:szCs w:val="20"/>
          <w:lang w:val="es-MX"/>
        </w:rPr>
        <w:t>61</w:t>
      </w:r>
      <w:r w:rsidR="00264747">
        <w:rPr>
          <w:rFonts w:ascii="Verdana" w:hAnsi="Verdana"/>
          <w:color w:val="1A1A1A"/>
          <w:sz w:val="20"/>
          <w:szCs w:val="20"/>
          <w:lang w:val="es-MX"/>
        </w:rPr>
        <w:t xml:space="preserve"> </w:t>
      </w:r>
      <w:r w:rsidR="0072160A">
        <w:rPr>
          <w:rFonts w:ascii="Verdana" w:hAnsi="Verdana"/>
          <w:color w:val="1A1A1A"/>
          <w:sz w:val="20"/>
          <w:szCs w:val="20"/>
          <w:lang w:val="es-MX"/>
        </w:rPr>
        <w:t>a</w:t>
      </w:r>
      <w:r w:rsidR="00264747">
        <w:rPr>
          <w:rFonts w:ascii="Verdana" w:hAnsi="Verdana"/>
          <w:color w:val="1A1A1A"/>
          <w:sz w:val="20"/>
          <w:szCs w:val="20"/>
          <w:lang w:val="es-MX"/>
        </w:rPr>
        <w:t xml:space="preserve"> 64</w:t>
      </w:r>
      <w:r w:rsidRPr="006B0525">
        <w:rPr>
          <w:rFonts w:ascii="Verdana" w:hAnsi="Verdana"/>
          <w:color w:val="1A1A1A"/>
          <w:sz w:val="20"/>
          <w:szCs w:val="20"/>
          <w:lang w:val="es-MX"/>
        </w:rPr>
        <w:t xml:space="preserve">), por lo que no se pronuncia al respecto. </w:t>
      </w:r>
    </w:p>
    <w:p w14:paraId="33C689D4" w14:textId="77777777" w:rsidR="00513FB5" w:rsidRPr="006B0525" w:rsidRDefault="00513FB5" w:rsidP="00513FB5">
      <w:pPr>
        <w:pStyle w:val="Normal1"/>
        <w:widowControl/>
        <w:contextualSpacing/>
        <w:jc w:val="both"/>
        <w:rPr>
          <w:rFonts w:ascii="Verdana" w:eastAsia="Verdana" w:hAnsi="Verdana" w:cs="Verdana"/>
          <w:sz w:val="20"/>
          <w:szCs w:val="20"/>
        </w:rPr>
      </w:pPr>
    </w:p>
    <w:p w14:paraId="62A258EA" w14:textId="77777777" w:rsidR="00513FB5" w:rsidRPr="006B0525" w:rsidRDefault="00513FB5" w:rsidP="00513FB5">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color w:val="1A1A1A"/>
          <w:sz w:val="20"/>
          <w:szCs w:val="20"/>
          <w:lang w:val="es-MX"/>
        </w:rPr>
        <w:t xml:space="preserve">En </w:t>
      </w:r>
      <w:proofErr w:type="gramStart"/>
      <w:r w:rsidRPr="006B0525">
        <w:rPr>
          <w:rFonts w:ascii="Verdana" w:hAnsi="Verdana"/>
          <w:color w:val="1A1A1A"/>
          <w:sz w:val="20"/>
          <w:szCs w:val="20"/>
          <w:lang w:val="es-MX"/>
        </w:rPr>
        <w:t>suma</w:t>
      </w:r>
      <w:proofErr w:type="gramEnd"/>
      <w:r w:rsidRPr="006B0525">
        <w:rPr>
          <w:rFonts w:ascii="Verdana" w:hAnsi="Verdana"/>
          <w:color w:val="1A1A1A"/>
          <w:sz w:val="20"/>
          <w:szCs w:val="20"/>
          <w:lang w:val="es-MX"/>
        </w:rPr>
        <w:t xml:space="preserve"> de lo anteriormente expuesto, este Tribunal estima que el Estado no violó el deber de motivación</w:t>
      </w:r>
      <w:r w:rsidR="008510E6">
        <w:rPr>
          <w:rFonts w:ascii="Verdana" w:hAnsi="Verdana"/>
          <w:color w:val="1A1A1A"/>
          <w:sz w:val="20"/>
          <w:szCs w:val="20"/>
          <w:lang w:val="es-MX"/>
        </w:rPr>
        <w:t>,</w:t>
      </w:r>
      <w:r w:rsidRPr="006B0525">
        <w:rPr>
          <w:rFonts w:ascii="Verdana" w:hAnsi="Verdana"/>
          <w:color w:val="1A1A1A"/>
          <w:sz w:val="20"/>
          <w:szCs w:val="20"/>
          <w:lang w:val="es-MX"/>
        </w:rPr>
        <w:t xml:space="preserve"> el derecho de defensa </w:t>
      </w:r>
      <w:r w:rsidR="008510E6" w:rsidRPr="00DE6A80">
        <w:rPr>
          <w:rFonts w:ascii="Verdana" w:hAnsi="Verdana"/>
          <w:color w:val="1A1A1A"/>
          <w:sz w:val="20"/>
          <w:szCs w:val="20"/>
          <w:lang w:val="es-MX"/>
        </w:rPr>
        <w:t xml:space="preserve">ni </w:t>
      </w:r>
      <w:r w:rsidR="00DE6A80">
        <w:rPr>
          <w:rFonts w:ascii="Verdana" w:hAnsi="Verdana"/>
          <w:color w:val="1A1A1A"/>
          <w:sz w:val="20"/>
          <w:szCs w:val="20"/>
          <w:lang w:val="es-MX"/>
        </w:rPr>
        <w:t xml:space="preserve">el principio de </w:t>
      </w:r>
      <w:r w:rsidR="008510E6" w:rsidRPr="00DE6A80">
        <w:rPr>
          <w:rFonts w:ascii="Verdana" w:hAnsi="Verdana"/>
          <w:color w:val="1A1A1A"/>
          <w:sz w:val="20"/>
          <w:szCs w:val="20"/>
          <w:lang w:val="es-MX"/>
        </w:rPr>
        <w:t>presunción de inocencia</w:t>
      </w:r>
      <w:r w:rsidR="008510E6">
        <w:rPr>
          <w:rFonts w:ascii="Verdana" w:hAnsi="Verdana"/>
          <w:color w:val="1A1A1A"/>
          <w:sz w:val="20"/>
          <w:szCs w:val="20"/>
          <w:lang w:val="es-MX"/>
        </w:rPr>
        <w:t xml:space="preserve"> </w:t>
      </w:r>
      <w:r w:rsidRPr="006B0525">
        <w:rPr>
          <w:rFonts w:ascii="Verdana" w:hAnsi="Verdana"/>
          <w:color w:val="1A1A1A"/>
          <w:sz w:val="20"/>
          <w:szCs w:val="20"/>
          <w:lang w:val="es-MX"/>
        </w:rPr>
        <w:t xml:space="preserve">de las presuntas víctimas. </w:t>
      </w:r>
    </w:p>
    <w:p w14:paraId="0939ED1E" w14:textId="77777777" w:rsidR="00530549" w:rsidRPr="006B0525" w:rsidRDefault="00513FB5" w:rsidP="00530549">
      <w:pPr>
        <w:pStyle w:val="Ttulo3"/>
        <w:rPr>
          <w:rFonts w:eastAsia="MS Mincho" w:cs="Times New Roman"/>
        </w:rPr>
      </w:pPr>
      <w:bookmarkStart w:id="72" w:name="_Toc26177819"/>
      <w:r w:rsidRPr="006B0525">
        <w:t>b.3</w:t>
      </w:r>
      <w:r w:rsidR="00530549" w:rsidRPr="006B0525">
        <w:t xml:space="preserve"> Derecho de recurrir del fallo ante juez o tribunal superior</w:t>
      </w:r>
      <w:bookmarkEnd w:id="72"/>
      <w:r w:rsidR="00530549" w:rsidRPr="006B0525">
        <w:t xml:space="preserve"> </w:t>
      </w:r>
    </w:p>
    <w:p w14:paraId="0E4A3ECA" w14:textId="77777777" w:rsidR="00530549" w:rsidRPr="006B0525" w:rsidRDefault="00530549" w:rsidP="00530549">
      <w:pPr>
        <w:pStyle w:val="Normal1"/>
        <w:widowControl/>
        <w:numPr>
          <w:ilvl w:val="0"/>
          <w:numId w:val="4"/>
        </w:numPr>
        <w:ind w:left="0" w:firstLine="0"/>
        <w:contextualSpacing/>
        <w:jc w:val="both"/>
        <w:rPr>
          <w:rFonts w:ascii="Verdana" w:hAnsi="Verdana"/>
          <w:kern w:val="2"/>
          <w:sz w:val="20"/>
          <w:szCs w:val="20"/>
        </w:rPr>
      </w:pPr>
      <w:r w:rsidRPr="006B0525">
        <w:rPr>
          <w:rFonts w:ascii="Verdana" w:hAnsi="Verdana"/>
          <w:kern w:val="2"/>
          <w:sz w:val="20"/>
          <w:szCs w:val="20"/>
        </w:rPr>
        <w:t>La Corte se ha referido en su jurisprudencia constante sobre el alcance y contenido del artículo 8.2.h) de la Convención, así como a los estándares que deben ser observados para asegurar la garantía del derecho a recurrir el fallo ante juez o tribunal superior. El Tribunal ha entendido que dicho derecho consiste en una garantía mínima y primordial que “se debe respetar en el marco del debido proceso legal, en aras de permitir que una sentencia adversa pueda ser revisada por un juez o tribunal distinto y de superior jerarquía […]”</w:t>
      </w:r>
      <w:r w:rsidRPr="006B0525">
        <w:rPr>
          <w:rFonts w:ascii="Verdana" w:hAnsi="Verdana"/>
          <w:kern w:val="2"/>
          <w:sz w:val="20"/>
          <w:szCs w:val="20"/>
          <w:vertAlign w:val="superscript"/>
        </w:rPr>
        <w:footnoteReference w:id="173"/>
      </w:r>
      <w:r w:rsidRPr="006B0525">
        <w:rPr>
          <w:rFonts w:ascii="Verdana" w:hAnsi="Verdana"/>
          <w:kern w:val="2"/>
          <w:sz w:val="20"/>
          <w:szCs w:val="20"/>
        </w:rPr>
        <w:t xml:space="preserve">. Teniendo en cuenta que las garantías judiciales buscan que quien esté </w:t>
      </w:r>
      <w:r w:rsidRPr="006B0525">
        <w:rPr>
          <w:rFonts w:ascii="Verdana" w:hAnsi="Verdana"/>
          <w:sz w:val="20"/>
          <w:szCs w:val="20"/>
        </w:rPr>
        <w:t>incurso</w:t>
      </w:r>
      <w:r w:rsidRPr="006B0525">
        <w:rPr>
          <w:rFonts w:ascii="Verdana" w:hAnsi="Verdana"/>
          <w:kern w:val="2"/>
          <w:sz w:val="20"/>
          <w:szCs w:val="20"/>
        </w:rPr>
        <w:t xml:space="preserve"> en un proceso no sea sometido a decisiones arbitrarias, la Corte ha interpretado que el derecho a recurrir el fallo no puede ser efectivo si no se garantiza respecto de todo aquél que es condenado</w:t>
      </w:r>
      <w:r w:rsidRPr="006B0525">
        <w:rPr>
          <w:rFonts w:ascii="Verdana" w:hAnsi="Verdana"/>
          <w:kern w:val="2"/>
          <w:sz w:val="20"/>
          <w:szCs w:val="20"/>
          <w:vertAlign w:val="superscript"/>
        </w:rPr>
        <w:footnoteReference w:id="174"/>
      </w:r>
      <w:r w:rsidRPr="006B0525">
        <w:rPr>
          <w:rFonts w:ascii="Verdana" w:hAnsi="Verdana"/>
          <w:kern w:val="2"/>
          <w:sz w:val="20"/>
          <w:szCs w:val="20"/>
        </w:rPr>
        <w:t>, ya que la condena es la manifestación del ejercicio del poder punitivo del Estado</w:t>
      </w:r>
      <w:r w:rsidRPr="006B0525">
        <w:rPr>
          <w:rFonts w:ascii="Verdana" w:hAnsi="Verdana"/>
          <w:kern w:val="2"/>
          <w:sz w:val="20"/>
          <w:szCs w:val="20"/>
          <w:vertAlign w:val="superscript"/>
        </w:rPr>
        <w:footnoteReference w:id="175"/>
      </w:r>
      <w:r w:rsidRPr="006B0525">
        <w:rPr>
          <w:rFonts w:ascii="Verdana" w:hAnsi="Verdana"/>
          <w:kern w:val="2"/>
          <w:sz w:val="20"/>
          <w:szCs w:val="20"/>
        </w:rPr>
        <w:t>. La Corte ha considerado el derecho a recurrir el fallo como una de las garantías mínimas que tiene toda persona que es sometida a una investigación y proceso penal</w:t>
      </w:r>
      <w:r w:rsidRPr="006B0525">
        <w:rPr>
          <w:rFonts w:ascii="Verdana" w:hAnsi="Verdana"/>
          <w:kern w:val="2"/>
          <w:sz w:val="20"/>
          <w:szCs w:val="20"/>
          <w:vertAlign w:val="superscript"/>
        </w:rPr>
        <w:footnoteReference w:id="176"/>
      </w:r>
      <w:r w:rsidRPr="006B0525">
        <w:rPr>
          <w:rFonts w:ascii="Verdana" w:hAnsi="Verdana"/>
          <w:kern w:val="2"/>
          <w:sz w:val="20"/>
          <w:szCs w:val="20"/>
        </w:rPr>
        <w:t>.</w:t>
      </w:r>
    </w:p>
    <w:p w14:paraId="51578946" w14:textId="77777777" w:rsidR="00530549" w:rsidRPr="006B0525" w:rsidRDefault="00530549" w:rsidP="00530549">
      <w:pPr>
        <w:pStyle w:val="Normal1"/>
        <w:widowControl/>
        <w:contextualSpacing/>
        <w:jc w:val="both"/>
        <w:rPr>
          <w:rFonts w:ascii="Verdana" w:hAnsi="Verdana"/>
          <w:kern w:val="2"/>
          <w:sz w:val="20"/>
          <w:szCs w:val="20"/>
        </w:rPr>
      </w:pPr>
    </w:p>
    <w:p w14:paraId="263A1D9F" w14:textId="77777777" w:rsidR="00530549" w:rsidRPr="006B0525" w:rsidRDefault="00530549" w:rsidP="00530549">
      <w:pPr>
        <w:pStyle w:val="Normal1"/>
        <w:widowControl/>
        <w:numPr>
          <w:ilvl w:val="0"/>
          <w:numId w:val="4"/>
        </w:numPr>
        <w:ind w:left="0" w:firstLine="0"/>
        <w:contextualSpacing/>
        <w:jc w:val="both"/>
        <w:rPr>
          <w:rFonts w:ascii="Verdana" w:hAnsi="Verdana"/>
          <w:kern w:val="2"/>
          <w:sz w:val="20"/>
          <w:szCs w:val="20"/>
        </w:rPr>
      </w:pPr>
      <w:r w:rsidRPr="006B0525">
        <w:rPr>
          <w:rFonts w:ascii="Verdana" w:hAnsi="Verdana"/>
          <w:kern w:val="2"/>
          <w:sz w:val="20"/>
          <w:szCs w:val="20"/>
        </w:rPr>
        <w:t xml:space="preserve">Además, el Tribunal ha sostenido que el artículo 8.2.h) de la Convención se refiere a un recurso ordinario, </w:t>
      </w:r>
      <w:r w:rsidRPr="006B0525">
        <w:rPr>
          <w:rFonts w:ascii="Verdana" w:hAnsi="Verdana"/>
          <w:sz w:val="20"/>
          <w:szCs w:val="20"/>
        </w:rPr>
        <w:t>accesible</w:t>
      </w:r>
      <w:r w:rsidRPr="006B0525">
        <w:rPr>
          <w:rFonts w:ascii="Verdana" w:hAnsi="Verdana"/>
          <w:kern w:val="2"/>
          <w:sz w:val="20"/>
          <w:szCs w:val="20"/>
        </w:rPr>
        <w:t xml:space="preserve"> y eficaz, es decir que no debe requerir mayores complejidades que tornen ilusorio este derecho. En ese sentido, las formalidades requeridas para que el recurso sea admitido deben ser mínimas y no deben constituir un obstáculo para que cumpla con su fin de examinar y resolver los agravios sustentados por el recurrente, es decir que debe procurar resultados o respuestas al fin para el cual fue concebido. Debe entenderse que, independientemente del régimen o sistema recursivo que adopten los </w:t>
      </w:r>
      <w:proofErr w:type="gramStart"/>
      <w:r w:rsidRPr="006B0525">
        <w:rPr>
          <w:rFonts w:ascii="Verdana" w:hAnsi="Verdana"/>
          <w:kern w:val="2"/>
          <w:sz w:val="20"/>
          <w:szCs w:val="20"/>
        </w:rPr>
        <w:t>Estados Partes</w:t>
      </w:r>
      <w:proofErr w:type="gramEnd"/>
      <w:r w:rsidRPr="006B0525">
        <w:rPr>
          <w:rFonts w:ascii="Verdana" w:hAnsi="Verdana"/>
          <w:kern w:val="2"/>
          <w:sz w:val="20"/>
          <w:szCs w:val="20"/>
        </w:rPr>
        <w:t xml:space="preserve">, y de la denominación que den al medio de impugnación de la sentencia condenatoria, para que éste sea eficaz debe constituir un medio adecuado para procurar la corrección de una condena errónea. Ello requiere que pueda analizar las cuestiones fácticas, probatorias y jurídicas en que se basa la sentencia impugnada, puesto que en la actividad jurisdiccional existe una interdependencia entre las determinaciones fácticas y la aplicación del derecho, de forma tal que una errónea determinación de los hechos implica una errada o indebida </w:t>
      </w:r>
      <w:r w:rsidRPr="006B0525">
        <w:rPr>
          <w:rFonts w:ascii="Verdana" w:hAnsi="Verdana"/>
          <w:kern w:val="2"/>
          <w:sz w:val="20"/>
          <w:szCs w:val="20"/>
        </w:rPr>
        <w:lastRenderedPageBreak/>
        <w:t>aplicación del derecho. Consecuentemente, las causales de procedencia del recurso deben posibilitar un control amplio de los aspectos impugnados de la sentencia condenatoria</w:t>
      </w:r>
      <w:r w:rsidRPr="006B0525">
        <w:rPr>
          <w:rFonts w:ascii="Verdana" w:hAnsi="Verdana"/>
          <w:kern w:val="2"/>
          <w:sz w:val="20"/>
          <w:szCs w:val="20"/>
          <w:vertAlign w:val="superscript"/>
        </w:rPr>
        <w:footnoteReference w:id="177"/>
      </w:r>
      <w:r w:rsidRPr="006B0525">
        <w:rPr>
          <w:rFonts w:ascii="Verdana" w:hAnsi="Verdana"/>
          <w:kern w:val="2"/>
          <w:sz w:val="20"/>
          <w:szCs w:val="20"/>
        </w:rPr>
        <w:t>.</w:t>
      </w:r>
    </w:p>
    <w:p w14:paraId="1E8F126A" w14:textId="77777777" w:rsidR="00530549" w:rsidRPr="006B0525" w:rsidRDefault="00530549" w:rsidP="00530549">
      <w:pPr>
        <w:pStyle w:val="Normal1"/>
        <w:widowControl/>
        <w:contextualSpacing/>
        <w:jc w:val="both"/>
        <w:rPr>
          <w:rFonts w:ascii="Verdana" w:hAnsi="Verdana"/>
          <w:kern w:val="2"/>
          <w:sz w:val="20"/>
          <w:szCs w:val="20"/>
        </w:rPr>
      </w:pPr>
    </w:p>
    <w:p w14:paraId="71C22214" w14:textId="77777777" w:rsidR="00530549" w:rsidRPr="006B0525" w:rsidRDefault="00530549" w:rsidP="00530549">
      <w:pPr>
        <w:pStyle w:val="Normal1"/>
        <w:widowControl/>
        <w:numPr>
          <w:ilvl w:val="0"/>
          <w:numId w:val="4"/>
        </w:numPr>
        <w:ind w:left="0" w:firstLine="0"/>
        <w:contextualSpacing/>
        <w:jc w:val="both"/>
        <w:rPr>
          <w:rFonts w:ascii="Verdana" w:hAnsi="Verdana"/>
          <w:kern w:val="2"/>
          <w:sz w:val="20"/>
          <w:szCs w:val="20"/>
        </w:rPr>
      </w:pPr>
      <w:r w:rsidRPr="006B0525">
        <w:rPr>
          <w:rFonts w:ascii="Verdana" w:hAnsi="Verdana"/>
          <w:sz w:val="20"/>
          <w:szCs w:val="20"/>
        </w:rPr>
        <w:t xml:space="preserve">Sentado lo anterior, la Corte observa que el Código </w:t>
      </w:r>
      <w:r w:rsidRPr="006B0525">
        <w:rPr>
          <w:rFonts w:ascii="Verdana" w:eastAsia="MS Mincho" w:hAnsi="Verdana"/>
          <w:sz w:val="20"/>
          <w:szCs w:val="20"/>
        </w:rPr>
        <w:t>Procesal</w:t>
      </w:r>
      <w:r w:rsidRPr="006B0525">
        <w:rPr>
          <w:rFonts w:ascii="Verdana" w:hAnsi="Verdana"/>
          <w:sz w:val="20"/>
          <w:szCs w:val="20"/>
        </w:rPr>
        <w:t xml:space="preserve"> Penal guatemalteco contempla dos recursos que pretenden satisfacer el derecho a recurrir el fallo: el recurso de apelación especial y el recurso de casación. El artículo 430 del Código Procesal Penal señala con respecto al recurso de apelación lo siguiente: </w:t>
      </w:r>
    </w:p>
    <w:p w14:paraId="3FA25499" w14:textId="77777777" w:rsidR="00530549" w:rsidRPr="006B0525" w:rsidRDefault="00530549" w:rsidP="00530549">
      <w:pPr>
        <w:pStyle w:val="Normal1"/>
        <w:widowControl/>
        <w:contextualSpacing/>
        <w:jc w:val="both"/>
        <w:rPr>
          <w:rFonts w:ascii="Verdana" w:hAnsi="Verdana"/>
          <w:kern w:val="2"/>
          <w:sz w:val="20"/>
          <w:szCs w:val="20"/>
        </w:rPr>
      </w:pPr>
    </w:p>
    <w:p w14:paraId="51944AD2" w14:textId="77777777" w:rsidR="00530549" w:rsidRPr="006B0525" w:rsidRDefault="00530549" w:rsidP="00DE6A80">
      <w:pPr>
        <w:pStyle w:val="Prrafodelista"/>
        <w:spacing w:line="240" w:lineRule="auto"/>
        <w:ind w:left="706" w:right="720"/>
        <w:rPr>
          <w:sz w:val="18"/>
          <w:szCs w:val="18"/>
        </w:rPr>
      </w:pPr>
      <w:r w:rsidRPr="006B0525">
        <w:rPr>
          <w:sz w:val="18"/>
          <w:szCs w:val="18"/>
        </w:rPr>
        <w:t>“La sentencia no podrá en ningún caso hacer mérito de la prueba o de los hechos que se declaren probados conforme a las reglas de la sana crítica razonada. Únicamente podrá referirse a ellos para aplicación de la ley sustantiva o cuando exista manifiesta contradicción con la sentencia recurrida.”</w:t>
      </w:r>
    </w:p>
    <w:p w14:paraId="410740F1" w14:textId="77777777" w:rsidR="00530549" w:rsidRPr="006B0525" w:rsidRDefault="00530549" w:rsidP="00530549"/>
    <w:p w14:paraId="4E53318B" w14:textId="77777777" w:rsidR="00530549" w:rsidRPr="006B0525" w:rsidRDefault="00530549"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De la legislación </w:t>
      </w:r>
      <w:r w:rsidRPr="006B0525">
        <w:rPr>
          <w:rFonts w:ascii="Verdana" w:eastAsia="MS Mincho" w:hAnsi="Verdana"/>
          <w:sz w:val="20"/>
          <w:szCs w:val="20"/>
        </w:rPr>
        <w:t>transcrita</w:t>
      </w:r>
      <w:r w:rsidRPr="006B0525">
        <w:rPr>
          <w:rFonts w:ascii="Verdana" w:hAnsi="Verdana"/>
          <w:sz w:val="20"/>
          <w:szCs w:val="20"/>
        </w:rPr>
        <w:t xml:space="preserve"> se desprende que el recurso de apelación especial es un recurso limitado al análisis del derecho, pues no permite la revisión de hechos ni de las pruebas acreditadas por el tribunal </w:t>
      </w:r>
      <w:r w:rsidRPr="006B0525">
        <w:rPr>
          <w:rFonts w:ascii="Verdana" w:hAnsi="Verdana"/>
          <w:i/>
          <w:sz w:val="20"/>
          <w:szCs w:val="20"/>
        </w:rPr>
        <w:t>a quo</w:t>
      </w:r>
      <w:r w:rsidRPr="006B0525">
        <w:rPr>
          <w:rFonts w:ascii="Verdana" w:hAnsi="Verdana"/>
          <w:sz w:val="20"/>
          <w:szCs w:val="20"/>
        </w:rPr>
        <w:t>.</w:t>
      </w:r>
    </w:p>
    <w:p w14:paraId="68A09316" w14:textId="77777777" w:rsidR="00530549" w:rsidRPr="006B0525" w:rsidRDefault="00530549" w:rsidP="00530549">
      <w:pPr>
        <w:pStyle w:val="Normal1"/>
        <w:widowControl/>
        <w:contextualSpacing/>
        <w:jc w:val="both"/>
        <w:rPr>
          <w:rFonts w:ascii="Verdana" w:hAnsi="Verdana"/>
          <w:sz w:val="20"/>
          <w:szCs w:val="20"/>
        </w:rPr>
      </w:pPr>
    </w:p>
    <w:p w14:paraId="73379AEA" w14:textId="77777777" w:rsidR="00530549" w:rsidRPr="006B0525" w:rsidRDefault="00530549"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Por su parte, el recurso de casación está regulado, en lo relevante, de la siguiente manera: </w:t>
      </w:r>
    </w:p>
    <w:p w14:paraId="373F00BD" w14:textId="77777777" w:rsidR="00530549" w:rsidRPr="006B0525" w:rsidRDefault="00530549" w:rsidP="00530549">
      <w:pPr>
        <w:pStyle w:val="Prrafodelista"/>
      </w:pPr>
    </w:p>
    <w:p w14:paraId="070C24B6" w14:textId="77777777" w:rsidR="00530549" w:rsidRPr="006B0525" w:rsidRDefault="00530549" w:rsidP="00530549">
      <w:pPr>
        <w:pStyle w:val="Prrafodelista"/>
        <w:spacing w:line="240" w:lineRule="auto"/>
        <w:ind w:left="706" w:right="720"/>
        <w:rPr>
          <w:sz w:val="18"/>
          <w:szCs w:val="18"/>
        </w:rPr>
      </w:pPr>
      <w:r w:rsidRPr="006B0525">
        <w:rPr>
          <w:sz w:val="18"/>
          <w:szCs w:val="18"/>
        </w:rPr>
        <w:t xml:space="preserve">“El tribunal de casación conocerá únicamente de los errores jurídicos contenidos en la resolución recurrida. Está sujeto a los hechos que se hayan tenido como probados por el tribunal de sentencia, y solamente en los casos en que advierta violación de una norma constitucional o legal, podrá disponer de la anulación y el reenvío para la corrección debida.” </w:t>
      </w:r>
    </w:p>
    <w:p w14:paraId="77E9099E" w14:textId="77777777" w:rsidR="00530549" w:rsidRPr="006B0525" w:rsidRDefault="00530549" w:rsidP="00530549">
      <w:pPr>
        <w:pStyle w:val="Prrafodelista"/>
      </w:pPr>
    </w:p>
    <w:p w14:paraId="4222F8BF" w14:textId="77777777" w:rsidR="00530549" w:rsidRPr="006B0525" w:rsidRDefault="00530549"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rPr>
        <w:t xml:space="preserve">De las normas </w:t>
      </w:r>
      <w:r w:rsidRPr="006B0525">
        <w:rPr>
          <w:rFonts w:ascii="Verdana" w:eastAsia="MS Mincho" w:hAnsi="Verdana"/>
          <w:sz w:val="20"/>
          <w:szCs w:val="20"/>
        </w:rPr>
        <w:t>transcritas</w:t>
      </w:r>
      <w:r w:rsidRPr="006B0525">
        <w:rPr>
          <w:rFonts w:ascii="Verdana" w:hAnsi="Verdana"/>
          <w:sz w:val="20"/>
          <w:szCs w:val="20"/>
        </w:rPr>
        <w:t xml:space="preserve"> se desprende que el recurso de casación, al igual que el recurso de casación especial, no permite la revisión de hechos ni de pruebas, sólo de derecho. </w:t>
      </w:r>
    </w:p>
    <w:p w14:paraId="52AD8516" w14:textId="77777777" w:rsidR="00530549" w:rsidRPr="006B0525" w:rsidRDefault="00530549" w:rsidP="00530549">
      <w:pPr>
        <w:pStyle w:val="Prrafodelista"/>
      </w:pPr>
    </w:p>
    <w:p w14:paraId="65D784B1" w14:textId="77777777" w:rsidR="00530549" w:rsidRPr="006B0525" w:rsidRDefault="00530549" w:rsidP="00530549">
      <w:pPr>
        <w:pStyle w:val="Normal1"/>
        <w:widowControl/>
        <w:numPr>
          <w:ilvl w:val="0"/>
          <w:numId w:val="4"/>
        </w:numPr>
        <w:ind w:left="0" w:firstLine="0"/>
        <w:contextualSpacing/>
        <w:jc w:val="both"/>
        <w:rPr>
          <w:rFonts w:ascii="Verdana" w:hAnsi="Verdana" w:cs="Arial"/>
          <w:sz w:val="20"/>
          <w:szCs w:val="20"/>
        </w:rPr>
      </w:pPr>
      <w:r w:rsidRPr="006B0525">
        <w:rPr>
          <w:rFonts w:ascii="Verdana" w:hAnsi="Verdana" w:cs="Verdana"/>
          <w:sz w:val="20"/>
          <w:szCs w:val="20"/>
        </w:rPr>
        <w:t xml:space="preserve">La Corte recuerda que los señores Rodríguez Revolorio, López Calo, y Archila Pérez condenados a pena de muerte interpusieron un recurso de apelación especial por motivos de fondo y forma contra la sentencia dictada el 23 de mayo de 1996 por el Tribunal Cuarto de Sentencia Penal, </w:t>
      </w:r>
      <w:r w:rsidRPr="006B0525">
        <w:rPr>
          <w:rFonts w:ascii="Verdana" w:hAnsi="Verdana"/>
          <w:sz w:val="20"/>
          <w:szCs w:val="20"/>
        </w:rPr>
        <w:t>Narcoactividad</w:t>
      </w:r>
      <w:r w:rsidRPr="006B0525">
        <w:rPr>
          <w:rFonts w:ascii="Verdana" w:hAnsi="Verdana" w:cs="Verdana"/>
          <w:sz w:val="20"/>
          <w:szCs w:val="20"/>
        </w:rPr>
        <w:t xml:space="preserve"> y Delitos contra el Ambiente de Guatemala</w:t>
      </w:r>
      <w:r w:rsidRPr="006B0525">
        <w:rPr>
          <w:rStyle w:val="Refdenotaalpie"/>
          <w:rFonts w:ascii="Verdana" w:eastAsiaTheme="majorEastAsia" w:hAnsi="Verdana"/>
          <w:sz w:val="20"/>
          <w:szCs w:val="20"/>
        </w:rPr>
        <w:footnoteReference w:id="178"/>
      </w:r>
      <w:r w:rsidRPr="006B0525">
        <w:rPr>
          <w:rFonts w:ascii="Verdana" w:hAnsi="Verdana" w:cs="Verdana"/>
          <w:sz w:val="20"/>
          <w:szCs w:val="20"/>
        </w:rPr>
        <w:t xml:space="preserve">. Los señores López Calo y Archila Pérez fundamentaron su apelación alegando (i) que el Tribunal de sentencia no observo el artículo 370 del Código Procesal Penal, </w:t>
      </w:r>
      <w:r w:rsidR="006146E8">
        <w:rPr>
          <w:rFonts w:ascii="Verdana" w:hAnsi="Verdana" w:cs="Verdana"/>
          <w:sz w:val="20"/>
          <w:szCs w:val="20"/>
        </w:rPr>
        <w:t xml:space="preserve">y </w:t>
      </w:r>
      <w:r w:rsidRPr="006B0525">
        <w:rPr>
          <w:rFonts w:ascii="Verdana" w:hAnsi="Verdana" w:cs="Verdana"/>
          <w:sz w:val="20"/>
          <w:szCs w:val="20"/>
        </w:rPr>
        <w:t>(</w:t>
      </w:r>
      <w:proofErr w:type="spellStart"/>
      <w:r w:rsidRPr="006B0525">
        <w:rPr>
          <w:rFonts w:ascii="Verdana" w:hAnsi="Verdana" w:cs="Verdana"/>
          <w:sz w:val="20"/>
          <w:szCs w:val="20"/>
        </w:rPr>
        <w:t>ii</w:t>
      </w:r>
      <w:proofErr w:type="spellEnd"/>
      <w:r w:rsidRPr="006B0525">
        <w:rPr>
          <w:rFonts w:ascii="Verdana" w:hAnsi="Verdana" w:cs="Verdana"/>
          <w:sz w:val="20"/>
          <w:szCs w:val="20"/>
        </w:rPr>
        <w:t xml:space="preserve">) </w:t>
      </w:r>
      <w:r w:rsidR="006146E8">
        <w:rPr>
          <w:rFonts w:ascii="Verdana" w:hAnsi="Verdana" w:cs="Verdana"/>
          <w:sz w:val="20"/>
          <w:szCs w:val="20"/>
        </w:rPr>
        <w:t xml:space="preserve">sobre la </w:t>
      </w:r>
      <w:r w:rsidRPr="006B0525">
        <w:rPr>
          <w:rFonts w:ascii="Verdana" w:hAnsi="Verdana" w:cs="Verdana"/>
          <w:sz w:val="20"/>
          <w:szCs w:val="20"/>
        </w:rPr>
        <w:t>aplicación errónea de la ley al permitírsele a un auxiliar fiscal estar actuando dentro del debate</w:t>
      </w:r>
      <w:r w:rsidRPr="006B0525">
        <w:rPr>
          <w:rFonts w:ascii="Verdana" w:hAnsi="Verdana"/>
          <w:sz w:val="20"/>
          <w:szCs w:val="20"/>
        </w:rPr>
        <w:t xml:space="preserve">; y el señor </w:t>
      </w:r>
      <w:r w:rsidRPr="006B0525">
        <w:rPr>
          <w:rFonts w:ascii="Verdana" w:hAnsi="Verdana" w:cs="Verdana"/>
          <w:sz w:val="20"/>
          <w:szCs w:val="20"/>
        </w:rPr>
        <w:t>Miguel Ángel Rodríguez Revolorio fundamentó su apelación; respecto a los vicios de fondo alegó que</w:t>
      </w:r>
      <w:r w:rsidR="00A33359">
        <w:rPr>
          <w:rFonts w:ascii="Verdana" w:hAnsi="Verdana" w:cs="Verdana"/>
          <w:sz w:val="20"/>
          <w:szCs w:val="20"/>
        </w:rPr>
        <w:t xml:space="preserve"> se produjo una</w:t>
      </w:r>
      <w:r w:rsidRPr="006B0525">
        <w:rPr>
          <w:rFonts w:ascii="Verdana" w:hAnsi="Verdana" w:cs="Verdana"/>
          <w:sz w:val="20"/>
          <w:szCs w:val="20"/>
        </w:rPr>
        <w:t>: (i) inobservancia de la ley sustantiva en relación a la fijación de la pena, (</w:t>
      </w:r>
      <w:proofErr w:type="spellStart"/>
      <w:r w:rsidRPr="006B0525">
        <w:rPr>
          <w:rFonts w:ascii="Verdana" w:hAnsi="Verdana" w:cs="Verdana"/>
          <w:sz w:val="20"/>
          <w:szCs w:val="20"/>
        </w:rPr>
        <w:t>ii</w:t>
      </w:r>
      <w:proofErr w:type="spellEnd"/>
      <w:r w:rsidRPr="006B0525">
        <w:rPr>
          <w:rFonts w:ascii="Verdana" w:hAnsi="Verdana" w:cs="Verdana"/>
          <w:sz w:val="20"/>
          <w:szCs w:val="20"/>
        </w:rPr>
        <w:t xml:space="preserve">) inobservancia de la ley sustantiva en relación a las circunstancias agravantes genéricas y específicas del delito, </w:t>
      </w:r>
      <w:r w:rsidR="006146E8">
        <w:rPr>
          <w:rFonts w:ascii="Verdana" w:hAnsi="Verdana" w:cs="Verdana"/>
          <w:sz w:val="20"/>
          <w:szCs w:val="20"/>
        </w:rPr>
        <w:t xml:space="preserve">e </w:t>
      </w:r>
      <w:r w:rsidRPr="006B0525">
        <w:rPr>
          <w:rFonts w:ascii="Verdana" w:hAnsi="Verdana" w:cs="Verdana"/>
          <w:sz w:val="20"/>
          <w:szCs w:val="20"/>
        </w:rPr>
        <w:t>(</w:t>
      </w:r>
      <w:proofErr w:type="spellStart"/>
      <w:r w:rsidRPr="006B0525">
        <w:rPr>
          <w:rFonts w:ascii="Verdana" w:hAnsi="Verdana" w:cs="Verdana"/>
          <w:sz w:val="20"/>
          <w:szCs w:val="20"/>
        </w:rPr>
        <w:t>iii</w:t>
      </w:r>
      <w:proofErr w:type="spellEnd"/>
      <w:r w:rsidRPr="006B0525">
        <w:rPr>
          <w:rFonts w:ascii="Verdana" w:hAnsi="Verdana" w:cs="Verdana"/>
          <w:sz w:val="20"/>
          <w:szCs w:val="20"/>
        </w:rPr>
        <w:t xml:space="preserve">) inobservancia parcial del contenido de la ley sustantiva para la fijación de la pena de muerte. Respecto a la forma alegó que: (i) </w:t>
      </w:r>
      <w:r w:rsidR="00A33359">
        <w:rPr>
          <w:rFonts w:ascii="Verdana" w:hAnsi="Verdana" w:cs="Verdana"/>
          <w:sz w:val="20"/>
          <w:szCs w:val="20"/>
        </w:rPr>
        <w:t xml:space="preserve">hubo una </w:t>
      </w:r>
      <w:r w:rsidRPr="006B0525">
        <w:rPr>
          <w:rFonts w:ascii="Verdana" w:hAnsi="Verdana" w:cs="Verdana"/>
          <w:sz w:val="20"/>
          <w:szCs w:val="20"/>
        </w:rPr>
        <w:t>insuficiente individualización del imputado, (</w:t>
      </w:r>
      <w:proofErr w:type="spellStart"/>
      <w:r w:rsidRPr="006B0525">
        <w:rPr>
          <w:rFonts w:ascii="Verdana" w:hAnsi="Verdana" w:cs="Verdana"/>
          <w:sz w:val="20"/>
          <w:szCs w:val="20"/>
        </w:rPr>
        <w:t>ii</w:t>
      </w:r>
      <w:proofErr w:type="spellEnd"/>
      <w:r w:rsidRPr="006B0525">
        <w:rPr>
          <w:rFonts w:ascii="Verdana" w:hAnsi="Verdana" w:cs="Verdana"/>
          <w:sz w:val="20"/>
          <w:szCs w:val="20"/>
        </w:rPr>
        <w:t>) ausencia de determinación precisa y circunstancias del hecho, (</w:t>
      </w:r>
      <w:proofErr w:type="spellStart"/>
      <w:r w:rsidRPr="006B0525">
        <w:rPr>
          <w:rFonts w:ascii="Verdana" w:hAnsi="Verdana" w:cs="Verdana"/>
          <w:sz w:val="20"/>
          <w:szCs w:val="20"/>
        </w:rPr>
        <w:t>iii</w:t>
      </w:r>
      <w:proofErr w:type="spellEnd"/>
      <w:r w:rsidRPr="006B0525">
        <w:rPr>
          <w:rFonts w:ascii="Verdana" w:hAnsi="Verdana" w:cs="Verdana"/>
          <w:sz w:val="20"/>
          <w:szCs w:val="20"/>
        </w:rPr>
        <w:t>) falta de motivación en la deliberación y votación por parte del tribunal, (v) falta de motivación de razonamiento del tribunal que indujeron a condenar, (vi) falta de motivación de razonamiento del Tribunal que indujeron a condenar, (</w:t>
      </w:r>
      <w:proofErr w:type="spellStart"/>
      <w:r w:rsidRPr="006B0525">
        <w:rPr>
          <w:rFonts w:ascii="Verdana" w:hAnsi="Verdana" w:cs="Verdana"/>
          <w:sz w:val="20"/>
          <w:szCs w:val="20"/>
        </w:rPr>
        <w:t>vii</w:t>
      </w:r>
      <w:proofErr w:type="spellEnd"/>
      <w:r w:rsidRPr="006B0525">
        <w:rPr>
          <w:rFonts w:ascii="Verdana" w:hAnsi="Verdana" w:cs="Verdana"/>
          <w:sz w:val="20"/>
          <w:szCs w:val="20"/>
        </w:rPr>
        <w:t>) falta de motivación en la votación (</w:t>
      </w:r>
      <w:proofErr w:type="spellStart"/>
      <w:r w:rsidRPr="006B0525">
        <w:rPr>
          <w:rFonts w:ascii="Verdana" w:hAnsi="Verdana" w:cs="Verdana"/>
          <w:sz w:val="20"/>
          <w:szCs w:val="20"/>
        </w:rPr>
        <w:t>vii</w:t>
      </w:r>
      <w:proofErr w:type="spellEnd"/>
      <w:r w:rsidRPr="006B0525">
        <w:rPr>
          <w:rFonts w:ascii="Verdana" w:hAnsi="Verdana" w:cs="Verdana"/>
          <w:sz w:val="20"/>
          <w:szCs w:val="20"/>
        </w:rPr>
        <w:t xml:space="preserve">) ausencia de elementos esenciales en la parte resolutiva de la sentencia, </w:t>
      </w:r>
      <w:r w:rsidR="006146E8">
        <w:rPr>
          <w:rFonts w:ascii="Verdana" w:hAnsi="Verdana" w:cs="Verdana"/>
          <w:sz w:val="20"/>
          <w:szCs w:val="20"/>
        </w:rPr>
        <w:t xml:space="preserve">y </w:t>
      </w:r>
      <w:r w:rsidRPr="006B0525">
        <w:rPr>
          <w:rFonts w:ascii="Verdana" w:hAnsi="Verdana" w:cs="Verdana"/>
          <w:sz w:val="20"/>
          <w:szCs w:val="20"/>
        </w:rPr>
        <w:t>(</w:t>
      </w:r>
      <w:proofErr w:type="spellStart"/>
      <w:r w:rsidRPr="006B0525">
        <w:rPr>
          <w:rFonts w:ascii="Verdana" w:hAnsi="Verdana" w:cs="Verdana"/>
          <w:sz w:val="20"/>
          <w:szCs w:val="20"/>
        </w:rPr>
        <w:t>viii</w:t>
      </w:r>
      <w:proofErr w:type="spellEnd"/>
      <w:r w:rsidRPr="006B0525">
        <w:rPr>
          <w:rFonts w:ascii="Verdana" w:hAnsi="Verdana" w:cs="Verdana"/>
          <w:sz w:val="20"/>
          <w:szCs w:val="20"/>
        </w:rPr>
        <w:t>) ausencia de las disposiciones legales aplicables en la pa</w:t>
      </w:r>
      <w:r w:rsidR="00661BF7" w:rsidRPr="006B0525">
        <w:rPr>
          <w:rFonts w:ascii="Verdana" w:hAnsi="Verdana" w:cs="Verdana"/>
          <w:sz w:val="20"/>
          <w:szCs w:val="20"/>
        </w:rPr>
        <w:t xml:space="preserve">rte resolutiva de la sentencia. </w:t>
      </w:r>
    </w:p>
    <w:p w14:paraId="180A6321" w14:textId="77777777" w:rsidR="00530549" w:rsidRPr="006B0525" w:rsidRDefault="00530549" w:rsidP="00530549">
      <w:pPr>
        <w:pStyle w:val="Normal1"/>
        <w:widowControl/>
        <w:contextualSpacing/>
        <w:jc w:val="both"/>
        <w:rPr>
          <w:rFonts w:ascii="Verdana" w:hAnsi="Verdana" w:cs="Arial"/>
          <w:sz w:val="20"/>
          <w:szCs w:val="20"/>
        </w:rPr>
      </w:pPr>
    </w:p>
    <w:p w14:paraId="6189A0E2" w14:textId="77777777" w:rsidR="00530549" w:rsidRPr="006B0525" w:rsidRDefault="00530549" w:rsidP="00530549">
      <w:pPr>
        <w:pStyle w:val="Normal1"/>
        <w:widowControl/>
        <w:numPr>
          <w:ilvl w:val="0"/>
          <w:numId w:val="4"/>
        </w:numPr>
        <w:ind w:left="0" w:firstLine="0"/>
        <w:contextualSpacing/>
        <w:jc w:val="both"/>
        <w:rPr>
          <w:rFonts w:ascii="Verdana" w:hAnsi="Verdana" w:cs="Arial"/>
          <w:sz w:val="20"/>
          <w:szCs w:val="20"/>
        </w:rPr>
      </w:pPr>
      <w:r w:rsidRPr="006B0525">
        <w:rPr>
          <w:rFonts w:ascii="Verdana" w:hAnsi="Verdana"/>
          <w:sz w:val="20"/>
          <w:szCs w:val="20"/>
        </w:rPr>
        <w:lastRenderedPageBreak/>
        <w:t xml:space="preserve">El 2 de septiembre de 1996 la Corte de Apelaciones declaró sin lugar el recurso de apelación especial planteado por los señores </w:t>
      </w:r>
      <w:r w:rsidRPr="006B0525">
        <w:rPr>
          <w:rFonts w:ascii="Verdana" w:hAnsi="Verdana" w:cs="Verdana"/>
          <w:sz w:val="20"/>
          <w:szCs w:val="20"/>
        </w:rPr>
        <w:t>Rodríguez Revolorio, López Calo, y Archila Pérez</w:t>
      </w:r>
      <w:r w:rsidRPr="006B0525">
        <w:rPr>
          <w:rStyle w:val="Refdenotaalpie"/>
          <w:rFonts w:ascii="Verdana" w:eastAsiaTheme="majorEastAsia" w:hAnsi="Verdana"/>
          <w:sz w:val="20"/>
          <w:szCs w:val="20"/>
        </w:rPr>
        <w:footnoteReference w:id="179"/>
      </w:r>
      <w:r w:rsidRPr="006B0525">
        <w:rPr>
          <w:rFonts w:ascii="Verdana" w:hAnsi="Verdana"/>
          <w:sz w:val="20"/>
          <w:szCs w:val="20"/>
        </w:rPr>
        <w:t xml:space="preserve">. En lo relevante para el presente acápite, se destaca que el tribunal de apelación señaló, </w:t>
      </w:r>
      <w:r w:rsidR="00661BF7" w:rsidRPr="006B0525">
        <w:rPr>
          <w:rFonts w:ascii="Verdana" w:hAnsi="Verdana"/>
          <w:sz w:val="20"/>
          <w:szCs w:val="20"/>
        </w:rPr>
        <w:t>en relación con</w:t>
      </w:r>
      <w:r w:rsidRPr="006B0525">
        <w:rPr>
          <w:rFonts w:ascii="Verdana" w:hAnsi="Verdana"/>
          <w:sz w:val="20"/>
          <w:szCs w:val="20"/>
        </w:rPr>
        <w:t xml:space="preserve"> los alegatos sobre inobservancia de la ley sustantiva en relación con la fijación de la pena, las circunstancias agravantes genéricas y específicas del delito, y la inobservancia parcial del contenido de la ley sustantiva para la fijación de la pena de muerte, lo siguiente:</w:t>
      </w:r>
    </w:p>
    <w:p w14:paraId="77EDEB45" w14:textId="77777777" w:rsidR="00530549" w:rsidRPr="006B0525" w:rsidRDefault="00530549" w:rsidP="00530549"/>
    <w:p w14:paraId="7D67A8DA" w14:textId="77777777" w:rsidR="00530549" w:rsidRPr="006B0525" w:rsidRDefault="00C12182" w:rsidP="00530549">
      <w:pPr>
        <w:spacing w:line="240" w:lineRule="auto"/>
        <w:ind w:left="720" w:right="720"/>
        <w:rPr>
          <w:sz w:val="18"/>
          <w:szCs w:val="18"/>
        </w:rPr>
      </w:pPr>
      <w:r w:rsidRPr="006B0525">
        <w:rPr>
          <w:sz w:val="18"/>
          <w:szCs w:val="18"/>
        </w:rPr>
        <w:t>“</w:t>
      </w:r>
      <w:r w:rsidR="00530549" w:rsidRPr="006B0525">
        <w:rPr>
          <w:sz w:val="18"/>
          <w:szCs w:val="18"/>
        </w:rPr>
        <w:t>[…] dichos motivos no pueden ser acogidos por el Tribunal de Alzada en razón que: es incontrolable a través del Recurso de Apelación Especial, la forma de cómo fueron aplicadas las circunstancias agravantes genéricas y específicas del delito, porque su aplicación deviene de decisiones del Tribunal de sentencia sobre las pruebas aportadas y diligenciadas en el debate: examen fáctico que escapa de su control por este Tribunal en razón de la naturaleza exclusivamente revisora en el campo jurídico del recurso que nos ocupa</w:t>
      </w:r>
      <w:r w:rsidR="00530549" w:rsidRPr="006B0525">
        <w:rPr>
          <w:rStyle w:val="Refdenotaalpie"/>
          <w:rFonts w:eastAsia="MS Mincho"/>
          <w:sz w:val="18"/>
          <w:szCs w:val="18"/>
        </w:rPr>
        <w:footnoteReference w:id="180"/>
      </w:r>
      <w:r w:rsidR="00530549" w:rsidRPr="006B0525">
        <w:rPr>
          <w:sz w:val="18"/>
          <w:szCs w:val="18"/>
        </w:rPr>
        <w:t xml:space="preserve">. </w:t>
      </w:r>
    </w:p>
    <w:p w14:paraId="0CC5BDE4" w14:textId="77777777" w:rsidR="00530549" w:rsidRPr="006B0525" w:rsidRDefault="00530549" w:rsidP="00530549">
      <w:pPr>
        <w:spacing w:line="240" w:lineRule="auto"/>
        <w:ind w:left="720" w:right="720"/>
        <w:rPr>
          <w:sz w:val="18"/>
          <w:szCs w:val="18"/>
        </w:rPr>
      </w:pPr>
    </w:p>
    <w:p w14:paraId="19128FB3" w14:textId="77777777" w:rsidR="00530549" w:rsidRPr="006B0525" w:rsidRDefault="00530549" w:rsidP="00530549">
      <w:pPr>
        <w:spacing w:line="240" w:lineRule="auto"/>
        <w:ind w:left="720" w:right="720"/>
        <w:rPr>
          <w:sz w:val="18"/>
          <w:szCs w:val="18"/>
        </w:rPr>
      </w:pPr>
      <w:r w:rsidRPr="006B0525">
        <w:rPr>
          <w:sz w:val="18"/>
          <w:szCs w:val="18"/>
        </w:rPr>
        <w:t>Todo lo relativo a la fijación de la pena, no es susceptible de conocerse por medio del recurso de apelación especial, porque deviene de una facultad discrecional que l</w:t>
      </w:r>
      <w:r w:rsidR="008B3A58" w:rsidRPr="006B0525">
        <w:rPr>
          <w:sz w:val="18"/>
          <w:szCs w:val="18"/>
        </w:rPr>
        <w:t>a</w:t>
      </w:r>
      <w:r w:rsidRPr="006B0525">
        <w:rPr>
          <w:sz w:val="18"/>
          <w:szCs w:val="18"/>
        </w:rPr>
        <w:t xml:space="preserve"> ley confiere a los Jueces para que con fundamento en el artículo 65 del Código Penal, arribe a conclusiones de certeza jurídica en cuanto a su fijación: fijación que obviamente parte de los hechos valorados como prueba por el Tribunal de sentencia: control de dichos hechos que ya se dio, no pueden ser controlables por el Tribunal que hoy resuelve. Solo se puede controlar mediante el recurso que nos ocupa, cuando el Tribunal no haya respetado la normativa que le confiere esa facultad discrecional”</w:t>
      </w:r>
      <w:r w:rsidRPr="006B0525">
        <w:rPr>
          <w:rStyle w:val="Refdenotaalpie"/>
          <w:rFonts w:eastAsia="MS Mincho"/>
          <w:sz w:val="18"/>
          <w:szCs w:val="18"/>
        </w:rPr>
        <w:footnoteReference w:id="181"/>
      </w:r>
      <w:r w:rsidRPr="006B0525">
        <w:rPr>
          <w:sz w:val="18"/>
          <w:szCs w:val="18"/>
        </w:rPr>
        <w:t>.</w:t>
      </w:r>
    </w:p>
    <w:p w14:paraId="781F7E85" w14:textId="77777777" w:rsidR="00530549" w:rsidRPr="006B0525" w:rsidRDefault="00530549" w:rsidP="00530549">
      <w:pPr>
        <w:pStyle w:val="Normal1"/>
        <w:widowControl/>
        <w:contextualSpacing/>
        <w:jc w:val="both"/>
        <w:rPr>
          <w:rFonts w:ascii="Verdana" w:hAnsi="Verdana"/>
          <w:sz w:val="20"/>
          <w:szCs w:val="20"/>
        </w:rPr>
      </w:pPr>
    </w:p>
    <w:p w14:paraId="6B45B2DE" w14:textId="77777777" w:rsidR="00530549" w:rsidRPr="006B0525" w:rsidRDefault="00530549" w:rsidP="00530549">
      <w:pPr>
        <w:pStyle w:val="Normal1"/>
        <w:widowControl/>
        <w:numPr>
          <w:ilvl w:val="0"/>
          <w:numId w:val="4"/>
        </w:numPr>
        <w:ind w:left="0" w:firstLine="0"/>
        <w:contextualSpacing/>
        <w:jc w:val="both"/>
        <w:rPr>
          <w:rFonts w:ascii="Verdana" w:hAnsi="Verdana"/>
          <w:sz w:val="20"/>
          <w:szCs w:val="20"/>
        </w:rPr>
      </w:pPr>
      <w:r w:rsidRPr="006B0525">
        <w:rPr>
          <w:rFonts w:ascii="Verdana" w:hAnsi="Verdana"/>
          <w:sz w:val="20"/>
          <w:szCs w:val="20"/>
          <w:lang w:val="es-PE"/>
        </w:rPr>
        <w:t>Con respecto a las numerosas cuestiones que ex</w:t>
      </w:r>
      <w:r w:rsidR="00661BF7" w:rsidRPr="006B0525">
        <w:rPr>
          <w:rFonts w:ascii="Verdana" w:hAnsi="Verdana"/>
          <w:sz w:val="20"/>
          <w:szCs w:val="20"/>
          <w:lang w:val="es-PE"/>
        </w:rPr>
        <w:t>pusieron las presuntas víctimas</w:t>
      </w:r>
      <w:r w:rsidRPr="006B0525">
        <w:rPr>
          <w:rFonts w:ascii="Verdana" w:hAnsi="Verdana"/>
          <w:sz w:val="20"/>
          <w:szCs w:val="20"/>
          <w:lang w:val="es-PE"/>
        </w:rPr>
        <w:t xml:space="preserve"> en sus recursos de apelación en relación con</w:t>
      </w:r>
      <w:r w:rsidRPr="006B0525">
        <w:rPr>
          <w:rFonts w:ascii="Verdana" w:hAnsi="Verdana"/>
          <w:sz w:val="20"/>
          <w:szCs w:val="20"/>
        </w:rPr>
        <w:t xml:space="preserve"> los alegatos sobre inobservancia de la ley sustantiva en relación con la fijación de la pena, las circunstancias agravantes genéricas y específicas del delito, y la inobservancia parcial del contenido de la ley sustantiva para la fijación de la pena de muerte</w:t>
      </w:r>
      <w:r w:rsidRPr="006B0525">
        <w:rPr>
          <w:rFonts w:ascii="Verdana" w:hAnsi="Verdana"/>
          <w:sz w:val="20"/>
          <w:szCs w:val="20"/>
          <w:lang w:val="es-PE"/>
        </w:rPr>
        <w:t xml:space="preserve"> realizada por el juez </w:t>
      </w:r>
      <w:r w:rsidRPr="006B0525">
        <w:rPr>
          <w:rFonts w:ascii="Verdana" w:hAnsi="Verdana"/>
          <w:i/>
          <w:sz w:val="20"/>
          <w:szCs w:val="20"/>
          <w:lang w:val="es-PE"/>
        </w:rPr>
        <w:t>a quo</w:t>
      </w:r>
      <w:r w:rsidRPr="006B0525">
        <w:rPr>
          <w:rFonts w:ascii="Verdana" w:hAnsi="Verdana"/>
          <w:sz w:val="20"/>
          <w:szCs w:val="20"/>
          <w:lang w:val="es-PE"/>
        </w:rPr>
        <w:t>, la Corte de Apelaciones se li</w:t>
      </w:r>
      <w:r w:rsidR="008B3A58" w:rsidRPr="006B0525">
        <w:rPr>
          <w:rFonts w:ascii="Verdana" w:hAnsi="Verdana"/>
          <w:sz w:val="20"/>
          <w:szCs w:val="20"/>
          <w:lang w:val="es-PE"/>
        </w:rPr>
        <w:t>mitó a dar respuesta abstracta y</w:t>
      </w:r>
      <w:r w:rsidRPr="006B0525">
        <w:rPr>
          <w:rFonts w:ascii="Verdana" w:hAnsi="Verdana"/>
          <w:sz w:val="20"/>
          <w:szCs w:val="20"/>
          <w:lang w:val="es-PE"/>
        </w:rPr>
        <w:t xml:space="preserve"> sin entrar en el fondo de los motivos aducidos por las presuntas víctimas. </w:t>
      </w:r>
      <w:r w:rsidR="008B3A58" w:rsidRPr="006B0525">
        <w:rPr>
          <w:rFonts w:ascii="Verdana" w:hAnsi="Verdana"/>
          <w:sz w:val="20"/>
          <w:szCs w:val="20"/>
          <w:lang w:val="es-PE"/>
        </w:rPr>
        <w:t xml:space="preserve">En efecto, el Tribunal observa que la Corte de apelaciones rechazó las alegaciones de los recurrentes sobre la base de que la legislación vigente no le permitía realizar ningún tipo de revisión a este respecto, sin analizar de manera individualizada los argumentos esgrimidos por los recurrentes. </w:t>
      </w:r>
      <w:r w:rsidRPr="006B0525">
        <w:rPr>
          <w:rFonts w:ascii="Verdana" w:hAnsi="Verdana"/>
          <w:sz w:val="20"/>
          <w:szCs w:val="20"/>
        </w:rPr>
        <w:t>En consecuencia, el Tribunal considera que la negativa por parte de la Sala Décima de la Corte de Apelaciones, Penal Narcoactividad y Delitos contra el Ambiente de revisar las cuestiones fácticas planteada por la defensa los señores Rodríguez Revolorio, López Calo y Aníbal Archila Pérez constituyó un hecho ilícito internacional en tanto resultó en un incumplimiento del deber de revisión integral del fallo establecido en el artículo 8.2.h).</w:t>
      </w:r>
      <w:r w:rsidR="009E03F1" w:rsidRPr="006B0525">
        <w:rPr>
          <w:rFonts w:ascii="Verdana" w:hAnsi="Verdana"/>
          <w:sz w:val="20"/>
          <w:szCs w:val="20"/>
        </w:rPr>
        <w:t xml:space="preserve"> </w:t>
      </w:r>
    </w:p>
    <w:p w14:paraId="6BEBE6E8" w14:textId="77777777" w:rsidR="00530549" w:rsidRPr="006B0525" w:rsidRDefault="00530549" w:rsidP="00530549">
      <w:pPr>
        <w:pStyle w:val="Normal1"/>
        <w:widowControl/>
        <w:contextualSpacing/>
        <w:jc w:val="both"/>
        <w:rPr>
          <w:rFonts w:ascii="Verdana" w:hAnsi="Verdana"/>
          <w:sz w:val="20"/>
          <w:szCs w:val="20"/>
        </w:rPr>
      </w:pPr>
    </w:p>
    <w:p w14:paraId="540640A6" w14:textId="77777777" w:rsidR="00530549" w:rsidRPr="006B0525" w:rsidRDefault="00530549" w:rsidP="00530549">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rPr>
        <w:t xml:space="preserve">Por otro lado, </w:t>
      </w:r>
      <w:proofErr w:type="gramStart"/>
      <w:r w:rsidRPr="006B0525">
        <w:rPr>
          <w:rFonts w:ascii="Verdana" w:hAnsi="Verdana"/>
          <w:sz w:val="20"/>
          <w:szCs w:val="20"/>
        </w:rPr>
        <w:t>en razón de</w:t>
      </w:r>
      <w:proofErr w:type="gramEnd"/>
      <w:r w:rsidRPr="006B0525">
        <w:rPr>
          <w:rFonts w:ascii="Verdana" w:hAnsi="Verdana"/>
          <w:sz w:val="20"/>
          <w:szCs w:val="20"/>
        </w:rPr>
        <w:t xml:space="preserve"> que el artículo 8.2.h) de la Convención tiene un contenido jurídico propio y el principio de efectividad (</w:t>
      </w:r>
      <w:proofErr w:type="spellStart"/>
      <w:r w:rsidRPr="006B0525">
        <w:rPr>
          <w:rFonts w:ascii="Verdana" w:hAnsi="Verdana"/>
          <w:i/>
          <w:sz w:val="20"/>
          <w:szCs w:val="20"/>
        </w:rPr>
        <w:t>effet</w:t>
      </w:r>
      <w:proofErr w:type="spellEnd"/>
      <w:r w:rsidRPr="006B0525">
        <w:rPr>
          <w:rFonts w:ascii="Verdana" w:hAnsi="Verdana"/>
          <w:i/>
          <w:sz w:val="20"/>
          <w:szCs w:val="20"/>
        </w:rPr>
        <w:t xml:space="preserve"> </w:t>
      </w:r>
      <w:proofErr w:type="spellStart"/>
      <w:r w:rsidRPr="006B0525">
        <w:rPr>
          <w:rFonts w:ascii="Verdana" w:hAnsi="Verdana"/>
          <w:i/>
          <w:sz w:val="20"/>
          <w:szCs w:val="20"/>
        </w:rPr>
        <w:t>utile</w:t>
      </w:r>
      <w:proofErr w:type="spellEnd"/>
      <w:r w:rsidRPr="006B0525">
        <w:rPr>
          <w:rFonts w:ascii="Verdana" w:hAnsi="Verdana"/>
          <w:sz w:val="20"/>
          <w:szCs w:val="20"/>
        </w:rPr>
        <w:t xml:space="preserve">) es transversal a la protección debida de todos los derechos reconocidos en ese </w:t>
      </w:r>
      <w:r w:rsidRPr="006B0525">
        <w:rPr>
          <w:rFonts w:ascii="Verdana" w:eastAsia="MS Mincho" w:hAnsi="Verdana"/>
          <w:sz w:val="20"/>
          <w:szCs w:val="20"/>
        </w:rPr>
        <w:t>instrumento</w:t>
      </w:r>
      <w:r w:rsidRPr="006B0525">
        <w:rPr>
          <w:rFonts w:ascii="Verdana" w:hAnsi="Verdana"/>
          <w:sz w:val="20"/>
          <w:szCs w:val="20"/>
        </w:rPr>
        <w:t>, el Tribunal considera innecesario analizar aquella disposición en relación con el artículo 25.1 de la Convención</w:t>
      </w:r>
      <w:r w:rsidRPr="006B0525">
        <w:rPr>
          <w:rStyle w:val="Refdenotaalpie"/>
          <w:rFonts w:ascii="Verdana" w:eastAsiaTheme="majorEastAsia" w:hAnsi="Verdana"/>
          <w:sz w:val="20"/>
          <w:szCs w:val="20"/>
        </w:rPr>
        <w:footnoteReference w:id="182"/>
      </w:r>
      <w:r w:rsidRPr="006B0525">
        <w:rPr>
          <w:rFonts w:ascii="Verdana" w:hAnsi="Verdana"/>
          <w:sz w:val="20"/>
          <w:szCs w:val="20"/>
        </w:rPr>
        <w:t xml:space="preserve">. Asimismo, en relación con el alegato de la Comisión y representantes respecto a que ningún de los restantes recursos interpuestos por los señores </w:t>
      </w:r>
      <w:r w:rsidRPr="006B0525">
        <w:rPr>
          <w:rFonts w:ascii="Verdana" w:hAnsi="Verdana" w:cs="Verdana"/>
          <w:sz w:val="20"/>
          <w:szCs w:val="20"/>
        </w:rPr>
        <w:t xml:space="preserve">Rodríguez Revolorio, </w:t>
      </w:r>
      <w:r w:rsidRPr="006B0525">
        <w:rPr>
          <w:rFonts w:ascii="Verdana" w:hAnsi="Verdana"/>
          <w:sz w:val="20"/>
          <w:szCs w:val="20"/>
        </w:rPr>
        <w:t>López</w:t>
      </w:r>
      <w:r w:rsidRPr="006B0525">
        <w:rPr>
          <w:rFonts w:ascii="Verdana" w:hAnsi="Verdana" w:cs="Verdana"/>
          <w:sz w:val="20"/>
          <w:szCs w:val="20"/>
        </w:rPr>
        <w:t xml:space="preserve"> Calo, y Aníbal Archila Pérez</w:t>
      </w:r>
      <w:r w:rsidRPr="006B0525">
        <w:rPr>
          <w:rFonts w:ascii="Verdana" w:hAnsi="Verdana"/>
          <w:sz w:val="20"/>
          <w:szCs w:val="20"/>
        </w:rPr>
        <w:t xml:space="preserve"> fueron efectivos, la Corte advierte </w:t>
      </w:r>
      <w:r w:rsidRPr="006B0525">
        <w:rPr>
          <w:rFonts w:ascii="Verdana" w:hAnsi="Verdana" w:cs="Times"/>
          <w:sz w:val="20"/>
          <w:szCs w:val="20"/>
          <w:shd w:val="clear" w:color="auto" w:fill="FFFFFF"/>
        </w:rPr>
        <w:t xml:space="preserve">que en el presente caso solo se realizará el análisis de la apelación especial por ser esté un recurso </w:t>
      </w:r>
      <w:r w:rsidRPr="006B0525">
        <w:rPr>
          <w:rFonts w:ascii="Verdana" w:hAnsi="Verdana" w:cs="Times"/>
          <w:sz w:val="20"/>
          <w:szCs w:val="20"/>
          <w:shd w:val="clear" w:color="auto" w:fill="FFFFFF"/>
        </w:rPr>
        <w:lastRenderedPageBreak/>
        <w:t>ordinario,</w:t>
      </w:r>
      <w:r w:rsidR="00FD5713">
        <w:rPr>
          <w:rFonts w:ascii="Verdana" w:hAnsi="Verdana" w:cs="Times"/>
          <w:sz w:val="20"/>
          <w:szCs w:val="20"/>
          <w:shd w:val="clear" w:color="auto" w:fill="FFFFFF"/>
        </w:rPr>
        <w:t xml:space="preserve"> y</w:t>
      </w:r>
      <w:r w:rsidRPr="006B0525">
        <w:rPr>
          <w:rFonts w:ascii="Verdana" w:hAnsi="Verdana" w:cs="Times"/>
          <w:sz w:val="20"/>
          <w:szCs w:val="20"/>
          <w:shd w:val="clear" w:color="auto" w:fill="FFFFFF"/>
        </w:rPr>
        <w:t xml:space="preserve"> no se hará referencia al recurso de amparo ni de revisión debido a que estos son recursos extraordinarios. </w:t>
      </w:r>
    </w:p>
    <w:p w14:paraId="0EEB0F94" w14:textId="77777777" w:rsidR="00530549" w:rsidRPr="006B0525" w:rsidRDefault="00530549" w:rsidP="00530549">
      <w:pPr>
        <w:pStyle w:val="Normal1"/>
        <w:widowControl/>
        <w:contextualSpacing/>
        <w:jc w:val="both"/>
        <w:rPr>
          <w:rFonts w:ascii="Verdana" w:eastAsia="Verdana" w:hAnsi="Verdana" w:cs="Verdana"/>
          <w:sz w:val="20"/>
          <w:szCs w:val="20"/>
        </w:rPr>
      </w:pPr>
    </w:p>
    <w:p w14:paraId="6AC14A20" w14:textId="77777777" w:rsidR="00530549" w:rsidRPr="006B0525" w:rsidRDefault="00530549" w:rsidP="00530549">
      <w:pPr>
        <w:pStyle w:val="Normal1"/>
        <w:widowControl/>
        <w:numPr>
          <w:ilvl w:val="0"/>
          <w:numId w:val="4"/>
        </w:numPr>
        <w:ind w:left="0" w:firstLine="0"/>
        <w:contextualSpacing/>
        <w:jc w:val="both"/>
        <w:rPr>
          <w:rFonts w:ascii="Verdana" w:eastAsia="Verdana" w:hAnsi="Verdana" w:cs="Verdana"/>
          <w:sz w:val="20"/>
          <w:szCs w:val="20"/>
        </w:rPr>
      </w:pPr>
      <w:r w:rsidRPr="006B0525">
        <w:rPr>
          <w:rFonts w:ascii="Verdana" w:hAnsi="Verdana"/>
          <w:sz w:val="20"/>
          <w:szCs w:val="20"/>
        </w:rPr>
        <w:t xml:space="preserve">En vista de las consideraciones anteriores, la Corte concluye que el Estado violó el derecho a recurrir del fallo, contemplado en el artículo 8.2.h) de la Convención Americana, en relación </w:t>
      </w:r>
      <w:r w:rsidRPr="006B0525">
        <w:rPr>
          <w:rFonts w:ascii="Verdana" w:eastAsia="MS Mincho" w:hAnsi="Verdana"/>
          <w:sz w:val="20"/>
          <w:szCs w:val="20"/>
        </w:rPr>
        <w:t>con</w:t>
      </w:r>
      <w:r w:rsidRPr="006B0525">
        <w:rPr>
          <w:rFonts w:ascii="Verdana" w:hAnsi="Verdana"/>
          <w:sz w:val="20"/>
          <w:szCs w:val="20"/>
        </w:rPr>
        <w:t xml:space="preserve"> el artículo 1.1 del mismo instrumento, en perjuicio los señores </w:t>
      </w:r>
      <w:r w:rsidRPr="006B0525">
        <w:rPr>
          <w:rFonts w:ascii="Verdana" w:hAnsi="Verdana" w:cs="Verdana"/>
          <w:sz w:val="20"/>
          <w:szCs w:val="20"/>
        </w:rPr>
        <w:t xml:space="preserve">Rodríguez Revolorio, López Calo y Aníbal Archila Pérez. </w:t>
      </w:r>
    </w:p>
    <w:p w14:paraId="144591A8" w14:textId="77777777" w:rsidR="005B0504" w:rsidRPr="006B0525" w:rsidRDefault="00241F90" w:rsidP="00530549">
      <w:pPr>
        <w:pStyle w:val="Ttulo1"/>
        <w:rPr>
          <w:lang w:bidi="en-US"/>
        </w:rPr>
      </w:pPr>
      <w:bookmarkStart w:id="73" w:name="_Toc26177820"/>
      <w:r w:rsidRPr="006B0525">
        <w:t>IX</w:t>
      </w:r>
      <w:r w:rsidR="005B0504" w:rsidRPr="006B0525">
        <w:br/>
        <w:t>REPARACIONES</w:t>
      </w:r>
      <w:bookmarkEnd w:id="73"/>
      <w:r w:rsidR="004C3044" w:rsidRPr="006B0525">
        <w:t xml:space="preserve"> </w:t>
      </w:r>
      <w:bookmarkStart w:id="74" w:name="_Toc495658707"/>
      <w:bookmarkStart w:id="75" w:name="_Toc470180115"/>
      <w:bookmarkStart w:id="76" w:name="_Toc459158160"/>
      <w:bookmarkStart w:id="77" w:name="_Toc375517156"/>
      <w:bookmarkStart w:id="78" w:name="_Toc514172675"/>
      <w:bookmarkStart w:id="79" w:name="_Toc15933784"/>
      <w:bookmarkStart w:id="80" w:name="_Toc16270623"/>
      <w:bookmarkEnd w:id="62"/>
      <w:bookmarkEnd w:id="63"/>
      <w:bookmarkEnd w:id="64"/>
      <w:bookmarkEnd w:id="65"/>
      <w:bookmarkEnd w:id="66"/>
      <w:bookmarkEnd w:id="67"/>
      <w:bookmarkEnd w:id="68"/>
    </w:p>
    <w:p w14:paraId="4BF1A050" w14:textId="77777777" w:rsidR="005B0504" w:rsidRPr="006B0525" w:rsidRDefault="005B0504" w:rsidP="00530549">
      <w:pPr>
        <w:pStyle w:val="Normal1"/>
        <w:widowControl/>
        <w:numPr>
          <w:ilvl w:val="0"/>
          <w:numId w:val="4"/>
        </w:numPr>
        <w:ind w:left="0" w:firstLine="0"/>
        <w:contextualSpacing/>
        <w:jc w:val="both"/>
        <w:rPr>
          <w:rFonts w:ascii="Verdana" w:hAnsi="Verdana"/>
          <w:sz w:val="20"/>
          <w:szCs w:val="20"/>
          <w:lang w:bidi="en-US"/>
        </w:rPr>
      </w:pPr>
      <w:r w:rsidRPr="006B0525">
        <w:rPr>
          <w:rFonts w:ascii="Verdana" w:hAnsi="Verdana"/>
          <w:sz w:val="20"/>
          <w:szCs w:val="20"/>
          <w:lang w:eastAsia="es-ES" w:bidi="en-US"/>
        </w:rPr>
        <w:t>Sobre</w:t>
      </w:r>
      <w:r w:rsidRPr="006B0525">
        <w:rPr>
          <w:rFonts w:ascii="Verdana" w:hAnsi="Verdana"/>
          <w:sz w:val="20"/>
          <w:szCs w:val="20"/>
          <w:lang w:bidi="en-US"/>
        </w:rPr>
        <w:t xml:space="preserve"> </w:t>
      </w:r>
      <w:r w:rsidRPr="006B0525">
        <w:rPr>
          <w:rFonts w:ascii="Verdana" w:hAnsi="Verdana"/>
          <w:bCs/>
          <w:sz w:val="20"/>
          <w:szCs w:val="20"/>
          <w:lang w:bidi="en-US"/>
        </w:rPr>
        <w:t>la</w:t>
      </w:r>
      <w:r w:rsidRPr="006B0525">
        <w:rPr>
          <w:rFonts w:ascii="Verdana" w:hAnsi="Verdana"/>
          <w:sz w:val="20"/>
          <w:szCs w:val="20"/>
          <w:lang w:bidi="en-US"/>
        </w:rPr>
        <w:t xml:space="preserve"> base de lo dispuesto en el artículo 63.1 de la Convención Americana</w:t>
      </w:r>
      <w:r w:rsidRPr="006B0525">
        <w:rPr>
          <w:rFonts w:ascii="Verdana" w:hAnsi="Verdana"/>
          <w:sz w:val="20"/>
          <w:szCs w:val="20"/>
          <w:vertAlign w:val="superscript"/>
          <w:lang w:bidi="en-US"/>
        </w:rPr>
        <w:footnoteReference w:id="183"/>
      </w:r>
      <w:r w:rsidRPr="006B0525">
        <w:rPr>
          <w:rFonts w:ascii="Verdana" w:hAnsi="Verdana"/>
          <w:sz w:val="20"/>
          <w:szCs w:val="20"/>
          <w:lang w:bidi="en-US"/>
        </w:rPr>
        <w:t xml:space="preserve">, la Corte ha indicado que toda violación de una obligación internacional que haya producido daño comporta el deber de repararlo adecuadamente y que esa disposición recoge una norma consuetudinaria que constituye uno </w:t>
      </w:r>
      <w:r w:rsidRPr="006B0525">
        <w:rPr>
          <w:rFonts w:ascii="Verdana" w:hAnsi="Verdana"/>
          <w:sz w:val="20"/>
          <w:szCs w:val="20"/>
        </w:rPr>
        <w:t>de</w:t>
      </w:r>
      <w:r w:rsidRPr="006B0525">
        <w:rPr>
          <w:rFonts w:ascii="Verdana" w:hAnsi="Verdana"/>
          <w:sz w:val="20"/>
          <w:szCs w:val="20"/>
          <w:lang w:bidi="en-US"/>
        </w:rPr>
        <w:t xml:space="preserve"> los principios fundamentales del Derecho Internacional contemporáneo sobre responsabilidad de un Estado</w:t>
      </w:r>
      <w:r w:rsidRPr="006B0525">
        <w:rPr>
          <w:rFonts w:ascii="Verdana" w:hAnsi="Verdana"/>
          <w:sz w:val="20"/>
          <w:szCs w:val="20"/>
          <w:vertAlign w:val="superscript"/>
          <w:lang w:bidi="en-US"/>
        </w:rPr>
        <w:footnoteReference w:id="184"/>
      </w:r>
      <w:r w:rsidRPr="006B0525">
        <w:rPr>
          <w:rFonts w:ascii="Verdana" w:hAnsi="Verdana"/>
          <w:sz w:val="20"/>
          <w:szCs w:val="20"/>
          <w:lang w:bidi="en-US"/>
        </w:rPr>
        <w:t>.</w:t>
      </w:r>
    </w:p>
    <w:p w14:paraId="0FA00571" w14:textId="77777777" w:rsidR="005B0504" w:rsidRPr="006B0525" w:rsidRDefault="005B0504" w:rsidP="00530549">
      <w:pPr>
        <w:rPr>
          <w:lang w:bidi="en-US"/>
        </w:rPr>
      </w:pPr>
    </w:p>
    <w:p w14:paraId="08FD7481" w14:textId="77777777" w:rsidR="005B0504" w:rsidRPr="006B0525" w:rsidRDefault="005B0504" w:rsidP="00530549">
      <w:pPr>
        <w:pStyle w:val="Normal1"/>
        <w:widowControl/>
        <w:numPr>
          <w:ilvl w:val="0"/>
          <w:numId w:val="4"/>
        </w:numPr>
        <w:ind w:left="0" w:firstLine="0"/>
        <w:contextualSpacing/>
        <w:jc w:val="both"/>
        <w:rPr>
          <w:rFonts w:ascii="Verdana" w:hAnsi="Verdana"/>
          <w:sz w:val="20"/>
          <w:szCs w:val="20"/>
          <w:lang w:bidi="en-US"/>
        </w:rPr>
      </w:pPr>
      <w:r w:rsidRPr="006B0525">
        <w:rPr>
          <w:rFonts w:ascii="Verdana" w:hAnsi="Verdana"/>
          <w:bCs/>
          <w:sz w:val="20"/>
          <w:szCs w:val="20"/>
          <w:lang w:bidi="en-US"/>
        </w:rPr>
        <w:t xml:space="preserve">La </w:t>
      </w:r>
      <w:r w:rsidRPr="006B0525">
        <w:rPr>
          <w:rFonts w:ascii="Verdana" w:hAnsi="Verdana"/>
          <w:sz w:val="20"/>
          <w:szCs w:val="20"/>
          <w:lang w:eastAsia="es-ES" w:bidi="en-US"/>
        </w:rPr>
        <w:t>reparación</w:t>
      </w:r>
      <w:r w:rsidRPr="006B0525">
        <w:rPr>
          <w:rFonts w:ascii="Verdana" w:hAnsi="Verdana"/>
          <w:bCs/>
          <w:sz w:val="20"/>
          <w:szCs w:val="20"/>
          <w:lang w:bidi="en-US"/>
        </w:rPr>
        <w:t xml:space="preserve"> del daño ocasionado por la infracción de una obligación internacional requiere, </w:t>
      </w:r>
      <w:r w:rsidRPr="006B0525">
        <w:rPr>
          <w:rFonts w:ascii="Verdana" w:hAnsi="Verdana"/>
          <w:sz w:val="20"/>
          <w:szCs w:val="20"/>
          <w:lang w:val="es-ES" w:eastAsia="es-ES_tradnl"/>
        </w:rPr>
        <w:t>siempre</w:t>
      </w:r>
      <w:r w:rsidRPr="006B0525">
        <w:rPr>
          <w:rFonts w:ascii="Verdana" w:hAnsi="Verdana"/>
          <w:bCs/>
          <w:sz w:val="20"/>
          <w:szCs w:val="20"/>
          <w:lang w:bidi="en-US"/>
        </w:rPr>
        <w:t xml:space="preserve"> que sea posible, la plena restitución (</w:t>
      </w:r>
      <w:proofErr w:type="spellStart"/>
      <w:r w:rsidRPr="006B0525">
        <w:rPr>
          <w:rFonts w:ascii="Verdana" w:hAnsi="Verdana"/>
          <w:bCs/>
          <w:i/>
          <w:sz w:val="20"/>
          <w:szCs w:val="20"/>
          <w:lang w:bidi="en-US"/>
        </w:rPr>
        <w:t>restitutio</w:t>
      </w:r>
      <w:proofErr w:type="spellEnd"/>
      <w:r w:rsidRPr="006B0525">
        <w:rPr>
          <w:rFonts w:ascii="Verdana" w:hAnsi="Verdana"/>
          <w:bCs/>
          <w:i/>
          <w:sz w:val="20"/>
          <w:szCs w:val="20"/>
          <w:lang w:bidi="en-US"/>
        </w:rPr>
        <w:t xml:space="preserve"> in </w:t>
      </w:r>
      <w:proofErr w:type="spellStart"/>
      <w:r w:rsidRPr="006B0525">
        <w:rPr>
          <w:rFonts w:ascii="Verdana" w:hAnsi="Verdana"/>
          <w:bCs/>
          <w:i/>
          <w:sz w:val="20"/>
          <w:szCs w:val="20"/>
          <w:lang w:bidi="en-US"/>
        </w:rPr>
        <w:t>integrum</w:t>
      </w:r>
      <w:proofErr w:type="spellEnd"/>
      <w:r w:rsidRPr="006B0525">
        <w:rPr>
          <w:rFonts w:ascii="Verdana" w:hAnsi="Verdana"/>
          <w:bCs/>
          <w:sz w:val="20"/>
          <w:szCs w:val="20"/>
          <w:lang w:bidi="en-US"/>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6B0525">
        <w:rPr>
          <w:rFonts w:ascii="Verdana" w:hAnsi="Verdana"/>
          <w:sz w:val="20"/>
          <w:szCs w:val="20"/>
          <w:vertAlign w:val="superscript"/>
          <w:lang w:bidi="en-US"/>
        </w:rPr>
        <w:footnoteReference w:id="185"/>
      </w:r>
      <w:r w:rsidRPr="006B0525">
        <w:rPr>
          <w:rFonts w:ascii="Verdana" w:hAnsi="Verdana"/>
          <w:bCs/>
          <w:sz w:val="20"/>
          <w:szCs w:val="20"/>
          <w:lang w:bidi="en-US"/>
        </w:rPr>
        <w:t xml:space="preserve">. Por tanto, </w:t>
      </w:r>
      <w:r w:rsidRPr="006B0525">
        <w:rPr>
          <w:rFonts w:ascii="Verdana" w:hAnsi="Verdana"/>
          <w:sz w:val="20"/>
          <w:szCs w:val="20"/>
          <w:lang w:bidi="en-US"/>
        </w:rPr>
        <w:t xml:space="preserve">la Corte ha </w:t>
      </w:r>
      <w:r w:rsidRPr="006B0525">
        <w:rPr>
          <w:rFonts w:ascii="Verdana" w:hAnsi="Verdana"/>
          <w:sz w:val="20"/>
          <w:szCs w:val="20"/>
        </w:rPr>
        <w:t>considerado</w:t>
      </w:r>
      <w:r w:rsidRPr="006B0525">
        <w:rPr>
          <w:rFonts w:ascii="Verdana" w:hAnsi="Verdana"/>
          <w:sz w:val="20"/>
          <w:szCs w:val="20"/>
          <w:lang w:bidi="en-US"/>
        </w:rPr>
        <w:t xml:space="preserve">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6B0525">
        <w:rPr>
          <w:rFonts w:ascii="Verdana" w:hAnsi="Verdana"/>
          <w:sz w:val="20"/>
          <w:szCs w:val="20"/>
          <w:vertAlign w:val="superscript"/>
          <w:lang w:bidi="en-US"/>
        </w:rPr>
        <w:footnoteReference w:id="186"/>
      </w:r>
      <w:r w:rsidRPr="006B0525">
        <w:rPr>
          <w:rFonts w:ascii="Verdana" w:hAnsi="Verdana"/>
          <w:sz w:val="20"/>
          <w:szCs w:val="20"/>
          <w:lang w:bidi="en-US"/>
        </w:rPr>
        <w:t>.</w:t>
      </w:r>
    </w:p>
    <w:p w14:paraId="7E6B3208" w14:textId="77777777" w:rsidR="00C12182" w:rsidRPr="006B0525" w:rsidRDefault="00C12182" w:rsidP="00C12182">
      <w:pPr>
        <w:pStyle w:val="Normal1"/>
        <w:widowControl/>
        <w:contextualSpacing/>
        <w:jc w:val="both"/>
        <w:rPr>
          <w:rFonts w:ascii="Verdana" w:hAnsi="Verdana"/>
          <w:sz w:val="20"/>
          <w:szCs w:val="20"/>
          <w:lang w:bidi="en-US"/>
        </w:rPr>
      </w:pPr>
    </w:p>
    <w:p w14:paraId="716B4D72" w14:textId="77777777" w:rsidR="005B0504" w:rsidRPr="006B0525" w:rsidRDefault="005B0504" w:rsidP="00530549">
      <w:pPr>
        <w:pStyle w:val="Normal1"/>
        <w:widowControl/>
        <w:numPr>
          <w:ilvl w:val="0"/>
          <w:numId w:val="4"/>
        </w:numPr>
        <w:ind w:left="0" w:firstLine="0"/>
        <w:contextualSpacing/>
        <w:jc w:val="both"/>
        <w:rPr>
          <w:rFonts w:ascii="Verdana" w:hAnsi="Verdana"/>
          <w:sz w:val="20"/>
          <w:szCs w:val="20"/>
          <w:lang w:bidi="en-US"/>
        </w:rPr>
      </w:pPr>
      <w:r w:rsidRPr="006B0525">
        <w:rPr>
          <w:rFonts w:ascii="Verdana" w:hAnsi="Verdana"/>
          <w:sz w:val="20"/>
          <w:szCs w:val="20"/>
          <w:lang w:bidi="en-US"/>
        </w:rPr>
        <w:t xml:space="preserve">La </w:t>
      </w:r>
      <w:r w:rsidRPr="006B0525">
        <w:rPr>
          <w:rFonts w:ascii="Verdana" w:hAnsi="Verdana"/>
          <w:bCs/>
          <w:sz w:val="20"/>
          <w:szCs w:val="20"/>
          <w:lang w:bidi="en-US"/>
        </w:rPr>
        <w:t>Corte</w:t>
      </w:r>
      <w:r w:rsidRPr="006B0525">
        <w:rPr>
          <w:rFonts w:ascii="Verdana" w:hAnsi="Verdana"/>
          <w:sz w:val="20"/>
          <w:szCs w:val="20"/>
          <w:lang w:bidi="en-US"/>
        </w:rPr>
        <w:t xml:space="preserve">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6B0525">
        <w:rPr>
          <w:rFonts w:ascii="Verdana" w:hAnsi="Verdana"/>
          <w:sz w:val="20"/>
          <w:szCs w:val="20"/>
          <w:vertAlign w:val="superscript"/>
          <w:lang w:bidi="en-US"/>
        </w:rPr>
        <w:footnoteReference w:id="187"/>
      </w:r>
      <w:r w:rsidRPr="006B0525">
        <w:rPr>
          <w:rFonts w:ascii="Verdana" w:hAnsi="Verdana"/>
          <w:sz w:val="20"/>
          <w:szCs w:val="20"/>
          <w:lang w:bidi="en-US"/>
        </w:rPr>
        <w:t>.</w:t>
      </w:r>
    </w:p>
    <w:p w14:paraId="3C870806" w14:textId="77777777" w:rsidR="00C12182" w:rsidRPr="006B0525" w:rsidRDefault="00C12182" w:rsidP="00C12182">
      <w:pPr>
        <w:pStyle w:val="Normal1"/>
        <w:widowControl/>
        <w:contextualSpacing/>
        <w:jc w:val="both"/>
        <w:rPr>
          <w:rFonts w:ascii="Verdana" w:hAnsi="Verdana"/>
          <w:sz w:val="20"/>
          <w:szCs w:val="20"/>
          <w:lang w:bidi="en-US"/>
        </w:rPr>
      </w:pPr>
    </w:p>
    <w:p w14:paraId="234BA087" w14:textId="77777777" w:rsidR="005B0504" w:rsidRPr="006B0525" w:rsidRDefault="005B0504" w:rsidP="00530549">
      <w:pPr>
        <w:pStyle w:val="Normal1"/>
        <w:widowControl/>
        <w:numPr>
          <w:ilvl w:val="0"/>
          <w:numId w:val="4"/>
        </w:numPr>
        <w:ind w:left="0" w:firstLine="0"/>
        <w:contextualSpacing/>
        <w:jc w:val="both"/>
        <w:rPr>
          <w:rFonts w:ascii="Verdana" w:hAnsi="Verdana"/>
          <w:sz w:val="20"/>
          <w:szCs w:val="20"/>
          <w:lang w:bidi="en-US"/>
        </w:rPr>
      </w:pPr>
      <w:r w:rsidRPr="006B0525">
        <w:rPr>
          <w:rFonts w:ascii="Verdana" w:hAnsi="Verdana"/>
          <w:sz w:val="20"/>
          <w:szCs w:val="20"/>
        </w:rPr>
        <w:t xml:space="preserve">Tomando en cuenta las violaciones a la Convención Americana declaradas en los capítulos </w:t>
      </w:r>
      <w:r w:rsidRPr="006B0525">
        <w:rPr>
          <w:rFonts w:ascii="Verdana" w:hAnsi="Verdana"/>
          <w:sz w:val="20"/>
          <w:szCs w:val="20"/>
          <w:lang w:val="es-ES" w:eastAsia="es-ES_tradnl"/>
        </w:rPr>
        <w:t>anteriores</w:t>
      </w:r>
      <w:r w:rsidRPr="006B0525">
        <w:rPr>
          <w:rFonts w:ascii="Verdana" w:hAnsi="Verdana"/>
          <w:sz w:val="20"/>
          <w:szCs w:val="20"/>
        </w:rPr>
        <w:t>, a la luz de los criterios fijados en la jurisprudencia del Tribunal en relación con la naturaleza y alcances de la obligación de reparar</w:t>
      </w:r>
      <w:r w:rsidRPr="006B0525">
        <w:rPr>
          <w:rFonts w:ascii="Verdana" w:eastAsia="Calibri" w:hAnsi="Verdana"/>
          <w:sz w:val="20"/>
          <w:szCs w:val="20"/>
          <w:vertAlign w:val="superscript"/>
        </w:rPr>
        <w:footnoteReference w:id="188"/>
      </w:r>
      <w:r w:rsidRPr="006B0525">
        <w:rPr>
          <w:rFonts w:ascii="Verdana" w:hAnsi="Verdana"/>
          <w:sz w:val="20"/>
          <w:szCs w:val="20"/>
        </w:rPr>
        <w:t>, la Corte analizará las pretensiones presentadas por la Comisión y las representantes, así como los argumentos del Estado al respecto, con el objeto de disponer a continuación las medidas tendientes a reparar dichas violaciones.</w:t>
      </w:r>
    </w:p>
    <w:p w14:paraId="275A266C" w14:textId="77777777" w:rsidR="005B0504" w:rsidRPr="006B0525" w:rsidRDefault="005B0504" w:rsidP="00530549">
      <w:pPr>
        <w:pStyle w:val="Ttulo2"/>
      </w:pPr>
      <w:bookmarkStart w:id="81" w:name="_Toc16270610"/>
      <w:bookmarkStart w:id="82" w:name="_Toc15933771"/>
      <w:bookmarkStart w:id="83" w:name="_Toc26177821"/>
      <w:r w:rsidRPr="006B0525">
        <w:lastRenderedPageBreak/>
        <w:t>A. Parte lesionada</w:t>
      </w:r>
      <w:bookmarkEnd w:id="81"/>
      <w:bookmarkEnd w:id="82"/>
      <w:bookmarkEnd w:id="83"/>
    </w:p>
    <w:p w14:paraId="4880CCBC" w14:textId="77777777" w:rsidR="005B0504" w:rsidRPr="006B0525" w:rsidRDefault="005B0504" w:rsidP="00530549">
      <w:pPr>
        <w:pStyle w:val="Normal1"/>
        <w:widowControl/>
        <w:numPr>
          <w:ilvl w:val="0"/>
          <w:numId w:val="4"/>
        </w:numPr>
        <w:ind w:left="0" w:firstLine="0"/>
        <w:contextualSpacing/>
        <w:jc w:val="both"/>
        <w:rPr>
          <w:rFonts w:ascii="Verdana" w:hAnsi="Verdana"/>
          <w:sz w:val="20"/>
          <w:szCs w:val="20"/>
          <w:lang w:val="es-ES" w:eastAsia="es-ES_tradnl"/>
        </w:rPr>
      </w:pPr>
      <w:r w:rsidRPr="006B0525">
        <w:rPr>
          <w:rFonts w:ascii="Verdana" w:hAnsi="Verdana"/>
          <w:sz w:val="20"/>
          <w:szCs w:val="20"/>
          <w:lang w:val="es-ES" w:eastAsia="es-ES_tradnl"/>
        </w:rPr>
        <w:t xml:space="preserve">Este Tribunal considera parte lesionada, en los términos del artículo 63.1 de la </w:t>
      </w:r>
      <w:r w:rsidRPr="006B0525">
        <w:rPr>
          <w:rFonts w:ascii="Verdana" w:hAnsi="Verdana"/>
          <w:sz w:val="20"/>
          <w:szCs w:val="20"/>
        </w:rPr>
        <w:t>Convención</w:t>
      </w:r>
      <w:r w:rsidRPr="006B0525">
        <w:rPr>
          <w:rFonts w:ascii="Verdana" w:hAnsi="Verdana"/>
          <w:sz w:val="20"/>
          <w:szCs w:val="20"/>
          <w:lang w:val="es-ES" w:eastAsia="es-ES_tradnl"/>
        </w:rPr>
        <w:t xml:space="preserve"> a </w:t>
      </w:r>
      <w:r w:rsidRPr="006B0525">
        <w:rPr>
          <w:rFonts w:ascii="Verdana" w:hAnsi="Verdana"/>
          <w:sz w:val="20"/>
          <w:szCs w:val="20"/>
          <w:lang w:eastAsia="es-ES" w:bidi="en-US"/>
        </w:rPr>
        <w:t>quienes</w:t>
      </w:r>
      <w:r w:rsidRPr="006B0525">
        <w:rPr>
          <w:rFonts w:ascii="Verdana" w:hAnsi="Verdana"/>
          <w:sz w:val="20"/>
          <w:szCs w:val="20"/>
          <w:lang w:val="es-ES" w:eastAsia="es-ES_tradnl"/>
        </w:rPr>
        <w:t xml:space="preserve"> han </w:t>
      </w:r>
      <w:r w:rsidRPr="006B0525">
        <w:rPr>
          <w:rFonts w:ascii="Verdana" w:hAnsi="Verdana"/>
          <w:sz w:val="20"/>
          <w:szCs w:val="20"/>
        </w:rPr>
        <w:t>sido</w:t>
      </w:r>
      <w:r w:rsidRPr="006B0525">
        <w:rPr>
          <w:rFonts w:ascii="Verdana" w:hAnsi="Verdana"/>
          <w:sz w:val="20"/>
          <w:szCs w:val="20"/>
          <w:lang w:val="es-ES" w:eastAsia="es-ES_tradnl"/>
        </w:rPr>
        <w:t xml:space="preserve"> </w:t>
      </w:r>
      <w:r w:rsidRPr="006B0525">
        <w:rPr>
          <w:rFonts w:ascii="Verdana" w:hAnsi="Verdana"/>
          <w:sz w:val="20"/>
          <w:szCs w:val="20"/>
          <w:lang w:eastAsia="es-ES" w:bidi="en-US"/>
        </w:rPr>
        <w:t>declaradas</w:t>
      </w:r>
      <w:r w:rsidRPr="006B0525">
        <w:rPr>
          <w:rFonts w:ascii="Verdana" w:hAnsi="Verdana"/>
          <w:sz w:val="20"/>
          <w:szCs w:val="20"/>
          <w:lang w:val="es-ES" w:eastAsia="es-ES_tradnl"/>
        </w:rPr>
        <w:t xml:space="preserve"> víctimas de la violación de algún derecho reconocido en la misma. Por lo tanto, esta Corte considera como “parte lesionada” a los señores Miguel Ángel Rodríguez Revolorio, Miguel Ángel López Calo y Aníbal Archila Pérez</w:t>
      </w:r>
      <w:r w:rsidR="00C12182" w:rsidRPr="006B0525">
        <w:rPr>
          <w:rFonts w:ascii="Verdana" w:hAnsi="Verdana"/>
          <w:sz w:val="20"/>
          <w:szCs w:val="20"/>
          <w:lang w:val="es-ES" w:eastAsia="es-ES_tradnl"/>
        </w:rPr>
        <w:t>,</w:t>
      </w:r>
      <w:r w:rsidRPr="006B0525">
        <w:rPr>
          <w:rFonts w:ascii="Verdana" w:hAnsi="Verdana"/>
          <w:sz w:val="20"/>
          <w:szCs w:val="20"/>
          <w:lang w:val="es-ES" w:eastAsia="es-ES_tradnl"/>
        </w:rPr>
        <w:t xml:space="preserve"> quienes en su carácter de víctimas de las violaciones declaradas en el capítulo </w:t>
      </w:r>
      <w:r w:rsidR="00CF2E39" w:rsidRPr="006B0525">
        <w:rPr>
          <w:rFonts w:ascii="Verdana" w:hAnsi="Verdana"/>
          <w:sz w:val="20"/>
          <w:szCs w:val="20"/>
          <w:lang w:val="es-ES" w:eastAsia="es-ES_tradnl"/>
        </w:rPr>
        <w:t>VI</w:t>
      </w:r>
      <w:r w:rsidR="00A20EEE">
        <w:rPr>
          <w:rFonts w:ascii="Verdana" w:hAnsi="Verdana"/>
          <w:sz w:val="20"/>
          <w:szCs w:val="20"/>
          <w:lang w:val="es-ES" w:eastAsia="es-ES_tradnl"/>
        </w:rPr>
        <w:t>I</w:t>
      </w:r>
      <w:r w:rsidR="00CF2E39" w:rsidRPr="006B0525">
        <w:rPr>
          <w:rFonts w:ascii="Verdana" w:hAnsi="Verdana"/>
          <w:sz w:val="20"/>
          <w:szCs w:val="20"/>
          <w:lang w:val="es-ES" w:eastAsia="es-ES_tradnl"/>
        </w:rPr>
        <w:t>I</w:t>
      </w:r>
      <w:r w:rsidRPr="006B0525">
        <w:rPr>
          <w:rFonts w:ascii="Verdana" w:hAnsi="Verdana"/>
          <w:sz w:val="20"/>
          <w:szCs w:val="20"/>
          <w:lang w:val="es-ES" w:eastAsia="es-ES_tradnl"/>
        </w:rPr>
        <w:t xml:space="preserve"> serán beneficiarios de las reparaciones que la Corte ordene. </w:t>
      </w:r>
    </w:p>
    <w:p w14:paraId="103B176D" w14:textId="77777777" w:rsidR="00CF2E39" w:rsidRPr="006B0525" w:rsidRDefault="00CF2E39" w:rsidP="00A20F6E">
      <w:pPr>
        <w:pStyle w:val="Normal1"/>
        <w:widowControl/>
        <w:contextualSpacing/>
        <w:jc w:val="center"/>
        <w:rPr>
          <w:rFonts w:ascii="Verdana" w:hAnsi="Verdana"/>
          <w:b/>
          <w:sz w:val="20"/>
          <w:szCs w:val="20"/>
          <w:highlight w:val="yellow"/>
          <w:lang w:val="es-PE"/>
        </w:rPr>
      </w:pPr>
      <w:bookmarkStart w:id="84" w:name="_Toc16270612"/>
      <w:bookmarkStart w:id="85" w:name="_Toc15933773"/>
    </w:p>
    <w:p w14:paraId="45FE5CE1" w14:textId="77777777" w:rsidR="005B0504" w:rsidRPr="006B0525" w:rsidRDefault="00CD152D" w:rsidP="00530549">
      <w:pPr>
        <w:pStyle w:val="Ttulo2"/>
      </w:pPr>
      <w:bookmarkStart w:id="86" w:name="_Toc26177822"/>
      <w:r w:rsidRPr="006B0525">
        <w:t>B</w:t>
      </w:r>
      <w:r w:rsidR="005B0504" w:rsidRPr="006B0525">
        <w:t>. Medidas de rehabilitación</w:t>
      </w:r>
      <w:r w:rsidR="00AC00A6" w:rsidRPr="006B0525">
        <w:t xml:space="preserve"> y</w:t>
      </w:r>
      <w:r w:rsidR="000F0120" w:rsidRPr="006B0525">
        <w:t xml:space="preserve"> </w:t>
      </w:r>
      <w:r w:rsidR="005B0504" w:rsidRPr="006B0525">
        <w:t>satisfacción</w:t>
      </w:r>
      <w:bookmarkEnd w:id="86"/>
      <w:r w:rsidR="005B0504" w:rsidRPr="006B0525">
        <w:t xml:space="preserve"> </w:t>
      </w:r>
      <w:bookmarkEnd w:id="84"/>
      <w:bookmarkEnd w:id="85"/>
    </w:p>
    <w:p w14:paraId="4A3E0AFD" w14:textId="77777777" w:rsidR="005B0504" w:rsidRPr="006B0525" w:rsidRDefault="00CD152D" w:rsidP="00530549">
      <w:pPr>
        <w:pStyle w:val="Ttulo3"/>
      </w:pPr>
      <w:bookmarkStart w:id="87" w:name="_Toc16270613"/>
      <w:bookmarkStart w:id="88" w:name="_Toc15933774"/>
      <w:bookmarkStart w:id="89" w:name="_Toc15064198"/>
      <w:bookmarkStart w:id="90" w:name="_Toc26177823"/>
      <w:r w:rsidRPr="006B0525">
        <w:t>b</w:t>
      </w:r>
      <w:r w:rsidR="005B0504" w:rsidRPr="006B0525">
        <w:t>.1 Medidas de rehabilitación</w:t>
      </w:r>
      <w:bookmarkEnd w:id="87"/>
      <w:bookmarkEnd w:id="88"/>
      <w:bookmarkEnd w:id="89"/>
      <w:bookmarkEnd w:id="90"/>
    </w:p>
    <w:p w14:paraId="4938714A" w14:textId="77777777" w:rsidR="00BB6503" w:rsidRPr="006B0525" w:rsidRDefault="00BB6503" w:rsidP="00530549">
      <w:pPr>
        <w:pStyle w:val="Normal1"/>
        <w:widowControl/>
        <w:numPr>
          <w:ilvl w:val="0"/>
          <w:numId w:val="4"/>
        </w:numPr>
        <w:ind w:left="0" w:firstLine="0"/>
        <w:contextualSpacing/>
        <w:jc w:val="both"/>
        <w:rPr>
          <w:rFonts w:ascii="Verdana" w:eastAsia="MS Mincho" w:hAnsi="Verdana"/>
          <w:b/>
          <w:sz w:val="20"/>
          <w:szCs w:val="20"/>
          <w:lang w:bidi="en-US"/>
        </w:rPr>
      </w:pPr>
      <w:r w:rsidRPr="006B0525">
        <w:rPr>
          <w:rFonts w:ascii="Verdana" w:eastAsia="MS Mincho" w:hAnsi="Verdana"/>
          <w:sz w:val="20"/>
          <w:szCs w:val="20"/>
          <w:lang w:bidi="en-US"/>
        </w:rPr>
        <w:t>La</w:t>
      </w:r>
      <w:r w:rsidRPr="006B0525">
        <w:rPr>
          <w:rFonts w:ascii="Verdana" w:eastAsia="MS Mincho" w:hAnsi="Verdana"/>
          <w:b/>
          <w:sz w:val="20"/>
          <w:szCs w:val="20"/>
          <w:lang w:bidi="en-US"/>
        </w:rPr>
        <w:t xml:space="preserve"> </w:t>
      </w:r>
      <w:r w:rsidRPr="006B0525">
        <w:rPr>
          <w:rFonts w:ascii="Verdana" w:eastAsia="MS Mincho" w:hAnsi="Verdana"/>
          <w:b/>
          <w:i/>
          <w:sz w:val="20"/>
          <w:szCs w:val="20"/>
          <w:lang w:bidi="en-US"/>
        </w:rPr>
        <w:t>Comisión</w:t>
      </w:r>
      <w:r w:rsidRPr="006B0525">
        <w:rPr>
          <w:rFonts w:ascii="Verdana" w:eastAsia="MS Mincho" w:hAnsi="Verdana"/>
          <w:b/>
          <w:sz w:val="20"/>
          <w:szCs w:val="20"/>
          <w:lang w:bidi="en-US"/>
        </w:rPr>
        <w:t xml:space="preserve"> </w:t>
      </w:r>
      <w:r w:rsidRPr="006B0525">
        <w:rPr>
          <w:rFonts w:ascii="Verdana" w:eastAsia="MS Mincho" w:hAnsi="Verdana"/>
          <w:sz w:val="20"/>
          <w:szCs w:val="20"/>
          <w:lang w:bidi="en-US"/>
        </w:rPr>
        <w:t>solicitó que entre las medidas de reparación se incluyera</w:t>
      </w:r>
      <w:r w:rsidR="00A20EEE">
        <w:rPr>
          <w:rFonts w:ascii="Verdana" w:eastAsia="MS Mincho" w:hAnsi="Verdana"/>
          <w:sz w:val="20"/>
          <w:szCs w:val="20"/>
          <w:lang w:bidi="en-US"/>
        </w:rPr>
        <w:t>n</w:t>
      </w:r>
      <w:r w:rsidRPr="006B0525">
        <w:rPr>
          <w:rFonts w:ascii="Verdana" w:eastAsia="MS Mincho" w:hAnsi="Verdana"/>
          <w:sz w:val="20"/>
          <w:szCs w:val="20"/>
          <w:lang w:bidi="en-US"/>
        </w:rPr>
        <w:t xml:space="preserve"> medida</w:t>
      </w:r>
      <w:r w:rsidR="00A20EEE">
        <w:rPr>
          <w:rFonts w:ascii="Verdana" w:eastAsia="MS Mincho" w:hAnsi="Verdana"/>
          <w:sz w:val="20"/>
          <w:szCs w:val="20"/>
          <w:lang w:bidi="en-US"/>
        </w:rPr>
        <w:t>s</w:t>
      </w:r>
      <w:r w:rsidRPr="006B0525">
        <w:rPr>
          <w:rFonts w:ascii="Verdana" w:eastAsia="MS Mincho" w:hAnsi="Verdana"/>
          <w:sz w:val="20"/>
          <w:szCs w:val="20"/>
          <w:lang w:bidi="en-US"/>
        </w:rPr>
        <w:t xml:space="preserve"> de rehabilitación a favor de los señores Rodríguez Revolorio y López Calo. </w:t>
      </w:r>
    </w:p>
    <w:p w14:paraId="155EF482" w14:textId="77777777" w:rsidR="00BB6503" w:rsidRPr="006B0525" w:rsidRDefault="00BB6503" w:rsidP="00530549">
      <w:pPr>
        <w:pStyle w:val="Normal1"/>
        <w:widowControl/>
        <w:contextualSpacing/>
        <w:jc w:val="both"/>
        <w:rPr>
          <w:rFonts w:ascii="Verdana" w:eastAsia="MS Mincho" w:hAnsi="Verdana"/>
          <w:b/>
          <w:sz w:val="20"/>
          <w:szCs w:val="20"/>
          <w:lang w:bidi="en-US"/>
        </w:rPr>
      </w:pPr>
    </w:p>
    <w:p w14:paraId="76D6E3C8"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sz w:val="20"/>
          <w:szCs w:val="20"/>
          <w:lang w:bidi="en-US"/>
        </w:rPr>
      </w:pPr>
      <w:r w:rsidRPr="006B0525">
        <w:rPr>
          <w:rFonts w:ascii="Verdana" w:eastAsia="MS Mincho" w:hAnsi="Verdana"/>
          <w:sz w:val="20"/>
          <w:szCs w:val="20"/>
          <w:lang w:bidi="en-US"/>
        </w:rPr>
        <w:t xml:space="preserve">Las </w:t>
      </w:r>
      <w:r w:rsidRPr="006B0525">
        <w:rPr>
          <w:rFonts w:ascii="Verdana" w:eastAsia="MS Mincho" w:hAnsi="Verdana"/>
          <w:b/>
          <w:i/>
          <w:sz w:val="20"/>
          <w:szCs w:val="20"/>
          <w:lang w:bidi="en-US"/>
        </w:rPr>
        <w:t>representantes</w:t>
      </w:r>
      <w:r w:rsidRPr="006B0525">
        <w:rPr>
          <w:rFonts w:ascii="Verdana" w:eastAsia="MS Mincho" w:hAnsi="Verdana"/>
          <w:b/>
          <w:sz w:val="20"/>
          <w:szCs w:val="20"/>
          <w:lang w:bidi="en-US"/>
        </w:rPr>
        <w:t xml:space="preserve"> </w:t>
      </w:r>
      <w:r w:rsidRPr="006B0525">
        <w:rPr>
          <w:rFonts w:ascii="Verdana" w:eastAsia="MS Mincho" w:hAnsi="Verdana"/>
          <w:sz w:val="20"/>
          <w:szCs w:val="20"/>
          <w:lang w:bidi="en-US"/>
        </w:rPr>
        <w:t xml:space="preserve">solicitaron </w:t>
      </w:r>
      <w:r w:rsidRPr="006B0525">
        <w:rPr>
          <w:rFonts w:ascii="Verdana" w:hAnsi="Verdana" w:cs="Arial"/>
          <w:sz w:val="20"/>
          <w:szCs w:val="20"/>
        </w:rPr>
        <w:t xml:space="preserve">a la Corte que ordene al Estado de Guatemala que brinde atención </w:t>
      </w:r>
      <w:r w:rsidRPr="006B0525">
        <w:rPr>
          <w:rFonts w:ascii="Verdana" w:hAnsi="Verdana"/>
          <w:sz w:val="20"/>
          <w:szCs w:val="20"/>
          <w:lang w:val="es-PE"/>
        </w:rPr>
        <w:t xml:space="preserve">médica y psicológica en </w:t>
      </w:r>
      <w:r w:rsidRPr="006B0525">
        <w:rPr>
          <w:rFonts w:ascii="Verdana" w:eastAsia="MS Mincho" w:hAnsi="Verdana"/>
          <w:sz w:val="20"/>
          <w:szCs w:val="20"/>
          <w:lang w:bidi="en-US"/>
        </w:rPr>
        <w:t>centros</w:t>
      </w:r>
      <w:r w:rsidRPr="006B0525">
        <w:rPr>
          <w:rFonts w:ascii="Verdana" w:hAnsi="Verdana"/>
          <w:sz w:val="20"/>
          <w:szCs w:val="20"/>
          <w:lang w:val="es-PE"/>
        </w:rPr>
        <w:t xml:space="preserve"> especializados sin costo adicional y de manera gratuita para las presuntas víctimas sobrevivientes</w:t>
      </w:r>
      <w:r w:rsidR="00BB6503" w:rsidRPr="006B0525">
        <w:rPr>
          <w:rFonts w:ascii="Verdana" w:hAnsi="Verdana"/>
          <w:sz w:val="20"/>
          <w:szCs w:val="20"/>
          <w:lang w:val="es-PE"/>
        </w:rPr>
        <w:t>.</w:t>
      </w:r>
    </w:p>
    <w:p w14:paraId="2CED7794" w14:textId="77777777" w:rsidR="00BB6503" w:rsidRPr="006B0525" w:rsidRDefault="00BB6503" w:rsidP="00530549">
      <w:pPr>
        <w:pStyle w:val="Normal1"/>
        <w:widowControl/>
        <w:contextualSpacing/>
        <w:jc w:val="both"/>
        <w:rPr>
          <w:rFonts w:ascii="Verdana" w:eastAsia="MS Mincho" w:hAnsi="Verdana"/>
          <w:b/>
          <w:sz w:val="20"/>
          <w:szCs w:val="20"/>
          <w:lang w:bidi="en-US"/>
        </w:rPr>
      </w:pPr>
    </w:p>
    <w:p w14:paraId="2D112F6D" w14:textId="77777777" w:rsidR="00BB6503" w:rsidRPr="007B7D1D" w:rsidRDefault="005B0504" w:rsidP="00436D25">
      <w:pPr>
        <w:pStyle w:val="Normal1"/>
        <w:widowControl/>
        <w:numPr>
          <w:ilvl w:val="0"/>
          <w:numId w:val="4"/>
        </w:numPr>
        <w:ind w:left="0" w:firstLine="0"/>
        <w:contextualSpacing/>
        <w:jc w:val="both"/>
        <w:rPr>
          <w:rFonts w:ascii="Verdana" w:eastAsia="MS Mincho" w:hAnsi="Verdana"/>
          <w:b/>
          <w:sz w:val="20"/>
          <w:szCs w:val="20"/>
          <w:lang w:bidi="en-US"/>
        </w:rPr>
      </w:pPr>
      <w:r w:rsidRPr="007B7D1D">
        <w:rPr>
          <w:rFonts w:ascii="Verdana" w:eastAsia="MS Mincho" w:hAnsi="Verdana"/>
          <w:sz w:val="20"/>
          <w:szCs w:val="20"/>
          <w:lang w:bidi="en-US"/>
        </w:rPr>
        <w:t>El</w:t>
      </w:r>
      <w:r w:rsidRPr="007B7D1D">
        <w:rPr>
          <w:rFonts w:ascii="Verdana" w:eastAsia="MS Mincho" w:hAnsi="Verdana"/>
          <w:b/>
          <w:sz w:val="20"/>
          <w:szCs w:val="20"/>
          <w:lang w:bidi="en-US"/>
        </w:rPr>
        <w:t xml:space="preserve"> </w:t>
      </w:r>
      <w:r w:rsidRPr="007B7D1D">
        <w:rPr>
          <w:rFonts w:ascii="Verdana" w:eastAsia="MS Mincho" w:hAnsi="Verdana"/>
          <w:b/>
          <w:i/>
          <w:sz w:val="20"/>
          <w:szCs w:val="20"/>
          <w:lang w:bidi="en-US"/>
        </w:rPr>
        <w:t>Estado</w:t>
      </w:r>
      <w:r w:rsidRPr="007B7D1D">
        <w:rPr>
          <w:rFonts w:ascii="Verdana" w:eastAsia="MS Mincho" w:hAnsi="Verdana"/>
          <w:b/>
          <w:sz w:val="20"/>
          <w:szCs w:val="20"/>
          <w:lang w:bidi="en-US"/>
        </w:rPr>
        <w:t xml:space="preserve"> </w:t>
      </w:r>
      <w:r w:rsidRPr="007B7D1D">
        <w:rPr>
          <w:rFonts w:ascii="Verdana" w:eastAsia="MS Mincho" w:hAnsi="Verdana"/>
          <w:sz w:val="20"/>
          <w:szCs w:val="20"/>
          <w:lang w:bidi="en-US"/>
        </w:rPr>
        <w:t xml:space="preserve">manifestó que ofrece de oficio la atención médica y psicológica a través de los centros de salud públicos, los cuales están al servicio de todos los habitantes del país. </w:t>
      </w:r>
    </w:p>
    <w:p w14:paraId="07552717" w14:textId="77777777" w:rsidR="007B7D1D" w:rsidRPr="007B7D1D" w:rsidRDefault="007B7D1D" w:rsidP="007B7D1D">
      <w:pPr>
        <w:pStyle w:val="Normal1"/>
        <w:widowControl/>
        <w:contextualSpacing/>
        <w:jc w:val="both"/>
        <w:rPr>
          <w:rFonts w:ascii="Verdana" w:eastAsia="MS Mincho" w:hAnsi="Verdana"/>
          <w:b/>
          <w:sz w:val="20"/>
          <w:szCs w:val="20"/>
          <w:lang w:bidi="en-US"/>
        </w:rPr>
      </w:pPr>
    </w:p>
    <w:p w14:paraId="68C96390"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b/>
          <w:sz w:val="20"/>
          <w:szCs w:val="20"/>
          <w:lang w:bidi="en-US"/>
        </w:rPr>
      </w:pPr>
      <w:r w:rsidRPr="006B0525">
        <w:rPr>
          <w:rFonts w:ascii="Verdana" w:eastAsia="MS Mincho" w:hAnsi="Verdana"/>
          <w:sz w:val="20"/>
          <w:szCs w:val="20"/>
          <w:lang w:bidi="en-US"/>
        </w:rPr>
        <w:t>La</w:t>
      </w:r>
      <w:r w:rsidRPr="006B0525">
        <w:rPr>
          <w:rFonts w:ascii="Verdana" w:eastAsia="MS Mincho" w:hAnsi="Verdana"/>
          <w:b/>
          <w:sz w:val="20"/>
          <w:szCs w:val="20"/>
          <w:lang w:bidi="en-US"/>
        </w:rPr>
        <w:t xml:space="preserve"> </w:t>
      </w:r>
      <w:r w:rsidRPr="006B0525">
        <w:rPr>
          <w:rFonts w:ascii="Verdana" w:eastAsia="MS Mincho" w:hAnsi="Verdana"/>
          <w:b/>
          <w:i/>
          <w:iCs/>
          <w:sz w:val="20"/>
          <w:szCs w:val="20"/>
          <w:lang w:bidi="en-US"/>
        </w:rPr>
        <w:t>Corte</w:t>
      </w:r>
      <w:r w:rsidRPr="006B0525">
        <w:rPr>
          <w:rFonts w:ascii="Verdana" w:eastAsia="MS Mincho" w:hAnsi="Verdana"/>
          <w:b/>
          <w:sz w:val="20"/>
          <w:szCs w:val="20"/>
          <w:lang w:bidi="en-US"/>
        </w:rPr>
        <w:t xml:space="preserve"> </w:t>
      </w:r>
      <w:r w:rsidRPr="006B0525">
        <w:rPr>
          <w:rFonts w:ascii="Verdana" w:hAnsi="Verdana"/>
          <w:sz w:val="20"/>
          <w:szCs w:val="20"/>
          <w:lang w:val="es-PE"/>
        </w:rPr>
        <w:t xml:space="preserve">dispone la obligación a cargo del Estado de brindar gratuitamente en Guatemala y de forma inmediata el tratamiento médico y psicológico que requiera el señor Rodríguez Revolorio, previo consentimiento informado, y por el tiempo que sea necesario, incluida la provisión gratuita de medicamentos. </w:t>
      </w:r>
    </w:p>
    <w:p w14:paraId="10FD6CB9" w14:textId="77777777" w:rsidR="00F94D74" w:rsidRPr="006B0525" w:rsidRDefault="00CD152D" w:rsidP="00530549">
      <w:pPr>
        <w:pStyle w:val="Ttulo3"/>
      </w:pPr>
      <w:bookmarkStart w:id="91" w:name="_Toc16270614"/>
      <w:bookmarkStart w:id="92" w:name="_Toc15933775"/>
      <w:bookmarkStart w:id="93" w:name="_Toc15064199"/>
      <w:bookmarkStart w:id="94" w:name="_Toc26177824"/>
      <w:r w:rsidRPr="006B0525">
        <w:t>b</w:t>
      </w:r>
      <w:r w:rsidR="005B0504" w:rsidRPr="006B0525">
        <w:t>.2 Medidas de satisfacción</w:t>
      </w:r>
      <w:bookmarkEnd w:id="91"/>
      <w:bookmarkEnd w:id="92"/>
      <w:bookmarkEnd w:id="93"/>
      <w:bookmarkEnd w:id="94"/>
    </w:p>
    <w:p w14:paraId="6540ADC7" w14:textId="77777777" w:rsidR="003F37A6" w:rsidRPr="006B0525" w:rsidRDefault="003F37A6" w:rsidP="00530549">
      <w:pPr>
        <w:pStyle w:val="Ttulo4"/>
        <w:rPr>
          <w:b/>
          <w:bCs/>
        </w:rPr>
      </w:pPr>
      <w:r w:rsidRPr="006B0525">
        <w:tab/>
      </w:r>
      <w:r w:rsidRPr="006B0525">
        <w:tab/>
        <w:t xml:space="preserve">(i) Publicación de la Sentencia </w:t>
      </w:r>
    </w:p>
    <w:p w14:paraId="7D578A73"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i/>
          <w:sz w:val="20"/>
          <w:szCs w:val="20"/>
          <w:lang w:bidi="en-US"/>
        </w:rPr>
      </w:pPr>
      <w:r w:rsidRPr="006B0525">
        <w:rPr>
          <w:rFonts w:ascii="Verdana" w:hAnsi="Verdana" w:cs="Arial"/>
          <w:sz w:val="20"/>
          <w:szCs w:val="20"/>
        </w:rPr>
        <w:t xml:space="preserve">Las </w:t>
      </w:r>
      <w:r w:rsidRPr="006B0525">
        <w:rPr>
          <w:rFonts w:ascii="Verdana" w:hAnsi="Verdana"/>
          <w:b/>
          <w:i/>
          <w:sz w:val="20"/>
          <w:szCs w:val="20"/>
          <w:lang w:val="es-PE"/>
        </w:rPr>
        <w:t xml:space="preserve">representantes </w:t>
      </w:r>
      <w:r w:rsidRPr="006B0525">
        <w:rPr>
          <w:rFonts w:ascii="Verdana" w:hAnsi="Verdana"/>
          <w:sz w:val="20"/>
          <w:szCs w:val="20"/>
          <w:lang w:val="es-PE"/>
        </w:rPr>
        <w:t xml:space="preserve">solicitaron a la Corte que ordene </w:t>
      </w:r>
      <w:r w:rsidR="00856541">
        <w:rPr>
          <w:rFonts w:ascii="Verdana" w:hAnsi="Verdana"/>
          <w:sz w:val="20"/>
          <w:szCs w:val="20"/>
          <w:lang w:val="es-PE"/>
        </w:rPr>
        <w:t>al Estado la publicación de la S</w:t>
      </w:r>
      <w:r w:rsidRPr="006B0525">
        <w:rPr>
          <w:rFonts w:ascii="Verdana" w:hAnsi="Verdana"/>
          <w:sz w:val="20"/>
          <w:szCs w:val="20"/>
          <w:lang w:val="es-PE"/>
        </w:rPr>
        <w:t xml:space="preserve">entencia íntegra en tres diarios de gran circulación del país, en el Registro Oficial de Guatemala y la elaboración y publicación de un </w:t>
      </w:r>
      <w:r w:rsidRPr="006B0525">
        <w:rPr>
          <w:rFonts w:ascii="Verdana" w:eastAsia="MS Mincho" w:hAnsi="Verdana"/>
          <w:sz w:val="20"/>
          <w:szCs w:val="20"/>
          <w:lang w:bidi="en-US"/>
        </w:rPr>
        <w:t>folleto</w:t>
      </w:r>
      <w:r w:rsidRPr="006B0525">
        <w:rPr>
          <w:rFonts w:ascii="Verdana" w:hAnsi="Verdana"/>
          <w:sz w:val="20"/>
          <w:szCs w:val="20"/>
          <w:lang w:val="es-PE"/>
        </w:rPr>
        <w:t xml:space="preserve"> que resuma lo decidido por la Corte, y </w:t>
      </w:r>
      <w:r w:rsidR="00BB6503" w:rsidRPr="006B0525">
        <w:rPr>
          <w:rFonts w:ascii="Verdana" w:hAnsi="Verdana"/>
          <w:sz w:val="20"/>
          <w:szCs w:val="20"/>
          <w:lang w:val="es-PE"/>
        </w:rPr>
        <w:t xml:space="preserve">que </w:t>
      </w:r>
      <w:r w:rsidRPr="006B0525">
        <w:rPr>
          <w:rFonts w:ascii="Verdana" w:hAnsi="Verdana"/>
          <w:sz w:val="20"/>
          <w:szCs w:val="20"/>
          <w:lang w:val="es-PE"/>
        </w:rPr>
        <w:t>sea publicada en la web oficial del Estado por el lapso de un año</w:t>
      </w:r>
      <w:r w:rsidR="00994A3F" w:rsidRPr="006B0525">
        <w:rPr>
          <w:rFonts w:ascii="Verdana" w:hAnsi="Verdana"/>
          <w:sz w:val="20"/>
          <w:szCs w:val="20"/>
          <w:lang w:val="es-PE"/>
        </w:rPr>
        <w:t>.</w:t>
      </w:r>
      <w:r w:rsidRPr="006B0525">
        <w:rPr>
          <w:rFonts w:ascii="Verdana" w:hAnsi="Verdana"/>
          <w:b/>
          <w:sz w:val="20"/>
          <w:szCs w:val="20"/>
          <w:lang w:val="es-PE"/>
        </w:rPr>
        <w:t xml:space="preserve"> </w:t>
      </w:r>
    </w:p>
    <w:p w14:paraId="226751D8" w14:textId="77777777" w:rsidR="00BB6503" w:rsidRPr="006B0525" w:rsidRDefault="00BB6503" w:rsidP="00530549">
      <w:pPr>
        <w:pStyle w:val="Normal1"/>
        <w:widowControl/>
        <w:contextualSpacing/>
        <w:jc w:val="both"/>
        <w:rPr>
          <w:rFonts w:ascii="Verdana" w:eastAsiaTheme="minorHAnsi" w:hAnsi="Verdana"/>
          <w:b/>
          <w:sz w:val="20"/>
          <w:szCs w:val="20"/>
          <w:lang w:val="es-PE"/>
        </w:rPr>
      </w:pPr>
    </w:p>
    <w:p w14:paraId="70BB8CE1" w14:textId="77777777" w:rsidR="005B0504" w:rsidRPr="006B0525" w:rsidRDefault="005B0504" w:rsidP="00530549">
      <w:pPr>
        <w:pStyle w:val="Normal1"/>
        <w:widowControl/>
        <w:numPr>
          <w:ilvl w:val="0"/>
          <w:numId w:val="4"/>
        </w:numPr>
        <w:ind w:left="0" w:firstLine="0"/>
        <w:contextualSpacing/>
        <w:jc w:val="both"/>
        <w:rPr>
          <w:rFonts w:ascii="Verdana" w:eastAsiaTheme="minorHAnsi" w:hAnsi="Verdana"/>
          <w:b/>
          <w:sz w:val="20"/>
          <w:szCs w:val="20"/>
          <w:lang w:val="es-PE"/>
        </w:rPr>
      </w:pPr>
      <w:r w:rsidRPr="006B0525">
        <w:rPr>
          <w:rFonts w:ascii="Verdana" w:eastAsia="MS Mincho" w:hAnsi="Verdana"/>
          <w:sz w:val="20"/>
          <w:szCs w:val="20"/>
          <w:lang w:bidi="en-US"/>
        </w:rPr>
        <w:t xml:space="preserve">El </w:t>
      </w:r>
      <w:r w:rsidRPr="006B0525">
        <w:rPr>
          <w:rFonts w:ascii="Verdana" w:eastAsia="MS Mincho" w:hAnsi="Verdana"/>
          <w:b/>
          <w:i/>
          <w:sz w:val="20"/>
          <w:szCs w:val="20"/>
          <w:lang w:bidi="en-US"/>
        </w:rPr>
        <w:t>Estado</w:t>
      </w:r>
      <w:r w:rsidRPr="006B0525">
        <w:rPr>
          <w:rFonts w:ascii="Verdana" w:eastAsia="MS Mincho" w:hAnsi="Verdana"/>
          <w:sz w:val="20"/>
          <w:szCs w:val="20"/>
          <w:lang w:bidi="en-US"/>
        </w:rPr>
        <w:t xml:space="preserve"> alegó que</w:t>
      </w:r>
      <w:r w:rsidR="00994A3F" w:rsidRPr="006B0525">
        <w:rPr>
          <w:rFonts w:ascii="Verdana" w:eastAsia="MS Mincho" w:hAnsi="Verdana"/>
          <w:sz w:val="20"/>
          <w:szCs w:val="20"/>
          <w:lang w:bidi="en-US"/>
        </w:rPr>
        <w:t>,</w:t>
      </w:r>
      <w:r w:rsidRPr="006B0525">
        <w:rPr>
          <w:rFonts w:ascii="Verdana" w:eastAsia="MS Mincho" w:hAnsi="Verdana"/>
          <w:sz w:val="20"/>
          <w:szCs w:val="20"/>
          <w:lang w:bidi="en-US"/>
        </w:rPr>
        <w:t xml:space="preserve"> </w:t>
      </w:r>
      <w:r w:rsidRPr="006B0525">
        <w:rPr>
          <w:rFonts w:ascii="Verdana" w:hAnsi="Verdana"/>
          <w:sz w:val="20"/>
          <w:szCs w:val="20"/>
          <w:lang w:val="es-PE"/>
        </w:rPr>
        <w:t>de ser el caso que la Corte lo sentenciar</w:t>
      </w:r>
      <w:r w:rsidR="00994A3F" w:rsidRPr="006B0525">
        <w:rPr>
          <w:rFonts w:ascii="Verdana" w:hAnsi="Verdana"/>
          <w:sz w:val="20"/>
          <w:szCs w:val="20"/>
          <w:lang w:val="es-PE"/>
        </w:rPr>
        <w:t>a esto</w:t>
      </w:r>
      <w:r w:rsidRPr="006B0525">
        <w:rPr>
          <w:rFonts w:ascii="Verdana" w:hAnsi="Verdana"/>
          <w:sz w:val="20"/>
          <w:szCs w:val="20"/>
          <w:lang w:val="es-PE"/>
        </w:rPr>
        <w:t xml:space="preserve"> sería una vulneración a la Convención, toda vez que manifestó su buena fe en la negociación para la suscripción de </w:t>
      </w:r>
      <w:r w:rsidR="00994A3F" w:rsidRPr="006B0525">
        <w:rPr>
          <w:rFonts w:ascii="Verdana" w:hAnsi="Verdana"/>
          <w:sz w:val="20"/>
          <w:szCs w:val="20"/>
          <w:lang w:val="es-PE"/>
        </w:rPr>
        <w:t xml:space="preserve">un acuerdo de solución amistosa. </w:t>
      </w:r>
    </w:p>
    <w:p w14:paraId="66188387" w14:textId="77777777" w:rsidR="00BB6503" w:rsidRPr="006B0525" w:rsidRDefault="00BB6503" w:rsidP="00530549">
      <w:pPr>
        <w:pStyle w:val="Normal1"/>
        <w:widowControl/>
        <w:contextualSpacing/>
        <w:jc w:val="both"/>
        <w:rPr>
          <w:rFonts w:ascii="Verdana" w:hAnsi="Verdana"/>
          <w:b/>
          <w:sz w:val="20"/>
          <w:szCs w:val="20"/>
          <w:lang w:val="es-PE"/>
        </w:rPr>
      </w:pPr>
    </w:p>
    <w:p w14:paraId="557AD28B" w14:textId="77777777" w:rsidR="005B0504" w:rsidRPr="006B0525" w:rsidRDefault="005B0504" w:rsidP="00530549">
      <w:pPr>
        <w:pStyle w:val="Normal1"/>
        <w:widowControl/>
        <w:numPr>
          <w:ilvl w:val="0"/>
          <w:numId w:val="4"/>
        </w:numPr>
        <w:ind w:left="0" w:firstLine="0"/>
        <w:contextualSpacing/>
        <w:jc w:val="both"/>
        <w:rPr>
          <w:rFonts w:ascii="Verdana" w:hAnsi="Verdana"/>
          <w:b/>
          <w:sz w:val="20"/>
          <w:szCs w:val="20"/>
          <w:lang w:val="es-PE"/>
        </w:rPr>
      </w:pPr>
      <w:r w:rsidRPr="006B0525">
        <w:rPr>
          <w:rFonts w:ascii="Verdana" w:hAnsi="Verdana"/>
          <w:sz w:val="20"/>
          <w:szCs w:val="20"/>
          <w:lang w:val="es-PE"/>
        </w:rPr>
        <w:t>La</w:t>
      </w:r>
      <w:r w:rsidRPr="006B0525">
        <w:rPr>
          <w:rFonts w:ascii="Verdana" w:hAnsi="Verdana"/>
          <w:b/>
          <w:sz w:val="20"/>
          <w:szCs w:val="20"/>
          <w:lang w:val="es-PE"/>
        </w:rPr>
        <w:t xml:space="preserve"> </w:t>
      </w:r>
      <w:r w:rsidRPr="006B0525">
        <w:rPr>
          <w:rFonts w:ascii="Verdana" w:hAnsi="Verdana"/>
          <w:b/>
          <w:i/>
          <w:sz w:val="20"/>
          <w:szCs w:val="20"/>
          <w:lang w:val="es-PE"/>
        </w:rPr>
        <w:t xml:space="preserve">Comisión </w:t>
      </w:r>
      <w:r w:rsidRPr="006B0525">
        <w:rPr>
          <w:rFonts w:ascii="Verdana" w:hAnsi="Verdana"/>
          <w:sz w:val="20"/>
          <w:szCs w:val="20"/>
          <w:lang w:val="es-PE"/>
        </w:rPr>
        <w:t xml:space="preserve">no se pronunció sobre este alegato. </w:t>
      </w:r>
    </w:p>
    <w:p w14:paraId="63EC0C0A" w14:textId="77777777" w:rsidR="00BB6503" w:rsidRPr="006B0525" w:rsidRDefault="00BB6503" w:rsidP="00530549">
      <w:pPr>
        <w:pStyle w:val="Normal1"/>
        <w:widowControl/>
        <w:contextualSpacing/>
        <w:jc w:val="both"/>
        <w:rPr>
          <w:rFonts w:ascii="Verdana" w:eastAsiaTheme="minorHAnsi" w:hAnsi="Verdana" w:cs="Arial"/>
          <w:sz w:val="20"/>
          <w:szCs w:val="20"/>
          <w:lang w:val="es-PE"/>
        </w:rPr>
      </w:pPr>
    </w:p>
    <w:p w14:paraId="7196CAE6" w14:textId="77777777" w:rsidR="005B0504" w:rsidRPr="006B0525" w:rsidRDefault="005B0504" w:rsidP="00A12D72">
      <w:pPr>
        <w:pStyle w:val="Normal1"/>
        <w:widowControl/>
        <w:numPr>
          <w:ilvl w:val="0"/>
          <w:numId w:val="4"/>
        </w:numPr>
        <w:ind w:left="0" w:firstLine="0"/>
        <w:contextualSpacing/>
        <w:jc w:val="both"/>
        <w:rPr>
          <w:rFonts w:ascii="Verdana" w:eastAsiaTheme="minorHAnsi" w:hAnsi="Verdana" w:cs="Arial"/>
          <w:sz w:val="20"/>
          <w:szCs w:val="20"/>
          <w:lang w:val="es-PE"/>
        </w:rPr>
      </w:pPr>
      <w:r w:rsidRPr="006B0525">
        <w:rPr>
          <w:rFonts w:ascii="Verdana" w:eastAsia="MS Mincho" w:hAnsi="Verdana"/>
          <w:sz w:val="20"/>
          <w:szCs w:val="20"/>
          <w:lang w:bidi="en-US"/>
        </w:rPr>
        <w:t>La</w:t>
      </w:r>
      <w:r w:rsidRPr="006B0525">
        <w:rPr>
          <w:rFonts w:ascii="Verdana" w:eastAsia="MS Mincho" w:hAnsi="Verdana"/>
          <w:b/>
          <w:sz w:val="20"/>
          <w:szCs w:val="20"/>
          <w:lang w:bidi="en-US"/>
        </w:rPr>
        <w:t xml:space="preserve"> </w:t>
      </w:r>
      <w:r w:rsidRPr="006B0525">
        <w:rPr>
          <w:rFonts w:ascii="Verdana" w:hAnsi="Verdana"/>
          <w:b/>
          <w:i/>
          <w:sz w:val="20"/>
          <w:szCs w:val="20"/>
          <w:lang w:val="es-PE"/>
        </w:rPr>
        <w:t>Corte</w:t>
      </w:r>
      <w:r w:rsidRPr="006B0525">
        <w:rPr>
          <w:rFonts w:ascii="Verdana" w:eastAsia="MS Mincho" w:hAnsi="Verdana"/>
          <w:b/>
          <w:sz w:val="20"/>
          <w:szCs w:val="20"/>
          <w:lang w:val="es-PE" w:bidi="en-US"/>
        </w:rPr>
        <w:t xml:space="preserve"> </w:t>
      </w:r>
      <w:r w:rsidRPr="006B0525">
        <w:rPr>
          <w:rFonts w:ascii="Verdana" w:hAnsi="Verdana" w:cs="Arial"/>
          <w:sz w:val="20"/>
          <w:szCs w:val="20"/>
          <w:lang w:val="es-PE"/>
        </w:rPr>
        <w:t>dispone, como lo ha hecho en otros casos</w:t>
      </w:r>
      <w:r w:rsidRPr="006B0525">
        <w:rPr>
          <w:rStyle w:val="Refdenotaalpie"/>
          <w:rFonts w:ascii="Verdana" w:hAnsi="Verdana" w:cs="Arial"/>
          <w:sz w:val="20"/>
          <w:szCs w:val="20"/>
          <w:lang w:val="es-PE"/>
        </w:rPr>
        <w:footnoteReference w:id="189"/>
      </w:r>
      <w:r w:rsidRPr="006B0525">
        <w:rPr>
          <w:rFonts w:ascii="Verdana" w:hAnsi="Verdana"/>
          <w:sz w:val="20"/>
          <w:szCs w:val="20"/>
          <w:lang w:val="es-PE"/>
        </w:rPr>
        <w:t xml:space="preserve">, que el Estado publique, en un plazo de seis meses, contado a partir de </w:t>
      </w:r>
      <w:r w:rsidRPr="006B0525">
        <w:rPr>
          <w:rFonts w:ascii="Verdana" w:eastAsia="MS Mincho" w:hAnsi="Verdana"/>
          <w:sz w:val="20"/>
          <w:szCs w:val="20"/>
          <w:lang w:bidi="en-US"/>
        </w:rPr>
        <w:t>la</w:t>
      </w:r>
      <w:r w:rsidRPr="006B0525">
        <w:rPr>
          <w:rFonts w:ascii="Verdana" w:hAnsi="Verdana"/>
          <w:sz w:val="20"/>
          <w:szCs w:val="20"/>
          <w:lang w:val="es-PE"/>
        </w:rPr>
        <w:t xml:space="preserve"> notificación de la presente Sentencia: a) el resumen oficial de la presente Sentencia elaborado por la Corte, por una sola vez, en un diario de amplia </w:t>
      </w:r>
      <w:r w:rsidRPr="006B0525">
        <w:rPr>
          <w:rFonts w:ascii="Verdana" w:eastAsia="MS Mincho" w:hAnsi="Verdana"/>
          <w:sz w:val="20"/>
          <w:szCs w:val="20"/>
          <w:lang w:bidi="en-US"/>
        </w:rPr>
        <w:t>circulación</w:t>
      </w:r>
      <w:r w:rsidRPr="006B0525">
        <w:rPr>
          <w:rFonts w:ascii="Verdana" w:hAnsi="Verdana"/>
          <w:sz w:val="20"/>
          <w:szCs w:val="20"/>
          <w:lang w:val="es-PE"/>
        </w:rPr>
        <w:t xml:space="preserve"> nacional y en el diario oficial en un tamaño de letra legible y adecuado, y b) la presente Sentencia en su integridad, disponible al menos por un período de un año, </w:t>
      </w:r>
      <w:r w:rsidR="00A12D72" w:rsidRPr="006B0525">
        <w:rPr>
          <w:rFonts w:ascii="Verdana" w:hAnsi="Verdana"/>
          <w:sz w:val="20"/>
          <w:szCs w:val="20"/>
          <w:lang w:val="es-PE"/>
        </w:rPr>
        <w:t xml:space="preserve">en un sitio </w:t>
      </w:r>
      <w:r w:rsidR="00A12D72" w:rsidRPr="006B0525">
        <w:rPr>
          <w:rFonts w:ascii="Verdana" w:hAnsi="Verdana"/>
          <w:i/>
          <w:sz w:val="20"/>
          <w:szCs w:val="20"/>
          <w:lang w:val="es-PE"/>
        </w:rPr>
        <w:t>web</w:t>
      </w:r>
      <w:r w:rsidR="00A12D72" w:rsidRPr="006B0525">
        <w:rPr>
          <w:rFonts w:ascii="Verdana" w:hAnsi="Verdana"/>
          <w:sz w:val="20"/>
          <w:szCs w:val="20"/>
          <w:lang w:val="es-PE"/>
        </w:rPr>
        <w:t xml:space="preserve"> oficial del Estado</w:t>
      </w:r>
      <w:r w:rsidRPr="006B0525">
        <w:rPr>
          <w:rFonts w:ascii="Verdana" w:hAnsi="Verdana"/>
          <w:sz w:val="20"/>
          <w:szCs w:val="20"/>
          <w:lang w:val="es-PE"/>
        </w:rPr>
        <w:t xml:space="preserve">. El Estado deberá informar de forma inmediata a este Tribunal una vez que proceda a realizar cada una </w:t>
      </w:r>
      <w:r w:rsidRPr="006B0525">
        <w:rPr>
          <w:rFonts w:ascii="Verdana" w:hAnsi="Verdana"/>
          <w:sz w:val="20"/>
          <w:szCs w:val="20"/>
          <w:lang w:val="es-PE"/>
        </w:rPr>
        <w:lastRenderedPageBreak/>
        <w:t>de las publicaciones dispuestas, independientemente del plazo de un año para presentar su primer informe disp</w:t>
      </w:r>
      <w:r w:rsidR="00264747">
        <w:rPr>
          <w:rFonts w:ascii="Verdana" w:hAnsi="Verdana"/>
          <w:sz w:val="20"/>
          <w:szCs w:val="20"/>
          <w:lang w:val="es-PE"/>
        </w:rPr>
        <w:t>uesto en el punto resolutivo 9</w:t>
      </w:r>
      <w:r w:rsidRPr="006B0525">
        <w:rPr>
          <w:rFonts w:ascii="Verdana" w:hAnsi="Verdana"/>
          <w:sz w:val="20"/>
          <w:szCs w:val="20"/>
          <w:lang w:val="es-PE"/>
        </w:rPr>
        <w:t xml:space="preserve"> de la presente Sentencia.</w:t>
      </w:r>
    </w:p>
    <w:p w14:paraId="40F2CFA4" w14:textId="77777777" w:rsidR="005B0504" w:rsidRPr="006B0525" w:rsidRDefault="003F37A6" w:rsidP="00530549">
      <w:pPr>
        <w:pStyle w:val="Ttulo4"/>
        <w:ind w:left="1440"/>
      </w:pPr>
      <w:r w:rsidRPr="006B0525">
        <w:t>(</w:t>
      </w:r>
      <w:proofErr w:type="spellStart"/>
      <w:r w:rsidRPr="006B0525">
        <w:t>ii</w:t>
      </w:r>
      <w:proofErr w:type="spellEnd"/>
      <w:r w:rsidRPr="006B0525">
        <w:t xml:space="preserve">) </w:t>
      </w:r>
      <w:r w:rsidR="005B0504" w:rsidRPr="006B0525">
        <w:t>Acto público de reconocimiento de responsabilidad internacional</w:t>
      </w:r>
    </w:p>
    <w:p w14:paraId="3E14AA9C" w14:textId="77777777" w:rsidR="003800CF" w:rsidRPr="007B7D1D" w:rsidRDefault="005B0504" w:rsidP="00436D25">
      <w:pPr>
        <w:pStyle w:val="Normal1"/>
        <w:widowControl/>
        <w:numPr>
          <w:ilvl w:val="0"/>
          <w:numId w:val="4"/>
        </w:numPr>
        <w:ind w:left="0" w:firstLine="0"/>
        <w:contextualSpacing/>
        <w:jc w:val="both"/>
        <w:rPr>
          <w:rFonts w:ascii="Verdana" w:eastAsia="MS Mincho" w:hAnsi="Verdana"/>
          <w:b/>
          <w:sz w:val="20"/>
          <w:szCs w:val="20"/>
          <w:lang w:bidi="en-US"/>
        </w:rPr>
      </w:pPr>
      <w:r w:rsidRPr="007B7D1D">
        <w:rPr>
          <w:rFonts w:ascii="Verdana" w:eastAsia="MS Mincho" w:hAnsi="Verdana"/>
          <w:sz w:val="20"/>
          <w:szCs w:val="20"/>
          <w:lang w:bidi="en-US"/>
        </w:rPr>
        <w:t xml:space="preserve">Las </w:t>
      </w:r>
      <w:r w:rsidRPr="007B7D1D">
        <w:rPr>
          <w:rFonts w:ascii="Verdana" w:eastAsia="MS Mincho" w:hAnsi="Verdana"/>
          <w:b/>
          <w:i/>
          <w:sz w:val="20"/>
          <w:szCs w:val="20"/>
          <w:lang w:bidi="en-US"/>
        </w:rPr>
        <w:t xml:space="preserve">representantes </w:t>
      </w:r>
      <w:r w:rsidRPr="007B7D1D">
        <w:rPr>
          <w:rFonts w:ascii="Verdana" w:eastAsia="MS Mincho" w:hAnsi="Verdana"/>
          <w:sz w:val="20"/>
          <w:szCs w:val="20"/>
          <w:lang w:bidi="en-US"/>
        </w:rPr>
        <w:t>solicitaron</w:t>
      </w:r>
      <w:r w:rsidRPr="007B7D1D">
        <w:rPr>
          <w:rFonts w:ascii="Verdana" w:eastAsia="MS Mincho" w:hAnsi="Verdana"/>
          <w:b/>
          <w:i/>
          <w:sz w:val="20"/>
          <w:szCs w:val="20"/>
          <w:lang w:bidi="en-US"/>
        </w:rPr>
        <w:t xml:space="preserve"> </w:t>
      </w:r>
      <w:r w:rsidRPr="007B7D1D">
        <w:rPr>
          <w:rFonts w:ascii="Verdana" w:eastAsia="MS Mincho" w:hAnsi="Verdana"/>
          <w:sz w:val="20"/>
          <w:szCs w:val="20"/>
          <w:lang w:bidi="en-US"/>
        </w:rPr>
        <w:t xml:space="preserve">que se ordenara al Estado la realización de un acto </w:t>
      </w:r>
      <w:r w:rsidRPr="007B7D1D">
        <w:rPr>
          <w:rFonts w:ascii="Verdana" w:hAnsi="Verdana" w:cs="Arial"/>
          <w:sz w:val="20"/>
          <w:szCs w:val="20"/>
        </w:rPr>
        <w:t xml:space="preserve">de reconocimiento de </w:t>
      </w:r>
      <w:r w:rsidRPr="007B7D1D">
        <w:rPr>
          <w:rFonts w:ascii="Verdana" w:hAnsi="Verdana"/>
          <w:sz w:val="20"/>
          <w:szCs w:val="20"/>
          <w:lang w:val="es-PE"/>
        </w:rPr>
        <w:t>responsabilidad int</w:t>
      </w:r>
      <w:r w:rsidR="003800CF" w:rsidRPr="007B7D1D">
        <w:rPr>
          <w:rFonts w:ascii="Verdana" w:hAnsi="Verdana"/>
          <w:sz w:val="20"/>
          <w:szCs w:val="20"/>
          <w:lang w:val="es-PE"/>
        </w:rPr>
        <w:t>ernacional y disculpas públicas</w:t>
      </w:r>
      <w:r w:rsidR="008F31D6" w:rsidRPr="007B7D1D">
        <w:rPr>
          <w:rFonts w:ascii="Verdana" w:hAnsi="Verdana"/>
          <w:sz w:val="20"/>
          <w:szCs w:val="20"/>
          <w:lang w:val="es-PE"/>
        </w:rPr>
        <w:t xml:space="preserve"> </w:t>
      </w:r>
      <w:r w:rsidR="003800CF" w:rsidRPr="007B7D1D">
        <w:rPr>
          <w:rFonts w:ascii="Verdana" w:hAnsi="Verdana"/>
          <w:sz w:val="20"/>
          <w:szCs w:val="20"/>
          <w:lang w:val="es-PE"/>
        </w:rPr>
        <w:t>a través</w:t>
      </w:r>
      <w:r w:rsidRPr="007B7D1D">
        <w:rPr>
          <w:rFonts w:ascii="Verdana" w:hAnsi="Verdana"/>
          <w:sz w:val="20"/>
          <w:szCs w:val="20"/>
          <w:lang w:val="es-PE"/>
        </w:rPr>
        <w:t xml:space="preserve"> de la Administración de Justicia y del Minister</w:t>
      </w:r>
      <w:r w:rsidR="003800CF" w:rsidRPr="007B7D1D">
        <w:rPr>
          <w:rFonts w:ascii="Verdana" w:hAnsi="Verdana"/>
          <w:sz w:val="20"/>
          <w:szCs w:val="20"/>
          <w:lang w:val="es-PE"/>
        </w:rPr>
        <w:t>io de Justicia</w:t>
      </w:r>
      <w:r w:rsidR="00A20EEE" w:rsidRPr="007B7D1D">
        <w:rPr>
          <w:rFonts w:ascii="Verdana" w:hAnsi="Verdana"/>
          <w:sz w:val="20"/>
          <w:szCs w:val="20"/>
          <w:lang w:val="es-PE"/>
        </w:rPr>
        <w:t>.</w:t>
      </w:r>
      <w:r w:rsidR="003800CF" w:rsidRPr="007B7D1D">
        <w:rPr>
          <w:rFonts w:ascii="Verdana" w:hAnsi="Verdana"/>
          <w:sz w:val="20"/>
          <w:szCs w:val="20"/>
          <w:lang w:val="es-PE"/>
        </w:rPr>
        <w:t xml:space="preserve"> </w:t>
      </w:r>
    </w:p>
    <w:p w14:paraId="39E1E8F5" w14:textId="77777777" w:rsidR="007B7D1D" w:rsidRPr="007B7D1D" w:rsidRDefault="007B7D1D" w:rsidP="007B7D1D">
      <w:pPr>
        <w:pStyle w:val="Normal1"/>
        <w:widowControl/>
        <w:contextualSpacing/>
        <w:jc w:val="both"/>
        <w:rPr>
          <w:rFonts w:ascii="Verdana" w:eastAsia="MS Mincho" w:hAnsi="Verdana"/>
          <w:b/>
          <w:sz w:val="20"/>
          <w:szCs w:val="20"/>
          <w:lang w:bidi="en-US"/>
        </w:rPr>
      </w:pPr>
    </w:p>
    <w:p w14:paraId="2AB2C104"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b/>
          <w:sz w:val="20"/>
          <w:szCs w:val="20"/>
          <w:lang w:bidi="en-US"/>
        </w:rPr>
      </w:pPr>
      <w:r w:rsidRPr="006B0525">
        <w:rPr>
          <w:rFonts w:ascii="Verdana" w:eastAsia="MS Mincho" w:hAnsi="Verdana"/>
          <w:sz w:val="20"/>
          <w:szCs w:val="20"/>
          <w:lang w:bidi="en-US"/>
        </w:rPr>
        <w:t>El</w:t>
      </w:r>
      <w:r w:rsidRPr="006B0525">
        <w:rPr>
          <w:rFonts w:ascii="Verdana" w:eastAsia="MS Mincho" w:hAnsi="Verdana"/>
          <w:b/>
          <w:sz w:val="20"/>
          <w:szCs w:val="20"/>
          <w:lang w:bidi="en-US"/>
        </w:rPr>
        <w:t xml:space="preserve"> </w:t>
      </w:r>
      <w:r w:rsidRPr="006B0525">
        <w:rPr>
          <w:rFonts w:ascii="Verdana" w:eastAsia="MS Mincho" w:hAnsi="Verdana"/>
          <w:b/>
          <w:i/>
          <w:sz w:val="20"/>
          <w:szCs w:val="20"/>
          <w:lang w:bidi="en-US"/>
        </w:rPr>
        <w:t>Estado</w:t>
      </w:r>
      <w:r w:rsidRPr="006B0525">
        <w:rPr>
          <w:rFonts w:ascii="Verdana" w:eastAsia="MS Mincho" w:hAnsi="Verdana"/>
          <w:b/>
          <w:sz w:val="20"/>
          <w:szCs w:val="20"/>
          <w:lang w:bidi="en-US"/>
        </w:rPr>
        <w:t xml:space="preserve"> </w:t>
      </w:r>
      <w:r w:rsidRPr="006B0525">
        <w:rPr>
          <w:rFonts w:ascii="Verdana" w:hAnsi="Verdana"/>
          <w:sz w:val="20"/>
          <w:szCs w:val="20"/>
          <w:lang w:val="es-PE"/>
        </w:rPr>
        <w:t xml:space="preserve">alegó que no procederá a la realización del acto público ni la colocación de la placa, debido a que no existe </w:t>
      </w:r>
      <w:r w:rsidRPr="006B0525">
        <w:rPr>
          <w:rFonts w:ascii="Verdana" w:eastAsia="MS Mincho" w:hAnsi="Verdana"/>
          <w:sz w:val="20"/>
          <w:szCs w:val="20"/>
          <w:lang w:bidi="en-US"/>
        </w:rPr>
        <w:t>responsabilidad</w:t>
      </w:r>
      <w:r w:rsidRPr="006B0525">
        <w:rPr>
          <w:rFonts w:ascii="Verdana" w:hAnsi="Verdana"/>
          <w:sz w:val="20"/>
          <w:szCs w:val="20"/>
          <w:lang w:val="es-PE"/>
        </w:rPr>
        <w:t xml:space="preserve"> internacional en que haya incurrido</w:t>
      </w:r>
      <w:r w:rsidR="00A20EEE">
        <w:rPr>
          <w:rFonts w:ascii="Verdana" w:hAnsi="Verdana"/>
          <w:sz w:val="20"/>
          <w:szCs w:val="20"/>
          <w:lang w:val="es-PE"/>
        </w:rPr>
        <w:t>.</w:t>
      </w:r>
      <w:r w:rsidR="00A20EEE">
        <w:rPr>
          <w:rFonts w:ascii="Verdana" w:hAnsi="Verdana"/>
          <w:b/>
          <w:sz w:val="20"/>
          <w:szCs w:val="20"/>
          <w:lang w:val="es-PE"/>
        </w:rPr>
        <w:t xml:space="preserve"> </w:t>
      </w:r>
    </w:p>
    <w:p w14:paraId="26A39145" w14:textId="77777777" w:rsidR="003800CF" w:rsidRPr="006B0525" w:rsidRDefault="003800CF" w:rsidP="00530549">
      <w:pPr>
        <w:pStyle w:val="Normal1"/>
        <w:widowControl/>
        <w:contextualSpacing/>
        <w:jc w:val="both"/>
        <w:rPr>
          <w:rFonts w:ascii="Verdana" w:eastAsiaTheme="minorHAnsi" w:hAnsi="Verdana"/>
          <w:b/>
          <w:sz w:val="20"/>
          <w:szCs w:val="20"/>
          <w:lang w:val="es-PE"/>
        </w:rPr>
      </w:pPr>
    </w:p>
    <w:p w14:paraId="6C08BD3C" w14:textId="77777777" w:rsidR="005B0504" w:rsidRPr="006B0525" w:rsidRDefault="005B0504" w:rsidP="00530549">
      <w:pPr>
        <w:pStyle w:val="Normal1"/>
        <w:widowControl/>
        <w:numPr>
          <w:ilvl w:val="0"/>
          <w:numId w:val="4"/>
        </w:numPr>
        <w:ind w:left="0" w:firstLine="0"/>
        <w:contextualSpacing/>
        <w:jc w:val="both"/>
        <w:rPr>
          <w:rFonts w:ascii="Verdana" w:eastAsiaTheme="minorHAnsi" w:hAnsi="Verdana"/>
          <w:b/>
          <w:sz w:val="20"/>
          <w:szCs w:val="20"/>
          <w:lang w:val="es-PE"/>
        </w:rPr>
      </w:pPr>
      <w:r w:rsidRPr="006B0525">
        <w:rPr>
          <w:rFonts w:ascii="Verdana" w:hAnsi="Verdana"/>
          <w:sz w:val="20"/>
          <w:szCs w:val="20"/>
          <w:lang w:val="es-PE"/>
        </w:rPr>
        <w:t>La</w:t>
      </w:r>
      <w:r w:rsidRPr="006B0525">
        <w:rPr>
          <w:rFonts w:ascii="Verdana" w:hAnsi="Verdana"/>
          <w:b/>
          <w:sz w:val="20"/>
          <w:szCs w:val="20"/>
          <w:lang w:val="es-PE"/>
        </w:rPr>
        <w:t xml:space="preserve"> </w:t>
      </w:r>
      <w:r w:rsidRPr="006B0525">
        <w:rPr>
          <w:rFonts w:ascii="Verdana" w:hAnsi="Verdana"/>
          <w:b/>
          <w:i/>
          <w:sz w:val="20"/>
          <w:szCs w:val="20"/>
          <w:lang w:val="es-PE"/>
        </w:rPr>
        <w:t xml:space="preserve">Comisión </w:t>
      </w:r>
      <w:r w:rsidRPr="006B0525">
        <w:rPr>
          <w:rFonts w:ascii="Verdana" w:hAnsi="Verdana"/>
          <w:sz w:val="20"/>
          <w:szCs w:val="20"/>
          <w:lang w:val="es-PE"/>
        </w:rPr>
        <w:t xml:space="preserve">no se </w:t>
      </w:r>
      <w:r w:rsidRPr="006B0525">
        <w:rPr>
          <w:rFonts w:ascii="Verdana" w:eastAsia="MS Mincho" w:hAnsi="Verdana"/>
          <w:sz w:val="20"/>
          <w:szCs w:val="20"/>
          <w:lang w:bidi="en-US"/>
        </w:rPr>
        <w:t>pronunció</w:t>
      </w:r>
      <w:r w:rsidRPr="006B0525">
        <w:rPr>
          <w:rFonts w:ascii="Verdana" w:hAnsi="Verdana"/>
          <w:sz w:val="20"/>
          <w:szCs w:val="20"/>
          <w:lang w:val="es-PE"/>
        </w:rPr>
        <w:t xml:space="preserve"> sobre este alegato. </w:t>
      </w:r>
    </w:p>
    <w:p w14:paraId="26509757" w14:textId="77777777" w:rsidR="003800CF" w:rsidRPr="006B0525" w:rsidRDefault="003800CF" w:rsidP="00530549">
      <w:pPr>
        <w:pStyle w:val="Normal1"/>
        <w:widowControl/>
        <w:contextualSpacing/>
        <w:jc w:val="both"/>
        <w:rPr>
          <w:rFonts w:ascii="Verdana" w:hAnsi="Verdana"/>
          <w:b/>
          <w:sz w:val="20"/>
          <w:szCs w:val="20"/>
          <w:lang w:val="es-PE"/>
        </w:rPr>
      </w:pPr>
    </w:p>
    <w:p w14:paraId="7CCAB7D9" w14:textId="77777777" w:rsidR="00AC00A6" w:rsidRPr="008510E6" w:rsidRDefault="005B0504" w:rsidP="00AC00A6">
      <w:pPr>
        <w:pStyle w:val="Normal1"/>
        <w:widowControl/>
        <w:numPr>
          <w:ilvl w:val="0"/>
          <w:numId w:val="4"/>
        </w:numPr>
        <w:ind w:left="0" w:firstLine="0"/>
        <w:contextualSpacing/>
        <w:jc w:val="both"/>
        <w:rPr>
          <w:rFonts w:ascii="Verdana" w:hAnsi="Verdana"/>
          <w:b/>
          <w:sz w:val="20"/>
          <w:szCs w:val="20"/>
          <w:lang w:val="es-PE"/>
        </w:rPr>
      </w:pPr>
      <w:r w:rsidRPr="006B0525">
        <w:rPr>
          <w:rFonts w:ascii="Verdana" w:eastAsia="MS Mincho" w:hAnsi="Verdana"/>
          <w:sz w:val="20"/>
          <w:szCs w:val="20"/>
          <w:lang w:bidi="en-US"/>
        </w:rPr>
        <w:t>La</w:t>
      </w:r>
      <w:r w:rsidRPr="006B0525">
        <w:rPr>
          <w:rFonts w:ascii="Verdana" w:eastAsia="MS Mincho" w:hAnsi="Verdana"/>
          <w:b/>
          <w:sz w:val="20"/>
          <w:szCs w:val="20"/>
          <w:lang w:bidi="en-US"/>
        </w:rPr>
        <w:t xml:space="preserve"> </w:t>
      </w:r>
      <w:r w:rsidRPr="006B0525">
        <w:rPr>
          <w:rFonts w:ascii="Verdana" w:hAnsi="Verdana"/>
          <w:b/>
          <w:i/>
          <w:sz w:val="20"/>
          <w:szCs w:val="20"/>
          <w:lang w:val="es-PE"/>
        </w:rPr>
        <w:t>Corte</w:t>
      </w:r>
      <w:r w:rsidRPr="006B0525">
        <w:rPr>
          <w:rFonts w:ascii="Verdana" w:eastAsia="MS Mincho" w:hAnsi="Verdana"/>
          <w:b/>
          <w:sz w:val="20"/>
          <w:szCs w:val="20"/>
          <w:lang w:val="es-PE" w:bidi="en-US"/>
        </w:rPr>
        <w:t xml:space="preserve"> </w:t>
      </w:r>
      <w:r w:rsidRPr="006B0525">
        <w:rPr>
          <w:rFonts w:ascii="Verdana" w:hAnsi="Verdana"/>
          <w:sz w:val="20"/>
          <w:szCs w:val="20"/>
          <w:lang w:val="es-PE"/>
        </w:rPr>
        <w:t>considera que la emisión de la presente Sentencia y las reparaciones ordenadas en la misma resultan suficientes y adecuadas.</w:t>
      </w:r>
    </w:p>
    <w:p w14:paraId="07FBF878" w14:textId="77777777" w:rsidR="008510E6" w:rsidRPr="006B0525" w:rsidRDefault="008510E6" w:rsidP="008510E6">
      <w:pPr>
        <w:pStyle w:val="Ttulo3"/>
      </w:pPr>
      <w:bookmarkStart w:id="95" w:name="_Toc26177825"/>
      <w:r w:rsidRPr="006B0525">
        <w:t>b.</w:t>
      </w:r>
      <w:r>
        <w:t>3</w:t>
      </w:r>
      <w:r w:rsidRPr="006B0525">
        <w:t xml:space="preserve"> </w:t>
      </w:r>
      <w:r>
        <w:t>Garantías de no repetición</w:t>
      </w:r>
      <w:bookmarkEnd w:id="95"/>
    </w:p>
    <w:p w14:paraId="6877D827" w14:textId="77777777" w:rsidR="008510E6" w:rsidRPr="008510E6" w:rsidRDefault="008510E6" w:rsidP="002F21AD">
      <w:pPr>
        <w:pStyle w:val="Normal1"/>
        <w:widowControl/>
        <w:numPr>
          <w:ilvl w:val="0"/>
          <w:numId w:val="4"/>
        </w:numPr>
        <w:ind w:left="0" w:firstLine="0"/>
        <w:contextualSpacing/>
        <w:jc w:val="both"/>
        <w:rPr>
          <w:rFonts w:ascii="Verdana" w:hAnsi="Verdana"/>
          <w:sz w:val="20"/>
          <w:szCs w:val="20"/>
          <w:lang w:val="es-PE"/>
        </w:rPr>
      </w:pPr>
      <w:r w:rsidRPr="008510E6">
        <w:rPr>
          <w:rFonts w:ascii="Verdana" w:hAnsi="Verdana"/>
          <w:sz w:val="20"/>
          <w:szCs w:val="20"/>
          <w:lang w:val="es-PE"/>
        </w:rPr>
        <w:t xml:space="preserve">Las </w:t>
      </w:r>
      <w:r w:rsidRPr="008510E6">
        <w:rPr>
          <w:rFonts w:ascii="Verdana" w:eastAsia="MS Mincho" w:hAnsi="Verdana"/>
          <w:b/>
          <w:i/>
          <w:sz w:val="20"/>
          <w:szCs w:val="20"/>
          <w:lang w:bidi="en-US"/>
        </w:rPr>
        <w:t>representantes</w:t>
      </w:r>
      <w:r w:rsidRPr="008510E6">
        <w:rPr>
          <w:rFonts w:ascii="Verdana" w:eastAsia="MS Mincho" w:hAnsi="Verdana"/>
          <w:i/>
          <w:sz w:val="20"/>
          <w:szCs w:val="20"/>
          <w:lang w:bidi="en-US"/>
        </w:rPr>
        <w:t xml:space="preserve"> </w:t>
      </w:r>
      <w:r w:rsidRPr="008510E6">
        <w:rPr>
          <w:rFonts w:ascii="Verdana" w:eastAsia="MS Mincho" w:hAnsi="Verdana"/>
          <w:sz w:val="20"/>
          <w:szCs w:val="20"/>
          <w:lang w:bidi="en-US"/>
        </w:rPr>
        <w:t xml:space="preserve">solicitaron que se ordenara al Estado que se adecúen </w:t>
      </w:r>
      <w:r w:rsidRPr="008510E6">
        <w:rPr>
          <w:rFonts w:ascii="Verdana" w:hAnsi="Verdana"/>
          <w:sz w:val="20"/>
          <w:szCs w:val="20"/>
          <w:lang w:val="es-PE"/>
        </w:rPr>
        <w:t xml:space="preserve">las condiciones carcelarias a las normas internacionales de </w:t>
      </w:r>
      <w:r w:rsidRPr="002F21AD">
        <w:rPr>
          <w:rFonts w:ascii="Verdana" w:eastAsia="MS Mincho" w:hAnsi="Verdana"/>
          <w:sz w:val="20"/>
          <w:szCs w:val="20"/>
          <w:lang w:bidi="en-US"/>
        </w:rPr>
        <w:t>derechos</w:t>
      </w:r>
      <w:r w:rsidRPr="008510E6">
        <w:rPr>
          <w:rFonts w:ascii="Verdana" w:hAnsi="Verdana"/>
          <w:sz w:val="20"/>
          <w:szCs w:val="20"/>
          <w:lang w:val="es-PE"/>
        </w:rPr>
        <w:t xml:space="preserve"> humanos, garantizándoles atención médica-sanitaria, mejores condiciones de salud, régimen de visitas, espacio físico adecuado para alojar a los individuos privados de libertad con servicios sanitarios y duchas en buen estado de funcionamiento, acceso a luz solar y aire libre. </w:t>
      </w:r>
    </w:p>
    <w:p w14:paraId="58AC31B9" w14:textId="77777777" w:rsidR="008510E6" w:rsidRDefault="008510E6" w:rsidP="008510E6">
      <w:pPr>
        <w:pStyle w:val="Normal1"/>
        <w:widowControl/>
        <w:contextualSpacing/>
        <w:jc w:val="both"/>
        <w:rPr>
          <w:rFonts w:ascii="Verdana" w:hAnsi="Verdana"/>
          <w:b/>
          <w:sz w:val="20"/>
          <w:szCs w:val="20"/>
          <w:lang w:val="es-PE"/>
        </w:rPr>
      </w:pPr>
    </w:p>
    <w:p w14:paraId="60FC7313" w14:textId="77777777" w:rsidR="008510E6" w:rsidRDefault="008510E6" w:rsidP="002F21AD">
      <w:pPr>
        <w:pStyle w:val="Normal1"/>
        <w:widowControl/>
        <w:numPr>
          <w:ilvl w:val="0"/>
          <w:numId w:val="4"/>
        </w:numPr>
        <w:ind w:left="0" w:firstLine="0"/>
        <w:contextualSpacing/>
        <w:jc w:val="both"/>
        <w:rPr>
          <w:rFonts w:ascii="Verdana" w:hAnsi="Verdana"/>
          <w:b/>
          <w:sz w:val="20"/>
          <w:szCs w:val="20"/>
          <w:lang w:val="es-PE"/>
        </w:rPr>
      </w:pPr>
      <w:r w:rsidRPr="006B0525">
        <w:rPr>
          <w:rFonts w:ascii="Verdana" w:hAnsi="Verdana"/>
          <w:sz w:val="20"/>
          <w:szCs w:val="20"/>
          <w:lang w:val="es-PE"/>
        </w:rPr>
        <w:t>El</w:t>
      </w:r>
      <w:r w:rsidRPr="006B0525">
        <w:rPr>
          <w:rFonts w:ascii="Verdana" w:hAnsi="Verdana"/>
          <w:b/>
          <w:i/>
          <w:sz w:val="20"/>
          <w:szCs w:val="20"/>
          <w:lang w:val="es-PE"/>
        </w:rPr>
        <w:t xml:space="preserve"> Estado</w:t>
      </w:r>
      <w:r w:rsidRPr="006B0525">
        <w:rPr>
          <w:rFonts w:ascii="Verdana" w:hAnsi="Verdana"/>
          <w:sz w:val="20"/>
          <w:szCs w:val="20"/>
          <w:lang w:val="es-PE"/>
        </w:rPr>
        <w:t xml:space="preserve"> alegó que</w:t>
      </w:r>
      <w:r>
        <w:rPr>
          <w:rFonts w:ascii="Verdana" w:hAnsi="Verdana"/>
          <w:sz w:val="20"/>
          <w:szCs w:val="20"/>
          <w:lang w:val="es-PE"/>
        </w:rPr>
        <w:t xml:space="preserve"> </w:t>
      </w:r>
      <w:r w:rsidRPr="006B0525">
        <w:rPr>
          <w:rFonts w:ascii="Verdana" w:eastAsia="MS Mincho" w:hAnsi="Verdana"/>
          <w:sz w:val="20"/>
          <w:szCs w:val="20"/>
          <w:lang w:bidi="en-US"/>
        </w:rPr>
        <w:t>ha</w:t>
      </w:r>
      <w:r w:rsidRPr="006B0525">
        <w:rPr>
          <w:rFonts w:ascii="Verdana" w:hAnsi="Verdana"/>
          <w:sz w:val="20"/>
          <w:szCs w:val="20"/>
          <w:lang w:val="es-PE"/>
        </w:rPr>
        <w:t xml:space="preserve"> realizado y continúa realizando su mejor esfuerzo </w:t>
      </w:r>
      <w:proofErr w:type="gramStart"/>
      <w:r w:rsidRPr="006B0525">
        <w:rPr>
          <w:rFonts w:ascii="Verdana" w:hAnsi="Verdana"/>
          <w:sz w:val="20"/>
          <w:szCs w:val="20"/>
          <w:lang w:val="es-PE"/>
        </w:rPr>
        <w:t>de acuerdo a</w:t>
      </w:r>
      <w:proofErr w:type="gramEnd"/>
      <w:r w:rsidRPr="006B0525">
        <w:rPr>
          <w:rFonts w:ascii="Verdana" w:hAnsi="Verdana"/>
          <w:sz w:val="20"/>
          <w:szCs w:val="20"/>
          <w:lang w:val="es-PE"/>
        </w:rPr>
        <w:t xml:space="preserve"> sus posibilidades de readecuar los </w:t>
      </w:r>
      <w:r w:rsidRPr="002F21AD">
        <w:rPr>
          <w:rFonts w:ascii="Verdana" w:eastAsia="MS Mincho" w:hAnsi="Verdana"/>
          <w:sz w:val="20"/>
          <w:szCs w:val="20"/>
          <w:lang w:bidi="en-US"/>
        </w:rPr>
        <w:t>centros</w:t>
      </w:r>
      <w:r w:rsidRPr="006B0525">
        <w:rPr>
          <w:rFonts w:ascii="Verdana" w:hAnsi="Verdana"/>
          <w:sz w:val="20"/>
          <w:szCs w:val="20"/>
          <w:lang w:val="es-PE"/>
        </w:rPr>
        <w:t xml:space="preserve"> penitenciarios en cumplimiento de los estándares internacionales</w:t>
      </w:r>
      <w:r>
        <w:rPr>
          <w:rFonts w:ascii="Verdana" w:hAnsi="Verdana"/>
          <w:sz w:val="20"/>
          <w:szCs w:val="20"/>
          <w:lang w:val="es-PE"/>
        </w:rPr>
        <w:t>.</w:t>
      </w:r>
      <w:r w:rsidRPr="006B0525">
        <w:rPr>
          <w:rFonts w:ascii="Verdana" w:hAnsi="Verdana"/>
          <w:sz w:val="20"/>
          <w:szCs w:val="20"/>
          <w:lang w:val="es-PE"/>
        </w:rPr>
        <w:t xml:space="preserve"> </w:t>
      </w:r>
    </w:p>
    <w:p w14:paraId="4FD79D2F" w14:textId="77777777" w:rsidR="008510E6" w:rsidRDefault="008510E6" w:rsidP="008510E6">
      <w:pPr>
        <w:pStyle w:val="Normal1"/>
        <w:widowControl/>
        <w:contextualSpacing/>
        <w:jc w:val="both"/>
        <w:rPr>
          <w:rFonts w:ascii="Verdana" w:hAnsi="Verdana"/>
          <w:b/>
          <w:sz w:val="20"/>
          <w:szCs w:val="20"/>
          <w:lang w:val="es-PE"/>
        </w:rPr>
      </w:pPr>
    </w:p>
    <w:p w14:paraId="1DB5E287" w14:textId="77777777" w:rsidR="008510E6" w:rsidRPr="006B0525" w:rsidRDefault="008510E6" w:rsidP="002F21AD">
      <w:pPr>
        <w:pStyle w:val="Normal1"/>
        <w:widowControl/>
        <w:numPr>
          <w:ilvl w:val="0"/>
          <w:numId w:val="4"/>
        </w:numPr>
        <w:ind w:left="0" w:firstLine="0"/>
        <w:contextualSpacing/>
        <w:jc w:val="both"/>
        <w:rPr>
          <w:rFonts w:ascii="Verdana" w:eastAsiaTheme="minorHAnsi" w:hAnsi="Verdana"/>
          <w:b/>
          <w:sz w:val="20"/>
          <w:szCs w:val="20"/>
          <w:lang w:val="es-PE"/>
        </w:rPr>
      </w:pPr>
      <w:r w:rsidRPr="006B0525">
        <w:rPr>
          <w:rFonts w:ascii="Verdana" w:hAnsi="Verdana"/>
          <w:sz w:val="20"/>
          <w:szCs w:val="20"/>
          <w:lang w:val="es-PE"/>
        </w:rPr>
        <w:t>La</w:t>
      </w:r>
      <w:r w:rsidRPr="006B0525">
        <w:rPr>
          <w:rFonts w:ascii="Verdana" w:hAnsi="Verdana"/>
          <w:b/>
          <w:sz w:val="20"/>
          <w:szCs w:val="20"/>
          <w:lang w:val="es-PE"/>
        </w:rPr>
        <w:t xml:space="preserve"> </w:t>
      </w:r>
      <w:r w:rsidRPr="006B0525">
        <w:rPr>
          <w:rFonts w:ascii="Verdana" w:hAnsi="Verdana"/>
          <w:b/>
          <w:i/>
          <w:sz w:val="20"/>
          <w:szCs w:val="20"/>
          <w:lang w:val="es-PE"/>
        </w:rPr>
        <w:t xml:space="preserve">Comisión </w:t>
      </w:r>
      <w:r w:rsidRPr="006B0525">
        <w:rPr>
          <w:rFonts w:ascii="Verdana" w:hAnsi="Verdana"/>
          <w:sz w:val="20"/>
          <w:szCs w:val="20"/>
          <w:lang w:val="es-PE"/>
        </w:rPr>
        <w:t xml:space="preserve">no se </w:t>
      </w:r>
      <w:r w:rsidRPr="006B0525">
        <w:rPr>
          <w:rFonts w:ascii="Verdana" w:eastAsia="MS Mincho" w:hAnsi="Verdana"/>
          <w:sz w:val="20"/>
          <w:szCs w:val="20"/>
          <w:lang w:bidi="en-US"/>
        </w:rPr>
        <w:t>pronunció</w:t>
      </w:r>
      <w:r w:rsidRPr="006B0525">
        <w:rPr>
          <w:rFonts w:ascii="Verdana" w:hAnsi="Verdana"/>
          <w:sz w:val="20"/>
          <w:szCs w:val="20"/>
          <w:lang w:val="es-PE"/>
        </w:rPr>
        <w:t xml:space="preserve"> </w:t>
      </w:r>
      <w:r w:rsidRPr="002F21AD">
        <w:rPr>
          <w:rFonts w:ascii="Verdana" w:eastAsia="MS Mincho" w:hAnsi="Verdana"/>
          <w:sz w:val="20"/>
          <w:szCs w:val="20"/>
          <w:lang w:bidi="en-US"/>
        </w:rPr>
        <w:t>sobre</w:t>
      </w:r>
      <w:r w:rsidRPr="006B0525">
        <w:rPr>
          <w:rFonts w:ascii="Verdana" w:hAnsi="Verdana"/>
          <w:sz w:val="20"/>
          <w:szCs w:val="20"/>
          <w:lang w:val="es-PE"/>
        </w:rPr>
        <w:t xml:space="preserve"> este alegato. </w:t>
      </w:r>
    </w:p>
    <w:p w14:paraId="65C00F56" w14:textId="77777777" w:rsidR="008510E6" w:rsidRDefault="008510E6" w:rsidP="008510E6">
      <w:pPr>
        <w:pStyle w:val="Normal1"/>
        <w:widowControl/>
        <w:contextualSpacing/>
        <w:jc w:val="both"/>
        <w:rPr>
          <w:rFonts w:ascii="Verdana" w:hAnsi="Verdana"/>
          <w:b/>
          <w:sz w:val="20"/>
          <w:szCs w:val="20"/>
          <w:lang w:val="es-PE"/>
        </w:rPr>
      </w:pPr>
    </w:p>
    <w:p w14:paraId="14193C39" w14:textId="77777777" w:rsidR="001921B6" w:rsidRPr="002F21AD" w:rsidRDefault="008510E6" w:rsidP="002F21AD">
      <w:pPr>
        <w:pStyle w:val="Normal1"/>
        <w:widowControl/>
        <w:numPr>
          <w:ilvl w:val="0"/>
          <w:numId w:val="4"/>
        </w:numPr>
        <w:ind w:left="0" w:firstLine="0"/>
        <w:contextualSpacing/>
        <w:jc w:val="both"/>
        <w:rPr>
          <w:rFonts w:ascii="Verdana" w:hAnsi="Verdana"/>
          <w:sz w:val="20"/>
          <w:szCs w:val="20"/>
        </w:rPr>
      </w:pPr>
      <w:r w:rsidRPr="002F21AD">
        <w:rPr>
          <w:rFonts w:ascii="Verdana" w:eastAsia="MS Mincho" w:hAnsi="Verdana"/>
          <w:sz w:val="20"/>
          <w:szCs w:val="20"/>
          <w:lang w:bidi="en-US"/>
        </w:rPr>
        <w:t xml:space="preserve">La </w:t>
      </w:r>
      <w:r w:rsidRPr="002F21AD">
        <w:rPr>
          <w:rFonts w:ascii="Verdana" w:hAnsi="Verdana"/>
          <w:b/>
          <w:i/>
          <w:sz w:val="20"/>
          <w:szCs w:val="20"/>
          <w:lang w:val="es-PE"/>
        </w:rPr>
        <w:t>Corte</w:t>
      </w:r>
      <w:r w:rsidRPr="002F21AD">
        <w:rPr>
          <w:rFonts w:ascii="Verdana" w:eastAsia="MS Mincho" w:hAnsi="Verdana"/>
          <w:sz w:val="20"/>
          <w:szCs w:val="20"/>
          <w:lang w:val="es-PE" w:bidi="en-US"/>
        </w:rPr>
        <w:t xml:space="preserve"> </w:t>
      </w:r>
      <w:r w:rsidRPr="002F21AD">
        <w:rPr>
          <w:rFonts w:ascii="Verdana" w:hAnsi="Verdana"/>
          <w:sz w:val="20"/>
          <w:szCs w:val="20"/>
          <w:lang w:val="es-PE"/>
        </w:rPr>
        <w:t xml:space="preserve">observa que en el caso </w:t>
      </w:r>
      <w:r w:rsidRPr="002F21AD">
        <w:rPr>
          <w:rFonts w:ascii="Verdana" w:hAnsi="Verdana"/>
          <w:i/>
          <w:sz w:val="20"/>
          <w:szCs w:val="20"/>
          <w:lang w:val="es-PE"/>
        </w:rPr>
        <w:t>Fermín Ramírez Vs. Guatemala</w:t>
      </w:r>
      <w:r w:rsidRPr="002F21AD">
        <w:rPr>
          <w:rFonts w:ascii="Verdana" w:hAnsi="Verdana"/>
          <w:sz w:val="20"/>
          <w:szCs w:val="20"/>
          <w:lang w:val="es-PE"/>
        </w:rPr>
        <w:t xml:space="preserve"> </w:t>
      </w:r>
      <w:r w:rsidR="001921B6" w:rsidRPr="002F21AD">
        <w:rPr>
          <w:rFonts w:ascii="Verdana" w:hAnsi="Verdana"/>
          <w:sz w:val="20"/>
          <w:szCs w:val="20"/>
          <w:lang w:val="es-PE"/>
        </w:rPr>
        <w:t xml:space="preserve">se </w:t>
      </w:r>
      <w:r w:rsidRPr="002F21AD">
        <w:rPr>
          <w:rFonts w:ascii="Verdana" w:hAnsi="Verdana"/>
          <w:sz w:val="20"/>
          <w:szCs w:val="20"/>
          <w:lang w:val="es-PE"/>
        </w:rPr>
        <w:t>ordenó al Estado “adoptar, dentro de un plazo razonable, las medidas necesarias para que las condiciones de las cárceles se adecuen a las normas internacionales de derechos humanos”</w:t>
      </w:r>
      <w:r w:rsidR="001E6E6D" w:rsidRPr="002F21AD">
        <w:rPr>
          <w:rStyle w:val="Refdenotaalpie"/>
          <w:rFonts w:ascii="Verdana" w:hAnsi="Verdana"/>
          <w:sz w:val="20"/>
          <w:szCs w:val="20"/>
          <w:lang w:val="es-PE"/>
        </w:rPr>
        <w:footnoteReference w:id="190"/>
      </w:r>
      <w:r w:rsidRPr="002F21AD">
        <w:rPr>
          <w:rFonts w:ascii="Verdana" w:hAnsi="Verdana"/>
          <w:sz w:val="20"/>
          <w:szCs w:val="20"/>
          <w:lang w:val="es-PE"/>
        </w:rPr>
        <w:t>.</w:t>
      </w:r>
      <w:r w:rsidR="001921B6" w:rsidRPr="002F21AD">
        <w:rPr>
          <w:rFonts w:ascii="Verdana" w:hAnsi="Verdana"/>
          <w:sz w:val="20"/>
          <w:szCs w:val="20"/>
          <w:lang w:val="es-PE"/>
        </w:rPr>
        <w:t xml:space="preserve"> No obstante lo anterior, la </w:t>
      </w:r>
      <w:r w:rsidR="001921B6" w:rsidRPr="002F21AD">
        <w:rPr>
          <w:rFonts w:ascii="Verdana" w:eastAsia="MS Mincho" w:hAnsi="Verdana"/>
          <w:sz w:val="20"/>
          <w:szCs w:val="20"/>
          <w:lang w:bidi="en-US"/>
        </w:rPr>
        <w:t>Corte</w:t>
      </w:r>
      <w:r w:rsidR="001921B6" w:rsidRPr="002F21AD">
        <w:rPr>
          <w:rFonts w:ascii="Verdana" w:hAnsi="Verdana"/>
          <w:sz w:val="20"/>
          <w:szCs w:val="20"/>
          <w:lang w:val="es-PE"/>
        </w:rPr>
        <w:t xml:space="preserve"> considera pertinente en el presente caso ordenar al Estado adoptar, dentro de un plazo razonable, las medidas necesarias para que las condiciones de la cárcel de “El Infiernito” se adecuen a las normas internacionales</w:t>
      </w:r>
      <w:r w:rsidR="008E5A68" w:rsidRPr="002F21AD">
        <w:rPr>
          <w:rFonts w:ascii="Verdana" w:hAnsi="Verdana"/>
          <w:sz w:val="20"/>
          <w:szCs w:val="20"/>
          <w:lang w:val="es-PE"/>
        </w:rPr>
        <w:t xml:space="preserve"> de derechos humanos</w:t>
      </w:r>
      <w:r w:rsidR="001921B6" w:rsidRPr="002F21AD">
        <w:rPr>
          <w:rFonts w:ascii="Verdana" w:hAnsi="Verdana"/>
          <w:sz w:val="20"/>
          <w:szCs w:val="20"/>
          <w:lang w:val="es-PE"/>
        </w:rPr>
        <w:t>, y, en particular, se eliminen las deficien</w:t>
      </w:r>
      <w:r w:rsidR="00856541">
        <w:rPr>
          <w:rFonts w:ascii="Verdana" w:hAnsi="Verdana"/>
          <w:sz w:val="20"/>
          <w:szCs w:val="20"/>
          <w:lang w:val="es-PE"/>
        </w:rPr>
        <w:t>cias detectadas en la presente S</w:t>
      </w:r>
      <w:r w:rsidR="001921B6" w:rsidRPr="002F21AD">
        <w:rPr>
          <w:rFonts w:ascii="Verdana" w:hAnsi="Verdana"/>
          <w:sz w:val="20"/>
          <w:szCs w:val="20"/>
          <w:lang w:val="es-PE"/>
        </w:rPr>
        <w:t>entencia con respecto a</w:t>
      </w:r>
      <w:r w:rsidR="001E6E6D" w:rsidRPr="002F21AD">
        <w:rPr>
          <w:rFonts w:ascii="Verdana" w:hAnsi="Verdana"/>
          <w:sz w:val="20"/>
          <w:szCs w:val="20"/>
          <w:lang w:val="es-PE"/>
        </w:rPr>
        <w:t>:</w:t>
      </w:r>
      <w:r w:rsidR="001921B6" w:rsidRPr="002F21AD">
        <w:rPr>
          <w:rFonts w:ascii="Verdana" w:hAnsi="Verdana"/>
          <w:sz w:val="20"/>
          <w:szCs w:val="20"/>
          <w:lang w:val="es-PE"/>
        </w:rPr>
        <w:t xml:space="preserve"> (i) la entrada suficiente de luz natural</w:t>
      </w:r>
      <w:r w:rsidR="001E6E6D" w:rsidRPr="002F21AD">
        <w:rPr>
          <w:rFonts w:ascii="Verdana" w:hAnsi="Verdana"/>
          <w:sz w:val="20"/>
          <w:szCs w:val="20"/>
          <w:lang w:val="es-PE"/>
        </w:rPr>
        <w:t>;</w:t>
      </w:r>
      <w:r w:rsidR="001921B6" w:rsidRPr="002F21AD">
        <w:rPr>
          <w:rFonts w:ascii="Verdana" w:hAnsi="Verdana"/>
          <w:sz w:val="20"/>
          <w:szCs w:val="20"/>
          <w:lang w:val="es-PE"/>
        </w:rPr>
        <w:t xml:space="preserve"> (</w:t>
      </w:r>
      <w:proofErr w:type="spellStart"/>
      <w:r w:rsidR="001921B6" w:rsidRPr="002F21AD">
        <w:rPr>
          <w:rFonts w:ascii="Verdana" w:hAnsi="Verdana"/>
          <w:sz w:val="20"/>
          <w:szCs w:val="20"/>
          <w:lang w:val="es-PE"/>
        </w:rPr>
        <w:t>ii</w:t>
      </w:r>
      <w:proofErr w:type="spellEnd"/>
      <w:r w:rsidR="001921B6" w:rsidRPr="002F21AD">
        <w:rPr>
          <w:rFonts w:ascii="Verdana" w:hAnsi="Verdana"/>
          <w:sz w:val="20"/>
          <w:szCs w:val="20"/>
          <w:lang w:val="es-PE"/>
        </w:rPr>
        <w:t>) la circulación de aire</w:t>
      </w:r>
      <w:r w:rsidR="001E6E6D" w:rsidRPr="002F21AD">
        <w:rPr>
          <w:rFonts w:ascii="Verdana" w:hAnsi="Verdana"/>
          <w:sz w:val="20"/>
          <w:szCs w:val="20"/>
          <w:lang w:val="es-PE"/>
        </w:rPr>
        <w:t>;</w:t>
      </w:r>
      <w:r w:rsidR="001921B6" w:rsidRPr="002F21AD">
        <w:rPr>
          <w:rFonts w:ascii="Verdana" w:hAnsi="Verdana"/>
          <w:sz w:val="20"/>
          <w:szCs w:val="20"/>
          <w:lang w:val="es-PE"/>
        </w:rPr>
        <w:t xml:space="preserve"> (</w:t>
      </w:r>
      <w:proofErr w:type="spellStart"/>
      <w:r w:rsidR="001921B6" w:rsidRPr="002F21AD">
        <w:rPr>
          <w:rFonts w:ascii="Verdana" w:hAnsi="Verdana"/>
          <w:sz w:val="20"/>
          <w:szCs w:val="20"/>
          <w:lang w:val="es-PE"/>
        </w:rPr>
        <w:t>iii</w:t>
      </w:r>
      <w:proofErr w:type="spellEnd"/>
      <w:r w:rsidR="001921B6" w:rsidRPr="002F21AD">
        <w:rPr>
          <w:rFonts w:ascii="Verdana" w:hAnsi="Verdana"/>
          <w:sz w:val="20"/>
          <w:szCs w:val="20"/>
          <w:lang w:val="es-PE"/>
        </w:rPr>
        <w:t>) el acceso al agua para utilizar cada día</w:t>
      </w:r>
      <w:r w:rsidR="001E6E6D" w:rsidRPr="002F21AD">
        <w:rPr>
          <w:rFonts w:ascii="Verdana" w:hAnsi="Verdana"/>
          <w:sz w:val="20"/>
          <w:szCs w:val="20"/>
          <w:lang w:val="es-PE"/>
        </w:rPr>
        <w:t>;</w:t>
      </w:r>
      <w:r w:rsidR="001921B6" w:rsidRPr="002F21AD">
        <w:rPr>
          <w:rFonts w:ascii="Verdana" w:hAnsi="Verdana"/>
          <w:sz w:val="20"/>
          <w:szCs w:val="20"/>
          <w:lang w:val="es-PE"/>
        </w:rPr>
        <w:t xml:space="preserve"> (</w:t>
      </w:r>
      <w:proofErr w:type="spellStart"/>
      <w:r w:rsidR="001921B6" w:rsidRPr="002F21AD">
        <w:rPr>
          <w:rFonts w:ascii="Verdana" w:hAnsi="Verdana"/>
          <w:sz w:val="20"/>
          <w:szCs w:val="20"/>
          <w:lang w:val="es-PE"/>
        </w:rPr>
        <w:t>iv</w:t>
      </w:r>
      <w:proofErr w:type="spellEnd"/>
      <w:r w:rsidR="001921B6" w:rsidRPr="002F21AD">
        <w:rPr>
          <w:rFonts w:ascii="Verdana" w:hAnsi="Verdana"/>
          <w:sz w:val="20"/>
          <w:szCs w:val="20"/>
          <w:lang w:val="es-PE"/>
        </w:rPr>
        <w:t>) la atención sanitaria, con respecto a la insuficiencia de medicamentos, de personal capacitado y de revisiones médicas regulares</w:t>
      </w:r>
      <w:r w:rsidR="001E6E6D" w:rsidRPr="002F21AD">
        <w:rPr>
          <w:rFonts w:ascii="Verdana" w:hAnsi="Verdana"/>
          <w:sz w:val="20"/>
          <w:szCs w:val="20"/>
          <w:lang w:val="es-PE"/>
        </w:rPr>
        <w:t>;</w:t>
      </w:r>
      <w:r w:rsidR="001921B6" w:rsidRPr="002F21AD">
        <w:rPr>
          <w:rFonts w:ascii="Verdana" w:hAnsi="Verdana"/>
          <w:sz w:val="20"/>
          <w:szCs w:val="20"/>
          <w:lang w:val="es-PE"/>
        </w:rPr>
        <w:t xml:space="preserve"> (v) la ausencia de una dieta adecuada a las condiciones médicas de cada recluso</w:t>
      </w:r>
      <w:r w:rsidR="001E6E6D" w:rsidRPr="002F21AD">
        <w:rPr>
          <w:rFonts w:ascii="Verdana" w:hAnsi="Verdana"/>
          <w:sz w:val="20"/>
          <w:szCs w:val="20"/>
          <w:lang w:val="es-PE"/>
        </w:rPr>
        <w:t>,</w:t>
      </w:r>
      <w:r w:rsidR="001921B6" w:rsidRPr="002F21AD">
        <w:rPr>
          <w:rFonts w:ascii="Verdana" w:hAnsi="Verdana"/>
          <w:sz w:val="20"/>
          <w:szCs w:val="20"/>
          <w:lang w:val="es-PE"/>
        </w:rPr>
        <w:t xml:space="preserve"> y (vi) el régimen de visitas, tal y como se especifican con mayor detalle en los párrafos </w:t>
      </w:r>
      <w:r w:rsidR="00A33359">
        <w:rPr>
          <w:rFonts w:ascii="Verdana" w:hAnsi="Verdana"/>
          <w:sz w:val="20"/>
          <w:szCs w:val="20"/>
          <w:lang w:val="es-PE"/>
        </w:rPr>
        <w:t>86</w:t>
      </w:r>
      <w:r w:rsidR="001921B6" w:rsidRPr="002F21AD">
        <w:rPr>
          <w:rFonts w:ascii="Verdana" w:hAnsi="Verdana"/>
          <w:sz w:val="20"/>
          <w:szCs w:val="20"/>
          <w:lang w:val="es-PE"/>
        </w:rPr>
        <w:t xml:space="preserve"> a </w:t>
      </w:r>
      <w:r w:rsidR="00A33359">
        <w:rPr>
          <w:rFonts w:ascii="Verdana" w:hAnsi="Verdana"/>
          <w:sz w:val="20"/>
          <w:szCs w:val="20"/>
          <w:lang w:val="es-PE"/>
        </w:rPr>
        <w:t>92</w:t>
      </w:r>
      <w:r w:rsidR="001921B6" w:rsidRPr="002F21AD">
        <w:rPr>
          <w:rFonts w:ascii="Verdana" w:hAnsi="Verdana"/>
          <w:sz w:val="20"/>
          <w:szCs w:val="20"/>
          <w:lang w:val="es-PE"/>
        </w:rPr>
        <w:t xml:space="preserve"> precedentes. El Estado </w:t>
      </w:r>
      <w:r w:rsidR="00CE112F">
        <w:rPr>
          <w:rFonts w:ascii="Verdana" w:hAnsi="Verdana"/>
          <w:sz w:val="20"/>
          <w:szCs w:val="20"/>
          <w:lang w:val="es-PE"/>
        </w:rPr>
        <w:t>presentará</w:t>
      </w:r>
      <w:r w:rsidR="001921B6" w:rsidRPr="002F21AD">
        <w:rPr>
          <w:rFonts w:ascii="Verdana" w:hAnsi="Verdana"/>
          <w:sz w:val="20"/>
          <w:szCs w:val="20"/>
          <w:lang w:val="es-PE"/>
        </w:rPr>
        <w:t xml:space="preserve"> un informe en un plazo no superior a un año en el que </w:t>
      </w:r>
      <w:r w:rsidR="00956A31" w:rsidRPr="002F21AD">
        <w:rPr>
          <w:rFonts w:ascii="Verdana" w:hAnsi="Verdana"/>
          <w:sz w:val="20"/>
          <w:szCs w:val="20"/>
          <w:lang w:val="es-PE"/>
        </w:rPr>
        <w:t>ponga en conocimiento de l</w:t>
      </w:r>
      <w:r w:rsidR="001921B6" w:rsidRPr="002F21AD">
        <w:rPr>
          <w:rFonts w:ascii="Verdana" w:hAnsi="Verdana"/>
          <w:sz w:val="20"/>
          <w:szCs w:val="20"/>
          <w:lang w:val="es-PE"/>
        </w:rPr>
        <w:t xml:space="preserve">a Corte </w:t>
      </w:r>
      <w:r w:rsidR="00956A31" w:rsidRPr="002F21AD">
        <w:rPr>
          <w:rFonts w:ascii="Verdana" w:hAnsi="Verdana"/>
          <w:sz w:val="20"/>
          <w:szCs w:val="20"/>
          <w:lang w:val="es-PE"/>
        </w:rPr>
        <w:t xml:space="preserve">el estado </w:t>
      </w:r>
      <w:r w:rsidR="001E6E6D" w:rsidRPr="002F21AD">
        <w:rPr>
          <w:rFonts w:ascii="Verdana" w:hAnsi="Verdana"/>
          <w:sz w:val="20"/>
          <w:szCs w:val="20"/>
          <w:lang w:val="es-PE"/>
        </w:rPr>
        <w:t>d</w:t>
      </w:r>
      <w:r w:rsidR="001921B6" w:rsidRPr="002F21AD">
        <w:rPr>
          <w:rFonts w:ascii="Verdana" w:hAnsi="Verdana"/>
          <w:sz w:val="20"/>
          <w:szCs w:val="20"/>
          <w:lang w:val="es-PE"/>
        </w:rPr>
        <w:t>el cumplimiento de esta medida.</w:t>
      </w:r>
    </w:p>
    <w:p w14:paraId="2728125A" w14:textId="77777777" w:rsidR="00AC00A6" w:rsidRPr="006B0525" w:rsidRDefault="00CD152D" w:rsidP="00AC00A6">
      <w:pPr>
        <w:pStyle w:val="Ttulo2"/>
      </w:pPr>
      <w:bookmarkStart w:id="96" w:name="_Toc26177826"/>
      <w:r w:rsidRPr="006B0525">
        <w:t>C</w:t>
      </w:r>
      <w:r w:rsidR="00AC00A6" w:rsidRPr="006B0525">
        <w:t>. Otras medidas solicitadas</w:t>
      </w:r>
      <w:bookmarkEnd w:id="96"/>
      <w:r w:rsidR="00AC00A6" w:rsidRPr="006B0525">
        <w:t xml:space="preserve"> </w:t>
      </w:r>
    </w:p>
    <w:p w14:paraId="4754D0A6" w14:textId="77777777" w:rsidR="007403F5" w:rsidRPr="006B0525" w:rsidRDefault="00CD152D" w:rsidP="00833C12">
      <w:pPr>
        <w:pStyle w:val="Normal1"/>
        <w:widowControl/>
        <w:numPr>
          <w:ilvl w:val="0"/>
          <w:numId w:val="4"/>
        </w:numPr>
        <w:ind w:left="0" w:firstLine="0"/>
        <w:contextualSpacing/>
        <w:jc w:val="both"/>
        <w:rPr>
          <w:rFonts w:ascii="Verdana" w:hAnsi="Verdana" w:cs="Arial"/>
          <w:b/>
          <w:sz w:val="20"/>
          <w:szCs w:val="20"/>
        </w:rPr>
      </w:pPr>
      <w:r w:rsidRPr="006B0525">
        <w:rPr>
          <w:rFonts w:ascii="Verdana" w:hAnsi="Verdana"/>
          <w:sz w:val="20"/>
          <w:szCs w:val="20"/>
          <w:lang w:val="es-PE"/>
        </w:rPr>
        <w:t>La</w:t>
      </w:r>
      <w:r w:rsidRPr="006B0525">
        <w:rPr>
          <w:rFonts w:ascii="Verdana" w:hAnsi="Verdana"/>
          <w:b/>
          <w:sz w:val="20"/>
          <w:szCs w:val="20"/>
          <w:lang w:val="es-PE"/>
        </w:rPr>
        <w:t xml:space="preserve"> </w:t>
      </w:r>
      <w:r w:rsidRPr="006B0525">
        <w:rPr>
          <w:rFonts w:ascii="Verdana" w:eastAsia="MS Mincho" w:hAnsi="Verdana"/>
          <w:b/>
          <w:i/>
          <w:iCs/>
          <w:sz w:val="20"/>
          <w:szCs w:val="20"/>
          <w:lang w:bidi="en-US"/>
        </w:rPr>
        <w:t>Comisión</w:t>
      </w:r>
      <w:r w:rsidRPr="006B0525">
        <w:rPr>
          <w:rFonts w:ascii="Verdana" w:hAnsi="Verdana"/>
          <w:b/>
          <w:i/>
          <w:sz w:val="20"/>
          <w:szCs w:val="20"/>
          <w:lang w:val="es-PE"/>
        </w:rPr>
        <w:t xml:space="preserve"> </w:t>
      </w:r>
      <w:r w:rsidRPr="006B0525">
        <w:rPr>
          <w:rFonts w:ascii="Verdana" w:hAnsi="Verdana"/>
          <w:sz w:val="20"/>
          <w:szCs w:val="20"/>
          <w:lang w:val="es-PE"/>
        </w:rPr>
        <w:t>solicitó que la Corte orden</w:t>
      </w:r>
      <w:r w:rsidR="00A20EEE">
        <w:rPr>
          <w:rFonts w:ascii="Verdana" w:hAnsi="Verdana"/>
          <w:sz w:val="20"/>
          <w:szCs w:val="20"/>
          <w:lang w:val="es-PE"/>
        </w:rPr>
        <w:t xml:space="preserve">e </w:t>
      </w:r>
      <w:r w:rsidRPr="006B0525">
        <w:rPr>
          <w:rFonts w:ascii="Verdana" w:hAnsi="Verdana"/>
          <w:sz w:val="20"/>
          <w:szCs w:val="20"/>
          <w:lang w:val="es-PE"/>
        </w:rPr>
        <w:t xml:space="preserve">al Estado que adopte las medidas necesarias para que se deje sin efecto la sentencia condenatoria dictada contra el señor Rodríguez Revolorio y se </w:t>
      </w:r>
      <w:r w:rsidRPr="006B0525">
        <w:rPr>
          <w:rFonts w:ascii="Verdana" w:hAnsi="Verdana"/>
          <w:sz w:val="20"/>
          <w:szCs w:val="20"/>
          <w:lang w:val="es-PE"/>
        </w:rPr>
        <w:lastRenderedPageBreak/>
        <w:t>efectúe un nuevo proceso en el que se respeten las garantías del debido proceso. A este respecto, l</w:t>
      </w:r>
      <w:r w:rsidRPr="006B0525">
        <w:rPr>
          <w:rFonts w:ascii="Verdana" w:hAnsi="Verdana"/>
          <w:sz w:val="20"/>
          <w:szCs w:val="20"/>
        </w:rPr>
        <w:t xml:space="preserve">as </w:t>
      </w:r>
      <w:r w:rsidRPr="006B0525">
        <w:rPr>
          <w:rFonts w:ascii="Verdana" w:hAnsi="Verdana"/>
          <w:b/>
          <w:i/>
          <w:sz w:val="20"/>
          <w:szCs w:val="20"/>
        </w:rPr>
        <w:t xml:space="preserve">representantes </w:t>
      </w:r>
      <w:r w:rsidRPr="006B0525">
        <w:rPr>
          <w:rFonts w:ascii="Verdana" w:hAnsi="Verdana"/>
          <w:sz w:val="20"/>
          <w:szCs w:val="20"/>
        </w:rPr>
        <w:t xml:space="preserve">solicitaron que la Corte ordene </w:t>
      </w:r>
      <w:r w:rsidRPr="006B0525">
        <w:rPr>
          <w:rFonts w:ascii="Verdana" w:hAnsi="Verdana"/>
          <w:sz w:val="20"/>
          <w:szCs w:val="20"/>
          <w:lang w:val="es-PE"/>
        </w:rPr>
        <w:t xml:space="preserve">al Estado disponga la eliminación de los antecedentes penales que </w:t>
      </w:r>
      <w:r w:rsidRPr="006B0525">
        <w:rPr>
          <w:rFonts w:ascii="Verdana" w:eastAsia="MS Mincho" w:hAnsi="Verdana"/>
          <w:sz w:val="20"/>
          <w:szCs w:val="20"/>
          <w:lang w:bidi="en-US"/>
        </w:rPr>
        <w:t>existan</w:t>
      </w:r>
      <w:r w:rsidRPr="006B0525">
        <w:rPr>
          <w:rFonts w:ascii="Verdana" w:hAnsi="Verdana"/>
          <w:sz w:val="20"/>
          <w:szCs w:val="20"/>
          <w:lang w:val="es-PE"/>
        </w:rPr>
        <w:t xml:space="preserve"> en contra de los señores Rodríguez Revolorio, López Caló y Archila Pérez por el proceso penal por el cual fueron condenados</w:t>
      </w:r>
      <w:r w:rsidR="002F21AD" w:rsidRPr="00264747">
        <w:rPr>
          <w:rFonts w:ascii="Verdana" w:hAnsi="Verdana"/>
          <w:sz w:val="20"/>
          <w:szCs w:val="20"/>
          <w:lang w:val="es-PE"/>
        </w:rPr>
        <w:t>.</w:t>
      </w:r>
      <w:r w:rsidR="002F21AD">
        <w:rPr>
          <w:rFonts w:ascii="Verdana" w:hAnsi="Verdana"/>
          <w:b/>
          <w:sz w:val="20"/>
          <w:szCs w:val="20"/>
          <w:lang w:val="es-PE"/>
        </w:rPr>
        <w:t xml:space="preserve"> </w:t>
      </w:r>
      <w:r w:rsidR="007403F5" w:rsidRPr="006B0525">
        <w:rPr>
          <w:rFonts w:ascii="Verdana" w:hAnsi="Verdana"/>
          <w:sz w:val="20"/>
          <w:szCs w:val="20"/>
          <w:lang w:val="es-PE"/>
        </w:rPr>
        <w:t>S</w:t>
      </w:r>
      <w:r w:rsidRPr="006B0525">
        <w:rPr>
          <w:rFonts w:ascii="Verdana" w:hAnsi="Verdana"/>
          <w:sz w:val="20"/>
          <w:szCs w:val="20"/>
          <w:lang w:val="es-PE"/>
        </w:rPr>
        <w:t xml:space="preserve">olicitaron </w:t>
      </w:r>
      <w:r w:rsidR="007403F5" w:rsidRPr="006B0525">
        <w:rPr>
          <w:rFonts w:ascii="Verdana" w:hAnsi="Verdana"/>
          <w:sz w:val="20"/>
          <w:szCs w:val="20"/>
          <w:lang w:val="es-PE"/>
        </w:rPr>
        <w:t xml:space="preserve">adicionalmente que se </w:t>
      </w:r>
      <w:r w:rsidRPr="006B0525">
        <w:rPr>
          <w:rFonts w:ascii="Verdana" w:hAnsi="Verdana"/>
          <w:sz w:val="20"/>
          <w:szCs w:val="20"/>
          <w:lang w:val="es-PE"/>
        </w:rPr>
        <w:t xml:space="preserve">ordene al Estado que reintegre al señor Rodríguez Revolorio al cargo de agente policial que desempeñaba, y en caso de no ser posible, se disponga su jubilación para que sea acreedor de una pensión a su favor </w:t>
      </w:r>
      <w:r w:rsidR="007403F5" w:rsidRPr="006B0525">
        <w:rPr>
          <w:rFonts w:ascii="Verdana" w:hAnsi="Verdana"/>
          <w:sz w:val="20"/>
          <w:szCs w:val="20"/>
          <w:lang w:val="es-PE"/>
        </w:rPr>
        <w:t>con los beneficios que conlleve</w:t>
      </w:r>
      <w:r w:rsidRPr="006B0525">
        <w:rPr>
          <w:rFonts w:ascii="Verdana" w:hAnsi="Verdana"/>
          <w:sz w:val="20"/>
          <w:szCs w:val="20"/>
          <w:lang w:val="es-PE"/>
        </w:rPr>
        <w:t>.</w:t>
      </w:r>
      <w:r w:rsidRPr="006B0525">
        <w:rPr>
          <w:rFonts w:ascii="Verdana" w:hAnsi="Verdana"/>
          <w:b/>
          <w:sz w:val="20"/>
          <w:szCs w:val="20"/>
          <w:lang w:val="es-PE"/>
        </w:rPr>
        <w:t xml:space="preserve"> </w:t>
      </w:r>
    </w:p>
    <w:p w14:paraId="1BD554DC" w14:textId="77777777" w:rsidR="007403F5" w:rsidRPr="006B0525" w:rsidRDefault="007403F5" w:rsidP="007403F5">
      <w:pPr>
        <w:pStyle w:val="Normal1"/>
        <w:widowControl/>
        <w:contextualSpacing/>
        <w:jc w:val="both"/>
        <w:rPr>
          <w:rFonts w:ascii="Verdana" w:hAnsi="Verdana" w:cs="Arial"/>
          <w:b/>
          <w:sz w:val="20"/>
          <w:szCs w:val="20"/>
        </w:rPr>
      </w:pPr>
    </w:p>
    <w:p w14:paraId="62254C9E" w14:textId="77777777" w:rsidR="007403F5" w:rsidRPr="006B0525" w:rsidRDefault="007403F5" w:rsidP="00833C12">
      <w:pPr>
        <w:pStyle w:val="Normal1"/>
        <w:widowControl/>
        <w:numPr>
          <w:ilvl w:val="0"/>
          <w:numId w:val="4"/>
        </w:numPr>
        <w:ind w:left="0" w:firstLine="0"/>
        <w:contextualSpacing/>
        <w:jc w:val="both"/>
        <w:rPr>
          <w:rFonts w:ascii="Verdana" w:hAnsi="Verdana" w:cs="Arial"/>
          <w:b/>
          <w:sz w:val="20"/>
          <w:szCs w:val="20"/>
        </w:rPr>
      </w:pPr>
      <w:r w:rsidRPr="006B0525">
        <w:rPr>
          <w:rFonts w:ascii="Verdana" w:hAnsi="Verdana"/>
          <w:sz w:val="20"/>
          <w:szCs w:val="20"/>
        </w:rPr>
        <w:t>Por otro lado, l</w:t>
      </w:r>
      <w:r w:rsidR="005B0504" w:rsidRPr="006B0525">
        <w:rPr>
          <w:rFonts w:ascii="Verdana" w:hAnsi="Verdana"/>
          <w:sz w:val="20"/>
          <w:szCs w:val="20"/>
          <w:lang w:val="es-PE"/>
        </w:rPr>
        <w:t>a</w:t>
      </w:r>
      <w:r w:rsidR="005B0504" w:rsidRPr="006B0525">
        <w:rPr>
          <w:rFonts w:ascii="Verdana" w:hAnsi="Verdana"/>
          <w:b/>
          <w:sz w:val="20"/>
          <w:szCs w:val="20"/>
          <w:lang w:val="es-PE"/>
        </w:rPr>
        <w:t xml:space="preserve"> </w:t>
      </w:r>
      <w:r w:rsidR="005B0504" w:rsidRPr="006B0525">
        <w:rPr>
          <w:rFonts w:ascii="Verdana" w:hAnsi="Verdana"/>
          <w:sz w:val="20"/>
          <w:szCs w:val="20"/>
          <w:lang w:val="es-PE"/>
        </w:rPr>
        <w:t xml:space="preserve">Comisión </w:t>
      </w:r>
      <w:r w:rsidR="00AC00A6" w:rsidRPr="006B0525">
        <w:rPr>
          <w:rFonts w:ascii="Verdana" w:hAnsi="Verdana"/>
          <w:sz w:val="20"/>
          <w:szCs w:val="20"/>
          <w:lang w:val="es-PE"/>
        </w:rPr>
        <w:t>y las representantes</w:t>
      </w:r>
      <w:r w:rsidR="00AC00A6" w:rsidRPr="006B0525">
        <w:rPr>
          <w:rFonts w:ascii="Verdana" w:hAnsi="Verdana"/>
          <w:b/>
          <w:sz w:val="20"/>
          <w:szCs w:val="20"/>
          <w:lang w:val="es-PE"/>
        </w:rPr>
        <w:t xml:space="preserve"> </w:t>
      </w:r>
      <w:r w:rsidR="00AC00A6" w:rsidRPr="006B0525">
        <w:rPr>
          <w:rFonts w:ascii="Verdana" w:hAnsi="Verdana"/>
          <w:sz w:val="20"/>
          <w:szCs w:val="20"/>
          <w:lang w:val="es-PE"/>
        </w:rPr>
        <w:t>solicitaron</w:t>
      </w:r>
      <w:r w:rsidR="005B0504" w:rsidRPr="006B0525">
        <w:rPr>
          <w:rFonts w:ascii="Verdana" w:hAnsi="Verdana"/>
          <w:sz w:val="20"/>
          <w:szCs w:val="20"/>
          <w:lang w:val="es-PE"/>
        </w:rPr>
        <w:t xml:space="preserve"> a la Corte </w:t>
      </w:r>
      <w:r w:rsidR="00AC00A6" w:rsidRPr="006B0525">
        <w:rPr>
          <w:rFonts w:ascii="Verdana" w:hAnsi="Verdana"/>
          <w:sz w:val="20"/>
          <w:szCs w:val="20"/>
          <w:lang w:val="es-PE"/>
        </w:rPr>
        <w:t xml:space="preserve">que </w:t>
      </w:r>
      <w:r w:rsidR="005B0504" w:rsidRPr="006B0525">
        <w:rPr>
          <w:rFonts w:ascii="Verdana" w:hAnsi="Verdana"/>
          <w:sz w:val="20"/>
          <w:szCs w:val="20"/>
          <w:lang w:val="es-PE"/>
        </w:rPr>
        <w:t xml:space="preserve">ordene al Estado adoptar las medidas necesarias para que la legislación interna </w:t>
      </w:r>
      <w:r w:rsidR="00AC00A6" w:rsidRPr="006B0525">
        <w:rPr>
          <w:rFonts w:ascii="Verdana" w:hAnsi="Verdana"/>
          <w:sz w:val="20"/>
          <w:szCs w:val="20"/>
          <w:lang w:val="es-PE"/>
        </w:rPr>
        <w:t>se adec</w:t>
      </w:r>
      <w:r w:rsidR="00A20EEE">
        <w:rPr>
          <w:rFonts w:ascii="Verdana" w:hAnsi="Verdana"/>
          <w:sz w:val="20"/>
          <w:szCs w:val="20"/>
          <w:lang w:val="es-PE"/>
        </w:rPr>
        <w:t>ú</w:t>
      </w:r>
      <w:r w:rsidR="00AC00A6" w:rsidRPr="006B0525">
        <w:rPr>
          <w:rFonts w:ascii="Verdana" w:hAnsi="Verdana"/>
          <w:sz w:val="20"/>
          <w:szCs w:val="20"/>
          <w:lang w:val="es-PE"/>
        </w:rPr>
        <w:t xml:space="preserve">e, entre otros, a los estándares mínimos de la Convención. </w:t>
      </w:r>
    </w:p>
    <w:p w14:paraId="4BF93B4A" w14:textId="77777777" w:rsidR="007403F5" w:rsidRPr="006B0525" w:rsidRDefault="007403F5" w:rsidP="007403F5">
      <w:pPr>
        <w:pStyle w:val="Normal1"/>
        <w:widowControl/>
        <w:contextualSpacing/>
        <w:jc w:val="both"/>
        <w:rPr>
          <w:rFonts w:ascii="Verdana" w:hAnsi="Verdana" w:cs="Arial"/>
          <w:b/>
          <w:sz w:val="20"/>
          <w:szCs w:val="20"/>
        </w:rPr>
      </w:pPr>
    </w:p>
    <w:p w14:paraId="33646352" w14:textId="77777777" w:rsidR="00AC00A6" w:rsidRPr="006B0525" w:rsidRDefault="007403F5" w:rsidP="00833C12">
      <w:pPr>
        <w:pStyle w:val="Normal1"/>
        <w:widowControl/>
        <w:numPr>
          <w:ilvl w:val="0"/>
          <w:numId w:val="4"/>
        </w:numPr>
        <w:ind w:left="0" w:firstLine="0"/>
        <w:contextualSpacing/>
        <w:jc w:val="both"/>
        <w:rPr>
          <w:rFonts w:ascii="Verdana" w:hAnsi="Verdana" w:cs="Arial"/>
          <w:b/>
          <w:sz w:val="20"/>
          <w:szCs w:val="20"/>
        </w:rPr>
      </w:pPr>
      <w:r w:rsidRPr="006B0525">
        <w:rPr>
          <w:rFonts w:ascii="Verdana" w:hAnsi="Verdana"/>
          <w:sz w:val="20"/>
          <w:szCs w:val="20"/>
          <w:lang w:val="es-PE"/>
        </w:rPr>
        <w:t>Adicionalmente, l</w:t>
      </w:r>
      <w:r w:rsidR="00AC00A6" w:rsidRPr="006B0525">
        <w:rPr>
          <w:rFonts w:ascii="Verdana" w:hAnsi="Verdana"/>
          <w:sz w:val="20"/>
          <w:szCs w:val="20"/>
          <w:lang w:val="es-PE"/>
        </w:rPr>
        <w:t xml:space="preserve">as </w:t>
      </w:r>
      <w:r w:rsidR="008B3192" w:rsidRPr="006B0525">
        <w:rPr>
          <w:rFonts w:ascii="Verdana" w:eastAsia="MS Mincho" w:hAnsi="Verdana"/>
          <w:sz w:val="20"/>
          <w:szCs w:val="20"/>
          <w:lang w:bidi="en-US"/>
        </w:rPr>
        <w:t>representantes</w:t>
      </w:r>
      <w:r w:rsidR="008B3192" w:rsidRPr="006B0525">
        <w:rPr>
          <w:rFonts w:ascii="Verdana" w:eastAsia="MS Mincho" w:hAnsi="Verdana"/>
          <w:b/>
          <w:i/>
          <w:sz w:val="20"/>
          <w:szCs w:val="20"/>
          <w:lang w:bidi="en-US"/>
        </w:rPr>
        <w:t xml:space="preserve"> </w:t>
      </w:r>
      <w:r w:rsidR="008B3192" w:rsidRPr="006B0525">
        <w:rPr>
          <w:rFonts w:ascii="Verdana" w:eastAsia="MS Mincho" w:hAnsi="Verdana"/>
          <w:sz w:val="20"/>
          <w:szCs w:val="20"/>
          <w:lang w:bidi="en-US"/>
        </w:rPr>
        <w:t>solicitaron</w:t>
      </w:r>
      <w:r w:rsidR="00AC00A6" w:rsidRPr="006B0525">
        <w:rPr>
          <w:rFonts w:ascii="Verdana" w:eastAsia="MS Mincho" w:hAnsi="Verdana"/>
          <w:sz w:val="20"/>
          <w:szCs w:val="20"/>
          <w:lang w:bidi="en-US"/>
        </w:rPr>
        <w:t xml:space="preserve"> que se ordenara al Estado </w:t>
      </w:r>
      <w:r w:rsidR="008510E6">
        <w:rPr>
          <w:rFonts w:ascii="Verdana" w:hAnsi="Verdana"/>
          <w:sz w:val="20"/>
          <w:szCs w:val="20"/>
          <w:lang w:val="es-PE"/>
        </w:rPr>
        <w:t>(</w:t>
      </w:r>
      <w:r w:rsidR="00AC00A6" w:rsidRPr="006B0525">
        <w:rPr>
          <w:rFonts w:ascii="Verdana" w:hAnsi="Verdana"/>
          <w:sz w:val="20"/>
          <w:szCs w:val="20"/>
          <w:lang w:val="es-PE"/>
        </w:rPr>
        <w:t>i)</w:t>
      </w:r>
      <w:r w:rsidR="00AC00A6" w:rsidRPr="006B0525">
        <w:rPr>
          <w:rFonts w:ascii="Verdana" w:hAnsi="Verdana"/>
          <w:b/>
          <w:sz w:val="20"/>
          <w:szCs w:val="20"/>
          <w:lang w:val="es-PE"/>
        </w:rPr>
        <w:t xml:space="preserve"> </w:t>
      </w:r>
      <w:r w:rsidR="00AC00A6" w:rsidRPr="006B0525">
        <w:rPr>
          <w:rFonts w:ascii="Verdana" w:eastAsia="MS Mincho" w:hAnsi="Verdana"/>
          <w:sz w:val="20"/>
          <w:szCs w:val="20"/>
          <w:lang w:bidi="en-US"/>
        </w:rPr>
        <w:t>la realización de capacitaciones dirigidas a los</w:t>
      </w:r>
      <w:r w:rsidR="00AC00A6" w:rsidRPr="006B0525">
        <w:rPr>
          <w:rFonts w:ascii="Verdana" w:hAnsi="Verdana"/>
          <w:sz w:val="20"/>
          <w:szCs w:val="20"/>
          <w:lang w:val="es-PE"/>
        </w:rPr>
        <w:t xml:space="preserve"> funcionarios públicos, autoridades judiciales, policiales, fiscales, agentes carcelarios y autoridades del sistema penitenciario, una formación completa sobre los principios y normas de protección de los derechos humanos, el derecho internacional humanitario, y en especial respeto a la importancia de la protección y conservación de la vida</w:t>
      </w:r>
      <w:r w:rsidR="00A33359">
        <w:rPr>
          <w:rFonts w:ascii="Verdana" w:hAnsi="Verdana"/>
          <w:sz w:val="20"/>
          <w:szCs w:val="20"/>
          <w:lang w:val="es-PE"/>
        </w:rPr>
        <w:t>,</w:t>
      </w:r>
      <w:r w:rsidR="00AC00A6" w:rsidRPr="006B0525">
        <w:rPr>
          <w:rFonts w:ascii="Verdana" w:hAnsi="Verdana"/>
          <w:b/>
          <w:sz w:val="20"/>
          <w:szCs w:val="20"/>
          <w:lang w:val="es-PE"/>
        </w:rPr>
        <w:t xml:space="preserve"> </w:t>
      </w:r>
      <w:r w:rsidR="00AC00A6" w:rsidRPr="006B0525">
        <w:rPr>
          <w:rFonts w:ascii="Verdana" w:hAnsi="Verdana"/>
          <w:sz w:val="20"/>
          <w:szCs w:val="20"/>
          <w:lang w:val="es-PE"/>
        </w:rPr>
        <w:t>y (</w:t>
      </w:r>
      <w:proofErr w:type="spellStart"/>
      <w:r w:rsidR="00AC00A6" w:rsidRPr="006B0525">
        <w:rPr>
          <w:rFonts w:ascii="Verdana" w:hAnsi="Verdana"/>
          <w:sz w:val="20"/>
          <w:szCs w:val="20"/>
          <w:lang w:val="es-PE"/>
        </w:rPr>
        <w:t>ii</w:t>
      </w:r>
      <w:proofErr w:type="spellEnd"/>
      <w:r w:rsidR="00AC00A6" w:rsidRPr="006B0525">
        <w:rPr>
          <w:rFonts w:ascii="Verdana" w:hAnsi="Verdana"/>
          <w:sz w:val="20"/>
          <w:szCs w:val="20"/>
          <w:lang w:val="es-PE"/>
        </w:rPr>
        <w:t>)</w:t>
      </w:r>
      <w:r w:rsidR="00AC00A6" w:rsidRPr="006B0525">
        <w:rPr>
          <w:rFonts w:ascii="Verdana" w:hAnsi="Verdana"/>
          <w:b/>
          <w:sz w:val="20"/>
          <w:szCs w:val="20"/>
          <w:lang w:val="es-PE"/>
        </w:rPr>
        <w:t xml:space="preserve"> </w:t>
      </w:r>
      <w:r w:rsidR="00AC00A6" w:rsidRPr="006B0525">
        <w:rPr>
          <w:rFonts w:ascii="Verdana" w:hAnsi="Verdana" w:cs="Arial"/>
          <w:sz w:val="20"/>
          <w:szCs w:val="20"/>
        </w:rPr>
        <w:t xml:space="preserve">que se investigue de manera efectiva las </w:t>
      </w:r>
      <w:r w:rsidR="00AC00A6" w:rsidRPr="006B0525">
        <w:rPr>
          <w:rFonts w:ascii="Verdana" w:hAnsi="Verdana"/>
          <w:sz w:val="20"/>
          <w:szCs w:val="20"/>
        </w:rPr>
        <w:t>violaciones</w:t>
      </w:r>
      <w:r w:rsidR="00AC00A6" w:rsidRPr="006B0525">
        <w:rPr>
          <w:rFonts w:ascii="Verdana" w:hAnsi="Verdana" w:cs="Arial"/>
          <w:sz w:val="20"/>
          <w:szCs w:val="20"/>
        </w:rPr>
        <w:t xml:space="preserve"> a los derechos humanos cometidas en contra de los señores </w:t>
      </w:r>
      <w:r w:rsidR="00AC00A6" w:rsidRPr="006B0525">
        <w:rPr>
          <w:rFonts w:ascii="Verdana" w:hAnsi="Verdana"/>
          <w:sz w:val="20"/>
          <w:szCs w:val="20"/>
          <w:lang w:val="es-ES" w:eastAsia="es-ES_tradnl"/>
        </w:rPr>
        <w:t>Rodríguez Revolorio, López Calo y Archila Pérez en procesos en los que se otorguen todas las garantías judiciales</w:t>
      </w:r>
      <w:r w:rsidR="00AC00A6" w:rsidRPr="006B0525">
        <w:rPr>
          <w:rFonts w:ascii="Verdana" w:hAnsi="Verdana" w:cs="Arial"/>
          <w:sz w:val="20"/>
          <w:szCs w:val="20"/>
        </w:rPr>
        <w:t xml:space="preserve">. </w:t>
      </w:r>
    </w:p>
    <w:p w14:paraId="2D4307AC" w14:textId="77777777" w:rsidR="008B3192" w:rsidRPr="006B0525" w:rsidRDefault="008B3192" w:rsidP="008B3192">
      <w:pPr>
        <w:rPr>
          <w:lang w:val="es-PE"/>
        </w:rPr>
      </w:pPr>
    </w:p>
    <w:p w14:paraId="7F8A24E0" w14:textId="77777777" w:rsidR="008B3192" w:rsidRPr="006B0525" w:rsidRDefault="008B3192" w:rsidP="00A22E91">
      <w:pPr>
        <w:pStyle w:val="Normal1"/>
        <w:widowControl/>
        <w:numPr>
          <w:ilvl w:val="0"/>
          <w:numId w:val="4"/>
        </w:numPr>
        <w:ind w:left="0" w:firstLine="0"/>
        <w:contextualSpacing/>
        <w:jc w:val="both"/>
        <w:rPr>
          <w:rFonts w:ascii="Verdana" w:hAnsi="Verdana"/>
          <w:sz w:val="20"/>
          <w:szCs w:val="20"/>
          <w:lang w:val="es-PE"/>
        </w:rPr>
      </w:pPr>
      <w:r w:rsidRPr="006B0525">
        <w:rPr>
          <w:rFonts w:ascii="Verdana" w:hAnsi="Verdana"/>
          <w:sz w:val="20"/>
          <w:szCs w:val="20"/>
          <w:lang w:val="es-PE"/>
        </w:rPr>
        <w:t>El</w:t>
      </w:r>
      <w:r w:rsidRPr="006B0525">
        <w:rPr>
          <w:rFonts w:ascii="Verdana" w:hAnsi="Verdana"/>
          <w:b/>
          <w:i/>
          <w:sz w:val="20"/>
          <w:szCs w:val="20"/>
          <w:lang w:val="es-PE"/>
        </w:rPr>
        <w:t xml:space="preserve"> Estado</w:t>
      </w:r>
      <w:r w:rsidRPr="006B0525">
        <w:rPr>
          <w:rFonts w:ascii="Verdana" w:hAnsi="Verdana"/>
          <w:sz w:val="20"/>
          <w:szCs w:val="20"/>
          <w:lang w:val="es-PE"/>
        </w:rPr>
        <w:t xml:space="preserve"> alegó que</w:t>
      </w:r>
      <w:r w:rsidR="00AC00A6" w:rsidRPr="006B0525">
        <w:rPr>
          <w:rFonts w:ascii="Verdana" w:hAnsi="Verdana"/>
          <w:sz w:val="20"/>
          <w:szCs w:val="20"/>
          <w:lang w:val="es-PE"/>
        </w:rPr>
        <w:t xml:space="preserve"> (i)</w:t>
      </w:r>
      <w:r w:rsidR="007403F5" w:rsidRPr="006B0525">
        <w:rPr>
          <w:rFonts w:ascii="Verdana" w:hAnsi="Verdana"/>
          <w:sz w:val="20"/>
          <w:szCs w:val="20"/>
          <w:lang w:val="es-PE"/>
        </w:rPr>
        <w:t xml:space="preserve"> </w:t>
      </w:r>
      <w:r w:rsidR="00AC00A6" w:rsidRPr="006B0525">
        <w:rPr>
          <w:rFonts w:ascii="Verdana" w:eastAsia="MS Mincho" w:hAnsi="Verdana"/>
          <w:sz w:val="20"/>
          <w:szCs w:val="20"/>
          <w:lang w:bidi="en-US"/>
        </w:rPr>
        <w:t>se</w:t>
      </w:r>
      <w:r w:rsidR="00AC00A6" w:rsidRPr="006B0525">
        <w:rPr>
          <w:rFonts w:ascii="Verdana" w:hAnsi="Verdana"/>
          <w:sz w:val="20"/>
          <w:szCs w:val="20"/>
          <w:lang w:val="es-PE"/>
        </w:rPr>
        <w:t xml:space="preserve"> ha avanzado en la aplicación de los estándares internacionales y la adecuación y armonización de la legislación interna con la internacional en relación a la pena de muerte</w:t>
      </w:r>
      <w:r w:rsidR="008510E6">
        <w:rPr>
          <w:rFonts w:ascii="Verdana" w:hAnsi="Verdana"/>
          <w:sz w:val="20"/>
          <w:szCs w:val="20"/>
          <w:lang w:val="es-PE"/>
        </w:rPr>
        <w:t>;</w:t>
      </w:r>
      <w:r w:rsidR="00AC00A6" w:rsidRPr="006B0525">
        <w:rPr>
          <w:rFonts w:ascii="Verdana" w:hAnsi="Verdana"/>
          <w:sz w:val="20"/>
          <w:szCs w:val="20"/>
          <w:lang w:val="es-PE"/>
        </w:rPr>
        <w:t xml:space="preserve"> (</w:t>
      </w:r>
      <w:proofErr w:type="spellStart"/>
      <w:r w:rsidR="00AC00A6" w:rsidRPr="006B0525">
        <w:rPr>
          <w:rFonts w:ascii="Verdana" w:hAnsi="Verdana"/>
          <w:sz w:val="20"/>
          <w:szCs w:val="20"/>
          <w:lang w:val="es-PE"/>
        </w:rPr>
        <w:t>ii</w:t>
      </w:r>
      <w:proofErr w:type="spellEnd"/>
      <w:r w:rsidR="00AC00A6" w:rsidRPr="006B0525">
        <w:rPr>
          <w:rFonts w:ascii="Verdana" w:hAnsi="Verdana"/>
          <w:sz w:val="20"/>
          <w:szCs w:val="20"/>
          <w:lang w:val="es-PE"/>
        </w:rPr>
        <w:t>)</w:t>
      </w:r>
      <w:r w:rsidRPr="006B0525">
        <w:rPr>
          <w:rFonts w:ascii="Verdana" w:hAnsi="Verdana"/>
          <w:sz w:val="20"/>
          <w:szCs w:val="20"/>
          <w:lang w:val="es-PE"/>
        </w:rPr>
        <w:t xml:space="preserve"> </w:t>
      </w:r>
      <w:r w:rsidR="007403F5" w:rsidRPr="006B0525">
        <w:rPr>
          <w:rFonts w:ascii="Verdana" w:hAnsi="Verdana"/>
          <w:sz w:val="20"/>
          <w:szCs w:val="20"/>
          <w:lang w:val="es-PE"/>
        </w:rPr>
        <w:t xml:space="preserve">no procedería la reinstalación del señor Rodríguez Revolorio, toda vez que existen </w:t>
      </w:r>
      <w:r w:rsidR="007403F5" w:rsidRPr="006B0525">
        <w:rPr>
          <w:rFonts w:ascii="Verdana" w:eastAsia="MS Mincho" w:hAnsi="Verdana"/>
          <w:sz w:val="20"/>
          <w:szCs w:val="20"/>
          <w:lang w:bidi="en-US"/>
        </w:rPr>
        <w:t>nuevos</w:t>
      </w:r>
      <w:r w:rsidR="007403F5" w:rsidRPr="006B0525">
        <w:rPr>
          <w:rFonts w:ascii="Verdana" w:hAnsi="Verdana"/>
          <w:sz w:val="20"/>
          <w:szCs w:val="20"/>
          <w:lang w:val="es-PE"/>
        </w:rPr>
        <w:t xml:space="preserve"> perfiles y requisitos establecidos por la Policía Nacional Civil</w:t>
      </w:r>
      <w:r w:rsidR="008510E6">
        <w:rPr>
          <w:rFonts w:ascii="Verdana" w:hAnsi="Verdana"/>
          <w:sz w:val="20"/>
          <w:szCs w:val="20"/>
          <w:lang w:val="es-PE"/>
        </w:rPr>
        <w:t>;</w:t>
      </w:r>
      <w:r w:rsidR="007403F5" w:rsidRPr="006B0525">
        <w:rPr>
          <w:rFonts w:ascii="Verdana" w:hAnsi="Verdana"/>
          <w:b/>
          <w:sz w:val="20"/>
          <w:szCs w:val="20"/>
          <w:lang w:val="es-PE"/>
        </w:rPr>
        <w:t xml:space="preserve"> </w:t>
      </w:r>
      <w:r w:rsidR="00491045" w:rsidRPr="006B0525">
        <w:rPr>
          <w:rFonts w:ascii="Verdana" w:hAnsi="Verdana"/>
          <w:sz w:val="20"/>
          <w:szCs w:val="20"/>
          <w:lang w:val="es-PE"/>
        </w:rPr>
        <w:t>(</w:t>
      </w:r>
      <w:proofErr w:type="spellStart"/>
      <w:r w:rsidR="008510E6">
        <w:rPr>
          <w:rFonts w:ascii="Verdana" w:hAnsi="Verdana"/>
          <w:sz w:val="20"/>
          <w:szCs w:val="20"/>
          <w:lang w:val="es-PE"/>
        </w:rPr>
        <w:t>iii</w:t>
      </w:r>
      <w:proofErr w:type="spellEnd"/>
      <w:r w:rsidR="00491045" w:rsidRPr="006B0525">
        <w:rPr>
          <w:rFonts w:ascii="Verdana" w:hAnsi="Verdana"/>
          <w:sz w:val="20"/>
          <w:szCs w:val="20"/>
          <w:lang w:val="es-PE"/>
        </w:rPr>
        <w:t>)</w:t>
      </w:r>
      <w:r w:rsidR="00491045" w:rsidRPr="006B0525">
        <w:rPr>
          <w:rFonts w:ascii="Verdana" w:hAnsi="Verdana"/>
          <w:b/>
          <w:sz w:val="20"/>
          <w:szCs w:val="20"/>
          <w:lang w:val="es-PE"/>
        </w:rPr>
        <w:t xml:space="preserve"> </w:t>
      </w:r>
      <w:r w:rsidR="00491045" w:rsidRPr="006B0525">
        <w:rPr>
          <w:rFonts w:ascii="Verdana" w:hAnsi="Verdana"/>
          <w:sz w:val="20"/>
          <w:szCs w:val="20"/>
          <w:lang w:val="es-PE"/>
        </w:rPr>
        <w:t xml:space="preserve">ha dado cumplimiento a las capacitaciones </w:t>
      </w:r>
      <w:r w:rsidR="007403F5" w:rsidRPr="006B0525">
        <w:rPr>
          <w:rFonts w:ascii="Verdana" w:hAnsi="Verdana"/>
          <w:sz w:val="20"/>
          <w:szCs w:val="20"/>
          <w:lang w:val="es-PE"/>
        </w:rPr>
        <w:t>en acatamiento</w:t>
      </w:r>
      <w:r w:rsidR="00491045" w:rsidRPr="006B0525">
        <w:rPr>
          <w:rFonts w:ascii="Verdana" w:hAnsi="Verdana"/>
          <w:sz w:val="20"/>
          <w:szCs w:val="20"/>
          <w:lang w:val="es-PE"/>
        </w:rPr>
        <w:t xml:space="preserve"> </w:t>
      </w:r>
      <w:r w:rsidR="007403F5" w:rsidRPr="006B0525">
        <w:rPr>
          <w:rFonts w:ascii="Verdana" w:hAnsi="Verdana"/>
          <w:sz w:val="20"/>
          <w:szCs w:val="20"/>
          <w:lang w:val="es-PE"/>
        </w:rPr>
        <w:t xml:space="preserve">de </w:t>
      </w:r>
      <w:r w:rsidR="00491045" w:rsidRPr="006B0525">
        <w:rPr>
          <w:rFonts w:ascii="Verdana" w:hAnsi="Verdana"/>
          <w:sz w:val="20"/>
          <w:szCs w:val="20"/>
          <w:lang w:val="es-PE"/>
        </w:rPr>
        <w:t xml:space="preserve">lo ordenado por la Corte en </w:t>
      </w:r>
      <w:r w:rsidR="00491045" w:rsidRPr="006B0525">
        <w:rPr>
          <w:rFonts w:ascii="Verdana" w:eastAsia="MS Mincho" w:hAnsi="Verdana"/>
          <w:sz w:val="20"/>
          <w:szCs w:val="20"/>
          <w:lang w:bidi="en-US"/>
        </w:rPr>
        <w:t>otros</w:t>
      </w:r>
      <w:r w:rsidR="00491045" w:rsidRPr="006B0525">
        <w:rPr>
          <w:rFonts w:ascii="Verdana" w:hAnsi="Verdana"/>
          <w:sz w:val="20"/>
          <w:szCs w:val="20"/>
          <w:lang w:val="es-PE"/>
        </w:rPr>
        <w:t xml:space="preserve"> casos,</w:t>
      </w:r>
      <w:r w:rsidR="00491045" w:rsidRPr="006B0525">
        <w:rPr>
          <w:rFonts w:ascii="Verdana" w:hAnsi="Verdana"/>
          <w:b/>
          <w:sz w:val="20"/>
          <w:szCs w:val="20"/>
          <w:lang w:val="es-PE"/>
        </w:rPr>
        <w:t xml:space="preserve"> </w:t>
      </w:r>
      <w:r w:rsidR="00AC00A6" w:rsidRPr="006B0525">
        <w:rPr>
          <w:rFonts w:ascii="Verdana" w:hAnsi="Verdana"/>
          <w:sz w:val="20"/>
          <w:szCs w:val="20"/>
          <w:lang w:val="es-PE"/>
        </w:rPr>
        <w:t xml:space="preserve">y </w:t>
      </w:r>
      <w:r w:rsidR="007403F5" w:rsidRPr="006B0525">
        <w:rPr>
          <w:rFonts w:ascii="Verdana" w:hAnsi="Verdana"/>
          <w:sz w:val="20"/>
          <w:szCs w:val="20"/>
          <w:lang w:val="es-PE"/>
        </w:rPr>
        <w:t>(</w:t>
      </w:r>
      <w:proofErr w:type="spellStart"/>
      <w:r w:rsidR="008510E6">
        <w:rPr>
          <w:rFonts w:ascii="Verdana" w:hAnsi="Verdana"/>
          <w:sz w:val="20"/>
          <w:szCs w:val="20"/>
          <w:lang w:val="es-PE"/>
        </w:rPr>
        <w:t>i</w:t>
      </w:r>
      <w:r w:rsidR="00491045" w:rsidRPr="006B0525">
        <w:rPr>
          <w:rFonts w:ascii="Verdana" w:hAnsi="Verdana"/>
          <w:sz w:val="20"/>
          <w:szCs w:val="20"/>
          <w:lang w:val="es-PE"/>
        </w:rPr>
        <w:t>v</w:t>
      </w:r>
      <w:proofErr w:type="spellEnd"/>
      <w:r w:rsidR="00AC00A6" w:rsidRPr="006B0525">
        <w:rPr>
          <w:rFonts w:ascii="Verdana" w:hAnsi="Verdana"/>
          <w:sz w:val="20"/>
          <w:szCs w:val="20"/>
          <w:lang w:val="es-PE"/>
        </w:rPr>
        <w:t xml:space="preserve">) </w:t>
      </w:r>
      <w:r w:rsidR="00AC00A6" w:rsidRPr="006B0525">
        <w:rPr>
          <w:rFonts w:ascii="Verdana" w:hAnsi="Verdana"/>
          <w:sz w:val="20"/>
          <w:szCs w:val="20"/>
          <w:lang w:bidi="en-US"/>
        </w:rPr>
        <w:t xml:space="preserve">que ha llevado a cabo todas las acciones necesarias dentro de la medida de sus posibilidades y apegadas a derecho y requirió a la Corte resolver que carece de responsabilidad de las </w:t>
      </w:r>
      <w:r w:rsidR="00AC00A6" w:rsidRPr="006B0525">
        <w:rPr>
          <w:rFonts w:ascii="Verdana" w:hAnsi="Verdana"/>
          <w:sz w:val="20"/>
          <w:szCs w:val="20"/>
        </w:rPr>
        <w:t>supuestas</w:t>
      </w:r>
      <w:r w:rsidR="00AC00A6" w:rsidRPr="006B0525">
        <w:rPr>
          <w:rFonts w:ascii="Verdana" w:hAnsi="Verdana"/>
          <w:sz w:val="20"/>
          <w:szCs w:val="20"/>
          <w:lang w:bidi="en-US"/>
        </w:rPr>
        <w:t xml:space="preserve"> violaciones alegadas</w:t>
      </w:r>
      <w:r w:rsidR="00491045" w:rsidRPr="006B0525">
        <w:rPr>
          <w:rFonts w:ascii="Verdana" w:hAnsi="Verdana"/>
          <w:sz w:val="20"/>
          <w:szCs w:val="20"/>
          <w:lang w:bidi="en-US"/>
        </w:rPr>
        <w:t>.</w:t>
      </w:r>
      <w:r w:rsidR="00AC00A6" w:rsidRPr="006B0525">
        <w:rPr>
          <w:rFonts w:ascii="Verdana" w:hAnsi="Verdana"/>
          <w:sz w:val="20"/>
          <w:szCs w:val="20"/>
          <w:lang w:bidi="en-US"/>
        </w:rPr>
        <w:t xml:space="preserve"> </w:t>
      </w:r>
    </w:p>
    <w:p w14:paraId="71B5ABF2" w14:textId="77777777" w:rsidR="00D40C5B" w:rsidRPr="006B0525" w:rsidRDefault="00D40C5B" w:rsidP="00D40C5B">
      <w:pPr>
        <w:pStyle w:val="Normal1"/>
        <w:widowControl/>
        <w:contextualSpacing/>
        <w:jc w:val="both"/>
        <w:rPr>
          <w:rFonts w:ascii="Verdana" w:hAnsi="Verdana" w:cs="Arial"/>
          <w:bCs/>
          <w:sz w:val="20"/>
          <w:szCs w:val="20"/>
          <w:lang w:val="es-PE"/>
        </w:rPr>
      </w:pPr>
    </w:p>
    <w:p w14:paraId="61924571" w14:textId="77777777" w:rsidR="008B3192" w:rsidRPr="006B0525" w:rsidRDefault="008B3192" w:rsidP="00530549">
      <w:pPr>
        <w:pStyle w:val="Normal1"/>
        <w:widowControl/>
        <w:numPr>
          <w:ilvl w:val="0"/>
          <w:numId w:val="4"/>
        </w:numPr>
        <w:ind w:left="0" w:firstLine="0"/>
        <w:contextualSpacing/>
        <w:jc w:val="both"/>
        <w:rPr>
          <w:rFonts w:ascii="Verdana" w:hAnsi="Verdana" w:cs="Arial"/>
          <w:bCs/>
          <w:sz w:val="20"/>
          <w:szCs w:val="20"/>
          <w:lang w:val="es-PE"/>
        </w:rPr>
      </w:pPr>
      <w:r w:rsidRPr="006B0525">
        <w:rPr>
          <w:rFonts w:ascii="Verdana" w:eastAsia="MS Mincho" w:hAnsi="Verdana"/>
          <w:sz w:val="20"/>
          <w:szCs w:val="20"/>
          <w:lang w:bidi="en-US"/>
        </w:rPr>
        <w:t xml:space="preserve">Este </w:t>
      </w:r>
      <w:r w:rsidRPr="006B0525">
        <w:rPr>
          <w:rFonts w:ascii="Verdana" w:eastAsia="MS Mincho" w:hAnsi="Verdana"/>
          <w:b/>
          <w:i/>
          <w:sz w:val="20"/>
          <w:szCs w:val="20"/>
          <w:lang w:bidi="en-US"/>
        </w:rPr>
        <w:t>T</w:t>
      </w:r>
      <w:proofErr w:type="spellStart"/>
      <w:r w:rsidRPr="006B0525">
        <w:rPr>
          <w:rFonts w:ascii="Verdana" w:hAnsi="Verdana"/>
          <w:b/>
          <w:i/>
          <w:sz w:val="20"/>
          <w:szCs w:val="20"/>
          <w:lang w:val="es-PE"/>
        </w:rPr>
        <w:t>ribunal</w:t>
      </w:r>
      <w:proofErr w:type="spellEnd"/>
      <w:r w:rsidRPr="006B0525">
        <w:rPr>
          <w:rFonts w:ascii="Verdana" w:hAnsi="Verdana"/>
          <w:sz w:val="20"/>
          <w:szCs w:val="20"/>
          <w:lang w:val="es-PE"/>
        </w:rPr>
        <w:t xml:space="preserve"> considera que la </w:t>
      </w:r>
      <w:r w:rsidRPr="006B0525">
        <w:rPr>
          <w:rFonts w:ascii="Verdana" w:hAnsi="Verdana" w:cs="Arial"/>
          <w:sz w:val="20"/>
          <w:szCs w:val="20"/>
        </w:rPr>
        <w:t>em</w:t>
      </w:r>
      <w:r w:rsidRPr="006B0525">
        <w:rPr>
          <w:rFonts w:ascii="Verdana" w:eastAsia="MS Mincho" w:hAnsi="Verdana"/>
          <w:sz w:val="20"/>
          <w:szCs w:val="20"/>
          <w:lang w:bidi="en-US"/>
        </w:rPr>
        <w:t>isión de la presente Sentencia y las reparaciones ordenadas en la misma resultan suficientes y adecuadas</w:t>
      </w:r>
      <w:r w:rsidR="00B42DDE">
        <w:rPr>
          <w:rFonts w:ascii="Verdana" w:eastAsia="MS Mincho" w:hAnsi="Verdana"/>
          <w:sz w:val="20"/>
          <w:szCs w:val="20"/>
          <w:lang w:bidi="en-US"/>
        </w:rPr>
        <w:t xml:space="preserve"> </w:t>
      </w:r>
      <w:r w:rsidR="00B42DDE" w:rsidRPr="002F21AD">
        <w:rPr>
          <w:rFonts w:ascii="Verdana" w:eastAsia="MS Mincho" w:hAnsi="Verdana"/>
          <w:sz w:val="20"/>
          <w:szCs w:val="20"/>
          <w:lang w:bidi="en-US"/>
        </w:rPr>
        <w:t>y, por lo tanto, las referidas medidas no serán acordadas</w:t>
      </w:r>
      <w:r w:rsidRPr="002F21AD">
        <w:rPr>
          <w:rFonts w:ascii="Verdana" w:hAnsi="Verdana"/>
          <w:sz w:val="20"/>
          <w:szCs w:val="20"/>
          <w:lang w:val="es-PE"/>
        </w:rPr>
        <w:t>.</w:t>
      </w:r>
    </w:p>
    <w:p w14:paraId="437EFADC" w14:textId="77777777" w:rsidR="005B0504" w:rsidRPr="006B0525" w:rsidRDefault="00CD152D" w:rsidP="00530549">
      <w:pPr>
        <w:pStyle w:val="Ttulo2"/>
      </w:pPr>
      <w:bookmarkStart w:id="97" w:name="_Toc16270617"/>
      <w:bookmarkStart w:id="98" w:name="_Toc15933778"/>
      <w:bookmarkStart w:id="99" w:name="_Toc495658701"/>
      <w:bookmarkStart w:id="100" w:name="_Toc476390741"/>
      <w:bookmarkStart w:id="101" w:name="_Toc514172669"/>
      <w:bookmarkStart w:id="102" w:name="_Toc26177827"/>
      <w:r w:rsidRPr="006B0525">
        <w:t>D</w:t>
      </w:r>
      <w:r w:rsidR="005B0504" w:rsidRPr="006B0525">
        <w:t>. Indemnizaciones compensatorias</w:t>
      </w:r>
      <w:bookmarkStart w:id="103" w:name="_Toc495658702"/>
      <w:bookmarkStart w:id="104" w:name="_Toc476390742"/>
      <w:bookmarkStart w:id="105" w:name="_Toc514172670"/>
      <w:bookmarkEnd w:id="97"/>
      <w:bookmarkEnd w:id="98"/>
      <w:bookmarkEnd w:id="99"/>
      <w:bookmarkEnd w:id="100"/>
      <w:bookmarkEnd w:id="101"/>
      <w:bookmarkEnd w:id="102"/>
    </w:p>
    <w:p w14:paraId="796A9898" w14:textId="77777777" w:rsidR="005B0504" w:rsidRPr="006B0525" w:rsidRDefault="00CD152D" w:rsidP="00530549">
      <w:pPr>
        <w:pStyle w:val="Ttulo3"/>
      </w:pPr>
      <w:bookmarkStart w:id="106" w:name="_Toc16270618"/>
      <w:bookmarkStart w:id="107" w:name="_Toc15933779"/>
      <w:bookmarkStart w:id="108" w:name="_Toc15064203"/>
      <w:bookmarkStart w:id="109" w:name="_Toc26177828"/>
      <w:r w:rsidRPr="006B0525">
        <w:t>d</w:t>
      </w:r>
      <w:r w:rsidR="005B0504" w:rsidRPr="006B0525">
        <w:t>.1</w:t>
      </w:r>
      <w:r w:rsidR="00BA25AC" w:rsidRPr="006B0525">
        <w:t xml:space="preserve"> </w:t>
      </w:r>
      <w:r w:rsidR="005B0504" w:rsidRPr="006B0525">
        <w:t>Daño material</w:t>
      </w:r>
      <w:bookmarkEnd w:id="103"/>
      <w:bookmarkEnd w:id="104"/>
      <w:bookmarkEnd w:id="105"/>
      <w:bookmarkEnd w:id="106"/>
      <w:bookmarkEnd w:id="107"/>
      <w:bookmarkEnd w:id="108"/>
      <w:bookmarkEnd w:id="109"/>
    </w:p>
    <w:p w14:paraId="096CF4C9" w14:textId="77777777" w:rsidR="00EE62DD" w:rsidRPr="006B0525" w:rsidRDefault="00EE62DD" w:rsidP="00530549">
      <w:pPr>
        <w:pStyle w:val="Normal1"/>
        <w:widowControl/>
        <w:numPr>
          <w:ilvl w:val="0"/>
          <w:numId w:val="4"/>
        </w:numPr>
        <w:ind w:left="0" w:firstLine="0"/>
        <w:contextualSpacing/>
        <w:jc w:val="both"/>
        <w:rPr>
          <w:rFonts w:ascii="Verdana" w:eastAsiaTheme="minorHAnsi" w:hAnsi="Verdana" w:cstheme="minorBidi"/>
          <w:sz w:val="20"/>
          <w:szCs w:val="20"/>
          <w:lang w:val="es-PE"/>
        </w:rPr>
      </w:pPr>
      <w:r w:rsidRPr="006B0525">
        <w:rPr>
          <w:rFonts w:ascii="Verdana" w:hAnsi="Verdana"/>
          <w:sz w:val="20"/>
          <w:szCs w:val="20"/>
          <w:lang w:val="es-PE"/>
        </w:rPr>
        <w:t xml:space="preserve">Las </w:t>
      </w:r>
      <w:r w:rsidRPr="006B0525">
        <w:rPr>
          <w:rFonts w:ascii="Verdana" w:hAnsi="Verdana"/>
          <w:b/>
          <w:i/>
          <w:sz w:val="20"/>
          <w:szCs w:val="20"/>
          <w:lang w:val="es-PE"/>
        </w:rPr>
        <w:t>representantes</w:t>
      </w:r>
      <w:r w:rsidRPr="006B0525">
        <w:rPr>
          <w:rFonts w:ascii="Verdana" w:hAnsi="Verdana"/>
          <w:sz w:val="20"/>
          <w:szCs w:val="20"/>
          <w:lang w:val="es-PE"/>
        </w:rPr>
        <w:t xml:space="preserve"> solicitaron </w:t>
      </w:r>
      <w:r w:rsidR="00AA4B23" w:rsidRPr="006B0525">
        <w:rPr>
          <w:rFonts w:ascii="Verdana" w:hAnsi="Verdana"/>
          <w:sz w:val="20"/>
          <w:szCs w:val="20"/>
          <w:lang w:val="es-PE"/>
        </w:rPr>
        <w:t>en concepto de daño emergente en equidad la suma de</w:t>
      </w:r>
      <w:r w:rsidR="009E03F1" w:rsidRPr="006B0525">
        <w:rPr>
          <w:rFonts w:ascii="Verdana" w:hAnsi="Verdana"/>
          <w:sz w:val="20"/>
          <w:szCs w:val="20"/>
          <w:lang w:val="es-PE"/>
        </w:rPr>
        <w:t xml:space="preserve"> </w:t>
      </w:r>
      <w:r w:rsidR="00AA4B23" w:rsidRPr="006B0525">
        <w:rPr>
          <w:rFonts w:ascii="Verdana" w:hAnsi="Verdana"/>
          <w:sz w:val="20"/>
          <w:szCs w:val="20"/>
          <w:lang w:val="es-PE"/>
        </w:rPr>
        <w:t>US$ 3</w:t>
      </w:r>
      <w:r w:rsidR="00A33359">
        <w:rPr>
          <w:rFonts w:ascii="Verdana" w:hAnsi="Verdana"/>
          <w:sz w:val="20"/>
          <w:szCs w:val="20"/>
          <w:lang w:val="es-PE"/>
        </w:rPr>
        <w:t>0,</w:t>
      </w:r>
      <w:r w:rsidR="00AA4B23" w:rsidRPr="006B0525">
        <w:rPr>
          <w:rFonts w:ascii="Verdana" w:hAnsi="Verdana"/>
          <w:sz w:val="20"/>
          <w:szCs w:val="20"/>
          <w:lang w:val="es-PE"/>
        </w:rPr>
        <w:t>000 (treinta mil dólares de los Est</w:t>
      </w:r>
      <w:r w:rsidR="00A33359">
        <w:rPr>
          <w:rFonts w:ascii="Verdana" w:hAnsi="Verdana"/>
          <w:sz w:val="20"/>
          <w:szCs w:val="20"/>
          <w:lang w:val="es-PE"/>
        </w:rPr>
        <w:t>ad</w:t>
      </w:r>
      <w:r w:rsidR="00AA4B23" w:rsidRPr="006B0525">
        <w:rPr>
          <w:rFonts w:ascii="Verdana" w:hAnsi="Verdana"/>
          <w:sz w:val="20"/>
          <w:szCs w:val="20"/>
          <w:lang w:val="es-PE"/>
        </w:rPr>
        <w:t xml:space="preserve">os Unidos de América). </w:t>
      </w:r>
      <w:r w:rsidR="006C13B7" w:rsidRPr="006B0525">
        <w:rPr>
          <w:rFonts w:ascii="Verdana" w:hAnsi="Verdana"/>
          <w:sz w:val="20"/>
          <w:szCs w:val="20"/>
          <w:lang w:val="es-PE"/>
        </w:rPr>
        <w:t>Alegaron que este monto corresponde a los gastos que los familiares han tenido que realizar, tales como</w:t>
      </w:r>
      <w:r w:rsidR="009E03F1" w:rsidRPr="006B0525">
        <w:rPr>
          <w:rFonts w:ascii="Verdana" w:hAnsi="Verdana"/>
          <w:sz w:val="20"/>
          <w:szCs w:val="20"/>
          <w:lang w:val="es-PE"/>
        </w:rPr>
        <w:t xml:space="preserve"> </w:t>
      </w:r>
      <w:r w:rsidR="006C13B7" w:rsidRPr="006B0525">
        <w:rPr>
          <w:rFonts w:ascii="Verdana" w:hAnsi="Verdana"/>
          <w:sz w:val="20"/>
          <w:szCs w:val="20"/>
          <w:lang w:val="es-PE"/>
        </w:rPr>
        <w:t xml:space="preserve">los gastos funerarios, los gastos por las gestiones realizadas ante instituciones, traslados para visitarlos cuando estaban detenidos, los </w:t>
      </w:r>
      <w:r w:rsidR="00A33359">
        <w:rPr>
          <w:rFonts w:ascii="Verdana" w:hAnsi="Verdana"/>
          <w:sz w:val="20"/>
          <w:szCs w:val="20"/>
          <w:lang w:val="es-PE"/>
        </w:rPr>
        <w:t>gastos de alimentos, medicamentos y ropa</w:t>
      </w:r>
      <w:r w:rsidR="006C13B7" w:rsidRPr="006B0525">
        <w:rPr>
          <w:rFonts w:ascii="Verdana" w:hAnsi="Verdana"/>
          <w:sz w:val="20"/>
          <w:szCs w:val="20"/>
          <w:lang w:val="es-PE"/>
        </w:rPr>
        <w:t xml:space="preserve"> para sus estadías en la cárcel. Asimismo, las representantes indicaron que el resto de los comprobantes de los gastos en que las presuntas víctimas incurrieron se perdieron a lo largo de los años. </w:t>
      </w:r>
      <w:r w:rsidR="00AA4B23" w:rsidRPr="006B0525">
        <w:rPr>
          <w:rFonts w:ascii="Verdana" w:hAnsi="Verdana"/>
          <w:sz w:val="20"/>
          <w:szCs w:val="20"/>
          <w:lang w:val="es-PE"/>
        </w:rPr>
        <w:t>P</w:t>
      </w:r>
      <w:r w:rsidRPr="006B0525">
        <w:rPr>
          <w:rFonts w:ascii="Verdana" w:hAnsi="Verdana"/>
          <w:sz w:val="20"/>
          <w:szCs w:val="20"/>
          <w:lang w:val="es-PE"/>
        </w:rPr>
        <w:t xml:space="preserve">or concepto de lucro cesante, </w:t>
      </w:r>
      <w:r w:rsidR="006C13B7" w:rsidRPr="006B0525">
        <w:rPr>
          <w:rFonts w:ascii="Verdana" w:hAnsi="Verdana"/>
          <w:sz w:val="20"/>
          <w:szCs w:val="20"/>
          <w:lang w:val="es-PE"/>
        </w:rPr>
        <w:t xml:space="preserve">solicitaron que la Corte determine </w:t>
      </w:r>
      <w:r w:rsidR="00AA4B23" w:rsidRPr="006B0525">
        <w:rPr>
          <w:rFonts w:ascii="Verdana" w:hAnsi="Verdana"/>
          <w:sz w:val="20"/>
          <w:szCs w:val="20"/>
          <w:lang w:val="es-PE"/>
        </w:rPr>
        <w:t>en</w:t>
      </w:r>
      <w:r w:rsidRPr="006B0525">
        <w:rPr>
          <w:rFonts w:ascii="Verdana" w:hAnsi="Verdana"/>
          <w:sz w:val="20"/>
          <w:szCs w:val="20"/>
          <w:lang w:val="es-PE"/>
        </w:rPr>
        <w:t xml:space="preserve"> equidad </w:t>
      </w:r>
      <w:r w:rsidR="006C13B7" w:rsidRPr="006B0525">
        <w:rPr>
          <w:rFonts w:ascii="Verdana" w:hAnsi="Verdana"/>
          <w:sz w:val="20"/>
          <w:szCs w:val="20"/>
          <w:lang w:val="es-PE"/>
        </w:rPr>
        <w:t xml:space="preserve">el pago de </w:t>
      </w:r>
      <w:r w:rsidRPr="006B0525">
        <w:rPr>
          <w:rFonts w:ascii="Verdana" w:eastAsia="MS Mincho" w:hAnsi="Verdana"/>
          <w:sz w:val="20"/>
          <w:szCs w:val="20"/>
          <w:lang w:bidi="en-US"/>
        </w:rPr>
        <w:t>la</w:t>
      </w:r>
      <w:r w:rsidRPr="006B0525">
        <w:rPr>
          <w:rFonts w:ascii="Verdana" w:hAnsi="Verdana"/>
          <w:sz w:val="20"/>
          <w:szCs w:val="20"/>
          <w:lang w:val="es-PE"/>
        </w:rPr>
        <w:t xml:space="preserve"> cantidad de US$ 132</w:t>
      </w:r>
      <w:r w:rsidR="001E592D">
        <w:rPr>
          <w:rFonts w:ascii="Verdana" w:hAnsi="Verdana"/>
          <w:sz w:val="20"/>
          <w:szCs w:val="20"/>
          <w:lang w:val="es-PE"/>
        </w:rPr>
        <w:t>,</w:t>
      </w:r>
      <w:r w:rsidRPr="006B0525">
        <w:rPr>
          <w:rFonts w:ascii="Verdana" w:hAnsi="Verdana"/>
          <w:sz w:val="20"/>
          <w:szCs w:val="20"/>
          <w:lang w:val="es-PE"/>
        </w:rPr>
        <w:t>000 (ciento treinta y dos mil dólares de los Es</w:t>
      </w:r>
      <w:r w:rsidR="00A33359">
        <w:rPr>
          <w:rFonts w:ascii="Verdana" w:hAnsi="Verdana"/>
          <w:sz w:val="20"/>
          <w:szCs w:val="20"/>
          <w:lang w:val="es-PE"/>
        </w:rPr>
        <w:t>tad</w:t>
      </w:r>
      <w:r w:rsidRPr="006B0525">
        <w:rPr>
          <w:rFonts w:ascii="Verdana" w:hAnsi="Verdana"/>
          <w:sz w:val="20"/>
          <w:szCs w:val="20"/>
          <w:lang w:val="es-PE"/>
        </w:rPr>
        <w:t>os</w:t>
      </w:r>
      <w:r w:rsidR="006C13B7" w:rsidRPr="006B0525">
        <w:rPr>
          <w:rFonts w:ascii="Verdana" w:hAnsi="Verdana"/>
          <w:sz w:val="20"/>
          <w:szCs w:val="20"/>
          <w:lang w:val="es-PE"/>
        </w:rPr>
        <w:t xml:space="preserve"> Unidos de América)</w:t>
      </w:r>
      <w:r w:rsidRPr="006B0525">
        <w:rPr>
          <w:rFonts w:ascii="Verdana" w:hAnsi="Verdana"/>
          <w:sz w:val="20"/>
          <w:szCs w:val="20"/>
          <w:lang w:val="es-PE"/>
        </w:rPr>
        <w:t xml:space="preserve"> a favor del señor Rodríguez Revolorio, e igual monto distribuido a los familiares de los señores López Calo y Archila Pérez</w:t>
      </w:r>
      <w:r w:rsidRPr="002F21AD">
        <w:rPr>
          <w:rFonts w:ascii="Verdana" w:hAnsi="Verdana"/>
          <w:sz w:val="20"/>
          <w:szCs w:val="20"/>
          <w:lang w:val="es-PE"/>
        </w:rPr>
        <w:t xml:space="preserve">. </w:t>
      </w:r>
      <w:r w:rsidR="00AA4B23" w:rsidRPr="006B0525">
        <w:rPr>
          <w:rFonts w:ascii="Verdana" w:hAnsi="Verdana"/>
          <w:sz w:val="20"/>
          <w:szCs w:val="20"/>
          <w:lang w:val="es-PE"/>
        </w:rPr>
        <w:t>L</w:t>
      </w:r>
      <w:r w:rsidRPr="006B0525">
        <w:rPr>
          <w:rFonts w:ascii="Verdana" w:hAnsi="Verdana"/>
          <w:sz w:val="20"/>
          <w:szCs w:val="20"/>
          <w:lang w:val="es-PE"/>
        </w:rPr>
        <w:t xml:space="preserve">as representantes indicaron en caso de que la Corte no coincida con el monto de la reparación solicitada en concepto de daño inmaterial, solicitaron que se determine la misma conforme al principio de equidad. </w:t>
      </w:r>
    </w:p>
    <w:p w14:paraId="33F77659" w14:textId="77777777" w:rsidR="005B0504" w:rsidRPr="006B0525" w:rsidRDefault="005B0504" w:rsidP="00530549">
      <w:pPr>
        <w:rPr>
          <w:lang w:val="es-PE"/>
        </w:rPr>
      </w:pPr>
    </w:p>
    <w:p w14:paraId="3783F811" w14:textId="77777777" w:rsidR="005B0504" w:rsidRPr="00A20EEE" w:rsidRDefault="005B0504" w:rsidP="006A708F">
      <w:pPr>
        <w:pStyle w:val="Normal1"/>
        <w:widowControl/>
        <w:numPr>
          <w:ilvl w:val="0"/>
          <w:numId w:val="4"/>
        </w:numPr>
        <w:ind w:left="0" w:firstLine="0"/>
        <w:contextualSpacing/>
        <w:jc w:val="both"/>
        <w:rPr>
          <w:rFonts w:ascii="Verdana" w:eastAsiaTheme="minorHAnsi" w:hAnsi="Verdana" w:cstheme="minorBidi"/>
          <w:sz w:val="20"/>
          <w:szCs w:val="20"/>
          <w:lang w:val="es-PE"/>
        </w:rPr>
      </w:pPr>
      <w:r w:rsidRPr="00A20EEE">
        <w:rPr>
          <w:rFonts w:ascii="Verdana" w:hAnsi="Verdana"/>
          <w:sz w:val="20"/>
          <w:szCs w:val="20"/>
          <w:lang w:val="es-PE"/>
        </w:rPr>
        <w:t xml:space="preserve">El </w:t>
      </w:r>
      <w:r w:rsidRPr="00A20EEE">
        <w:rPr>
          <w:rFonts w:ascii="Verdana" w:hAnsi="Verdana"/>
          <w:b/>
          <w:i/>
          <w:sz w:val="20"/>
          <w:szCs w:val="20"/>
          <w:lang w:val="es-PE"/>
        </w:rPr>
        <w:t>Estado</w:t>
      </w:r>
      <w:r w:rsidRPr="00A20EEE">
        <w:rPr>
          <w:rFonts w:ascii="Verdana" w:hAnsi="Verdana"/>
          <w:b/>
          <w:sz w:val="20"/>
          <w:szCs w:val="20"/>
          <w:lang w:val="es-PE"/>
        </w:rPr>
        <w:t xml:space="preserve"> </w:t>
      </w:r>
      <w:r w:rsidRPr="00A20EEE">
        <w:rPr>
          <w:rFonts w:ascii="Verdana" w:hAnsi="Verdana"/>
          <w:sz w:val="20"/>
          <w:szCs w:val="20"/>
          <w:lang w:val="es-PE"/>
        </w:rPr>
        <w:t>alegó que el mome</w:t>
      </w:r>
      <w:r w:rsidR="001772DF" w:rsidRPr="00A20EEE">
        <w:rPr>
          <w:rFonts w:ascii="Verdana" w:hAnsi="Verdana"/>
          <w:sz w:val="20"/>
          <w:szCs w:val="20"/>
          <w:lang w:val="es-PE"/>
        </w:rPr>
        <w:t>nto que estuvieron encarcelados el costo de alimentos</w:t>
      </w:r>
      <w:r w:rsidRPr="00A20EEE">
        <w:rPr>
          <w:rFonts w:ascii="Verdana" w:hAnsi="Verdana"/>
          <w:sz w:val="20"/>
          <w:szCs w:val="20"/>
          <w:lang w:val="es-PE"/>
        </w:rPr>
        <w:t xml:space="preserve"> </w:t>
      </w:r>
      <w:r w:rsidR="001772DF" w:rsidRPr="00A20EEE">
        <w:rPr>
          <w:rFonts w:ascii="Verdana" w:hAnsi="Verdana"/>
          <w:sz w:val="20"/>
          <w:szCs w:val="20"/>
          <w:lang w:val="es-PE"/>
        </w:rPr>
        <w:t xml:space="preserve">y </w:t>
      </w:r>
      <w:r w:rsidRPr="00A20EEE">
        <w:rPr>
          <w:rFonts w:ascii="Verdana" w:hAnsi="Verdana"/>
          <w:sz w:val="20"/>
          <w:szCs w:val="20"/>
          <w:lang w:val="es-PE"/>
        </w:rPr>
        <w:t>medicamentos fueron cubiertos por el Estado y por los cent</w:t>
      </w:r>
      <w:r w:rsidR="001772DF" w:rsidRPr="00A20EEE">
        <w:rPr>
          <w:rFonts w:ascii="Verdana" w:hAnsi="Verdana"/>
          <w:sz w:val="20"/>
          <w:szCs w:val="20"/>
          <w:lang w:val="es-PE"/>
        </w:rPr>
        <w:t>ros públicos de atención médica. P</w:t>
      </w:r>
      <w:r w:rsidRPr="00A20EEE">
        <w:rPr>
          <w:rFonts w:ascii="Verdana" w:hAnsi="Verdana"/>
          <w:sz w:val="20"/>
          <w:szCs w:val="20"/>
          <w:lang w:val="es-PE"/>
        </w:rPr>
        <w:t xml:space="preserve">or lo </w:t>
      </w:r>
      <w:r w:rsidRPr="00A20EEE">
        <w:rPr>
          <w:rFonts w:ascii="Verdana" w:hAnsi="Verdana"/>
          <w:sz w:val="20"/>
          <w:szCs w:val="20"/>
          <w:lang w:val="es-PE"/>
        </w:rPr>
        <w:lastRenderedPageBreak/>
        <w:t>tanto, se cubrió en la medida de sus posibilidades dichos costos</w:t>
      </w:r>
      <w:r w:rsidR="001772DF" w:rsidRPr="00A20EEE">
        <w:rPr>
          <w:rFonts w:ascii="Verdana" w:hAnsi="Verdana"/>
          <w:sz w:val="20"/>
          <w:szCs w:val="20"/>
          <w:lang w:val="es-PE"/>
        </w:rPr>
        <w:t>.</w:t>
      </w:r>
      <w:r w:rsidRPr="00A20EEE">
        <w:rPr>
          <w:rFonts w:ascii="Verdana" w:hAnsi="Verdana"/>
          <w:b/>
          <w:sz w:val="20"/>
          <w:szCs w:val="20"/>
          <w:lang w:val="es-PE"/>
        </w:rPr>
        <w:t xml:space="preserve"> </w:t>
      </w:r>
      <w:r w:rsidR="001772DF" w:rsidRPr="00A20EEE">
        <w:rPr>
          <w:rFonts w:ascii="Verdana" w:hAnsi="Verdana"/>
          <w:sz w:val="20"/>
          <w:szCs w:val="20"/>
          <w:lang w:val="es-PE"/>
        </w:rPr>
        <w:t>R</w:t>
      </w:r>
      <w:r w:rsidRPr="00A20EEE">
        <w:rPr>
          <w:rFonts w:ascii="Verdana" w:hAnsi="Verdana"/>
          <w:sz w:val="20"/>
          <w:szCs w:val="20"/>
          <w:lang w:val="es-PE"/>
        </w:rPr>
        <w:t xml:space="preserve">especto a los gastos de transporte de los familiares para las visitas, alegó que </w:t>
      </w:r>
      <w:r w:rsidR="001772DF" w:rsidRPr="00A20EEE">
        <w:rPr>
          <w:rFonts w:ascii="Verdana" w:hAnsi="Verdana"/>
          <w:sz w:val="20"/>
          <w:szCs w:val="20"/>
          <w:lang w:val="es-PE"/>
        </w:rPr>
        <w:t>“</w:t>
      </w:r>
      <w:r w:rsidRPr="00A20EEE">
        <w:rPr>
          <w:rFonts w:ascii="Verdana" w:hAnsi="Verdana"/>
          <w:sz w:val="20"/>
          <w:szCs w:val="20"/>
          <w:lang w:val="es-PE"/>
        </w:rPr>
        <w:t>la víctima</w:t>
      </w:r>
      <w:r w:rsidR="001772DF" w:rsidRPr="00A20EEE">
        <w:rPr>
          <w:rFonts w:ascii="Verdana" w:hAnsi="Verdana"/>
          <w:sz w:val="20"/>
          <w:szCs w:val="20"/>
          <w:lang w:val="es-PE"/>
        </w:rPr>
        <w:t>” (</w:t>
      </w:r>
      <w:r w:rsidR="001772DF" w:rsidRPr="00A20EEE">
        <w:rPr>
          <w:rFonts w:ascii="Verdana" w:hAnsi="Verdana"/>
          <w:i/>
          <w:sz w:val="20"/>
          <w:szCs w:val="20"/>
          <w:lang w:val="es-PE"/>
        </w:rPr>
        <w:t>sic</w:t>
      </w:r>
      <w:r w:rsidR="001772DF" w:rsidRPr="00A20EEE">
        <w:rPr>
          <w:rFonts w:ascii="Verdana" w:hAnsi="Verdana"/>
          <w:sz w:val="20"/>
          <w:szCs w:val="20"/>
          <w:lang w:val="es-PE"/>
        </w:rPr>
        <w:t>)</w:t>
      </w:r>
      <w:r w:rsidRPr="00A20EEE">
        <w:rPr>
          <w:rFonts w:ascii="Verdana" w:hAnsi="Verdana"/>
          <w:sz w:val="20"/>
          <w:szCs w:val="20"/>
          <w:lang w:val="es-PE"/>
        </w:rPr>
        <w:t xml:space="preserve"> manifestó que lo habían abandonado</w:t>
      </w:r>
      <w:r w:rsidR="001772DF" w:rsidRPr="00A20EEE">
        <w:rPr>
          <w:rFonts w:ascii="Verdana" w:hAnsi="Verdana"/>
          <w:sz w:val="20"/>
          <w:szCs w:val="20"/>
          <w:lang w:val="es-PE"/>
        </w:rPr>
        <w:t>.</w:t>
      </w:r>
      <w:r w:rsidR="00247CE0" w:rsidRPr="00A20EEE">
        <w:rPr>
          <w:rFonts w:ascii="Verdana" w:hAnsi="Verdana"/>
          <w:b/>
          <w:sz w:val="20"/>
          <w:szCs w:val="20"/>
          <w:lang w:val="es-PE"/>
        </w:rPr>
        <w:t xml:space="preserve"> </w:t>
      </w:r>
      <w:r w:rsidR="001772DF" w:rsidRPr="00A20EEE">
        <w:rPr>
          <w:rFonts w:ascii="Verdana" w:hAnsi="Verdana"/>
          <w:sz w:val="20"/>
          <w:szCs w:val="20"/>
          <w:lang w:val="es-PE"/>
        </w:rPr>
        <w:t xml:space="preserve">Adicionalmente recordó que en ningún momento las presuntas víctimas, sus representantes o la </w:t>
      </w:r>
      <w:r w:rsidR="00B85477" w:rsidRPr="00A20EEE">
        <w:rPr>
          <w:rFonts w:ascii="Verdana" w:hAnsi="Verdana"/>
          <w:sz w:val="20"/>
          <w:szCs w:val="20"/>
          <w:lang w:val="es-PE"/>
        </w:rPr>
        <w:t>Comisión</w:t>
      </w:r>
      <w:r w:rsidR="001772DF" w:rsidRPr="00A20EEE">
        <w:rPr>
          <w:rFonts w:ascii="Verdana" w:hAnsi="Verdana"/>
          <w:sz w:val="20"/>
          <w:szCs w:val="20"/>
          <w:lang w:val="es-PE"/>
        </w:rPr>
        <w:t xml:space="preserve"> demostraron fehacientemente los gastos incurridos durante el litigio. </w:t>
      </w:r>
      <w:r w:rsidR="00EE62DD" w:rsidRPr="00A20EEE">
        <w:rPr>
          <w:rFonts w:ascii="Verdana" w:hAnsi="Verdana"/>
          <w:sz w:val="20"/>
          <w:szCs w:val="20"/>
          <w:lang w:val="es-PE"/>
        </w:rPr>
        <w:t>El Estado</w:t>
      </w:r>
      <w:r w:rsidR="00EE62DD" w:rsidRPr="00A20EEE">
        <w:rPr>
          <w:rFonts w:ascii="Verdana" w:hAnsi="Verdana"/>
          <w:b/>
          <w:sz w:val="20"/>
          <w:szCs w:val="20"/>
          <w:lang w:val="es-PE"/>
        </w:rPr>
        <w:t xml:space="preserve"> </w:t>
      </w:r>
      <w:r w:rsidR="00EE62DD" w:rsidRPr="00A20EEE">
        <w:rPr>
          <w:rFonts w:ascii="Verdana" w:hAnsi="Verdana"/>
          <w:sz w:val="20"/>
          <w:szCs w:val="20"/>
          <w:lang w:val="es-PE"/>
        </w:rPr>
        <w:t xml:space="preserve">alegó además que los señores Rodríguez Revolorio, López Calo y Archila Pérez fueron sentenciados por la comisión del delito de asesinato y asesinato en grado de tentativa, aprovechándose de la investidura que les otorgó el Estado al ser nombrados agentes de la Policía Nacional. Por el ejercicio de </w:t>
      </w:r>
      <w:r w:rsidR="00EE62DD" w:rsidRPr="00A20EEE">
        <w:rPr>
          <w:rFonts w:ascii="Verdana" w:eastAsia="MS Mincho" w:hAnsi="Verdana"/>
          <w:sz w:val="20"/>
          <w:szCs w:val="20"/>
          <w:lang w:bidi="en-US"/>
        </w:rPr>
        <w:t>dicha</w:t>
      </w:r>
      <w:r w:rsidR="00EE62DD" w:rsidRPr="00A20EEE">
        <w:rPr>
          <w:rFonts w:ascii="Verdana" w:hAnsi="Verdana"/>
          <w:sz w:val="20"/>
          <w:szCs w:val="20"/>
          <w:lang w:val="es-PE"/>
        </w:rPr>
        <w:t xml:space="preserve"> labor, el Estado les erogaba un pago por concepto de salario devengado. Por tanto, el Estado manifestó su rechazo rotundo a dicha medida de reparación, y solicita a la Corte declarar la misma improcedente. </w:t>
      </w:r>
    </w:p>
    <w:p w14:paraId="5CD085CE" w14:textId="77777777" w:rsidR="005B0504" w:rsidRPr="006B0525" w:rsidRDefault="005B0504" w:rsidP="00530549">
      <w:pPr>
        <w:spacing w:line="240" w:lineRule="auto"/>
        <w:rPr>
          <w:lang w:val="es-PE"/>
        </w:rPr>
      </w:pPr>
    </w:p>
    <w:p w14:paraId="46AA23AD" w14:textId="77777777" w:rsidR="00FB5CB3" w:rsidRPr="003378B5" w:rsidRDefault="005B0504" w:rsidP="00530549">
      <w:pPr>
        <w:pStyle w:val="Normal1"/>
        <w:widowControl/>
        <w:numPr>
          <w:ilvl w:val="0"/>
          <w:numId w:val="4"/>
        </w:numPr>
        <w:ind w:left="0" w:firstLine="0"/>
        <w:contextualSpacing/>
        <w:jc w:val="both"/>
        <w:rPr>
          <w:rFonts w:ascii="Verdana" w:eastAsia="MS Mincho" w:hAnsi="Verdana"/>
          <w:b/>
          <w:sz w:val="20"/>
          <w:szCs w:val="20"/>
          <w:lang w:bidi="en-US"/>
        </w:rPr>
      </w:pPr>
      <w:r w:rsidRPr="006B0525">
        <w:rPr>
          <w:rFonts w:ascii="Verdana" w:eastAsia="MS Mincho" w:hAnsi="Verdana"/>
          <w:sz w:val="20"/>
          <w:szCs w:val="20"/>
          <w:lang w:bidi="en-US"/>
        </w:rPr>
        <w:t>La</w:t>
      </w:r>
      <w:r w:rsidRPr="006B0525">
        <w:rPr>
          <w:rFonts w:ascii="Verdana" w:eastAsia="MS Mincho" w:hAnsi="Verdana"/>
          <w:b/>
          <w:sz w:val="20"/>
          <w:szCs w:val="20"/>
          <w:lang w:bidi="en-US"/>
        </w:rPr>
        <w:t xml:space="preserve"> </w:t>
      </w:r>
      <w:r w:rsidRPr="006B0525">
        <w:rPr>
          <w:rFonts w:ascii="Verdana" w:eastAsia="MS Mincho" w:hAnsi="Verdana"/>
          <w:b/>
          <w:i/>
          <w:sz w:val="20"/>
          <w:szCs w:val="20"/>
          <w:lang w:bidi="en-US"/>
        </w:rPr>
        <w:t>Comisión</w:t>
      </w:r>
      <w:r w:rsidRPr="006B0525">
        <w:rPr>
          <w:rFonts w:ascii="Verdana" w:eastAsia="MS Mincho" w:hAnsi="Verdana"/>
          <w:b/>
          <w:sz w:val="20"/>
          <w:szCs w:val="20"/>
          <w:lang w:bidi="en-US"/>
        </w:rPr>
        <w:t xml:space="preserve"> </w:t>
      </w:r>
      <w:r w:rsidRPr="006B0525">
        <w:rPr>
          <w:rFonts w:ascii="Verdana" w:eastAsia="MS Mincho" w:hAnsi="Verdana"/>
          <w:sz w:val="20"/>
          <w:szCs w:val="20"/>
          <w:lang w:bidi="en-US"/>
        </w:rPr>
        <w:t>no presentó alegatos específicos sobre este punto.</w:t>
      </w:r>
    </w:p>
    <w:p w14:paraId="082776A6" w14:textId="77777777" w:rsidR="003378B5" w:rsidRPr="003378B5" w:rsidRDefault="003378B5" w:rsidP="003378B5">
      <w:pPr>
        <w:pStyle w:val="Normal1"/>
        <w:widowControl/>
        <w:contextualSpacing/>
        <w:jc w:val="both"/>
        <w:rPr>
          <w:rFonts w:ascii="Verdana" w:eastAsia="MS Mincho" w:hAnsi="Verdana"/>
          <w:bCs/>
          <w:sz w:val="20"/>
          <w:szCs w:val="20"/>
          <w:lang w:bidi="en-US"/>
        </w:rPr>
      </w:pPr>
    </w:p>
    <w:p w14:paraId="6CFF66C3" w14:textId="77777777" w:rsidR="003378B5" w:rsidRPr="002F21AD" w:rsidRDefault="003378B5" w:rsidP="002F21AD">
      <w:pPr>
        <w:pStyle w:val="Normal1"/>
        <w:widowControl/>
        <w:numPr>
          <w:ilvl w:val="0"/>
          <w:numId w:val="4"/>
        </w:numPr>
        <w:ind w:left="0" w:firstLine="0"/>
        <w:contextualSpacing/>
        <w:jc w:val="both"/>
        <w:rPr>
          <w:rFonts w:ascii="Verdana" w:hAnsi="Verdana" w:cs="Arial"/>
          <w:sz w:val="20"/>
          <w:szCs w:val="20"/>
        </w:rPr>
      </w:pPr>
      <w:r w:rsidRPr="002F21AD">
        <w:rPr>
          <w:rFonts w:ascii="Verdana" w:hAnsi="Verdana" w:cs="Arial"/>
          <w:sz w:val="20"/>
          <w:szCs w:val="20"/>
        </w:rPr>
        <w:t xml:space="preserve">La </w:t>
      </w:r>
      <w:r w:rsidRPr="002F21AD">
        <w:rPr>
          <w:rFonts w:ascii="Verdana" w:hAnsi="Verdana" w:cs="Arial"/>
          <w:b/>
          <w:i/>
          <w:sz w:val="20"/>
          <w:szCs w:val="20"/>
        </w:rPr>
        <w:t>Corte</w:t>
      </w:r>
      <w:r w:rsidRPr="002F21AD">
        <w:rPr>
          <w:rFonts w:ascii="Verdana" w:hAnsi="Verdana" w:cs="Arial"/>
          <w:sz w:val="20"/>
          <w:szCs w:val="20"/>
        </w:rPr>
        <w:t xml:space="preserve"> ha desarrollado en su jurisprudencia el concepto de daño material y los supuestos en que corresponde indemnizarlo. Este Tribunal ha establecido que el daño material abarca la </w:t>
      </w:r>
      <w:r w:rsidRPr="002F21AD">
        <w:rPr>
          <w:rFonts w:ascii="Verdana" w:eastAsia="MS Mincho" w:hAnsi="Verdana"/>
          <w:sz w:val="20"/>
          <w:szCs w:val="20"/>
          <w:lang w:bidi="en-US"/>
        </w:rPr>
        <w:t>pérdida</w:t>
      </w:r>
      <w:r w:rsidRPr="002F21AD">
        <w:rPr>
          <w:rFonts w:ascii="Verdana" w:hAnsi="Verdana" w:cs="Arial"/>
          <w:sz w:val="20"/>
          <w:szCs w:val="20"/>
        </w:rPr>
        <w:t xml:space="preserve"> o detrimento de los ingresos de las víctimas, los gastos efectuados con motivo de los hechos y las consecuencias de carácter pecuniario que tengan un nexo causal con los hechos del caso</w:t>
      </w:r>
      <w:r w:rsidRPr="002F21AD">
        <w:rPr>
          <w:rStyle w:val="Refdenotaalpie"/>
          <w:rFonts w:ascii="Verdana" w:hAnsi="Verdana" w:cs="Arial"/>
          <w:sz w:val="20"/>
          <w:szCs w:val="20"/>
        </w:rPr>
        <w:footnoteReference w:id="191"/>
      </w:r>
      <w:r w:rsidRPr="002F21AD">
        <w:rPr>
          <w:rFonts w:ascii="Verdana" w:hAnsi="Verdana" w:cs="Arial"/>
          <w:sz w:val="20"/>
          <w:szCs w:val="20"/>
        </w:rPr>
        <w:t>.</w:t>
      </w:r>
    </w:p>
    <w:p w14:paraId="1D164A57" w14:textId="77777777" w:rsidR="003378B5" w:rsidRPr="003378B5" w:rsidRDefault="003378B5" w:rsidP="003378B5">
      <w:pPr>
        <w:pStyle w:val="Normal1"/>
        <w:widowControl/>
        <w:contextualSpacing/>
        <w:jc w:val="both"/>
        <w:rPr>
          <w:rFonts w:ascii="Verdana" w:eastAsia="MS Mincho" w:hAnsi="Verdana"/>
          <w:b/>
          <w:sz w:val="20"/>
          <w:szCs w:val="20"/>
          <w:lang w:bidi="en-US"/>
        </w:rPr>
      </w:pPr>
    </w:p>
    <w:p w14:paraId="7B2EBD0D" w14:textId="77777777" w:rsidR="003378B5" w:rsidRPr="002F21AD" w:rsidRDefault="003378B5" w:rsidP="002F21AD">
      <w:pPr>
        <w:pStyle w:val="Normal1"/>
        <w:widowControl/>
        <w:numPr>
          <w:ilvl w:val="0"/>
          <w:numId w:val="4"/>
        </w:numPr>
        <w:ind w:left="0" w:firstLine="0"/>
        <w:contextualSpacing/>
        <w:jc w:val="both"/>
        <w:rPr>
          <w:rFonts w:ascii="Verdana" w:eastAsia="MS Mincho" w:hAnsi="Verdana"/>
          <w:sz w:val="20"/>
          <w:szCs w:val="20"/>
          <w:lang w:bidi="en-US"/>
        </w:rPr>
      </w:pPr>
      <w:r w:rsidRPr="002F21AD">
        <w:rPr>
          <w:rFonts w:ascii="Verdana" w:hAnsi="Verdana"/>
          <w:sz w:val="20"/>
          <w:szCs w:val="20"/>
          <w:lang w:val="es-PE"/>
        </w:rPr>
        <w:t>En el presente caso la Corte</w:t>
      </w:r>
      <w:r w:rsidR="001E6E6D" w:rsidRPr="002F21AD">
        <w:rPr>
          <w:rFonts w:ascii="Verdana" w:hAnsi="Verdana"/>
          <w:sz w:val="20"/>
          <w:szCs w:val="20"/>
          <w:lang w:val="es-PE"/>
        </w:rPr>
        <w:t>,</w:t>
      </w:r>
      <w:r w:rsidRPr="002F21AD">
        <w:rPr>
          <w:rFonts w:ascii="Verdana" w:hAnsi="Verdana"/>
          <w:sz w:val="20"/>
          <w:szCs w:val="20"/>
          <w:lang w:val="es-PE"/>
        </w:rPr>
        <w:t xml:space="preserve"> en consideración de las particularidades del caso y el nexo causal de las </w:t>
      </w:r>
      <w:r w:rsidRPr="002F21AD">
        <w:rPr>
          <w:rFonts w:ascii="Verdana" w:hAnsi="Verdana" w:cs="Arial"/>
          <w:sz w:val="20"/>
          <w:szCs w:val="20"/>
        </w:rPr>
        <w:t>violaciones</w:t>
      </w:r>
      <w:r w:rsidRPr="002F21AD">
        <w:rPr>
          <w:rFonts w:ascii="Verdana" w:hAnsi="Verdana"/>
          <w:sz w:val="20"/>
          <w:szCs w:val="20"/>
          <w:lang w:val="es-PE"/>
        </w:rPr>
        <w:t xml:space="preserve"> declaradas</w:t>
      </w:r>
      <w:r w:rsidR="001E6E6D" w:rsidRPr="002F21AD">
        <w:rPr>
          <w:rFonts w:ascii="Verdana" w:hAnsi="Verdana"/>
          <w:sz w:val="20"/>
          <w:szCs w:val="20"/>
          <w:lang w:val="es-PE"/>
        </w:rPr>
        <w:t>,</w:t>
      </w:r>
      <w:r w:rsidRPr="002F21AD">
        <w:rPr>
          <w:rFonts w:ascii="Verdana" w:hAnsi="Verdana"/>
          <w:sz w:val="20"/>
          <w:szCs w:val="20"/>
          <w:lang w:val="es-PE"/>
        </w:rPr>
        <w:t xml:space="preserve"> se </w:t>
      </w:r>
      <w:r w:rsidRPr="002F21AD">
        <w:rPr>
          <w:rFonts w:ascii="Verdana" w:eastAsia="MS Mincho" w:hAnsi="Verdana"/>
          <w:sz w:val="20"/>
          <w:szCs w:val="20"/>
          <w:lang w:bidi="en-US"/>
        </w:rPr>
        <w:t>pronunciará</w:t>
      </w:r>
      <w:r w:rsidRPr="002F21AD">
        <w:rPr>
          <w:rFonts w:ascii="Verdana" w:hAnsi="Verdana"/>
          <w:sz w:val="20"/>
          <w:szCs w:val="20"/>
          <w:lang w:val="es-PE"/>
        </w:rPr>
        <w:t xml:space="preserve"> únicamente sobre el daño inmaterial.</w:t>
      </w:r>
    </w:p>
    <w:p w14:paraId="4B178692" w14:textId="77777777" w:rsidR="003F37A6" w:rsidRPr="006B0525" w:rsidRDefault="00CD152D" w:rsidP="00530549">
      <w:pPr>
        <w:pStyle w:val="Ttulo3"/>
      </w:pPr>
      <w:bookmarkStart w:id="110" w:name="_Toc26177829"/>
      <w:r w:rsidRPr="006B0525">
        <w:t>d</w:t>
      </w:r>
      <w:r w:rsidR="00EE62DD" w:rsidRPr="006B0525">
        <w:t xml:space="preserve">.2 </w:t>
      </w:r>
      <w:r w:rsidR="003F37A6" w:rsidRPr="006B0525">
        <w:t>Daño inmaterial</w:t>
      </w:r>
      <w:bookmarkEnd w:id="110"/>
      <w:r w:rsidR="003F37A6" w:rsidRPr="006B0525">
        <w:t xml:space="preserve"> </w:t>
      </w:r>
    </w:p>
    <w:p w14:paraId="609269C7" w14:textId="77777777" w:rsidR="005B0504" w:rsidRPr="006B0525" w:rsidRDefault="005B0504" w:rsidP="00530549">
      <w:pPr>
        <w:pStyle w:val="Normal1"/>
        <w:widowControl/>
        <w:numPr>
          <w:ilvl w:val="0"/>
          <w:numId w:val="4"/>
        </w:numPr>
        <w:ind w:left="0" w:firstLine="0"/>
        <w:contextualSpacing/>
        <w:jc w:val="both"/>
        <w:rPr>
          <w:rFonts w:ascii="Verdana" w:eastAsiaTheme="minorHAnsi" w:hAnsi="Verdana" w:cstheme="minorBidi"/>
          <w:sz w:val="20"/>
          <w:szCs w:val="20"/>
          <w:lang w:val="es-PE"/>
        </w:rPr>
      </w:pPr>
      <w:r w:rsidRPr="006B0525">
        <w:rPr>
          <w:rFonts w:ascii="Verdana" w:hAnsi="Verdana"/>
          <w:sz w:val="20"/>
          <w:szCs w:val="20"/>
          <w:lang w:val="es-PE"/>
        </w:rPr>
        <w:t xml:space="preserve">En cuanto al daño inmaterial, las </w:t>
      </w:r>
      <w:r w:rsidRPr="006B0525">
        <w:rPr>
          <w:rFonts w:ascii="Verdana" w:hAnsi="Verdana"/>
          <w:b/>
          <w:i/>
          <w:sz w:val="20"/>
          <w:szCs w:val="20"/>
          <w:lang w:val="es-PE"/>
        </w:rPr>
        <w:t>representantes</w:t>
      </w:r>
      <w:r w:rsidRPr="006B0525">
        <w:rPr>
          <w:rFonts w:ascii="Verdana" w:hAnsi="Verdana"/>
          <w:sz w:val="20"/>
          <w:szCs w:val="20"/>
          <w:lang w:val="es-PE"/>
        </w:rPr>
        <w:t xml:space="preserve"> </w:t>
      </w:r>
      <w:r w:rsidR="00AA4B23" w:rsidRPr="006B0525">
        <w:rPr>
          <w:rFonts w:ascii="Verdana" w:hAnsi="Verdana"/>
          <w:sz w:val="20"/>
          <w:szCs w:val="20"/>
          <w:lang w:val="es-PE"/>
        </w:rPr>
        <w:t>s</w:t>
      </w:r>
      <w:r w:rsidRPr="006B0525">
        <w:rPr>
          <w:rFonts w:ascii="Verdana" w:hAnsi="Verdana"/>
          <w:sz w:val="20"/>
          <w:szCs w:val="20"/>
          <w:lang w:val="es-PE"/>
        </w:rPr>
        <w:t>olicitaron a la Corte el pago de US$</w:t>
      </w:r>
      <w:r w:rsidR="001E592D">
        <w:rPr>
          <w:rFonts w:ascii="Verdana" w:hAnsi="Verdana"/>
          <w:sz w:val="20"/>
          <w:szCs w:val="20"/>
          <w:lang w:val="es-PE"/>
        </w:rPr>
        <w:t> </w:t>
      </w:r>
      <w:r w:rsidR="00AA4B23" w:rsidRPr="006B0525">
        <w:rPr>
          <w:rFonts w:ascii="Verdana" w:hAnsi="Verdana"/>
          <w:sz w:val="20"/>
          <w:szCs w:val="20"/>
          <w:lang w:val="es-PE"/>
        </w:rPr>
        <w:t>1</w:t>
      </w:r>
      <w:r w:rsidR="001E592D">
        <w:rPr>
          <w:rFonts w:ascii="Verdana" w:hAnsi="Verdana"/>
          <w:sz w:val="20"/>
          <w:szCs w:val="20"/>
          <w:lang w:val="es-PE"/>
        </w:rPr>
        <w:t>,</w:t>
      </w:r>
      <w:r w:rsidRPr="006B0525">
        <w:rPr>
          <w:rFonts w:ascii="Verdana" w:eastAsia="MS Mincho" w:hAnsi="Verdana"/>
          <w:sz w:val="20"/>
          <w:szCs w:val="20"/>
          <w:lang w:bidi="en-US"/>
        </w:rPr>
        <w:t>500</w:t>
      </w:r>
      <w:r w:rsidR="001E592D">
        <w:rPr>
          <w:rFonts w:ascii="Verdana" w:hAnsi="Verdana"/>
          <w:sz w:val="20"/>
          <w:szCs w:val="20"/>
          <w:lang w:val="es-PE"/>
        </w:rPr>
        <w:t>,</w:t>
      </w:r>
      <w:r w:rsidRPr="006B0525">
        <w:rPr>
          <w:rFonts w:ascii="Verdana" w:hAnsi="Verdana"/>
          <w:sz w:val="20"/>
          <w:szCs w:val="20"/>
          <w:lang w:val="es-PE"/>
        </w:rPr>
        <w:t>000 (</w:t>
      </w:r>
      <w:r w:rsidR="00AA4B23" w:rsidRPr="006B0525">
        <w:rPr>
          <w:rFonts w:ascii="Verdana" w:hAnsi="Verdana"/>
          <w:sz w:val="20"/>
          <w:szCs w:val="20"/>
          <w:lang w:val="es-PE"/>
        </w:rPr>
        <w:t xml:space="preserve">un millón </w:t>
      </w:r>
      <w:r w:rsidRPr="006B0525">
        <w:rPr>
          <w:rFonts w:ascii="Verdana" w:hAnsi="Verdana"/>
          <w:sz w:val="20"/>
          <w:szCs w:val="20"/>
          <w:lang w:val="es-PE"/>
        </w:rPr>
        <w:t>quinientos mil dólares de los Estados</w:t>
      </w:r>
      <w:r w:rsidR="00AB3AB0" w:rsidRPr="006B0525">
        <w:rPr>
          <w:rFonts w:ascii="Verdana" w:hAnsi="Verdana"/>
          <w:sz w:val="20"/>
          <w:szCs w:val="20"/>
          <w:lang w:val="es-PE"/>
        </w:rPr>
        <w:t xml:space="preserve"> Unidos de América), </w:t>
      </w:r>
      <w:r w:rsidR="00AA4B23" w:rsidRPr="006B0525">
        <w:rPr>
          <w:rFonts w:ascii="Verdana" w:hAnsi="Verdana"/>
          <w:sz w:val="20"/>
          <w:szCs w:val="20"/>
          <w:lang w:val="es-PE"/>
        </w:rPr>
        <w:t>a título compensatorio y con fines de reparación integral</w:t>
      </w:r>
      <w:r w:rsidRPr="006B0525">
        <w:rPr>
          <w:rFonts w:ascii="Verdana" w:hAnsi="Verdana"/>
          <w:sz w:val="20"/>
          <w:szCs w:val="20"/>
          <w:lang w:val="es-PE"/>
        </w:rPr>
        <w:t xml:space="preserve">. Asimismo, las representantes indicaron en caso de que la Corte no coincida con el monto de la reparación solicitada en concepto de daño inmaterial, solicitaron que se determine la misma conforme al principio de equidad. </w:t>
      </w:r>
    </w:p>
    <w:p w14:paraId="6BF0CFDB" w14:textId="77777777" w:rsidR="00AB3AB0" w:rsidRPr="006B0525" w:rsidRDefault="00AB3AB0" w:rsidP="00530549">
      <w:pPr>
        <w:pStyle w:val="Normal1"/>
        <w:widowControl/>
        <w:contextualSpacing/>
        <w:jc w:val="both"/>
        <w:rPr>
          <w:rFonts w:ascii="Verdana" w:hAnsi="Verdana" w:cs="Arial"/>
          <w:b/>
          <w:bCs/>
          <w:sz w:val="20"/>
          <w:szCs w:val="20"/>
          <w:lang w:val="es-PE"/>
        </w:rPr>
      </w:pPr>
    </w:p>
    <w:p w14:paraId="1062F93A" w14:textId="77777777" w:rsidR="005B0504" w:rsidRPr="006B0525" w:rsidRDefault="005B0504" w:rsidP="00530549">
      <w:pPr>
        <w:pStyle w:val="Normal1"/>
        <w:widowControl/>
        <w:numPr>
          <w:ilvl w:val="0"/>
          <w:numId w:val="4"/>
        </w:numPr>
        <w:ind w:left="0" w:firstLine="0"/>
        <w:contextualSpacing/>
        <w:jc w:val="both"/>
        <w:rPr>
          <w:rFonts w:ascii="Verdana" w:hAnsi="Verdana" w:cs="Arial"/>
          <w:b/>
          <w:bCs/>
          <w:sz w:val="20"/>
          <w:szCs w:val="20"/>
          <w:lang w:val="es-PE"/>
        </w:rPr>
      </w:pPr>
      <w:r w:rsidRPr="006B0525">
        <w:rPr>
          <w:rFonts w:ascii="Verdana" w:hAnsi="Verdana" w:cs="Arial"/>
          <w:bCs/>
          <w:sz w:val="20"/>
          <w:szCs w:val="20"/>
          <w:lang w:val="es-PE"/>
        </w:rPr>
        <w:t xml:space="preserve">El </w:t>
      </w:r>
      <w:r w:rsidRPr="006B0525">
        <w:rPr>
          <w:rFonts w:ascii="Verdana" w:hAnsi="Verdana" w:cs="Arial"/>
          <w:b/>
          <w:bCs/>
          <w:i/>
          <w:sz w:val="20"/>
          <w:szCs w:val="20"/>
          <w:lang w:val="es-PE"/>
        </w:rPr>
        <w:t>Estado</w:t>
      </w:r>
      <w:r w:rsidRPr="006B0525">
        <w:rPr>
          <w:rFonts w:ascii="Verdana" w:hAnsi="Verdana" w:cs="Arial"/>
          <w:bCs/>
          <w:sz w:val="20"/>
          <w:szCs w:val="20"/>
          <w:lang w:val="es-PE"/>
        </w:rPr>
        <w:t xml:space="preserve"> alegó que no concibe el hecho de tener que reparar y/o premiar a las </w:t>
      </w:r>
      <w:r w:rsidRPr="006B0525">
        <w:rPr>
          <w:rFonts w:ascii="Verdana" w:eastAsia="MS Mincho" w:hAnsi="Verdana"/>
          <w:sz w:val="20"/>
          <w:szCs w:val="20"/>
          <w:lang w:bidi="en-US"/>
        </w:rPr>
        <w:t>personas</w:t>
      </w:r>
      <w:r w:rsidRPr="006B0525">
        <w:rPr>
          <w:rFonts w:ascii="Verdana" w:hAnsi="Verdana" w:cs="Arial"/>
          <w:bCs/>
          <w:sz w:val="20"/>
          <w:szCs w:val="20"/>
          <w:lang w:val="es-PE"/>
        </w:rPr>
        <w:t xml:space="preserve"> que vulneran el derecho a la vida de otras personas, como es en el caso interno, de quienes fueron asesinados; así como también lesiona gravemente la economía del Estado. Por tal rechazan totalmente la reparación y solicitan que se declare improcedente</w:t>
      </w:r>
      <w:r w:rsidRPr="002F21AD">
        <w:rPr>
          <w:rFonts w:ascii="Verdana" w:hAnsi="Verdana" w:cs="Arial"/>
          <w:bCs/>
          <w:sz w:val="20"/>
          <w:szCs w:val="20"/>
          <w:lang w:val="es-PE"/>
        </w:rPr>
        <w:t>.</w:t>
      </w:r>
    </w:p>
    <w:p w14:paraId="3FFFD281" w14:textId="77777777" w:rsidR="00AB3AB0" w:rsidRPr="006B0525" w:rsidRDefault="00AB3AB0" w:rsidP="00530549">
      <w:pPr>
        <w:pStyle w:val="Normal1"/>
        <w:widowControl/>
        <w:contextualSpacing/>
        <w:jc w:val="both"/>
        <w:rPr>
          <w:rFonts w:ascii="Verdana" w:eastAsia="MS Mincho" w:hAnsi="Verdana" w:cstheme="minorBidi"/>
          <w:sz w:val="20"/>
          <w:szCs w:val="20"/>
          <w:lang w:bidi="en-US"/>
        </w:rPr>
      </w:pPr>
    </w:p>
    <w:p w14:paraId="543B6DB0"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cstheme="minorBidi"/>
          <w:sz w:val="20"/>
          <w:szCs w:val="20"/>
          <w:lang w:bidi="en-US"/>
        </w:rPr>
      </w:pPr>
      <w:r w:rsidRPr="006B0525">
        <w:rPr>
          <w:rFonts w:ascii="Verdana" w:eastAsia="MS Mincho" w:hAnsi="Verdana"/>
          <w:sz w:val="20"/>
          <w:szCs w:val="20"/>
          <w:lang w:bidi="en-US"/>
        </w:rPr>
        <w:t>La</w:t>
      </w:r>
      <w:r w:rsidRPr="006B0525">
        <w:rPr>
          <w:rFonts w:ascii="Verdana" w:eastAsia="MS Mincho" w:hAnsi="Verdana"/>
          <w:b/>
          <w:sz w:val="20"/>
          <w:szCs w:val="20"/>
          <w:lang w:bidi="en-US"/>
        </w:rPr>
        <w:t xml:space="preserve"> </w:t>
      </w:r>
      <w:r w:rsidRPr="006B0525">
        <w:rPr>
          <w:rFonts w:ascii="Verdana" w:eastAsia="MS Mincho" w:hAnsi="Verdana"/>
          <w:b/>
          <w:bCs/>
          <w:i/>
          <w:iCs/>
          <w:sz w:val="20"/>
          <w:szCs w:val="20"/>
          <w:lang w:bidi="en-US"/>
        </w:rPr>
        <w:t>Comisión</w:t>
      </w:r>
      <w:r w:rsidRPr="006B0525">
        <w:rPr>
          <w:rFonts w:ascii="Verdana" w:eastAsia="MS Mincho" w:hAnsi="Verdana"/>
          <w:b/>
          <w:sz w:val="20"/>
          <w:szCs w:val="20"/>
          <w:lang w:bidi="en-US"/>
        </w:rPr>
        <w:t xml:space="preserve"> </w:t>
      </w:r>
      <w:r w:rsidRPr="006B0525">
        <w:rPr>
          <w:rFonts w:ascii="Verdana" w:eastAsia="MS Mincho" w:hAnsi="Verdana"/>
          <w:sz w:val="20"/>
          <w:szCs w:val="20"/>
          <w:lang w:bidi="en-US"/>
        </w:rPr>
        <w:t>no presentó alegatos específicos sobre este punto.</w:t>
      </w:r>
    </w:p>
    <w:p w14:paraId="06EBD614" w14:textId="77777777" w:rsidR="00AB3AB0" w:rsidRPr="006B0525" w:rsidRDefault="00AB3AB0" w:rsidP="00530549">
      <w:pPr>
        <w:pStyle w:val="Normal1"/>
        <w:widowControl/>
        <w:contextualSpacing/>
        <w:jc w:val="both"/>
        <w:rPr>
          <w:rFonts w:ascii="Verdana" w:eastAsia="Calibri" w:hAnsi="Verdana"/>
          <w:b/>
          <w:i/>
          <w:sz w:val="20"/>
          <w:szCs w:val="20"/>
        </w:rPr>
      </w:pPr>
    </w:p>
    <w:p w14:paraId="20806847" w14:textId="77777777" w:rsidR="005B0504" w:rsidRPr="006B0525" w:rsidRDefault="003378B5" w:rsidP="00530549">
      <w:pPr>
        <w:pStyle w:val="Normal1"/>
        <w:widowControl/>
        <w:numPr>
          <w:ilvl w:val="0"/>
          <w:numId w:val="4"/>
        </w:numPr>
        <w:ind w:left="0" w:firstLine="0"/>
        <w:contextualSpacing/>
        <w:jc w:val="both"/>
        <w:rPr>
          <w:rFonts w:ascii="Verdana" w:eastAsia="Calibri" w:hAnsi="Verdana"/>
          <w:b/>
          <w:i/>
          <w:sz w:val="20"/>
          <w:szCs w:val="20"/>
        </w:rPr>
      </w:pPr>
      <w:r>
        <w:rPr>
          <w:rFonts w:ascii="Verdana" w:hAnsi="Verdana" w:cs="Arial"/>
          <w:sz w:val="20"/>
          <w:szCs w:val="20"/>
        </w:rPr>
        <w:t>L</w:t>
      </w:r>
      <w:r w:rsidR="005B0504" w:rsidRPr="006B0525">
        <w:rPr>
          <w:rFonts w:ascii="Verdana" w:hAnsi="Verdana" w:cs="Arial"/>
          <w:sz w:val="20"/>
          <w:szCs w:val="20"/>
        </w:rPr>
        <w:t>a</w:t>
      </w:r>
      <w:r w:rsidR="005B0504" w:rsidRPr="006B0525">
        <w:rPr>
          <w:rFonts w:ascii="Verdana" w:hAnsi="Verdana"/>
          <w:sz w:val="20"/>
          <w:szCs w:val="20"/>
        </w:rPr>
        <w:t xml:space="preserve"> </w:t>
      </w:r>
      <w:r w:rsidR="005B0504" w:rsidRPr="003378B5">
        <w:rPr>
          <w:rFonts w:ascii="Verdana" w:hAnsi="Verdana"/>
          <w:b/>
          <w:i/>
          <w:sz w:val="20"/>
          <w:szCs w:val="20"/>
        </w:rPr>
        <w:t>Corte</w:t>
      </w:r>
      <w:r w:rsidR="005B0504" w:rsidRPr="006B0525">
        <w:rPr>
          <w:rFonts w:ascii="Verdana" w:hAnsi="Verdana"/>
          <w:sz w:val="20"/>
          <w:szCs w:val="20"/>
        </w:rPr>
        <w:t xml:space="preserv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005B0504" w:rsidRPr="006B0525">
        <w:rPr>
          <w:rFonts w:ascii="Verdana" w:eastAsia="Calibri" w:hAnsi="Verdana"/>
          <w:sz w:val="20"/>
          <w:szCs w:val="20"/>
          <w:vertAlign w:val="superscript"/>
        </w:rPr>
        <w:footnoteReference w:id="192"/>
      </w:r>
      <w:r w:rsidR="005B0504" w:rsidRPr="006B0525">
        <w:rPr>
          <w:rFonts w:ascii="Verdana" w:hAnsi="Verdana"/>
          <w:sz w:val="20"/>
          <w:szCs w:val="20"/>
        </w:rPr>
        <w:t>.</w:t>
      </w:r>
    </w:p>
    <w:p w14:paraId="792D294E" w14:textId="77777777" w:rsidR="007B0815" w:rsidRPr="006B0525" w:rsidRDefault="007B0815" w:rsidP="00530549">
      <w:pPr>
        <w:pStyle w:val="Normal1"/>
        <w:widowControl/>
        <w:contextualSpacing/>
        <w:jc w:val="both"/>
        <w:rPr>
          <w:rFonts w:ascii="Verdana" w:eastAsia="Calibri" w:hAnsi="Verdana"/>
          <w:b/>
          <w:i/>
          <w:sz w:val="20"/>
          <w:szCs w:val="20"/>
        </w:rPr>
      </w:pPr>
    </w:p>
    <w:p w14:paraId="54969A68" w14:textId="77777777" w:rsidR="005B0504" w:rsidRPr="006B0525" w:rsidRDefault="003378B5" w:rsidP="00530549">
      <w:pPr>
        <w:pStyle w:val="Normal1"/>
        <w:widowControl/>
        <w:numPr>
          <w:ilvl w:val="0"/>
          <w:numId w:val="4"/>
        </w:numPr>
        <w:ind w:left="0" w:firstLine="0"/>
        <w:contextualSpacing/>
        <w:jc w:val="both"/>
        <w:rPr>
          <w:rFonts w:ascii="Verdana" w:eastAsia="Calibri" w:hAnsi="Verdana"/>
          <w:b/>
          <w:i/>
          <w:sz w:val="20"/>
          <w:szCs w:val="20"/>
        </w:rPr>
      </w:pPr>
      <w:r>
        <w:rPr>
          <w:rFonts w:ascii="Verdana" w:hAnsi="Verdana"/>
          <w:sz w:val="20"/>
          <w:szCs w:val="20"/>
        </w:rPr>
        <w:lastRenderedPageBreak/>
        <w:t>E</w:t>
      </w:r>
      <w:r w:rsidR="005B0504" w:rsidRPr="006B0525">
        <w:rPr>
          <w:rFonts w:ascii="Verdana" w:hAnsi="Verdana"/>
          <w:sz w:val="20"/>
          <w:szCs w:val="20"/>
        </w:rPr>
        <w:t xml:space="preserve">n consideración de las circunstancias del presente caso, las violaciones cometidas, los sufrimientos ocasionados y experimentados en diferentes grados, el tiempo transcurrido y la denegación de justicia, el Tribunal pasa a fijar en equidad las indemnizaciones por daño inmaterial a favor de las víctimas. </w:t>
      </w:r>
    </w:p>
    <w:p w14:paraId="30AE7866" w14:textId="77777777" w:rsidR="007B0815" w:rsidRPr="006B0525" w:rsidRDefault="007B0815" w:rsidP="00530549">
      <w:pPr>
        <w:pStyle w:val="Normal1"/>
        <w:widowControl/>
        <w:contextualSpacing/>
        <w:jc w:val="both"/>
        <w:rPr>
          <w:rFonts w:ascii="Verdana" w:hAnsi="Verdana"/>
          <w:b/>
          <w:sz w:val="20"/>
          <w:szCs w:val="20"/>
          <w:lang w:val="es-PE"/>
        </w:rPr>
      </w:pPr>
    </w:p>
    <w:p w14:paraId="304DBB1F" w14:textId="77777777" w:rsidR="00080FD2" w:rsidRPr="002F21AD" w:rsidRDefault="005B0504" w:rsidP="00530549">
      <w:pPr>
        <w:pStyle w:val="Normal1"/>
        <w:widowControl/>
        <w:numPr>
          <w:ilvl w:val="0"/>
          <w:numId w:val="4"/>
        </w:numPr>
        <w:ind w:left="0" w:firstLine="0"/>
        <w:contextualSpacing/>
        <w:jc w:val="both"/>
        <w:rPr>
          <w:rFonts w:ascii="Verdana" w:hAnsi="Verdana"/>
          <w:sz w:val="20"/>
          <w:szCs w:val="20"/>
          <w:lang w:val="es-PE"/>
        </w:rPr>
      </w:pPr>
      <w:r w:rsidRPr="002F21AD">
        <w:rPr>
          <w:rFonts w:ascii="Verdana" w:hAnsi="Verdana"/>
          <w:sz w:val="20"/>
          <w:szCs w:val="20"/>
        </w:rPr>
        <w:t xml:space="preserve">En función de ello, la Corte ordena, en equidad, el pago de la suma de US$ </w:t>
      </w:r>
      <w:r w:rsidR="00B42DDE" w:rsidRPr="002F21AD">
        <w:rPr>
          <w:rFonts w:ascii="Verdana" w:hAnsi="Verdana"/>
          <w:sz w:val="20"/>
          <w:szCs w:val="20"/>
        </w:rPr>
        <w:t>1</w:t>
      </w:r>
      <w:r w:rsidR="00080FD2" w:rsidRPr="002F21AD">
        <w:rPr>
          <w:rFonts w:ascii="Verdana" w:hAnsi="Verdana"/>
          <w:sz w:val="20"/>
          <w:szCs w:val="20"/>
        </w:rPr>
        <w:t>0</w:t>
      </w:r>
      <w:r w:rsidR="001E592D">
        <w:rPr>
          <w:rFonts w:ascii="Verdana" w:hAnsi="Verdana"/>
          <w:sz w:val="20"/>
          <w:szCs w:val="20"/>
        </w:rPr>
        <w:t>,</w:t>
      </w:r>
      <w:r w:rsidRPr="002F21AD">
        <w:rPr>
          <w:rFonts w:ascii="Verdana" w:hAnsi="Verdana"/>
          <w:sz w:val="20"/>
          <w:szCs w:val="20"/>
        </w:rPr>
        <w:t>000 (</w:t>
      </w:r>
      <w:r w:rsidR="00B42DDE" w:rsidRPr="002F21AD">
        <w:rPr>
          <w:rFonts w:ascii="Verdana" w:hAnsi="Verdana"/>
          <w:sz w:val="20"/>
          <w:szCs w:val="20"/>
        </w:rPr>
        <w:t>diez</w:t>
      </w:r>
      <w:r w:rsidRPr="002F21AD">
        <w:rPr>
          <w:rFonts w:ascii="Verdana" w:hAnsi="Verdana"/>
          <w:sz w:val="20"/>
          <w:szCs w:val="20"/>
        </w:rPr>
        <w:t xml:space="preserve"> mil dólares de los Estados Unidos de América), </w:t>
      </w:r>
      <w:r w:rsidR="00B42DDE" w:rsidRPr="002F21AD">
        <w:rPr>
          <w:rFonts w:ascii="Verdana" w:hAnsi="Verdana"/>
          <w:sz w:val="20"/>
          <w:szCs w:val="20"/>
        </w:rPr>
        <w:t>a cada una de las víctimas del presente caso, esto es</w:t>
      </w:r>
      <w:r w:rsidR="009318E8" w:rsidRPr="002F21AD">
        <w:rPr>
          <w:rFonts w:ascii="Verdana" w:hAnsi="Verdana"/>
          <w:sz w:val="20"/>
          <w:szCs w:val="20"/>
        </w:rPr>
        <w:t xml:space="preserve">, </w:t>
      </w:r>
      <w:r w:rsidR="00080FD2" w:rsidRPr="002F21AD">
        <w:rPr>
          <w:rFonts w:ascii="Verdana" w:hAnsi="Verdana"/>
          <w:sz w:val="20"/>
          <w:szCs w:val="20"/>
        </w:rPr>
        <w:t>al señor R</w:t>
      </w:r>
      <w:r w:rsidRPr="002F21AD">
        <w:rPr>
          <w:rFonts w:ascii="Verdana" w:hAnsi="Verdana"/>
          <w:sz w:val="20"/>
          <w:szCs w:val="20"/>
        </w:rPr>
        <w:t>odríguez Revolorio</w:t>
      </w:r>
      <w:r w:rsidR="00B42DDE" w:rsidRPr="002F21AD">
        <w:rPr>
          <w:rFonts w:ascii="Verdana" w:hAnsi="Verdana"/>
          <w:sz w:val="20"/>
          <w:szCs w:val="20"/>
        </w:rPr>
        <w:t xml:space="preserve">, </w:t>
      </w:r>
      <w:r w:rsidR="009318E8" w:rsidRPr="002F21AD">
        <w:rPr>
          <w:rFonts w:ascii="Verdana" w:hAnsi="Verdana"/>
          <w:sz w:val="20"/>
          <w:szCs w:val="20"/>
        </w:rPr>
        <w:t>al</w:t>
      </w:r>
      <w:r w:rsidR="00080FD2" w:rsidRPr="002F21AD">
        <w:rPr>
          <w:rFonts w:ascii="Verdana" w:hAnsi="Verdana"/>
          <w:sz w:val="20"/>
          <w:szCs w:val="20"/>
        </w:rPr>
        <w:t xml:space="preserve"> señor López Calo y </w:t>
      </w:r>
      <w:r w:rsidR="009318E8" w:rsidRPr="002F21AD">
        <w:rPr>
          <w:rFonts w:ascii="Verdana" w:hAnsi="Verdana"/>
          <w:sz w:val="20"/>
          <w:szCs w:val="20"/>
        </w:rPr>
        <w:t>a</w:t>
      </w:r>
      <w:r w:rsidR="00080FD2" w:rsidRPr="002F21AD">
        <w:rPr>
          <w:rFonts w:ascii="Verdana" w:hAnsi="Verdana"/>
          <w:sz w:val="20"/>
          <w:szCs w:val="20"/>
        </w:rPr>
        <w:t>l señor Archila Pérez</w:t>
      </w:r>
      <w:r w:rsidRPr="002F21AD">
        <w:rPr>
          <w:rFonts w:ascii="Verdana" w:hAnsi="Verdana"/>
          <w:sz w:val="20"/>
          <w:szCs w:val="20"/>
        </w:rPr>
        <w:t xml:space="preserve">. </w:t>
      </w:r>
    </w:p>
    <w:p w14:paraId="3110547A" w14:textId="77777777" w:rsidR="00080FD2" w:rsidRPr="00B42DDE" w:rsidRDefault="00080FD2" w:rsidP="00080FD2">
      <w:pPr>
        <w:pStyle w:val="Normal1"/>
        <w:widowControl/>
        <w:contextualSpacing/>
        <w:jc w:val="both"/>
        <w:rPr>
          <w:rFonts w:ascii="Verdana" w:hAnsi="Verdana"/>
          <w:b/>
          <w:sz w:val="20"/>
          <w:szCs w:val="20"/>
          <w:lang w:val="es-PE"/>
        </w:rPr>
      </w:pPr>
    </w:p>
    <w:p w14:paraId="5A859958" w14:textId="77777777" w:rsidR="005B0504" w:rsidRPr="006B0525" w:rsidRDefault="00AB3AB0" w:rsidP="00530549">
      <w:pPr>
        <w:pStyle w:val="Normal1"/>
        <w:widowControl/>
        <w:numPr>
          <w:ilvl w:val="0"/>
          <w:numId w:val="4"/>
        </w:numPr>
        <w:ind w:left="0" w:firstLine="0"/>
        <w:contextualSpacing/>
        <w:jc w:val="both"/>
        <w:rPr>
          <w:rFonts w:ascii="Verdana" w:hAnsi="Verdana"/>
          <w:b/>
          <w:sz w:val="20"/>
          <w:szCs w:val="20"/>
          <w:lang w:val="es-PE"/>
        </w:rPr>
      </w:pPr>
      <w:r w:rsidRPr="006B0525">
        <w:rPr>
          <w:rFonts w:ascii="Verdana" w:hAnsi="Verdana"/>
          <w:sz w:val="20"/>
          <w:szCs w:val="20"/>
          <w:lang w:val="es-PE"/>
        </w:rPr>
        <w:t>Con respecto a la indemnización destinada al</w:t>
      </w:r>
      <w:r w:rsidR="005B0504" w:rsidRPr="006B0525">
        <w:rPr>
          <w:rFonts w:ascii="Verdana" w:hAnsi="Verdana"/>
          <w:sz w:val="20"/>
          <w:szCs w:val="20"/>
          <w:lang w:val="es-PE"/>
        </w:rPr>
        <w:t xml:space="preserve"> señor López Cal</w:t>
      </w:r>
      <w:r w:rsidRPr="006B0525">
        <w:rPr>
          <w:rFonts w:ascii="Verdana" w:hAnsi="Verdana"/>
          <w:sz w:val="20"/>
          <w:szCs w:val="20"/>
          <w:lang w:val="es-PE"/>
        </w:rPr>
        <w:t xml:space="preserve">o, </w:t>
      </w:r>
      <w:r w:rsidR="00080FD2" w:rsidRPr="006B0525">
        <w:rPr>
          <w:rFonts w:ascii="Verdana" w:hAnsi="Verdana"/>
          <w:sz w:val="20"/>
          <w:szCs w:val="20"/>
          <w:lang w:val="es-PE"/>
        </w:rPr>
        <w:t>e</w:t>
      </w:r>
      <w:r w:rsidR="005B0504" w:rsidRPr="006B0525">
        <w:rPr>
          <w:rFonts w:ascii="Verdana" w:hAnsi="Verdana"/>
          <w:sz w:val="20"/>
          <w:szCs w:val="20"/>
        </w:rPr>
        <w:t xml:space="preserve">l monto establecido por la Corte </w:t>
      </w:r>
      <w:r w:rsidR="005B0504" w:rsidRPr="006B0525">
        <w:rPr>
          <w:rFonts w:ascii="Verdana" w:hAnsi="Verdana" w:cs="Arial"/>
          <w:sz w:val="20"/>
          <w:szCs w:val="20"/>
        </w:rPr>
        <w:t>deberá</w:t>
      </w:r>
      <w:r w:rsidR="005B0504" w:rsidRPr="006B0525">
        <w:rPr>
          <w:rFonts w:ascii="Verdana" w:hAnsi="Verdana"/>
          <w:sz w:val="20"/>
          <w:szCs w:val="20"/>
        </w:rPr>
        <w:t xml:space="preserve"> ser entregado en el plazo de un año a partir de la notificación de la presente Sentencia de acuerdo con los siguientes criterios:</w:t>
      </w:r>
    </w:p>
    <w:p w14:paraId="5258BAAE" w14:textId="77777777" w:rsidR="005B0504" w:rsidRPr="006B0525" w:rsidRDefault="005B0504" w:rsidP="00530549">
      <w:pPr>
        <w:spacing w:line="240" w:lineRule="auto"/>
        <w:rPr>
          <w:lang w:val="es-PE"/>
        </w:rPr>
      </w:pPr>
    </w:p>
    <w:p w14:paraId="30FE8CC3" w14:textId="77777777" w:rsidR="005B0504" w:rsidRPr="006B0525" w:rsidRDefault="005B0504" w:rsidP="00530549">
      <w:pPr>
        <w:pStyle w:val="Prrafodelista"/>
        <w:numPr>
          <w:ilvl w:val="0"/>
          <w:numId w:val="9"/>
        </w:numPr>
        <w:spacing w:line="240" w:lineRule="auto"/>
        <w:rPr>
          <w:b/>
          <w:lang w:val="es-PE"/>
        </w:rPr>
      </w:pPr>
      <w:r w:rsidRPr="006B0525">
        <w:t>El cincuenta por ciento (50%) de la indemnización deberá ser entregad</w:t>
      </w:r>
      <w:r w:rsidR="00080FD2" w:rsidRPr="006B0525">
        <w:t>o</w:t>
      </w:r>
      <w:r w:rsidRPr="006B0525">
        <w:t xml:space="preserve"> a la esposa del señor López Calo, la señora </w:t>
      </w:r>
      <w:r w:rsidRPr="006B0525">
        <w:rPr>
          <w:lang w:val="es-PE"/>
        </w:rPr>
        <w:t>Mirian Floridalma Osorio G</w:t>
      </w:r>
      <w:r w:rsidR="00A20EEE">
        <w:rPr>
          <w:lang w:val="es-PE"/>
        </w:rPr>
        <w:t>arcía de</w:t>
      </w:r>
      <w:r w:rsidRPr="006B0525">
        <w:rPr>
          <w:lang w:val="es-PE"/>
        </w:rPr>
        <w:t xml:space="preserve"> López. </w:t>
      </w:r>
    </w:p>
    <w:p w14:paraId="306AEFBB" w14:textId="77777777" w:rsidR="005B0504" w:rsidRPr="006B0525" w:rsidRDefault="005B0504" w:rsidP="00530549">
      <w:pPr>
        <w:pStyle w:val="Prrafodelista"/>
        <w:spacing w:line="240" w:lineRule="auto"/>
        <w:rPr>
          <w:lang w:val="es-PE"/>
        </w:rPr>
      </w:pPr>
    </w:p>
    <w:p w14:paraId="117B9913" w14:textId="77777777" w:rsidR="005B0504" w:rsidRPr="006B0525" w:rsidRDefault="005B0504" w:rsidP="00530549">
      <w:pPr>
        <w:pStyle w:val="Prrafodelista"/>
        <w:numPr>
          <w:ilvl w:val="0"/>
          <w:numId w:val="9"/>
        </w:numPr>
        <w:spacing w:line="240" w:lineRule="auto"/>
        <w:rPr>
          <w:b/>
          <w:lang w:val="es-PE"/>
        </w:rPr>
      </w:pPr>
      <w:r w:rsidRPr="006B0525">
        <w:t>El restante cincuenta por ciento (50%) de la indemnización deberá ser entregad</w:t>
      </w:r>
      <w:r w:rsidR="00080FD2" w:rsidRPr="006B0525">
        <w:t>o</w:t>
      </w:r>
      <w:r w:rsidRPr="006B0525">
        <w:t xml:space="preserve"> a sus hijos </w:t>
      </w:r>
      <w:proofErr w:type="spellStart"/>
      <w:r w:rsidR="007B2D56" w:rsidRPr="006B0525">
        <w:rPr>
          <w:lang w:val="es-PE"/>
        </w:rPr>
        <w:t>Jeennley</w:t>
      </w:r>
      <w:proofErr w:type="spellEnd"/>
      <w:r w:rsidR="007B2D56" w:rsidRPr="006B0525">
        <w:rPr>
          <w:lang w:val="es-PE"/>
        </w:rPr>
        <w:t xml:space="preserve"> Yan</w:t>
      </w:r>
      <w:r w:rsidRPr="006B0525">
        <w:rPr>
          <w:lang w:val="es-PE"/>
        </w:rPr>
        <w:t xml:space="preserve">ira López Osorio, Alex Fernando López Osorio y </w:t>
      </w:r>
      <w:proofErr w:type="spellStart"/>
      <w:r w:rsidRPr="006B0525">
        <w:rPr>
          <w:lang w:val="es-PE"/>
        </w:rPr>
        <w:t>Yazmi</w:t>
      </w:r>
      <w:proofErr w:type="spellEnd"/>
      <w:r w:rsidRPr="006B0525">
        <w:rPr>
          <w:lang w:val="es-PE"/>
        </w:rPr>
        <w:t xml:space="preserve"> Lisbeth López Osorio.</w:t>
      </w:r>
    </w:p>
    <w:p w14:paraId="4DAC33F6" w14:textId="77777777" w:rsidR="007B0815" w:rsidRPr="006B0525" w:rsidRDefault="007B0815" w:rsidP="00530549">
      <w:pPr>
        <w:pStyle w:val="Normal1"/>
        <w:widowControl/>
        <w:contextualSpacing/>
        <w:jc w:val="both"/>
        <w:rPr>
          <w:rFonts w:ascii="Verdana" w:hAnsi="Verdana"/>
          <w:b/>
          <w:sz w:val="20"/>
          <w:szCs w:val="20"/>
          <w:lang w:val="es-PE"/>
        </w:rPr>
      </w:pPr>
    </w:p>
    <w:p w14:paraId="625237D6" w14:textId="77777777" w:rsidR="005B0504" w:rsidRPr="006B0525" w:rsidRDefault="00080FD2" w:rsidP="00080FD2">
      <w:pPr>
        <w:pStyle w:val="Normal1"/>
        <w:widowControl/>
        <w:numPr>
          <w:ilvl w:val="0"/>
          <w:numId w:val="4"/>
        </w:numPr>
        <w:ind w:left="0" w:firstLine="0"/>
        <w:contextualSpacing/>
        <w:jc w:val="both"/>
        <w:rPr>
          <w:rFonts w:ascii="Verdana" w:hAnsi="Verdana"/>
          <w:b/>
          <w:sz w:val="20"/>
          <w:szCs w:val="20"/>
          <w:lang w:val="es-PE"/>
        </w:rPr>
      </w:pPr>
      <w:r w:rsidRPr="006B0525">
        <w:rPr>
          <w:rFonts w:ascii="Verdana" w:hAnsi="Verdana"/>
          <w:sz w:val="20"/>
          <w:szCs w:val="20"/>
          <w:lang w:val="es-PE"/>
        </w:rPr>
        <w:t>Con respecto a la indemnización destinada al</w:t>
      </w:r>
      <w:r w:rsidR="005B0504" w:rsidRPr="006B0525">
        <w:rPr>
          <w:rFonts w:ascii="Verdana" w:hAnsi="Verdana"/>
          <w:sz w:val="20"/>
          <w:szCs w:val="20"/>
          <w:lang w:val="es-PE"/>
        </w:rPr>
        <w:t xml:space="preserve"> señor Archila Pérez, </w:t>
      </w:r>
      <w:r w:rsidRPr="006B0525">
        <w:rPr>
          <w:rFonts w:ascii="Verdana" w:hAnsi="Verdana"/>
          <w:sz w:val="20"/>
          <w:szCs w:val="20"/>
          <w:lang w:val="es-PE"/>
        </w:rPr>
        <w:t>e</w:t>
      </w:r>
      <w:r w:rsidRPr="006B0525">
        <w:rPr>
          <w:rFonts w:ascii="Verdana" w:hAnsi="Verdana"/>
          <w:sz w:val="20"/>
          <w:szCs w:val="20"/>
        </w:rPr>
        <w:t xml:space="preserve">l monto establecido por la Corte </w:t>
      </w:r>
      <w:r w:rsidRPr="006B0525">
        <w:rPr>
          <w:rFonts w:ascii="Verdana" w:hAnsi="Verdana" w:cs="Arial"/>
          <w:sz w:val="20"/>
          <w:szCs w:val="20"/>
        </w:rPr>
        <w:t>deberá</w:t>
      </w:r>
      <w:r w:rsidRPr="006B0525">
        <w:rPr>
          <w:rFonts w:ascii="Verdana" w:hAnsi="Verdana"/>
          <w:sz w:val="20"/>
          <w:szCs w:val="20"/>
        </w:rPr>
        <w:t xml:space="preserve"> ser entregado en el plazo de un año a partir de la notificación de la presente Sentencia de acuerdo con los siguientes criterios:</w:t>
      </w:r>
    </w:p>
    <w:p w14:paraId="0734F3EC" w14:textId="77777777" w:rsidR="005B0504" w:rsidRPr="006B0525" w:rsidRDefault="005B0504" w:rsidP="00530549">
      <w:pPr>
        <w:spacing w:line="240" w:lineRule="auto"/>
        <w:rPr>
          <w:lang w:val="es-PE"/>
        </w:rPr>
      </w:pPr>
    </w:p>
    <w:p w14:paraId="157E5CC9" w14:textId="77777777" w:rsidR="005B0504" w:rsidRPr="006B0525" w:rsidRDefault="005B0504" w:rsidP="00530549">
      <w:pPr>
        <w:pStyle w:val="Prrafodelista"/>
        <w:numPr>
          <w:ilvl w:val="0"/>
          <w:numId w:val="10"/>
        </w:numPr>
        <w:spacing w:line="240" w:lineRule="auto"/>
        <w:rPr>
          <w:b/>
          <w:lang w:val="es-PE"/>
        </w:rPr>
      </w:pPr>
      <w:r w:rsidRPr="006B0525">
        <w:t>El cincuenta por ciento (50%) de la indemnización deberá ser entregad</w:t>
      </w:r>
      <w:r w:rsidR="00080FD2" w:rsidRPr="006B0525">
        <w:t>o</w:t>
      </w:r>
      <w:r w:rsidRPr="006B0525">
        <w:t xml:space="preserve"> a la esposa del señor </w:t>
      </w:r>
      <w:r w:rsidRPr="006B0525">
        <w:rPr>
          <w:lang w:val="es-PE"/>
        </w:rPr>
        <w:t>Archila Pérez</w:t>
      </w:r>
      <w:r w:rsidRPr="006B0525">
        <w:t xml:space="preserve">, la señora </w:t>
      </w:r>
      <w:r w:rsidRPr="006B0525">
        <w:rPr>
          <w:lang w:val="es-PE"/>
        </w:rPr>
        <w:t xml:space="preserve">Irma Morales Morataya de Archila. </w:t>
      </w:r>
    </w:p>
    <w:p w14:paraId="2BBA3967" w14:textId="77777777" w:rsidR="00821FA5" w:rsidRPr="006B0525" w:rsidRDefault="00821FA5" w:rsidP="00530549">
      <w:pPr>
        <w:pStyle w:val="Prrafodelista"/>
        <w:spacing w:line="240" w:lineRule="auto"/>
        <w:ind w:left="1068"/>
        <w:rPr>
          <w:b/>
          <w:lang w:val="es-PE"/>
        </w:rPr>
      </w:pPr>
    </w:p>
    <w:p w14:paraId="2238E89B" w14:textId="77777777" w:rsidR="006023CA" w:rsidRPr="006B0525" w:rsidRDefault="005B0504" w:rsidP="00530549">
      <w:pPr>
        <w:pStyle w:val="Prrafodelista"/>
        <w:numPr>
          <w:ilvl w:val="0"/>
          <w:numId w:val="10"/>
        </w:numPr>
        <w:spacing w:line="240" w:lineRule="auto"/>
        <w:rPr>
          <w:b/>
          <w:lang w:val="es-PE"/>
        </w:rPr>
      </w:pPr>
      <w:r w:rsidRPr="006B0525">
        <w:t>El restante cincuenta por ciento (50%) de la indemnización deberá ser entregad</w:t>
      </w:r>
      <w:r w:rsidR="00080FD2" w:rsidRPr="006B0525">
        <w:t>o</w:t>
      </w:r>
      <w:r w:rsidR="009318E8" w:rsidRPr="006B0525">
        <w:t xml:space="preserve"> en partes iguales</w:t>
      </w:r>
      <w:r w:rsidRPr="006B0525">
        <w:t xml:space="preserve"> a sus hijos </w:t>
      </w:r>
      <w:proofErr w:type="spellStart"/>
      <w:r w:rsidRPr="006B0525">
        <w:rPr>
          <w:lang w:val="es-PE"/>
        </w:rPr>
        <w:t>Sendy</w:t>
      </w:r>
      <w:proofErr w:type="spellEnd"/>
      <w:r w:rsidRPr="006B0525">
        <w:rPr>
          <w:lang w:val="es-PE"/>
        </w:rPr>
        <w:t xml:space="preserve"> </w:t>
      </w:r>
      <w:proofErr w:type="spellStart"/>
      <w:r w:rsidRPr="006B0525">
        <w:rPr>
          <w:lang w:val="es-PE"/>
        </w:rPr>
        <w:t>Mabelly</w:t>
      </w:r>
      <w:proofErr w:type="spellEnd"/>
      <w:r w:rsidRPr="006B0525">
        <w:rPr>
          <w:lang w:val="es-PE"/>
        </w:rPr>
        <w:t xml:space="preserve"> Archila Morales, Yoselin Edith Archila Morales, Aníbal Estuardo Archila Morales, Irma </w:t>
      </w:r>
      <w:proofErr w:type="spellStart"/>
      <w:r w:rsidRPr="006B0525">
        <w:rPr>
          <w:lang w:val="es-PE"/>
        </w:rPr>
        <w:t>Yazmin</w:t>
      </w:r>
      <w:proofErr w:type="spellEnd"/>
      <w:r w:rsidRPr="006B0525">
        <w:rPr>
          <w:lang w:val="es-PE"/>
        </w:rPr>
        <w:t xml:space="preserve"> Archila Morales y Yeremi Yanira Archila González</w:t>
      </w:r>
      <w:r w:rsidR="00D353E4" w:rsidRPr="006B0525">
        <w:rPr>
          <w:lang w:val="es-PE"/>
        </w:rPr>
        <w:t>.</w:t>
      </w:r>
    </w:p>
    <w:p w14:paraId="7C404105" w14:textId="77777777" w:rsidR="005B0504" w:rsidRPr="006B0525" w:rsidRDefault="005B0504" w:rsidP="00530549">
      <w:pPr>
        <w:pStyle w:val="Ttulo2"/>
      </w:pPr>
      <w:bookmarkStart w:id="111" w:name="_Toc16270620"/>
      <w:bookmarkStart w:id="112" w:name="_Toc15933781"/>
      <w:bookmarkStart w:id="113" w:name="_Toc495658704"/>
      <w:bookmarkStart w:id="114" w:name="_Toc476390746"/>
      <w:bookmarkStart w:id="115" w:name="_Toc514172672"/>
      <w:bookmarkStart w:id="116" w:name="_Toc26177830"/>
      <w:r w:rsidRPr="006B0525">
        <w:t>G. Costas y Gastos</w:t>
      </w:r>
      <w:bookmarkEnd w:id="111"/>
      <w:bookmarkEnd w:id="112"/>
      <w:bookmarkEnd w:id="113"/>
      <w:bookmarkEnd w:id="114"/>
      <w:bookmarkEnd w:id="115"/>
      <w:bookmarkEnd w:id="116"/>
    </w:p>
    <w:p w14:paraId="480B5E4B" w14:textId="77777777" w:rsidR="006C13B7" w:rsidRPr="007B7D1D" w:rsidRDefault="005B0504" w:rsidP="00436D25">
      <w:pPr>
        <w:pStyle w:val="Normal1"/>
        <w:widowControl/>
        <w:numPr>
          <w:ilvl w:val="0"/>
          <w:numId w:val="4"/>
        </w:numPr>
        <w:ind w:left="0" w:firstLine="0"/>
        <w:contextualSpacing/>
        <w:jc w:val="both"/>
        <w:rPr>
          <w:rFonts w:ascii="Verdana" w:hAnsi="Verdana" w:cs="Arial"/>
          <w:sz w:val="20"/>
          <w:szCs w:val="20"/>
        </w:rPr>
      </w:pPr>
      <w:r w:rsidRPr="007B7D1D">
        <w:rPr>
          <w:rFonts w:ascii="Verdana" w:eastAsia="MS Mincho" w:hAnsi="Verdana"/>
          <w:sz w:val="20"/>
          <w:szCs w:val="20"/>
          <w:lang w:bidi="en-US"/>
        </w:rPr>
        <w:t xml:space="preserve">Las </w:t>
      </w:r>
      <w:r w:rsidRPr="007B7D1D">
        <w:rPr>
          <w:rFonts w:ascii="Verdana" w:hAnsi="Verdana"/>
          <w:b/>
          <w:i/>
          <w:sz w:val="20"/>
          <w:szCs w:val="20"/>
          <w:lang w:val="es-PE"/>
        </w:rPr>
        <w:t>representantes</w:t>
      </w:r>
      <w:r w:rsidRPr="007B7D1D">
        <w:rPr>
          <w:rFonts w:ascii="Verdana" w:hAnsi="Verdana"/>
          <w:i/>
          <w:sz w:val="20"/>
          <w:szCs w:val="20"/>
          <w:lang w:val="es-PE"/>
        </w:rPr>
        <w:t xml:space="preserve"> </w:t>
      </w:r>
      <w:r w:rsidR="001523C1" w:rsidRPr="007B7D1D">
        <w:rPr>
          <w:rFonts w:ascii="Verdana" w:hAnsi="Verdana"/>
          <w:sz w:val="20"/>
          <w:szCs w:val="20"/>
          <w:lang w:val="es-PE"/>
        </w:rPr>
        <w:t xml:space="preserve">se limitaron </w:t>
      </w:r>
      <w:r w:rsidRPr="007B7D1D">
        <w:rPr>
          <w:rFonts w:ascii="Verdana" w:hAnsi="Verdana"/>
          <w:sz w:val="20"/>
          <w:szCs w:val="20"/>
          <w:lang w:val="es-PE"/>
        </w:rPr>
        <w:t xml:space="preserve">en sus alegatos finales a solicitar a la Corte que ordene al Estado el reembolso de los </w:t>
      </w:r>
      <w:r w:rsidRPr="007B7D1D">
        <w:rPr>
          <w:rFonts w:ascii="Verdana" w:eastAsia="MS Mincho" w:hAnsi="Verdana"/>
          <w:sz w:val="20"/>
          <w:szCs w:val="20"/>
          <w:lang w:bidi="en-US"/>
        </w:rPr>
        <w:t>gastos</w:t>
      </w:r>
      <w:r w:rsidRPr="007B7D1D">
        <w:rPr>
          <w:rFonts w:ascii="Verdana" w:hAnsi="Verdana"/>
          <w:sz w:val="20"/>
          <w:szCs w:val="20"/>
          <w:lang w:val="es-PE"/>
        </w:rPr>
        <w:t xml:space="preserve"> generados ante las autoridades de la jurisdicción interna y los generados ante el Sistema Interamericano con base en el principio de equidad. </w:t>
      </w:r>
    </w:p>
    <w:p w14:paraId="772D3849" w14:textId="77777777" w:rsidR="007B7D1D" w:rsidRPr="007B7D1D" w:rsidRDefault="007B7D1D" w:rsidP="007B7D1D">
      <w:pPr>
        <w:pStyle w:val="Normal1"/>
        <w:widowControl/>
        <w:contextualSpacing/>
        <w:jc w:val="both"/>
        <w:rPr>
          <w:rFonts w:ascii="Verdana" w:hAnsi="Verdana" w:cs="Arial"/>
          <w:sz w:val="20"/>
          <w:szCs w:val="20"/>
        </w:rPr>
      </w:pPr>
    </w:p>
    <w:p w14:paraId="1CD54EF2" w14:textId="77777777" w:rsidR="005B0504" w:rsidRPr="006B0525" w:rsidRDefault="005B0504" w:rsidP="00530549">
      <w:pPr>
        <w:pStyle w:val="Normal1"/>
        <w:widowControl/>
        <w:numPr>
          <w:ilvl w:val="0"/>
          <w:numId w:val="4"/>
        </w:numPr>
        <w:ind w:left="0" w:firstLine="0"/>
        <w:contextualSpacing/>
        <w:jc w:val="both"/>
        <w:rPr>
          <w:rFonts w:ascii="Verdana" w:hAnsi="Verdana" w:cs="Arial"/>
          <w:sz w:val="20"/>
          <w:szCs w:val="20"/>
        </w:rPr>
      </w:pPr>
      <w:r w:rsidRPr="006B0525">
        <w:rPr>
          <w:rFonts w:ascii="Verdana" w:eastAsia="MS Mincho" w:hAnsi="Verdana"/>
          <w:sz w:val="20"/>
          <w:szCs w:val="20"/>
          <w:lang w:bidi="en-US"/>
        </w:rPr>
        <w:t xml:space="preserve">El </w:t>
      </w:r>
      <w:r w:rsidRPr="006B0525">
        <w:rPr>
          <w:rFonts w:ascii="Verdana" w:eastAsia="MS Mincho" w:hAnsi="Verdana"/>
          <w:b/>
          <w:i/>
          <w:sz w:val="20"/>
          <w:szCs w:val="20"/>
          <w:lang w:bidi="en-US"/>
        </w:rPr>
        <w:t>Estado</w:t>
      </w:r>
      <w:r w:rsidRPr="006B0525">
        <w:rPr>
          <w:rFonts w:ascii="Verdana" w:eastAsia="MS Mincho" w:hAnsi="Verdana"/>
          <w:sz w:val="20"/>
          <w:szCs w:val="20"/>
          <w:lang w:bidi="en-US"/>
        </w:rPr>
        <w:t xml:space="preserve"> </w:t>
      </w:r>
      <w:r w:rsidRPr="006B0525">
        <w:rPr>
          <w:rFonts w:ascii="Verdana" w:hAnsi="Verdana"/>
          <w:sz w:val="20"/>
          <w:szCs w:val="20"/>
          <w:lang w:val="es-PE"/>
        </w:rPr>
        <w:t xml:space="preserve">alegó que </w:t>
      </w:r>
      <w:r w:rsidR="004D2A8A" w:rsidRPr="006B0525">
        <w:rPr>
          <w:rFonts w:ascii="Verdana" w:hAnsi="Verdana"/>
          <w:sz w:val="20"/>
          <w:szCs w:val="20"/>
          <w:lang w:val="es-PE"/>
        </w:rPr>
        <w:t>las representantes</w:t>
      </w:r>
      <w:r w:rsidRPr="006B0525">
        <w:rPr>
          <w:rFonts w:ascii="Verdana" w:hAnsi="Verdana"/>
          <w:sz w:val="20"/>
          <w:szCs w:val="20"/>
          <w:lang w:val="es-PE"/>
        </w:rPr>
        <w:t xml:space="preserve"> no han demostrado fehacientemente los gastos incurridos durante el litigio, por lo que rechaza dichas medidas y solicita las declaren improcedente</w:t>
      </w:r>
      <w:r w:rsidR="00264747">
        <w:rPr>
          <w:rFonts w:ascii="Verdana" w:hAnsi="Verdana"/>
          <w:sz w:val="20"/>
          <w:szCs w:val="20"/>
          <w:lang w:val="es-PE"/>
        </w:rPr>
        <w:t>.</w:t>
      </w:r>
      <w:r w:rsidRPr="006B0525">
        <w:rPr>
          <w:rFonts w:ascii="Verdana" w:hAnsi="Verdana"/>
          <w:b/>
          <w:sz w:val="20"/>
          <w:szCs w:val="20"/>
          <w:lang w:val="es-PE"/>
        </w:rPr>
        <w:t xml:space="preserve"> </w:t>
      </w:r>
    </w:p>
    <w:p w14:paraId="3E42484C" w14:textId="77777777" w:rsidR="00264747" w:rsidRPr="00264747" w:rsidRDefault="00264747" w:rsidP="00264747">
      <w:pPr>
        <w:pStyle w:val="Normal1"/>
        <w:widowControl/>
        <w:contextualSpacing/>
        <w:jc w:val="both"/>
        <w:rPr>
          <w:rFonts w:ascii="Verdana" w:hAnsi="Verdana" w:cstheme="minorBidi"/>
          <w:sz w:val="20"/>
          <w:szCs w:val="20"/>
        </w:rPr>
      </w:pPr>
    </w:p>
    <w:p w14:paraId="0FDC4FCC" w14:textId="77777777" w:rsidR="005B0504" w:rsidRPr="006B0525" w:rsidRDefault="005B0504" w:rsidP="00530549">
      <w:pPr>
        <w:pStyle w:val="Normal1"/>
        <w:widowControl/>
        <w:numPr>
          <w:ilvl w:val="0"/>
          <w:numId w:val="4"/>
        </w:numPr>
        <w:ind w:left="0" w:firstLine="0"/>
        <w:contextualSpacing/>
        <w:jc w:val="both"/>
        <w:rPr>
          <w:rFonts w:ascii="Verdana" w:hAnsi="Verdana" w:cstheme="minorBidi"/>
          <w:sz w:val="20"/>
          <w:szCs w:val="20"/>
        </w:rPr>
      </w:pPr>
      <w:r w:rsidRPr="006B0525">
        <w:rPr>
          <w:rFonts w:ascii="Verdana" w:eastAsia="MS Mincho" w:hAnsi="Verdana"/>
          <w:sz w:val="20"/>
          <w:szCs w:val="20"/>
          <w:lang w:bidi="en-US"/>
        </w:rPr>
        <w:t>La</w:t>
      </w:r>
      <w:r w:rsidRPr="006B0525">
        <w:rPr>
          <w:rFonts w:ascii="Verdana" w:eastAsia="MS Mincho" w:hAnsi="Verdana"/>
          <w:b/>
          <w:i/>
          <w:sz w:val="20"/>
          <w:szCs w:val="20"/>
          <w:lang w:bidi="en-US"/>
        </w:rPr>
        <w:t xml:space="preserve"> Comisión</w:t>
      </w:r>
      <w:r w:rsidRPr="006B0525">
        <w:rPr>
          <w:rFonts w:ascii="Verdana" w:eastAsia="MS Mincho" w:hAnsi="Verdana"/>
          <w:b/>
          <w:sz w:val="20"/>
          <w:szCs w:val="20"/>
          <w:lang w:bidi="en-US"/>
        </w:rPr>
        <w:t xml:space="preserve"> </w:t>
      </w:r>
      <w:r w:rsidRPr="006B0525">
        <w:rPr>
          <w:rFonts w:ascii="Verdana" w:eastAsia="MS Mincho" w:hAnsi="Verdana"/>
          <w:sz w:val="20"/>
          <w:szCs w:val="20"/>
          <w:lang w:bidi="en-US"/>
        </w:rPr>
        <w:t xml:space="preserve">no </w:t>
      </w:r>
      <w:r w:rsidRPr="006B0525">
        <w:rPr>
          <w:rFonts w:ascii="Verdana" w:hAnsi="Verdana" w:cs="Arial"/>
          <w:bCs/>
          <w:sz w:val="20"/>
          <w:szCs w:val="20"/>
          <w:lang w:val="es-PE"/>
        </w:rPr>
        <w:t xml:space="preserve">se </w:t>
      </w:r>
      <w:r w:rsidR="00D353E4" w:rsidRPr="006B0525">
        <w:rPr>
          <w:rFonts w:ascii="Verdana" w:hAnsi="Verdana" w:cs="Arial"/>
          <w:bCs/>
          <w:sz w:val="20"/>
          <w:szCs w:val="20"/>
          <w:lang w:val="es-PE"/>
        </w:rPr>
        <w:t>pronunció</w:t>
      </w:r>
      <w:r w:rsidRPr="006B0525">
        <w:rPr>
          <w:rFonts w:ascii="Verdana" w:hAnsi="Verdana" w:cs="Arial"/>
          <w:bCs/>
          <w:sz w:val="20"/>
          <w:szCs w:val="20"/>
          <w:lang w:val="es-PE"/>
        </w:rPr>
        <w:t xml:space="preserve"> </w:t>
      </w:r>
      <w:r w:rsidR="00D353E4" w:rsidRPr="006B0525">
        <w:rPr>
          <w:rFonts w:ascii="Verdana" w:hAnsi="Verdana" w:cs="Arial"/>
          <w:bCs/>
          <w:sz w:val="20"/>
          <w:szCs w:val="20"/>
          <w:lang w:val="es-PE"/>
        </w:rPr>
        <w:t>al respecto</w:t>
      </w:r>
      <w:r w:rsidRPr="006B0525">
        <w:rPr>
          <w:rFonts w:ascii="Verdana" w:hAnsi="Verdana" w:cs="Arial"/>
          <w:bCs/>
          <w:sz w:val="20"/>
          <w:szCs w:val="20"/>
          <w:lang w:val="es-PE"/>
        </w:rPr>
        <w:t>.</w:t>
      </w:r>
    </w:p>
    <w:p w14:paraId="11EE03D4" w14:textId="77777777" w:rsidR="00AA4B23" w:rsidRPr="006B0525" w:rsidRDefault="00AA4B23" w:rsidP="00AA4B23">
      <w:pPr>
        <w:pStyle w:val="Normal1"/>
        <w:widowControl/>
        <w:contextualSpacing/>
        <w:jc w:val="both"/>
        <w:rPr>
          <w:rFonts w:ascii="Verdana" w:hAnsi="Verdana"/>
          <w:sz w:val="20"/>
          <w:szCs w:val="20"/>
        </w:rPr>
      </w:pPr>
    </w:p>
    <w:p w14:paraId="731590C3" w14:textId="77777777" w:rsidR="005B0504" w:rsidRPr="006B0525" w:rsidRDefault="005B0504" w:rsidP="00912D70">
      <w:pPr>
        <w:pStyle w:val="Normal1"/>
        <w:widowControl/>
        <w:numPr>
          <w:ilvl w:val="0"/>
          <w:numId w:val="4"/>
        </w:numPr>
        <w:ind w:left="0" w:firstLine="0"/>
        <w:contextualSpacing/>
        <w:jc w:val="both"/>
        <w:rPr>
          <w:rFonts w:ascii="Verdana" w:eastAsia="MS Mincho" w:hAnsi="Verdana"/>
          <w:sz w:val="20"/>
          <w:szCs w:val="20"/>
          <w:lang w:bidi="en-US"/>
        </w:rPr>
      </w:pPr>
      <w:r w:rsidRPr="006B0525">
        <w:rPr>
          <w:rFonts w:ascii="Verdana" w:hAnsi="Verdana" w:cs="Verdana"/>
          <w:bCs/>
          <w:iCs/>
          <w:sz w:val="20"/>
          <w:szCs w:val="20"/>
        </w:rPr>
        <w:t xml:space="preserve">La </w:t>
      </w:r>
      <w:r w:rsidRPr="006B0525">
        <w:rPr>
          <w:rFonts w:ascii="Verdana" w:hAnsi="Verdana" w:cs="Verdana"/>
          <w:b/>
          <w:i/>
          <w:sz w:val="20"/>
          <w:szCs w:val="20"/>
        </w:rPr>
        <w:t>Corte</w:t>
      </w:r>
      <w:r w:rsidRPr="006B0525">
        <w:rPr>
          <w:rFonts w:ascii="Verdana" w:hAnsi="Verdana" w:cs="Verdana"/>
          <w:bCs/>
          <w:iCs/>
          <w:sz w:val="20"/>
          <w:szCs w:val="20"/>
        </w:rPr>
        <w:t xml:space="preserve"> reitera que, conforme a su jurisprudencia</w:t>
      </w:r>
      <w:r w:rsidRPr="006B0525">
        <w:rPr>
          <w:rFonts w:ascii="Verdana" w:hAnsi="Verdana" w:cs="Verdana"/>
          <w:bCs/>
          <w:iCs/>
          <w:sz w:val="20"/>
          <w:szCs w:val="20"/>
          <w:vertAlign w:val="superscript"/>
        </w:rPr>
        <w:footnoteReference w:id="193"/>
      </w:r>
      <w:r w:rsidRPr="006B0525">
        <w:rPr>
          <w:rFonts w:ascii="Verdana" w:hAnsi="Verdana" w:cs="Verdana"/>
          <w:bCs/>
          <w:iCs/>
          <w:sz w:val="20"/>
          <w:szCs w:val="20"/>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w:t>
      </w:r>
      <w:r w:rsidRPr="006B0525">
        <w:rPr>
          <w:rFonts w:ascii="Verdana" w:eastAsia="MS Mincho" w:hAnsi="Verdana"/>
          <w:sz w:val="20"/>
          <w:szCs w:val="20"/>
          <w:lang w:bidi="en-US"/>
        </w:rPr>
        <w:t xml:space="preserve">El Tribunal ha señalado que “las pretensiones de las víctimas o sus representantes en materia de costas y gastos, y las pruebas que las sustentan, deben presentarse a la Corte en el primer momento procesal que se les concede, esto es, en el escrito de solicitudes y </w:t>
      </w:r>
      <w:r w:rsidRPr="006B0525">
        <w:rPr>
          <w:rFonts w:ascii="Verdana" w:hAnsi="Verdana" w:cs="Verdana"/>
          <w:bCs/>
          <w:iCs/>
          <w:sz w:val="20"/>
          <w:szCs w:val="20"/>
        </w:rPr>
        <w:t>argumentos</w:t>
      </w:r>
      <w:r w:rsidRPr="006B0525">
        <w:rPr>
          <w:rFonts w:ascii="Verdana" w:eastAsia="MS Mincho" w:hAnsi="Verdana"/>
          <w:sz w:val="20"/>
          <w:szCs w:val="20"/>
          <w:lang w:bidi="en-US"/>
        </w:rPr>
        <w:t xml:space="preserve">, sin </w:t>
      </w:r>
      <w:r w:rsidRPr="006B0525">
        <w:rPr>
          <w:rFonts w:ascii="Verdana" w:eastAsia="MS Mincho" w:hAnsi="Verdana"/>
          <w:sz w:val="20"/>
          <w:szCs w:val="20"/>
          <w:lang w:bidi="en-US"/>
        </w:rPr>
        <w:lastRenderedPageBreak/>
        <w:t>perjuicio de que tales pretensiones se actualicen en un momento posterior, conforme a las nuevas costas y gastos en que se haya incurrido con ocasión del procedimiento ante esta Corte”</w:t>
      </w:r>
      <w:r w:rsidRPr="006B0525">
        <w:rPr>
          <w:rFonts w:ascii="Verdana" w:eastAsia="MS Mincho" w:hAnsi="Verdana"/>
          <w:sz w:val="20"/>
          <w:szCs w:val="20"/>
          <w:vertAlign w:val="superscript"/>
          <w:lang w:bidi="en-US"/>
        </w:rPr>
        <w:footnoteReference w:id="194"/>
      </w:r>
      <w:r w:rsidRPr="006B0525">
        <w:rPr>
          <w:rFonts w:ascii="Verdana" w:eastAsia="MS Mincho" w:hAnsi="Verdana"/>
          <w:sz w:val="20"/>
          <w:szCs w:val="20"/>
          <w:lang w:bidi="en-US"/>
        </w:rPr>
        <w:t xml:space="preserve">.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w:t>
      </w:r>
      <w:proofErr w:type="gramStart"/>
      <w:r w:rsidRPr="006B0525">
        <w:rPr>
          <w:rFonts w:ascii="Verdana" w:eastAsia="MS Mincho" w:hAnsi="Verdana"/>
          <w:sz w:val="20"/>
          <w:szCs w:val="20"/>
          <w:lang w:bidi="en-US"/>
        </w:rPr>
        <w:t>los mismos</w:t>
      </w:r>
      <w:proofErr w:type="gramEnd"/>
      <w:r w:rsidRPr="006B0525">
        <w:rPr>
          <w:rFonts w:ascii="Verdana" w:eastAsia="MS Mincho" w:hAnsi="Verdana"/>
          <w:sz w:val="20"/>
          <w:szCs w:val="20"/>
          <w:vertAlign w:val="superscript"/>
          <w:lang w:bidi="en-US"/>
        </w:rPr>
        <w:footnoteReference w:id="195"/>
      </w:r>
      <w:r w:rsidRPr="006B0525">
        <w:rPr>
          <w:rFonts w:ascii="Verdana" w:eastAsia="MS Mincho" w:hAnsi="Verdana"/>
          <w:sz w:val="20"/>
          <w:szCs w:val="20"/>
          <w:lang w:bidi="en-US"/>
        </w:rPr>
        <w:t xml:space="preserve">. </w:t>
      </w:r>
      <w:r w:rsidR="00AA4B23" w:rsidRPr="006B0525">
        <w:rPr>
          <w:rFonts w:ascii="Verdana" w:hAnsi="Verdana" w:cs="Arial"/>
          <w:bCs/>
          <w:sz w:val="20"/>
          <w:szCs w:val="20"/>
          <w:lang w:val="es-PE"/>
        </w:rPr>
        <w:t xml:space="preserve">La Corte observa que en el presente caso las representantes solicitaron el reembolso de </w:t>
      </w:r>
      <w:r w:rsidR="006C13B7" w:rsidRPr="006B0525">
        <w:rPr>
          <w:rFonts w:ascii="Verdana" w:hAnsi="Verdana" w:cs="Arial"/>
          <w:bCs/>
          <w:sz w:val="20"/>
          <w:szCs w:val="20"/>
          <w:lang w:val="es-PE"/>
        </w:rPr>
        <w:t>las costas</w:t>
      </w:r>
      <w:r w:rsidR="00AA4B23" w:rsidRPr="006B0525">
        <w:rPr>
          <w:rFonts w:ascii="Verdana" w:hAnsi="Verdana" w:cs="Arial"/>
          <w:bCs/>
          <w:sz w:val="20"/>
          <w:szCs w:val="20"/>
          <w:lang w:val="es-PE"/>
        </w:rPr>
        <w:t xml:space="preserve"> generad</w:t>
      </w:r>
      <w:r w:rsidR="006C13B7" w:rsidRPr="006B0525">
        <w:rPr>
          <w:rFonts w:ascii="Verdana" w:hAnsi="Verdana" w:cs="Arial"/>
          <w:bCs/>
          <w:sz w:val="20"/>
          <w:szCs w:val="20"/>
          <w:lang w:val="es-PE"/>
        </w:rPr>
        <w:t>a</w:t>
      </w:r>
      <w:r w:rsidR="00AA4B23" w:rsidRPr="006B0525">
        <w:rPr>
          <w:rFonts w:ascii="Verdana" w:hAnsi="Verdana" w:cs="Arial"/>
          <w:bCs/>
          <w:sz w:val="20"/>
          <w:szCs w:val="20"/>
          <w:lang w:val="es-PE"/>
        </w:rPr>
        <w:t xml:space="preserve">s </w:t>
      </w:r>
      <w:r w:rsidR="006C13B7" w:rsidRPr="006B0525">
        <w:rPr>
          <w:rFonts w:ascii="Verdana" w:hAnsi="Verdana" w:cs="Arial"/>
          <w:bCs/>
          <w:sz w:val="20"/>
          <w:szCs w:val="20"/>
          <w:lang w:val="es-PE"/>
        </w:rPr>
        <w:t>en</w:t>
      </w:r>
      <w:r w:rsidR="00AA4B23" w:rsidRPr="006B0525">
        <w:rPr>
          <w:rFonts w:ascii="Verdana" w:hAnsi="Verdana" w:cs="Arial"/>
          <w:bCs/>
          <w:sz w:val="20"/>
          <w:szCs w:val="20"/>
          <w:lang w:val="es-PE"/>
        </w:rPr>
        <w:t xml:space="preserve"> sus alegatos finales escritos. </w:t>
      </w:r>
      <w:r w:rsidR="006C13B7" w:rsidRPr="006B0525">
        <w:rPr>
          <w:rFonts w:ascii="Verdana" w:hAnsi="Verdana" w:cs="Arial"/>
          <w:bCs/>
          <w:sz w:val="20"/>
          <w:szCs w:val="20"/>
          <w:lang w:val="es-PE"/>
        </w:rPr>
        <w:t>La solicitud, por</w:t>
      </w:r>
      <w:r w:rsidR="00AA4B23" w:rsidRPr="006B0525">
        <w:rPr>
          <w:rFonts w:ascii="Verdana" w:hAnsi="Verdana" w:cs="Arial"/>
          <w:bCs/>
          <w:sz w:val="20"/>
          <w:szCs w:val="20"/>
          <w:lang w:val="es-PE"/>
        </w:rPr>
        <w:t xml:space="preserve"> tanto, </w:t>
      </w:r>
      <w:r w:rsidR="006C13B7" w:rsidRPr="006B0525">
        <w:rPr>
          <w:rFonts w:ascii="Verdana" w:hAnsi="Verdana" w:cs="Arial"/>
          <w:bCs/>
          <w:sz w:val="20"/>
          <w:szCs w:val="20"/>
          <w:lang w:val="es-PE"/>
        </w:rPr>
        <w:t>es extemporánea y debe ser rechazada</w:t>
      </w:r>
      <w:r w:rsidR="00AA4B23" w:rsidRPr="006B0525">
        <w:rPr>
          <w:rFonts w:ascii="Verdana" w:hAnsi="Verdana" w:cs="Arial"/>
          <w:bCs/>
          <w:sz w:val="20"/>
          <w:szCs w:val="20"/>
          <w:lang w:val="es-PE"/>
        </w:rPr>
        <w:t>.</w:t>
      </w:r>
    </w:p>
    <w:p w14:paraId="1D5F8440" w14:textId="77777777" w:rsidR="005B0504" w:rsidRPr="006B0525" w:rsidRDefault="005B0504" w:rsidP="00530549">
      <w:pPr>
        <w:pStyle w:val="Ttulo2"/>
      </w:pPr>
      <w:bookmarkStart w:id="117" w:name="_Toc495658705"/>
      <w:bookmarkStart w:id="118" w:name="_Toc476390747"/>
      <w:bookmarkStart w:id="119" w:name="_Toc514172673"/>
      <w:bookmarkStart w:id="120" w:name="_Toc16270621"/>
      <w:bookmarkStart w:id="121" w:name="_Toc15933782"/>
      <w:bookmarkStart w:id="122" w:name="_Toc26177831"/>
      <w:r w:rsidRPr="006B0525">
        <w:t xml:space="preserve">H. </w:t>
      </w:r>
      <w:bookmarkStart w:id="123" w:name="_Hlk18961453"/>
      <w:r w:rsidRPr="006B0525">
        <w:t>Reintegro de los gastos al Fondo de Asistencia Legal de Víctimas</w:t>
      </w:r>
      <w:bookmarkEnd w:id="117"/>
      <w:bookmarkEnd w:id="118"/>
      <w:bookmarkEnd w:id="119"/>
      <w:r w:rsidRPr="006B0525">
        <w:t xml:space="preserve"> de la Corte Interamericana</w:t>
      </w:r>
      <w:bookmarkEnd w:id="120"/>
      <w:bookmarkEnd w:id="121"/>
      <w:bookmarkEnd w:id="122"/>
      <w:bookmarkEnd w:id="123"/>
    </w:p>
    <w:p w14:paraId="74614504" w14:textId="77777777" w:rsidR="005B0504" w:rsidRPr="006B0525" w:rsidRDefault="005B0504" w:rsidP="00530549">
      <w:pPr>
        <w:pStyle w:val="Normal1"/>
        <w:widowControl/>
        <w:numPr>
          <w:ilvl w:val="0"/>
          <w:numId w:val="4"/>
        </w:numPr>
        <w:ind w:left="0" w:firstLine="0"/>
        <w:contextualSpacing/>
        <w:jc w:val="both"/>
        <w:rPr>
          <w:rFonts w:ascii="Verdana" w:hAnsi="Verdana" w:cs="Arial"/>
          <w:sz w:val="20"/>
          <w:szCs w:val="20"/>
        </w:rPr>
      </w:pPr>
      <w:r w:rsidRPr="006B0525">
        <w:rPr>
          <w:rFonts w:ascii="Verdana" w:eastAsia="MS Mincho" w:hAnsi="Verdana" w:cs="Verdana"/>
          <w:snapToGrid w:val="0"/>
          <w:sz w:val="20"/>
          <w:szCs w:val="20"/>
          <w:lang w:eastAsia="es-ES" w:bidi="en-US"/>
        </w:rPr>
        <w:t xml:space="preserve">En el 2008 la Asamblea General de la Organización de Estados Americanos creó el Fondo de </w:t>
      </w:r>
      <w:r w:rsidRPr="006B0525">
        <w:rPr>
          <w:rFonts w:ascii="Verdana" w:eastAsia="MS Mincho" w:hAnsi="Verdana"/>
          <w:sz w:val="20"/>
          <w:szCs w:val="20"/>
          <w:lang w:bidi="en-US"/>
        </w:rPr>
        <w:t>Asistencia</w:t>
      </w:r>
      <w:r w:rsidRPr="006B0525">
        <w:rPr>
          <w:rFonts w:ascii="Verdana" w:eastAsia="MS Mincho" w:hAnsi="Verdana" w:cs="Verdana"/>
          <w:snapToGrid w:val="0"/>
          <w:sz w:val="20"/>
          <w:szCs w:val="20"/>
          <w:lang w:eastAsia="es-ES" w:bidi="en-US"/>
        </w:rPr>
        <w:t xml:space="preserve"> Legal del Sistema Interamericano de Derechos Humanos, con el “objeto [de] facilitar acceso al sistema interamericano </w:t>
      </w:r>
      <w:r w:rsidRPr="006B0525">
        <w:rPr>
          <w:rFonts w:ascii="Verdana" w:eastAsia="MS Mincho" w:hAnsi="Verdana"/>
          <w:sz w:val="20"/>
          <w:szCs w:val="20"/>
          <w:lang w:bidi="en-US"/>
        </w:rPr>
        <w:t>de</w:t>
      </w:r>
      <w:r w:rsidRPr="006B0525">
        <w:rPr>
          <w:rFonts w:ascii="Verdana" w:eastAsia="MS Mincho" w:hAnsi="Verdana" w:cs="Verdana"/>
          <w:snapToGrid w:val="0"/>
          <w:sz w:val="20"/>
          <w:szCs w:val="20"/>
          <w:lang w:eastAsia="es-ES" w:bidi="en-US"/>
        </w:rPr>
        <w:t xml:space="preserve"> derechos humanos a aquellas personas que actualmente no tienen los recursos necesarios para llevar su caso al sistema”</w:t>
      </w:r>
      <w:r w:rsidRPr="006B0525">
        <w:rPr>
          <w:rFonts w:ascii="Verdana" w:eastAsia="MS Mincho" w:hAnsi="Verdana" w:cs="Verdana"/>
          <w:snapToGrid w:val="0"/>
          <w:sz w:val="20"/>
          <w:szCs w:val="20"/>
          <w:vertAlign w:val="superscript"/>
          <w:lang w:eastAsia="es-ES" w:bidi="en-US"/>
        </w:rPr>
        <w:footnoteReference w:id="196"/>
      </w:r>
      <w:r w:rsidRPr="006B0525">
        <w:rPr>
          <w:rFonts w:ascii="Verdana" w:eastAsia="MS Mincho" w:hAnsi="Verdana" w:cs="Verdana"/>
          <w:snapToGrid w:val="0"/>
          <w:sz w:val="20"/>
          <w:szCs w:val="20"/>
          <w:lang w:eastAsia="es-ES" w:bidi="en-US"/>
        </w:rPr>
        <w:t xml:space="preserve">. </w:t>
      </w:r>
    </w:p>
    <w:p w14:paraId="52A1AC61" w14:textId="77777777" w:rsidR="005B0504" w:rsidRPr="006B0525" w:rsidRDefault="005B0504" w:rsidP="00530549">
      <w:pPr>
        <w:pStyle w:val="Normal1"/>
        <w:widowControl/>
        <w:contextualSpacing/>
        <w:jc w:val="both"/>
        <w:rPr>
          <w:rFonts w:ascii="Verdana" w:hAnsi="Verdana" w:cs="Arial"/>
          <w:sz w:val="20"/>
          <w:szCs w:val="20"/>
        </w:rPr>
      </w:pPr>
    </w:p>
    <w:p w14:paraId="1F5EDDE1" w14:textId="77777777" w:rsidR="005B0504" w:rsidRPr="006B0525" w:rsidRDefault="004D2A8A" w:rsidP="00530549">
      <w:pPr>
        <w:pStyle w:val="Normal1"/>
        <w:widowControl/>
        <w:numPr>
          <w:ilvl w:val="0"/>
          <w:numId w:val="4"/>
        </w:numPr>
        <w:ind w:left="0" w:firstLine="0"/>
        <w:contextualSpacing/>
        <w:jc w:val="both"/>
        <w:rPr>
          <w:rFonts w:ascii="Verdana" w:hAnsi="Verdana" w:cstheme="minorBidi"/>
          <w:b/>
          <w:sz w:val="20"/>
          <w:szCs w:val="20"/>
          <w:lang w:val="es-PE"/>
        </w:rPr>
      </w:pPr>
      <w:r w:rsidRPr="006B0525">
        <w:rPr>
          <w:rFonts w:ascii="Verdana" w:hAnsi="Verdana"/>
          <w:sz w:val="20"/>
          <w:szCs w:val="20"/>
          <w:lang w:val="es-PE"/>
        </w:rPr>
        <w:t>Las representantes</w:t>
      </w:r>
      <w:r w:rsidR="005B0504" w:rsidRPr="006B0525">
        <w:rPr>
          <w:rFonts w:ascii="Verdana" w:hAnsi="Verdana"/>
          <w:b/>
          <w:sz w:val="20"/>
          <w:szCs w:val="20"/>
          <w:lang w:val="es-PE"/>
        </w:rPr>
        <w:t xml:space="preserve"> </w:t>
      </w:r>
      <w:r w:rsidR="005B0504" w:rsidRPr="006B0525">
        <w:rPr>
          <w:rFonts w:ascii="Verdana" w:eastAsia="MS Mincho" w:hAnsi="Verdana"/>
          <w:sz w:val="20"/>
          <w:szCs w:val="20"/>
          <w:lang w:bidi="en-US"/>
        </w:rPr>
        <w:t>solicitaron</w:t>
      </w:r>
      <w:r w:rsidR="005B0504" w:rsidRPr="006B0525">
        <w:rPr>
          <w:rFonts w:ascii="Verdana" w:hAnsi="Verdana"/>
          <w:sz w:val="20"/>
          <w:szCs w:val="20"/>
          <w:lang w:val="es-PE"/>
        </w:rPr>
        <w:t xml:space="preserve"> la utilización del beneficio para los gastos de </w:t>
      </w:r>
      <w:r w:rsidR="005B0504" w:rsidRPr="006B0525">
        <w:rPr>
          <w:rFonts w:ascii="Verdana" w:eastAsia="MS Mincho" w:hAnsi="Verdana" w:cs="Verdana"/>
          <w:snapToGrid w:val="0"/>
          <w:sz w:val="20"/>
          <w:szCs w:val="20"/>
          <w:lang w:eastAsia="es-ES" w:bidi="en-US"/>
        </w:rPr>
        <w:t>abordaje</w:t>
      </w:r>
      <w:r w:rsidR="005B0504" w:rsidRPr="006B0525">
        <w:rPr>
          <w:rFonts w:ascii="Verdana" w:hAnsi="Verdana"/>
          <w:sz w:val="20"/>
          <w:szCs w:val="20"/>
          <w:lang w:val="es-PE"/>
        </w:rPr>
        <w:t xml:space="preserve"> específico de su defe</w:t>
      </w:r>
      <w:r w:rsidR="00136FBA">
        <w:rPr>
          <w:rFonts w:ascii="Verdana" w:hAnsi="Verdana"/>
          <w:sz w:val="20"/>
          <w:szCs w:val="20"/>
          <w:lang w:val="es-PE"/>
        </w:rPr>
        <w:t>nsa en el proceso internacional y</w:t>
      </w:r>
      <w:r w:rsidR="005B0504" w:rsidRPr="006B0525">
        <w:rPr>
          <w:rFonts w:ascii="Verdana" w:hAnsi="Verdana"/>
          <w:sz w:val="20"/>
          <w:szCs w:val="20"/>
          <w:lang w:val="es-PE"/>
        </w:rPr>
        <w:t xml:space="preserve"> para los gastos que demande la intervención de</w:t>
      </w:r>
      <w:r w:rsidR="00136FBA">
        <w:rPr>
          <w:rFonts w:ascii="Verdana" w:hAnsi="Verdana"/>
          <w:sz w:val="20"/>
          <w:szCs w:val="20"/>
          <w:lang w:val="es-PE"/>
        </w:rPr>
        <w:t xml:space="preserve"> las Defensoras Interamericanas</w:t>
      </w:r>
      <w:r w:rsidR="0050134A" w:rsidRPr="006B0525">
        <w:rPr>
          <w:rFonts w:ascii="Verdana" w:hAnsi="Verdana"/>
          <w:sz w:val="20"/>
          <w:szCs w:val="20"/>
          <w:lang w:val="es-PE"/>
        </w:rPr>
        <w:t>.</w:t>
      </w:r>
      <w:r w:rsidR="005B0504" w:rsidRPr="006B0525">
        <w:rPr>
          <w:rFonts w:ascii="Verdana" w:hAnsi="Verdana"/>
          <w:sz w:val="20"/>
          <w:szCs w:val="20"/>
          <w:lang w:val="es-PE"/>
        </w:rPr>
        <w:t xml:space="preserve"> </w:t>
      </w:r>
    </w:p>
    <w:p w14:paraId="1572D602" w14:textId="77777777" w:rsidR="00FB5CB3" w:rsidRPr="006B0525" w:rsidRDefault="00FB5CB3" w:rsidP="00530549">
      <w:pPr>
        <w:pStyle w:val="Normal1"/>
        <w:widowControl/>
        <w:contextualSpacing/>
        <w:jc w:val="both"/>
        <w:rPr>
          <w:rFonts w:ascii="Verdana" w:hAnsi="Verdana" w:cs="Arial"/>
          <w:b/>
          <w:bCs/>
          <w:sz w:val="20"/>
          <w:szCs w:val="20"/>
          <w:highlight w:val="yellow"/>
          <w:lang w:val="es-PE"/>
        </w:rPr>
      </w:pPr>
    </w:p>
    <w:p w14:paraId="7188D953" w14:textId="77777777" w:rsidR="00140196" w:rsidRPr="006B0525" w:rsidRDefault="005B0504" w:rsidP="00121688">
      <w:pPr>
        <w:pStyle w:val="Normal1"/>
        <w:widowControl/>
        <w:numPr>
          <w:ilvl w:val="0"/>
          <w:numId w:val="4"/>
        </w:numPr>
        <w:ind w:left="0" w:firstLine="0"/>
        <w:contextualSpacing/>
        <w:jc w:val="both"/>
        <w:rPr>
          <w:rFonts w:ascii="Verdana" w:hAnsi="Verdana" w:cs="Arial"/>
          <w:bCs/>
          <w:sz w:val="20"/>
          <w:szCs w:val="20"/>
          <w:lang w:val="es-PE"/>
        </w:rPr>
      </w:pPr>
      <w:r w:rsidRPr="006B0525">
        <w:rPr>
          <w:rFonts w:ascii="Verdana" w:eastAsia="Verdana" w:hAnsi="Verdana" w:cs="Verdana"/>
          <w:sz w:val="20"/>
          <w:szCs w:val="20"/>
          <w:lang w:val="es-PE"/>
        </w:rPr>
        <w:t>Mediante nota de Secretaría de</w:t>
      </w:r>
      <w:r w:rsidR="00AB3AB0" w:rsidRPr="006B0525">
        <w:rPr>
          <w:rFonts w:ascii="Verdana" w:eastAsia="Verdana" w:hAnsi="Verdana" w:cs="Verdana"/>
          <w:sz w:val="20"/>
          <w:szCs w:val="20"/>
          <w:lang w:val="es-PE"/>
        </w:rPr>
        <w:t xml:space="preserve"> la Corte de </w:t>
      </w:r>
      <w:r w:rsidR="00121688" w:rsidRPr="006B0525">
        <w:rPr>
          <w:rFonts w:ascii="Verdana" w:eastAsia="Verdana" w:hAnsi="Verdana" w:cs="Verdana"/>
          <w:sz w:val="20"/>
          <w:szCs w:val="20"/>
          <w:lang w:val="es-PE"/>
        </w:rPr>
        <w:t>17</w:t>
      </w:r>
      <w:r w:rsidR="00AB3AB0" w:rsidRPr="006B0525">
        <w:rPr>
          <w:rFonts w:ascii="Verdana" w:eastAsia="Verdana" w:hAnsi="Verdana" w:cs="Verdana"/>
          <w:sz w:val="20"/>
          <w:szCs w:val="20"/>
          <w:lang w:val="es-PE"/>
        </w:rPr>
        <w:t xml:space="preserve"> de </w:t>
      </w:r>
      <w:r w:rsidR="00121688" w:rsidRPr="006B0525">
        <w:rPr>
          <w:rFonts w:ascii="Verdana" w:eastAsia="Verdana" w:hAnsi="Verdana" w:cs="Verdana"/>
          <w:sz w:val="20"/>
          <w:szCs w:val="20"/>
          <w:lang w:val="es-PE"/>
        </w:rPr>
        <w:t>julio</w:t>
      </w:r>
      <w:r w:rsidR="00AB3AB0" w:rsidRPr="006B0525">
        <w:rPr>
          <w:rFonts w:ascii="Verdana" w:eastAsia="Verdana" w:hAnsi="Verdana" w:cs="Verdana"/>
          <w:sz w:val="20"/>
          <w:szCs w:val="20"/>
          <w:lang w:val="es-PE"/>
        </w:rPr>
        <w:t xml:space="preserve"> del 2019</w:t>
      </w:r>
      <w:r w:rsidRPr="006B0525">
        <w:rPr>
          <w:rFonts w:ascii="Verdana" w:eastAsia="Verdana" w:hAnsi="Verdana" w:cs="Verdana"/>
          <w:sz w:val="20"/>
          <w:szCs w:val="20"/>
          <w:lang w:val="es-PE"/>
        </w:rPr>
        <w:t xml:space="preserve"> se remitió un informe </w:t>
      </w:r>
      <w:r w:rsidRPr="006B0525">
        <w:rPr>
          <w:rFonts w:ascii="Verdana" w:hAnsi="Verdana"/>
          <w:sz w:val="20"/>
          <w:szCs w:val="20"/>
          <w:lang w:val="es-PE"/>
        </w:rPr>
        <w:t>al</w:t>
      </w:r>
      <w:r w:rsidRPr="006B0525">
        <w:rPr>
          <w:rFonts w:ascii="Verdana" w:eastAsia="Verdana" w:hAnsi="Verdana" w:cs="Verdana"/>
          <w:sz w:val="20"/>
          <w:szCs w:val="20"/>
          <w:lang w:val="es-PE"/>
        </w:rPr>
        <w:t xml:space="preserve"> Estado sobre las erogaciones efectuadas en aplicación del Fondo de Asistencia </w:t>
      </w:r>
      <w:r w:rsidRPr="006B0525">
        <w:rPr>
          <w:rFonts w:ascii="Verdana" w:hAnsi="Verdana"/>
          <w:sz w:val="20"/>
          <w:szCs w:val="20"/>
          <w:lang w:val="es-MX"/>
        </w:rPr>
        <w:t>Legal de Víctimas</w:t>
      </w:r>
      <w:r w:rsidRPr="006B0525">
        <w:rPr>
          <w:rFonts w:ascii="Verdana" w:eastAsia="Verdana" w:hAnsi="Verdana" w:cs="Verdana"/>
          <w:sz w:val="20"/>
          <w:szCs w:val="20"/>
          <w:lang w:val="es-PE"/>
        </w:rPr>
        <w:t xml:space="preserve"> en el presente caso, las cuales ascendieron a la suma de USD$ </w:t>
      </w:r>
      <w:r w:rsidR="00121688" w:rsidRPr="006B0525">
        <w:rPr>
          <w:rFonts w:ascii="Verdana" w:eastAsia="Verdana" w:hAnsi="Verdana" w:cs="Verdana"/>
          <w:sz w:val="20"/>
          <w:szCs w:val="20"/>
          <w:lang w:val="es-PE"/>
        </w:rPr>
        <w:t xml:space="preserve">1,943.20 (mil novecientos cuarenta y tres con </w:t>
      </w:r>
      <w:r w:rsidR="00121688" w:rsidRPr="006B0525">
        <w:rPr>
          <w:rFonts w:ascii="Verdana" w:hAnsi="Verdana"/>
          <w:sz w:val="20"/>
          <w:szCs w:val="20"/>
          <w:lang w:val="es-PE"/>
        </w:rPr>
        <w:t>1</w:t>
      </w:r>
      <w:r w:rsidR="00121688" w:rsidRPr="006B0525">
        <w:rPr>
          <w:rFonts w:ascii="Verdana" w:eastAsia="Verdana" w:hAnsi="Verdana" w:cs="Verdana"/>
          <w:sz w:val="20"/>
          <w:szCs w:val="20"/>
          <w:lang w:val="es-PE"/>
        </w:rPr>
        <w:t xml:space="preserve">/5 </w:t>
      </w:r>
      <w:r w:rsidRPr="006B0525">
        <w:rPr>
          <w:rFonts w:ascii="Verdana" w:eastAsia="Verdana" w:hAnsi="Verdana" w:cs="Verdana"/>
          <w:sz w:val="20"/>
          <w:szCs w:val="20"/>
          <w:lang w:val="es-PE"/>
        </w:rPr>
        <w:t xml:space="preserve">dólares de los Estados Unidos de América) y, según lo </w:t>
      </w:r>
      <w:r w:rsidRPr="006B0525">
        <w:rPr>
          <w:rFonts w:ascii="Verdana" w:hAnsi="Verdana"/>
          <w:sz w:val="20"/>
          <w:szCs w:val="20"/>
          <w:lang w:val="es-PE"/>
        </w:rPr>
        <w:t>dispuesto</w:t>
      </w:r>
      <w:r w:rsidRPr="006B0525">
        <w:rPr>
          <w:rFonts w:ascii="Verdana" w:eastAsia="Verdana" w:hAnsi="Verdana" w:cs="Verdana"/>
          <w:sz w:val="20"/>
          <w:szCs w:val="20"/>
          <w:lang w:val="es-PE"/>
        </w:rPr>
        <w:t xml:space="preserve"> en </w:t>
      </w:r>
      <w:r w:rsidRPr="006B0525">
        <w:rPr>
          <w:rFonts w:ascii="Verdana" w:eastAsia="MS Mincho" w:hAnsi="Verdana"/>
          <w:sz w:val="20"/>
          <w:szCs w:val="20"/>
          <w:lang w:bidi="en-US"/>
        </w:rPr>
        <w:t>el</w:t>
      </w:r>
      <w:r w:rsidRPr="006B0525">
        <w:rPr>
          <w:rFonts w:ascii="Verdana" w:eastAsia="Verdana" w:hAnsi="Verdana" w:cs="Verdana"/>
          <w:sz w:val="20"/>
          <w:szCs w:val="20"/>
          <w:lang w:val="es-PE"/>
        </w:rPr>
        <w:t xml:space="preserve"> artículo 5 del Reglamento de la Corte sobre el Funcionamiento del referido Fondo, se otorgó un plazo para que Guatemala presentara las observaciones que estimara pertinentes.</w:t>
      </w:r>
      <w:r w:rsidRPr="006B0525">
        <w:rPr>
          <w:rFonts w:ascii="Verdana" w:eastAsia="Verdana" w:hAnsi="Verdana" w:cs="Verdana"/>
          <w:i/>
          <w:sz w:val="20"/>
          <w:szCs w:val="20"/>
          <w:lang w:val="es-PE"/>
        </w:rPr>
        <w:t xml:space="preserve"> </w:t>
      </w:r>
      <w:r w:rsidRPr="006B0525">
        <w:rPr>
          <w:rFonts w:ascii="Verdana" w:eastAsia="Verdana" w:hAnsi="Verdana" w:cs="Verdana"/>
          <w:sz w:val="20"/>
          <w:szCs w:val="20"/>
          <w:lang w:val="es-PE"/>
        </w:rPr>
        <w:t xml:space="preserve">El Estado presentó sus observaciones el </w:t>
      </w:r>
      <w:r w:rsidR="00140196" w:rsidRPr="006B0525">
        <w:rPr>
          <w:rFonts w:ascii="Verdana" w:eastAsia="Verdana" w:hAnsi="Verdana" w:cs="Verdana"/>
          <w:sz w:val="20"/>
          <w:szCs w:val="20"/>
          <w:lang w:val="es-PE"/>
        </w:rPr>
        <w:t>22</w:t>
      </w:r>
      <w:r w:rsidRPr="006B0525">
        <w:rPr>
          <w:rFonts w:ascii="Verdana" w:eastAsia="Verdana" w:hAnsi="Verdana" w:cs="Verdana"/>
          <w:sz w:val="20"/>
          <w:szCs w:val="20"/>
          <w:lang w:val="es-PE"/>
        </w:rPr>
        <w:t xml:space="preserve"> de </w:t>
      </w:r>
      <w:r w:rsidR="00140196" w:rsidRPr="006B0525">
        <w:rPr>
          <w:rFonts w:ascii="Verdana" w:eastAsia="Verdana" w:hAnsi="Verdana" w:cs="Verdana"/>
          <w:sz w:val="20"/>
          <w:szCs w:val="20"/>
          <w:lang w:val="es-PE"/>
        </w:rPr>
        <w:t>julio</w:t>
      </w:r>
      <w:r w:rsidRPr="006B0525">
        <w:rPr>
          <w:rFonts w:ascii="Verdana" w:eastAsia="Verdana" w:hAnsi="Verdana" w:cs="Verdana"/>
          <w:sz w:val="20"/>
          <w:szCs w:val="20"/>
          <w:lang w:val="es-PE"/>
        </w:rPr>
        <w:t xml:space="preserve"> del 2019, en las cuales </w:t>
      </w:r>
      <w:r w:rsidR="00140196" w:rsidRPr="006B0525">
        <w:rPr>
          <w:rFonts w:ascii="Verdana" w:eastAsia="Verdana" w:hAnsi="Verdana" w:cs="Verdana"/>
          <w:sz w:val="20"/>
          <w:szCs w:val="20"/>
          <w:lang w:val="es-PE"/>
        </w:rPr>
        <w:t>se “opuso rotundamente” a realizar el pago por reintegro al Fondo aduciendo que (i) las verdaderas víctimas eran los perjudicados por el delito cometido por los señores Rodríguez Revolorio, López Calo y Archila Pérez y que (</w:t>
      </w:r>
      <w:proofErr w:type="spellStart"/>
      <w:r w:rsidR="00140196" w:rsidRPr="006B0525">
        <w:rPr>
          <w:rFonts w:ascii="Verdana" w:eastAsia="Verdana" w:hAnsi="Verdana" w:cs="Verdana"/>
          <w:sz w:val="20"/>
          <w:szCs w:val="20"/>
          <w:lang w:val="es-PE"/>
        </w:rPr>
        <w:t>ii</w:t>
      </w:r>
      <w:proofErr w:type="spellEnd"/>
      <w:r w:rsidR="00140196" w:rsidRPr="006B0525">
        <w:rPr>
          <w:rFonts w:ascii="Verdana" w:eastAsia="Verdana" w:hAnsi="Verdana" w:cs="Verdana"/>
          <w:sz w:val="20"/>
          <w:szCs w:val="20"/>
          <w:lang w:val="es-PE"/>
        </w:rPr>
        <w:t>) a pesar de que el señor Rodríguez Revolorio contaba con representación privada se nombró “de forma arbitraria” a las defensores interamericanas para que asumieran la defensa de la presunta víctima”</w:t>
      </w:r>
      <w:r w:rsidRPr="006B0525">
        <w:rPr>
          <w:rFonts w:ascii="Verdana" w:eastAsia="Verdana" w:hAnsi="Verdana" w:cs="Verdana"/>
          <w:sz w:val="20"/>
          <w:szCs w:val="20"/>
          <w:lang w:val="es-PE"/>
        </w:rPr>
        <w:t>.</w:t>
      </w:r>
    </w:p>
    <w:p w14:paraId="2A0633C0" w14:textId="77777777" w:rsidR="00FB5CB3" w:rsidRPr="006B0525" w:rsidRDefault="00FB5CB3" w:rsidP="00530549">
      <w:pPr>
        <w:pStyle w:val="Normal1"/>
        <w:widowControl/>
        <w:contextualSpacing/>
        <w:jc w:val="both"/>
        <w:rPr>
          <w:rFonts w:ascii="Verdana" w:hAnsi="Verdana" w:cs="Arial"/>
          <w:b/>
          <w:bCs/>
          <w:sz w:val="20"/>
          <w:szCs w:val="20"/>
          <w:highlight w:val="yellow"/>
          <w:lang w:val="es-PE"/>
        </w:rPr>
      </w:pPr>
    </w:p>
    <w:p w14:paraId="4AFC041F" w14:textId="77777777" w:rsidR="00961172" w:rsidRPr="006B0525" w:rsidRDefault="00140196" w:rsidP="00530549">
      <w:pPr>
        <w:pStyle w:val="Normal1"/>
        <w:widowControl/>
        <w:numPr>
          <w:ilvl w:val="0"/>
          <w:numId w:val="4"/>
        </w:numPr>
        <w:ind w:left="0" w:firstLine="0"/>
        <w:contextualSpacing/>
        <w:jc w:val="both"/>
        <w:rPr>
          <w:rFonts w:ascii="Verdana" w:hAnsi="Verdana" w:cs="Arial"/>
          <w:b/>
          <w:bCs/>
          <w:sz w:val="20"/>
          <w:szCs w:val="20"/>
          <w:lang w:val="es-PE"/>
        </w:rPr>
      </w:pPr>
      <w:r w:rsidRPr="006B0525">
        <w:rPr>
          <w:rFonts w:ascii="Verdana" w:hAnsi="Verdana"/>
          <w:sz w:val="20"/>
          <w:szCs w:val="20"/>
          <w:lang w:val="es-MX"/>
        </w:rPr>
        <w:t>Con respecto a dichas observaciones, la Corte nota que</w:t>
      </w:r>
      <w:r w:rsidR="00961172" w:rsidRPr="006B0525">
        <w:rPr>
          <w:rFonts w:ascii="Verdana" w:hAnsi="Verdana"/>
          <w:sz w:val="20"/>
          <w:szCs w:val="20"/>
          <w:lang w:val="es-MX"/>
        </w:rPr>
        <w:t>, una vez el caso fue sometido por la Comisión ante este Tribunal, la Corte solicitó al Centro de Acción Legal de Derechos Humanos (en adelante, “CALDH”) –organización que había actuado como peticionaria a lo largo del trámite ante la Comisión– que ratificar</w:t>
      </w:r>
      <w:r w:rsidR="001523C1">
        <w:rPr>
          <w:rFonts w:ascii="Verdana" w:hAnsi="Verdana"/>
          <w:sz w:val="20"/>
          <w:szCs w:val="20"/>
          <w:lang w:val="es-MX"/>
        </w:rPr>
        <w:t>a</w:t>
      </w:r>
      <w:r w:rsidR="00961172" w:rsidRPr="006B0525">
        <w:rPr>
          <w:rFonts w:ascii="Verdana" w:hAnsi="Verdana"/>
          <w:sz w:val="20"/>
          <w:szCs w:val="20"/>
          <w:lang w:val="es-MX"/>
        </w:rPr>
        <w:t xml:space="preserve"> la representación de las presuntas víctimas. El 6 de marzo de 2018 </w:t>
      </w:r>
      <w:r w:rsidR="001523C1">
        <w:rPr>
          <w:rFonts w:ascii="Verdana" w:hAnsi="Verdana"/>
          <w:sz w:val="20"/>
          <w:szCs w:val="20"/>
          <w:lang w:val="es-MX"/>
        </w:rPr>
        <w:t xml:space="preserve">el </w:t>
      </w:r>
      <w:r w:rsidR="00961172" w:rsidRPr="006B0525">
        <w:rPr>
          <w:rFonts w:ascii="Verdana" w:hAnsi="Verdana"/>
          <w:sz w:val="20"/>
          <w:szCs w:val="20"/>
          <w:lang w:val="es-MX"/>
        </w:rPr>
        <w:t xml:space="preserve">CALDH informó a este Tribunal que “no estaba en la disposición” de continuar con la representación de las presuntas víctimas o sus familiares. En consideración de lo anterior, y ante la imposibilidad de contactar </w:t>
      </w:r>
      <w:r w:rsidR="001523C1">
        <w:rPr>
          <w:rFonts w:ascii="Verdana" w:hAnsi="Verdana"/>
          <w:sz w:val="20"/>
          <w:szCs w:val="20"/>
          <w:lang w:val="es-MX"/>
        </w:rPr>
        <w:t>con</w:t>
      </w:r>
      <w:r w:rsidR="00961172" w:rsidRPr="006B0525">
        <w:rPr>
          <w:rFonts w:ascii="Verdana" w:hAnsi="Verdana"/>
          <w:sz w:val="20"/>
          <w:szCs w:val="20"/>
          <w:lang w:val="es-MX"/>
        </w:rPr>
        <w:t xml:space="preserve"> la presunta víctima sobreviviente (el señor Rodríguez Revolorio), la Corte solicitó a la AIDEF que asignara un defensor o defensora interamericana para que asumiera la representación legal de las presuntas víctimas. El 22 de marzo de 2018 la AIDEF informó sobre la designación de dos defensoras públicas interamericanas, quienes ejercerían la representación legal de las presuntas </w:t>
      </w:r>
      <w:r w:rsidR="00961172" w:rsidRPr="006B0525">
        <w:rPr>
          <w:rFonts w:ascii="Verdana" w:hAnsi="Verdana"/>
          <w:sz w:val="20"/>
          <w:szCs w:val="20"/>
          <w:lang w:val="es-MX"/>
        </w:rPr>
        <w:lastRenderedPageBreak/>
        <w:t>víctimas en el presente caso. Tras poder contactar</w:t>
      </w:r>
      <w:r w:rsidR="001523C1">
        <w:rPr>
          <w:rFonts w:ascii="Verdana" w:hAnsi="Verdana"/>
          <w:sz w:val="20"/>
          <w:szCs w:val="20"/>
          <w:lang w:val="es-MX"/>
        </w:rPr>
        <w:t>, finalmente,</w:t>
      </w:r>
      <w:r w:rsidR="00961172" w:rsidRPr="006B0525">
        <w:rPr>
          <w:rFonts w:ascii="Verdana" w:hAnsi="Verdana"/>
          <w:sz w:val="20"/>
          <w:szCs w:val="20"/>
          <w:lang w:val="es-MX"/>
        </w:rPr>
        <w:t xml:space="preserve"> con el señor Rodríguez Revolorio, el 13 de abril de 2018 se le remitió nota de Secretaría en virtud de la cual se le requería que ratificara su acuerdo para que </w:t>
      </w:r>
      <w:proofErr w:type="gramStart"/>
      <w:r w:rsidR="00961172" w:rsidRPr="006B0525">
        <w:rPr>
          <w:rFonts w:ascii="Verdana" w:hAnsi="Verdana"/>
          <w:sz w:val="20"/>
          <w:szCs w:val="20"/>
          <w:lang w:val="es-MX"/>
        </w:rPr>
        <w:t>las defensoras interamericanas le representara</w:t>
      </w:r>
      <w:proofErr w:type="gramEnd"/>
      <w:r w:rsidR="00961172" w:rsidRPr="006B0525">
        <w:rPr>
          <w:rFonts w:ascii="Verdana" w:hAnsi="Verdana"/>
          <w:sz w:val="20"/>
          <w:szCs w:val="20"/>
          <w:lang w:val="es-MX"/>
        </w:rPr>
        <w:t xml:space="preserve"> ante este Tribunal o, en caso contrario, nombrar un representante legal distinto. El señor Rodríguez Revolorio dio respuesta a dicho requerimiento el 16 de mayo de 2018 en la cual manifestó que designaba a las defensoras interamericanas asignadas para que asumieran su representación ante la Corte. </w:t>
      </w:r>
      <w:r w:rsidR="0050134A" w:rsidRPr="006B0525">
        <w:rPr>
          <w:rFonts w:ascii="Verdana" w:hAnsi="Verdana"/>
          <w:sz w:val="20"/>
          <w:szCs w:val="20"/>
          <w:lang w:val="es-MX"/>
        </w:rPr>
        <w:t>En vista de lo anterior, es claro que la designación de las defensoras interamericanas estuvo debidamente justificada en el presente caso.</w:t>
      </w:r>
    </w:p>
    <w:p w14:paraId="4136FC04" w14:textId="77777777" w:rsidR="00961172" w:rsidRPr="006B0525" w:rsidRDefault="00961172" w:rsidP="00961172">
      <w:pPr>
        <w:pStyle w:val="Normal1"/>
        <w:widowControl/>
        <w:contextualSpacing/>
        <w:jc w:val="both"/>
        <w:rPr>
          <w:rFonts w:ascii="Verdana" w:hAnsi="Verdana" w:cs="Arial"/>
          <w:b/>
          <w:bCs/>
          <w:sz w:val="20"/>
          <w:szCs w:val="20"/>
          <w:lang w:val="es-PE"/>
        </w:rPr>
      </w:pPr>
    </w:p>
    <w:p w14:paraId="756F0EB9" w14:textId="77777777" w:rsidR="005B0504" w:rsidRPr="006B0525" w:rsidRDefault="0050134A" w:rsidP="00530549">
      <w:pPr>
        <w:pStyle w:val="Normal1"/>
        <w:widowControl/>
        <w:numPr>
          <w:ilvl w:val="0"/>
          <w:numId w:val="4"/>
        </w:numPr>
        <w:ind w:left="0" w:firstLine="0"/>
        <w:contextualSpacing/>
        <w:jc w:val="both"/>
        <w:rPr>
          <w:rFonts w:ascii="Verdana" w:hAnsi="Verdana" w:cs="Arial"/>
          <w:b/>
          <w:bCs/>
          <w:sz w:val="20"/>
          <w:szCs w:val="20"/>
          <w:lang w:val="es-PE"/>
        </w:rPr>
      </w:pPr>
      <w:r w:rsidRPr="006B0525">
        <w:rPr>
          <w:rFonts w:ascii="Verdana" w:hAnsi="Verdana"/>
          <w:sz w:val="20"/>
          <w:szCs w:val="20"/>
          <w:lang w:val="es-MX"/>
        </w:rPr>
        <w:t>A</w:t>
      </w:r>
      <w:r w:rsidR="005B0504" w:rsidRPr="006B0525">
        <w:rPr>
          <w:rFonts w:ascii="Verdana" w:hAnsi="Verdana"/>
          <w:sz w:val="20"/>
          <w:szCs w:val="20"/>
          <w:lang w:val="es-MX"/>
        </w:rPr>
        <w:t xml:space="preserve"> la luz del artículo 5 del Reglamento del Fondo, </w:t>
      </w:r>
      <w:proofErr w:type="gramStart"/>
      <w:r w:rsidR="005B0504" w:rsidRPr="006B0525">
        <w:rPr>
          <w:rFonts w:ascii="Verdana" w:hAnsi="Verdana"/>
          <w:sz w:val="20"/>
          <w:szCs w:val="20"/>
          <w:lang w:val="es-MX"/>
        </w:rPr>
        <w:t>en razón de</w:t>
      </w:r>
      <w:proofErr w:type="gramEnd"/>
      <w:r w:rsidR="005B0504" w:rsidRPr="006B0525">
        <w:rPr>
          <w:rFonts w:ascii="Verdana" w:hAnsi="Verdana"/>
          <w:sz w:val="20"/>
          <w:szCs w:val="20"/>
          <w:lang w:val="es-MX"/>
        </w:rPr>
        <w:t xml:space="preserve"> las violaciones declaradas en la presente Sentencia y que se cumplió con los requisitos para acogerse al Fondo, la Corte ordena al Estado el reintegro a dicho Fondo de la cantidad de </w:t>
      </w:r>
      <w:r w:rsidR="00121688" w:rsidRPr="006B0525">
        <w:rPr>
          <w:rFonts w:ascii="Verdana" w:eastAsia="Verdana" w:hAnsi="Verdana" w:cs="Verdana"/>
          <w:sz w:val="20"/>
          <w:szCs w:val="20"/>
          <w:lang w:val="es-PE"/>
        </w:rPr>
        <w:t xml:space="preserve">USD$ 1,943.20 (mil novecientos cuarenta y tres con </w:t>
      </w:r>
      <w:r w:rsidR="00121688" w:rsidRPr="006B0525">
        <w:rPr>
          <w:rFonts w:ascii="Verdana" w:hAnsi="Verdana"/>
          <w:sz w:val="20"/>
          <w:szCs w:val="20"/>
          <w:lang w:val="es-PE"/>
        </w:rPr>
        <w:t>1</w:t>
      </w:r>
      <w:r w:rsidR="00121688" w:rsidRPr="006B0525">
        <w:rPr>
          <w:rFonts w:ascii="Verdana" w:eastAsia="Verdana" w:hAnsi="Verdana" w:cs="Verdana"/>
          <w:sz w:val="20"/>
          <w:szCs w:val="20"/>
          <w:lang w:val="es-PE"/>
        </w:rPr>
        <w:t>/5 dólares de los Estados Unidos de América)</w:t>
      </w:r>
      <w:r w:rsidR="009E03F1" w:rsidRPr="006B0525">
        <w:rPr>
          <w:rFonts w:ascii="Verdana" w:eastAsia="Verdana" w:hAnsi="Verdana" w:cs="Verdana"/>
          <w:sz w:val="20"/>
          <w:szCs w:val="20"/>
          <w:lang w:val="es-PE"/>
        </w:rPr>
        <w:t xml:space="preserve"> </w:t>
      </w:r>
      <w:r w:rsidR="005B0504" w:rsidRPr="006B0525">
        <w:rPr>
          <w:rFonts w:ascii="Verdana" w:hAnsi="Verdana"/>
          <w:sz w:val="20"/>
          <w:szCs w:val="20"/>
          <w:lang w:val="es-MX"/>
        </w:rPr>
        <w:t>por concepto de los gastos necesarios realizados. Dicha cantidad deberá ser reintegrada en el plazo de seis meses, contados a partir de la notificación del presente Fallo.</w:t>
      </w:r>
    </w:p>
    <w:p w14:paraId="4094D747" w14:textId="77777777" w:rsidR="005B0504" w:rsidRPr="006B0525" w:rsidRDefault="005B0504" w:rsidP="00530549">
      <w:pPr>
        <w:pStyle w:val="Ttulo2"/>
      </w:pPr>
      <w:bookmarkStart w:id="124" w:name="_Toc16270622"/>
      <w:bookmarkStart w:id="125" w:name="_Toc15933783"/>
      <w:bookmarkStart w:id="126" w:name="_Toc495658706"/>
      <w:bookmarkStart w:id="127" w:name="_Toc476390748"/>
      <w:bookmarkStart w:id="128" w:name="_Toc514172674"/>
      <w:bookmarkStart w:id="129" w:name="_Toc26177832"/>
      <w:r w:rsidRPr="006B0525">
        <w:t>I. Modalidad de cumplimiento de los pagos ordenados</w:t>
      </w:r>
      <w:bookmarkEnd w:id="124"/>
      <w:bookmarkEnd w:id="125"/>
      <w:bookmarkEnd w:id="126"/>
      <w:bookmarkEnd w:id="127"/>
      <w:bookmarkEnd w:id="128"/>
      <w:bookmarkEnd w:id="129"/>
    </w:p>
    <w:p w14:paraId="2913933D"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sz w:val="20"/>
          <w:szCs w:val="20"/>
          <w:lang w:bidi="en-US"/>
        </w:rPr>
      </w:pPr>
      <w:r w:rsidRPr="006B0525">
        <w:rPr>
          <w:rFonts w:ascii="Verdana" w:eastAsia="MS Mincho" w:hAnsi="Verdana"/>
          <w:sz w:val="20"/>
          <w:szCs w:val="20"/>
          <w:lang w:bidi="en-US"/>
        </w:rPr>
        <w:t xml:space="preserve">El </w:t>
      </w:r>
      <w:r w:rsidRPr="006B0525">
        <w:rPr>
          <w:rFonts w:ascii="Verdana" w:eastAsia="MS Mincho" w:hAnsi="Verdana" w:cs="Verdana"/>
          <w:snapToGrid w:val="0"/>
          <w:sz w:val="20"/>
          <w:szCs w:val="20"/>
          <w:lang w:eastAsia="es-ES" w:bidi="en-US"/>
        </w:rPr>
        <w:t>Estado</w:t>
      </w:r>
      <w:r w:rsidRPr="006B0525">
        <w:rPr>
          <w:rFonts w:ascii="Verdana" w:eastAsia="MS Mincho" w:hAnsi="Verdana"/>
          <w:sz w:val="20"/>
          <w:szCs w:val="20"/>
          <w:lang w:bidi="en-US"/>
        </w:rPr>
        <w:t xml:space="preserve"> deberá efectuar el pago de las indemnizaciones por concepto de daño </w:t>
      </w:r>
      <w:r w:rsidRPr="006B0525">
        <w:rPr>
          <w:rFonts w:ascii="Verdana" w:eastAsia="MS Mincho" w:hAnsi="Verdana" w:cs="Verdana"/>
          <w:snapToGrid w:val="0"/>
          <w:sz w:val="20"/>
          <w:szCs w:val="20"/>
          <w:lang w:eastAsia="es-ES" w:bidi="en-US"/>
        </w:rPr>
        <w:t>inmaterial</w:t>
      </w:r>
      <w:r w:rsidRPr="006B0525">
        <w:rPr>
          <w:rFonts w:ascii="Verdana" w:eastAsia="MS Mincho" w:hAnsi="Verdana"/>
          <w:sz w:val="20"/>
          <w:szCs w:val="20"/>
          <w:lang w:bidi="en-US"/>
        </w:rPr>
        <w:t xml:space="preserve"> y el reintegro de costas y gastos establecidos en la presente Sentencia directamente a las personas y organizaciones indicadas en la misma</w:t>
      </w:r>
      <w:r w:rsidRPr="006B0525">
        <w:rPr>
          <w:rFonts w:ascii="Verdana" w:eastAsia="MS Mincho" w:hAnsi="Verdana"/>
          <w:sz w:val="20"/>
          <w:szCs w:val="20"/>
          <w:lang w:val="es-ES_tradnl" w:bidi="en-US"/>
        </w:rPr>
        <w:t xml:space="preserve">, </w:t>
      </w:r>
      <w:r w:rsidRPr="006B0525">
        <w:rPr>
          <w:rFonts w:ascii="Verdana" w:eastAsia="MS Mincho" w:hAnsi="Verdana"/>
          <w:sz w:val="20"/>
          <w:szCs w:val="20"/>
          <w:lang w:bidi="en-US"/>
        </w:rPr>
        <w:t>dentro del plazo de un año, contado a partir de la notificación del presente fallo, en los términos de los siguientes párrafos.</w:t>
      </w:r>
    </w:p>
    <w:p w14:paraId="6F0459D5" w14:textId="77777777" w:rsidR="005B0504" w:rsidRPr="006B0525" w:rsidRDefault="005B0504" w:rsidP="00530549">
      <w:pPr>
        <w:rPr>
          <w:rFonts w:eastAsia="MS Mincho"/>
        </w:rPr>
      </w:pPr>
    </w:p>
    <w:p w14:paraId="14F735F2"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sz w:val="20"/>
          <w:szCs w:val="20"/>
          <w:lang w:bidi="en-US"/>
        </w:rPr>
      </w:pPr>
      <w:r w:rsidRPr="006B0525">
        <w:rPr>
          <w:rFonts w:ascii="Verdana" w:eastAsia="MS Mincho" w:hAnsi="Verdana"/>
          <w:sz w:val="20"/>
          <w:szCs w:val="20"/>
          <w:lang w:bidi="en-US"/>
        </w:rPr>
        <w:t xml:space="preserve">En </w:t>
      </w:r>
      <w:r w:rsidRPr="006B0525">
        <w:rPr>
          <w:rFonts w:ascii="Verdana" w:eastAsia="MS Mincho" w:hAnsi="Verdana" w:cs="Verdana"/>
          <w:snapToGrid w:val="0"/>
          <w:sz w:val="20"/>
          <w:szCs w:val="20"/>
          <w:lang w:eastAsia="es-ES" w:bidi="en-US"/>
        </w:rPr>
        <w:t>caso</w:t>
      </w:r>
      <w:r w:rsidRPr="006B0525">
        <w:rPr>
          <w:rFonts w:ascii="Verdana" w:eastAsia="MS Mincho" w:hAnsi="Verdana"/>
          <w:sz w:val="20"/>
          <w:szCs w:val="20"/>
          <w:lang w:bidi="en-US"/>
        </w:rPr>
        <w:t xml:space="preserve"> de que la beneficiaria haya fallecido o fallezca antes de que les sea entregada la indemnización respectiva, ésta se efectuará directamente a sus derechohabientes, conforme al derecho interno aplicable.</w:t>
      </w:r>
    </w:p>
    <w:p w14:paraId="6ADD383D" w14:textId="77777777" w:rsidR="005B0504" w:rsidRPr="006B0525" w:rsidRDefault="005B0504" w:rsidP="00530549">
      <w:pPr>
        <w:rPr>
          <w:rFonts w:eastAsia="MS Mincho"/>
          <w:lang w:bidi="en-US"/>
        </w:rPr>
      </w:pPr>
    </w:p>
    <w:p w14:paraId="43C36642"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sz w:val="20"/>
          <w:szCs w:val="20"/>
          <w:lang w:bidi="en-US"/>
        </w:rPr>
      </w:pPr>
      <w:r w:rsidRPr="006B0525">
        <w:rPr>
          <w:rFonts w:ascii="Verdana" w:eastAsia="MS Mincho" w:hAnsi="Verdana"/>
          <w:sz w:val="20"/>
          <w:szCs w:val="20"/>
          <w:lang w:bidi="en-US"/>
        </w:rPr>
        <w:t xml:space="preserve">En lo que respecta a la moneda de pago de las indemnizaciones y reintegro de costas y gastos, el Estado debe cumplir sus obligaciones monetarias mediante el pago en dólares de los Estados Unidos de América o, de no ser esto posible, en su equivalente en moneda guatemalteca, utilizando para el cálculo respectivo la tasa </w:t>
      </w:r>
      <w:proofErr w:type="gramStart"/>
      <w:r w:rsidRPr="006B0525">
        <w:rPr>
          <w:rFonts w:ascii="Verdana" w:eastAsia="MS Mincho" w:hAnsi="Verdana"/>
          <w:sz w:val="20"/>
          <w:szCs w:val="20"/>
          <w:lang w:bidi="en-US"/>
        </w:rPr>
        <w:t>más alta y más beneficiosa</w:t>
      </w:r>
      <w:proofErr w:type="gramEnd"/>
      <w:r w:rsidRPr="006B0525">
        <w:rPr>
          <w:rFonts w:ascii="Verdana" w:eastAsia="MS Mincho" w:hAnsi="Verdana"/>
          <w:sz w:val="20"/>
          <w:szCs w:val="20"/>
          <w:lang w:bidi="en-US"/>
        </w:rPr>
        <w:t xml:space="preserve"> para las víctimas que permita su ordenamiento interno, vigente al momento del pago. Durante la etapa de supervisión de cumplimiento de la sentencia, la Corte podrá reajustar prudentemente el equivalente de estas cifras en moneda guatemalteca, con el objeto de evitar que las variaciones cambiarias afecten sustancialmente el valor adquisitivo de esos montos.</w:t>
      </w:r>
    </w:p>
    <w:p w14:paraId="3A36D39C" w14:textId="77777777" w:rsidR="00821FA5" w:rsidRPr="006B0525" w:rsidRDefault="00821FA5" w:rsidP="00530549">
      <w:pPr>
        <w:pStyle w:val="Normal1"/>
        <w:widowControl/>
        <w:contextualSpacing/>
        <w:jc w:val="both"/>
        <w:rPr>
          <w:rFonts w:ascii="Verdana" w:eastAsia="MS Mincho" w:hAnsi="Verdana"/>
          <w:sz w:val="20"/>
          <w:szCs w:val="20"/>
          <w:lang w:bidi="en-US"/>
        </w:rPr>
      </w:pPr>
    </w:p>
    <w:p w14:paraId="6460D525"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sz w:val="20"/>
          <w:szCs w:val="20"/>
          <w:lang w:bidi="en-US"/>
        </w:rPr>
      </w:pPr>
      <w:r w:rsidRPr="006B0525">
        <w:rPr>
          <w:rFonts w:ascii="Verdana" w:eastAsia="MS Mincho" w:hAnsi="Verdana"/>
          <w:sz w:val="20"/>
          <w:szCs w:val="20"/>
          <w:lang w:bidi="en-US"/>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guatemalteca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14:paraId="71DDE599" w14:textId="77777777" w:rsidR="005B0504" w:rsidRPr="006B0525" w:rsidRDefault="005B0504" w:rsidP="00530549">
      <w:pPr>
        <w:rPr>
          <w:rFonts w:eastAsiaTheme="minorHAnsi"/>
        </w:rPr>
      </w:pPr>
    </w:p>
    <w:p w14:paraId="68BE13C5"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sz w:val="20"/>
          <w:szCs w:val="20"/>
          <w:lang w:bidi="en-US"/>
        </w:rPr>
      </w:pPr>
      <w:r w:rsidRPr="006B0525">
        <w:rPr>
          <w:rFonts w:ascii="Verdana" w:eastAsia="MS Mincho" w:hAnsi="Verdana"/>
          <w:sz w:val="20"/>
          <w:szCs w:val="20"/>
          <w:lang w:bidi="en-US"/>
        </w:rPr>
        <w:t>Las cantidades asignadas en la presente Sentencia como indemnización y como reintegro de costas y gastos deberán ser entregadas a la persona y organizaciones indicadas en forma íntegra, conforme a lo establecido en esta Sentencia, sin reducciones derivadas de eventuales cargas fiscales.</w:t>
      </w:r>
    </w:p>
    <w:p w14:paraId="5F0949B3" w14:textId="77777777" w:rsidR="005B0504" w:rsidRPr="006B0525" w:rsidRDefault="005B0504" w:rsidP="00530549">
      <w:pPr>
        <w:rPr>
          <w:rFonts w:eastAsiaTheme="minorHAnsi"/>
        </w:rPr>
      </w:pPr>
    </w:p>
    <w:p w14:paraId="025D4FC4" w14:textId="77777777" w:rsidR="005B0504" w:rsidRPr="006B0525" w:rsidRDefault="005B0504" w:rsidP="00530549">
      <w:pPr>
        <w:pStyle w:val="Normal1"/>
        <w:widowControl/>
        <w:numPr>
          <w:ilvl w:val="0"/>
          <w:numId w:val="4"/>
        </w:numPr>
        <w:ind w:left="0" w:firstLine="0"/>
        <w:contextualSpacing/>
        <w:jc w:val="both"/>
        <w:rPr>
          <w:rFonts w:ascii="Verdana" w:eastAsia="MS Mincho" w:hAnsi="Verdana"/>
          <w:sz w:val="20"/>
          <w:szCs w:val="20"/>
          <w:lang w:bidi="en-US"/>
        </w:rPr>
      </w:pPr>
      <w:r w:rsidRPr="006B0525">
        <w:rPr>
          <w:rFonts w:ascii="Verdana" w:eastAsia="MS Mincho" w:hAnsi="Verdana"/>
          <w:spacing w:val="-2"/>
          <w:sz w:val="20"/>
          <w:szCs w:val="20"/>
          <w:lang w:bidi="en-US"/>
        </w:rPr>
        <w:t>En caso de que el Estado incurriera en mora</w:t>
      </w:r>
      <w:r w:rsidRPr="006B0525">
        <w:rPr>
          <w:rFonts w:ascii="Verdana" w:eastAsia="MS Mincho" w:hAnsi="Verdana" w:cs="Verdana"/>
          <w:spacing w:val="-2"/>
          <w:sz w:val="20"/>
          <w:szCs w:val="20"/>
          <w:lang w:bidi="en-US"/>
        </w:rPr>
        <w:t xml:space="preserve">, incluyendo en el reintegro de los gastos al Fondo de </w:t>
      </w:r>
      <w:r w:rsidRPr="006B0525">
        <w:rPr>
          <w:rFonts w:ascii="Verdana" w:eastAsia="MS Mincho" w:hAnsi="Verdana"/>
          <w:sz w:val="20"/>
          <w:szCs w:val="20"/>
          <w:lang w:bidi="en-US"/>
        </w:rPr>
        <w:t>Asistencia</w:t>
      </w:r>
      <w:r w:rsidRPr="006B0525">
        <w:rPr>
          <w:rFonts w:ascii="Verdana" w:eastAsia="MS Mincho" w:hAnsi="Verdana" w:cs="Verdana"/>
          <w:spacing w:val="-2"/>
          <w:sz w:val="20"/>
          <w:szCs w:val="20"/>
          <w:lang w:bidi="en-US"/>
        </w:rPr>
        <w:t xml:space="preserve"> Legal de Víctimas de la Corte</w:t>
      </w:r>
      <w:r w:rsidRPr="006B0525">
        <w:rPr>
          <w:rFonts w:ascii="Verdana" w:eastAsia="MS Mincho" w:hAnsi="Verdana"/>
          <w:spacing w:val="-2"/>
          <w:sz w:val="20"/>
          <w:szCs w:val="20"/>
          <w:lang w:bidi="en-US"/>
        </w:rPr>
        <w:t xml:space="preserve">, deberá pagar </w:t>
      </w:r>
      <w:r w:rsidRPr="006B0525">
        <w:rPr>
          <w:rFonts w:ascii="Verdana" w:eastAsia="MS Mincho" w:hAnsi="Verdana"/>
          <w:sz w:val="20"/>
          <w:szCs w:val="20"/>
          <w:lang w:bidi="en-US"/>
        </w:rPr>
        <w:t>un</w:t>
      </w:r>
      <w:r w:rsidRPr="006B0525">
        <w:rPr>
          <w:rFonts w:ascii="Verdana" w:eastAsia="MS Mincho" w:hAnsi="Verdana"/>
          <w:spacing w:val="-2"/>
          <w:sz w:val="20"/>
          <w:szCs w:val="20"/>
          <w:lang w:bidi="en-US"/>
        </w:rPr>
        <w:t xml:space="preserve"> interés sobre la cantidad adeudada, correspondiente al interés bancario moratorio en la República de Guatemala.</w:t>
      </w:r>
    </w:p>
    <w:p w14:paraId="50C9CFB8" w14:textId="77777777" w:rsidR="005B0504" w:rsidRPr="006B0525" w:rsidRDefault="005B0504" w:rsidP="00530549">
      <w:pPr>
        <w:pStyle w:val="Ttulo1"/>
      </w:pPr>
      <w:bookmarkStart w:id="130" w:name="_Toc26177833"/>
      <w:r w:rsidRPr="006B0525">
        <w:lastRenderedPageBreak/>
        <w:t>X</w:t>
      </w:r>
      <w:r w:rsidRPr="006B0525">
        <w:br/>
        <w:t>PUNTOS RESOLUTIVOS</w:t>
      </w:r>
      <w:bookmarkEnd w:id="74"/>
      <w:bookmarkEnd w:id="75"/>
      <w:bookmarkEnd w:id="76"/>
      <w:bookmarkEnd w:id="77"/>
      <w:bookmarkEnd w:id="78"/>
      <w:bookmarkEnd w:id="79"/>
      <w:bookmarkEnd w:id="80"/>
      <w:bookmarkEnd w:id="130"/>
    </w:p>
    <w:p w14:paraId="6932A48E" w14:textId="77777777" w:rsidR="001B680E" w:rsidRPr="006B0525" w:rsidRDefault="002F21AD" w:rsidP="0064527F">
      <w:pPr>
        <w:tabs>
          <w:tab w:val="left" w:pos="720"/>
        </w:tabs>
        <w:spacing w:before="360" w:after="360" w:line="20" w:lineRule="atLeast"/>
        <w:ind w:right="-86"/>
        <w:contextualSpacing/>
        <w:rPr>
          <w:rFonts w:eastAsia="MS Mincho"/>
          <w:b/>
          <w:bCs/>
          <w:lang w:bidi="en-US"/>
        </w:rPr>
      </w:pPr>
      <w:r>
        <w:rPr>
          <w:rFonts w:eastAsia="MS Mincho"/>
          <w:b/>
          <w:bCs/>
          <w:lang w:bidi="en-US"/>
        </w:rPr>
        <w:t>LA CORTE</w:t>
      </w:r>
    </w:p>
    <w:p w14:paraId="56DFBCD7" w14:textId="77777777" w:rsidR="001B680E" w:rsidRPr="006B0525" w:rsidRDefault="001B680E" w:rsidP="001B680E">
      <w:pPr>
        <w:tabs>
          <w:tab w:val="left" w:pos="720"/>
        </w:tabs>
        <w:spacing w:line="20" w:lineRule="atLeast"/>
        <w:ind w:right="-90"/>
        <w:contextualSpacing/>
      </w:pPr>
    </w:p>
    <w:p w14:paraId="605C7B77" w14:textId="77777777" w:rsidR="002F21AD" w:rsidRDefault="002F21AD" w:rsidP="0064527F">
      <w:pPr>
        <w:tabs>
          <w:tab w:val="left" w:pos="720"/>
        </w:tabs>
        <w:spacing w:before="360" w:after="360" w:line="20" w:lineRule="atLeast"/>
        <w:ind w:right="-86"/>
        <w:contextualSpacing/>
        <w:rPr>
          <w:rFonts w:eastAsia="MS Mincho"/>
          <w:b/>
          <w:bCs/>
          <w:lang w:bidi="en-US"/>
        </w:rPr>
      </w:pPr>
      <w:r>
        <w:rPr>
          <w:rFonts w:eastAsia="MS Mincho"/>
          <w:b/>
          <w:bCs/>
          <w:lang w:bidi="en-US"/>
        </w:rPr>
        <w:t xml:space="preserve">DECIDE, </w:t>
      </w:r>
    </w:p>
    <w:p w14:paraId="56F96BA1" w14:textId="77777777" w:rsidR="002F21AD" w:rsidRDefault="002F21AD" w:rsidP="0064527F">
      <w:pPr>
        <w:tabs>
          <w:tab w:val="left" w:pos="720"/>
        </w:tabs>
        <w:spacing w:before="360" w:after="360" w:line="20" w:lineRule="atLeast"/>
        <w:ind w:right="-86"/>
        <w:contextualSpacing/>
        <w:rPr>
          <w:rFonts w:eastAsia="MS Mincho"/>
          <w:b/>
          <w:bCs/>
          <w:lang w:bidi="en-US"/>
        </w:rPr>
      </w:pPr>
    </w:p>
    <w:p w14:paraId="39A2F2CE" w14:textId="77777777" w:rsidR="002F21AD" w:rsidRPr="002F21AD" w:rsidRDefault="002F21AD" w:rsidP="0064527F">
      <w:pPr>
        <w:tabs>
          <w:tab w:val="left" w:pos="720"/>
        </w:tabs>
        <w:spacing w:before="360" w:after="360" w:line="20" w:lineRule="atLeast"/>
        <w:ind w:right="-86"/>
        <w:contextualSpacing/>
        <w:rPr>
          <w:rFonts w:eastAsia="MS Mincho"/>
          <w:bCs/>
          <w:lang w:bidi="en-US"/>
        </w:rPr>
      </w:pPr>
      <w:r w:rsidRPr="002F21AD">
        <w:rPr>
          <w:rFonts w:eastAsia="MS Mincho"/>
          <w:bCs/>
          <w:lang w:bidi="en-US"/>
        </w:rPr>
        <w:t>Por unanimidad,</w:t>
      </w:r>
    </w:p>
    <w:p w14:paraId="3B499138" w14:textId="77777777" w:rsidR="002F21AD" w:rsidRDefault="002F21AD" w:rsidP="0064527F">
      <w:pPr>
        <w:tabs>
          <w:tab w:val="left" w:pos="720"/>
        </w:tabs>
        <w:spacing w:before="360" w:after="360" w:line="20" w:lineRule="atLeast"/>
        <w:ind w:right="-86"/>
        <w:contextualSpacing/>
        <w:rPr>
          <w:rFonts w:eastAsia="MS Mincho"/>
          <w:b/>
          <w:bCs/>
          <w:lang w:bidi="en-US"/>
        </w:rPr>
      </w:pPr>
    </w:p>
    <w:p w14:paraId="1054D6A8" w14:textId="77777777" w:rsidR="002F21AD" w:rsidRDefault="002F21AD" w:rsidP="002F21AD">
      <w:pPr>
        <w:numPr>
          <w:ilvl w:val="0"/>
          <w:numId w:val="13"/>
        </w:numPr>
        <w:tabs>
          <w:tab w:val="left" w:pos="720"/>
        </w:tabs>
        <w:spacing w:line="20" w:lineRule="atLeast"/>
        <w:ind w:right="-90"/>
        <w:contextualSpacing/>
        <w:rPr>
          <w:kern w:val="2"/>
        </w:rPr>
      </w:pPr>
      <w:r w:rsidRPr="002F21AD">
        <w:rPr>
          <w:kern w:val="2"/>
        </w:rPr>
        <w:t xml:space="preserve">Desestimar la excepción preliminar interpuesta por el Estado, en los términos de los párrafos </w:t>
      </w:r>
      <w:r w:rsidR="00A33359">
        <w:rPr>
          <w:kern w:val="2"/>
        </w:rPr>
        <w:t>17 y</w:t>
      </w:r>
      <w:r>
        <w:rPr>
          <w:kern w:val="2"/>
        </w:rPr>
        <w:t xml:space="preserve"> </w:t>
      </w:r>
      <w:r w:rsidR="00264747">
        <w:rPr>
          <w:kern w:val="2"/>
        </w:rPr>
        <w:t>18</w:t>
      </w:r>
      <w:r>
        <w:rPr>
          <w:kern w:val="2"/>
        </w:rPr>
        <w:t xml:space="preserve"> </w:t>
      </w:r>
      <w:r w:rsidRPr="002F21AD">
        <w:rPr>
          <w:kern w:val="2"/>
        </w:rPr>
        <w:t>de esta Sentencia</w:t>
      </w:r>
      <w:r>
        <w:rPr>
          <w:kern w:val="2"/>
        </w:rPr>
        <w:t>.</w:t>
      </w:r>
    </w:p>
    <w:p w14:paraId="21BB9F2F" w14:textId="77777777" w:rsidR="002F21AD" w:rsidRPr="002F21AD" w:rsidRDefault="002F21AD" w:rsidP="002F21AD">
      <w:pPr>
        <w:tabs>
          <w:tab w:val="left" w:pos="720"/>
        </w:tabs>
        <w:spacing w:line="20" w:lineRule="atLeast"/>
        <w:ind w:right="-90"/>
        <w:contextualSpacing/>
        <w:rPr>
          <w:kern w:val="2"/>
        </w:rPr>
      </w:pPr>
    </w:p>
    <w:p w14:paraId="35D691BC" w14:textId="77777777" w:rsidR="001B680E" w:rsidRPr="006B0525" w:rsidRDefault="001B680E" w:rsidP="0064527F">
      <w:pPr>
        <w:tabs>
          <w:tab w:val="left" w:pos="720"/>
        </w:tabs>
        <w:spacing w:before="360" w:after="360" w:line="20" w:lineRule="atLeast"/>
        <w:ind w:right="-86"/>
        <w:contextualSpacing/>
        <w:rPr>
          <w:rFonts w:eastAsia="MS Mincho"/>
          <w:b/>
          <w:bCs/>
          <w:lang w:bidi="en-US"/>
        </w:rPr>
      </w:pPr>
      <w:r w:rsidRPr="006B0525">
        <w:rPr>
          <w:rFonts w:eastAsia="MS Mincho"/>
          <w:b/>
          <w:bCs/>
          <w:lang w:bidi="en-US"/>
        </w:rPr>
        <w:t>DECLARA:</w:t>
      </w:r>
    </w:p>
    <w:p w14:paraId="03A1B3F7" w14:textId="77777777" w:rsidR="001B680E" w:rsidRPr="006B0525" w:rsidRDefault="001B680E" w:rsidP="001B680E">
      <w:pPr>
        <w:tabs>
          <w:tab w:val="left" w:pos="720"/>
        </w:tabs>
        <w:spacing w:line="20" w:lineRule="atLeast"/>
        <w:ind w:right="-90"/>
        <w:contextualSpacing/>
        <w:rPr>
          <w:rFonts w:eastAsia="MS Mincho"/>
          <w:lang w:bidi="en-US"/>
        </w:rPr>
      </w:pPr>
    </w:p>
    <w:p w14:paraId="6D81B5F6" w14:textId="77777777" w:rsidR="001B680E" w:rsidRPr="006B0525" w:rsidRDefault="001B680E" w:rsidP="001B680E">
      <w:pPr>
        <w:tabs>
          <w:tab w:val="left" w:pos="720"/>
        </w:tabs>
        <w:spacing w:line="20" w:lineRule="atLeast"/>
        <w:ind w:right="-90"/>
        <w:contextualSpacing/>
        <w:rPr>
          <w:rFonts w:eastAsia="MS Mincho"/>
          <w:lang w:bidi="en-US"/>
        </w:rPr>
      </w:pPr>
      <w:r w:rsidRPr="006B0525">
        <w:rPr>
          <w:rFonts w:eastAsia="MS Mincho"/>
          <w:lang w:bidi="en-US"/>
        </w:rPr>
        <w:t xml:space="preserve">Por </w:t>
      </w:r>
      <w:r w:rsidR="002F21AD">
        <w:rPr>
          <w:rFonts w:eastAsia="MS Mincho"/>
          <w:lang w:bidi="en-US"/>
        </w:rPr>
        <w:t>unanimidad,</w:t>
      </w:r>
      <w:r w:rsidRPr="006B0525">
        <w:rPr>
          <w:rFonts w:eastAsia="MS Mincho"/>
          <w:lang w:bidi="en-US"/>
        </w:rPr>
        <w:t xml:space="preserve"> que:</w:t>
      </w:r>
    </w:p>
    <w:p w14:paraId="242E9727" w14:textId="77777777" w:rsidR="00CD152D" w:rsidRPr="006B0525" w:rsidRDefault="00CD152D" w:rsidP="00CD152D">
      <w:pPr>
        <w:tabs>
          <w:tab w:val="left" w:pos="720"/>
        </w:tabs>
        <w:spacing w:line="20" w:lineRule="atLeast"/>
        <w:ind w:right="-90"/>
        <w:contextualSpacing/>
      </w:pPr>
    </w:p>
    <w:p w14:paraId="2A698584" w14:textId="77777777" w:rsidR="001B680E" w:rsidRPr="006B0525" w:rsidRDefault="001B680E" w:rsidP="001B680E">
      <w:pPr>
        <w:numPr>
          <w:ilvl w:val="0"/>
          <w:numId w:val="13"/>
        </w:numPr>
        <w:tabs>
          <w:tab w:val="left" w:pos="720"/>
        </w:tabs>
        <w:spacing w:line="20" w:lineRule="atLeast"/>
        <w:ind w:right="-90"/>
        <w:contextualSpacing/>
      </w:pPr>
      <w:r w:rsidRPr="006B0525">
        <w:rPr>
          <w:kern w:val="2"/>
        </w:rPr>
        <w:t xml:space="preserve">El Estado es responsable por la violación del derecho </w:t>
      </w:r>
      <w:proofErr w:type="gramStart"/>
      <w:r w:rsidRPr="006B0525">
        <w:rPr>
          <w:kern w:val="2"/>
        </w:rPr>
        <w:t>al vida</w:t>
      </w:r>
      <w:proofErr w:type="gramEnd"/>
      <w:r w:rsidRPr="006B0525">
        <w:rPr>
          <w:kern w:val="2"/>
        </w:rPr>
        <w:t xml:space="preserve"> y el principio de legalidad consagrados </w:t>
      </w:r>
      <w:r w:rsidRPr="006B0525">
        <w:t>en los artículos 4.2 y 9 de la Convención</w:t>
      </w:r>
      <w:r w:rsidRPr="006B0525">
        <w:rPr>
          <w:kern w:val="2"/>
        </w:rPr>
        <w:t xml:space="preserve"> Americana</w:t>
      </w:r>
      <w:r w:rsidRPr="006B0525">
        <w:t xml:space="preserve">, en relación </w:t>
      </w:r>
      <w:r w:rsidRPr="006B0525">
        <w:rPr>
          <w:kern w:val="2"/>
        </w:rPr>
        <w:t xml:space="preserve">con la obligación de garantizar los derechos establecida en el artículo 1.1 y 2 </w:t>
      </w:r>
      <w:r w:rsidR="0015064C">
        <w:rPr>
          <w:kern w:val="2"/>
        </w:rPr>
        <w:t>del mismo instrumento</w:t>
      </w:r>
      <w:r w:rsidRPr="006B0525">
        <w:rPr>
          <w:kern w:val="2"/>
        </w:rPr>
        <w:t>,</w:t>
      </w:r>
      <w:r w:rsidRPr="006B0525">
        <w:t xml:space="preserve"> </w:t>
      </w:r>
      <w:r w:rsidRPr="006B0525">
        <w:rPr>
          <w:kern w:val="2"/>
        </w:rPr>
        <w:t xml:space="preserve">en perjuicio </w:t>
      </w:r>
      <w:r w:rsidR="00ED719D" w:rsidRPr="006B0525">
        <w:rPr>
          <w:kern w:val="2"/>
        </w:rPr>
        <w:t>de</w:t>
      </w:r>
      <w:r w:rsidRPr="006B0525">
        <w:t xml:space="preserve"> Aníbal Archila Pérez</w:t>
      </w:r>
      <w:r w:rsidRPr="006B0525">
        <w:rPr>
          <w:kern w:val="2"/>
        </w:rPr>
        <w:t xml:space="preserve">, </w:t>
      </w:r>
      <w:r w:rsidRPr="006B0525">
        <w:t xml:space="preserve">en los términos de los párrafos </w:t>
      </w:r>
      <w:r w:rsidR="00E177C7">
        <w:t>61</w:t>
      </w:r>
      <w:r w:rsidRPr="006B0525">
        <w:t xml:space="preserve"> a </w:t>
      </w:r>
      <w:r w:rsidR="00A33359">
        <w:t>64</w:t>
      </w:r>
      <w:r w:rsidRPr="006B0525">
        <w:t xml:space="preserve"> de la presente Sentencia.</w:t>
      </w:r>
    </w:p>
    <w:p w14:paraId="2D33E455" w14:textId="77777777" w:rsidR="001B680E" w:rsidRPr="006B0525" w:rsidRDefault="001B680E" w:rsidP="001B680E">
      <w:pPr>
        <w:tabs>
          <w:tab w:val="left" w:pos="720"/>
        </w:tabs>
        <w:spacing w:line="20" w:lineRule="atLeast"/>
        <w:ind w:right="-90"/>
        <w:contextualSpacing/>
      </w:pPr>
    </w:p>
    <w:p w14:paraId="3ACB6061" w14:textId="77777777" w:rsidR="001B680E" w:rsidRDefault="001B680E" w:rsidP="001B680E">
      <w:pPr>
        <w:numPr>
          <w:ilvl w:val="0"/>
          <w:numId w:val="13"/>
        </w:numPr>
        <w:tabs>
          <w:tab w:val="left" w:pos="720"/>
        </w:tabs>
        <w:spacing w:line="20" w:lineRule="atLeast"/>
        <w:ind w:right="-90"/>
        <w:contextualSpacing/>
      </w:pPr>
      <w:r w:rsidRPr="006B0525">
        <w:rPr>
          <w:lang w:val="es-ES_tradnl"/>
        </w:rPr>
        <w:t xml:space="preserve">El Estado es responsable por la violación del derecho a la integridad personal consagrado el artículo 5.1 y 5.2 de la Convención, en relación con el artículo 1.1 </w:t>
      </w:r>
      <w:r w:rsidR="0015064C">
        <w:rPr>
          <w:kern w:val="2"/>
        </w:rPr>
        <w:t>del mismo instrumento</w:t>
      </w:r>
      <w:r w:rsidRPr="006B0525">
        <w:rPr>
          <w:lang w:val="es-ES_tradnl"/>
        </w:rPr>
        <w:t>,</w:t>
      </w:r>
      <w:r w:rsidR="00D86497" w:rsidRPr="006B0525">
        <w:rPr>
          <w:lang w:val="es-ES_tradnl"/>
        </w:rPr>
        <w:t xml:space="preserve"> y</w:t>
      </w:r>
      <w:r w:rsidRPr="006B0525">
        <w:rPr>
          <w:lang w:val="es-ES_tradnl"/>
        </w:rPr>
        <w:t xml:space="preserve"> </w:t>
      </w:r>
      <w:r w:rsidR="00D86497" w:rsidRPr="006B0525">
        <w:rPr>
          <w:lang w:eastAsia="en-US"/>
        </w:rPr>
        <w:t>en el artículo 6 de la Convención Interamericana para prevenir y sancionar la tortura,</w:t>
      </w:r>
      <w:r w:rsidR="00D86497" w:rsidRPr="006B0525">
        <w:rPr>
          <w:lang w:val="es-ES_tradnl"/>
        </w:rPr>
        <w:t xml:space="preserve"> </w:t>
      </w:r>
      <w:r w:rsidRPr="006B0525">
        <w:rPr>
          <w:lang w:val="es-ES_tradnl"/>
        </w:rPr>
        <w:t xml:space="preserve">en perjuicio de </w:t>
      </w:r>
      <w:r w:rsidRPr="006B0525">
        <w:t xml:space="preserve">Miguel Ángel Rodríguez Revolorio, Miguel Ángel López Calo y Aníbal Archila Pérez en los términos de los párrafos </w:t>
      </w:r>
      <w:r w:rsidR="00264747">
        <w:t>71</w:t>
      </w:r>
      <w:r w:rsidRPr="006B0525">
        <w:t xml:space="preserve"> a </w:t>
      </w:r>
      <w:r w:rsidR="00264747">
        <w:t>96</w:t>
      </w:r>
      <w:r w:rsidRPr="006B0525">
        <w:t xml:space="preserve"> de la presente Sentencia.</w:t>
      </w:r>
    </w:p>
    <w:p w14:paraId="273D385D" w14:textId="77777777" w:rsidR="00C874A7" w:rsidRDefault="00C874A7" w:rsidP="00C874A7">
      <w:pPr>
        <w:tabs>
          <w:tab w:val="left" w:pos="720"/>
        </w:tabs>
        <w:spacing w:line="20" w:lineRule="atLeast"/>
        <w:ind w:right="-90"/>
        <w:contextualSpacing/>
      </w:pPr>
    </w:p>
    <w:p w14:paraId="72A81A6E" w14:textId="77777777" w:rsidR="00C874A7" w:rsidRPr="006B0525" w:rsidRDefault="00C874A7" w:rsidP="00C874A7">
      <w:pPr>
        <w:numPr>
          <w:ilvl w:val="0"/>
          <w:numId w:val="13"/>
        </w:numPr>
        <w:tabs>
          <w:tab w:val="left" w:pos="720"/>
        </w:tabs>
        <w:spacing w:line="20" w:lineRule="atLeast"/>
        <w:ind w:right="-90"/>
        <w:contextualSpacing/>
      </w:pPr>
      <w:r w:rsidRPr="006B0525">
        <w:t xml:space="preserve">El Estado es responsable por la violación del derecho a recurrir el fallo previsto </w:t>
      </w:r>
      <w:r w:rsidRPr="006B0525">
        <w:rPr>
          <w:rFonts w:eastAsia="Verdana" w:cs="Verdana"/>
        </w:rPr>
        <w:t xml:space="preserve">en el artículo 8.2 h) de la Convención, en relación con el 1.1 </w:t>
      </w:r>
      <w:r w:rsidR="0015064C">
        <w:rPr>
          <w:kern w:val="2"/>
        </w:rPr>
        <w:t>del mismo instrumento</w:t>
      </w:r>
      <w:r w:rsidRPr="006B0525">
        <w:rPr>
          <w:rFonts w:eastAsia="Verdana" w:cs="Verdana"/>
        </w:rPr>
        <w:t>,</w:t>
      </w:r>
      <w:r w:rsidRPr="006B0525">
        <w:rPr>
          <w:lang w:val="es-ES_tradnl"/>
        </w:rPr>
        <w:t xml:space="preserve"> en perjuicio de </w:t>
      </w:r>
      <w:r w:rsidRPr="006B0525">
        <w:t xml:space="preserve">Miguel Ángel Rodríguez Revolorio, Miguel Ángel López Calo y Aníbal Archila Pérez en los términos de los párrafos </w:t>
      </w:r>
      <w:r w:rsidR="00264747">
        <w:t>126</w:t>
      </w:r>
      <w:r w:rsidRPr="006B0525">
        <w:t xml:space="preserve"> a </w:t>
      </w:r>
      <w:r w:rsidR="00264747">
        <w:t>136</w:t>
      </w:r>
      <w:r w:rsidRPr="006B0525">
        <w:t xml:space="preserve"> de la presente Sentencia.</w:t>
      </w:r>
    </w:p>
    <w:p w14:paraId="360AD537" w14:textId="77777777" w:rsidR="00C874A7" w:rsidRDefault="00C874A7" w:rsidP="00C874A7">
      <w:pPr>
        <w:tabs>
          <w:tab w:val="left" w:pos="720"/>
        </w:tabs>
        <w:spacing w:line="20" w:lineRule="atLeast"/>
        <w:ind w:right="-90"/>
        <w:contextualSpacing/>
      </w:pPr>
    </w:p>
    <w:p w14:paraId="58A25E25" w14:textId="77777777" w:rsidR="00C874A7" w:rsidRPr="006B0525" w:rsidRDefault="00C874A7" w:rsidP="00C874A7">
      <w:pPr>
        <w:numPr>
          <w:ilvl w:val="0"/>
          <w:numId w:val="13"/>
        </w:numPr>
        <w:tabs>
          <w:tab w:val="left" w:pos="720"/>
        </w:tabs>
        <w:spacing w:line="20" w:lineRule="atLeast"/>
        <w:ind w:right="-90"/>
        <w:contextualSpacing/>
      </w:pPr>
      <w:r w:rsidRPr="006B0525">
        <w:rPr>
          <w:kern w:val="2"/>
        </w:rPr>
        <w:t xml:space="preserve">El Estado no es responsable por la violación del derecho </w:t>
      </w:r>
      <w:proofErr w:type="gramStart"/>
      <w:r w:rsidRPr="006B0525">
        <w:rPr>
          <w:kern w:val="2"/>
        </w:rPr>
        <w:t>al vida</w:t>
      </w:r>
      <w:proofErr w:type="gramEnd"/>
      <w:r w:rsidRPr="006B0525">
        <w:rPr>
          <w:kern w:val="2"/>
        </w:rPr>
        <w:t xml:space="preserve"> y el principio de legalidad consagrados </w:t>
      </w:r>
      <w:r w:rsidRPr="006B0525">
        <w:t>en los artículos</w:t>
      </w:r>
      <w:r w:rsidR="008B5701">
        <w:t xml:space="preserve"> 4.1,</w:t>
      </w:r>
      <w:r w:rsidRPr="006B0525">
        <w:t xml:space="preserve"> 4.2 y 9 de la Convención</w:t>
      </w:r>
      <w:r w:rsidRPr="006B0525">
        <w:rPr>
          <w:kern w:val="2"/>
        </w:rPr>
        <w:t xml:space="preserve"> Americana sobre Derechos Humanos</w:t>
      </w:r>
      <w:r w:rsidRPr="006B0525">
        <w:t xml:space="preserve">, en relación </w:t>
      </w:r>
      <w:r w:rsidRPr="006B0525">
        <w:rPr>
          <w:kern w:val="2"/>
        </w:rPr>
        <w:t>con la obligación de garantizar los derechos establecid</w:t>
      </w:r>
      <w:r w:rsidR="00A33359">
        <w:rPr>
          <w:kern w:val="2"/>
        </w:rPr>
        <w:t>os</w:t>
      </w:r>
      <w:r w:rsidRPr="006B0525">
        <w:rPr>
          <w:kern w:val="2"/>
        </w:rPr>
        <w:t xml:space="preserve"> en el artículo 1.1 y 2 </w:t>
      </w:r>
      <w:r w:rsidR="0015064C">
        <w:rPr>
          <w:kern w:val="2"/>
        </w:rPr>
        <w:t>del mismo instrumento</w:t>
      </w:r>
      <w:r w:rsidRPr="006B0525">
        <w:rPr>
          <w:kern w:val="2"/>
        </w:rPr>
        <w:t>,</w:t>
      </w:r>
      <w:r w:rsidRPr="006B0525">
        <w:t xml:space="preserve"> </w:t>
      </w:r>
      <w:r w:rsidRPr="006B0525">
        <w:rPr>
          <w:kern w:val="2"/>
        </w:rPr>
        <w:t>en perjuicio de</w:t>
      </w:r>
      <w:r w:rsidRPr="006B0525">
        <w:t xml:space="preserve"> </w:t>
      </w:r>
      <w:r w:rsidRPr="006B0525">
        <w:rPr>
          <w:kern w:val="2"/>
        </w:rPr>
        <w:t xml:space="preserve">Miguel Ángel Rodríguez Revolorio y Miguel Ángel López Calo, </w:t>
      </w:r>
      <w:r w:rsidRPr="006B0525">
        <w:t xml:space="preserve">en los términos de los párrafos </w:t>
      </w:r>
      <w:r w:rsidR="00264747">
        <w:t>57</w:t>
      </w:r>
      <w:r w:rsidRPr="006B0525">
        <w:t xml:space="preserve"> a </w:t>
      </w:r>
      <w:r w:rsidR="00264747">
        <w:t>60</w:t>
      </w:r>
      <w:r w:rsidRPr="006B0525">
        <w:t xml:space="preserve"> de la presente Sentencia.</w:t>
      </w:r>
    </w:p>
    <w:p w14:paraId="68029000" w14:textId="77777777" w:rsidR="00A316CD" w:rsidRPr="006B0525" w:rsidRDefault="00A316CD" w:rsidP="00A316CD">
      <w:pPr>
        <w:tabs>
          <w:tab w:val="left" w:pos="720"/>
        </w:tabs>
        <w:spacing w:line="20" w:lineRule="atLeast"/>
        <w:ind w:right="-90"/>
        <w:contextualSpacing/>
      </w:pPr>
    </w:p>
    <w:p w14:paraId="455B32AE" w14:textId="77777777" w:rsidR="00AA3AF9" w:rsidRDefault="00AA3AF9" w:rsidP="00AA3AF9">
      <w:pPr>
        <w:numPr>
          <w:ilvl w:val="0"/>
          <w:numId w:val="13"/>
        </w:numPr>
        <w:tabs>
          <w:tab w:val="left" w:pos="720"/>
        </w:tabs>
        <w:spacing w:line="20" w:lineRule="atLeast"/>
        <w:ind w:right="-90"/>
        <w:contextualSpacing/>
      </w:pPr>
      <w:r w:rsidRPr="006B0525">
        <w:t xml:space="preserve">El Estado no es responsable por la violación del derecho a las garantías judiciales previsto en </w:t>
      </w:r>
      <w:r w:rsidR="0015064C">
        <w:t xml:space="preserve">los artículos 8.1 y 8.2 </w:t>
      </w:r>
      <w:r w:rsidRPr="006B0525">
        <w:rPr>
          <w:rFonts w:eastAsia="Verdana" w:cs="Verdana"/>
        </w:rPr>
        <w:t>de la Convención</w:t>
      </w:r>
      <w:r w:rsidR="0015064C">
        <w:rPr>
          <w:rFonts w:eastAsia="Verdana" w:cs="Verdana"/>
        </w:rPr>
        <w:t xml:space="preserve"> Americana</w:t>
      </w:r>
      <w:r w:rsidRPr="006B0525">
        <w:rPr>
          <w:rFonts w:eastAsia="Verdana" w:cs="Verdana"/>
        </w:rPr>
        <w:t xml:space="preserve">, en relación con el 1.1 </w:t>
      </w:r>
      <w:r w:rsidR="0015064C">
        <w:rPr>
          <w:kern w:val="2"/>
        </w:rPr>
        <w:t>del mismo instrumento</w:t>
      </w:r>
      <w:r w:rsidRPr="006B0525">
        <w:rPr>
          <w:rFonts w:eastAsia="Verdana" w:cs="Verdana"/>
        </w:rPr>
        <w:t>,</w:t>
      </w:r>
      <w:r w:rsidRPr="006B0525">
        <w:rPr>
          <w:lang w:val="es-ES_tradnl"/>
        </w:rPr>
        <w:t xml:space="preserve"> en perjuicio de </w:t>
      </w:r>
      <w:r w:rsidRPr="006B0525">
        <w:t xml:space="preserve">Miguel Ángel Rodríguez Revolorio, Miguel Ángel López Calo y Aníbal Archila Pérez en los términos de los párrafos </w:t>
      </w:r>
      <w:r w:rsidR="00264747">
        <w:t>105</w:t>
      </w:r>
      <w:r w:rsidRPr="006B0525">
        <w:t xml:space="preserve"> a </w:t>
      </w:r>
      <w:r w:rsidR="00264747">
        <w:t>125</w:t>
      </w:r>
      <w:r w:rsidRPr="006B0525">
        <w:t xml:space="preserve"> de la presente Sentencia.</w:t>
      </w:r>
    </w:p>
    <w:p w14:paraId="56B41F84" w14:textId="77777777" w:rsidR="000C4077" w:rsidRPr="006B0525" w:rsidRDefault="000C4077" w:rsidP="00CD152D">
      <w:pPr>
        <w:tabs>
          <w:tab w:val="left" w:pos="720"/>
        </w:tabs>
        <w:spacing w:line="20" w:lineRule="atLeast"/>
        <w:ind w:right="-90"/>
        <w:contextualSpacing/>
        <w:rPr>
          <w:highlight w:val="yellow"/>
        </w:rPr>
      </w:pPr>
    </w:p>
    <w:p w14:paraId="5729F0C8" w14:textId="77777777" w:rsidR="001B680E" w:rsidRPr="006B0525" w:rsidRDefault="001B680E" w:rsidP="001B680E">
      <w:pPr>
        <w:tabs>
          <w:tab w:val="left" w:pos="720"/>
        </w:tabs>
        <w:spacing w:line="20" w:lineRule="atLeast"/>
        <w:ind w:right="-90"/>
        <w:contextualSpacing/>
      </w:pPr>
    </w:p>
    <w:p w14:paraId="7F06FCB9" w14:textId="77777777" w:rsidR="001B680E" w:rsidRPr="006B0525" w:rsidRDefault="001B680E" w:rsidP="0064527F">
      <w:pPr>
        <w:tabs>
          <w:tab w:val="left" w:pos="720"/>
        </w:tabs>
        <w:spacing w:before="360" w:after="360" w:line="20" w:lineRule="atLeast"/>
        <w:ind w:right="-86"/>
        <w:contextualSpacing/>
        <w:rPr>
          <w:rFonts w:eastAsia="MS Mincho"/>
          <w:b/>
          <w:bCs/>
          <w:lang w:bidi="en-US"/>
        </w:rPr>
      </w:pPr>
      <w:r w:rsidRPr="006B0525">
        <w:rPr>
          <w:rFonts w:eastAsia="MS Mincho"/>
          <w:b/>
          <w:bCs/>
          <w:lang w:bidi="en-US"/>
        </w:rPr>
        <w:t>Y DISPONE:</w:t>
      </w:r>
    </w:p>
    <w:p w14:paraId="4A1A3DC4" w14:textId="77777777" w:rsidR="001B680E" w:rsidRPr="006B0525" w:rsidRDefault="001B680E" w:rsidP="001B680E">
      <w:pPr>
        <w:tabs>
          <w:tab w:val="left" w:pos="720"/>
        </w:tabs>
        <w:spacing w:line="20" w:lineRule="atLeast"/>
        <w:ind w:right="-90"/>
        <w:contextualSpacing/>
        <w:rPr>
          <w:rFonts w:eastAsia="MS Mincho"/>
          <w:b/>
          <w:bCs/>
          <w:lang w:bidi="en-US"/>
        </w:rPr>
      </w:pPr>
    </w:p>
    <w:p w14:paraId="6BC06C15" w14:textId="77777777" w:rsidR="001B680E" w:rsidRPr="006B0525" w:rsidRDefault="001B680E" w:rsidP="001B680E">
      <w:pPr>
        <w:tabs>
          <w:tab w:val="left" w:pos="720"/>
        </w:tabs>
        <w:spacing w:line="20" w:lineRule="atLeast"/>
        <w:ind w:right="-90"/>
        <w:contextualSpacing/>
        <w:rPr>
          <w:rFonts w:eastAsia="MS Mincho"/>
          <w:lang w:bidi="en-US"/>
        </w:rPr>
      </w:pPr>
      <w:r w:rsidRPr="006B0525">
        <w:rPr>
          <w:rFonts w:eastAsia="MS Mincho"/>
          <w:lang w:bidi="en-US"/>
        </w:rPr>
        <w:t xml:space="preserve">Por </w:t>
      </w:r>
      <w:r w:rsidR="002F21AD">
        <w:rPr>
          <w:rFonts w:eastAsia="MS Mincho"/>
          <w:lang w:bidi="en-US"/>
        </w:rPr>
        <w:t>unanimidad,</w:t>
      </w:r>
      <w:r w:rsidRPr="006B0525">
        <w:rPr>
          <w:rFonts w:eastAsia="MS Mincho"/>
          <w:lang w:bidi="en-US"/>
        </w:rPr>
        <w:t xml:space="preserve"> que:</w:t>
      </w:r>
    </w:p>
    <w:p w14:paraId="4FFF4056" w14:textId="77777777" w:rsidR="001B680E" w:rsidRPr="006B0525" w:rsidRDefault="001B680E" w:rsidP="001B680E">
      <w:pPr>
        <w:tabs>
          <w:tab w:val="left" w:pos="720"/>
        </w:tabs>
        <w:spacing w:line="20" w:lineRule="atLeast"/>
        <w:ind w:right="-90"/>
        <w:contextualSpacing/>
        <w:rPr>
          <w:rFonts w:eastAsia="MS Mincho"/>
          <w:bCs/>
          <w:lang w:bidi="en-US"/>
        </w:rPr>
      </w:pPr>
    </w:p>
    <w:p w14:paraId="0E5413DD" w14:textId="77777777" w:rsidR="001B680E" w:rsidRPr="006B0525" w:rsidRDefault="001B680E" w:rsidP="001B680E">
      <w:pPr>
        <w:numPr>
          <w:ilvl w:val="0"/>
          <w:numId w:val="13"/>
        </w:numPr>
        <w:tabs>
          <w:tab w:val="left" w:pos="720"/>
        </w:tabs>
        <w:spacing w:line="20" w:lineRule="atLeast"/>
        <w:ind w:right="-90"/>
        <w:contextualSpacing/>
        <w:rPr>
          <w:bCs/>
        </w:rPr>
      </w:pPr>
      <w:r w:rsidRPr="006B0525">
        <w:t>Esta</w:t>
      </w:r>
      <w:r w:rsidRPr="006B0525">
        <w:rPr>
          <w:bCs/>
        </w:rPr>
        <w:t xml:space="preserve"> Sentencia constituye, por sí misma, una forma de reparación.</w:t>
      </w:r>
    </w:p>
    <w:p w14:paraId="4A8AB8FC" w14:textId="77777777" w:rsidR="00A20F6E" w:rsidRPr="006B0525" w:rsidRDefault="00A20F6E" w:rsidP="00A20F6E">
      <w:pPr>
        <w:tabs>
          <w:tab w:val="left" w:pos="720"/>
        </w:tabs>
        <w:spacing w:line="20" w:lineRule="atLeast"/>
        <w:ind w:right="-90"/>
        <w:contextualSpacing/>
        <w:rPr>
          <w:bCs/>
        </w:rPr>
      </w:pPr>
    </w:p>
    <w:p w14:paraId="46E78220" w14:textId="77777777" w:rsidR="002C55E5" w:rsidRPr="006B0525" w:rsidRDefault="002C55E5" w:rsidP="002C55E5">
      <w:pPr>
        <w:numPr>
          <w:ilvl w:val="0"/>
          <w:numId w:val="13"/>
        </w:numPr>
        <w:tabs>
          <w:tab w:val="left" w:pos="720"/>
        </w:tabs>
        <w:spacing w:line="20" w:lineRule="atLeast"/>
        <w:ind w:right="-90"/>
        <w:contextualSpacing/>
      </w:pPr>
      <w:r w:rsidRPr="006B0525">
        <w:rPr>
          <w:lang w:val="es-PE"/>
        </w:rPr>
        <w:t xml:space="preserve">El Estado </w:t>
      </w:r>
      <w:r w:rsidR="00C874A7">
        <w:rPr>
          <w:lang w:val="es-PE"/>
        </w:rPr>
        <w:t>brindará</w:t>
      </w:r>
      <w:r w:rsidRPr="006B0525">
        <w:rPr>
          <w:lang w:val="es-PE"/>
        </w:rPr>
        <w:t xml:space="preserve"> gratuitamente en Guatemala y de forma inmediata el tratamiento médico y psicológico que requiera el señor Miguel Ángel Rodríguez Revolorio, previo consentimiento informado, y por el tiempo que sea necesario, </w:t>
      </w:r>
      <w:r w:rsidRPr="006B0525">
        <w:t xml:space="preserve">en los términos </w:t>
      </w:r>
      <w:r w:rsidR="00264747">
        <w:t>del párrafo 145</w:t>
      </w:r>
      <w:r w:rsidRPr="006B0525">
        <w:t xml:space="preserve"> de la presente Sentencia.</w:t>
      </w:r>
    </w:p>
    <w:p w14:paraId="3A77D2A7" w14:textId="77777777" w:rsidR="001B680E" w:rsidRPr="006B0525" w:rsidRDefault="001B680E" w:rsidP="002C55E5">
      <w:pPr>
        <w:tabs>
          <w:tab w:val="left" w:pos="720"/>
        </w:tabs>
        <w:spacing w:line="20" w:lineRule="atLeast"/>
        <w:ind w:right="-90"/>
        <w:contextualSpacing/>
        <w:rPr>
          <w:bCs/>
        </w:rPr>
      </w:pPr>
    </w:p>
    <w:p w14:paraId="21D92005" w14:textId="77777777" w:rsidR="001B680E" w:rsidRDefault="001B680E" w:rsidP="001B680E">
      <w:pPr>
        <w:numPr>
          <w:ilvl w:val="0"/>
          <w:numId w:val="13"/>
        </w:numPr>
        <w:tabs>
          <w:tab w:val="left" w:pos="720"/>
        </w:tabs>
        <w:spacing w:line="20" w:lineRule="atLeast"/>
        <w:ind w:right="-90"/>
        <w:contextualSpacing/>
        <w:rPr>
          <w:bCs/>
        </w:rPr>
      </w:pPr>
      <w:r w:rsidRPr="006B0525">
        <w:rPr>
          <w:bCs/>
        </w:rPr>
        <w:t xml:space="preserve">El Estado </w:t>
      </w:r>
      <w:r w:rsidR="00C874A7">
        <w:rPr>
          <w:bCs/>
        </w:rPr>
        <w:t>realizará</w:t>
      </w:r>
      <w:r w:rsidRPr="006B0525">
        <w:rPr>
          <w:bCs/>
        </w:rPr>
        <w:t xml:space="preserve"> las publicaciones indicadas en el párrafo </w:t>
      </w:r>
      <w:r w:rsidR="00264747">
        <w:rPr>
          <w:bCs/>
        </w:rPr>
        <w:t>149</w:t>
      </w:r>
      <w:r w:rsidRPr="006B0525">
        <w:rPr>
          <w:bCs/>
        </w:rPr>
        <w:t xml:space="preserve"> de la presente Sentencia.</w:t>
      </w:r>
    </w:p>
    <w:p w14:paraId="21AE2102" w14:textId="77777777" w:rsidR="00167380" w:rsidRDefault="00167380" w:rsidP="00167380">
      <w:pPr>
        <w:tabs>
          <w:tab w:val="left" w:pos="720"/>
        </w:tabs>
        <w:spacing w:line="20" w:lineRule="atLeast"/>
        <w:ind w:right="-90"/>
        <w:contextualSpacing/>
        <w:rPr>
          <w:bCs/>
        </w:rPr>
      </w:pPr>
    </w:p>
    <w:p w14:paraId="3034FE41" w14:textId="77777777" w:rsidR="00167380" w:rsidRPr="00DE6A80" w:rsidRDefault="00167380" w:rsidP="00167380">
      <w:pPr>
        <w:numPr>
          <w:ilvl w:val="0"/>
          <w:numId w:val="13"/>
        </w:numPr>
        <w:tabs>
          <w:tab w:val="left" w:pos="720"/>
        </w:tabs>
        <w:spacing w:line="20" w:lineRule="atLeast"/>
        <w:ind w:right="-90"/>
        <w:contextualSpacing/>
      </w:pPr>
      <w:r w:rsidRPr="00DE6A80">
        <w:rPr>
          <w:bCs/>
        </w:rPr>
        <w:t xml:space="preserve">El Estado </w:t>
      </w:r>
      <w:r w:rsidRPr="00DE6A80">
        <w:rPr>
          <w:lang w:val="es-PE"/>
        </w:rPr>
        <w:t>adoptará, dentro de un plazo razonable, las medidas necesarias para que las condiciones de la cárcel de “El Infiernito” se adecuen a las normas internacionales</w:t>
      </w:r>
      <w:r w:rsidR="008E5A68" w:rsidRPr="00DE6A80">
        <w:rPr>
          <w:lang w:val="es-PE"/>
        </w:rPr>
        <w:t xml:space="preserve"> de derechos humanos</w:t>
      </w:r>
      <w:r w:rsidRPr="00DE6A80">
        <w:rPr>
          <w:lang w:val="es-PE"/>
        </w:rPr>
        <w:t>, y, en particular, se eliminen las deficien</w:t>
      </w:r>
      <w:r w:rsidR="00412576" w:rsidRPr="00DE6A80">
        <w:rPr>
          <w:lang w:val="es-PE"/>
        </w:rPr>
        <w:t>cias detectadas en la presente S</w:t>
      </w:r>
      <w:r w:rsidRPr="00DE6A80">
        <w:rPr>
          <w:lang w:val="es-PE"/>
        </w:rPr>
        <w:t xml:space="preserve">entencia, </w:t>
      </w:r>
      <w:r w:rsidRPr="00DE6A80">
        <w:t xml:space="preserve">en los términos </w:t>
      </w:r>
      <w:r w:rsidR="00264747">
        <w:t>del párrafo 157</w:t>
      </w:r>
      <w:r w:rsidR="00090559">
        <w:t xml:space="preserve"> de la presente sentencia</w:t>
      </w:r>
      <w:r w:rsidR="00264747">
        <w:t>.</w:t>
      </w:r>
    </w:p>
    <w:p w14:paraId="7C0AC3C0" w14:textId="77777777" w:rsidR="001B680E" w:rsidRPr="006B0525" w:rsidRDefault="001B680E" w:rsidP="001B680E">
      <w:pPr>
        <w:tabs>
          <w:tab w:val="left" w:pos="720"/>
        </w:tabs>
        <w:spacing w:line="20" w:lineRule="atLeast"/>
        <w:ind w:right="-90"/>
        <w:contextualSpacing/>
        <w:rPr>
          <w:bCs/>
        </w:rPr>
      </w:pPr>
    </w:p>
    <w:p w14:paraId="4404892C" w14:textId="77777777" w:rsidR="001B680E" w:rsidRPr="006B0525" w:rsidRDefault="001B680E" w:rsidP="001B680E">
      <w:pPr>
        <w:numPr>
          <w:ilvl w:val="0"/>
          <w:numId w:val="13"/>
        </w:numPr>
        <w:tabs>
          <w:tab w:val="left" w:pos="720"/>
        </w:tabs>
        <w:spacing w:line="20" w:lineRule="atLeast"/>
        <w:ind w:right="-90"/>
        <w:contextualSpacing/>
        <w:rPr>
          <w:bCs/>
        </w:rPr>
      </w:pPr>
      <w:r w:rsidRPr="006B0525">
        <w:rPr>
          <w:bCs/>
        </w:rPr>
        <w:t xml:space="preserve">El Estado </w:t>
      </w:r>
      <w:r w:rsidR="00C874A7">
        <w:rPr>
          <w:bCs/>
        </w:rPr>
        <w:t>pagará</w:t>
      </w:r>
      <w:r w:rsidRPr="006B0525">
        <w:rPr>
          <w:bCs/>
        </w:rPr>
        <w:t xml:space="preserve"> la</w:t>
      </w:r>
      <w:r w:rsidR="002C55E5" w:rsidRPr="006B0525">
        <w:rPr>
          <w:bCs/>
        </w:rPr>
        <w:t>s</w:t>
      </w:r>
      <w:r w:rsidRPr="006B0525">
        <w:rPr>
          <w:bCs/>
        </w:rPr>
        <w:t xml:space="preserve"> cantidad</w:t>
      </w:r>
      <w:r w:rsidR="002C55E5" w:rsidRPr="006B0525">
        <w:rPr>
          <w:bCs/>
        </w:rPr>
        <w:t>es</w:t>
      </w:r>
      <w:r w:rsidRPr="006B0525">
        <w:rPr>
          <w:bCs/>
        </w:rPr>
        <w:t xml:space="preserve"> fijada</w:t>
      </w:r>
      <w:r w:rsidR="002C55E5" w:rsidRPr="006B0525">
        <w:rPr>
          <w:bCs/>
        </w:rPr>
        <w:t>s</w:t>
      </w:r>
      <w:r w:rsidRPr="006B0525">
        <w:rPr>
          <w:bCs/>
        </w:rPr>
        <w:t xml:space="preserve"> en el párrafo </w:t>
      </w:r>
      <w:r w:rsidR="00264747">
        <w:rPr>
          <w:bCs/>
        </w:rPr>
        <w:t>173</w:t>
      </w:r>
      <w:r w:rsidRPr="006B0525">
        <w:rPr>
          <w:bCs/>
        </w:rPr>
        <w:t xml:space="preserve"> de la presente Sentencia por concepto de indemnización por daño inmaterial.</w:t>
      </w:r>
    </w:p>
    <w:p w14:paraId="7D0F3087" w14:textId="77777777" w:rsidR="001B680E" w:rsidRPr="006B0525" w:rsidRDefault="001B680E" w:rsidP="001B680E">
      <w:pPr>
        <w:tabs>
          <w:tab w:val="left" w:pos="720"/>
        </w:tabs>
        <w:spacing w:line="20" w:lineRule="atLeast"/>
        <w:ind w:right="-90"/>
        <w:contextualSpacing/>
        <w:rPr>
          <w:bCs/>
        </w:rPr>
      </w:pPr>
    </w:p>
    <w:p w14:paraId="4AC59930" w14:textId="77777777" w:rsidR="001B680E" w:rsidRPr="006B0525" w:rsidRDefault="001B680E" w:rsidP="001B680E">
      <w:pPr>
        <w:numPr>
          <w:ilvl w:val="0"/>
          <w:numId w:val="13"/>
        </w:numPr>
        <w:tabs>
          <w:tab w:val="left" w:pos="720"/>
        </w:tabs>
        <w:spacing w:line="20" w:lineRule="atLeast"/>
        <w:ind w:right="-90"/>
        <w:contextualSpacing/>
      </w:pPr>
      <w:r w:rsidRPr="006B0525">
        <w:t xml:space="preserve">El Estado </w:t>
      </w:r>
      <w:r w:rsidR="00C874A7">
        <w:t>reintegrará</w:t>
      </w:r>
      <w:r w:rsidRPr="006B0525">
        <w:t xml:space="preserve"> al Fondo de Asistencia Legal de Víctimas de la Corte Interamericana de Derechos Humanos la cantidad erogada durante la tramitación del presente caso, en los términos del párrafo </w:t>
      </w:r>
      <w:r w:rsidR="00264747">
        <w:t>184</w:t>
      </w:r>
      <w:r w:rsidRPr="006B0525">
        <w:t xml:space="preserve"> de esta Sentencia.</w:t>
      </w:r>
    </w:p>
    <w:p w14:paraId="1992A0E1" w14:textId="77777777" w:rsidR="001B680E" w:rsidRPr="006B0525" w:rsidRDefault="001B680E" w:rsidP="001B680E">
      <w:pPr>
        <w:tabs>
          <w:tab w:val="left" w:pos="720"/>
        </w:tabs>
        <w:spacing w:line="20" w:lineRule="atLeast"/>
        <w:ind w:right="-90"/>
        <w:contextualSpacing/>
      </w:pPr>
    </w:p>
    <w:p w14:paraId="2932946F" w14:textId="77777777" w:rsidR="001B680E" w:rsidRPr="006B0525" w:rsidRDefault="001B680E" w:rsidP="001B680E">
      <w:pPr>
        <w:numPr>
          <w:ilvl w:val="0"/>
          <w:numId w:val="13"/>
        </w:numPr>
        <w:tabs>
          <w:tab w:val="left" w:pos="720"/>
        </w:tabs>
        <w:spacing w:line="20" w:lineRule="atLeast"/>
        <w:ind w:right="-90"/>
        <w:contextualSpacing/>
        <w:rPr>
          <w:rFonts w:eastAsia="MS Mincho"/>
          <w:bCs/>
          <w:lang w:bidi="en-US"/>
        </w:rPr>
      </w:pPr>
      <w:r w:rsidRPr="006B0525">
        <w:rPr>
          <w:bCs/>
        </w:rPr>
        <w:t xml:space="preserve">El Estado, dentro del plazo de un año contado a partir de la notificación de esta Sentencia, </w:t>
      </w:r>
      <w:r w:rsidR="00C874A7">
        <w:rPr>
          <w:bCs/>
        </w:rPr>
        <w:t>rendirá</w:t>
      </w:r>
      <w:r w:rsidRPr="006B0525">
        <w:rPr>
          <w:bCs/>
        </w:rPr>
        <w:t xml:space="preserve"> al Tribunal un informe sobre las medidas adoptadas para cumplir con la misma</w:t>
      </w:r>
      <w:r w:rsidR="00264747">
        <w:rPr>
          <w:bCs/>
        </w:rPr>
        <w:t>.</w:t>
      </w:r>
    </w:p>
    <w:p w14:paraId="14751EC0" w14:textId="77777777" w:rsidR="001B680E" w:rsidRPr="006B0525" w:rsidRDefault="001B680E" w:rsidP="001B680E">
      <w:pPr>
        <w:tabs>
          <w:tab w:val="left" w:pos="720"/>
        </w:tabs>
        <w:spacing w:line="20" w:lineRule="atLeast"/>
        <w:ind w:right="-90"/>
        <w:contextualSpacing/>
        <w:rPr>
          <w:rFonts w:eastAsia="MS Mincho"/>
          <w:bCs/>
          <w:lang w:bidi="en-US"/>
        </w:rPr>
      </w:pPr>
    </w:p>
    <w:p w14:paraId="6C29569B" w14:textId="77777777" w:rsidR="001B680E" w:rsidRPr="006B0525" w:rsidRDefault="001B680E" w:rsidP="001B680E">
      <w:pPr>
        <w:numPr>
          <w:ilvl w:val="0"/>
          <w:numId w:val="13"/>
        </w:numPr>
        <w:tabs>
          <w:tab w:val="left" w:pos="720"/>
        </w:tabs>
        <w:spacing w:line="20" w:lineRule="atLeast"/>
        <w:ind w:right="-90"/>
        <w:contextualSpacing/>
        <w:rPr>
          <w:b/>
          <w:bCs/>
        </w:rPr>
      </w:pPr>
      <w:r w:rsidRPr="006B0525">
        <w:rPr>
          <w:bCs/>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08EC749E" w14:textId="77777777" w:rsidR="001B680E" w:rsidRDefault="001B680E" w:rsidP="001B680E">
      <w:pPr>
        <w:tabs>
          <w:tab w:val="left" w:pos="720"/>
        </w:tabs>
        <w:spacing w:line="20" w:lineRule="atLeast"/>
        <w:ind w:right="-93"/>
        <w:contextualSpacing/>
        <w:rPr>
          <w:rFonts w:cs="Verdana"/>
          <w:color w:val="FF0000"/>
        </w:rPr>
      </w:pPr>
    </w:p>
    <w:p w14:paraId="7242920F" w14:textId="77777777" w:rsidR="002F21AD" w:rsidRPr="002F21AD" w:rsidRDefault="002F21AD" w:rsidP="001B680E">
      <w:pPr>
        <w:tabs>
          <w:tab w:val="left" w:pos="720"/>
        </w:tabs>
        <w:spacing w:line="20" w:lineRule="atLeast"/>
        <w:ind w:right="-93"/>
        <w:contextualSpacing/>
        <w:rPr>
          <w:rFonts w:cs="Verdana"/>
        </w:rPr>
      </w:pPr>
      <w:r w:rsidRPr="002F21AD">
        <w:rPr>
          <w:rFonts w:cs="Verdana"/>
        </w:rPr>
        <w:t xml:space="preserve">El Juez </w:t>
      </w:r>
      <w:r>
        <w:rPr>
          <w:rFonts w:cs="Verdana"/>
        </w:rPr>
        <w:t xml:space="preserve">Humberto Sierra Porto </w:t>
      </w:r>
      <w:r w:rsidRPr="002F21AD">
        <w:rPr>
          <w:rFonts w:cs="Verdana"/>
        </w:rPr>
        <w:t>dio a conocer a</w:t>
      </w:r>
      <w:r>
        <w:rPr>
          <w:rFonts w:cs="Verdana"/>
        </w:rPr>
        <w:t xml:space="preserve"> </w:t>
      </w:r>
      <w:r w:rsidRPr="002F21AD">
        <w:rPr>
          <w:rFonts w:cs="Verdana"/>
        </w:rPr>
        <w:t>la</w:t>
      </w:r>
      <w:r>
        <w:rPr>
          <w:rFonts w:cs="Verdana"/>
        </w:rPr>
        <w:t xml:space="preserve"> </w:t>
      </w:r>
      <w:r w:rsidRPr="002F21AD">
        <w:rPr>
          <w:rFonts w:cs="Verdana"/>
        </w:rPr>
        <w:t xml:space="preserve">Corte su voto individual </w:t>
      </w:r>
      <w:r w:rsidRPr="009C6A90">
        <w:rPr>
          <w:rFonts w:cs="Verdana"/>
        </w:rPr>
        <w:t>concurrente</w:t>
      </w:r>
      <w:r>
        <w:rPr>
          <w:rFonts w:cs="Verdana"/>
        </w:rPr>
        <w:t xml:space="preserve">, </w:t>
      </w:r>
      <w:r w:rsidRPr="002F21AD">
        <w:rPr>
          <w:rFonts w:cs="Verdana"/>
        </w:rPr>
        <w:t>el cual acompaña</w:t>
      </w:r>
      <w:r w:rsidR="00E177C7">
        <w:rPr>
          <w:rFonts w:cs="Verdana"/>
        </w:rPr>
        <w:t xml:space="preserve"> a</w:t>
      </w:r>
      <w:r w:rsidRPr="002F21AD">
        <w:rPr>
          <w:rFonts w:cs="Verdana"/>
        </w:rPr>
        <w:t xml:space="preserve"> esta Sentencia.</w:t>
      </w:r>
    </w:p>
    <w:p w14:paraId="7EEA4048" w14:textId="77777777" w:rsidR="002F21AD" w:rsidRPr="006B0525" w:rsidRDefault="002F21AD" w:rsidP="001B680E">
      <w:pPr>
        <w:tabs>
          <w:tab w:val="left" w:pos="720"/>
        </w:tabs>
        <w:spacing w:line="20" w:lineRule="atLeast"/>
        <w:ind w:right="-93"/>
        <w:contextualSpacing/>
        <w:rPr>
          <w:rFonts w:cs="Verdana"/>
          <w:color w:val="FF0000"/>
        </w:rPr>
      </w:pPr>
    </w:p>
    <w:p w14:paraId="067FDA3B" w14:textId="7D99750F" w:rsidR="001D565A" w:rsidRDefault="001B680E" w:rsidP="001D565A">
      <w:pPr>
        <w:tabs>
          <w:tab w:val="left" w:pos="720"/>
        </w:tabs>
        <w:spacing w:line="20" w:lineRule="atLeast"/>
        <w:ind w:right="-93"/>
        <w:contextualSpacing/>
        <w:rPr>
          <w:rFonts w:cs="Verdana"/>
        </w:rPr>
        <w:sectPr w:rsidR="001D565A" w:rsidSect="00695E6D">
          <w:footerReference w:type="default" r:id="rId8"/>
          <w:footerReference w:type="first" r:id="rId9"/>
          <w:footnotePr>
            <w:numRestart w:val="eachSect"/>
          </w:footnotePr>
          <w:type w:val="continuous"/>
          <w:pgSz w:w="12240" w:h="15840"/>
          <w:pgMar w:top="1440" w:right="1080" w:bottom="540" w:left="1080" w:header="708" w:footer="708" w:gutter="0"/>
          <w:pgNumType w:start="1"/>
          <w:cols w:space="708"/>
          <w:titlePg/>
          <w:docGrid w:linePitch="360"/>
        </w:sectPr>
      </w:pPr>
      <w:r w:rsidRPr="006B0525">
        <w:rPr>
          <w:rFonts w:cs="Verdana"/>
        </w:rPr>
        <w:t xml:space="preserve">Redactada en español en </w:t>
      </w:r>
      <w:r w:rsidR="00A316CD" w:rsidRPr="006B0525">
        <w:rPr>
          <w:rFonts w:cs="Verdana"/>
        </w:rPr>
        <w:t xml:space="preserve">San José, Costa Rica, </w:t>
      </w:r>
      <w:r w:rsidRPr="006B0525">
        <w:rPr>
          <w:rFonts w:cs="Verdana"/>
        </w:rPr>
        <w:t xml:space="preserve">el </w:t>
      </w:r>
      <w:r w:rsidR="002F21AD">
        <w:rPr>
          <w:rFonts w:cs="Verdana"/>
        </w:rPr>
        <w:t>14</w:t>
      </w:r>
      <w:r w:rsidRPr="006B0525">
        <w:rPr>
          <w:rFonts w:cs="Verdana"/>
        </w:rPr>
        <w:t xml:space="preserve"> de </w:t>
      </w:r>
      <w:r w:rsidR="00A316CD" w:rsidRPr="006B0525">
        <w:rPr>
          <w:rFonts w:cs="Verdana"/>
        </w:rPr>
        <w:t>octubre</w:t>
      </w:r>
      <w:r w:rsidR="00412576">
        <w:rPr>
          <w:rFonts w:cs="Verdana"/>
        </w:rPr>
        <w:t xml:space="preserve"> de 2019.</w:t>
      </w:r>
    </w:p>
    <w:p w14:paraId="3EB77CE3" w14:textId="467EC097" w:rsidR="001D565A" w:rsidRPr="001D565A" w:rsidRDefault="001D565A" w:rsidP="001D565A">
      <w:pPr>
        <w:rPr>
          <w:rFonts w:eastAsia="Times"/>
          <w:lang w:val="pt-BR" w:eastAsia="en-US"/>
        </w:rPr>
      </w:pPr>
      <w:r w:rsidRPr="001D565A">
        <w:rPr>
          <w:rFonts w:eastAsia="Times"/>
          <w:lang w:val="pt-BR" w:eastAsia="en-US"/>
        </w:rPr>
        <w:lastRenderedPageBreak/>
        <w:t xml:space="preserve">Corte IDH. </w:t>
      </w:r>
      <w:r w:rsidRPr="001D565A">
        <w:rPr>
          <w:rFonts w:eastAsia="Times"/>
          <w:lang w:val="es-ES" w:eastAsia="en-US"/>
        </w:rPr>
        <w:t xml:space="preserve">Caso </w:t>
      </w:r>
      <w:r w:rsidRPr="001D565A">
        <w:rPr>
          <w:rFonts w:eastAsia="Times"/>
          <w:i/>
          <w:lang w:val="es-ES" w:eastAsia="en-US"/>
        </w:rPr>
        <w:t>Rodríguez Revolorio y otros Vs. Guatemala</w:t>
      </w:r>
      <w:r w:rsidRPr="001D565A">
        <w:rPr>
          <w:rFonts w:eastAsia="Times"/>
          <w:lang w:val="es-ES" w:eastAsia="en-US"/>
        </w:rPr>
        <w:t xml:space="preserve">. Excepción Preliminar, Fondo, Reparaciones y Costas. </w:t>
      </w:r>
      <w:r w:rsidRPr="001D565A">
        <w:rPr>
          <w:rFonts w:eastAsia="Times"/>
          <w:lang w:val="pt-BR" w:eastAsia="en-US"/>
        </w:rPr>
        <w:t xml:space="preserve">Sentencia de 14 de </w:t>
      </w:r>
      <w:proofErr w:type="spellStart"/>
      <w:r w:rsidRPr="001D565A">
        <w:rPr>
          <w:rFonts w:eastAsia="Times"/>
          <w:lang w:val="pt-BR" w:eastAsia="en-US"/>
        </w:rPr>
        <w:t>octubre</w:t>
      </w:r>
      <w:proofErr w:type="spellEnd"/>
      <w:r w:rsidRPr="001D565A">
        <w:rPr>
          <w:rFonts w:eastAsia="Times"/>
          <w:lang w:val="pt-BR" w:eastAsia="en-US"/>
        </w:rPr>
        <w:t xml:space="preserve"> de 2019.</w:t>
      </w:r>
    </w:p>
    <w:p w14:paraId="203EF219" w14:textId="77777777" w:rsidR="001D565A" w:rsidRPr="001D565A" w:rsidRDefault="001D565A" w:rsidP="001D565A">
      <w:pPr>
        <w:widowControl/>
        <w:adjustRightInd/>
        <w:spacing w:line="240" w:lineRule="auto"/>
        <w:jc w:val="center"/>
        <w:textAlignment w:val="auto"/>
        <w:rPr>
          <w:rFonts w:eastAsia="Times"/>
          <w:lang w:val="pt-BR" w:eastAsia="en-US"/>
        </w:rPr>
      </w:pPr>
    </w:p>
    <w:p w14:paraId="29DA768F" w14:textId="77777777" w:rsidR="001D565A" w:rsidRPr="001D565A" w:rsidRDefault="001D565A" w:rsidP="001D565A">
      <w:pPr>
        <w:widowControl/>
        <w:adjustRightInd/>
        <w:spacing w:line="240" w:lineRule="auto"/>
        <w:jc w:val="center"/>
        <w:textAlignment w:val="auto"/>
        <w:rPr>
          <w:rFonts w:eastAsia="Times"/>
          <w:lang w:val="pt-BR" w:eastAsia="en-US"/>
        </w:rPr>
      </w:pPr>
    </w:p>
    <w:p w14:paraId="3D031EBF" w14:textId="77777777" w:rsidR="001D565A" w:rsidRPr="001D565A" w:rsidRDefault="001D565A" w:rsidP="001D565A">
      <w:pPr>
        <w:widowControl/>
        <w:adjustRightInd/>
        <w:spacing w:line="240" w:lineRule="auto"/>
        <w:jc w:val="center"/>
        <w:textAlignment w:val="auto"/>
        <w:rPr>
          <w:rFonts w:eastAsia="Times"/>
          <w:lang w:val="pt-BR" w:eastAsia="en-US"/>
        </w:rPr>
      </w:pPr>
    </w:p>
    <w:p w14:paraId="3BBF5436" w14:textId="77777777" w:rsidR="001D565A" w:rsidRPr="001D565A" w:rsidRDefault="001D565A" w:rsidP="001D565A">
      <w:pPr>
        <w:widowControl/>
        <w:adjustRightInd/>
        <w:spacing w:line="240" w:lineRule="auto"/>
        <w:jc w:val="center"/>
        <w:textAlignment w:val="auto"/>
        <w:rPr>
          <w:rFonts w:eastAsia="Times"/>
          <w:lang w:val="pt-BR" w:eastAsia="en-US"/>
        </w:rPr>
      </w:pPr>
    </w:p>
    <w:p w14:paraId="360E78C1" w14:textId="77777777" w:rsidR="001D565A" w:rsidRPr="001D565A" w:rsidRDefault="001D565A" w:rsidP="001D565A">
      <w:pPr>
        <w:widowControl/>
        <w:adjustRightInd/>
        <w:spacing w:line="240" w:lineRule="auto"/>
        <w:jc w:val="center"/>
        <w:textAlignment w:val="auto"/>
        <w:rPr>
          <w:rFonts w:eastAsia="Times"/>
          <w:lang w:val="pt-BR" w:eastAsia="en-US"/>
        </w:rPr>
      </w:pPr>
    </w:p>
    <w:p w14:paraId="643B557C" w14:textId="77777777" w:rsidR="001D565A" w:rsidRPr="001D565A" w:rsidRDefault="001D565A" w:rsidP="001D565A">
      <w:pPr>
        <w:widowControl/>
        <w:adjustRightInd/>
        <w:spacing w:line="240" w:lineRule="auto"/>
        <w:jc w:val="center"/>
        <w:textAlignment w:val="auto"/>
        <w:rPr>
          <w:rFonts w:eastAsia="Times"/>
          <w:lang w:val="pt-BR" w:eastAsia="en-US"/>
        </w:rPr>
      </w:pPr>
      <w:r w:rsidRPr="001D565A">
        <w:rPr>
          <w:rFonts w:eastAsia="Times"/>
          <w:lang w:val="pt-BR" w:eastAsia="en-US"/>
        </w:rPr>
        <w:t xml:space="preserve">Eduardo Ferrer </w:t>
      </w:r>
      <w:proofErr w:type="spellStart"/>
      <w:r w:rsidRPr="001D565A">
        <w:rPr>
          <w:rFonts w:eastAsia="Times"/>
          <w:lang w:val="pt-BR" w:eastAsia="en-US"/>
        </w:rPr>
        <w:t>Mac-Gregor</w:t>
      </w:r>
      <w:proofErr w:type="spellEnd"/>
      <w:r w:rsidRPr="001D565A">
        <w:rPr>
          <w:rFonts w:eastAsia="Times"/>
          <w:lang w:val="pt-BR" w:eastAsia="en-US"/>
        </w:rPr>
        <w:t xml:space="preserve"> </w:t>
      </w:r>
      <w:proofErr w:type="spellStart"/>
      <w:r w:rsidRPr="001D565A">
        <w:rPr>
          <w:rFonts w:eastAsia="Times"/>
          <w:lang w:val="pt-BR" w:eastAsia="en-US"/>
        </w:rPr>
        <w:t>Poisot</w:t>
      </w:r>
      <w:proofErr w:type="spellEnd"/>
    </w:p>
    <w:p w14:paraId="534B59ED" w14:textId="77777777" w:rsidR="001D565A" w:rsidRPr="001D565A" w:rsidRDefault="001D565A" w:rsidP="001D565A">
      <w:pPr>
        <w:widowControl/>
        <w:adjustRightInd/>
        <w:spacing w:line="240" w:lineRule="auto"/>
        <w:jc w:val="center"/>
        <w:textAlignment w:val="auto"/>
        <w:rPr>
          <w:rFonts w:eastAsia="Times"/>
          <w:lang w:val="pt-BR" w:eastAsia="en-US"/>
        </w:rPr>
      </w:pPr>
      <w:r w:rsidRPr="001D565A">
        <w:rPr>
          <w:rFonts w:eastAsia="Times"/>
          <w:lang w:val="pt-BR" w:eastAsia="en-US"/>
        </w:rPr>
        <w:t xml:space="preserve">Presidente </w:t>
      </w:r>
    </w:p>
    <w:p w14:paraId="0CC5B7CF" w14:textId="77777777" w:rsidR="001D565A" w:rsidRPr="001D565A" w:rsidRDefault="001D565A" w:rsidP="001D565A">
      <w:pPr>
        <w:widowControl/>
        <w:adjustRightInd/>
        <w:spacing w:line="240" w:lineRule="auto"/>
        <w:jc w:val="center"/>
        <w:textAlignment w:val="auto"/>
        <w:rPr>
          <w:rFonts w:eastAsia="Times"/>
          <w:lang w:val="pt-BR" w:eastAsia="en-US"/>
        </w:rPr>
      </w:pPr>
    </w:p>
    <w:p w14:paraId="18294A75" w14:textId="77777777" w:rsidR="001D565A" w:rsidRPr="001D565A" w:rsidRDefault="001D565A" w:rsidP="001D565A">
      <w:pPr>
        <w:widowControl/>
        <w:adjustRightInd/>
        <w:spacing w:line="240" w:lineRule="auto"/>
        <w:jc w:val="left"/>
        <w:textAlignment w:val="auto"/>
        <w:rPr>
          <w:rFonts w:eastAsia="Times"/>
          <w:lang w:val="pt-BR" w:eastAsia="en-US"/>
        </w:rPr>
      </w:pPr>
    </w:p>
    <w:p w14:paraId="031A1E35" w14:textId="77777777" w:rsidR="001D565A" w:rsidRPr="001D565A" w:rsidRDefault="001D565A" w:rsidP="001D565A">
      <w:pPr>
        <w:widowControl/>
        <w:adjustRightInd/>
        <w:spacing w:line="240" w:lineRule="auto"/>
        <w:jc w:val="left"/>
        <w:textAlignment w:val="auto"/>
        <w:rPr>
          <w:rFonts w:eastAsia="Times"/>
          <w:lang w:val="pt-BR" w:eastAsia="en-US"/>
        </w:rPr>
      </w:pPr>
    </w:p>
    <w:p w14:paraId="1C059778" w14:textId="77777777" w:rsidR="001D565A" w:rsidRPr="001D565A" w:rsidRDefault="001D565A" w:rsidP="001D565A">
      <w:pPr>
        <w:widowControl/>
        <w:adjustRightInd/>
        <w:spacing w:line="240" w:lineRule="auto"/>
        <w:jc w:val="left"/>
        <w:textAlignment w:val="auto"/>
        <w:rPr>
          <w:rFonts w:eastAsia="Times"/>
          <w:lang w:val="pt-BR" w:eastAsia="en-US"/>
        </w:rPr>
      </w:pPr>
    </w:p>
    <w:p w14:paraId="1D90A3A0" w14:textId="77777777" w:rsidR="001D565A" w:rsidRPr="001D565A" w:rsidRDefault="001D565A" w:rsidP="001D565A">
      <w:pPr>
        <w:widowControl/>
        <w:adjustRightInd/>
        <w:spacing w:line="240" w:lineRule="auto"/>
        <w:jc w:val="left"/>
        <w:textAlignment w:val="auto"/>
        <w:rPr>
          <w:rFonts w:eastAsia="Times"/>
          <w:lang w:val="pt-BR" w:eastAsia="en-US"/>
        </w:rPr>
      </w:pPr>
    </w:p>
    <w:p w14:paraId="50E1F11D" w14:textId="77777777" w:rsidR="001D565A" w:rsidRPr="001D565A" w:rsidRDefault="001D565A" w:rsidP="001D565A">
      <w:pPr>
        <w:widowControl/>
        <w:adjustRightInd/>
        <w:spacing w:line="240" w:lineRule="auto"/>
        <w:jc w:val="left"/>
        <w:textAlignment w:val="auto"/>
        <w:rPr>
          <w:rFonts w:eastAsia="Times"/>
          <w:lang w:val="es-ES" w:eastAsia="en-US"/>
        </w:rPr>
      </w:pPr>
      <w:r w:rsidRPr="001D565A">
        <w:rPr>
          <w:rFonts w:eastAsia="Times"/>
          <w:lang w:val="pt-BR" w:eastAsia="en-US"/>
        </w:rPr>
        <w:t xml:space="preserve"> </w:t>
      </w:r>
      <w:r w:rsidRPr="001D565A">
        <w:rPr>
          <w:rFonts w:eastAsia="Times"/>
          <w:lang w:val="es-ES" w:eastAsia="en-US"/>
        </w:rPr>
        <w:t>Eduardo Vio Grossi</w:t>
      </w:r>
      <w:r w:rsidRPr="001D565A">
        <w:rPr>
          <w:rFonts w:eastAsia="Times"/>
          <w:lang w:val="es-ES" w:eastAsia="en-US"/>
        </w:rPr>
        <w:tab/>
      </w:r>
      <w:r w:rsidRPr="001D565A">
        <w:rPr>
          <w:rFonts w:eastAsia="Times"/>
          <w:lang w:val="es-ES" w:eastAsia="en-US"/>
        </w:rPr>
        <w:tab/>
      </w:r>
      <w:r w:rsidRPr="001D565A">
        <w:rPr>
          <w:rFonts w:eastAsia="Times"/>
          <w:lang w:val="es-ES" w:eastAsia="en-US"/>
        </w:rPr>
        <w:tab/>
      </w:r>
      <w:r w:rsidRPr="001D565A">
        <w:rPr>
          <w:rFonts w:eastAsia="Times"/>
          <w:lang w:val="es-ES" w:eastAsia="en-US"/>
        </w:rPr>
        <w:tab/>
      </w:r>
      <w:r w:rsidRPr="001D565A">
        <w:rPr>
          <w:rFonts w:eastAsia="Times"/>
          <w:lang w:val="es-ES" w:eastAsia="en-US"/>
        </w:rPr>
        <w:tab/>
      </w:r>
      <w:r w:rsidRPr="001D565A">
        <w:rPr>
          <w:rFonts w:eastAsia="Times"/>
          <w:lang w:val="es-ES" w:eastAsia="en-US"/>
        </w:rPr>
        <w:tab/>
        <w:t xml:space="preserve">      Humberto Antonio Sierra Porto</w:t>
      </w:r>
      <w:r w:rsidRPr="001D565A">
        <w:rPr>
          <w:rFonts w:eastAsia="Times"/>
          <w:lang w:val="es-ES" w:eastAsia="en-US"/>
        </w:rPr>
        <w:tab/>
      </w:r>
      <w:r w:rsidRPr="001D565A">
        <w:rPr>
          <w:rFonts w:eastAsia="Times"/>
          <w:lang w:val="es-ES" w:eastAsia="en-US"/>
        </w:rPr>
        <w:tab/>
      </w:r>
      <w:r w:rsidRPr="001D565A">
        <w:rPr>
          <w:rFonts w:eastAsia="Times"/>
          <w:lang w:val="es-ES" w:eastAsia="en-US"/>
        </w:rPr>
        <w:tab/>
      </w:r>
      <w:r w:rsidRPr="001D565A">
        <w:rPr>
          <w:rFonts w:eastAsia="Times"/>
          <w:lang w:val="es-ES" w:eastAsia="en-US"/>
        </w:rPr>
        <w:tab/>
      </w:r>
      <w:r w:rsidRPr="001D565A">
        <w:rPr>
          <w:rFonts w:eastAsia="Times"/>
          <w:lang w:val="es-ES" w:eastAsia="en-US"/>
        </w:rPr>
        <w:tab/>
      </w:r>
      <w:r w:rsidRPr="001D565A">
        <w:rPr>
          <w:rFonts w:eastAsia="Times"/>
          <w:lang w:val="es-ES" w:eastAsia="en-US"/>
        </w:rPr>
        <w:tab/>
        <w:t xml:space="preserve">        </w:t>
      </w:r>
    </w:p>
    <w:p w14:paraId="06EBC406" w14:textId="77777777" w:rsidR="001D565A" w:rsidRPr="001D565A" w:rsidRDefault="001D565A" w:rsidP="001D565A">
      <w:pPr>
        <w:widowControl/>
        <w:adjustRightInd/>
        <w:spacing w:line="240" w:lineRule="auto"/>
        <w:jc w:val="left"/>
        <w:textAlignment w:val="auto"/>
        <w:rPr>
          <w:rFonts w:eastAsia="Times"/>
          <w:lang w:val="es-ES" w:eastAsia="en-US"/>
        </w:rPr>
      </w:pPr>
    </w:p>
    <w:p w14:paraId="1DCBCF88" w14:textId="77777777" w:rsidR="001D565A" w:rsidRPr="001D565A" w:rsidRDefault="001D565A" w:rsidP="001D565A">
      <w:pPr>
        <w:widowControl/>
        <w:adjustRightInd/>
        <w:spacing w:line="240" w:lineRule="auto"/>
        <w:jc w:val="left"/>
        <w:textAlignment w:val="auto"/>
        <w:rPr>
          <w:rFonts w:eastAsia="Times"/>
          <w:lang w:val="es-ES" w:eastAsia="en-US"/>
        </w:rPr>
      </w:pPr>
    </w:p>
    <w:p w14:paraId="2EE55479" w14:textId="77777777" w:rsidR="001D565A" w:rsidRPr="001D565A" w:rsidRDefault="001D565A" w:rsidP="001D565A">
      <w:pPr>
        <w:widowControl/>
        <w:adjustRightInd/>
        <w:spacing w:line="240" w:lineRule="auto"/>
        <w:jc w:val="left"/>
        <w:textAlignment w:val="auto"/>
        <w:rPr>
          <w:rFonts w:eastAsia="Times"/>
          <w:lang w:val="es-ES" w:eastAsia="en-US"/>
        </w:rPr>
      </w:pPr>
    </w:p>
    <w:p w14:paraId="2EE6650C" w14:textId="77777777" w:rsidR="001D565A" w:rsidRPr="001D565A" w:rsidRDefault="001D565A" w:rsidP="001D565A">
      <w:pPr>
        <w:widowControl/>
        <w:adjustRightInd/>
        <w:spacing w:line="240" w:lineRule="auto"/>
        <w:jc w:val="left"/>
        <w:textAlignment w:val="auto"/>
        <w:rPr>
          <w:rFonts w:eastAsia="Times"/>
          <w:lang w:val="es-ES" w:eastAsia="en-US"/>
        </w:rPr>
      </w:pPr>
    </w:p>
    <w:p w14:paraId="57BF54F3" w14:textId="77777777" w:rsidR="001D565A" w:rsidRPr="001D565A" w:rsidRDefault="001D565A" w:rsidP="001D565A">
      <w:pPr>
        <w:widowControl/>
        <w:adjustRightInd/>
        <w:spacing w:line="240" w:lineRule="auto"/>
        <w:jc w:val="left"/>
        <w:textAlignment w:val="auto"/>
        <w:rPr>
          <w:rFonts w:eastAsia="Times"/>
          <w:lang w:val="pt-BR" w:eastAsia="en-US"/>
        </w:rPr>
      </w:pPr>
      <w:r w:rsidRPr="001D565A">
        <w:rPr>
          <w:rFonts w:eastAsia="Times"/>
          <w:lang w:val="pt-BR" w:eastAsia="en-US"/>
        </w:rPr>
        <w:t xml:space="preserve">Elizabeth </w:t>
      </w:r>
      <w:proofErr w:type="spellStart"/>
      <w:r w:rsidRPr="001D565A">
        <w:rPr>
          <w:rFonts w:eastAsia="Times"/>
          <w:lang w:val="pt-BR" w:eastAsia="en-US"/>
        </w:rPr>
        <w:t>Odio</w:t>
      </w:r>
      <w:proofErr w:type="spellEnd"/>
      <w:r w:rsidRPr="001D565A">
        <w:rPr>
          <w:rFonts w:eastAsia="Times"/>
          <w:lang w:val="pt-BR" w:eastAsia="en-US"/>
        </w:rPr>
        <w:t xml:space="preserve"> Benito</w:t>
      </w:r>
      <w:r w:rsidRPr="001D565A">
        <w:rPr>
          <w:rFonts w:eastAsia="Times"/>
          <w:lang w:val="pt-BR" w:eastAsia="en-US"/>
        </w:rPr>
        <w:tab/>
      </w:r>
      <w:r w:rsidRPr="001D565A">
        <w:rPr>
          <w:rFonts w:eastAsia="Times"/>
          <w:lang w:val="pt-BR" w:eastAsia="en-US"/>
        </w:rPr>
        <w:tab/>
      </w:r>
      <w:r w:rsidRPr="001D565A">
        <w:rPr>
          <w:rFonts w:eastAsia="Times"/>
          <w:lang w:val="pt-BR" w:eastAsia="en-US"/>
        </w:rPr>
        <w:tab/>
      </w:r>
      <w:r w:rsidRPr="001D565A">
        <w:rPr>
          <w:rFonts w:eastAsia="Times"/>
          <w:lang w:val="pt-BR" w:eastAsia="en-US"/>
        </w:rPr>
        <w:tab/>
      </w:r>
      <w:r w:rsidRPr="001D565A">
        <w:rPr>
          <w:rFonts w:eastAsia="Times"/>
          <w:lang w:val="pt-BR" w:eastAsia="en-US"/>
        </w:rPr>
        <w:tab/>
      </w:r>
      <w:r w:rsidRPr="001D565A">
        <w:rPr>
          <w:rFonts w:eastAsia="Times"/>
          <w:lang w:val="pt-BR" w:eastAsia="en-US"/>
        </w:rPr>
        <w:tab/>
      </w:r>
      <w:r w:rsidRPr="001D565A">
        <w:rPr>
          <w:rFonts w:eastAsia="Times"/>
          <w:lang w:val="pt-BR" w:eastAsia="en-US"/>
        </w:rPr>
        <w:tab/>
        <w:t xml:space="preserve">    L. Patricio </w:t>
      </w:r>
      <w:proofErr w:type="spellStart"/>
      <w:r w:rsidRPr="001D565A">
        <w:rPr>
          <w:rFonts w:eastAsia="Times"/>
          <w:lang w:val="pt-BR" w:eastAsia="en-US"/>
        </w:rPr>
        <w:t>Pazmiño</w:t>
      </w:r>
      <w:proofErr w:type="spellEnd"/>
      <w:r w:rsidRPr="001D565A">
        <w:rPr>
          <w:rFonts w:eastAsia="Times"/>
          <w:lang w:val="pt-BR" w:eastAsia="en-US"/>
        </w:rPr>
        <w:t xml:space="preserve"> Freire</w:t>
      </w:r>
    </w:p>
    <w:p w14:paraId="622AD514" w14:textId="77777777" w:rsidR="001D565A" w:rsidRPr="001D565A" w:rsidRDefault="001D565A" w:rsidP="001D565A">
      <w:pPr>
        <w:widowControl/>
        <w:adjustRightInd/>
        <w:spacing w:line="240" w:lineRule="auto"/>
        <w:jc w:val="left"/>
        <w:textAlignment w:val="auto"/>
        <w:rPr>
          <w:rFonts w:eastAsia="Times"/>
          <w:lang w:val="pt-BR" w:eastAsia="en-US"/>
        </w:rPr>
      </w:pPr>
    </w:p>
    <w:p w14:paraId="203D4233" w14:textId="77777777" w:rsidR="001D565A" w:rsidRPr="001D565A" w:rsidRDefault="001D565A" w:rsidP="001D565A">
      <w:pPr>
        <w:widowControl/>
        <w:adjustRightInd/>
        <w:spacing w:line="240" w:lineRule="auto"/>
        <w:jc w:val="left"/>
        <w:textAlignment w:val="auto"/>
        <w:rPr>
          <w:rFonts w:eastAsia="Times"/>
          <w:lang w:val="pt-BR" w:eastAsia="en-US"/>
        </w:rPr>
      </w:pPr>
    </w:p>
    <w:p w14:paraId="69216183" w14:textId="77777777" w:rsidR="001D565A" w:rsidRPr="001D565A" w:rsidRDefault="001D565A" w:rsidP="001D565A">
      <w:pPr>
        <w:widowControl/>
        <w:adjustRightInd/>
        <w:spacing w:line="240" w:lineRule="auto"/>
        <w:jc w:val="left"/>
        <w:textAlignment w:val="auto"/>
        <w:rPr>
          <w:rFonts w:eastAsia="Times"/>
          <w:lang w:val="pt-BR" w:eastAsia="en-US"/>
        </w:rPr>
      </w:pPr>
    </w:p>
    <w:p w14:paraId="40A6C744" w14:textId="77777777" w:rsidR="001D565A" w:rsidRPr="001D565A" w:rsidRDefault="001D565A" w:rsidP="001D565A">
      <w:pPr>
        <w:widowControl/>
        <w:adjustRightInd/>
        <w:spacing w:line="240" w:lineRule="auto"/>
        <w:jc w:val="left"/>
        <w:textAlignment w:val="auto"/>
        <w:rPr>
          <w:rFonts w:eastAsia="Times"/>
          <w:lang w:val="pt-BR" w:eastAsia="en-US"/>
        </w:rPr>
      </w:pPr>
    </w:p>
    <w:p w14:paraId="59374C06" w14:textId="77777777" w:rsidR="001D565A" w:rsidRPr="001D565A" w:rsidRDefault="001D565A" w:rsidP="001D565A">
      <w:pPr>
        <w:widowControl/>
        <w:adjustRightInd/>
        <w:spacing w:line="240" w:lineRule="auto"/>
        <w:jc w:val="left"/>
        <w:textAlignment w:val="auto"/>
        <w:rPr>
          <w:rFonts w:eastAsia="Times"/>
          <w:lang w:val="pt-BR" w:eastAsia="en-US"/>
        </w:rPr>
      </w:pPr>
    </w:p>
    <w:p w14:paraId="396C7798" w14:textId="77777777" w:rsidR="001D565A" w:rsidRPr="001D565A" w:rsidRDefault="001D565A" w:rsidP="001D565A">
      <w:pPr>
        <w:widowControl/>
        <w:adjustRightInd/>
        <w:spacing w:line="240" w:lineRule="auto"/>
        <w:jc w:val="center"/>
        <w:textAlignment w:val="auto"/>
        <w:rPr>
          <w:rFonts w:eastAsia="Times"/>
          <w:lang w:val="pt-BR" w:eastAsia="en-US"/>
        </w:rPr>
      </w:pPr>
      <w:r w:rsidRPr="001D565A">
        <w:rPr>
          <w:rFonts w:eastAsia="Times"/>
          <w:lang w:val="pt-BR" w:eastAsia="en-US"/>
        </w:rPr>
        <w:t>Ricardo C. Pérez Manrique</w:t>
      </w:r>
    </w:p>
    <w:p w14:paraId="1134CDE6" w14:textId="77777777" w:rsidR="001D565A" w:rsidRPr="001D565A" w:rsidRDefault="001D565A" w:rsidP="001D565A">
      <w:pPr>
        <w:widowControl/>
        <w:adjustRightInd/>
        <w:spacing w:line="240" w:lineRule="auto"/>
        <w:jc w:val="center"/>
        <w:textAlignment w:val="auto"/>
        <w:rPr>
          <w:rFonts w:eastAsia="Times"/>
          <w:lang w:val="pt-BR" w:eastAsia="en-US"/>
        </w:rPr>
      </w:pPr>
    </w:p>
    <w:p w14:paraId="31CBB591" w14:textId="77777777" w:rsidR="001D565A" w:rsidRPr="001D565A" w:rsidRDefault="001D565A" w:rsidP="001D565A">
      <w:pPr>
        <w:widowControl/>
        <w:adjustRightInd/>
        <w:spacing w:line="240" w:lineRule="auto"/>
        <w:jc w:val="center"/>
        <w:textAlignment w:val="auto"/>
        <w:rPr>
          <w:rFonts w:eastAsia="Times"/>
          <w:lang w:val="pt-BR" w:eastAsia="en-US"/>
        </w:rPr>
      </w:pPr>
    </w:p>
    <w:p w14:paraId="6F013A50" w14:textId="77777777" w:rsidR="001D565A" w:rsidRPr="001D565A" w:rsidRDefault="001D565A" w:rsidP="001D565A">
      <w:pPr>
        <w:widowControl/>
        <w:adjustRightInd/>
        <w:spacing w:line="240" w:lineRule="auto"/>
        <w:jc w:val="left"/>
        <w:textAlignment w:val="auto"/>
        <w:rPr>
          <w:rFonts w:eastAsia="Times"/>
          <w:lang w:val="pt-BR" w:eastAsia="en-US"/>
        </w:rPr>
      </w:pPr>
    </w:p>
    <w:p w14:paraId="1D270993" w14:textId="77777777" w:rsidR="001D565A" w:rsidRPr="001D565A" w:rsidRDefault="001D565A" w:rsidP="001D565A">
      <w:pPr>
        <w:widowControl/>
        <w:adjustRightInd/>
        <w:spacing w:line="240" w:lineRule="auto"/>
        <w:jc w:val="left"/>
        <w:textAlignment w:val="auto"/>
        <w:rPr>
          <w:rFonts w:eastAsia="Times"/>
          <w:lang w:val="pt-BR" w:eastAsia="en-US"/>
        </w:rPr>
      </w:pPr>
    </w:p>
    <w:p w14:paraId="7DA6FF46" w14:textId="77777777" w:rsidR="001D565A" w:rsidRPr="001D565A" w:rsidRDefault="001D565A" w:rsidP="001D565A">
      <w:pPr>
        <w:widowControl/>
        <w:adjustRightInd/>
        <w:spacing w:line="240" w:lineRule="auto"/>
        <w:jc w:val="left"/>
        <w:textAlignment w:val="auto"/>
        <w:rPr>
          <w:rFonts w:eastAsia="Times"/>
          <w:lang w:val="pt-BR" w:eastAsia="en-US"/>
        </w:rPr>
      </w:pPr>
    </w:p>
    <w:p w14:paraId="0A9C2D73" w14:textId="77777777" w:rsidR="001D565A" w:rsidRPr="001D565A" w:rsidRDefault="001D565A" w:rsidP="001D565A">
      <w:pPr>
        <w:widowControl/>
        <w:adjustRightInd/>
        <w:spacing w:line="240" w:lineRule="auto"/>
        <w:jc w:val="center"/>
        <w:textAlignment w:val="auto"/>
        <w:rPr>
          <w:rFonts w:eastAsia="Times"/>
          <w:lang w:val="pt-BR" w:eastAsia="en-US"/>
        </w:rPr>
      </w:pPr>
      <w:r w:rsidRPr="001D565A">
        <w:rPr>
          <w:rFonts w:eastAsia="Times"/>
          <w:lang w:val="pt-BR" w:eastAsia="en-US"/>
        </w:rPr>
        <w:t>Pablo Saavedra Alessandri</w:t>
      </w:r>
    </w:p>
    <w:p w14:paraId="2488428F" w14:textId="77777777" w:rsidR="001D565A" w:rsidRPr="001D565A" w:rsidRDefault="001D565A" w:rsidP="001D565A">
      <w:pPr>
        <w:widowControl/>
        <w:adjustRightInd/>
        <w:spacing w:line="240" w:lineRule="auto"/>
        <w:jc w:val="center"/>
        <w:textAlignment w:val="auto"/>
        <w:rPr>
          <w:rFonts w:eastAsia="Times"/>
          <w:lang w:val="pt-BR" w:eastAsia="en-US"/>
        </w:rPr>
      </w:pPr>
      <w:r w:rsidRPr="001D565A">
        <w:rPr>
          <w:rFonts w:eastAsia="Times"/>
          <w:lang w:val="pt-BR" w:eastAsia="en-US"/>
        </w:rPr>
        <w:t>Secretario</w:t>
      </w:r>
    </w:p>
    <w:p w14:paraId="1A6E411E" w14:textId="77777777" w:rsidR="001D565A" w:rsidRPr="001D565A" w:rsidRDefault="001D565A" w:rsidP="001D565A">
      <w:pPr>
        <w:widowControl/>
        <w:adjustRightInd/>
        <w:spacing w:line="240" w:lineRule="auto"/>
        <w:jc w:val="center"/>
        <w:textAlignment w:val="auto"/>
        <w:rPr>
          <w:rFonts w:eastAsia="Times"/>
          <w:lang w:val="pt-BR" w:eastAsia="en-US"/>
        </w:rPr>
      </w:pPr>
    </w:p>
    <w:p w14:paraId="12C4D539" w14:textId="77777777" w:rsidR="001D565A" w:rsidRPr="001D565A" w:rsidRDefault="001D565A" w:rsidP="001D565A">
      <w:pPr>
        <w:widowControl/>
        <w:adjustRightInd/>
        <w:spacing w:line="240" w:lineRule="auto"/>
        <w:jc w:val="center"/>
        <w:textAlignment w:val="auto"/>
        <w:rPr>
          <w:rFonts w:eastAsia="Times"/>
          <w:lang w:val="pt-BR" w:eastAsia="en-US"/>
        </w:rPr>
      </w:pPr>
    </w:p>
    <w:p w14:paraId="24349D76" w14:textId="77777777" w:rsidR="001D565A" w:rsidRPr="001D565A" w:rsidRDefault="001D565A" w:rsidP="001D565A">
      <w:pPr>
        <w:widowControl/>
        <w:adjustRightInd/>
        <w:spacing w:line="240" w:lineRule="auto"/>
        <w:textAlignment w:val="auto"/>
        <w:rPr>
          <w:rFonts w:eastAsia="Times"/>
          <w:lang w:val="pt-BR" w:eastAsia="en-US"/>
        </w:rPr>
      </w:pPr>
    </w:p>
    <w:p w14:paraId="118982B9" w14:textId="77777777" w:rsidR="001D565A" w:rsidRPr="001D565A" w:rsidRDefault="001D565A" w:rsidP="001D565A">
      <w:pPr>
        <w:widowControl/>
        <w:adjustRightInd/>
        <w:spacing w:line="240" w:lineRule="auto"/>
        <w:textAlignment w:val="auto"/>
        <w:rPr>
          <w:rFonts w:eastAsia="Times"/>
          <w:lang w:val="pt-BR" w:eastAsia="en-US"/>
        </w:rPr>
      </w:pPr>
      <w:proofErr w:type="spellStart"/>
      <w:r w:rsidRPr="001D565A">
        <w:rPr>
          <w:rFonts w:eastAsia="Times"/>
          <w:lang w:val="pt-BR" w:eastAsia="en-US"/>
        </w:rPr>
        <w:t>Comuníquese</w:t>
      </w:r>
      <w:proofErr w:type="spellEnd"/>
      <w:r w:rsidRPr="001D565A">
        <w:rPr>
          <w:rFonts w:eastAsia="Times"/>
          <w:lang w:val="pt-BR" w:eastAsia="en-US"/>
        </w:rPr>
        <w:t xml:space="preserve"> y </w:t>
      </w:r>
      <w:proofErr w:type="spellStart"/>
      <w:r w:rsidRPr="001D565A">
        <w:rPr>
          <w:rFonts w:eastAsia="Times"/>
          <w:lang w:val="pt-BR" w:eastAsia="en-US"/>
        </w:rPr>
        <w:t>ejecútese</w:t>
      </w:r>
      <w:proofErr w:type="spellEnd"/>
      <w:r w:rsidRPr="001D565A">
        <w:rPr>
          <w:rFonts w:eastAsia="Times"/>
          <w:lang w:val="pt-BR" w:eastAsia="en-US"/>
        </w:rPr>
        <w:t>,</w:t>
      </w:r>
    </w:p>
    <w:p w14:paraId="6368B84A" w14:textId="77777777" w:rsidR="001D565A" w:rsidRPr="001D565A" w:rsidRDefault="001D565A" w:rsidP="001D565A">
      <w:pPr>
        <w:widowControl/>
        <w:adjustRightInd/>
        <w:spacing w:line="240" w:lineRule="auto"/>
        <w:jc w:val="left"/>
        <w:textAlignment w:val="auto"/>
        <w:rPr>
          <w:rFonts w:eastAsia="Times"/>
          <w:lang w:val="pt-BR" w:eastAsia="en-US"/>
        </w:rPr>
      </w:pPr>
    </w:p>
    <w:p w14:paraId="4372DADB" w14:textId="77777777" w:rsidR="001D565A" w:rsidRPr="001D565A" w:rsidRDefault="001D565A" w:rsidP="001D565A">
      <w:pPr>
        <w:widowControl/>
        <w:adjustRightInd/>
        <w:spacing w:line="240" w:lineRule="auto"/>
        <w:jc w:val="left"/>
        <w:textAlignment w:val="auto"/>
        <w:rPr>
          <w:rFonts w:eastAsia="Times"/>
          <w:lang w:val="pt-BR" w:eastAsia="en-US"/>
        </w:rPr>
      </w:pPr>
    </w:p>
    <w:p w14:paraId="2842D395" w14:textId="77777777" w:rsidR="001D565A" w:rsidRPr="001D565A" w:rsidRDefault="001D565A" w:rsidP="001D565A">
      <w:pPr>
        <w:widowControl/>
        <w:adjustRightInd/>
        <w:spacing w:line="240" w:lineRule="auto"/>
        <w:jc w:val="right"/>
        <w:textAlignment w:val="auto"/>
        <w:rPr>
          <w:rFonts w:eastAsia="Times"/>
          <w:lang w:val="pt-BR" w:eastAsia="en-US"/>
        </w:rPr>
      </w:pPr>
    </w:p>
    <w:p w14:paraId="26BBD4AC" w14:textId="77777777" w:rsidR="001D565A" w:rsidRPr="001D565A" w:rsidRDefault="001D565A" w:rsidP="001D565A">
      <w:pPr>
        <w:widowControl/>
        <w:adjustRightInd/>
        <w:spacing w:line="240" w:lineRule="auto"/>
        <w:jc w:val="right"/>
        <w:textAlignment w:val="auto"/>
        <w:rPr>
          <w:rFonts w:eastAsia="Times"/>
          <w:lang w:val="pt-BR" w:eastAsia="en-US"/>
        </w:rPr>
      </w:pPr>
    </w:p>
    <w:p w14:paraId="0EDA8049" w14:textId="77777777" w:rsidR="001D565A" w:rsidRPr="001D565A" w:rsidRDefault="001D565A" w:rsidP="001D565A">
      <w:pPr>
        <w:widowControl/>
        <w:adjustRightInd/>
        <w:spacing w:line="240" w:lineRule="auto"/>
        <w:jc w:val="right"/>
        <w:textAlignment w:val="auto"/>
        <w:rPr>
          <w:rFonts w:eastAsia="Times"/>
          <w:lang w:val="pt-BR" w:eastAsia="en-US"/>
        </w:rPr>
      </w:pPr>
    </w:p>
    <w:p w14:paraId="6F783407" w14:textId="77777777" w:rsidR="001D565A" w:rsidRPr="001D565A" w:rsidRDefault="001D565A" w:rsidP="001D565A">
      <w:pPr>
        <w:widowControl/>
        <w:adjustRightInd/>
        <w:spacing w:line="240" w:lineRule="auto"/>
        <w:jc w:val="center"/>
        <w:textAlignment w:val="auto"/>
        <w:rPr>
          <w:rFonts w:eastAsia="Times"/>
          <w:lang w:val="pt-BR" w:eastAsia="en-US"/>
        </w:rPr>
      </w:pPr>
      <w:r w:rsidRPr="001D565A">
        <w:rPr>
          <w:rFonts w:eastAsia="Times"/>
          <w:lang w:val="pt-BR" w:eastAsia="en-US"/>
        </w:rPr>
        <w:t xml:space="preserve">                                                                                  Eduardo Ferrer </w:t>
      </w:r>
      <w:proofErr w:type="spellStart"/>
      <w:r w:rsidRPr="001D565A">
        <w:rPr>
          <w:rFonts w:eastAsia="Times"/>
          <w:lang w:val="pt-BR" w:eastAsia="en-US"/>
        </w:rPr>
        <w:t>Mac-Gregor</w:t>
      </w:r>
      <w:proofErr w:type="spellEnd"/>
      <w:r w:rsidRPr="001D565A">
        <w:rPr>
          <w:rFonts w:eastAsia="Times"/>
          <w:lang w:val="pt-BR" w:eastAsia="en-US"/>
        </w:rPr>
        <w:t xml:space="preserve"> </w:t>
      </w:r>
      <w:proofErr w:type="spellStart"/>
      <w:r w:rsidRPr="001D565A">
        <w:rPr>
          <w:rFonts w:eastAsia="Times"/>
          <w:lang w:val="pt-BR" w:eastAsia="en-US"/>
        </w:rPr>
        <w:t>Poisot</w:t>
      </w:r>
      <w:proofErr w:type="spellEnd"/>
    </w:p>
    <w:p w14:paraId="7170E3A1" w14:textId="77777777" w:rsidR="001D565A" w:rsidRPr="001D565A" w:rsidRDefault="001D565A" w:rsidP="001D565A">
      <w:pPr>
        <w:widowControl/>
        <w:adjustRightInd/>
        <w:spacing w:line="240" w:lineRule="auto"/>
        <w:ind w:left="6480"/>
        <w:jc w:val="left"/>
        <w:textAlignment w:val="auto"/>
        <w:rPr>
          <w:rFonts w:eastAsia="Times"/>
          <w:lang w:val="pt-BR" w:eastAsia="en-US"/>
        </w:rPr>
      </w:pPr>
      <w:r w:rsidRPr="001D565A">
        <w:rPr>
          <w:rFonts w:eastAsia="Times"/>
          <w:lang w:val="pt-BR" w:eastAsia="en-US"/>
        </w:rPr>
        <w:t xml:space="preserve">       Presidente </w:t>
      </w:r>
    </w:p>
    <w:p w14:paraId="12D997B2" w14:textId="77777777" w:rsidR="001D565A" w:rsidRPr="001D565A" w:rsidRDefault="001D565A" w:rsidP="001D565A">
      <w:pPr>
        <w:widowControl/>
        <w:adjustRightInd/>
        <w:spacing w:line="240" w:lineRule="auto"/>
        <w:ind w:left="6480"/>
        <w:jc w:val="left"/>
        <w:textAlignment w:val="auto"/>
        <w:rPr>
          <w:rFonts w:eastAsia="Times"/>
          <w:lang w:val="pt-BR" w:eastAsia="en-US"/>
        </w:rPr>
      </w:pPr>
    </w:p>
    <w:p w14:paraId="409D330C" w14:textId="77777777" w:rsidR="001D565A" w:rsidRPr="001D565A" w:rsidRDefault="001D565A" w:rsidP="001D565A">
      <w:pPr>
        <w:widowControl/>
        <w:adjustRightInd/>
        <w:spacing w:line="240" w:lineRule="auto"/>
        <w:textAlignment w:val="auto"/>
        <w:rPr>
          <w:rFonts w:eastAsia="Times"/>
          <w:lang w:val="pt-BR" w:eastAsia="en-US"/>
        </w:rPr>
      </w:pPr>
    </w:p>
    <w:p w14:paraId="69BC33B7" w14:textId="77777777" w:rsidR="001D565A" w:rsidRPr="001D565A" w:rsidRDefault="001D565A" w:rsidP="001D565A">
      <w:pPr>
        <w:widowControl/>
        <w:adjustRightInd/>
        <w:spacing w:line="240" w:lineRule="auto"/>
        <w:textAlignment w:val="auto"/>
        <w:rPr>
          <w:rFonts w:eastAsia="Times"/>
          <w:lang w:val="pt-BR" w:eastAsia="en-US"/>
        </w:rPr>
      </w:pPr>
    </w:p>
    <w:p w14:paraId="7418E3F2" w14:textId="77777777" w:rsidR="001D565A" w:rsidRPr="001D565A" w:rsidRDefault="001D565A" w:rsidP="001D565A">
      <w:pPr>
        <w:widowControl/>
        <w:adjustRightInd/>
        <w:spacing w:line="240" w:lineRule="auto"/>
        <w:textAlignment w:val="auto"/>
        <w:rPr>
          <w:rFonts w:eastAsia="Times"/>
          <w:lang w:val="pt-BR" w:eastAsia="en-US"/>
        </w:rPr>
      </w:pPr>
      <w:r w:rsidRPr="001D565A">
        <w:rPr>
          <w:rFonts w:eastAsia="Times"/>
          <w:lang w:val="pt-BR" w:eastAsia="en-US"/>
        </w:rPr>
        <w:t>Pablo Saavedra Alessandri</w:t>
      </w:r>
    </w:p>
    <w:p w14:paraId="07AF3335" w14:textId="3DABAF1B" w:rsidR="001D565A" w:rsidRPr="001D565A" w:rsidRDefault="001D565A" w:rsidP="0058291A">
      <w:pPr>
        <w:widowControl/>
        <w:adjustRightInd/>
        <w:spacing w:line="240" w:lineRule="auto"/>
        <w:jc w:val="left"/>
        <w:textAlignment w:val="auto"/>
        <w:rPr>
          <w:rFonts w:eastAsia="Times"/>
          <w:lang w:val="pt-BR" w:eastAsia="en-US"/>
        </w:rPr>
        <w:sectPr w:rsidR="001D565A" w:rsidRPr="001D565A" w:rsidSect="001D565A">
          <w:footnotePr>
            <w:numRestart w:val="eachSect"/>
          </w:footnotePr>
          <w:pgSz w:w="12240" w:h="15840"/>
          <w:pgMar w:top="1440" w:right="1080" w:bottom="540" w:left="1080" w:header="0" w:footer="1066" w:gutter="0"/>
          <w:cols w:space="708"/>
          <w:titlePg/>
          <w:docGrid w:linePitch="360"/>
        </w:sectPr>
      </w:pPr>
      <w:r w:rsidRPr="001D565A">
        <w:rPr>
          <w:rFonts w:eastAsia="Times"/>
          <w:lang w:val="pt-BR" w:eastAsia="en-US"/>
        </w:rPr>
        <w:tab/>
        <w:t>Secretar</w:t>
      </w:r>
      <w:r w:rsidR="0058291A">
        <w:rPr>
          <w:rFonts w:eastAsia="Times"/>
          <w:lang w:val="pt-BR" w:eastAsia="en-US"/>
        </w:rPr>
        <w:t>io</w:t>
      </w:r>
    </w:p>
    <w:p w14:paraId="233CAE3F" w14:textId="53A9622E" w:rsidR="006D3159" w:rsidRPr="005339D7" w:rsidRDefault="006D3159" w:rsidP="0058291A">
      <w:pPr>
        <w:jc w:val="center"/>
        <w:rPr>
          <w:b/>
        </w:rPr>
      </w:pPr>
      <w:r w:rsidRPr="005339D7">
        <w:rPr>
          <w:b/>
        </w:rPr>
        <w:lastRenderedPageBreak/>
        <w:t>VOTO CONCURRENTE DEL</w:t>
      </w:r>
    </w:p>
    <w:p w14:paraId="69F56214" w14:textId="77777777" w:rsidR="006D3159" w:rsidRPr="005339D7" w:rsidRDefault="006D3159" w:rsidP="005339D7">
      <w:pPr>
        <w:jc w:val="center"/>
        <w:rPr>
          <w:b/>
        </w:rPr>
      </w:pPr>
      <w:r w:rsidRPr="005339D7">
        <w:rPr>
          <w:b/>
        </w:rPr>
        <w:t>JUEZ HUMBERTO ANTONIO SIERRA PORTO</w:t>
      </w:r>
    </w:p>
    <w:p w14:paraId="05C08624" w14:textId="77777777" w:rsidR="006D3159" w:rsidRPr="005339D7" w:rsidRDefault="006D3159" w:rsidP="005339D7">
      <w:pPr>
        <w:jc w:val="center"/>
        <w:rPr>
          <w:b/>
        </w:rPr>
      </w:pPr>
    </w:p>
    <w:p w14:paraId="45E6C3A2" w14:textId="77777777" w:rsidR="006D3159" w:rsidRPr="005339D7" w:rsidRDefault="006D3159" w:rsidP="005339D7">
      <w:pPr>
        <w:jc w:val="center"/>
        <w:rPr>
          <w:b/>
        </w:rPr>
      </w:pPr>
      <w:r w:rsidRPr="005339D7">
        <w:rPr>
          <w:b/>
        </w:rPr>
        <w:t>A LA SENTENCIA DE 14 DE OCTUBRE DE 2019</w:t>
      </w:r>
    </w:p>
    <w:p w14:paraId="40EBEC4D" w14:textId="77777777" w:rsidR="006D3159" w:rsidRPr="005339D7" w:rsidRDefault="006D3159" w:rsidP="005339D7">
      <w:pPr>
        <w:jc w:val="center"/>
        <w:rPr>
          <w:b/>
        </w:rPr>
      </w:pPr>
      <w:r w:rsidRPr="005339D7">
        <w:rPr>
          <w:b/>
        </w:rPr>
        <w:t>DE LA CORTE INTERAMERICANA DE DERECHOS HUMANOS</w:t>
      </w:r>
    </w:p>
    <w:p w14:paraId="35D526A2" w14:textId="77777777" w:rsidR="006D3159" w:rsidRPr="005339D7" w:rsidRDefault="006D3159" w:rsidP="005339D7">
      <w:pPr>
        <w:jc w:val="center"/>
        <w:rPr>
          <w:b/>
        </w:rPr>
      </w:pPr>
    </w:p>
    <w:p w14:paraId="4D37D477" w14:textId="77777777" w:rsidR="006D3159" w:rsidRPr="005339D7" w:rsidRDefault="006D3159" w:rsidP="005339D7">
      <w:pPr>
        <w:jc w:val="center"/>
        <w:rPr>
          <w:b/>
        </w:rPr>
      </w:pPr>
      <w:r w:rsidRPr="005339D7">
        <w:rPr>
          <w:b/>
        </w:rPr>
        <w:t>EN EL CASO DE RODRÍGUEZ REVOLORIO Y OTROS VS. GUATEMALA</w:t>
      </w:r>
    </w:p>
    <w:p w14:paraId="71DEBB3C" w14:textId="77777777" w:rsidR="006D3159" w:rsidRDefault="006D3159" w:rsidP="006D3159"/>
    <w:p w14:paraId="08C1DD1E" w14:textId="77777777" w:rsidR="006D3159" w:rsidRPr="0010132C" w:rsidRDefault="006D3159" w:rsidP="006D3159">
      <w:pPr>
        <w:rPr>
          <w:b/>
          <w:i/>
        </w:rPr>
      </w:pPr>
      <w:r w:rsidRPr="0010132C">
        <w:rPr>
          <w:b/>
          <w:i/>
        </w:rPr>
        <w:t>I. Introducción</w:t>
      </w:r>
    </w:p>
    <w:p w14:paraId="104C862B" w14:textId="77777777" w:rsidR="006D3159" w:rsidRDefault="006D3159" w:rsidP="006D3159">
      <w:pPr>
        <w:rPr>
          <w:b/>
        </w:rPr>
      </w:pPr>
    </w:p>
    <w:p w14:paraId="62C3D0EC" w14:textId="02D4E297" w:rsidR="006D3159" w:rsidRPr="00DF350D" w:rsidRDefault="006D3159" w:rsidP="004F7B9C">
      <w:pPr>
        <w:pStyle w:val="Prrafodelista"/>
        <w:widowControl/>
        <w:numPr>
          <w:ilvl w:val="0"/>
          <w:numId w:val="15"/>
        </w:numPr>
        <w:adjustRightInd/>
        <w:spacing w:line="240" w:lineRule="auto"/>
        <w:ind w:left="0" w:firstLine="0"/>
        <w:textAlignment w:val="auto"/>
      </w:pPr>
      <w:r w:rsidRPr="00DF350D">
        <w:t>Con el acostumbrado respeto por las decisiones de la Corte Interamericana de Derechos Humanos (en adelante “la Corte” o “el Tribunal”), me permito formular el presente voto concurrente. El voto se relaciona con la discusión que existe en la Corte sobre el análisis de casos que involucren afectaciones a los derechos económicos, sociales, culturales y ambientales (en adelante “DESCA”) sobre la base del artículo 26 de la Convención Americana sobre Derechos Humanos (en adelante “la Convención”). En particular</w:t>
      </w:r>
      <w:r>
        <w:t xml:space="preserve">, a propósito del presente caso, haré una breve reflexión de lo que considero un </w:t>
      </w:r>
      <w:r w:rsidRPr="00DF350D">
        <w:t xml:space="preserve">uso inconsistente e inadecuado </w:t>
      </w:r>
      <w:r>
        <w:t xml:space="preserve">que la </w:t>
      </w:r>
      <w:r w:rsidRPr="00DF350D">
        <w:t xml:space="preserve">Corte ha hecho del principio </w:t>
      </w:r>
      <w:proofErr w:type="spellStart"/>
      <w:r w:rsidRPr="00695E6D">
        <w:rPr>
          <w:i/>
        </w:rPr>
        <w:t>iura</w:t>
      </w:r>
      <w:proofErr w:type="spellEnd"/>
      <w:r w:rsidRPr="00695E6D">
        <w:rPr>
          <w:i/>
        </w:rPr>
        <w:t xml:space="preserve"> </w:t>
      </w:r>
      <w:proofErr w:type="spellStart"/>
      <w:r w:rsidRPr="00695E6D">
        <w:rPr>
          <w:i/>
        </w:rPr>
        <w:t>novit</w:t>
      </w:r>
      <w:proofErr w:type="spellEnd"/>
      <w:r w:rsidRPr="00695E6D">
        <w:rPr>
          <w:i/>
        </w:rPr>
        <w:t xml:space="preserve"> curia</w:t>
      </w:r>
      <w:r w:rsidRPr="00DF350D">
        <w:t xml:space="preserve"> en sus sentencias recientes que involucran derechos sociales. En ese sentido, mis reflexiones complementan lo ya expresado en mis votos de los casos </w:t>
      </w:r>
      <w:r w:rsidRPr="00695E6D">
        <w:rPr>
          <w:i/>
        </w:rPr>
        <w:t xml:space="preserve">Gonzales </w:t>
      </w:r>
      <w:proofErr w:type="spellStart"/>
      <w:r w:rsidRPr="00695E6D">
        <w:rPr>
          <w:i/>
        </w:rPr>
        <w:t>Lluy</w:t>
      </w:r>
      <w:proofErr w:type="spellEnd"/>
      <w:r w:rsidRPr="00695E6D">
        <w:rPr>
          <w:i/>
        </w:rPr>
        <w:t xml:space="preserve"> y otros Vs. Ecuador</w:t>
      </w:r>
      <w:r w:rsidRPr="00E27FD9">
        <w:rPr>
          <w:rStyle w:val="Refdenotaalpie"/>
        </w:rPr>
        <w:footnoteReference w:id="197"/>
      </w:r>
      <w:r w:rsidRPr="00DF350D">
        <w:t xml:space="preserve">, </w:t>
      </w:r>
      <w:r w:rsidRPr="00695E6D">
        <w:rPr>
          <w:i/>
        </w:rPr>
        <w:t>Lagos del Campo Vs. Perú</w:t>
      </w:r>
      <w:r w:rsidRPr="00E27FD9">
        <w:rPr>
          <w:rStyle w:val="Refdenotaalpie"/>
        </w:rPr>
        <w:footnoteReference w:id="198"/>
      </w:r>
      <w:r w:rsidRPr="00E27FD9">
        <w:t>,</w:t>
      </w:r>
      <w:r w:rsidRPr="00DF350D">
        <w:t xml:space="preserve"> </w:t>
      </w:r>
      <w:r w:rsidRPr="00695E6D">
        <w:rPr>
          <w:i/>
        </w:rPr>
        <w:t>Trabajadores Cesados de Petroperú y otros Vs. Perú</w:t>
      </w:r>
      <w:r w:rsidRPr="00E27FD9">
        <w:rPr>
          <w:rStyle w:val="Refdenotaalpie"/>
        </w:rPr>
        <w:footnoteReference w:id="199"/>
      </w:r>
      <w:r w:rsidRPr="00E27FD9">
        <w:t>,</w:t>
      </w:r>
      <w:r w:rsidRPr="00DF350D">
        <w:t xml:space="preserve"> </w:t>
      </w:r>
      <w:r w:rsidRPr="00695E6D">
        <w:rPr>
          <w:i/>
        </w:rPr>
        <w:t>San Miguel Sosa y otras Vs. Venezuela</w:t>
      </w:r>
      <w:r w:rsidRPr="00E27FD9">
        <w:rPr>
          <w:rStyle w:val="Refdenotaalpie"/>
        </w:rPr>
        <w:footnoteReference w:id="200"/>
      </w:r>
      <w:r w:rsidRPr="00E27FD9">
        <w:t xml:space="preserve">, </w:t>
      </w:r>
      <w:r w:rsidRPr="00695E6D">
        <w:rPr>
          <w:i/>
        </w:rPr>
        <w:t>Poblete Vilches y otros Vs. Chile</w:t>
      </w:r>
      <w:r w:rsidRPr="00E27FD9">
        <w:rPr>
          <w:rStyle w:val="Refdenotaalpie"/>
        </w:rPr>
        <w:footnoteReference w:id="201"/>
      </w:r>
      <w:r w:rsidRPr="00E27FD9">
        <w:t>,</w:t>
      </w:r>
      <w:r w:rsidRPr="00DF350D">
        <w:t xml:space="preserve"> </w:t>
      </w:r>
      <w:proofErr w:type="spellStart"/>
      <w:r w:rsidRPr="00695E6D">
        <w:rPr>
          <w:i/>
        </w:rPr>
        <w:t>Cuscul</w:t>
      </w:r>
      <w:proofErr w:type="spellEnd"/>
      <w:r w:rsidRPr="00695E6D">
        <w:rPr>
          <w:i/>
        </w:rPr>
        <w:t xml:space="preserve"> Pivaral y otros Vs. Guatemala</w:t>
      </w:r>
      <w:r w:rsidRPr="00E27FD9">
        <w:rPr>
          <w:rStyle w:val="Refdenotaalpie"/>
        </w:rPr>
        <w:footnoteReference w:id="202"/>
      </w:r>
      <w:r w:rsidRPr="00695E6D">
        <w:rPr>
          <w:i/>
        </w:rPr>
        <w:t xml:space="preserve"> </w:t>
      </w:r>
      <w:r w:rsidRPr="00DF350D">
        <w:t xml:space="preserve">y </w:t>
      </w:r>
      <w:r w:rsidRPr="00695E6D">
        <w:rPr>
          <w:i/>
        </w:rPr>
        <w:t>Muelle Flores Vs. Perú</w:t>
      </w:r>
      <w:r w:rsidRPr="00E27FD9">
        <w:rPr>
          <w:rStyle w:val="Refdenotaalpie"/>
        </w:rPr>
        <w:footnoteReference w:id="203"/>
      </w:r>
      <w:r w:rsidRPr="00695E6D">
        <w:rPr>
          <w:i/>
        </w:rPr>
        <w:t xml:space="preserve"> </w:t>
      </w:r>
      <w:r w:rsidRPr="00DF350D">
        <w:t xml:space="preserve">respecto a los múltiples problemas lógicos, jurídicos y prácticos que </w:t>
      </w:r>
      <w:r>
        <w:t>resultan de la tendencia iniciada por</w:t>
      </w:r>
      <w:r w:rsidRPr="00DF350D">
        <w:t xml:space="preserve"> la mayoría </w:t>
      </w:r>
      <w:r>
        <w:t xml:space="preserve">desde la sentencia del caso </w:t>
      </w:r>
      <w:r w:rsidRPr="00695E6D">
        <w:rPr>
          <w:i/>
        </w:rPr>
        <w:t>Lagos del Campo Vs. Perú</w:t>
      </w:r>
      <w:r w:rsidRPr="00DF350D">
        <w:t>.</w:t>
      </w:r>
    </w:p>
    <w:p w14:paraId="0D32DB82" w14:textId="77777777" w:rsidR="006D3159" w:rsidRDefault="006D3159" w:rsidP="006D3159">
      <w:pPr>
        <w:pStyle w:val="Prrafodelista"/>
        <w:ind w:left="0"/>
      </w:pPr>
    </w:p>
    <w:p w14:paraId="731BC1AC" w14:textId="77777777" w:rsidR="006D3159" w:rsidRPr="00977A68" w:rsidRDefault="006D3159" w:rsidP="006D3159">
      <w:pPr>
        <w:spacing w:line="240" w:lineRule="auto"/>
        <w:rPr>
          <w:rFonts w:eastAsia="Cambria" w:cs="Cambria"/>
          <w:b/>
          <w:i/>
          <w:color w:val="000000"/>
          <w:u w:color="000000"/>
          <w:lang w:eastAsia="es-ES"/>
        </w:rPr>
      </w:pPr>
      <w:r w:rsidRPr="00977A68">
        <w:rPr>
          <w:rFonts w:eastAsia="Cambria" w:cs="Cambria"/>
          <w:b/>
          <w:i/>
          <w:color w:val="000000"/>
          <w:u w:color="000000"/>
          <w:lang w:eastAsia="es-ES"/>
        </w:rPr>
        <w:t xml:space="preserve">II. Respecto al </w:t>
      </w:r>
      <w:r>
        <w:rPr>
          <w:rFonts w:eastAsia="Cambria" w:cs="Cambria"/>
          <w:b/>
          <w:i/>
          <w:color w:val="000000"/>
          <w:u w:color="000000"/>
          <w:lang w:eastAsia="es-ES"/>
        </w:rPr>
        <w:t xml:space="preserve">uso inadecuado de la Corte del principio </w:t>
      </w:r>
      <w:proofErr w:type="spellStart"/>
      <w:r>
        <w:rPr>
          <w:rFonts w:eastAsia="Cambria" w:cs="Cambria"/>
          <w:b/>
          <w:i/>
          <w:color w:val="000000"/>
          <w:u w:color="000000"/>
          <w:lang w:eastAsia="es-ES"/>
        </w:rPr>
        <w:t>iura</w:t>
      </w:r>
      <w:proofErr w:type="spellEnd"/>
      <w:r>
        <w:rPr>
          <w:rFonts w:eastAsia="Cambria" w:cs="Cambria"/>
          <w:b/>
          <w:i/>
          <w:color w:val="000000"/>
          <w:u w:color="000000"/>
          <w:lang w:eastAsia="es-ES"/>
        </w:rPr>
        <w:t xml:space="preserve"> </w:t>
      </w:r>
      <w:proofErr w:type="spellStart"/>
      <w:r>
        <w:rPr>
          <w:rFonts w:eastAsia="Cambria" w:cs="Cambria"/>
          <w:b/>
          <w:i/>
          <w:color w:val="000000"/>
          <w:u w:color="000000"/>
          <w:lang w:eastAsia="es-ES"/>
        </w:rPr>
        <w:t>novit</w:t>
      </w:r>
      <w:proofErr w:type="spellEnd"/>
      <w:r>
        <w:rPr>
          <w:rFonts w:eastAsia="Cambria" w:cs="Cambria"/>
          <w:b/>
          <w:i/>
          <w:color w:val="000000"/>
          <w:u w:color="000000"/>
          <w:lang w:eastAsia="es-ES"/>
        </w:rPr>
        <w:t xml:space="preserve"> curia en sentencias recientes en materia de DESCA</w:t>
      </w:r>
    </w:p>
    <w:p w14:paraId="0AE1CD36" w14:textId="77777777" w:rsidR="006D3159" w:rsidRDefault="006D3159" w:rsidP="006D3159">
      <w:pPr>
        <w:rPr>
          <w:rFonts w:eastAsia="Cambria" w:cs="Cambria"/>
          <w:color w:val="000000"/>
          <w:u w:color="000000"/>
          <w:lang w:eastAsia="es-ES"/>
        </w:rPr>
      </w:pPr>
    </w:p>
    <w:p w14:paraId="138A4F7C" w14:textId="77777777" w:rsidR="006D3159" w:rsidRPr="004A65D3" w:rsidRDefault="006D3159" w:rsidP="006D3159">
      <w:pPr>
        <w:pStyle w:val="Prrafodelista"/>
        <w:widowControl/>
        <w:numPr>
          <w:ilvl w:val="0"/>
          <w:numId w:val="15"/>
        </w:numPr>
        <w:adjustRightInd/>
        <w:spacing w:line="240" w:lineRule="auto"/>
        <w:ind w:left="0" w:firstLine="0"/>
        <w:textAlignment w:val="auto"/>
      </w:pPr>
      <w:r>
        <w:t xml:space="preserve">En mi voto en el caso </w:t>
      </w:r>
      <w:r>
        <w:rPr>
          <w:i/>
        </w:rPr>
        <w:t xml:space="preserve">Lagos del Campo Vs. Perú </w:t>
      </w:r>
      <w:r>
        <w:t xml:space="preserve">manifesté que resultaba imprudente hacer uso del principio </w:t>
      </w:r>
      <w:proofErr w:type="spellStart"/>
      <w:r>
        <w:rPr>
          <w:i/>
        </w:rPr>
        <w:t>iura</w:t>
      </w:r>
      <w:proofErr w:type="spellEnd"/>
      <w:r>
        <w:rPr>
          <w:i/>
        </w:rPr>
        <w:t xml:space="preserve"> </w:t>
      </w:r>
      <w:proofErr w:type="spellStart"/>
      <w:r>
        <w:rPr>
          <w:i/>
        </w:rPr>
        <w:t>novit</w:t>
      </w:r>
      <w:proofErr w:type="spellEnd"/>
      <w:r>
        <w:rPr>
          <w:i/>
        </w:rPr>
        <w:t xml:space="preserve"> curia </w:t>
      </w:r>
      <w:r>
        <w:t xml:space="preserve">para analizar el caso y de esa forma concluir que existía una violación al derecho a la estabilidad laboral sobre la base del artículo 26 de la Convención. Mi criterio se fundamentó en que, si bien los jueces interamericanos pueden aplicar una norma que no ha sido alegada por la Comisión o por los representantes, este principio no puede ser invocado bajo cualquier </w:t>
      </w:r>
      <w:r>
        <w:lastRenderedPageBreak/>
        <w:t xml:space="preserve">circunstancia y sin acudir a criterios de razonabilidad y pertinencia. Habrá casos donde sea manifiesta la violación a un derecho humano que no fue alegado o en los que la Comisión y los representantes incurran en un grave olvido o error, de manera que resulte necesario recurrir al referido principio para evitar una posible injusticia. No obstante, este principio no debe ser utilizado para sorprender a un Estado con una violación que no preveía en lo más mínimo y que no tuvo oportunidad de subsanar ni de controvertir ni siquiera en los hechos. El caso </w:t>
      </w:r>
      <w:r>
        <w:rPr>
          <w:i/>
        </w:rPr>
        <w:t xml:space="preserve">Lagos del Campo Vs. Perú </w:t>
      </w:r>
      <w:r>
        <w:t>es un ejemplo muy claro de cómo se puede utilizar este principio sin ninguna razón que lo justifique, pues su invocación pareció más el resultado de una decisión inspirada en el deseo de plasmar un criterio “novedoso” que de una necesidad práctica para hacer justicia a las víctimas de un caso.</w:t>
      </w:r>
    </w:p>
    <w:p w14:paraId="3C180ABC" w14:textId="77777777" w:rsidR="006D3159" w:rsidRDefault="006D3159" w:rsidP="006D3159">
      <w:pPr>
        <w:pStyle w:val="Prrafodelista"/>
        <w:ind w:left="0"/>
      </w:pPr>
    </w:p>
    <w:p w14:paraId="01609B1A" w14:textId="77777777" w:rsidR="006D3159" w:rsidRDefault="006D3159" w:rsidP="006D3159">
      <w:pPr>
        <w:pStyle w:val="Prrafodelista"/>
        <w:widowControl/>
        <w:numPr>
          <w:ilvl w:val="0"/>
          <w:numId w:val="15"/>
        </w:numPr>
        <w:adjustRightInd/>
        <w:spacing w:line="240" w:lineRule="auto"/>
        <w:ind w:left="0" w:firstLine="0"/>
        <w:textAlignment w:val="auto"/>
      </w:pPr>
      <w:r>
        <w:t>Es importante tener en cuenta que l</w:t>
      </w:r>
      <w:r w:rsidRPr="004A65D3">
        <w:t>a falta de op</w:t>
      </w:r>
      <w:r>
        <w:t xml:space="preserve">ortunidad procesal para que los Estados se pronuncien sobre cuestiones de derecho colisiona con al menos dos cuestiones fundamentales del régimen de protección del Sistema Interamericano de Derechos Humanos. La primera es el derecho a la defensa del Estado. Este derecho implica -como mínimo- que el Estado tenga la posibilidad de controvertir los alegatos relacionados con su responsabilidad internacional por la violación a un derecho humano, más aún cuando se tratan cuestiones relacionadas con un enfoque totalmente novedoso en la jurisprudencia del Tribunal, como es el caso de la </w:t>
      </w:r>
      <w:proofErr w:type="spellStart"/>
      <w:r>
        <w:t>justiciabilidad</w:t>
      </w:r>
      <w:proofErr w:type="spellEnd"/>
      <w:r>
        <w:t xml:space="preserve"> directa de los DESCA. Al analizar violaciones a derechos que nunca fueron debatidos en ninguna etapa del procedimiento, la Corte afecta la posibilidad de que el Estado esgrima argumentos y presente pruebas para refutar dichas violaciones. La segunda es la regla del agotamiento de los recursos internos, que implica la oportunidad procesal para que el Estado remedie a través de los recursos de la jurisdicción interna las posibles violaciones a derechos que –de no hacerlo- serían luego analizadas en el ámbito internacional. Es fundamental recordar que estas reglas existen y que son parte del sistema jurídico del que la Corte es parte y por cuya vigencia le corresponde velar</w:t>
      </w:r>
      <w:r>
        <w:rPr>
          <w:rStyle w:val="Refdenotaalpie"/>
        </w:rPr>
        <w:footnoteReference w:id="204"/>
      </w:r>
      <w:r>
        <w:t>.</w:t>
      </w:r>
    </w:p>
    <w:p w14:paraId="722AEEE3" w14:textId="77777777" w:rsidR="006D3159" w:rsidRDefault="006D3159" w:rsidP="006D3159">
      <w:pPr>
        <w:pStyle w:val="Prrafodelista"/>
        <w:ind w:left="0"/>
      </w:pPr>
    </w:p>
    <w:p w14:paraId="741B6E61" w14:textId="77777777" w:rsidR="006D3159" w:rsidRPr="003550D6" w:rsidRDefault="006D3159" w:rsidP="006D3159">
      <w:pPr>
        <w:pStyle w:val="Prrafodelista"/>
        <w:widowControl/>
        <w:numPr>
          <w:ilvl w:val="0"/>
          <w:numId w:val="15"/>
        </w:numPr>
        <w:adjustRightInd/>
        <w:spacing w:line="240" w:lineRule="auto"/>
        <w:ind w:left="0" w:firstLine="0"/>
        <w:textAlignment w:val="auto"/>
      </w:pPr>
      <w:r w:rsidRPr="003550D6">
        <w:t xml:space="preserve">La práctica jurisprudencial reciente muestra un uso </w:t>
      </w:r>
      <w:r>
        <w:t>frecuente</w:t>
      </w:r>
      <w:r w:rsidRPr="003550D6">
        <w:t xml:space="preserve"> del principio </w:t>
      </w:r>
      <w:proofErr w:type="spellStart"/>
      <w:r w:rsidRPr="0080681E">
        <w:rPr>
          <w:i/>
        </w:rPr>
        <w:t>iura</w:t>
      </w:r>
      <w:proofErr w:type="spellEnd"/>
      <w:r w:rsidRPr="0080681E">
        <w:rPr>
          <w:i/>
        </w:rPr>
        <w:t xml:space="preserve"> </w:t>
      </w:r>
      <w:proofErr w:type="spellStart"/>
      <w:r w:rsidRPr="0080681E">
        <w:rPr>
          <w:i/>
        </w:rPr>
        <w:t>novit</w:t>
      </w:r>
      <w:proofErr w:type="spellEnd"/>
      <w:r w:rsidRPr="0080681E">
        <w:rPr>
          <w:i/>
        </w:rPr>
        <w:t xml:space="preserve"> curia</w:t>
      </w:r>
      <w:r w:rsidRPr="003550D6">
        <w:t xml:space="preserve"> </w:t>
      </w:r>
      <w:r>
        <w:t>con poca</w:t>
      </w:r>
      <w:r w:rsidRPr="003550D6">
        <w:t xml:space="preserve"> consideración a las reglas antes mencionadas. En las sentencias de</w:t>
      </w:r>
      <w:r>
        <w:t xml:space="preserve"> </w:t>
      </w:r>
      <w:r>
        <w:rPr>
          <w:i/>
        </w:rPr>
        <w:t>Lagos del Campo,</w:t>
      </w:r>
      <w:r w:rsidRPr="003550D6">
        <w:t xml:space="preserve"> </w:t>
      </w:r>
      <w:r w:rsidRPr="003550D6">
        <w:rPr>
          <w:i/>
        </w:rPr>
        <w:t>San Miguel Sosa</w:t>
      </w:r>
      <w:r>
        <w:rPr>
          <w:i/>
        </w:rPr>
        <w:t xml:space="preserve">, </w:t>
      </w:r>
      <w:proofErr w:type="spellStart"/>
      <w:r>
        <w:rPr>
          <w:i/>
        </w:rPr>
        <w:t>Cuscul</w:t>
      </w:r>
      <w:proofErr w:type="spellEnd"/>
      <w:r>
        <w:rPr>
          <w:i/>
        </w:rPr>
        <w:t xml:space="preserve"> Pivaral</w:t>
      </w:r>
      <w:r>
        <w:t xml:space="preserve"> y </w:t>
      </w:r>
      <w:r>
        <w:rPr>
          <w:i/>
        </w:rPr>
        <w:t>Muelle Flores</w:t>
      </w:r>
      <w:r w:rsidRPr="003550D6">
        <w:t xml:space="preserve"> se procedió a analizar los der</w:t>
      </w:r>
      <w:r>
        <w:t>echos a la estabilidad laboral,</w:t>
      </w:r>
      <w:r w:rsidRPr="003550D6">
        <w:t xml:space="preserve"> la salud,</w:t>
      </w:r>
      <w:r>
        <w:t xml:space="preserve"> la integridad personal y la dignidad,</w:t>
      </w:r>
      <w:r w:rsidRPr="003550D6">
        <w:t xml:space="preserve"> respectivamente, sin formular una justificación suficiente para la invocación del principio antes mencionado. En </w:t>
      </w:r>
      <w:r>
        <w:rPr>
          <w:i/>
        </w:rPr>
        <w:t>Muelle Flores</w:t>
      </w:r>
      <w:r w:rsidRPr="003550D6">
        <w:t xml:space="preserve"> la sentencia </w:t>
      </w:r>
      <w:r>
        <w:t xml:space="preserve">solo expresa que puede invocarse el </w:t>
      </w:r>
      <w:proofErr w:type="spellStart"/>
      <w:r>
        <w:rPr>
          <w:i/>
        </w:rPr>
        <w:t>iura</w:t>
      </w:r>
      <w:proofErr w:type="spellEnd"/>
      <w:r>
        <w:rPr>
          <w:i/>
        </w:rPr>
        <w:t xml:space="preserve"> </w:t>
      </w:r>
      <w:proofErr w:type="spellStart"/>
      <w:r>
        <w:rPr>
          <w:i/>
        </w:rPr>
        <w:t>novit</w:t>
      </w:r>
      <w:proofErr w:type="spellEnd"/>
      <w:r>
        <w:rPr>
          <w:i/>
        </w:rPr>
        <w:t xml:space="preserve"> curia </w:t>
      </w:r>
      <w:r>
        <w:t>en virtud de que es un principio general de derecho que ha sido reiteradamente utilizado en la jurisprudencia internacional</w:t>
      </w:r>
      <w:r w:rsidRPr="003550D6">
        <w:t xml:space="preserve">. En </w:t>
      </w:r>
      <w:proofErr w:type="spellStart"/>
      <w:r w:rsidRPr="003550D6">
        <w:rPr>
          <w:i/>
        </w:rPr>
        <w:t>Cuscul</w:t>
      </w:r>
      <w:proofErr w:type="spellEnd"/>
      <w:r w:rsidRPr="003550D6">
        <w:rPr>
          <w:i/>
        </w:rPr>
        <w:t xml:space="preserve"> Pivaral</w:t>
      </w:r>
      <w:r>
        <w:rPr>
          <w:i/>
        </w:rPr>
        <w:t xml:space="preserve"> </w:t>
      </w:r>
      <w:r w:rsidRPr="003550D6">
        <w:t xml:space="preserve">los </w:t>
      </w:r>
      <w:r>
        <w:t>alegatos de los representantes sobre la violación a las obligaciones de progresividad poco tuvieron que ver con la determinación de responsabilidad internacional por la violación al artículo 26</w:t>
      </w:r>
      <w:r w:rsidRPr="003550D6">
        <w:t xml:space="preserve">. En </w:t>
      </w:r>
      <w:r>
        <w:rPr>
          <w:i/>
        </w:rPr>
        <w:t xml:space="preserve">Lagos del Campo </w:t>
      </w:r>
      <w:r>
        <w:t xml:space="preserve">y en </w:t>
      </w:r>
      <w:r w:rsidRPr="00B12A00">
        <w:rPr>
          <w:i/>
        </w:rPr>
        <w:t>San Miguel Sosa</w:t>
      </w:r>
      <w:r w:rsidRPr="003550D6">
        <w:t xml:space="preserve"> se intentó fundamentar el uso del principio del </w:t>
      </w:r>
      <w:proofErr w:type="spellStart"/>
      <w:r w:rsidRPr="00B12A00">
        <w:rPr>
          <w:i/>
        </w:rPr>
        <w:t>iura</w:t>
      </w:r>
      <w:proofErr w:type="spellEnd"/>
      <w:r w:rsidRPr="00B12A00">
        <w:rPr>
          <w:i/>
        </w:rPr>
        <w:t xml:space="preserve"> </w:t>
      </w:r>
      <w:proofErr w:type="spellStart"/>
      <w:r w:rsidRPr="00B12A00">
        <w:rPr>
          <w:i/>
        </w:rPr>
        <w:t>novit</w:t>
      </w:r>
      <w:proofErr w:type="spellEnd"/>
      <w:r w:rsidRPr="00B12A00">
        <w:rPr>
          <w:i/>
        </w:rPr>
        <w:t xml:space="preserve"> curia</w:t>
      </w:r>
      <w:r w:rsidRPr="003550D6">
        <w:t xml:space="preserve">, pero la Corte simplemente se limitó a manifestar que el Estado ha tenido la oportunidad de expresar sus </w:t>
      </w:r>
      <w:r w:rsidRPr="003550D6">
        <w:lastRenderedPageBreak/>
        <w:t xml:space="preserve">respectivas posiciones </w:t>
      </w:r>
      <w:proofErr w:type="gramStart"/>
      <w:r w:rsidRPr="003550D6">
        <w:t>en relación a</w:t>
      </w:r>
      <w:proofErr w:type="gramEnd"/>
      <w:r w:rsidRPr="003550D6">
        <w:t xml:space="preserve"> los hechos que sustentan las violaciones declaradas, y reiteró que el artículo 29 permitía examinar el</w:t>
      </w:r>
      <w:r>
        <w:t xml:space="preserve"> caso a la luz de los DESCA</w:t>
      </w:r>
      <w:r w:rsidRPr="003550D6">
        <w:t xml:space="preserve">. </w:t>
      </w:r>
    </w:p>
    <w:p w14:paraId="5B66649D" w14:textId="77777777" w:rsidR="006D3159" w:rsidRPr="00D11CF0" w:rsidRDefault="006D3159" w:rsidP="006D3159">
      <w:pPr>
        <w:pStyle w:val="Prrafodelista"/>
      </w:pPr>
    </w:p>
    <w:p w14:paraId="022ED21A" w14:textId="77777777" w:rsidR="006D3159" w:rsidRDefault="006D3159" w:rsidP="006D3159">
      <w:pPr>
        <w:pStyle w:val="Prrafodelista"/>
        <w:widowControl/>
        <w:numPr>
          <w:ilvl w:val="0"/>
          <w:numId w:val="15"/>
        </w:numPr>
        <w:adjustRightInd/>
        <w:spacing w:line="240" w:lineRule="auto"/>
        <w:ind w:left="0" w:firstLine="0"/>
        <w:textAlignment w:val="auto"/>
      </w:pPr>
      <w:r>
        <w:t xml:space="preserve">Pareciera que la única razón que se ha expresado para invocar el principio de </w:t>
      </w:r>
      <w:proofErr w:type="spellStart"/>
      <w:r>
        <w:rPr>
          <w:i/>
        </w:rPr>
        <w:t>iura</w:t>
      </w:r>
      <w:proofErr w:type="spellEnd"/>
      <w:r>
        <w:rPr>
          <w:i/>
        </w:rPr>
        <w:t xml:space="preserve"> </w:t>
      </w:r>
      <w:proofErr w:type="spellStart"/>
      <w:r>
        <w:rPr>
          <w:i/>
        </w:rPr>
        <w:t>novit</w:t>
      </w:r>
      <w:proofErr w:type="spellEnd"/>
      <w:r>
        <w:rPr>
          <w:i/>
        </w:rPr>
        <w:t xml:space="preserve"> curia </w:t>
      </w:r>
      <w:r>
        <w:t xml:space="preserve">–más allá de su reconocimiento como un principio general de derecho– es que el Estado conoció los hechos durante todo el procedimiento y que por ello habría tenido oportunidad procesal para pronunciarse sobre posibles violaciones. Sin embargo, es necesario reflexionar respecto a hasta qué punto resulta razonable que el Estado “adivine” los derechos que la Corte utilizará para analizar los hechos del caso, pues pedirle que se pronuncie sobre cada hecho que podría ser relevante para una violación a un DESCA es violatorio del derecho a la defensa y además raya en lo absurdo. Tal como lo mencioné en el voto de </w:t>
      </w:r>
      <w:r>
        <w:rPr>
          <w:i/>
        </w:rPr>
        <w:t>Lagos del Campo</w:t>
      </w:r>
      <w:r>
        <w:t xml:space="preserve">, la forma en que se ha desarrollado la jurisprudencia de los DESCA –incluido el uso del principio </w:t>
      </w:r>
      <w:proofErr w:type="spellStart"/>
      <w:r>
        <w:rPr>
          <w:i/>
        </w:rPr>
        <w:t>iura</w:t>
      </w:r>
      <w:proofErr w:type="spellEnd"/>
      <w:r>
        <w:rPr>
          <w:i/>
        </w:rPr>
        <w:t xml:space="preserve"> </w:t>
      </w:r>
      <w:proofErr w:type="spellStart"/>
      <w:r>
        <w:rPr>
          <w:i/>
        </w:rPr>
        <w:t>novit</w:t>
      </w:r>
      <w:proofErr w:type="spellEnd"/>
      <w:r>
        <w:rPr>
          <w:i/>
        </w:rPr>
        <w:t xml:space="preserve"> curia</w:t>
      </w:r>
      <w:r>
        <w:t>-</w:t>
      </w:r>
      <w:r>
        <w:rPr>
          <w:i/>
        </w:rPr>
        <w:t xml:space="preserve"> </w:t>
      </w:r>
      <w:r>
        <w:t xml:space="preserve">ha provocado opacidad en el debate de su </w:t>
      </w:r>
      <w:proofErr w:type="spellStart"/>
      <w:r>
        <w:t>justiciabilidad</w:t>
      </w:r>
      <w:proofErr w:type="spellEnd"/>
      <w:r>
        <w:t xml:space="preserve"> porque no ha permitido que exista una discusión transparente sobre una cuestión que requeriría de la participación de los Estados, la Comisión y los representantes a través de procedimientos formales. También ha debilitado la fuerza de la propia jurisprudencia en tanto que este principio se ha utilizado de manera poco objetiva, hasta el extremo de que parece más un acto de puro activismo judicial que la acción de un tribunal de derechos humanos sujeto a las reglas del derecho.</w:t>
      </w:r>
    </w:p>
    <w:p w14:paraId="593ED49C" w14:textId="77777777" w:rsidR="006D3159" w:rsidRDefault="006D3159" w:rsidP="006D3159">
      <w:pPr>
        <w:pStyle w:val="Prrafodelista"/>
        <w:ind w:left="0"/>
      </w:pPr>
    </w:p>
    <w:p w14:paraId="5A6F421C" w14:textId="77777777" w:rsidR="006D3159" w:rsidRPr="00DA2F9C" w:rsidRDefault="006D3159" w:rsidP="006D3159">
      <w:pPr>
        <w:rPr>
          <w:rFonts w:eastAsia="Cambria" w:cs="Cambria"/>
          <w:b/>
          <w:i/>
          <w:color w:val="000000"/>
          <w:u w:color="000000"/>
          <w:lang w:eastAsia="es-ES"/>
        </w:rPr>
      </w:pPr>
      <w:r w:rsidRPr="00DA2F9C">
        <w:rPr>
          <w:rFonts w:eastAsia="Cambria" w:cs="Cambria"/>
          <w:b/>
          <w:i/>
          <w:color w:val="000000"/>
          <w:u w:color="000000"/>
          <w:lang w:eastAsia="es-ES"/>
        </w:rPr>
        <w:t xml:space="preserve">III. La no aplicación del principio </w:t>
      </w:r>
      <w:proofErr w:type="spellStart"/>
      <w:r w:rsidRPr="00DA2F9C">
        <w:rPr>
          <w:rFonts w:eastAsia="Cambria" w:cs="Cambria"/>
          <w:b/>
          <w:i/>
          <w:color w:val="000000"/>
          <w:u w:color="000000"/>
          <w:lang w:eastAsia="es-ES"/>
        </w:rPr>
        <w:t>iura</w:t>
      </w:r>
      <w:proofErr w:type="spellEnd"/>
      <w:r w:rsidRPr="00DA2F9C">
        <w:rPr>
          <w:rFonts w:eastAsia="Cambria" w:cs="Cambria"/>
          <w:b/>
          <w:i/>
          <w:color w:val="000000"/>
          <w:u w:color="000000"/>
          <w:lang w:eastAsia="es-ES"/>
        </w:rPr>
        <w:t xml:space="preserve"> </w:t>
      </w:r>
      <w:proofErr w:type="spellStart"/>
      <w:r w:rsidRPr="00DA2F9C">
        <w:rPr>
          <w:rFonts w:eastAsia="Cambria" w:cs="Cambria"/>
          <w:b/>
          <w:i/>
          <w:color w:val="000000"/>
          <w:u w:color="000000"/>
          <w:lang w:eastAsia="es-ES"/>
        </w:rPr>
        <w:t>novit</w:t>
      </w:r>
      <w:proofErr w:type="spellEnd"/>
      <w:r w:rsidRPr="00DA2F9C">
        <w:rPr>
          <w:rFonts w:eastAsia="Cambria" w:cs="Cambria"/>
          <w:b/>
          <w:i/>
          <w:color w:val="000000"/>
          <w:u w:color="000000"/>
          <w:lang w:eastAsia="es-ES"/>
        </w:rPr>
        <w:t xml:space="preserve"> curia en el presente caso</w:t>
      </w:r>
    </w:p>
    <w:p w14:paraId="79480A0E" w14:textId="77777777" w:rsidR="006D3159" w:rsidRPr="009A41FB" w:rsidRDefault="006D3159" w:rsidP="006D3159">
      <w:pPr>
        <w:rPr>
          <w:rFonts w:eastAsia="Cambria" w:cs="Cambria"/>
          <w:color w:val="000000"/>
          <w:u w:color="000000"/>
          <w:lang w:eastAsia="es-ES"/>
        </w:rPr>
      </w:pPr>
    </w:p>
    <w:p w14:paraId="5BB6ABC7" w14:textId="77777777" w:rsidR="006D3159" w:rsidRDefault="006D3159" w:rsidP="006D3159">
      <w:pPr>
        <w:pStyle w:val="Prrafodelista"/>
        <w:widowControl/>
        <w:numPr>
          <w:ilvl w:val="0"/>
          <w:numId w:val="15"/>
        </w:numPr>
        <w:adjustRightInd/>
        <w:spacing w:line="240" w:lineRule="auto"/>
        <w:ind w:left="0" w:firstLine="0"/>
        <w:textAlignment w:val="auto"/>
      </w:pPr>
      <w:r w:rsidRPr="009A41FB">
        <w:t>Precisamente</w:t>
      </w:r>
      <w:r>
        <w:t xml:space="preserve"> por el reciente deseo de activismo judicial que ha demostrado la mayoría de la Corte en materia de DESCA es que llama tanto la atención que en el presente caso no se hayan analizado las violaciones ocurridas en perjuicio de las víctimas desde la perspectiva del derecho a la salud y el derecho a la alimentación, y en cambio se haya hecho desde la perspectiva del derecho a la integridad personal. En este caso, la Corte reiteró sus estándares sobre la posición especial de garante que el Estado tiene respecto de cualquier persona que se halle bajo su custodia, lo que implica el deber del Estado de salvaguardar la salud y el bienestar de los reclusos brindándoles la asistencia médica que requieran y que garantice que la manera y el método de privación de libertad no excedan el nivel de sufrimiento inherente a la detención (párr. 71). Desde esta óptica analizó los hechos del caso relacionados con las condiciones carcelarias de los señores Rodríguez Revolorio, López Calo y Archila Pérez, así como las deficiencias que hubo en cuanto a la atención médica, la alimentación y el régimen de visitas (</w:t>
      </w:r>
      <w:proofErr w:type="spellStart"/>
      <w:r>
        <w:t>párrs</w:t>
      </w:r>
      <w:proofErr w:type="spellEnd"/>
      <w:r>
        <w:t>. 71 a 92). En el caso concreto, la Corte concluyó que estas condiciones en su conjunto resultaron en tratos crueles, inhumanos y degradantes en violación al artículo 5.1 y 5.2 de la Convención (párr. 92).</w:t>
      </w:r>
    </w:p>
    <w:p w14:paraId="09E8D254" w14:textId="77777777" w:rsidR="006D3159" w:rsidRDefault="006D3159" w:rsidP="006D3159">
      <w:pPr>
        <w:pStyle w:val="Prrafodelista"/>
        <w:ind w:left="0"/>
      </w:pPr>
    </w:p>
    <w:p w14:paraId="43D99C9C" w14:textId="77777777" w:rsidR="006D3159" w:rsidRDefault="006D3159" w:rsidP="006D3159">
      <w:pPr>
        <w:pStyle w:val="Prrafodelista"/>
        <w:widowControl/>
        <w:numPr>
          <w:ilvl w:val="0"/>
          <w:numId w:val="15"/>
        </w:numPr>
        <w:adjustRightInd/>
        <w:spacing w:line="240" w:lineRule="auto"/>
        <w:ind w:left="0" w:firstLine="0"/>
        <w:textAlignment w:val="auto"/>
      </w:pPr>
      <w:r>
        <w:t xml:space="preserve">Que no se malentienda mi sorpresa con la decisión de la mayoría. Si existe es porque coincido plenamente con el resultado al que arribó la Corte (por unanimidad), y es por esta razón que voté a favor en los puntos resolutivos de la Sentencia (Punto Resolutivo 3). Tal como lo he sostenido en mis votos concurrentes y disidentes a las sentencias recientes en materia de DESCA, el análisis por conexidad de las violaciones de cuestiones relacionadas con los DESCA genera el mismo resultado práctico que el análisis “autónomo” que ha propuesto la mayoría en sentencias recientes. Por supuesto, la ventaja del análisis por conexidad es que protege derechos sin generar el desgaste institucional y la debilidad argumentativa y probatoria que suscita el análisis contrario. Y este caso prueba el punto: la Sentencia aborda las cuestiones relacionadas con la falta de atención médica adecuada y la falta de alimentación de las víctimas bajo el espectro del deber de garantizar la integridad personal de las personas privadas de libertad. La decisión resulta razonable y apegada a derecho, respeta la jurisprudencia construida por la Corte en las últimas décadas, y refleja un voto </w:t>
      </w:r>
      <w:r>
        <w:lastRenderedPageBreak/>
        <w:t>de consenso entre todos los jueces. Todo ello fortalece la posición de la Corte y garantiza los derechos involucrados de forma adecuada.</w:t>
      </w:r>
    </w:p>
    <w:p w14:paraId="0E59DA13" w14:textId="77777777" w:rsidR="006D3159" w:rsidRPr="008A1608" w:rsidRDefault="006D3159" w:rsidP="006D3159">
      <w:pPr>
        <w:pStyle w:val="Prrafodelista"/>
      </w:pPr>
    </w:p>
    <w:p w14:paraId="280FD6BB" w14:textId="77777777" w:rsidR="006D3159" w:rsidRPr="009A41FB" w:rsidRDefault="006D3159" w:rsidP="006D3159">
      <w:pPr>
        <w:pStyle w:val="Prrafodelista"/>
        <w:widowControl/>
        <w:numPr>
          <w:ilvl w:val="0"/>
          <w:numId w:val="15"/>
        </w:numPr>
        <w:adjustRightInd/>
        <w:spacing w:line="240" w:lineRule="auto"/>
        <w:ind w:left="0" w:firstLine="0"/>
        <w:textAlignment w:val="auto"/>
      </w:pPr>
      <w:r>
        <w:t xml:space="preserve">Nada garantiza que en el futuro la Corte camine por un sendero prudente en materia de DESCA. De </w:t>
      </w:r>
      <w:proofErr w:type="gramStart"/>
      <w:r>
        <w:t>hecho</w:t>
      </w:r>
      <w:proofErr w:type="gramEnd"/>
      <w:r>
        <w:t xml:space="preserve"> pareciera lo contrario, de forma tal que </w:t>
      </w:r>
      <w:r>
        <w:rPr>
          <w:i/>
        </w:rPr>
        <w:t xml:space="preserve">Rodríguez Revolorio </w:t>
      </w:r>
      <w:r>
        <w:t xml:space="preserve">quizás sea una excepción dentro de lo que se muestra como una tendencia expansiva que no parece tener otro límite que la imaginación y la voluntad de declarar la violación de más derechos sociales (los más posibles), aun cuando esto implique ignorar reglas y principios básicos de derecho procesal, y además no cumpla ningún propósito práctico. En esa misma medida quizás también continuará el uso ligero del principio del </w:t>
      </w:r>
      <w:proofErr w:type="spellStart"/>
      <w:r>
        <w:rPr>
          <w:i/>
        </w:rPr>
        <w:t>iura</w:t>
      </w:r>
      <w:proofErr w:type="spellEnd"/>
      <w:r>
        <w:rPr>
          <w:i/>
        </w:rPr>
        <w:t xml:space="preserve"> </w:t>
      </w:r>
      <w:proofErr w:type="spellStart"/>
      <w:r>
        <w:rPr>
          <w:i/>
        </w:rPr>
        <w:t>novit</w:t>
      </w:r>
      <w:proofErr w:type="spellEnd"/>
      <w:r>
        <w:rPr>
          <w:i/>
        </w:rPr>
        <w:t xml:space="preserve"> curia </w:t>
      </w:r>
      <w:r>
        <w:t xml:space="preserve">para el análisis de casos que poco tengan que ver con los DESCA, como sucedió en </w:t>
      </w:r>
      <w:r>
        <w:rPr>
          <w:i/>
        </w:rPr>
        <w:t>Lagos del Campo,</w:t>
      </w:r>
      <w:r>
        <w:t xml:space="preserve"> </w:t>
      </w:r>
      <w:r>
        <w:rPr>
          <w:i/>
        </w:rPr>
        <w:t xml:space="preserve">Petroperú </w:t>
      </w:r>
      <w:r>
        <w:t xml:space="preserve">y </w:t>
      </w:r>
      <w:r>
        <w:rPr>
          <w:i/>
        </w:rPr>
        <w:t xml:space="preserve">San Miguel Sosa </w:t>
      </w:r>
      <w:r>
        <w:t>(por mencionar tres). Sin embargo, como mucho en el derecho, esto solo es una posibilidad. También podría suceder que la Corte haga un uso más delimitado y razonado de este principio, de manera tal que esté restringido por un parámetro de razonabilidad, pertinencia al caso concreto y cercanía con éste. Esta es la práctica de otros tribunales internacionales, y ha sido la práctica de la Corte en el pasado. Avanzar en ese sentido parece ser el camino más adecuado para la Corte, sobre todo en esta nueva tendencia jurisprudencial en materia de DESCA, que tantas dudas sigue generando.</w:t>
      </w:r>
    </w:p>
    <w:p w14:paraId="02AD96E2" w14:textId="77777777" w:rsidR="006D3159" w:rsidRDefault="006D3159" w:rsidP="006D3159">
      <w:pPr>
        <w:rPr>
          <w:rFonts w:eastAsia="Cambria" w:cs="Cambria"/>
          <w:color w:val="000000"/>
          <w:u w:color="000000"/>
          <w:lang w:eastAsia="es-ES"/>
        </w:rPr>
      </w:pPr>
    </w:p>
    <w:p w14:paraId="58821280" w14:textId="77777777" w:rsidR="006D3159" w:rsidRDefault="006D3159" w:rsidP="006D3159">
      <w:pPr>
        <w:rPr>
          <w:rFonts w:eastAsia="Cambria" w:cs="Cambria"/>
          <w:color w:val="000000"/>
          <w:u w:color="000000"/>
          <w:lang w:eastAsia="es-ES"/>
        </w:rPr>
      </w:pPr>
    </w:p>
    <w:p w14:paraId="110C8D66" w14:textId="77777777" w:rsidR="006D3159" w:rsidRDefault="006D3159" w:rsidP="006D3159">
      <w:pPr>
        <w:rPr>
          <w:rFonts w:eastAsia="Cambria" w:cs="Cambria"/>
          <w:color w:val="000000"/>
          <w:u w:color="000000"/>
          <w:lang w:eastAsia="es-ES"/>
        </w:rPr>
      </w:pPr>
    </w:p>
    <w:p w14:paraId="299944D1" w14:textId="77777777" w:rsidR="006D3159" w:rsidRDefault="006D3159" w:rsidP="006D3159">
      <w:pPr>
        <w:rPr>
          <w:rFonts w:eastAsia="Cambria" w:cs="Cambria"/>
          <w:color w:val="000000"/>
          <w:u w:color="000000"/>
          <w:lang w:eastAsia="es-ES"/>
        </w:rPr>
      </w:pPr>
    </w:p>
    <w:p w14:paraId="77F1D9B1" w14:textId="77777777" w:rsidR="006D3159" w:rsidRDefault="006D3159" w:rsidP="006D3159">
      <w:pPr>
        <w:rPr>
          <w:rFonts w:eastAsia="Cambria" w:cs="Cambria"/>
          <w:color w:val="000000"/>
          <w:u w:color="000000"/>
          <w:lang w:eastAsia="es-ES"/>
        </w:rPr>
      </w:pPr>
    </w:p>
    <w:p w14:paraId="14395E5A" w14:textId="77777777" w:rsidR="006D3159" w:rsidRDefault="006D3159" w:rsidP="006D3159">
      <w:pPr>
        <w:rPr>
          <w:rFonts w:eastAsia="Cambria" w:cs="Cambria"/>
          <w:color w:val="000000"/>
          <w:u w:color="000000"/>
          <w:lang w:eastAsia="es-ES"/>
        </w:rPr>
      </w:pPr>
    </w:p>
    <w:p w14:paraId="77E570B1" w14:textId="77777777" w:rsidR="006D3159" w:rsidRPr="0067769A" w:rsidRDefault="006D3159" w:rsidP="006D3159">
      <w:pPr>
        <w:ind w:left="4248"/>
        <w:jc w:val="center"/>
      </w:pPr>
      <w:r w:rsidRPr="0067769A">
        <w:rPr>
          <w:lang w:val="pt-BR"/>
        </w:rPr>
        <w:t xml:space="preserve">Humberto </w:t>
      </w:r>
      <w:proofErr w:type="spellStart"/>
      <w:r w:rsidRPr="0067769A">
        <w:rPr>
          <w:lang w:val="pt-BR"/>
        </w:rPr>
        <w:t>Antonio</w:t>
      </w:r>
      <w:proofErr w:type="spellEnd"/>
      <w:r w:rsidRPr="0067769A">
        <w:rPr>
          <w:lang w:val="pt-BR"/>
        </w:rPr>
        <w:t xml:space="preserve"> </w:t>
      </w:r>
      <w:proofErr w:type="spellStart"/>
      <w:r w:rsidRPr="0067769A">
        <w:rPr>
          <w:lang w:val="pt-BR"/>
        </w:rPr>
        <w:t>Sierra</w:t>
      </w:r>
      <w:proofErr w:type="spellEnd"/>
      <w:r w:rsidRPr="0067769A">
        <w:rPr>
          <w:lang w:val="pt-BR"/>
        </w:rPr>
        <w:t xml:space="preserve"> Porto</w:t>
      </w:r>
    </w:p>
    <w:p w14:paraId="382139E0" w14:textId="77777777" w:rsidR="006D3159" w:rsidRPr="0067769A" w:rsidRDefault="006D3159" w:rsidP="006D3159">
      <w:pPr>
        <w:ind w:left="4248"/>
        <w:jc w:val="center"/>
      </w:pPr>
      <w:r w:rsidRPr="0067769A">
        <w:t>Juez</w:t>
      </w:r>
    </w:p>
    <w:p w14:paraId="6DB61EB7" w14:textId="77777777" w:rsidR="006D3159" w:rsidRPr="0067769A" w:rsidRDefault="006D3159" w:rsidP="006D3159">
      <w:pPr>
        <w:tabs>
          <w:tab w:val="left" w:pos="1440"/>
        </w:tabs>
        <w:jc w:val="center"/>
        <w:rPr>
          <w:highlight w:val="yellow"/>
        </w:rPr>
      </w:pPr>
    </w:p>
    <w:p w14:paraId="7EC5323C" w14:textId="77777777" w:rsidR="006D3159" w:rsidRPr="0067769A" w:rsidRDefault="006D3159" w:rsidP="006D3159">
      <w:pPr>
        <w:tabs>
          <w:tab w:val="left" w:pos="1440"/>
        </w:tabs>
        <w:rPr>
          <w:highlight w:val="yellow"/>
        </w:rPr>
      </w:pPr>
    </w:p>
    <w:p w14:paraId="6E252D64" w14:textId="77777777" w:rsidR="006D3159" w:rsidRPr="0067769A" w:rsidRDefault="006D3159" w:rsidP="006D3159">
      <w:pPr>
        <w:tabs>
          <w:tab w:val="left" w:pos="1440"/>
        </w:tabs>
        <w:rPr>
          <w:highlight w:val="yellow"/>
        </w:rPr>
      </w:pPr>
    </w:p>
    <w:p w14:paraId="234B5070" w14:textId="77777777" w:rsidR="006D3159" w:rsidRPr="0067769A" w:rsidRDefault="006D3159" w:rsidP="006D3159">
      <w:pPr>
        <w:tabs>
          <w:tab w:val="left" w:pos="1440"/>
        </w:tabs>
        <w:rPr>
          <w:highlight w:val="yellow"/>
        </w:rPr>
      </w:pPr>
    </w:p>
    <w:p w14:paraId="1B599CF3" w14:textId="77777777" w:rsidR="006D3159" w:rsidRPr="0067769A" w:rsidRDefault="006D3159" w:rsidP="006D3159">
      <w:pPr>
        <w:tabs>
          <w:tab w:val="left" w:pos="1440"/>
        </w:tabs>
        <w:rPr>
          <w:highlight w:val="yellow"/>
        </w:rPr>
      </w:pPr>
    </w:p>
    <w:p w14:paraId="57E6DBF6" w14:textId="77777777" w:rsidR="006D3159" w:rsidRPr="0067769A" w:rsidRDefault="006D3159" w:rsidP="006D3159">
      <w:pPr>
        <w:tabs>
          <w:tab w:val="left" w:pos="1440"/>
        </w:tabs>
        <w:rPr>
          <w:highlight w:val="yellow"/>
        </w:rPr>
      </w:pPr>
    </w:p>
    <w:p w14:paraId="4E91435C" w14:textId="77777777" w:rsidR="006D3159" w:rsidRPr="0067769A" w:rsidRDefault="006D3159" w:rsidP="006D3159">
      <w:pPr>
        <w:tabs>
          <w:tab w:val="left" w:pos="1440"/>
        </w:tabs>
      </w:pPr>
      <w:r>
        <w:t xml:space="preserve">    </w:t>
      </w:r>
      <w:r w:rsidRPr="0067769A">
        <w:t xml:space="preserve">Pablo Saavedra Alessandri </w:t>
      </w:r>
    </w:p>
    <w:p w14:paraId="35D1F5D7" w14:textId="77777777" w:rsidR="006D3159" w:rsidRPr="0067769A" w:rsidRDefault="006D3159" w:rsidP="006D3159">
      <w:pPr>
        <w:tabs>
          <w:tab w:val="left" w:pos="1440"/>
        </w:tabs>
      </w:pPr>
      <w:r>
        <w:t xml:space="preserve">        </w:t>
      </w:r>
      <w:r w:rsidRPr="0067769A">
        <w:t xml:space="preserve"> Secretario</w:t>
      </w:r>
    </w:p>
    <w:p w14:paraId="52D115A4" w14:textId="77777777" w:rsidR="006D3159" w:rsidRPr="0067769A" w:rsidRDefault="006D3159" w:rsidP="006D3159">
      <w:pPr>
        <w:rPr>
          <w:rFonts w:eastAsia="Cambria" w:cs="Cambria"/>
          <w:color w:val="000000"/>
          <w:u w:color="000000"/>
          <w:lang w:eastAsia="es-ES"/>
        </w:rPr>
      </w:pPr>
    </w:p>
    <w:p w14:paraId="3A381AEE" w14:textId="77777777" w:rsidR="006D3159" w:rsidRPr="009A41FB" w:rsidRDefault="006D3159" w:rsidP="006D3159">
      <w:pPr>
        <w:rPr>
          <w:rFonts w:eastAsia="Cambria" w:cs="Cambria"/>
          <w:color w:val="000000"/>
          <w:u w:color="000000"/>
          <w:lang w:eastAsia="es-ES"/>
        </w:rPr>
      </w:pPr>
    </w:p>
    <w:p w14:paraId="156DFAF3" w14:textId="77777777" w:rsidR="003378B5" w:rsidRPr="00412576" w:rsidRDefault="003378B5" w:rsidP="00412576">
      <w:pPr>
        <w:tabs>
          <w:tab w:val="left" w:pos="720"/>
        </w:tabs>
        <w:spacing w:line="20" w:lineRule="atLeast"/>
        <w:ind w:right="-93"/>
        <w:contextualSpacing/>
        <w:rPr>
          <w:rFonts w:cs="Verdana"/>
        </w:rPr>
      </w:pPr>
    </w:p>
    <w:sectPr w:rsidR="003378B5" w:rsidRPr="00412576" w:rsidSect="0058291A">
      <w:footnotePr>
        <w:numRestart w:val="eachSect"/>
      </w:footnotePr>
      <w:pgSz w:w="12240" w:h="15840"/>
      <w:pgMar w:top="1440" w:right="1080" w:bottom="540" w:left="1080" w:header="0"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188F" w14:textId="77777777" w:rsidR="008349B0" w:rsidRDefault="008349B0" w:rsidP="00F94D74">
      <w:r>
        <w:separator/>
      </w:r>
    </w:p>
    <w:p w14:paraId="65431AD6" w14:textId="77777777" w:rsidR="008349B0" w:rsidRDefault="008349B0" w:rsidP="00F94D74"/>
  </w:endnote>
  <w:endnote w:type="continuationSeparator" w:id="0">
    <w:p w14:paraId="1948D702" w14:textId="77777777" w:rsidR="008349B0" w:rsidRDefault="008349B0" w:rsidP="00F94D74">
      <w:r>
        <w:continuationSeparator/>
      </w:r>
    </w:p>
    <w:p w14:paraId="1A6D23BF" w14:textId="77777777" w:rsidR="008349B0" w:rsidRDefault="008349B0" w:rsidP="00F94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Mincho"/>
    <w:charset w:val="80"/>
    <w:family w:val="auto"/>
    <w:pitch w:val="variable"/>
    <w:sig w:usb0="00000000" w:usb1="08070000" w:usb2="00000010" w:usb3="00000000" w:csb0="00020000" w:csb1="00000000"/>
  </w:font>
  <w:font w:name="ArialMT">
    <w:panose1 w:val="00000000000000000000"/>
    <w:charset w:val="4D"/>
    <w:family w:val="swiss"/>
    <w:notTrueType/>
    <w:pitch w:val="default"/>
    <w:sig w:usb0="00000003" w:usb1="00000000" w:usb2="00000000" w:usb3="00000000" w:csb0="00000001" w:csb1="00000000"/>
  </w:font>
  <w:font w:name="AmnestyTradeGothic">
    <w:panose1 w:val="00000000000000000000"/>
    <w:charset w:val="00"/>
    <w:family w:val="swiss"/>
    <w:notTrueType/>
    <w:pitch w:val="default"/>
    <w:sig w:usb0="00000003" w:usb1="00000000" w:usb2="00000000" w:usb3="00000000" w:csb0="00000001" w:csb1="00000000"/>
  </w:font>
  <w:font w:name="AmnestyTradeGothic-Light">
    <w:panose1 w:val="00000000000000000000"/>
    <w:charset w:val="00"/>
    <w:family w:val="swiss"/>
    <w:notTrueType/>
    <w:pitch w:val="default"/>
    <w:sig w:usb0="00000003" w:usb1="00000000" w:usb2="00000000" w:usb3="00000000" w:csb0="00000001" w:csb1="00000000"/>
  </w:font>
  <w:font w:name="AmnestyTradeGothic-LightObl">
    <w:panose1 w:val="00000000000000000000"/>
    <w:charset w:val="00"/>
    <w:family w:val="swiss"/>
    <w:notTrueType/>
    <w:pitch w:val="default"/>
    <w:sig w:usb0="00000003" w:usb1="00000000" w:usb2="00000000" w:usb3="00000000" w:csb0="00000001" w:csb1="00000000"/>
  </w:font>
  <w:font w:name="Times_New_Roman--Identity-H">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4360874"/>
      <w:docPartObj>
        <w:docPartGallery w:val="Page Numbers (Bottom of Page)"/>
        <w:docPartUnique/>
      </w:docPartObj>
    </w:sdtPr>
    <w:sdtEndPr>
      <w:rPr>
        <w:noProof/>
      </w:rPr>
    </w:sdtEndPr>
    <w:sdtContent>
      <w:p w14:paraId="1C898A2C" w14:textId="77777777" w:rsidR="00695E6D" w:rsidRPr="00520A12" w:rsidRDefault="00695E6D" w:rsidP="00530549">
        <w:pPr>
          <w:pStyle w:val="Piedepgina"/>
          <w:spacing w:before="120"/>
          <w:jc w:val="center"/>
          <w:rPr>
            <w:sz w:val="18"/>
            <w:szCs w:val="18"/>
          </w:rPr>
        </w:pPr>
        <w:r w:rsidRPr="00520A12">
          <w:rPr>
            <w:sz w:val="18"/>
            <w:szCs w:val="18"/>
          </w:rPr>
          <w:fldChar w:fldCharType="begin"/>
        </w:r>
        <w:r w:rsidRPr="00520A12">
          <w:rPr>
            <w:sz w:val="18"/>
            <w:szCs w:val="18"/>
          </w:rPr>
          <w:instrText xml:space="preserve"> PAGE   \* MERGEFORMAT </w:instrText>
        </w:r>
        <w:r w:rsidRPr="00520A12">
          <w:rPr>
            <w:sz w:val="18"/>
            <w:szCs w:val="18"/>
          </w:rPr>
          <w:fldChar w:fldCharType="separate"/>
        </w:r>
        <w:r>
          <w:rPr>
            <w:noProof/>
            <w:sz w:val="18"/>
            <w:szCs w:val="18"/>
          </w:rPr>
          <w:t>3</w:t>
        </w:r>
        <w:r w:rsidRPr="00520A12">
          <w:rPr>
            <w:noProof/>
            <w:sz w:val="18"/>
            <w:szCs w:val="18"/>
          </w:rPr>
          <w:fldChar w:fldCharType="end"/>
        </w:r>
      </w:p>
    </w:sdtContent>
  </w:sdt>
  <w:p w14:paraId="638680DD" w14:textId="77777777" w:rsidR="00695E6D" w:rsidRPr="00520A12" w:rsidRDefault="00695E6D" w:rsidP="00530549">
    <w:pPr>
      <w:pStyle w:val="Piedepgina"/>
      <w:spacing w:before="12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74635"/>
      <w:docPartObj>
        <w:docPartGallery w:val="Page Numbers (Bottom of Page)"/>
        <w:docPartUnique/>
      </w:docPartObj>
    </w:sdtPr>
    <w:sdtContent>
      <w:p w14:paraId="44E09FFA" w14:textId="7F39FE40" w:rsidR="0058291A" w:rsidRDefault="0058291A">
        <w:pPr>
          <w:pStyle w:val="Piedepgina"/>
          <w:jc w:val="center"/>
        </w:pPr>
        <w:r>
          <w:fldChar w:fldCharType="begin"/>
        </w:r>
        <w:r>
          <w:instrText>PAGE   \* MERGEFORMAT</w:instrText>
        </w:r>
        <w:r>
          <w:fldChar w:fldCharType="separate"/>
        </w:r>
        <w:r>
          <w:rPr>
            <w:lang w:val="es-ES"/>
          </w:rPr>
          <w:t>2</w:t>
        </w:r>
        <w:r>
          <w:fldChar w:fldCharType="end"/>
        </w:r>
      </w:p>
    </w:sdtContent>
  </w:sdt>
  <w:p w14:paraId="0B8D4018" w14:textId="77777777" w:rsidR="0058291A" w:rsidRDefault="005829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EDA6" w14:textId="77777777" w:rsidR="008349B0" w:rsidRDefault="008349B0" w:rsidP="00F94D74">
      <w:r>
        <w:separator/>
      </w:r>
    </w:p>
    <w:p w14:paraId="7407BE76" w14:textId="77777777" w:rsidR="008349B0" w:rsidRDefault="008349B0" w:rsidP="00F94D74"/>
  </w:footnote>
  <w:footnote w:type="continuationSeparator" w:id="0">
    <w:p w14:paraId="148C7C41" w14:textId="77777777" w:rsidR="008349B0" w:rsidRDefault="008349B0" w:rsidP="00F94D74">
      <w:r>
        <w:continuationSeparator/>
      </w:r>
    </w:p>
    <w:p w14:paraId="6C878B19" w14:textId="77777777" w:rsidR="008349B0" w:rsidRDefault="008349B0" w:rsidP="00F94D74"/>
  </w:footnote>
  <w:footnote w:id="1">
    <w:p w14:paraId="6BD8A77E" w14:textId="77777777" w:rsidR="009C6A90" w:rsidRPr="006D3159" w:rsidRDefault="009C6A90" w:rsidP="00436D25">
      <w:pPr>
        <w:pStyle w:val="Textonotapie"/>
        <w:rPr>
          <w:sz w:val="16"/>
          <w:szCs w:val="16"/>
        </w:rPr>
      </w:pPr>
      <w:r w:rsidRPr="006D3159">
        <w:rPr>
          <w:rStyle w:val="Refdenotaalpie"/>
          <w:sz w:val="16"/>
          <w:szCs w:val="16"/>
        </w:rPr>
        <w:t>*</w:t>
      </w:r>
      <w:r w:rsidRPr="006D3159">
        <w:rPr>
          <w:sz w:val="16"/>
          <w:szCs w:val="16"/>
        </w:rPr>
        <w:t xml:space="preserve"> </w:t>
      </w:r>
      <w:r w:rsidRPr="006D3159">
        <w:rPr>
          <w:sz w:val="16"/>
          <w:szCs w:val="16"/>
        </w:rPr>
        <w:tab/>
        <w:t>El Juez Eugenio Raúl Zaffaroni se excusó de participar en el presente caso, conforme a lo dispuesto en el artículo 21 del Reglamento de la Corte, lo cual fue aceptado por el Pleno de la Corte.</w:t>
      </w:r>
    </w:p>
  </w:footnote>
  <w:footnote w:id="2">
    <w:p w14:paraId="719E6E1A"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El </w:t>
      </w:r>
      <w:r w:rsidRPr="006D3159">
        <w:rPr>
          <w:color w:val="2B2B2B"/>
          <w:sz w:val="16"/>
          <w:szCs w:val="16"/>
        </w:rPr>
        <w:t xml:space="preserve">17 </w:t>
      </w:r>
      <w:r w:rsidRPr="006D3159">
        <w:rPr>
          <w:sz w:val="16"/>
          <w:szCs w:val="16"/>
        </w:rPr>
        <w:t xml:space="preserve">de </w:t>
      </w:r>
      <w:r w:rsidRPr="006D3159">
        <w:rPr>
          <w:color w:val="090909"/>
          <w:sz w:val="16"/>
          <w:szCs w:val="16"/>
        </w:rPr>
        <w:t>juli</w:t>
      </w:r>
      <w:r w:rsidRPr="006D3159">
        <w:rPr>
          <w:color w:val="2B2B2B"/>
          <w:sz w:val="16"/>
          <w:szCs w:val="16"/>
        </w:rPr>
        <w:t xml:space="preserve">o de </w:t>
      </w:r>
      <w:r w:rsidRPr="006D3159">
        <w:rPr>
          <w:sz w:val="16"/>
          <w:szCs w:val="16"/>
        </w:rPr>
        <w:t xml:space="preserve">1997 </w:t>
      </w:r>
      <w:r w:rsidRPr="006D3159">
        <w:rPr>
          <w:color w:val="2B2B2B"/>
          <w:sz w:val="16"/>
          <w:szCs w:val="16"/>
        </w:rPr>
        <w:t xml:space="preserve">la </w:t>
      </w:r>
      <w:r w:rsidRPr="006D3159">
        <w:rPr>
          <w:sz w:val="16"/>
          <w:szCs w:val="16"/>
        </w:rPr>
        <w:t xml:space="preserve">petición </w:t>
      </w:r>
      <w:r w:rsidRPr="006D3159">
        <w:rPr>
          <w:color w:val="2B2B2B"/>
          <w:sz w:val="16"/>
          <w:szCs w:val="16"/>
        </w:rPr>
        <w:t xml:space="preserve">fue </w:t>
      </w:r>
      <w:r w:rsidRPr="006D3159">
        <w:rPr>
          <w:sz w:val="16"/>
          <w:szCs w:val="16"/>
        </w:rPr>
        <w:t xml:space="preserve">presentada </w:t>
      </w:r>
      <w:r w:rsidRPr="006D3159">
        <w:rPr>
          <w:color w:val="2B2B2B"/>
          <w:sz w:val="16"/>
          <w:szCs w:val="16"/>
        </w:rPr>
        <w:t xml:space="preserve">en </w:t>
      </w:r>
      <w:r w:rsidRPr="006D3159">
        <w:rPr>
          <w:sz w:val="16"/>
          <w:szCs w:val="16"/>
        </w:rPr>
        <w:t>inglé</w:t>
      </w:r>
      <w:r w:rsidRPr="006D3159">
        <w:rPr>
          <w:color w:val="434343"/>
          <w:sz w:val="16"/>
          <w:szCs w:val="16"/>
        </w:rPr>
        <w:t xml:space="preserve">s </w:t>
      </w:r>
      <w:r w:rsidRPr="006D3159">
        <w:rPr>
          <w:color w:val="2B2B2B"/>
          <w:sz w:val="16"/>
          <w:szCs w:val="16"/>
        </w:rPr>
        <w:t>y</w:t>
      </w:r>
      <w:r w:rsidRPr="006D3159">
        <w:rPr>
          <w:i/>
          <w:iCs/>
          <w:color w:val="2B2B2B"/>
          <w:sz w:val="16"/>
          <w:szCs w:val="16"/>
        </w:rPr>
        <w:t xml:space="preserve"> </w:t>
      </w:r>
      <w:r w:rsidRPr="006D3159">
        <w:rPr>
          <w:sz w:val="16"/>
          <w:szCs w:val="16"/>
        </w:rPr>
        <w:t xml:space="preserve">el 11 de agosto de 1997 en </w:t>
      </w:r>
      <w:r w:rsidRPr="006D3159">
        <w:rPr>
          <w:color w:val="2B2B2B"/>
          <w:sz w:val="16"/>
          <w:szCs w:val="16"/>
        </w:rPr>
        <w:t>español.</w:t>
      </w:r>
    </w:p>
  </w:footnote>
  <w:footnote w:id="3">
    <w:p w14:paraId="65F2D9D9" w14:textId="77777777" w:rsidR="009C6A90" w:rsidRPr="006D3159" w:rsidRDefault="009C6A90" w:rsidP="00436D25">
      <w:pPr>
        <w:spacing w:line="240" w:lineRule="auto"/>
        <w:rPr>
          <w:rFonts w:eastAsiaTheme="minorHAnsi"/>
          <w:sz w:val="16"/>
          <w:szCs w:val="16"/>
          <w:lang w:eastAsia="en-US"/>
        </w:rPr>
      </w:pPr>
      <w:r w:rsidRPr="006D3159">
        <w:rPr>
          <w:rStyle w:val="Refdenotaalpie"/>
          <w:sz w:val="16"/>
          <w:szCs w:val="16"/>
        </w:rPr>
        <w:footnoteRef/>
      </w:r>
      <w:r w:rsidRPr="006D3159">
        <w:rPr>
          <w:sz w:val="16"/>
          <w:szCs w:val="16"/>
        </w:rPr>
        <w:t xml:space="preserve"> </w:t>
      </w:r>
      <w:r w:rsidRPr="006D3159">
        <w:rPr>
          <w:sz w:val="16"/>
          <w:szCs w:val="16"/>
        </w:rPr>
        <w:tab/>
        <w:t>La Comisión concluyó que el Estado de Guatemala era responsable por “</w:t>
      </w:r>
      <w:r w:rsidRPr="006D3159">
        <w:rPr>
          <w:rFonts w:eastAsiaTheme="minorHAnsi"/>
          <w:sz w:val="16"/>
          <w:szCs w:val="16"/>
          <w:lang w:eastAsia="en-US"/>
        </w:rPr>
        <w:t xml:space="preserve">la violación de los derechos a la vida, a la integridad personal, el principio de legalidad, a las garantías judiciales y a la protección judicial establecidos en los artículos 4.1, 4.2, 5, 8.1, 8.2 c), 8.2 h), 9 y 25.1 de la Convención Americana en relación con las obligaciones establecidas en los artículos 1.1 y 2 del mismo instrumento, en perjuicio de </w:t>
      </w:r>
      <w:r w:rsidRPr="006D3159">
        <w:rPr>
          <w:sz w:val="16"/>
          <w:szCs w:val="16"/>
        </w:rPr>
        <w:t xml:space="preserve">Miguel Ángel Rodríguez Revolorio, Miguel Ángel López Calo y Aníbal Archila Pérez. Asimismo, el Estado incumplió las obligaciones establecidas en </w:t>
      </w:r>
      <w:r w:rsidRPr="006D3159">
        <w:rPr>
          <w:rFonts w:eastAsiaTheme="minorHAnsi"/>
          <w:sz w:val="16"/>
          <w:szCs w:val="16"/>
          <w:lang w:eastAsia="en-US"/>
        </w:rPr>
        <w:t>los artículos 1, 6 y 8 de la Convención Interamericana para Prevenir y Sancionar la Tortura</w:t>
      </w:r>
      <w:r w:rsidRPr="006D3159">
        <w:rPr>
          <w:sz w:val="16"/>
          <w:szCs w:val="16"/>
        </w:rPr>
        <w:t xml:space="preserve">. </w:t>
      </w:r>
    </w:p>
  </w:footnote>
  <w:footnote w:id="4">
    <w:p w14:paraId="309C4428"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La Comisión designó, como sus delegados ante la Corte, a la Comisionada Esmeralda Arosemena de </w:t>
      </w:r>
      <w:proofErr w:type="spellStart"/>
      <w:r w:rsidRPr="006D3159">
        <w:rPr>
          <w:sz w:val="16"/>
          <w:szCs w:val="16"/>
        </w:rPr>
        <w:t>Troitiño</w:t>
      </w:r>
      <w:proofErr w:type="spellEnd"/>
      <w:r w:rsidRPr="006D3159">
        <w:rPr>
          <w:sz w:val="16"/>
          <w:szCs w:val="16"/>
        </w:rPr>
        <w:t xml:space="preserve"> y al </w:t>
      </w:r>
      <w:proofErr w:type="gramStart"/>
      <w:r w:rsidRPr="006D3159">
        <w:rPr>
          <w:sz w:val="16"/>
          <w:szCs w:val="16"/>
        </w:rPr>
        <w:t>Secretario Ejecutivo</w:t>
      </w:r>
      <w:proofErr w:type="gramEnd"/>
      <w:r w:rsidRPr="006D3159">
        <w:rPr>
          <w:sz w:val="16"/>
          <w:szCs w:val="16"/>
        </w:rPr>
        <w:t xml:space="preserve"> Paulo </w:t>
      </w:r>
      <w:proofErr w:type="spellStart"/>
      <w:r w:rsidRPr="006D3159">
        <w:rPr>
          <w:sz w:val="16"/>
          <w:szCs w:val="16"/>
        </w:rPr>
        <w:t>Abrão</w:t>
      </w:r>
      <w:proofErr w:type="spellEnd"/>
      <w:r w:rsidRPr="006D3159">
        <w:rPr>
          <w:sz w:val="16"/>
          <w:szCs w:val="16"/>
        </w:rPr>
        <w:t>. Asimismo, designó como asesoras legales a la señora Elizabeth Abi-</w:t>
      </w:r>
      <w:proofErr w:type="spellStart"/>
      <w:r w:rsidRPr="006D3159">
        <w:rPr>
          <w:sz w:val="16"/>
          <w:szCs w:val="16"/>
        </w:rPr>
        <w:t>Mershed</w:t>
      </w:r>
      <w:proofErr w:type="spellEnd"/>
      <w:r w:rsidRPr="006D3159">
        <w:rPr>
          <w:sz w:val="16"/>
          <w:szCs w:val="16"/>
        </w:rPr>
        <w:t xml:space="preserve">, entonces </w:t>
      </w:r>
      <w:proofErr w:type="gramStart"/>
      <w:r w:rsidRPr="006D3159">
        <w:rPr>
          <w:sz w:val="16"/>
          <w:szCs w:val="16"/>
        </w:rPr>
        <w:t>Secretaria Ejecutiva</w:t>
      </w:r>
      <w:proofErr w:type="gramEnd"/>
      <w:r w:rsidRPr="006D3159">
        <w:rPr>
          <w:sz w:val="16"/>
          <w:szCs w:val="16"/>
        </w:rPr>
        <w:t xml:space="preserve"> Adjunta, así como a la señora Silvia Serrano Guzmán y el señor Christian González Chacón, abogada y abogado de la Secretaría Ejecutiva. </w:t>
      </w:r>
    </w:p>
  </w:footnote>
  <w:footnote w:id="5">
    <w:p w14:paraId="75EF82B4"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Caso Rodríguez Revolorio y Otros Vs. Guatemala. Convocatoria a Audiencia. </w:t>
      </w:r>
      <w:r w:rsidRPr="006D3159">
        <w:rPr>
          <w:sz w:val="16"/>
          <w:szCs w:val="16"/>
        </w:rPr>
        <w:t xml:space="preserve">Resolución del </w:t>
      </w:r>
      <w:proofErr w:type="gramStart"/>
      <w:r w:rsidRPr="006D3159">
        <w:rPr>
          <w:sz w:val="16"/>
          <w:szCs w:val="16"/>
        </w:rPr>
        <w:t>Presidente</w:t>
      </w:r>
      <w:proofErr w:type="gramEnd"/>
      <w:r w:rsidRPr="006D3159">
        <w:rPr>
          <w:sz w:val="16"/>
          <w:szCs w:val="16"/>
        </w:rPr>
        <w:t xml:space="preserve"> de la Corte Interamericana de 15 de febrero de 2017. Disponible en:</w:t>
      </w:r>
    </w:p>
    <w:p w14:paraId="00761ADF" w14:textId="77777777" w:rsidR="009C6A90" w:rsidRPr="006D3159" w:rsidRDefault="00C11457" w:rsidP="00436D25">
      <w:pPr>
        <w:pStyle w:val="Textonotapie"/>
        <w:rPr>
          <w:sz w:val="16"/>
          <w:szCs w:val="16"/>
          <w:lang w:val="es-CR"/>
        </w:rPr>
      </w:pPr>
      <w:hyperlink r:id="rId1" w:history="1">
        <w:r w:rsidR="009C6A90" w:rsidRPr="006D3159">
          <w:rPr>
            <w:rStyle w:val="Hipervnculo"/>
            <w:sz w:val="16"/>
            <w:szCs w:val="16"/>
          </w:rPr>
          <w:t>http://www.corteidh.or.cr/docs/asuntos/rodriguez_revolorio_15_02_19.pdf</w:t>
        </w:r>
      </w:hyperlink>
      <w:r w:rsidR="009C6A90" w:rsidRPr="006D3159">
        <w:rPr>
          <w:sz w:val="16"/>
          <w:szCs w:val="16"/>
          <w:lang w:val="es-CR"/>
        </w:rPr>
        <w:t xml:space="preserve"> </w:t>
      </w:r>
    </w:p>
  </w:footnote>
  <w:footnote w:id="6">
    <w:p w14:paraId="4DF18AA4"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A esta audiencia comparecieron: </w:t>
      </w:r>
    </w:p>
    <w:p w14:paraId="4660A72C" w14:textId="77777777" w:rsidR="009C6A90" w:rsidRPr="006D3159" w:rsidRDefault="009C6A90" w:rsidP="00436D25">
      <w:pPr>
        <w:pStyle w:val="Textonotapie"/>
        <w:ind w:left="720" w:right="720"/>
        <w:rPr>
          <w:sz w:val="16"/>
          <w:szCs w:val="16"/>
        </w:rPr>
      </w:pPr>
      <w:r w:rsidRPr="006D3159">
        <w:rPr>
          <w:sz w:val="16"/>
          <w:szCs w:val="16"/>
        </w:rPr>
        <w:t>a) por la Comisión Interamericana: el Comisionado Luis Ernesto Vargas Silva y el asesor Christian González Chacón;</w:t>
      </w:r>
    </w:p>
    <w:p w14:paraId="04FA1004" w14:textId="77777777" w:rsidR="009C6A90" w:rsidRPr="006D3159" w:rsidRDefault="009C6A90" w:rsidP="00436D25">
      <w:pPr>
        <w:pStyle w:val="Textonotapie"/>
        <w:ind w:left="720" w:right="720"/>
        <w:rPr>
          <w:sz w:val="16"/>
          <w:szCs w:val="16"/>
        </w:rPr>
      </w:pPr>
      <w:r w:rsidRPr="006D3159">
        <w:rPr>
          <w:sz w:val="16"/>
          <w:szCs w:val="16"/>
        </w:rPr>
        <w:t xml:space="preserve">b) por las representantes de las presuntas víctimas: por las Defensoras Públicas Interamericanas las señoras </w:t>
      </w:r>
      <w:proofErr w:type="spellStart"/>
      <w:r w:rsidRPr="006D3159">
        <w:rPr>
          <w:sz w:val="16"/>
          <w:szCs w:val="16"/>
        </w:rPr>
        <w:t>Rivana</w:t>
      </w:r>
      <w:proofErr w:type="spellEnd"/>
      <w:r w:rsidRPr="006D3159">
        <w:rPr>
          <w:sz w:val="16"/>
          <w:szCs w:val="16"/>
        </w:rPr>
        <w:t xml:space="preserve"> Barreto Ricarte de Oliveira y </w:t>
      </w:r>
      <w:proofErr w:type="spellStart"/>
      <w:r w:rsidRPr="006D3159">
        <w:rPr>
          <w:sz w:val="16"/>
          <w:szCs w:val="16"/>
        </w:rPr>
        <w:t>Yanela</w:t>
      </w:r>
      <w:proofErr w:type="spellEnd"/>
      <w:r w:rsidRPr="006D3159">
        <w:rPr>
          <w:sz w:val="16"/>
          <w:szCs w:val="16"/>
        </w:rPr>
        <w:t xml:space="preserve"> Romero de Pimental, y </w:t>
      </w:r>
    </w:p>
    <w:p w14:paraId="08451271" w14:textId="77777777" w:rsidR="009C6A90" w:rsidRPr="006D3159" w:rsidRDefault="009C6A90" w:rsidP="00436D25">
      <w:pPr>
        <w:pStyle w:val="Textonotapie"/>
        <w:ind w:left="720" w:right="720"/>
        <w:rPr>
          <w:sz w:val="16"/>
          <w:szCs w:val="16"/>
        </w:rPr>
      </w:pPr>
      <w:r w:rsidRPr="006D3159">
        <w:rPr>
          <w:sz w:val="16"/>
          <w:szCs w:val="16"/>
        </w:rPr>
        <w:t xml:space="preserve">c) por el Estado de Guatemala: el </w:t>
      </w:r>
      <w:proofErr w:type="gramStart"/>
      <w:r w:rsidRPr="006D3159">
        <w:rPr>
          <w:sz w:val="16"/>
          <w:szCs w:val="16"/>
        </w:rPr>
        <w:t>Presidente</w:t>
      </w:r>
      <w:proofErr w:type="gramEnd"/>
      <w:r w:rsidRPr="006D3159">
        <w:rPr>
          <w:sz w:val="16"/>
          <w:szCs w:val="16"/>
        </w:rPr>
        <w:t xml:space="preserve"> de COPREDEH Jorge Luis Borrayo Reyes, el Director Ejecutivo de COPREDEH Felipe Sánchez González, la Directora de Defensores Carla Gabriela Morales, los Asesores de la Dirección de Seguimiento de Casos Internacionales Steffany Rebeca Vásquez y Rafael Eduardo Bran y el Fiscal del Ministerio Público Milton Tereso García </w:t>
      </w:r>
      <w:proofErr w:type="spellStart"/>
      <w:r w:rsidRPr="006D3159">
        <w:rPr>
          <w:sz w:val="16"/>
          <w:szCs w:val="16"/>
        </w:rPr>
        <w:t>Secayda</w:t>
      </w:r>
      <w:proofErr w:type="spellEnd"/>
      <w:r w:rsidRPr="006D3159">
        <w:rPr>
          <w:sz w:val="16"/>
          <w:szCs w:val="16"/>
        </w:rPr>
        <w:t>.</w:t>
      </w:r>
    </w:p>
  </w:footnote>
  <w:footnote w:id="7">
    <w:p w14:paraId="5CE13A3D" w14:textId="77777777" w:rsidR="009C6A90" w:rsidRPr="006D3159" w:rsidRDefault="009C6A90" w:rsidP="002761D7">
      <w:pPr>
        <w:pStyle w:val="Textonotapie"/>
        <w:tabs>
          <w:tab w:val="left" w:pos="567"/>
        </w:tabs>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Caso Las Palmeras Vs. Colombia. Excepciones Preliminares. </w:t>
      </w:r>
      <w:r w:rsidRPr="006D3159">
        <w:rPr>
          <w:sz w:val="16"/>
          <w:szCs w:val="16"/>
        </w:rPr>
        <w:t xml:space="preserve">Sentencia de 4 de febrero de 2000. Serie C No. 67, párr. 34, y </w:t>
      </w:r>
      <w:r w:rsidRPr="006D3159">
        <w:rPr>
          <w:i/>
          <w:sz w:val="16"/>
          <w:szCs w:val="16"/>
        </w:rPr>
        <w:t>Caso Mendoza y otros Vs. Argentina. Excepciones Preliminares, Fondo y Reparaciones</w:t>
      </w:r>
      <w:r w:rsidRPr="006D3159">
        <w:rPr>
          <w:sz w:val="16"/>
          <w:szCs w:val="16"/>
        </w:rPr>
        <w:t>. Sentencia de 14 de mayo de 2013. Serie C No. 260, párr. 25.</w:t>
      </w:r>
    </w:p>
  </w:footnote>
  <w:footnote w:id="8">
    <w:p w14:paraId="4784110C" w14:textId="77777777" w:rsidR="009C6A90" w:rsidRPr="006D3159" w:rsidRDefault="009C6A90" w:rsidP="002761D7">
      <w:pPr>
        <w:pStyle w:val="Textonotapie"/>
        <w:tabs>
          <w:tab w:val="left" w:pos="567"/>
        </w:tabs>
        <w:rPr>
          <w:sz w:val="16"/>
          <w:szCs w:val="16"/>
          <w:lang w:val="es-CR"/>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Castañeda Gutman Vs. México. Excepciones Preliminares, Fondo, Reparaciones y Costas</w:t>
      </w:r>
      <w:r w:rsidRPr="006D3159">
        <w:rPr>
          <w:sz w:val="16"/>
          <w:szCs w:val="16"/>
        </w:rPr>
        <w:t xml:space="preserve">. Sentencia de 6 de agosto de 2008. Serie C No. 184, párr. 39, y </w:t>
      </w:r>
      <w:r w:rsidRPr="006D3159">
        <w:rPr>
          <w:i/>
          <w:sz w:val="16"/>
          <w:szCs w:val="16"/>
        </w:rPr>
        <w:t>Caso Artavia Murillo y otros (Fertilización in vitro) Vs. Costa Rica. Excepciones Preliminares, Fondo, Reparaciones y Costas</w:t>
      </w:r>
      <w:r w:rsidRPr="006D3159">
        <w:rPr>
          <w:sz w:val="16"/>
          <w:szCs w:val="16"/>
        </w:rPr>
        <w:t>. Sentencia de 28 de noviembre de 2012. Serie C No. 257, párr. 40.</w:t>
      </w:r>
    </w:p>
  </w:footnote>
  <w:footnote w:id="9">
    <w:p w14:paraId="308EDFDD" w14:textId="77777777" w:rsidR="009C6A90" w:rsidRPr="006D3159" w:rsidRDefault="009C6A90" w:rsidP="002761D7">
      <w:pPr>
        <w:pStyle w:val="Textonotapie"/>
        <w:tabs>
          <w:tab w:val="left" w:pos="567"/>
        </w:tabs>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Las representantes se refirieron a </w:t>
      </w:r>
      <w:r w:rsidRPr="006D3159">
        <w:rPr>
          <w:rFonts w:eastAsiaTheme="minorHAnsi" w:cs="Arial"/>
          <w:sz w:val="16"/>
          <w:szCs w:val="16"/>
          <w:lang w:eastAsia="en-US"/>
        </w:rPr>
        <w:t xml:space="preserve">Olga Marina Recinos, Manfred G. Rodríguez </w:t>
      </w:r>
      <w:proofErr w:type="spellStart"/>
      <w:r w:rsidRPr="006D3159">
        <w:rPr>
          <w:rFonts w:eastAsiaTheme="minorHAnsi" w:cs="Arial"/>
          <w:sz w:val="16"/>
          <w:szCs w:val="16"/>
          <w:lang w:eastAsia="en-US"/>
        </w:rPr>
        <w:t>Recino</w:t>
      </w:r>
      <w:proofErr w:type="spellEnd"/>
      <w:r w:rsidRPr="006D3159">
        <w:rPr>
          <w:rFonts w:eastAsiaTheme="minorHAnsi" w:cs="Arial"/>
          <w:sz w:val="16"/>
          <w:szCs w:val="16"/>
          <w:lang w:eastAsia="en-US"/>
        </w:rPr>
        <w:t xml:space="preserve">, Karla </w:t>
      </w:r>
      <w:proofErr w:type="spellStart"/>
      <w:r w:rsidRPr="006D3159">
        <w:rPr>
          <w:rFonts w:eastAsiaTheme="minorHAnsi" w:cs="Arial"/>
          <w:sz w:val="16"/>
          <w:szCs w:val="16"/>
          <w:lang w:eastAsia="en-US"/>
        </w:rPr>
        <w:t>Maidé</w:t>
      </w:r>
      <w:proofErr w:type="spellEnd"/>
      <w:r w:rsidRPr="006D3159">
        <w:rPr>
          <w:rFonts w:eastAsiaTheme="minorHAnsi" w:cs="Arial"/>
          <w:sz w:val="16"/>
          <w:szCs w:val="16"/>
          <w:lang w:eastAsia="en-US"/>
        </w:rPr>
        <w:t xml:space="preserve"> Rodríguez Recinos y Olga Janeth Rodríguez Recinos; Mirian Floridalma Osorio García de López, </w:t>
      </w:r>
      <w:proofErr w:type="spellStart"/>
      <w:r w:rsidRPr="006D3159">
        <w:rPr>
          <w:rFonts w:eastAsiaTheme="minorHAnsi" w:cs="Arial"/>
          <w:sz w:val="16"/>
          <w:szCs w:val="16"/>
          <w:lang w:eastAsia="en-US"/>
        </w:rPr>
        <w:t>Jeennley</w:t>
      </w:r>
      <w:proofErr w:type="spellEnd"/>
      <w:r w:rsidRPr="006D3159">
        <w:rPr>
          <w:rFonts w:eastAsiaTheme="minorHAnsi" w:cs="Arial"/>
          <w:sz w:val="16"/>
          <w:szCs w:val="16"/>
          <w:lang w:eastAsia="en-US"/>
        </w:rPr>
        <w:t xml:space="preserve"> </w:t>
      </w:r>
      <w:proofErr w:type="spellStart"/>
      <w:r w:rsidRPr="006D3159">
        <w:rPr>
          <w:rFonts w:eastAsiaTheme="minorHAnsi" w:cs="Arial"/>
          <w:sz w:val="16"/>
          <w:szCs w:val="16"/>
          <w:lang w:eastAsia="en-US"/>
        </w:rPr>
        <w:t>Yannira</w:t>
      </w:r>
      <w:proofErr w:type="spellEnd"/>
      <w:r w:rsidRPr="006D3159">
        <w:rPr>
          <w:rFonts w:eastAsiaTheme="minorHAnsi" w:cs="Arial"/>
          <w:sz w:val="16"/>
          <w:szCs w:val="16"/>
          <w:lang w:eastAsia="en-US"/>
        </w:rPr>
        <w:t xml:space="preserve"> López Osorio, Alex Fernando López Osorio y </w:t>
      </w:r>
      <w:proofErr w:type="spellStart"/>
      <w:r w:rsidRPr="006D3159">
        <w:rPr>
          <w:rFonts w:eastAsiaTheme="minorHAnsi" w:cs="Arial"/>
          <w:sz w:val="16"/>
          <w:szCs w:val="16"/>
          <w:lang w:eastAsia="en-US"/>
        </w:rPr>
        <w:t>Yazmi</w:t>
      </w:r>
      <w:proofErr w:type="spellEnd"/>
      <w:r w:rsidRPr="006D3159">
        <w:rPr>
          <w:rFonts w:eastAsiaTheme="minorHAnsi" w:cs="Arial"/>
          <w:sz w:val="16"/>
          <w:szCs w:val="16"/>
          <w:lang w:eastAsia="en-US"/>
        </w:rPr>
        <w:t xml:space="preserve"> Lisbeth López Osorio; Irma Morales Morataya de Archila, </w:t>
      </w:r>
      <w:proofErr w:type="spellStart"/>
      <w:r w:rsidRPr="006D3159">
        <w:rPr>
          <w:rFonts w:eastAsiaTheme="minorHAnsi" w:cs="Arial"/>
          <w:sz w:val="16"/>
          <w:szCs w:val="16"/>
          <w:lang w:eastAsia="en-US"/>
        </w:rPr>
        <w:t>Sendy</w:t>
      </w:r>
      <w:proofErr w:type="spellEnd"/>
      <w:r w:rsidRPr="006D3159">
        <w:rPr>
          <w:rFonts w:eastAsiaTheme="minorHAnsi" w:cs="Arial"/>
          <w:sz w:val="16"/>
          <w:szCs w:val="16"/>
          <w:lang w:eastAsia="en-US"/>
        </w:rPr>
        <w:t xml:space="preserve"> </w:t>
      </w:r>
      <w:proofErr w:type="spellStart"/>
      <w:r w:rsidRPr="006D3159">
        <w:rPr>
          <w:rFonts w:eastAsiaTheme="minorHAnsi" w:cs="Arial"/>
          <w:sz w:val="16"/>
          <w:szCs w:val="16"/>
          <w:lang w:eastAsia="en-US"/>
        </w:rPr>
        <w:t>Mabelly</w:t>
      </w:r>
      <w:proofErr w:type="spellEnd"/>
      <w:r w:rsidRPr="006D3159">
        <w:rPr>
          <w:rFonts w:eastAsiaTheme="minorHAnsi" w:cs="Arial"/>
          <w:sz w:val="16"/>
          <w:szCs w:val="16"/>
          <w:lang w:eastAsia="en-US"/>
        </w:rPr>
        <w:t xml:space="preserve"> Archila Morales de Archila, Yoselin Edith Archila Morales, Aníbal Estuardo Archila Morales, Irma </w:t>
      </w:r>
      <w:proofErr w:type="spellStart"/>
      <w:r w:rsidRPr="006D3159">
        <w:rPr>
          <w:rFonts w:eastAsiaTheme="minorHAnsi" w:cs="Arial"/>
          <w:sz w:val="16"/>
          <w:szCs w:val="16"/>
          <w:lang w:eastAsia="en-US"/>
        </w:rPr>
        <w:t>Yazmin</w:t>
      </w:r>
      <w:proofErr w:type="spellEnd"/>
      <w:r w:rsidRPr="006D3159">
        <w:rPr>
          <w:rFonts w:eastAsiaTheme="minorHAnsi" w:cs="Arial"/>
          <w:sz w:val="16"/>
          <w:szCs w:val="16"/>
          <w:lang w:eastAsia="en-US"/>
        </w:rPr>
        <w:t xml:space="preserve"> Archila Morales y Yeremi Yanira Archila González.</w:t>
      </w:r>
    </w:p>
  </w:footnote>
  <w:footnote w:id="10">
    <w:p w14:paraId="742EE757" w14:textId="77777777" w:rsidR="009C6A90" w:rsidRPr="006D3159" w:rsidRDefault="009C6A90" w:rsidP="00436D25">
      <w:pPr>
        <w:pStyle w:val="Textonotapie"/>
        <w:tabs>
          <w:tab w:val="left" w:pos="567"/>
        </w:tabs>
        <w:rPr>
          <w:i/>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Caso de las Masacres de Ituango Vs. Colombia. Excepción Preliminar, Fondo, Reparaciones y Costas. </w:t>
      </w:r>
      <w:r w:rsidRPr="006D3159">
        <w:rPr>
          <w:sz w:val="16"/>
          <w:szCs w:val="16"/>
        </w:rPr>
        <w:t xml:space="preserve">Sentencia de 1 de julio de 2006. Serie C No. 148, párr. 98, y </w:t>
      </w:r>
      <w:r w:rsidRPr="006D3159">
        <w:rPr>
          <w:i/>
          <w:sz w:val="16"/>
          <w:szCs w:val="16"/>
        </w:rPr>
        <w:t xml:space="preserve">Caso </w:t>
      </w:r>
      <w:proofErr w:type="spellStart"/>
      <w:r w:rsidRPr="006D3159">
        <w:rPr>
          <w:i/>
          <w:sz w:val="16"/>
          <w:szCs w:val="16"/>
        </w:rPr>
        <w:t>Omeara</w:t>
      </w:r>
      <w:proofErr w:type="spellEnd"/>
      <w:r w:rsidRPr="006D3159">
        <w:rPr>
          <w:i/>
          <w:sz w:val="16"/>
          <w:szCs w:val="16"/>
        </w:rPr>
        <w:t xml:space="preserve"> Carrascal </w:t>
      </w:r>
      <w:r w:rsidRPr="006D3159">
        <w:rPr>
          <w:rStyle w:val="Textoennegrita"/>
          <w:b w:val="0"/>
          <w:i/>
          <w:sz w:val="16"/>
          <w:szCs w:val="16"/>
          <w:shd w:val="clear" w:color="auto" w:fill="FFFFFF"/>
        </w:rPr>
        <w:t>y otros Vs. Colombia. Fondo, Reparaciones y Costas.</w:t>
      </w:r>
      <w:r w:rsidRPr="006D3159">
        <w:rPr>
          <w:rStyle w:val="Textoennegrita"/>
          <w:b w:val="0"/>
          <w:sz w:val="16"/>
          <w:szCs w:val="16"/>
          <w:shd w:val="clear" w:color="auto" w:fill="FFFFFF"/>
        </w:rPr>
        <w:t xml:space="preserve"> Sentencia de 21 de noviembre de 2018. Serie C No. 368, párr. 55.</w:t>
      </w:r>
    </w:p>
  </w:footnote>
  <w:footnote w:id="11">
    <w:p w14:paraId="466DEE70" w14:textId="77777777" w:rsidR="009C6A90" w:rsidRPr="006D3159" w:rsidRDefault="009C6A90" w:rsidP="00436D25">
      <w:pPr>
        <w:pStyle w:val="Textonotapie"/>
        <w:tabs>
          <w:tab w:val="left" w:pos="567"/>
        </w:tabs>
        <w:rPr>
          <w:i/>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Caso Masacres de Río Negro Vs. Guatemala. Excepción Preliminar, Fondo, Reparaciones y Costas. </w:t>
      </w:r>
      <w:r w:rsidRPr="006D3159">
        <w:rPr>
          <w:sz w:val="16"/>
          <w:szCs w:val="16"/>
        </w:rPr>
        <w:t xml:space="preserve">Sentencia de 4 de septiembre de 2012. Serie C No. 250, párr. 48, y </w:t>
      </w:r>
      <w:r w:rsidRPr="006D3159">
        <w:rPr>
          <w:rStyle w:val="Textoennegrita"/>
          <w:b w:val="0"/>
          <w:i/>
          <w:sz w:val="16"/>
          <w:szCs w:val="16"/>
          <w:shd w:val="clear" w:color="auto" w:fill="FFFFFF"/>
        </w:rPr>
        <w:t xml:space="preserve">Caso </w:t>
      </w:r>
      <w:proofErr w:type="spellStart"/>
      <w:r w:rsidRPr="006D3159">
        <w:rPr>
          <w:rStyle w:val="Textoennegrita"/>
          <w:b w:val="0"/>
          <w:i/>
          <w:sz w:val="16"/>
          <w:szCs w:val="16"/>
          <w:shd w:val="clear" w:color="auto" w:fill="FFFFFF"/>
        </w:rPr>
        <w:t>Cuscul</w:t>
      </w:r>
      <w:proofErr w:type="spellEnd"/>
      <w:r w:rsidRPr="006D3159">
        <w:rPr>
          <w:rStyle w:val="Textoennegrita"/>
          <w:b w:val="0"/>
          <w:i/>
          <w:sz w:val="16"/>
          <w:szCs w:val="16"/>
          <w:shd w:val="clear" w:color="auto" w:fill="FFFFFF"/>
        </w:rPr>
        <w:t xml:space="preserve"> Pivaral y otros Vs. Guatemala. Excepción Preliminar, Fondo, Reparaciones y Costas</w:t>
      </w:r>
      <w:r w:rsidRPr="006D3159">
        <w:rPr>
          <w:rStyle w:val="Textoennegrita"/>
          <w:b w:val="0"/>
          <w:sz w:val="16"/>
          <w:szCs w:val="16"/>
          <w:shd w:val="clear" w:color="auto" w:fill="FFFFFF"/>
        </w:rPr>
        <w:t>. Sentencia de 23 de agosto de 2018. Serie C No. 359, párr. 27.</w:t>
      </w:r>
    </w:p>
  </w:footnote>
  <w:footnote w:id="12">
    <w:p w14:paraId="02612605" w14:textId="77777777" w:rsidR="009C6A90" w:rsidRPr="006D3159" w:rsidRDefault="009C6A90" w:rsidP="00436D25">
      <w:pPr>
        <w:pStyle w:val="Textonotapie"/>
        <w:tabs>
          <w:tab w:val="left" w:pos="567"/>
        </w:tabs>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Caso </w:t>
      </w:r>
      <w:proofErr w:type="spellStart"/>
      <w:r w:rsidRPr="006D3159">
        <w:rPr>
          <w:i/>
          <w:sz w:val="16"/>
          <w:szCs w:val="16"/>
        </w:rPr>
        <w:t>Omeara</w:t>
      </w:r>
      <w:proofErr w:type="spellEnd"/>
      <w:r w:rsidRPr="006D3159">
        <w:rPr>
          <w:i/>
          <w:sz w:val="16"/>
          <w:szCs w:val="16"/>
        </w:rPr>
        <w:t xml:space="preserve"> Carrascal y otros Vs. Colombia. Fondo, Reparaciones y Costas</w:t>
      </w:r>
      <w:r w:rsidRPr="006D3159">
        <w:rPr>
          <w:sz w:val="16"/>
          <w:szCs w:val="16"/>
        </w:rPr>
        <w:t xml:space="preserve">. Sentencia de 21 de noviembre de 2018. Serie C No. 368, </w:t>
      </w:r>
      <w:proofErr w:type="spellStart"/>
      <w:r w:rsidRPr="006D3159">
        <w:rPr>
          <w:sz w:val="16"/>
          <w:szCs w:val="16"/>
        </w:rPr>
        <w:t>párrs</w:t>
      </w:r>
      <w:proofErr w:type="spellEnd"/>
      <w:r w:rsidRPr="006D3159">
        <w:rPr>
          <w:sz w:val="16"/>
          <w:szCs w:val="16"/>
        </w:rPr>
        <w:t xml:space="preserve">. 55 y 56, y </w:t>
      </w:r>
      <w:r w:rsidRPr="006D3159">
        <w:rPr>
          <w:i/>
          <w:sz w:val="16"/>
          <w:szCs w:val="16"/>
        </w:rPr>
        <w:t>Caso Martínez Coronado Vs. Guatemala. Fondo, Reparaciones y Costas</w:t>
      </w:r>
      <w:r w:rsidRPr="006D3159">
        <w:rPr>
          <w:sz w:val="16"/>
          <w:szCs w:val="16"/>
        </w:rPr>
        <w:t xml:space="preserve">. Sentencia de 10 de mayo de 2019. Serie C No. 376, párr. 19. </w:t>
      </w:r>
      <w:r w:rsidRPr="006D3159">
        <w:rPr>
          <w:sz w:val="16"/>
          <w:szCs w:val="16"/>
        </w:rPr>
        <w:tab/>
        <w:t xml:space="preserve"> </w:t>
      </w:r>
    </w:p>
  </w:footnote>
  <w:footnote w:id="13">
    <w:p w14:paraId="63FC2D6F" w14:textId="77777777" w:rsidR="009C6A90" w:rsidRPr="006D3159" w:rsidRDefault="009C6A90" w:rsidP="00436D25">
      <w:pPr>
        <w:pStyle w:val="Textonotapie"/>
        <w:tabs>
          <w:tab w:val="left" w:pos="567"/>
        </w:tabs>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Esto es (i) </w:t>
      </w:r>
      <w:r w:rsidRPr="006D3159">
        <w:rPr>
          <w:rFonts w:cs="Verdana"/>
          <w:sz w:val="16"/>
          <w:szCs w:val="16"/>
          <w:lang w:val="es-CR" w:eastAsia="es-CR"/>
        </w:rPr>
        <w:t>la imposición de la pena de muerte a los señores Rodríguez Revolorio, López Calo y Archila Pérez</w:t>
      </w:r>
      <w:r w:rsidRPr="006D3159">
        <w:rPr>
          <w:sz w:val="16"/>
          <w:szCs w:val="16"/>
        </w:rPr>
        <w:t>, (</w:t>
      </w:r>
      <w:proofErr w:type="spellStart"/>
      <w:r w:rsidRPr="006D3159">
        <w:rPr>
          <w:sz w:val="16"/>
          <w:szCs w:val="16"/>
        </w:rPr>
        <w:t>ii</w:t>
      </w:r>
      <w:proofErr w:type="spellEnd"/>
      <w:r w:rsidRPr="006D3159">
        <w:rPr>
          <w:sz w:val="16"/>
          <w:szCs w:val="16"/>
        </w:rPr>
        <w:t>) las condiciones carcelarias y (</w:t>
      </w:r>
      <w:proofErr w:type="spellStart"/>
      <w:r w:rsidRPr="006D3159">
        <w:rPr>
          <w:sz w:val="16"/>
          <w:szCs w:val="16"/>
        </w:rPr>
        <w:t>iii</w:t>
      </w:r>
      <w:proofErr w:type="spellEnd"/>
      <w:r w:rsidRPr="006D3159">
        <w:rPr>
          <w:sz w:val="16"/>
          <w:szCs w:val="16"/>
        </w:rPr>
        <w:t>) las alegadas falencias ocurridas en el marco del procedimiento penal.</w:t>
      </w:r>
    </w:p>
  </w:footnote>
  <w:footnote w:id="14">
    <w:p w14:paraId="5C67EE31" w14:textId="77777777" w:rsidR="009C6A90" w:rsidRPr="006D3159" w:rsidRDefault="009C6A90" w:rsidP="00436D25">
      <w:pPr>
        <w:pStyle w:val="Textonotapie"/>
        <w:tabs>
          <w:tab w:val="left" w:pos="567"/>
        </w:tabs>
        <w:rPr>
          <w:b/>
          <w:sz w:val="16"/>
          <w:szCs w:val="16"/>
          <w:lang w:val="es-CR"/>
        </w:rPr>
      </w:pPr>
      <w:r w:rsidRPr="006D3159">
        <w:rPr>
          <w:rStyle w:val="Refdenotaalpie"/>
          <w:sz w:val="16"/>
          <w:szCs w:val="16"/>
        </w:rPr>
        <w:footnoteRef/>
      </w:r>
      <w:r w:rsidRPr="006D3159">
        <w:rPr>
          <w:sz w:val="16"/>
          <w:szCs w:val="16"/>
          <w:lang w:val="es-CR"/>
        </w:rPr>
        <w:t xml:space="preserve"> </w:t>
      </w:r>
      <w:r w:rsidRPr="006D3159">
        <w:rPr>
          <w:sz w:val="16"/>
          <w:szCs w:val="16"/>
          <w:lang w:val="es-CR"/>
        </w:rPr>
        <w:tab/>
      </w:r>
      <w:r w:rsidRPr="006D3159">
        <w:rPr>
          <w:i/>
          <w:sz w:val="16"/>
          <w:szCs w:val="16"/>
          <w:lang w:val="es-CR"/>
        </w:rPr>
        <w:t>Cfr</w:t>
      </w:r>
      <w:r w:rsidRPr="006D3159">
        <w:rPr>
          <w:sz w:val="16"/>
          <w:szCs w:val="16"/>
          <w:lang w:val="es-CR"/>
        </w:rPr>
        <w:t xml:space="preserve">. </w:t>
      </w:r>
      <w:r w:rsidRPr="006D3159">
        <w:rPr>
          <w:bCs/>
          <w:i/>
          <w:sz w:val="16"/>
          <w:szCs w:val="16"/>
        </w:rPr>
        <w:t xml:space="preserve">Caso Vera </w:t>
      </w:r>
      <w:proofErr w:type="spellStart"/>
      <w:r w:rsidRPr="006D3159">
        <w:rPr>
          <w:bCs/>
          <w:i/>
          <w:sz w:val="16"/>
          <w:szCs w:val="16"/>
        </w:rPr>
        <w:t>Vera</w:t>
      </w:r>
      <w:proofErr w:type="spellEnd"/>
      <w:r w:rsidRPr="006D3159">
        <w:rPr>
          <w:bCs/>
          <w:i/>
          <w:sz w:val="16"/>
          <w:szCs w:val="16"/>
        </w:rPr>
        <w:t xml:space="preserve"> y otra Vs. Ecuador. Excepción Preliminar, Fondo, Reparaciones y Costas. </w:t>
      </w:r>
      <w:r w:rsidRPr="006D3159">
        <w:rPr>
          <w:bCs/>
          <w:sz w:val="16"/>
          <w:szCs w:val="16"/>
        </w:rPr>
        <w:t>Sentencia de 19 de mayo de 2011. Serie C No. 226</w:t>
      </w:r>
      <w:r w:rsidRPr="006D3159">
        <w:rPr>
          <w:iCs/>
          <w:sz w:val="16"/>
          <w:szCs w:val="16"/>
          <w:lang w:val="es-MX"/>
        </w:rPr>
        <w:t>,</w:t>
      </w:r>
      <w:r w:rsidRPr="006D3159">
        <w:rPr>
          <w:rStyle w:val="Textoennegrita"/>
          <w:sz w:val="16"/>
          <w:szCs w:val="16"/>
        </w:rPr>
        <w:t xml:space="preserve"> </w:t>
      </w:r>
      <w:r w:rsidRPr="006D3159">
        <w:rPr>
          <w:rStyle w:val="Textoennegrita"/>
          <w:b w:val="0"/>
          <w:sz w:val="16"/>
          <w:szCs w:val="16"/>
        </w:rPr>
        <w:t xml:space="preserve">párr. 32, y </w:t>
      </w:r>
      <w:r w:rsidRPr="006D3159">
        <w:rPr>
          <w:rStyle w:val="Textoennegrita"/>
          <w:b w:val="0"/>
          <w:i/>
          <w:sz w:val="16"/>
          <w:szCs w:val="16"/>
        </w:rPr>
        <w:t>Caso I.V. Vs. Bolivia. Excepciones Preliminares, Fondo, Reparaciones y Costas</w:t>
      </w:r>
      <w:r w:rsidRPr="006D3159">
        <w:rPr>
          <w:rStyle w:val="Textoennegrita"/>
          <w:b w:val="0"/>
          <w:sz w:val="16"/>
          <w:szCs w:val="16"/>
        </w:rPr>
        <w:t>. Sentencia de 30 de noviembre de 2016. Serie C No. 329, párr. 45.</w:t>
      </w:r>
    </w:p>
  </w:footnote>
  <w:footnote w:id="15">
    <w:p w14:paraId="1A29A9BE" w14:textId="77777777" w:rsidR="009C6A90" w:rsidRPr="006D3159" w:rsidRDefault="009C6A90" w:rsidP="007B4A97">
      <w:pPr>
        <w:pStyle w:val="Textonotapie"/>
        <w:tabs>
          <w:tab w:val="left" w:pos="567"/>
        </w:tabs>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6D3159">
        <w:rPr>
          <w:i/>
          <w:sz w:val="16"/>
          <w:szCs w:val="16"/>
        </w:rPr>
        <w:t>Cfr.</w:t>
      </w:r>
      <w:r w:rsidRPr="006D3159">
        <w:rPr>
          <w:sz w:val="16"/>
          <w:szCs w:val="16"/>
        </w:rPr>
        <w:t xml:space="preserve"> </w:t>
      </w:r>
      <w:r w:rsidRPr="006D3159">
        <w:rPr>
          <w:i/>
          <w:sz w:val="16"/>
          <w:szCs w:val="16"/>
        </w:rPr>
        <w:t xml:space="preserve">Caso Familia Barrios Vs. Venezuela. Fondo, Reparaciones y Costas. </w:t>
      </w:r>
      <w:r w:rsidRPr="006D3159">
        <w:rPr>
          <w:sz w:val="16"/>
          <w:szCs w:val="16"/>
        </w:rPr>
        <w:t xml:space="preserve">Sentencia de 24 de noviembre de 2011. Serie C No. 237, </w:t>
      </w:r>
      <w:proofErr w:type="spellStart"/>
      <w:r w:rsidRPr="006D3159">
        <w:rPr>
          <w:sz w:val="16"/>
          <w:szCs w:val="16"/>
        </w:rPr>
        <w:t>párrs</w:t>
      </w:r>
      <w:proofErr w:type="spellEnd"/>
      <w:r w:rsidRPr="006D3159">
        <w:rPr>
          <w:sz w:val="16"/>
          <w:szCs w:val="16"/>
        </w:rPr>
        <w:t xml:space="preserve">. 17 y 18, y </w:t>
      </w:r>
      <w:r w:rsidRPr="006D3159">
        <w:rPr>
          <w:rStyle w:val="Textoennegrita"/>
          <w:b w:val="0"/>
          <w:i/>
          <w:color w:val="000000"/>
          <w:sz w:val="16"/>
          <w:szCs w:val="16"/>
          <w:shd w:val="clear" w:color="auto" w:fill="FFFFFF"/>
        </w:rPr>
        <w:t xml:space="preserve">Caso Muelle Flores Vs. Perú. Excepciones Preliminares, Fondo, Reparaciones y Costas. </w:t>
      </w:r>
      <w:r w:rsidRPr="006D3159">
        <w:rPr>
          <w:rStyle w:val="Textoennegrita"/>
          <w:b w:val="0"/>
          <w:color w:val="000000"/>
          <w:sz w:val="16"/>
          <w:szCs w:val="16"/>
          <w:shd w:val="clear" w:color="auto" w:fill="FFFFFF"/>
        </w:rPr>
        <w:t>Sentencia de 6 de marzo de 2019. Serie C No. 375,</w:t>
      </w:r>
      <w:r w:rsidRPr="006D3159">
        <w:rPr>
          <w:rStyle w:val="Textoennegrita"/>
          <w:b w:val="0"/>
          <w:i/>
          <w:color w:val="000000"/>
          <w:sz w:val="16"/>
          <w:szCs w:val="16"/>
          <w:shd w:val="clear" w:color="auto" w:fill="FFFFFF"/>
        </w:rPr>
        <w:t xml:space="preserve"> </w:t>
      </w:r>
      <w:r w:rsidRPr="006D3159">
        <w:rPr>
          <w:rStyle w:val="Textoennegrita"/>
          <w:b w:val="0"/>
          <w:color w:val="000000"/>
          <w:sz w:val="16"/>
          <w:szCs w:val="16"/>
          <w:shd w:val="clear" w:color="auto" w:fill="FFFFFF"/>
        </w:rPr>
        <w:t>párr. 38</w:t>
      </w:r>
      <w:r w:rsidRPr="006D3159">
        <w:rPr>
          <w:rStyle w:val="Textoennegrita"/>
          <w:b w:val="0"/>
          <w:i/>
          <w:color w:val="000000"/>
          <w:sz w:val="16"/>
          <w:szCs w:val="16"/>
          <w:shd w:val="clear" w:color="auto" w:fill="FFFFFF"/>
        </w:rPr>
        <w:t>.</w:t>
      </w:r>
    </w:p>
  </w:footnote>
  <w:footnote w:id="16">
    <w:p w14:paraId="4B618CA1"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En audiencia pública la Corte recibió la declaración de Miguel Ángel Rodríguez Revolorio.</w:t>
      </w:r>
    </w:p>
  </w:footnote>
  <w:footnote w:id="17">
    <w:p w14:paraId="785CD593"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La Corte recibió las declaraciones rendidas ante fedatario público (afidávit) de Miriam Floridalma Osorio García de López, Irma Morales Morata, Víctor Hugo Cano y Roberto Enrique Quiñónez Días, así como de los peritos Alberto Bovino y Juan José Hernández Mejía, propuestos por las representantes.</w:t>
      </w:r>
    </w:p>
  </w:footnote>
  <w:footnote w:id="18">
    <w:p w14:paraId="1C7A677C" w14:textId="77777777" w:rsidR="009C6A90" w:rsidRPr="006D3159" w:rsidRDefault="009C6A90" w:rsidP="00436D25">
      <w:pPr>
        <w:pStyle w:val="Textonotapie"/>
        <w:rPr>
          <w:sz w:val="16"/>
          <w:szCs w:val="16"/>
        </w:rPr>
      </w:pPr>
      <w:r w:rsidRPr="006D3159">
        <w:rPr>
          <w:rStyle w:val="Refdenotaalpie"/>
          <w:rFonts w:eastAsia="Calibri"/>
          <w:sz w:val="16"/>
          <w:szCs w:val="16"/>
        </w:rPr>
        <w:footnoteRef/>
      </w:r>
      <w:r w:rsidRPr="006D3159">
        <w:rPr>
          <w:sz w:val="16"/>
          <w:szCs w:val="16"/>
        </w:rPr>
        <w:t xml:space="preserve"> </w:t>
      </w:r>
      <w:r w:rsidRPr="006D3159">
        <w:rPr>
          <w:sz w:val="16"/>
          <w:szCs w:val="16"/>
        </w:rPr>
        <w:tab/>
        <w:t xml:space="preserve">Los objetos de todas estas declaraciones se encuentran establecidos en la Resolución del </w:t>
      </w:r>
      <w:proofErr w:type="gramStart"/>
      <w:r w:rsidRPr="006D3159">
        <w:rPr>
          <w:sz w:val="16"/>
          <w:szCs w:val="16"/>
        </w:rPr>
        <w:t>Presidente</w:t>
      </w:r>
      <w:proofErr w:type="gramEnd"/>
      <w:r w:rsidRPr="006D3159">
        <w:rPr>
          <w:sz w:val="16"/>
          <w:szCs w:val="16"/>
        </w:rPr>
        <w:t xml:space="preserve"> de la Corte Interamericana emitida el</w:t>
      </w:r>
      <w:r w:rsidRPr="006D3159">
        <w:rPr>
          <w:i/>
          <w:sz w:val="16"/>
          <w:szCs w:val="16"/>
        </w:rPr>
        <w:t xml:space="preserve"> </w:t>
      </w:r>
      <w:r w:rsidRPr="006D3159">
        <w:rPr>
          <w:sz w:val="16"/>
          <w:szCs w:val="16"/>
        </w:rPr>
        <w:t>15 de febrero de 2019. Disponible en:</w:t>
      </w:r>
    </w:p>
    <w:p w14:paraId="1EE0B5EC" w14:textId="77777777" w:rsidR="009C6A90" w:rsidRPr="006D3159" w:rsidRDefault="00C11457" w:rsidP="00436D25">
      <w:pPr>
        <w:pStyle w:val="Textonotapie"/>
        <w:rPr>
          <w:rFonts w:eastAsia="ヒラギノ角ゴ Pro W3"/>
          <w:sz w:val="16"/>
          <w:szCs w:val="16"/>
          <w:lang w:val="es-CR"/>
        </w:rPr>
      </w:pPr>
      <w:hyperlink r:id="rId2" w:history="1">
        <w:r w:rsidR="009C6A90" w:rsidRPr="006D3159">
          <w:rPr>
            <w:rStyle w:val="Hipervnculo"/>
            <w:sz w:val="16"/>
            <w:szCs w:val="16"/>
            <w:lang w:val="es-CR"/>
          </w:rPr>
          <w:t>http://www.corteidh.or.cr/docs/asuntos/rodriguez_revolorio_15_02_19.pdf</w:t>
        </w:r>
      </w:hyperlink>
      <w:r w:rsidR="009C6A90" w:rsidRPr="006D3159">
        <w:rPr>
          <w:rStyle w:val="Hipervnculo"/>
          <w:sz w:val="16"/>
          <w:szCs w:val="16"/>
          <w:lang w:val="es-CR"/>
        </w:rPr>
        <w:t xml:space="preserve"> </w:t>
      </w:r>
    </w:p>
  </w:footnote>
  <w:footnote w:id="19">
    <w:p w14:paraId="2DAFE937"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El Estado indicó en particular que los peritos “[…] obviaron exponer que dicha condena fue conmutada por la de privación de libertad y que el señor Rodríguez Revolorio gozó del beneficio de libertad anticipada. También obviaron manifestar que, dichas personas formaron parte de las fuerzas de seguridad del Estado y fueron sentenciados por los delitos de asesinato y asesinato en grado de tentativa […]”. </w:t>
      </w:r>
    </w:p>
  </w:footnote>
  <w:footnote w:id="20">
    <w:p w14:paraId="5092AB96"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rStyle w:val="Refdenotaalpie"/>
          <w:sz w:val="16"/>
          <w:szCs w:val="16"/>
          <w:vertAlign w:val="baseline"/>
        </w:rPr>
        <w:t>Constitución</w:t>
      </w:r>
      <w:r w:rsidRPr="006D3159">
        <w:rPr>
          <w:sz w:val="16"/>
          <w:szCs w:val="16"/>
        </w:rPr>
        <w:t xml:space="preserve"> Política de la República de Guatemala decretada por la Asamblea Constituyente, de 31 de mayo de 1985, Reformada por la Consulta Popular Acuerdo Legislativo 18-93:</w:t>
      </w:r>
      <w:r w:rsidRPr="006D3159">
        <w:rPr>
          <w:sz w:val="16"/>
          <w:szCs w:val="16"/>
        </w:rPr>
        <w:tab/>
      </w:r>
    </w:p>
    <w:p w14:paraId="25CD73B5" w14:textId="77777777" w:rsidR="009C6A90" w:rsidRPr="006D3159" w:rsidRDefault="009C6A90" w:rsidP="00436D25">
      <w:pPr>
        <w:pStyle w:val="Textonotapie"/>
        <w:ind w:left="720" w:right="720"/>
        <w:rPr>
          <w:sz w:val="16"/>
          <w:szCs w:val="16"/>
        </w:rPr>
      </w:pPr>
      <w:r w:rsidRPr="006D3159">
        <w:rPr>
          <w:sz w:val="16"/>
          <w:szCs w:val="16"/>
          <w:lang w:val="es-CR"/>
        </w:rPr>
        <w:t xml:space="preserve">“Artículo 18. </w:t>
      </w:r>
      <w:r w:rsidRPr="006D3159">
        <w:rPr>
          <w:sz w:val="16"/>
          <w:szCs w:val="16"/>
        </w:rPr>
        <w:t>Pena de muerte. La pena de muerte no podrá imponerse en los siguientes casos:</w:t>
      </w:r>
    </w:p>
    <w:p w14:paraId="55DCB4E7" w14:textId="77777777" w:rsidR="009C6A90" w:rsidRPr="006D3159" w:rsidRDefault="009C6A90" w:rsidP="00436D25">
      <w:pPr>
        <w:pStyle w:val="Textonotapie"/>
        <w:ind w:left="720" w:right="720"/>
        <w:rPr>
          <w:sz w:val="16"/>
          <w:szCs w:val="16"/>
        </w:rPr>
      </w:pPr>
      <w:r w:rsidRPr="006D3159">
        <w:rPr>
          <w:sz w:val="16"/>
          <w:szCs w:val="16"/>
        </w:rPr>
        <w:t>a. Con fundamento en presunciones;</w:t>
      </w:r>
    </w:p>
    <w:p w14:paraId="0F14ED12" w14:textId="77777777" w:rsidR="009C6A90" w:rsidRPr="006D3159" w:rsidRDefault="009C6A90" w:rsidP="00436D25">
      <w:pPr>
        <w:pStyle w:val="Textonotapie"/>
        <w:ind w:left="720" w:right="720"/>
        <w:rPr>
          <w:sz w:val="16"/>
          <w:szCs w:val="16"/>
        </w:rPr>
      </w:pPr>
      <w:r w:rsidRPr="006D3159">
        <w:rPr>
          <w:sz w:val="16"/>
          <w:szCs w:val="16"/>
        </w:rPr>
        <w:t>b. A las mujeres;</w:t>
      </w:r>
    </w:p>
    <w:p w14:paraId="30D77546" w14:textId="77777777" w:rsidR="009C6A90" w:rsidRPr="006D3159" w:rsidRDefault="009C6A90" w:rsidP="00436D25">
      <w:pPr>
        <w:pStyle w:val="Textonotapie"/>
        <w:ind w:left="720" w:right="720"/>
        <w:rPr>
          <w:sz w:val="16"/>
          <w:szCs w:val="16"/>
        </w:rPr>
      </w:pPr>
      <w:r w:rsidRPr="006D3159">
        <w:rPr>
          <w:sz w:val="16"/>
          <w:szCs w:val="16"/>
        </w:rPr>
        <w:t>c. A los mayores de sesenta años;</w:t>
      </w:r>
    </w:p>
    <w:p w14:paraId="54BADEF0" w14:textId="77777777" w:rsidR="009C6A90" w:rsidRPr="006D3159" w:rsidRDefault="009C6A90" w:rsidP="00436D25">
      <w:pPr>
        <w:pStyle w:val="Textonotapie"/>
        <w:ind w:left="720" w:right="720"/>
        <w:rPr>
          <w:sz w:val="16"/>
          <w:szCs w:val="16"/>
        </w:rPr>
      </w:pPr>
      <w:r w:rsidRPr="006D3159">
        <w:rPr>
          <w:sz w:val="16"/>
          <w:szCs w:val="16"/>
        </w:rPr>
        <w:t>d. A los reos de delitos políticos y comunes conexos con los políticos; y</w:t>
      </w:r>
    </w:p>
    <w:p w14:paraId="2007753B" w14:textId="77777777" w:rsidR="009C6A90" w:rsidRPr="006D3159" w:rsidRDefault="009C6A90" w:rsidP="00436D25">
      <w:pPr>
        <w:pStyle w:val="Textonotapie"/>
        <w:ind w:left="720" w:right="720"/>
        <w:rPr>
          <w:sz w:val="16"/>
          <w:szCs w:val="16"/>
        </w:rPr>
      </w:pPr>
      <w:r w:rsidRPr="006D3159">
        <w:rPr>
          <w:sz w:val="16"/>
          <w:szCs w:val="16"/>
        </w:rPr>
        <w:t xml:space="preserve">e. </w:t>
      </w:r>
      <w:r w:rsidRPr="006D3159">
        <w:rPr>
          <w:iCs/>
          <w:sz w:val="16"/>
          <w:szCs w:val="16"/>
        </w:rPr>
        <w:t>A</w:t>
      </w:r>
      <w:r w:rsidRPr="006D3159">
        <w:rPr>
          <w:i/>
          <w:iCs/>
          <w:sz w:val="16"/>
          <w:szCs w:val="16"/>
        </w:rPr>
        <w:t xml:space="preserve"> </w:t>
      </w:r>
      <w:r w:rsidRPr="006D3159">
        <w:rPr>
          <w:sz w:val="16"/>
          <w:szCs w:val="16"/>
        </w:rPr>
        <w:t>reos cuya extradición haya sido concedida bajo esa condición.</w:t>
      </w:r>
    </w:p>
    <w:p w14:paraId="59291C51" w14:textId="77777777" w:rsidR="009C6A90" w:rsidRPr="006D3159" w:rsidRDefault="009C6A90" w:rsidP="00436D25">
      <w:pPr>
        <w:pStyle w:val="Textonotapie"/>
        <w:ind w:left="720" w:right="720"/>
        <w:rPr>
          <w:sz w:val="16"/>
          <w:szCs w:val="16"/>
        </w:rPr>
      </w:pPr>
      <w:r w:rsidRPr="006D3159">
        <w:rPr>
          <w:sz w:val="16"/>
          <w:szCs w:val="16"/>
        </w:rPr>
        <w:t xml:space="preserve">Contra la sentencia que imponga la pena de muerte, serán admisibles todos los recursos legales pertinentes, inclusive el de casación; éste siempre será admitido para su trámite. La pena se ejecutará después de agotarse todos los recursos. </w:t>
      </w:r>
    </w:p>
    <w:p w14:paraId="19303EFF" w14:textId="77777777" w:rsidR="009C6A90" w:rsidRPr="006D3159" w:rsidRDefault="009C6A90" w:rsidP="00436D25">
      <w:pPr>
        <w:pStyle w:val="Textonotapie"/>
        <w:ind w:left="720" w:right="720"/>
        <w:rPr>
          <w:sz w:val="16"/>
          <w:szCs w:val="16"/>
        </w:rPr>
      </w:pPr>
      <w:r w:rsidRPr="006D3159">
        <w:rPr>
          <w:sz w:val="16"/>
          <w:szCs w:val="16"/>
        </w:rPr>
        <w:t>El Congreso de la República podrá abolir la pena de muerte”.</w:t>
      </w:r>
    </w:p>
  </w:footnote>
  <w:footnote w:id="21">
    <w:p w14:paraId="6AED81DE"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lang w:val="pt-BR"/>
        </w:rPr>
        <w:t xml:space="preserve"> </w:t>
      </w:r>
      <w:r w:rsidRPr="006D3159">
        <w:rPr>
          <w:sz w:val="16"/>
          <w:szCs w:val="16"/>
          <w:lang w:val="pt-BR"/>
        </w:rPr>
        <w:tab/>
      </w:r>
      <w:r w:rsidRPr="006D3159">
        <w:rPr>
          <w:sz w:val="16"/>
          <w:szCs w:val="16"/>
        </w:rPr>
        <w:t>Decreto Legislativo No. 17/73 (Código Penal) emitido por el Congreso de la República de Guatemala el 5 de julio de 1973.</w:t>
      </w:r>
    </w:p>
  </w:footnote>
  <w:footnote w:id="22">
    <w:p w14:paraId="349C1B8F"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rFonts w:cs="Verdana"/>
          <w:sz w:val="16"/>
          <w:szCs w:val="16"/>
        </w:rPr>
        <w:t>Decreto Legislativo No. 17-73 (Código Penal) emitido por el Congreso de la República de Guatemala el 5 de julio de 1973.</w:t>
      </w:r>
      <w:r w:rsidRPr="006D3159">
        <w:rPr>
          <w:color w:val="141414"/>
          <w:sz w:val="16"/>
          <w:szCs w:val="16"/>
        </w:rPr>
        <w:t xml:space="preserve"> En virtud de lo señalado en el artículo 5 del Decreto 20-96 de 9 de mayo de 1996 se modificó la </w:t>
      </w:r>
      <w:r w:rsidRPr="006D3159">
        <w:rPr>
          <w:color w:val="242424"/>
          <w:sz w:val="16"/>
          <w:szCs w:val="16"/>
        </w:rPr>
        <w:t xml:space="preserve">pena </w:t>
      </w:r>
      <w:r w:rsidRPr="006D3159">
        <w:rPr>
          <w:color w:val="141414"/>
          <w:sz w:val="16"/>
          <w:szCs w:val="16"/>
        </w:rPr>
        <w:t xml:space="preserve">de </w:t>
      </w:r>
      <w:r w:rsidRPr="006D3159">
        <w:rPr>
          <w:color w:val="242424"/>
          <w:sz w:val="16"/>
          <w:szCs w:val="16"/>
        </w:rPr>
        <w:t xml:space="preserve">prisión </w:t>
      </w:r>
      <w:r w:rsidRPr="006D3159">
        <w:rPr>
          <w:color w:val="141414"/>
          <w:sz w:val="16"/>
          <w:szCs w:val="16"/>
        </w:rPr>
        <w:t xml:space="preserve">para este tipo de delito, </w:t>
      </w:r>
      <w:r w:rsidRPr="006D3159">
        <w:rPr>
          <w:color w:val="242424"/>
          <w:sz w:val="16"/>
          <w:szCs w:val="16"/>
        </w:rPr>
        <w:t xml:space="preserve">estableciendo la misma en </w:t>
      </w:r>
      <w:r w:rsidRPr="006D3159">
        <w:rPr>
          <w:color w:val="141414"/>
          <w:sz w:val="16"/>
          <w:szCs w:val="16"/>
        </w:rPr>
        <w:t xml:space="preserve">entre </w:t>
      </w:r>
      <w:r w:rsidRPr="006D3159">
        <w:rPr>
          <w:color w:val="242424"/>
          <w:sz w:val="16"/>
          <w:szCs w:val="16"/>
        </w:rPr>
        <w:t xml:space="preserve">25 a </w:t>
      </w:r>
      <w:r w:rsidRPr="006D3159">
        <w:rPr>
          <w:color w:val="141414"/>
          <w:sz w:val="16"/>
          <w:szCs w:val="16"/>
        </w:rPr>
        <w:t xml:space="preserve">50 </w:t>
      </w:r>
      <w:r w:rsidRPr="006D3159">
        <w:rPr>
          <w:color w:val="242424"/>
          <w:sz w:val="16"/>
          <w:szCs w:val="16"/>
        </w:rPr>
        <w:t>años (</w:t>
      </w:r>
      <w:r w:rsidRPr="006D3159">
        <w:rPr>
          <w:rFonts w:cs="Arial"/>
          <w:color w:val="141414"/>
          <w:sz w:val="16"/>
          <w:szCs w:val="16"/>
        </w:rPr>
        <w:t xml:space="preserve">Decreto No. </w:t>
      </w:r>
      <w:r w:rsidRPr="006D3159">
        <w:rPr>
          <w:color w:val="242424"/>
          <w:sz w:val="16"/>
          <w:szCs w:val="16"/>
        </w:rPr>
        <w:t xml:space="preserve">20-96 </w:t>
      </w:r>
      <w:r w:rsidRPr="006D3159">
        <w:rPr>
          <w:color w:val="141414"/>
          <w:sz w:val="16"/>
          <w:szCs w:val="16"/>
        </w:rPr>
        <w:t>d</w:t>
      </w:r>
      <w:r w:rsidRPr="006D3159">
        <w:rPr>
          <w:color w:val="383838"/>
          <w:sz w:val="16"/>
          <w:szCs w:val="16"/>
        </w:rPr>
        <w:t>e</w:t>
      </w:r>
      <w:r w:rsidRPr="006D3159">
        <w:rPr>
          <w:color w:val="141414"/>
          <w:sz w:val="16"/>
          <w:szCs w:val="16"/>
        </w:rPr>
        <w:t xml:space="preserve">l </w:t>
      </w:r>
      <w:r w:rsidRPr="006D3159">
        <w:rPr>
          <w:color w:val="242424"/>
          <w:sz w:val="16"/>
          <w:szCs w:val="16"/>
        </w:rPr>
        <w:t xml:space="preserve">Congreso </w:t>
      </w:r>
      <w:r w:rsidRPr="006D3159">
        <w:rPr>
          <w:color w:val="141414"/>
          <w:sz w:val="16"/>
          <w:szCs w:val="16"/>
        </w:rPr>
        <w:t>d</w:t>
      </w:r>
      <w:r w:rsidRPr="006D3159">
        <w:rPr>
          <w:color w:val="383838"/>
          <w:sz w:val="16"/>
          <w:szCs w:val="16"/>
        </w:rPr>
        <w:t xml:space="preserve">e </w:t>
      </w:r>
      <w:r w:rsidRPr="006D3159">
        <w:rPr>
          <w:color w:val="242424"/>
          <w:sz w:val="16"/>
          <w:szCs w:val="16"/>
        </w:rPr>
        <w:t xml:space="preserve">la República </w:t>
      </w:r>
      <w:r w:rsidRPr="006D3159">
        <w:rPr>
          <w:color w:val="141414"/>
          <w:sz w:val="16"/>
          <w:szCs w:val="16"/>
        </w:rPr>
        <w:t xml:space="preserve">de </w:t>
      </w:r>
      <w:r w:rsidRPr="006D3159">
        <w:rPr>
          <w:color w:val="242424"/>
          <w:sz w:val="16"/>
          <w:szCs w:val="16"/>
        </w:rPr>
        <w:t>Guatemala el 9 de mayo de 1996).</w:t>
      </w:r>
    </w:p>
  </w:footnote>
  <w:footnote w:id="23">
    <w:p w14:paraId="63DA04CE"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Decreto No. 234 del Congreso de la República de Guatemala, de 21 de mayo de 1946. </w:t>
      </w:r>
    </w:p>
  </w:footnote>
  <w:footnote w:id="24">
    <w:p w14:paraId="3DF73418"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Ley que establece el procedimiento para la ejecución de la pena de muerte. Decreto No. 100-96 del Congreso de la República de Guatemala de 28 de noviembre de 1996. El Artículo 7 dispone: “Después de la lectura de las resoluciones a que se refiere el artículo anterior, se procederá a ejecutar la pena de muerte mediante el procedimiento de la inyección letal que se describe a continuación […]”. </w:t>
      </w:r>
    </w:p>
  </w:footnote>
  <w:footnote w:id="25">
    <w:p w14:paraId="4F964DB7"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lang w:val="es-ES"/>
        </w:rPr>
        <w:t xml:space="preserve"> </w:t>
      </w:r>
      <w:r w:rsidRPr="006D3159">
        <w:rPr>
          <w:sz w:val="16"/>
          <w:szCs w:val="16"/>
          <w:lang w:val="es-ES"/>
        </w:rPr>
        <w:tab/>
      </w:r>
      <w:r w:rsidRPr="006D3159">
        <w:rPr>
          <w:sz w:val="16"/>
          <w:szCs w:val="16"/>
        </w:rPr>
        <w:t>Decreto Legislativo No. 159 emitido por la Asamblea Nacional Legislativa de la República de Guatemala, de 20 de abril del 1892.</w:t>
      </w:r>
    </w:p>
  </w:footnote>
  <w:footnote w:id="26">
    <w:p w14:paraId="54304CE1"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Para un mayor desarrollo, véase </w:t>
      </w:r>
      <w:r w:rsidRPr="006D3159">
        <w:rPr>
          <w:rStyle w:val="Textoennegrita"/>
          <w:b w:val="0"/>
          <w:i/>
          <w:sz w:val="16"/>
          <w:szCs w:val="16"/>
        </w:rPr>
        <w:t xml:space="preserve">Caso </w:t>
      </w:r>
      <w:proofErr w:type="spellStart"/>
      <w:r w:rsidRPr="006D3159">
        <w:rPr>
          <w:rStyle w:val="Textoennegrita"/>
          <w:b w:val="0"/>
          <w:i/>
          <w:sz w:val="16"/>
          <w:szCs w:val="16"/>
        </w:rPr>
        <w:t>Raxcacó</w:t>
      </w:r>
      <w:proofErr w:type="spellEnd"/>
      <w:r w:rsidRPr="006D3159">
        <w:rPr>
          <w:rStyle w:val="Textoennegrita"/>
          <w:b w:val="0"/>
          <w:i/>
          <w:sz w:val="16"/>
          <w:szCs w:val="16"/>
        </w:rPr>
        <w:t xml:space="preserve"> Reyes Vs. Guatemala. Fondo, Reparaciones y Costas</w:t>
      </w:r>
      <w:r w:rsidRPr="006D3159">
        <w:rPr>
          <w:rStyle w:val="Textoennegrita"/>
          <w:b w:val="0"/>
          <w:sz w:val="16"/>
          <w:szCs w:val="16"/>
        </w:rPr>
        <w:t xml:space="preserve">. Sentencia de 15 de septiembre de 2005. Serie C No. 133, </w:t>
      </w:r>
      <w:proofErr w:type="spellStart"/>
      <w:r w:rsidRPr="006D3159">
        <w:rPr>
          <w:rStyle w:val="Textoennegrita"/>
          <w:b w:val="0"/>
          <w:sz w:val="16"/>
          <w:szCs w:val="16"/>
        </w:rPr>
        <w:t>párr</w:t>
      </w:r>
      <w:proofErr w:type="spellEnd"/>
      <w:r w:rsidRPr="006D3159">
        <w:rPr>
          <w:rStyle w:val="Textoennegrita"/>
          <w:b w:val="0"/>
          <w:sz w:val="16"/>
          <w:szCs w:val="16"/>
        </w:rPr>
        <w:t xml:space="preserve"> 43.17.</w:t>
      </w:r>
      <w:r w:rsidRPr="006D3159">
        <w:rPr>
          <w:rStyle w:val="Textoennegrita"/>
          <w:sz w:val="16"/>
          <w:szCs w:val="16"/>
        </w:rPr>
        <w:t xml:space="preserve"> </w:t>
      </w:r>
    </w:p>
  </w:footnote>
  <w:footnote w:id="27">
    <w:p w14:paraId="5C02470D" w14:textId="77777777" w:rsidR="009C6A90" w:rsidRPr="006D3159" w:rsidRDefault="009C6A90" w:rsidP="00436D25">
      <w:pPr>
        <w:pStyle w:val="Default"/>
        <w:jc w:val="both"/>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Sentencia de la Corte de Constitucionalidad de Guatemala, de 11 de febrero de 2016, Expediente 1097-2015. La sentencia dictaminó lo siguiente: </w:t>
      </w:r>
    </w:p>
    <w:p w14:paraId="5E6CAC77" w14:textId="77777777" w:rsidR="009C6A90" w:rsidRPr="006D3159" w:rsidRDefault="009C6A90" w:rsidP="00436D25">
      <w:pPr>
        <w:spacing w:line="240" w:lineRule="auto"/>
        <w:ind w:left="720" w:right="720"/>
        <w:rPr>
          <w:sz w:val="16"/>
          <w:szCs w:val="16"/>
        </w:rPr>
      </w:pPr>
      <w:r w:rsidRPr="006D3159">
        <w:rPr>
          <w:sz w:val="16"/>
          <w:szCs w:val="16"/>
        </w:rPr>
        <w:t>“[E]</w:t>
      </w:r>
      <w:proofErr w:type="spellStart"/>
      <w:r w:rsidRPr="006D3159">
        <w:rPr>
          <w:sz w:val="16"/>
          <w:szCs w:val="16"/>
        </w:rPr>
        <w:t>sta</w:t>
      </w:r>
      <w:proofErr w:type="spellEnd"/>
      <w:r w:rsidRPr="006D3159">
        <w:rPr>
          <w:sz w:val="16"/>
          <w:szCs w:val="16"/>
        </w:rPr>
        <w:t xml:space="preserve"> Corte estima que el término de peligrosidad contenido en la frase impugnada como elemento decisivo para la imposición de una pena, resulta lesivo al principio de legalidad, por cuando solo pueden ser punibles las acciones calificadas como delito o falta y penadas por ley anterior a su perpetración. Debido a que la peligrosidad constituye una característica endógena cuya naturaleza eventual inherente impide determinar con precisión cuál es el bien jurídico tutelado que podría ser lesionado, la sanción que se imponga estaría vinculada a una conducta hipotética […]. </w:t>
      </w:r>
    </w:p>
    <w:p w14:paraId="0A213CE8" w14:textId="77777777" w:rsidR="009C6A90" w:rsidRPr="006D3159" w:rsidRDefault="009C6A90" w:rsidP="00436D25">
      <w:pPr>
        <w:spacing w:line="240" w:lineRule="auto"/>
        <w:ind w:left="720" w:right="720"/>
        <w:rPr>
          <w:sz w:val="16"/>
          <w:szCs w:val="16"/>
        </w:rPr>
      </w:pPr>
      <w:r w:rsidRPr="006D3159">
        <w:rPr>
          <w:sz w:val="16"/>
          <w:szCs w:val="16"/>
        </w:rPr>
        <w:t xml:space="preserve">Mayor gravedad entraña el que una circunstancia psicobiológica sea relevante para imponer una sanción de la magnitud de la pena de muerte, lo que reflejaría únicamente un serio retroceso en la humanización del sistema represivo de antaño, cuyas rigurosas teorías retributivas veían la pena capital como solución absoluta a la problemática delincuencial […]. </w:t>
      </w:r>
    </w:p>
    <w:p w14:paraId="382A446F" w14:textId="77777777" w:rsidR="009C6A90" w:rsidRPr="006D3159" w:rsidRDefault="009C6A90" w:rsidP="00436D25">
      <w:pPr>
        <w:pStyle w:val="Textonotapie"/>
        <w:ind w:left="720" w:right="720"/>
        <w:rPr>
          <w:sz w:val="16"/>
          <w:szCs w:val="16"/>
        </w:rPr>
      </w:pPr>
      <w:r w:rsidRPr="006D3159">
        <w:rPr>
          <w:rFonts w:eastAsiaTheme="minorHAnsi"/>
          <w:sz w:val="16"/>
          <w:szCs w:val="16"/>
        </w:rPr>
        <w:t xml:space="preserve">La Corte de Constitucionalidad […] declara: I. Con Lugar la acción de inconstitucionalidad general parcial […] contra el penúltimo párrafo del artículo 132 del Código Penal, la frase “sin embargo se le aplicará la pena de muerte en lugar del máximo de prisión, si por las circunstancias del hecho y de la ocasión, la manera de realizarlo y los móviles determinantes, se revelare </w:t>
      </w:r>
      <w:proofErr w:type="gramStart"/>
      <w:r w:rsidRPr="006D3159">
        <w:rPr>
          <w:rFonts w:eastAsiaTheme="minorHAnsi"/>
          <w:sz w:val="16"/>
          <w:szCs w:val="16"/>
        </w:rPr>
        <w:t>una mayor particular</w:t>
      </w:r>
      <w:proofErr w:type="gramEnd"/>
      <w:r w:rsidRPr="006D3159">
        <w:rPr>
          <w:rFonts w:eastAsiaTheme="minorHAnsi"/>
          <w:sz w:val="16"/>
          <w:szCs w:val="16"/>
        </w:rPr>
        <w:t xml:space="preserve"> peligrosidad del agente. A quienes no se les aplique la pena de muerte por este delito, no podrá concedérsele rebaja de pena por ninguna causa</w:t>
      </w:r>
      <w:r w:rsidRPr="006D3159">
        <w:rPr>
          <w:rFonts w:eastAsiaTheme="minorHAnsi"/>
          <w:i/>
          <w:iCs/>
          <w:sz w:val="16"/>
          <w:szCs w:val="16"/>
        </w:rPr>
        <w:t xml:space="preserve">” </w:t>
      </w:r>
      <w:r w:rsidRPr="006D3159">
        <w:rPr>
          <w:rFonts w:eastAsiaTheme="minorHAnsi"/>
          <w:sz w:val="16"/>
          <w:szCs w:val="16"/>
        </w:rPr>
        <w:t xml:space="preserve">la que se declara inconstitucional. II. Como consecuencia, dejará de surtir efectos a partir del día siguiente de la publicación del presente fallo en el Diario de Centro América”. </w:t>
      </w:r>
    </w:p>
  </w:footnote>
  <w:footnote w:id="28">
    <w:p w14:paraId="489019FC"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Fermín Ramírez Vs. Guatemala.</w:t>
      </w:r>
      <w:r w:rsidRPr="006D3159">
        <w:rPr>
          <w:sz w:val="16"/>
          <w:szCs w:val="16"/>
        </w:rPr>
        <w:t xml:space="preserve"> </w:t>
      </w:r>
      <w:r w:rsidRPr="006D3159">
        <w:rPr>
          <w:i/>
          <w:sz w:val="16"/>
          <w:szCs w:val="16"/>
        </w:rPr>
        <w:t>Supervisión de Cumplimiento de Sentencia.</w:t>
      </w:r>
      <w:r w:rsidRPr="006D3159">
        <w:rPr>
          <w:sz w:val="16"/>
          <w:szCs w:val="16"/>
        </w:rPr>
        <w:t xml:space="preserve"> Resolución de la Corte Interamericana de Derechos Humanos de 6 de febrero de 2019</w:t>
      </w:r>
      <w:r w:rsidRPr="006D3159">
        <w:rPr>
          <w:i/>
          <w:sz w:val="16"/>
          <w:szCs w:val="16"/>
        </w:rPr>
        <w:t xml:space="preserve">, </w:t>
      </w:r>
      <w:r w:rsidRPr="006D3159">
        <w:rPr>
          <w:sz w:val="16"/>
          <w:szCs w:val="16"/>
        </w:rPr>
        <w:t xml:space="preserve">Considerando 13. </w:t>
      </w:r>
    </w:p>
  </w:footnote>
  <w:footnote w:id="29">
    <w:p w14:paraId="5B41B335" w14:textId="77777777" w:rsidR="009C6A90" w:rsidRPr="006D3159" w:rsidRDefault="009C6A90" w:rsidP="00436D25">
      <w:pPr>
        <w:pStyle w:val="Textonotapie"/>
        <w:rPr>
          <w:sz w:val="16"/>
          <w:szCs w:val="16"/>
        </w:rPr>
      </w:pPr>
      <w:r w:rsidRPr="006D3159">
        <w:rPr>
          <w:rStyle w:val="Refdenotaalpie"/>
          <w:rFonts w:eastAsiaTheme="majorEastAsia"/>
          <w:sz w:val="16"/>
          <w:szCs w:val="16"/>
        </w:rPr>
        <w:footnoteRef/>
      </w:r>
      <w:r w:rsidRPr="006D3159">
        <w:rPr>
          <w:sz w:val="16"/>
          <w:szCs w:val="16"/>
        </w:rPr>
        <w:t xml:space="preserve"> </w:t>
      </w:r>
      <w:r w:rsidRPr="006D3159">
        <w:rPr>
          <w:sz w:val="16"/>
          <w:szCs w:val="16"/>
        </w:rPr>
        <w:tab/>
      </w:r>
      <w:r w:rsidRPr="006D3159">
        <w:rPr>
          <w:rFonts w:cs="Arial"/>
          <w:i/>
          <w:sz w:val="16"/>
          <w:szCs w:val="16"/>
        </w:rPr>
        <w:t>Cfr. Caso Fermín Ramírez Vs. Guatemala</w:t>
      </w:r>
      <w:r w:rsidRPr="006D3159">
        <w:rPr>
          <w:rFonts w:cs="Arial"/>
          <w:sz w:val="16"/>
          <w:szCs w:val="16"/>
        </w:rPr>
        <w:t xml:space="preserve">. </w:t>
      </w:r>
      <w:r w:rsidRPr="006D3159">
        <w:rPr>
          <w:i/>
          <w:sz w:val="16"/>
          <w:szCs w:val="16"/>
        </w:rPr>
        <w:t xml:space="preserve">Supervisión de Cumplimiento de Sentencia, supra, </w:t>
      </w:r>
      <w:r w:rsidRPr="006D3159">
        <w:rPr>
          <w:rFonts w:cs="Arial"/>
          <w:sz w:val="16"/>
          <w:szCs w:val="16"/>
        </w:rPr>
        <w:t>Considerando 8.</w:t>
      </w:r>
    </w:p>
  </w:footnote>
  <w:footnote w:id="30">
    <w:p w14:paraId="0284F038"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 xml:space="preserve">Comunicación de la </w:t>
      </w:r>
      <w:proofErr w:type="gramStart"/>
      <w:r w:rsidRPr="006D3159">
        <w:rPr>
          <w:sz w:val="16"/>
          <w:szCs w:val="16"/>
        </w:rPr>
        <w:t>Secretaria General</w:t>
      </w:r>
      <w:proofErr w:type="gramEnd"/>
      <w:r w:rsidRPr="006D3159">
        <w:rPr>
          <w:sz w:val="16"/>
          <w:szCs w:val="16"/>
        </w:rPr>
        <w:t xml:space="preserve"> de la Presidencia del Organismo Judicial, de 28 de junio de 2018 (expediente de prueba, folio 2392).</w:t>
      </w:r>
    </w:p>
  </w:footnote>
  <w:footnote w:id="31">
    <w:p w14:paraId="41004067"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 xml:space="preserve">Comunicación de la Corte Suprema de Justicia al </w:t>
      </w:r>
      <w:proofErr w:type="gramStart"/>
      <w:r w:rsidRPr="006D3159">
        <w:rPr>
          <w:sz w:val="16"/>
          <w:szCs w:val="16"/>
        </w:rPr>
        <w:t>Ministro</w:t>
      </w:r>
      <w:proofErr w:type="gramEnd"/>
      <w:r w:rsidRPr="006D3159">
        <w:rPr>
          <w:sz w:val="16"/>
          <w:szCs w:val="16"/>
        </w:rPr>
        <w:t xml:space="preserve"> de Relaciones Exteriores, de 3 de octubre de 1997 (expediente de prueba, folios 310 y 311).</w:t>
      </w:r>
    </w:p>
  </w:footnote>
  <w:footnote w:id="32">
    <w:p w14:paraId="41B381C4" w14:textId="77777777" w:rsidR="009C6A90" w:rsidRPr="006D3159" w:rsidRDefault="009C6A90" w:rsidP="00436D25">
      <w:pPr>
        <w:spacing w:line="240" w:lineRule="auto"/>
        <w:rPr>
          <w:color w:val="2B2B2B"/>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 xml:space="preserve">Escrito de </w:t>
      </w:r>
      <w:r w:rsidRPr="006D3159">
        <w:rPr>
          <w:color w:val="2B2B2B"/>
          <w:sz w:val="16"/>
          <w:szCs w:val="16"/>
        </w:rPr>
        <w:t xml:space="preserve">acusación </w:t>
      </w:r>
      <w:r w:rsidRPr="006D3159">
        <w:rPr>
          <w:sz w:val="16"/>
          <w:szCs w:val="16"/>
        </w:rPr>
        <w:t xml:space="preserve">del </w:t>
      </w:r>
      <w:r w:rsidRPr="006D3159">
        <w:rPr>
          <w:color w:val="2B2B2B"/>
          <w:sz w:val="16"/>
          <w:szCs w:val="16"/>
        </w:rPr>
        <w:t xml:space="preserve">Ministerio Público </w:t>
      </w:r>
      <w:r w:rsidRPr="006D3159">
        <w:rPr>
          <w:sz w:val="16"/>
          <w:szCs w:val="16"/>
        </w:rPr>
        <w:t xml:space="preserve">dirigido al Juez </w:t>
      </w:r>
      <w:r w:rsidRPr="006D3159">
        <w:rPr>
          <w:color w:val="2B2B2B"/>
          <w:sz w:val="16"/>
          <w:szCs w:val="16"/>
        </w:rPr>
        <w:t xml:space="preserve">Séptimo de Primera Instancia </w:t>
      </w:r>
      <w:r w:rsidRPr="006D3159">
        <w:rPr>
          <w:sz w:val="16"/>
          <w:szCs w:val="16"/>
        </w:rPr>
        <w:t xml:space="preserve">Penal, Narcoactividad </w:t>
      </w:r>
      <w:r w:rsidRPr="006D3159">
        <w:rPr>
          <w:color w:val="2B2B2B"/>
          <w:sz w:val="16"/>
          <w:szCs w:val="16"/>
        </w:rPr>
        <w:t xml:space="preserve">y Delitos </w:t>
      </w:r>
      <w:r w:rsidRPr="006D3159">
        <w:rPr>
          <w:sz w:val="16"/>
          <w:szCs w:val="16"/>
        </w:rPr>
        <w:t xml:space="preserve">contra </w:t>
      </w:r>
      <w:r w:rsidRPr="006D3159">
        <w:rPr>
          <w:color w:val="2B2B2B"/>
          <w:sz w:val="16"/>
          <w:szCs w:val="16"/>
        </w:rPr>
        <w:t xml:space="preserve">el </w:t>
      </w:r>
      <w:r w:rsidRPr="006D3159">
        <w:rPr>
          <w:sz w:val="16"/>
          <w:szCs w:val="16"/>
        </w:rPr>
        <w:t>Ambiente, de 10 de marzo de 1995. (expediente de prueba, folios 3 a 11).</w:t>
      </w:r>
    </w:p>
  </w:footnote>
  <w:footnote w:id="33">
    <w:p w14:paraId="1E861E96" w14:textId="77777777" w:rsidR="009C6A90" w:rsidRPr="006D3159" w:rsidRDefault="009C6A90" w:rsidP="00436D25">
      <w:pPr>
        <w:pStyle w:val="Textonotapie"/>
        <w:rPr>
          <w:sz w:val="16"/>
          <w:szCs w:val="16"/>
          <w:lang w:val="es-CR"/>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 xml:space="preserve">Acta </w:t>
      </w:r>
      <w:r w:rsidRPr="006D3159">
        <w:rPr>
          <w:color w:val="2B2B2B"/>
          <w:sz w:val="16"/>
          <w:szCs w:val="16"/>
        </w:rPr>
        <w:t xml:space="preserve">de </w:t>
      </w:r>
      <w:r w:rsidRPr="006D3159">
        <w:rPr>
          <w:sz w:val="16"/>
          <w:szCs w:val="16"/>
        </w:rPr>
        <w:t xml:space="preserve">debate ante el Tribunal Cuarto de Sentencia Penal Narcoactividad y Delitos contra el Ambiente, de </w:t>
      </w:r>
      <w:r w:rsidRPr="006D3159">
        <w:rPr>
          <w:color w:val="2B2B2B"/>
          <w:sz w:val="16"/>
          <w:szCs w:val="16"/>
        </w:rPr>
        <w:t xml:space="preserve">22 </w:t>
      </w:r>
      <w:r w:rsidRPr="006D3159">
        <w:rPr>
          <w:sz w:val="16"/>
          <w:szCs w:val="16"/>
        </w:rPr>
        <w:t xml:space="preserve">de </w:t>
      </w:r>
      <w:r w:rsidRPr="006D3159">
        <w:rPr>
          <w:color w:val="2B2B2B"/>
          <w:sz w:val="16"/>
          <w:szCs w:val="16"/>
        </w:rPr>
        <w:t xml:space="preserve">abril </w:t>
      </w:r>
      <w:r w:rsidRPr="006D3159">
        <w:rPr>
          <w:sz w:val="16"/>
          <w:szCs w:val="16"/>
        </w:rPr>
        <w:t>de 1996 (expediente de prueba, folio 13).</w:t>
      </w:r>
    </w:p>
  </w:footnote>
  <w:footnote w:id="34">
    <w:p w14:paraId="1A5026ED"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 xml:space="preserve">Comunicación de la Corte Suprema de Justicia al </w:t>
      </w:r>
      <w:proofErr w:type="gramStart"/>
      <w:r w:rsidRPr="006D3159">
        <w:rPr>
          <w:sz w:val="16"/>
          <w:szCs w:val="16"/>
        </w:rPr>
        <w:t>Ministro</w:t>
      </w:r>
      <w:proofErr w:type="gramEnd"/>
      <w:r w:rsidRPr="006D3159">
        <w:rPr>
          <w:sz w:val="16"/>
          <w:szCs w:val="16"/>
        </w:rPr>
        <w:t xml:space="preserve"> de Relaciones Exteriores, de 3 de octubre de 1997 (expediente de prueba, folio 310).</w:t>
      </w:r>
    </w:p>
  </w:footnote>
  <w:footnote w:id="35">
    <w:p w14:paraId="0FF2220D"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Acta de debate ante el Tribunal Cuarto de Sentencia Penal Narcoactividad y Delitos contra el Ambiente, de 22 de abril de 1996 (expediente de prueba, folio 62).</w:t>
      </w:r>
    </w:p>
  </w:footnote>
  <w:footnote w:id="36">
    <w:p w14:paraId="5710F8EE"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Acta de debate ante el Tribunal Cuarto de Sentencia Penal Narcoactividad y Delitos contra el Ambiente, de 22 de abril de 1996 (expediente de prueba, folio 62).</w:t>
      </w:r>
    </w:p>
  </w:footnote>
  <w:footnote w:id="37">
    <w:p w14:paraId="412AA2BE"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Sentencia de la Corte de Constitucionalidad, expediente no. 25-97, de 28 de mayo de 1997 (expediente de prueba, folio 2133).</w:t>
      </w:r>
    </w:p>
  </w:footnote>
  <w:footnote w:id="38">
    <w:p w14:paraId="1BB23C86"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Sentencia de la Corte de Constitucionalidad, expediente no. 25-97, de 28 de mayo de 1997 (expediente de prueba, folio 2136).</w:t>
      </w:r>
    </w:p>
  </w:footnote>
  <w:footnote w:id="39">
    <w:p w14:paraId="1FC8B0EE" w14:textId="77777777" w:rsidR="009C6A90" w:rsidRPr="006D3159" w:rsidRDefault="009C6A90" w:rsidP="00436D25">
      <w:pPr>
        <w:pStyle w:val="Normal1"/>
        <w:widowControl/>
        <w:jc w:val="both"/>
        <w:rPr>
          <w:rFonts w:ascii="Verdana" w:hAnsi="Verdana"/>
          <w:sz w:val="16"/>
          <w:szCs w:val="16"/>
        </w:rPr>
      </w:pPr>
      <w:r w:rsidRPr="006D3159">
        <w:rPr>
          <w:rStyle w:val="Refdenotaalpie"/>
          <w:rFonts w:ascii="Verdana" w:hAnsi="Verdana"/>
          <w:sz w:val="16"/>
          <w:szCs w:val="16"/>
        </w:rPr>
        <w:footnoteRef/>
      </w:r>
      <w:r w:rsidRPr="006D3159">
        <w:rPr>
          <w:rFonts w:ascii="Verdana" w:eastAsiaTheme="minorHAnsi" w:hAnsi="Verdana" w:cs="Verdana"/>
          <w:sz w:val="16"/>
          <w:szCs w:val="16"/>
        </w:rPr>
        <w:t xml:space="preserve"> </w:t>
      </w:r>
      <w:r w:rsidRPr="006D3159">
        <w:rPr>
          <w:rFonts w:ascii="Verdana" w:eastAsiaTheme="minorHAnsi" w:hAnsi="Verdana" w:cs="Verdana"/>
          <w:sz w:val="16"/>
          <w:szCs w:val="16"/>
        </w:rPr>
        <w:tab/>
      </w:r>
      <w:r w:rsidRPr="006D3159">
        <w:rPr>
          <w:rFonts w:ascii="Verdana" w:eastAsiaTheme="minorHAnsi" w:hAnsi="Verdana" w:cs="Verdana"/>
          <w:i/>
          <w:sz w:val="16"/>
          <w:szCs w:val="16"/>
        </w:rPr>
        <w:t>Cfr</w:t>
      </w:r>
      <w:r w:rsidRPr="006D3159">
        <w:rPr>
          <w:rFonts w:ascii="Verdana" w:eastAsiaTheme="minorHAnsi" w:hAnsi="Verdana" w:cs="Verdana"/>
          <w:sz w:val="16"/>
          <w:szCs w:val="16"/>
        </w:rPr>
        <w:t xml:space="preserve">. </w:t>
      </w:r>
      <w:r w:rsidRPr="006D3159">
        <w:rPr>
          <w:rFonts w:ascii="Verdana" w:hAnsi="Verdana"/>
          <w:color w:val="2B2B2B"/>
          <w:sz w:val="16"/>
          <w:szCs w:val="16"/>
        </w:rPr>
        <w:t xml:space="preserve">Sentencia </w:t>
      </w:r>
      <w:r w:rsidRPr="006D3159">
        <w:rPr>
          <w:rFonts w:ascii="Verdana" w:hAnsi="Verdana"/>
          <w:sz w:val="16"/>
          <w:szCs w:val="16"/>
        </w:rPr>
        <w:t xml:space="preserve">de Tribunal de </w:t>
      </w:r>
      <w:r w:rsidRPr="006D3159">
        <w:rPr>
          <w:rFonts w:ascii="Verdana" w:hAnsi="Verdana"/>
          <w:color w:val="2B2B2B"/>
          <w:sz w:val="16"/>
          <w:szCs w:val="16"/>
        </w:rPr>
        <w:t xml:space="preserve">Sentencia </w:t>
      </w:r>
      <w:r w:rsidRPr="006D3159">
        <w:rPr>
          <w:rFonts w:ascii="Verdana" w:hAnsi="Verdana"/>
          <w:sz w:val="16"/>
          <w:szCs w:val="16"/>
        </w:rPr>
        <w:t xml:space="preserve">Penal, Narcoactividad </w:t>
      </w:r>
      <w:r w:rsidRPr="006D3159">
        <w:rPr>
          <w:rFonts w:ascii="Verdana" w:hAnsi="Verdana"/>
          <w:color w:val="2B2B2B"/>
          <w:sz w:val="16"/>
          <w:szCs w:val="16"/>
        </w:rPr>
        <w:t xml:space="preserve">y </w:t>
      </w:r>
      <w:r w:rsidRPr="006D3159">
        <w:rPr>
          <w:rFonts w:ascii="Verdana" w:hAnsi="Verdana"/>
          <w:sz w:val="16"/>
          <w:szCs w:val="16"/>
        </w:rPr>
        <w:t xml:space="preserve">Delitos </w:t>
      </w:r>
      <w:r w:rsidRPr="006D3159">
        <w:rPr>
          <w:rFonts w:ascii="Verdana" w:hAnsi="Verdana"/>
          <w:color w:val="2B2B2B"/>
          <w:sz w:val="16"/>
          <w:szCs w:val="16"/>
        </w:rPr>
        <w:t xml:space="preserve">Contra </w:t>
      </w:r>
      <w:r w:rsidRPr="006D3159">
        <w:rPr>
          <w:rFonts w:ascii="Verdana" w:hAnsi="Verdana"/>
          <w:sz w:val="16"/>
          <w:szCs w:val="16"/>
        </w:rPr>
        <w:t xml:space="preserve">el </w:t>
      </w:r>
      <w:r w:rsidRPr="006D3159">
        <w:rPr>
          <w:rFonts w:ascii="Verdana" w:hAnsi="Verdana"/>
          <w:color w:val="2B2B2B"/>
          <w:sz w:val="16"/>
          <w:szCs w:val="16"/>
        </w:rPr>
        <w:t xml:space="preserve">Ambiente de </w:t>
      </w:r>
      <w:r w:rsidRPr="006D3159">
        <w:rPr>
          <w:rFonts w:ascii="Verdana" w:hAnsi="Verdana"/>
          <w:sz w:val="16"/>
          <w:szCs w:val="16"/>
        </w:rPr>
        <w:t xml:space="preserve">Guatemala, de </w:t>
      </w:r>
      <w:r w:rsidRPr="006D3159">
        <w:rPr>
          <w:rFonts w:ascii="Verdana" w:hAnsi="Verdana"/>
          <w:color w:val="2B2B2B"/>
          <w:sz w:val="16"/>
          <w:szCs w:val="16"/>
        </w:rPr>
        <w:t xml:space="preserve">23 </w:t>
      </w:r>
      <w:r w:rsidRPr="006D3159">
        <w:rPr>
          <w:rFonts w:ascii="Verdana" w:hAnsi="Verdana"/>
          <w:sz w:val="16"/>
          <w:szCs w:val="16"/>
        </w:rPr>
        <w:t>de mayo de 1996 (expediente de prueba, folio 110).</w:t>
      </w:r>
    </w:p>
  </w:footnote>
  <w:footnote w:id="40">
    <w:p w14:paraId="7138628A" w14:textId="77777777" w:rsidR="009C6A90" w:rsidRPr="006D3159" w:rsidRDefault="009C6A90" w:rsidP="00436D25">
      <w:pPr>
        <w:pStyle w:val="Textonotapie"/>
        <w:rPr>
          <w:sz w:val="16"/>
          <w:szCs w:val="16"/>
          <w:lang w:val="es-CR"/>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Recurso de apelación especial interpuesto por Miguel Ángel Rodríguez Revolorio ante el Tribunal Cuarto de Sentencia Penal, Narcoactividad y Delitos Contra el Ambiente de Guatemala, de 20 de junio de 1996 (expediente de prueba, folios 114 a 200).</w:t>
      </w:r>
    </w:p>
  </w:footnote>
  <w:footnote w:id="41">
    <w:p w14:paraId="1B293E4C" w14:textId="77777777" w:rsidR="009C6A90" w:rsidRPr="006D3159" w:rsidRDefault="009C6A90" w:rsidP="00436D25">
      <w:pPr>
        <w:pStyle w:val="Textonotapie"/>
        <w:rPr>
          <w:sz w:val="16"/>
          <w:szCs w:val="16"/>
          <w:lang w:val="es-CR"/>
        </w:rPr>
      </w:pPr>
      <w:r w:rsidRPr="006D3159">
        <w:rPr>
          <w:rStyle w:val="Refdenotaalpie"/>
          <w:sz w:val="16"/>
          <w:szCs w:val="16"/>
        </w:rPr>
        <w:footnoteRef/>
      </w:r>
      <w:r w:rsidRPr="006D3159">
        <w:rPr>
          <w:sz w:val="16"/>
          <w:szCs w:val="16"/>
        </w:rPr>
        <w:t xml:space="preserve"> </w:t>
      </w:r>
      <w:r w:rsidRPr="006D3159">
        <w:rPr>
          <w:sz w:val="16"/>
          <w:szCs w:val="16"/>
          <w:lang w:val="es-CR"/>
        </w:rPr>
        <w:tab/>
      </w:r>
      <w:r w:rsidRPr="006D3159">
        <w:rPr>
          <w:i/>
          <w:iCs/>
          <w:sz w:val="16"/>
          <w:szCs w:val="16"/>
        </w:rPr>
        <w:t xml:space="preserve">Cfr. </w:t>
      </w:r>
      <w:r w:rsidRPr="006D3159">
        <w:rPr>
          <w:sz w:val="16"/>
          <w:szCs w:val="16"/>
        </w:rPr>
        <w:t>Recurso de apelación especial interpuesto por Miguel Ángel Rodríguez Revolorio ante el Tribunal Cuarto de Sentencia Penal, Narcoactividad y Delitos Contra el Ambiente de Guatemala, de 20 de junio de 1996 (expediente de prueba, folio 114).</w:t>
      </w:r>
    </w:p>
  </w:footnote>
  <w:footnote w:id="42">
    <w:p w14:paraId="1847AE52"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de la Sala Décima de la Corte de Apelaciones Penal, Narcoactividad y Delitos Contra el Ambiente, de 2 de setiembre de 1996 (expediente de prueba, folios 202 a 222).</w:t>
      </w:r>
    </w:p>
  </w:footnote>
  <w:footnote w:id="43">
    <w:p w14:paraId="10F748EC"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Esto es, la inobservancia de la ley sustantiva </w:t>
      </w:r>
      <w:proofErr w:type="gramStart"/>
      <w:r w:rsidRPr="006D3159">
        <w:rPr>
          <w:sz w:val="16"/>
          <w:szCs w:val="16"/>
        </w:rPr>
        <w:t>en relación a</w:t>
      </w:r>
      <w:proofErr w:type="gramEnd"/>
      <w:r w:rsidRPr="006D3159">
        <w:rPr>
          <w:sz w:val="16"/>
          <w:szCs w:val="16"/>
        </w:rPr>
        <w:t xml:space="preserve"> (i) las circunstancias agravantes genéricas y específicas del delito, (</w:t>
      </w:r>
      <w:proofErr w:type="spellStart"/>
      <w:r w:rsidRPr="006D3159">
        <w:rPr>
          <w:sz w:val="16"/>
          <w:szCs w:val="16"/>
        </w:rPr>
        <w:t>ii</w:t>
      </w:r>
      <w:proofErr w:type="spellEnd"/>
      <w:r w:rsidRPr="006D3159">
        <w:rPr>
          <w:sz w:val="16"/>
          <w:szCs w:val="16"/>
        </w:rPr>
        <w:t>) fijación de la pena y (</w:t>
      </w:r>
      <w:proofErr w:type="spellStart"/>
      <w:r w:rsidRPr="006D3159">
        <w:rPr>
          <w:sz w:val="16"/>
          <w:szCs w:val="16"/>
        </w:rPr>
        <w:t>iii</w:t>
      </w:r>
      <w:proofErr w:type="spellEnd"/>
      <w:r w:rsidRPr="006D3159">
        <w:rPr>
          <w:sz w:val="16"/>
          <w:szCs w:val="16"/>
        </w:rPr>
        <w:t>) inobservancia parcial del contenido de la ley sustantiva para la fijación de la pena de muerte.</w:t>
      </w:r>
    </w:p>
  </w:footnote>
  <w:footnote w:id="44">
    <w:p w14:paraId="79B543FF"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de la Sala Décima de la Corte de Apelaciones Penal, Narcoactividad y Delitos Contra el Ambiente, de 2 de setiembre de 1996 (expediente de prueba, folios 219 y 220).</w:t>
      </w:r>
    </w:p>
  </w:footnote>
  <w:footnote w:id="45">
    <w:p w14:paraId="39FE8BAB"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de la Cámara Penal de la Corte Suprema de Justicia, de 10 de febrero de 1997, recursos de casación acumulados no. 116-96, 117-96 y 118-96 (expediente de prueba, folios 225 a 240).</w:t>
      </w:r>
    </w:p>
  </w:footnote>
  <w:footnote w:id="46">
    <w:p w14:paraId="7540E6AD"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Con respecto a la alegación de los recurrentes en cuanto a que la sentencia recurrida no expresó de manera concluyente los hechos que el juzgador tuvo como probados y los fundamentos de la sana crítica, la Corte Suprema indicó que “la sentencia recurrida se limitó a confirmar el fallo pronunciado en primer grado, sin hacer pronunciamiento alguno sobre los hechos tenidos por probados, ni tampoco sobre los fundamentos de la sana crítica que para el efecto se tomaron en cuenta en dicha resolución. Con respecto a la alegada contradicción de hechos, la Corte Suprema alegó que tal situación no podía darse en segunda instancia, toda vez que dicho tribunal “no analizó ni se pronunció sobre hechos que se hubiesen tenido como probados</w:t>
      </w:r>
      <w:r w:rsidRPr="006D3159">
        <w:rPr>
          <w:i/>
          <w:iCs/>
          <w:sz w:val="16"/>
          <w:szCs w:val="16"/>
        </w:rPr>
        <w:t xml:space="preserve">. </w:t>
      </w:r>
      <w:r w:rsidRPr="006D3159">
        <w:rPr>
          <w:sz w:val="16"/>
          <w:szCs w:val="16"/>
        </w:rPr>
        <w:t xml:space="preserve">Asimismo, al motivo de fondo argüido por los recurrentes relativo a que la sentencia recurrida tuvo por acreditado un hecho decisivo sin que tal hecho estuviera acreditado, la Corte Suprema consideró que “al examinar el fallo de segunda instancia, se aprecia que la Sala respetó íntegramente los hechos que el tribunal de sentencia tuvo por probados” y que “tampoco dio por acreditado otro hecho decisivo, distinto a los que tuvo por probados el Tribunal de Sentencia, y que hubiese servido para absolver, condenar, atenuar o agravar la pena impuesta a los tres condenados, por lo que no pudo haber cometido el error al cual hace referencia este inciso de la ley”. </w:t>
      </w:r>
      <w:r w:rsidRPr="006D3159">
        <w:rPr>
          <w:i/>
          <w:iCs/>
          <w:sz w:val="16"/>
          <w:szCs w:val="16"/>
        </w:rPr>
        <w:t xml:space="preserve">Cfr. </w:t>
      </w:r>
      <w:r w:rsidRPr="006D3159">
        <w:rPr>
          <w:sz w:val="16"/>
          <w:szCs w:val="16"/>
        </w:rPr>
        <w:t>Sentencia de la Cámara Penal de la Corte Suprema de Justicia, de 10 de febrero de 1997, recursos de casación acumulados no. 116-96, 117-96 y 118-96 (expediente de prueba, folios 235, 236 y 238).</w:t>
      </w:r>
    </w:p>
  </w:footnote>
  <w:footnote w:id="47">
    <w:p w14:paraId="55DE6698"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Sentencia de la Corte de Constitucionalidad en calidad de Tribunal Extraordinario de Amparo, de 18 de junio de 1997 (expediente de prueba, folio 242).</w:t>
      </w:r>
    </w:p>
  </w:footnote>
  <w:footnote w:id="48">
    <w:p w14:paraId="5012B6DA"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Sentencia de la Corte de Constitucionalidad en calidad de Tribunal Extraordinario de Amparo, de 18 de junio de 1997 (expediente de prueba, folios 242 a 250). La Corte observa que, si bien observó que los recurrentes promovieron la acción de amparo de manera extemporánea, fue admitida debido a que versaba sobre la ejecución de la pena de muerte. </w:t>
      </w:r>
      <w:r w:rsidRPr="006D3159">
        <w:rPr>
          <w:i/>
          <w:iCs/>
          <w:sz w:val="16"/>
          <w:szCs w:val="16"/>
        </w:rPr>
        <w:t xml:space="preserve">Cfr. </w:t>
      </w:r>
      <w:r w:rsidRPr="006D3159">
        <w:rPr>
          <w:sz w:val="16"/>
          <w:szCs w:val="16"/>
        </w:rPr>
        <w:t>Sentencia de la Corte de Constitucionalidad en calidad de Tribunal Extraordinario de Amparo, de 18 de junio de 1997 (expediente de prueba, folios 248 y 249).</w:t>
      </w:r>
    </w:p>
  </w:footnote>
  <w:footnote w:id="49">
    <w:p w14:paraId="78FD96AB"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de la Corte de Constitucionalidad en calidad de Tribunal Extraordinario de Amparo, de 18 de junio de 1997 (expediente de prueba, folio 249).</w:t>
      </w:r>
    </w:p>
  </w:footnote>
  <w:footnote w:id="50">
    <w:p w14:paraId="338A1748"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Recurso de revisión no. B-97, Cámara Penal de la Corte Suprema de Justicia, de 18 de febrero de 1998 (expediente de prueba, folios 2352 a 2357).</w:t>
      </w:r>
    </w:p>
  </w:footnote>
  <w:footnote w:id="51">
    <w:p w14:paraId="53ABF40E" w14:textId="77777777" w:rsidR="009C6A90" w:rsidRPr="006D3159" w:rsidRDefault="009C6A90" w:rsidP="00436D25">
      <w:pPr>
        <w:spacing w:line="240" w:lineRule="auto"/>
        <w:rPr>
          <w:sz w:val="16"/>
          <w:szCs w:val="16"/>
          <w:lang w:val="es-ES_tradnl"/>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de Amparo en Única Instancia ante la Corte de Constitucionalidad, en calidad de Tribunal Extraordinario de Amparo, de 18 de junio de 1998 (expediente de prueba, folio 2359).</w:t>
      </w:r>
    </w:p>
  </w:footnote>
  <w:footnote w:id="52">
    <w:p w14:paraId="06BEA132"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de Amparo en Única Instancia ante la Corte de Constitucionalidad, en calidad de Tribunal Extraordinario de Amparo, de 18 de junio de 1998 (expediente de prueba, folio 2359).</w:t>
      </w:r>
    </w:p>
  </w:footnote>
  <w:footnote w:id="53">
    <w:p w14:paraId="5A3AA20D"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de Amparo en Única Instancia ante la Corte de Constitucionalidad, en calidad de Tribunal Extraordinario de Amparo, de 18 de junio de 1998 (expediente de prueba, folios 2359 a 2365).</w:t>
      </w:r>
    </w:p>
  </w:footnote>
  <w:footnote w:id="54">
    <w:p w14:paraId="1667B0FB"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bCs/>
          <w:sz w:val="16"/>
          <w:szCs w:val="16"/>
        </w:rPr>
        <w:t>Certificado de</w:t>
      </w:r>
      <w:r w:rsidRPr="006D3159">
        <w:rPr>
          <w:sz w:val="16"/>
          <w:szCs w:val="16"/>
        </w:rPr>
        <w:t xml:space="preserve"> defunción de Aníbal Archila Pérez emitido por el Registro Civil de la Municipalidad de Escuintla, de 21 de junio de 2000 (expediente de prueba, folio 1329).</w:t>
      </w:r>
    </w:p>
  </w:footnote>
  <w:footnote w:id="55">
    <w:p w14:paraId="22FD4203"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rStyle w:val="Textoennegrita"/>
          <w:b w:val="0"/>
          <w:i/>
          <w:sz w:val="16"/>
          <w:szCs w:val="16"/>
        </w:rPr>
        <w:t>Caso Fermín Ramírez Vs. Guatemala, supra.</w:t>
      </w:r>
    </w:p>
  </w:footnote>
  <w:footnote w:id="56">
    <w:p w14:paraId="68DA22BD"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Sentencia de revisión dictada en el caso Juan Pablo Rafael Eduardo Ocampo Alcalá, en la cual se declaró con lugar la revisión y se conmutó la pena de muerte por la pena de prisión. </w:t>
      </w:r>
      <w:r w:rsidRPr="006D3159">
        <w:rPr>
          <w:i/>
          <w:sz w:val="16"/>
          <w:szCs w:val="16"/>
        </w:rPr>
        <w:t>Cfr</w:t>
      </w:r>
      <w:r w:rsidRPr="006D3159">
        <w:rPr>
          <w:sz w:val="16"/>
          <w:szCs w:val="16"/>
        </w:rPr>
        <w:t xml:space="preserve">. </w:t>
      </w:r>
      <w:r w:rsidRPr="006D3159">
        <w:rPr>
          <w:sz w:val="16"/>
          <w:szCs w:val="16"/>
          <w:lang w:val="es-CR"/>
        </w:rPr>
        <w:t>Sentencia de la Cámara Penal de la Corte Suprema de Justicia, de 2 de julio de 2012 (expediente de prueba, folio 2369).</w:t>
      </w:r>
    </w:p>
  </w:footnote>
  <w:footnote w:id="57">
    <w:p w14:paraId="1373889A"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Sentencia de la Cámara Penal de la Corte Suprema de Justicia, de 2 de julio de 2012 (expediente de prueba, folios 2376, 2377 y 2379). </w:t>
      </w:r>
    </w:p>
  </w:footnote>
  <w:footnote w:id="58">
    <w:p w14:paraId="524C2A8D"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Comunicación de la Secretaría General de la Presidencia, de 28 de junio de 2018 (expediente de prueba, folio 2392).</w:t>
      </w:r>
    </w:p>
  </w:footnote>
  <w:footnote w:id="59">
    <w:p w14:paraId="4F093C50"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Comunicación de la Secretaría General de la Presidencia, de 28 de junio de 2018 (expediente de prueba, folio 2392).</w:t>
      </w:r>
    </w:p>
  </w:footnote>
  <w:footnote w:id="60">
    <w:p w14:paraId="305BA1C7"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bCs/>
          <w:sz w:val="16"/>
          <w:szCs w:val="16"/>
        </w:rPr>
        <w:t>Certificado de</w:t>
      </w:r>
      <w:r w:rsidRPr="006D3159">
        <w:rPr>
          <w:sz w:val="16"/>
          <w:szCs w:val="16"/>
        </w:rPr>
        <w:t xml:space="preserve"> defunción de Miguel Ángel López Calo emitido por el Registro Civil del Municipio de Guatemala, Departamento de Guatemala, defunción no. 162576 (expediente de prueba, folio 1322).</w:t>
      </w:r>
    </w:p>
  </w:footnote>
  <w:footnote w:id="61">
    <w:p w14:paraId="465A2B88"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Artículos 4 y 9 de la Convención Americana.</w:t>
      </w:r>
    </w:p>
  </w:footnote>
  <w:footnote w:id="62">
    <w:p w14:paraId="0C44CAE3" w14:textId="77777777" w:rsidR="009C6A90" w:rsidRPr="006D3159" w:rsidRDefault="009C6A90" w:rsidP="00436D25">
      <w:pPr>
        <w:pStyle w:val="Textonotapie"/>
        <w:rPr>
          <w:b/>
          <w:sz w:val="16"/>
          <w:szCs w:val="16"/>
        </w:rPr>
      </w:pPr>
      <w:r w:rsidRPr="006D3159">
        <w:rPr>
          <w:rStyle w:val="Refdenotaalpie"/>
          <w:sz w:val="16"/>
          <w:szCs w:val="16"/>
        </w:rPr>
        <w:footnoteRef/>
      </w:r>
      <w:r w:rsidRPr="006D3159">
        <w:rPr>
          <w:i/>
          <w:sz w:val="16"/>
          <w:szCs w:val="16"/>
        </w:rPr>
        <w:t xml:space="preserve"> </w:t>
      </w:r>
      <w:r w:rsidRPr="006D3159">
        <w:rPr>
          <w:i/>
          <w:sz w:val="16"/>
          <w:szCs w:val="16"/>
        </w:rPr>
        <w:tab/>
        <w:t xml:space="preserve">Cfr. Caso Las Palmeras Vs. Colombia, supra, </w:t>
      </w:r>
      <w:r w:rsidRPr="006D3159">
        <w:rPr>
          <w:sz w:val="16"/>
          <w:szCs w:val="16"/>
        </w:rPr>
        <w:t xml:space="preserve">párr. 33, y </w:t>
      </w:r>
      <w:r w:rsidRPr="006D3159">
        <w:rPr>
          <w:rStyle w:val="Textoennegrita"/>
          <w:b w:val="0"/>
          <w:i/>
          <w:sz w:val="16"/>
          <w:szCs w:val="16"/>
        </w:rPr>
        <w:t xml:space="preserve">Caso Colindres </w:t>
      </w:r>
      <w:proofErr w:type="spellStart"/>
      <w:r w:rsidRPr="006D3159">
        <w:rPr>
          <w:rStyle w:val="Textoennegrita"/>
          <w:b w:val="0"/>
          <w:i/>
          <w:sz w:val="16"/>
          <w:szCs w:val="16"/>
        </w:rPr>
        <w:t>Schonenberg</w:t>
      </w:r>
      <w:proofErr w:type="spellEnd"/>
      <w:r w:rsidRPr="006D3159">
        <w:rPr>
          <w:rStyle w:val="Textoennegrita"/>
          <w:b w:val="0"/>
          <w:i/>
          <w:sz w:val="16"/>
          <w:szCs w:val="16"/>
        </w:rPr>
        <w:t xml:space="preserve"> Vs. El Salvador. Fondo, Reparaciones y Costas</w:t>
      </w:r>
      <w:r w:rsidRPr="006D3159">
        <w:rPr>
          <w:rStyle w:val="Textoennegrita"/>
          <w:b w:val="0"/>
          <w:sz w:val="16"/>
          <w:szCs w:val="16"/>
        </w:rPr>
        <w:t>. Sentencia de 4 de febrero de 2019. Serie C No. 373, párr. 73</w:t>
      </w:r>
      <w:r w:rsidRPr="006D3159">
        <w:rPr>
          <w:b/>
          <w:sz w:val="16"/>
          <w:szCs w:val="16"/>
        </w:rPr>
        <w:t xml:space="preserve">. </w:t>
      </w:r>
    </w:p>
  </w:footnote>
  <w:footnote w:id="63">
    <w:p w14:paraId="46282F12" w14:textId="77777777" w:rsidR="009C6A90" w:rsidRPr="006D3159" w:rsidRDefault="009C6A90" w:rsidP="006146E8">
      <w:pPr>
        <w:pStyle w:val="Textonotapie"/>
        <w:rPr>
          <w:b/>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Tarazona Arrieta y otros Vs. Perú. Excepción Preliminar, Fondo, Reparaciones y Costas. Sentencia de 15 de octubre de 2014. Serie C No. 286</w:t>
      </w:r>
      <w:r w:rsidRPr="006D3159">
        <w:rPr>
          <w:sz w:val="16"/>
          <w:szCs w:val="16"/>
        </w:rPr>
        <w:t xml:space="preserve">, párr. 137, y </w:t>
      </w:r>
      <w:r w:rsidRPr="006D3159">
        <w:rPr>
          <w:rStyle w:val="Textoennegrita"/>
          <w:b w:val="0"/>
          <w:i/>
          <w:sz w:val="16"/>
          <w:szCs w:val="16"/>
        </w:rPr>
        <w:t xml:space="preserve">Caso Colindres </w:t>
      </w:r>
      <w:proofErr w:type="spellStart"/>
      <w:r w:rsidRPr="006D3159">
        <w:rPr>
          <w:rStyle w:val="Textoennegrita"/>
          <w:b w:val="0"/>
          <w:i/>
          <w:sz w:val="16"/>
          <w:szCs w:val="16"/>
        </w:rPr>
        <w:t>Schonenberg</w:t>
      </w:r>
      <w:proofErr w:type="spellEnd"/>
      <w:r w:rsidRPr="006D3159">
        <w:rPr>
          <w:rStyle w:val="Textoennegrita"/>
          <w:b w:val="0"/>
          <w:i/>
          <w:sz w:val="16"/>
          <w:szCs w:val="16"/>
        </w:rPr>
        <w:t xml:space="preserve"> Vs. El Salvador</w:t>
      </w:r>
      <w:r w:rsidRPr="006D3159">
        <w:rPr>
          <w:i/>
          <w:sz w:val="16"/>
          <w:szCs w:val="16"/>
        </w:rPr>
        <w:t xml:space="preserve">, supra, </w:t>
      </w:r>
      <w:r w:rsidRPr="006D3159">
        <w:rPr>
          <w:rStyle w:val="Textoennegrita"/>
          <w:b w:val="0"/>
          <w:sz w:val="16"/>
          <w:szCs w:val="16"/>
        </w:rPr>
        <w:t>párr. 74</w:t>
      </w:r>
      <w:r w:rsidRPr="006D3159">
        <w:rPr>
          <w:sz w:val="16"/>
          <w:szCs w:val="16"/>
        </w:rPr>
        <w:t>.</w:t>
      </w:r>
    </w:p>
  </w:footnote>
  <w:footnote w:id="64">
    <w:p w14:paraId="0EA29FC2" w14:textId="77777777" w:rsidR="009C6A90" w:rsidRPr="006D3159" w:rsidRDefault="009C6A90" w:rsidP="006146E8">
      <w:pPr>
        <w:pStyle w:val="Textonotapie"/>
        <w:rPr>
          <w:b/>
          <w:sz w:val="16"/>
          <w:szCs w:val="16"/>
        </w:rPr>
      </w:pPr>
      <w:r w:rsidRPr="006D3159">
        <w:rPr>
          <w:rStyle w:val="Refdenotaalpie"/>
          <w:sz w:val="16"/>
          <w:szCs w:val="16"/>
        </w:rPr>
        <w:footnoteRef/>
      </w:r>
      <w:r w:rsidRPr="006D3159">
        <w:rPr>
          <w:i/>
          <w:sz w:val="16"/>
          <w:szCs w:val="16"/>
        </w:rPr>
        <w:t xml:space="preserve"> </w:t>
      </w:r>
      <w:r w:rsidRPr="006D3159">
        <w:rPr>
          <w:i/>
          <w:sz w:val="16"/>
          <w:szCs w:val="16"/>
        </w:rPr>
        <w:tab/>
        <w:t>Cfr. Caso Acevedo Jaramillo y otros Vs. Perú. Interpretación de la Sentencia de Excepciones Preliminares, Fondo, Reparaciones y Costas</w:t>
      </w:r>
      <w:r w:rsidRPr="006D3159">
        <w:rPr>
          <w:sz w:val="16"/>
          <w:szCs w:val="16"/>
        </w:rPr>
        <w:t xml:space="preserve">, párr. 66, y </w:t>
      </w:r>
      <w:r w:rsidRPr="006D3159">
        <w:rPr>
          <w:rStyle w:val="Textoennegrita"/>
          <w:b w:val="0"/>
          <w:i/>
          <w:sz w:val="16"/>
          <w:szCs w:val="16"/>
        </w:rPr>
        <w:t xml:space="preserve">Caso Colindres </w:t>
      </w:r>
      <w:proofErr w:type="spellStart"/>
      <w:r w:rsidRPr="006D3159">
        <w:rPr>
          <w:rStyle w:val="Textoennegrita"/>
          <w:b w:val="0"/>
          <w:i/>
          <w:sz w:val="16"/>
          <w:szCs w:val="16"/>
        </w:rPr>
        <w:t>Schonenberg</w:t>
      </w:r>
      <w:proofErr w:type="spellEnd"/>
      <w:r w:rsidRPr="006D3159">
        <w:rPr>
          <w:rStyle w:val="Textoennegrita"/>
          <w:b w:val="0"/>
          <w:i/>
          <w:sz w:val="16"/>
          <w:szCs w:val="16"/>
        </w:rPr>
        <w:t xml:space="preserve"> Vs. El Salvador</w:t>
      </w:r>
      <w:r w:rsidRPr="006D3159">
        <w:rPr>
          <w:i/>
          <w:sz w:val="16"/>
          <w:szCs w:val="16"/>
        </w:rPr>
        <w:t xml:space="preserve">, supra, </w:t>
      </w:r>
      <w:r w:rsidRPr="006D3159">
        <w:rPr>
          <w:rStyle w:val="Textoennegrita"/>
          <w:b w:val="0"/>
          <w:sz w:val="16"/>
          <w:szCs w:val="16"/>
        </w:rPr>
        <w:t>párr. 74</w:t>
      </w:r>
      <w:r w:rsidRPr="006D3159">
        <w:rPr>
          <w:b/>
          <w:sz w:val="16"/>
          <w:szCs w:val="16"/>
        </w:rPr>
        <w:t>.</w:t>
      </w:r>
    </w:p>
  </w:footnote>
  <w:footnote w:id="65">
    <w:p w14:paraId="0FD77D44" w14:textId="77777777" w:rsidR="009C6A90" w:rsidRPr="006D3159" w:rsidRDefault="009C6A90" w:rsidP="00436D25">
      <w:pPr>
        <w:pStyle w:val="Textonotapie"/>
        <w:rPr>
          <w:sz w:val="16"/>
          <w:szCs w:val="16"/>
          <w:lang w:val="es-CR"/>
        </w:rPr>
      </w:pPr>
      <w:r w:rsidRPr="006D3159">
        <w:rPr>
          <w:rStyle w:val="Refdenotaalpie"/>
          <w:sz w:val="16"/>
          <w:szCs w:val="16"/>
        </w:rPr>
        <w:footnoteRef/>
      </w:r>
      <w:r w:rsidRPr="006D3159">
        <w:rPr>
          <w:sz w:val="16"/>
          <w:szCs w:val="16"/>
        </w:rPr>
        <w:t xml:space="preserve"> </w:t>
      </w:r>
      <w:r w:rsidRPr="006D3159">
        <w:rPr>
          <w:sz w:val="16"/>
          <w:szCs w:val="16"/>
          <w:lang w:val="es-CR"/>
        </w:rPr>
        <w:tab/>
      </w:r>
      <w:r w:rsidRPr="006D3159">
        <w:rPr>
          <w:sz w:val="16"/>
          <w:szCs w:val="16"/>
        </w:rPr>
        <w:t xml:space="preserve">Cuando un Estado es Parte de un tratado internacional como la Convención Americana, todos sus órganos, incluidos sus jueces, están sometidos a aquél, lo cual les obliga a velar por que los efectos de las disposiciones de la Convención no se vean mermados por la aplicación de normas contrarias a su objeto y fin, por lo que los jueces y órganos vinculados a la administración de justicia en todos los niveles están en la obligación de ejercer </w:t>
      </w:r>
      <w:r w:rsidRPr="006D3159">
        <w:rPr>
          <w:i/>
          <w:sz w:val="16"/>
          <w:szCs w:val="16"/>
        </w:rPr>
        <w:t xml:space="preserve">ex </w:t>
      </w:r>
      <w:proofErr w:type="spellStart"/>
      <w:r w:rsidRPr="006D3159">
        <w:rPr>
          <w:i/>
          <w:sz w:val="16"/>
          <w:szCs w:val="16"/>
        </w:rPr>
        <w:t>officio</w:t>
      </w:r>
      <w:proofErr w:type="spellEnd"/>
      <w:r w:rsidRPr="006D3159">
        <w:rPr>
          <w:sz w:val="16"/>
          <w:szCs w:val="16"/>
        </w:rPr>
        <w:t xml:space="preserve"> un “control de convencionalidad” entre las normas internas y la Convención Americana, evidentemente en el marco de sus respectivas competencias y de las regulaciones procesales correspondientes y en esta tarea, deben tener en cuenta no solamente el tratado, sino también la interpretación que del mismo ha hecho la Corte Interamericana, intérprete última de la Convención Americana</w:t>
      </w:r>
      <w:r w:rsidRPr="006D3159">
        <w:rPr>
          <w:rFonts w:cs="Arial"/>
          <w:sz w:val="16"/>
          <w:szCs w:val="16"/>
        </w:rPr>
        <w:t xml:space="preserve">. </w:t>
      </w:r>
      <w:r w:rsidRPr="006D3159">
        <w:rPr>
          <w:i/>
          <w:iCs/>
          <w:sz w:val="16"/>
          <w:szCs w:val="16"/>
          <w:lang w:val="es-MX"/>
        </w:rPr>
        <w:t>Cfr. Caso Almonacid Arellano</w:t>
      </w:r>
      <w:r w:rsidRPr="006D3159">
        <w:rPr>
          <w:sz w:val="16"/>
          <w:szCs w:val="16"/>
          <w:lang w:val="es-MX"/>
        </w:rPr>
        <w:t xml:space="preserve"> </w:t>
      </w:r>
      <w:r w:rsidRPr="006D3159">
        <w:rPr>
          <w:i/>
          <w:iCs/>
          <w:sz w:val="16"/>
          <w:szCs w:val="16"/>
          <w:lang w:val="es-MX"/>
        </w:rPr>
        <w:t>y otros Vs. Chile</w:t>
      </w:r>
      <w:r w:rsidRPr="006D3159">
        <w:rPr>
          <w:sz w:val="16"/>
          <w:szCs w:val="16"/>
          <w:lang w:val="es-MX"/>
        </w:rPr>
        <w:t xml:space="preserve">. </w:t>
      </w:r>
      <w:r w:rsidRPr="006D3159">
        <w:rPr>
          <w:i/>
          <w:iCs/>
          <w:sz w:val="16"/>
          <w:szCs w:val="16"/>
          <w:lang w:val="es-MX"/>
        </w:rPr>
        <w:t>Excepciones Preliminares, Fondo, Reparaciones y Costas</w:t>
      </w:r>
      <w:r w:rsidRPr="006D3159">
        <w:rPr>
          <w:sz w:val="16"/>
          <w:szCs w:val="16"/>
          <w:lang w:val="es-MX"/>
        </w:rPr>
        <w:t xml:space="preserve">. Sentencia de 26 de septiembre de 2006. Serie C No. 154, párr. 124, y </w:t>
      </w:r>
      <w:r w:rsidRPr="006D3159">
        <w:rPr>
          <w:i/>
          <w:sz w:val="16"/>
          <w:szCs w:val="16"/>
          <w:lang w:val="es-MX"/>
        </w:rPr>
        <w:t xml:space="preserve">Caso Andrade Salmón Vs. Bolivia. Fondo, Reparaciones y Costas. </w:t>
      </w:r>
      <w:r w:rsidRPr="006D3159">
        <w:rPr>
          <w:sz w:val="16"/>
          <w:szCs w:val="16"/>
          <w:lang w:val="es-MX"/>
        </w:rPr>
        <w:t>Sentencia de 1 de diciembre de 2016. Serie C No. 330, párr. 93.</w:t>
      </w:r>
    </w:p>
  </w:footnote>
  <w:footnote w:id="66">
    <w:p w14:paraId="58ED5E7C" w14:textId="77777777" w:rsidR="009C6A90" w:rsidRPr="006D3159" w:rsidRDefault="009C6A90" w:rsidP="006146E8">
      <w:pPr>
        <w:pStyle w:val="Textonotapie"/>
        <w:rPr>
          <w:b/>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Masacre de Santo Domingo Vs. Colombia. Excepciones Preliminares, Fondo y Reparaciones</w:t>
      </w:r>
      <w:r w:rsidRPr="006D3159">
        <w:rPr>
          <w:sz w:val="16"/>
          <w:szCs w:val="16"/>
        </w:rPr>
        <w:t xml:space="preserve">. Sentencia de 30 de noviembre de 2012. Serie C No. 259, párr. 143, y </w:t>
      </w:r>
      <w:r w:rsidRPr="006D3159">
        <w:rPr>
          <w:rStyle w:val="Textoennegrita"/>
          <w:b w:val="0"/>
          <w:i/>
          <w:sz w:val="16"/>
          <w:szCs w:val="16"/>
        </w:rPr>
        <w:t xml:space="preserve">Caso Colindres </w:t>
      </w:r>
      <w:proofErr w:type="spellStart"/>
      <w:r w:rsidRPr="006D3159">
        <w:rPr>
          <w:rStyle w:val="Textoennegrita"/>
          <w:b w:val="0"/>
          <w:i/>
          <w:sz w:val="16"/>
          <w:szCs w:val="16"/>
        </w:rPr>
        <w:t>Schonenberg</w:t>
      </w:r>
      <w:proofErr w:type="spellEnd"/>
      <w:r w:rsidRPr="006D3159">
        <w:rPr>
          <w:rStyle w:val="Textoennegrita"/>
          <w:b w:val="0"/>
          <w:i/>
          <w:sz w:val="16"/>
          <w:szCs w:val="16"/>
        </w:rPr>
        <w:t xml:space="preserve"> Vs. El Salvador</w:t>
      </w:r>
      <w:r w:rsidRPr="006D3159">
        <w:rPr>
          <w:i/>
          <w:sz w:val="16"/>
          <w:szCs w:val="16"/>
        </w:rPr>
        <w:t xml:space="preserve">, supra, </w:t>
      </w:r>
      <w:r w:rsidRPr="006D3159">
        <w:rPr>
          <w:rStyle w:val="Textoennegrita"/>
          <w:b w:val="0"/>
          <w:sz w:val="16"/>
          <w:szCs w:val="16"/>
        </w:rPr>
        <w:t>párr. 75</w:t>
      </w:r>
      <w:r w:rsidRPr="006D3159">
        <w:rPr>
          <w:sz w:val="16"/>
          <w:szCs w:val="16"/>
        </w:rPr>
        <w:t>.</w:t>
      </w:r>
    </w:p>
  </w:footnote>
  <w:footnote w:id="67">
    <w:p w14:paraId="254EB183" w14:textId="77777777" w:rsidR="009C6A90" w:rsidRPr="006D3159" w:rsidRDefault="009C6A90" w:rsidP="006146E8">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 xml:space="preserve">Cfr. Caso Tarazona Arrieta y otros vs. Perú, supra, </w:t>
      </w:r>
      <w:proofErr w:type="spellStart"/>
      <w:r w:rsidRPr="006D3159">
        <w:rPr>
          <w:sz w:val="16"/>
          <w:szCs w:val="16"/>
        </w:rPr>
        <w:t>párrs</w:t>
      </w:r>
      <w:proofErr w:type="spellEnd"/>
      <w:r w:rsidRPr="006D3159">
        <w:rPr>
          <w:sz w:val="16"/>
          <w:szCs w:val="16"/>
        </w:rPr>
        <w:t xml:space="preserve">. 139 a 141. </w:t>
      </w:r>
      <w:r w:rsidRPr="006D3159">
        <w:rPr>
          <w:i/>
          <w:sz w:val="16"/>
          <w:szCs w:val="16"/>
        </w:rPr>
        <w:t>Véase también,</w:t>
      </w:r>
      <w:r w:rsidRPr="006D3159">
        <w:rPr>
          <w:sz w:val="16"/>
          <w:szCs w:val="16"/>
        </w:rPr>
        <w:t xml:space="preserve"> </w:t>
      </w:r>
      <w:r w:rsidRPr="006D3159">
        <w:rPr>
          <w:i/>
          <w:sz w:val="16"/>
          <w:szCs w:val="16"/>
        </w:rPr>
        <w:t>Caso Las Palmeras Vs. Colombia</w:t>
      </w:r>
      <w:r w:rsidRPr="006D3159">
        <w:rPr>
          <w:sz w:val="16"/>
          <w:szCs w:val="16"/>
        </w:rPr>
        <w:t xml:space="preserve">, supra, </w:t>
      </w:r>
      <w:proofErr w:type="spellStart"/>
      <w:r w:rsidRPr="006D3159">
        <w:rPr>
          <w:sz w:val="16"/>
          <w:szCs w:val="16"/>
        </w:rPr>
        <w:t>párrs</w:t>
      </w:r>
      <w:proofErr w:type="spellEnd"/>
      <w:r w:rsidRPr="006D3159">
        <w:rPr>
          <w:sz w:val="16"/>
          <w:szCs w:val="16"/>
        </w:rPr>
        <w:t>. 32 a 24 y punto resolutivo 1.</w:t>
      </w:r>
    </w:p>
  </w:footnote>
  <w:footnote w:id="68">
    <w:p w14:paraId="56FCA8BC" w14:textId="77777777" w:rsidR="009C6A90" w:rsidRPr="006D3159" w:rsidRDefault="009C6A90" w:rsidP="006146E8">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proofErr w:type="gramStart"/>
      <w:r w:rsidRPr="006D3159">
        <w:rPr>
          <w:sz w:val="16"/>
          <w:szCs w:val="16"/>
        </w:rPr>
        <w:t>Véase</w:t>
      </w:r>
      <w:proofErr w:type="gramEnd"/>
      <w:r w:rsidRPr="006D3159">
        <w:rPr>
          <w:sz w:val="16"/>
          <w:szCs w:val="16"/>
        </w:rPr>
        <w:t xml:space="preserve"> por ejemplo,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Costa Rica. Excepciones Preliminares, Fondo, Reparaciones y Costas.</w:t>
      </w:r>
      <w:r w:rsidRPr="006D3159">
        <w:rPr>
          <w:sz w:val="16"/>
          <w:szCs w:val="16"/>
        </w:rPr>
        <w:t xml:space="preserve"> Sentencia de 25 de abril de 2018. Serie C No. 354, </w:t>
      </w:r>
      <w:proofErr w:type="spellStart"/>
      <w:r w:rsidRPr="006D3159">
        <w:rPr>
          <w:sz w:val="16"/>
          <w:szCs w:val="16"/>
        </w:rPr>
        <w:t>párrs</w:t>
      </w:r>
      <w:proofErr w:type="spellEnd"/>
      <w:r w:rsidRPr="006D3159">
        <w:rPr>
          <w:sz w:val="16"/>
          <w:szCs w:val="16"/>
        </w:rPr>
        <w:t xml:space="preserve">. 97 a 115. </w:t>
      </w:r>
    </w:p>
  </w:footnote>
  <w:footnote w:id="69">
    <w:p w14:paraId="35E20C57" w14:textId="77777777" w:rsidR="009C6A90" w:rsidRPr="006D3159" w:rsidRDefault="009C6A90" w:rsidP="006146E8">
      <w:pPr>
        <w:pStyle w:val="Textonotapie"/>
        <w:rPr>
          <w:rStyle w:val="Refdenotaalpie"/>
          <w:rFonts w:eastAsia="MS Mincho"/>
          <w:sz w:val="16"/>
          <w:szCs w:val="16"/>
        </w:rPr>
      </w:pPr>
      <w:r w:rsidRPr="006D3159">
        <w:rPr>
          <w:rStyle w:val="Refdenotaalpie"/>
          <w:rFonts w:eastAsia="MS Mincho"/>
          <w:sz w:val="16"/>
          <w:szCs w:val="16"/>
        </w:rPr>
        <w:footnoteRef/>
      </w:r>
      <w:r w:rsidRPr="006D3159">
        <w:rPr>
          <w:rStyle w:val="Refdenotaalpie"/>
          <w:rFonts w:eastAsia="MS Mincho"/>
          <w:sz w:val="16"/>
          <w:szCs w:val="16"/>
        </w:rPr>
        <w:t xml:space="preserve"> </w:t>
      </w:r>
      <w:r w:rsidRPr="006D3159">
        <w:rPr>
          <w:sz w:val="16"/>
          <w:szCs w:val="16"/>
        </w:rPr>
        <w:tab/>
      </w:r>
      <w:proofErr w:type="gramStart"/>
      <w:r w:rsidRPr="006D3159">
        <w:rPr>
          <w:sz w:val="16"/>
          <w:szCs w:val="16"/>
        </w:rPr>
        <w:t>Véase</w:t>
      </w:r>
      <w:proofErr w:type="gramEnd"/>
      <w:r w:rsidRPr="006D3159">
        <w:rPr>
          <w:sz w:val="16"/>
          <w:szCs w:val="16"/>
        </w:rPr>
        <w:t xml:space="preserve"> por ejemplo, </w:t>
      </w:r>
      <w:r w:rsidRPr="006D3159">
        <w:rPr>
          <w:i/>
          <w:sz w:val="16"/>
          <w:szCs w:val="16"/>
        </w:rPr>
        <w:t xml:space="preserve">Caso Masacre de Santo Domingo Vs. Colombia, supra, </w:t>
      </w:r>
      <w:proofErr w:type="spellStart"/>
      <w:r w:rsidRPr="006D3159">
        <w:rPr>
          <w:sz w:val="16"/>
          <w:szCs w:val="16"/>
        </w:rPr>
        <w:t>párrs</w:t>
      </w:r>
      <w:proofErr w:type="spellEnd"/>
      <w:r w:rsidRPr="006D3159">
        <w:rPr>
          <w:sz w:val="16"/>
          <w:szCs w:val="16"/>
        </w:rPr>
        <w:t>. 334 a 336.</w:t>
      </w:r>
    </w:p>
  </w:footnote>
  <w:footnote w:id="70">
    <w:p w14:paraId="3C00297E" w14:textId="77777777" w:rsidR="009C6A90" w:rsidRPr="006D3159" w:rsidRDefault="009C6A90" w:rsidP="006146E8">
      <w:pPr>
        <w:pStyle w:val="Textonotapie"/>
        <w:rPr>
          <w:bCs/>
          <w:color w:val="000000"/>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rPr>
        <w:tab/>
      </w:r>
      <w:proofErr w:type="gramStart"/>
      <w:r w:rsidRPr="006D3159">
        <w:rPr>
          <w:sz w:val="16"/>
          <w:szCs w:val="16"/>
          <w:lang w:val="es-CR"/>
        </w:rPr>
        <w:t>Véase</w:t>
      </w:r>
      <w:proofErr w:type="gramEnd"/>
      <w:r w:rsidRPr="006D3159">
        <w:rPr>
          <w:sz w:val="16"/>
          <w:szCs w:val="16"/>
          <w:lang w:val="es-CR"/>
        </w:rPr>
        <w:t xml:space="preserve"> por ejemplo</w:t>
      </w:r>
      <w:r w:rsidRPr="006D3159">
        <w:rPr>
          <w:sz w:val="16"/>
          <w:szCs w:val="16"/>
        </w:rPr>
        <w:t xml:space="preserve">, </w:t>
      </w:r>
      <w:r w:rsidRPr="006D3159">
        <w:rPr>
          <w:i/>
          <w:sz w:val="16"/>
          <w:szCs w:val="16"/>
        </w:rPr>
        <w:t xml:space="preserve">Caso Gelman Vs. Uruguay. Fondo y Reparaciones. </w:t>
      </w:r>
      <w:r w:rsidRPr="006D3159">
        <w:rPr>
          <w:sz w:val="16"/>
          <w:szCs w:val="16"/>
        </w:rPr>
        <w:t>Sentencia de 24 de febrero de 2011. Serie C No. 221, párr. 239,</w:t>
      </w:r>
      <w:r w:rsidRPr="006D3159">
        <w:rPr>
          <w:i/>
          <w:sz w:val="16"/>
          <w:szCs w:val="16"/>
        </w:rPr>
        <w:t xml:space="preserve"> </w:t>
      </w:r>
      <w:r w:rsidRPr="006D3159">
        <w:rPr>
          <w:rFonts w:cs="Verdana"/>
          <w:sz w:val="16"/>
          <w:szCs w:val="16"/>
        </w:rPr>
        <w:t xml:space="preserve">y </w:t>
      </w:r>
      <w:r w:rsidRPr="006D3159">
        <w:rPr>
          <w:i/>
          <w:sz w:val="16"/>
          <w:szCs w:val="16"/>
          <w:lang w:val="es-CR"/>
        </w:rPr>
        <w:t xml:space="preserve">Caso Tenorio Roca y otros Vs. Perú. Excepciones Preliminares, Fondo, Reparaciones y Costas. </w:t>
      </w:r>
      <w:r w:rsidRPr="006D3159">
        <w:rPr>
          <w:sz w:val="16"/>
          <w:szCs w:val="16"/>
          <w:lang w:val="es-CR"/>
        </w:rPr>
        <w:t xml:space="preserve">Sentencia de 22 de junio de 2016. Serie C No. 31, </w:t>
      </w:r>
      <w:proofErr w:type="spellStart"/>
      <w:r w:rsidRPr="006D3159">
        <w:rPr>
          <w:sz w:val="16"/>
          <w:szCs w:val="16"/>
          <w:lang w:val="es-CR"/>
        </w:rPr>
        <w:t>párrs</w:t>
      </w:r>
      <w:proofErr w:type="spellEnd"/>
      <w:r w:rsidRPr="006D3159">
        <w:rPr>
          <w:sz w:val="16"/>
          <w:szCs w:val="16"/>
          <w:lang w:val="es-CR"/>
        </w:rPr>
        <w:t xml:space="preserve">. 230 y ss. </w:t>
      </w:r>
    </w:p>
  </w:footnote>
  <w:footnote w:id="71">
    <w:p w14:paraId="6D448FFA" w14:textId="77777777" w:rsidR="009C6A90" w:rsidRPr="006D3159" w:rsidRDefault="009C6A90" w:rsidP="006146E8">
      <w:pPr>
        <w:pStyle w:val="Textonotapie"/>
        <w:rPr>
          <w:sz w:val="16"/>
          <w:szCs w:val="16"/>
          <w:lang w:val="es-CR"/>
        </w:rPr>
      </w:pPr>
      <w:r w:rsidRPr="006D3159">
        <w:rPr>
          <w:rStyle w:val="Refdenotaalpie"/>
          <w:rFonts w:eastAsia="MS Mincho"/>
          <w:sz w:val="16"/>
          <w:szCs w:val="16"/>
        </w:rPr>
        <w:footnoteRef/>
      </w:r>
      <w:r w:rsidRPr="006D3159">
        <w:rPr>
          <w:sz w:val="16"/>
          <w:szCs w:val="16"/>
          <w:lang w:val="es-CR"/>
        </w:rPr>
        <w:t xml:space="preserve"> </w:t>
      </w:r>
      <w:r w:rsidRPr="006D3159">
        <w:rPr>
          <w:sz w:val="16"/>
          <w:szCs w:val="16"/>
          <w:lang w:val="es-CR"/>
        </w:rPr>
        <w:tab/>
      </w:r>
      <w:r w:rsidRPr="006D3159">
        <w:rPr>
          <w:i/>
          <w:sz w:val="16"/>
          <w:szCs w:val="16"/>
          <w:lang w:val="es-CR"/>
        </w:rPr>
        <w:t xml:space="preserve">Cfr. Caso Masacre de Santo Domingo Vs. </w:t>
      </w:r>
      <w:r w:rsidRPr="006D3159">
        <w:rPr>
          <w:i/>
          <w:sz w:val="16"/>
          <w:szCs w:val="16"/>
        </w:rPr>
        <w:t xml:space="preserve">Colombia, supra, </w:t>
      </w:r>
      <w:r w:rsidRPr="006D3159">
        <w:rPr>
          <w:sz w:val="16"/>
          <w:szCs w:val="16"/>
        </w:rPr>
        <w:t xml:space="preserve">párr. 143, y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Costa Rica, supra, </w:t>
      </w:r>
      <w:r w:rsidRPr="006D3159">
        <w:rPr>
          <w:sz w:val="16"/>
          <w:szCs w:val="16"/>
        </w:rPr>
        <w:t>párr. 99.</w:t>
      </w:r>
    </w:p>
  </w:footnote>
  <w:footnote w:id="72">
    <w:p w14:paraId="7A54556A"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Sentencia de la Cámara Penal de la Corte Suprema de Justicia, de 2 de julio de 2012 (expediente de prueba, folios 2376, 2377 y 2379). </w:t>
      </w:r>
    </w:p>
  </w:footnote>
  <w:footnote w:id="73">
    <w:p w14:paraId="105DBD6B" w14:textId="77777777" w:rsidR="009C6A90" w:rsidRPr="006D3159" w:rsidRDefault="009C6A90" w:rsidP="006146E8">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 xml:space="preserve">En particular, la referida sentencia indicó lo siguiente: </w:t>
      </w:r>
    </w:p>
    <w:p w14:paraId="773879B9" w14:textId="77777777" w:rsidR="009C6A90" w:rsidRPr="006D3159" w:rsidRDefault="009C6A90" w:rsidP="00436D25">
      <w:pPr>
        <w:pStyle w:val="Normal1"/>
        <w:widowControl/>
        <w:autoSpaceDE w:val="0"/>
        <w:autoSpaceDN w:val="0"/>
        <w:ind w:left="720" w:right="720"/>
        <w:jc w:val="both"/>
        <w:rPr>
          <w:rFonts w:ascii="Verdana" w:hAnsi="Verdana"/>
          <w:sz w:val="16"/>
          <w:szCs w:val="16"/>
          <w:lang w:val="es-ES_tradnl"/>
        </w:rPr>
      </w:pPr>
      <w:r w:rsidRPr="006D3159">
        <w:rPr>
          <w:rFonts w:ascii="Verdana" w:hAnsi="Verdana"/>
          <w:sz w:val="16"/>
          <w:szCs w:val="16"/>
        </w:rPr>
        <w:t>“El artículo 68 del Pacto de San José de Costa Rica determina en el numeral 1 que los Estados Parte en la convención se comprometen a cumplir las decisiones de la Corte Interamericana de Derechos Humanos en todo caso en que sean partes. Norma que en su desarrollo jurisprudencial y doctrinal se ha reconocido como vinculante y ley autoejecutable para cada Estado. Independientemente al cumplimiento del Poder Legislativo guatemalteco de derogar el fragmento del artículo 132 del Código Penal ordenado por la Corte Interamericana de Derechos Humanos, no es permitido a la jurisdicción en Guatemala aplicar la pena de muerte fundada en la peligrosidad del autor del delito de asesinato. Y este mandato, por el principio constitucional de retroactividad, no sólo comprende los procesos posteriores a la fecha del caso Fermín Ramírez, junio de dos mil cinco, sino a aquellos casos anteriores en que existan condenas de muerte sin ejecutar, basados en el tantas veces citado artículo 132 de la legislación penal guatemalteca, lo que no sería posible realizar en sentencias que pasan por autoridad de cosa juzgada, sino por medio de la acción de Revisión, idónea para corregir un error judicial que afecta el orden o los intereses públicos. Y así es como debe resolverse en Derecho, y por lo mismo la Cámara Penal de la Corte Suprema de Justicia, está obligada por mandato de la Constitución Política de la República y de la Convención Americana de Derechos Humanos y a declarar con lugar la presente acción de Revisión y a anular parcialmente la sentencia objeto de la acción en lo relativo a la pena de muerte impuesta […] [A]l ratificar el Estado de Guatemala, la Convención Americana de Derechos Humanos se sometió a un orden basado en principios reconocidos internacionalmente, de inexcusable aplicación […] [D]</w:t>
      </w:r>
      <w:proofErr w:type="spellStart"/>
      <w:r w:rsidRPr="006D3159">
        <w:rPr>
          <w:rFonts w:ascii="Verdana" w:hAnsi="Verdana"/>
          <w:sz w:val="16"/>
          <w:szCs w:val="16"/>
        </w:rPr>
        <w:t>esde</w:t>
      </w:r>
      <w:proofErr w:type="spellEnd"/>
      <w:r w:rsidRPr="006D3159">
        <w:rPr>
          <w:rFonts w:ascii="Verdana" w:hAnsi="Verdana"/>
          <w:sz w:val="16"/>
          <w:szCs w:val="16"/>
        </w:rPr>
        <w:t xml:space="preserve"> el enfoque del Pacto de San José de Costa Rica, el Derecho Penal de una sociedad democrática, en la que la vida de todos y cada una de las personas que lo habitan es el bien principal, la pena de muerte es cada vez menos justificable, por ello obliga a los países miembros a no imponerla en nuevos delitos y a examinar cuidadosamente, con pulcritud, eficiencia y conforme al régimen de legalidad cada caso”. </w:t>
      </w:r>
      <w:r w:rsidRPr="006D3159">
        <w:rPr>
          <w:rFonts w:ascii="Verdana" w:hAnsi="Verdana"/>
          <w:i/>
          <w:sz w:val="16"/>
          <w:szCs w:val="16"/>
        </w:rPr>
        <w:t>Cfr</w:t>
      </w:r>
      <w:r w:rsidRPr="006D3159">
        <w:rPr>
          <w:rFonts w:ascii="Verdana" w:hAnsi="Verdana"/>
          <w:sz w:val="16"/>
          <w:szCs w:val="16"/>
        </w:rPr>
        <w:t>. Sentencia de la Cámara Penal de la Corte Suprema de Justicia, de 2 de julio de 2012 (expediente de prueba, folios 2375, 2376, 2377 y 2378)</w:t>
      </w:r>
      <w:r w:rsidRPr="006D3159">
        <w:rPr>
          <w:rFonts w:ascii="Verdana" w:hAnsi="Verdana"/>
          <w:color w:val="181818"/>
          <w:sz w:val="16"/>
          <w:szCs w:val="16"/>
        </w:rPr>
        <w:t>.</w:t>
      </w:r>
    </w:p>
  </w:footnote>
  <w:footnote w:id="74">
    <w:p w14:paraId="4CA2B5D4"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i/>
          <w:sz w:val="16"/>
          <w:szCs w:val="16"/>
        </w:rPr>
        <w:t xml:space="preserve"> </w:t>
      </w:r>
      <w:r w:rsidRPr="006D3159">
        <w:rPr>
          <w:i/>
          <w:sz w:val="16"/>
          <w:szCs w:val="16"/>
        </w:rPr>
        <w:tab/>
        <w:t>Cfr</w:t>
      </w:r>
      <w:r w:rsidRPr="006D3159">
        <w:rPr>
          <w:sz w:val="16"/>
          <w:szCs w:val="16"/>
        </w:rPr>
        <w:t xml:space="preserve">. </w:t>
      </w:r>
      <w:r w:rsidRPr="006D3159">
        <w:rPr>
          <w:i/>
          <w:sz w:val="16"/>
          <w:szCs w:val="16"/>
        </w:rPr>
        <w:t xml:space="preserve">Caso Andrade Salmón Vs. Bolivia, supra, </w:t>
      </w:r>
      <w:r w:rsidRPr="006D3159">
        <w:rPr>
          <w:sz w:val="16"/>
          <w:szCs w:val="16"/>
        </w:rPr>
        <w:t xml:space="preserve">párr. 102, y </w:t>
      </w:r>
      <w:r w:rsidRPr="006D3159">
        <w:rPr>
          <w:rStyle w:val="Textoennegrita"/>
          <w:b w:val="0"/>
          <w:i/>
          <w:sz w:val="16"/>
          <w:szCs w:val="16"/>
        </w:rPr>
        <w:t xml:space="preserve">Caso Colindres </w:t>
      </w:r>
      <w:proofErr w:type="spellStart"/>
      <w:r w:rsidRPr="006D3159">
        <w:rPr>
          <w:rStyle w:val="Textoennegrita"/>
          <w:b w:val="0"/>
          <w:i/>
          <w:sz w:val="16"/>
          <w:szCs w:val="16"/>
        </w:rPr>
        <w:t>Schonenberg</w:t>
      </w:r>
      <w:proofErr w:type="spellEnd"/>
      <w:r w:rsidRPr="006D3159">
        <w:rPr>
          <w:rStyle w:val="Textoennegrita"/>
          <w:b w:val="0"/>
          <w:i/>
          <w:sz w:val="16"/>
          <w:szCs w:val="16"/>
        </w:rPr>
        <w:t xml:space="preserve"> Vs. El Salvador</w:t>
      </w:r>
      <w:r w:rsidRPr="006D3159">
        <w:rPr>
          <w:i/>
          <w:sz w:val="16"/>
          <w:szCs w:val="16"/>
        </w:rPr>
        <w:t xml:space="preserve">, supra, </w:t>
      </w:r>
      <w:r w:rsidRPr="006D3159">
        <w:rPr>
          <w:rStyle w:val="Textoennegrita"/>
          <w:b w:val="0"/>
          <w:sz w:val="16"/>
          <w:szCs w:val="16"/>
        </w:rPr>
        <w:t>párr. 80</w:t>
      </w:r>
      <w:r w:rsidRPr="006D3159">
        <w:rPr>
          <w:sz w:val="16"/>
          <w:szCs w:val="16"/>
        </w:rPr>
        <w:t>.</w:t>
      </w:r>
    </w:p>
  </w:footnote>
  <w:footnote w:id="75">
    <w:p w14:paraId="1926572A" w14:textId="77777777" w:rsidR="009C6A90" w:rsidRPr="006D3159" w:rsidRDefault="009C6A90" w:rsidP="006146E8">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Cfr</w:t>
      </w:r>
      <w:r w:rsidRPr="006D3159">
        <w:rPr>
          <w:sz w:val="16"/>
          <w:szCs w:val="16"/>
        </w:rPr>
        <w:t xml:space="preserve">. </w:t>
      </w:r>
      <w:r w:rsidRPr="006D3159">
        <w:rPr>
          <w:i/>
          <w:sz w:val="16"/>
          <w:szCs w:val="16"/>
        </w:rPr>
        <w:t xml:space="preserve">Caso Martínez Coronado Vs. Guatemala, supra, </w:t>
      </w:r>
      <w:r w:rsidRPr="006D3159">
        <w:rPr>
          <w:sz w:val="16"/>
          <w:szCs w:val="16"/>
        </w:rPr>
        <w:t>párr. 62.</w:t>
      </w:r>
    </w:p>
  </w:footnote>
  <w:footnote w:id="76">
    <w:p w14:paraId="6EEAB53B" w14:textId="77777777" w:rsidR="009C6A90" w:rsidRPr="006D3159" w:rsidRDefault="009C6A90" w:rsidP="006146E8">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w:t>
      </w:r>
      <w:r w:rsidRPr="006D3159">
        <w:rPr>
          <w:rStyle w:val="Textoennegrita"/>
          <w:b w:val="0"/>
          <w:i/>
          <w:sz w:val="16"/>
          <w:szCs w:val="16"/>
        </w:rPr>
        <w:t>C</w:t>
      </w:r>
      <w:r w:rsidRPr="006D3159">
        <w:rPr>
          <w:rFonts w:cs="Arial"/>
          <w:i/>
          <w:sz w:val="16"/>
          <w:szCs w:val="16"/>
        </w:rPr>
        <w:t>aso Fermín Ramírez Vs. Guatemala,</w:t>
      </w:r>
      <w:r w:rsidRPr="006D3159">
        <w:rPr>
          <w:rFonts w:cs="Arial"/>
          <w:sz w:val="16"/>
          <w:szCs w:val="16"/>
        </w:rPr>
        <w:t xml:space="preserve"> </w:t>
      </w:r>
      <w:r w:rsidRPr="006D3159">
        <w:rPr>
          <w:rFonts w:cs="Arial"/>
          <w:i/>
          <w:sz w:val="16"/>
          <w:szCs w:val="16"/>
        </w:rPr>
        <w:t>supra,</w:t>
      </w:r>
      <w:r w:rsidRPr="006D3159">
        <w:rPr>
          <w:rFonts w:cs="Arial"/>
          <w:sz w:val="16"/>
          <w:szCs w:val="16"/>
        </w:rPr>
        <w:t xml:space="preserve"> párr.90, y </w:t>
      </w:r>
      <w:r w:rsidRPr="006D3159">
        <w:rPr>
          <w:rStyle w:val="Textoennegrita"/>
          <w:b w:val="0"/>
          <w:i/>
          <w:sz w:val="16"/>
          <w:szCs w:val="16"/>
        </w:rPr>
        <w:t>Caso Martínez Coronado Vs. Guatemala</w:t>
      </w:r>
      <w:r w:rsidRPr="006D3159">
        <w:rPr>
          <w:i/>
          <w:sz w:val="16"/>
          <w:szCs w:val="16"/>
        </w:rPr>
        <w:t xml:space="preserve">, supra, </w:t>
      </w:r>
      <w:r w:rsidRPr="006D3159">
        <w:rPr>
          <w:rStyle w:val="Textoennegrita"/>
          <w:b w:val="0"/>
          <w:sz w:val="16"/>
          <w:szCs w:val="16"/>
        </w:rPr>
        <w:t>párr. 60.</w:t>
      </w:r>
    </w:p>
  </w:footnote>
  <w:footnote w:id="77">
    <w:p w14:paraId="3D378382" w14:textId="77777777" w:rsidR="009C6A90" w:rsidRPr="006D3159" w:rsidRDefault="009C6A90" w:rsidP="00436D25">
      <w:pPr>
        <w:pStyle w:val="Textonotapie"/>
        <w:rPr>
          <w:sz w:val="16"/>
          <w:szCs w:val="16"/>
          <w:lang w:val="es-CR"/>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rStyle w:val="Textoennegrita"/>
          <w:b w:val="0"/>
          <w:i/>
          <w:sz w:val="16"/>
          <w:szCs w:val="16"/>
        </w:rPr>
        <w:t>Caso Fermín Ramírez Vs. Guatemala</w:t>
      </w:r>
      <w:r w:rsidRPr="006D3159">
        <w:rPr>
          <w:i/>
          <w:sz w:val="16"/>
          <w:szCs w:val="16"/>
        </w:rPr>
        <w:t xml:space="preserve">, supra, </w:t>
      </w:r>
      <w:proofErr w:type="spellStart"/>
      <w:r w:rsidRPr="006D3159">
        <w:rPr>
          <w:sz w:val="16"/>
          <w:szCs w:val="16"/>
        </w:rPr>
        <w:t>párrs</w:t>
      </w:r>
      <w:proofErr w:type="spellEnd"/>
      <w:r w:rsidRPr="006D3159">
        <w:rPr>
          <w:sz w:val="16"/>
          <w:szCs w:val="16"/>
        </w:rPr>
        <w:t xml:space="preserve">. 94 a 98. </w:t>
      </w:r>
    </w:p>
  </w:footnote>
  <w:footnote w:id="78">
    <w:p w14:paraId="15BCDB6F" w14:textId="77777777" w:rsidR="009C6A90" w:rsidRPr="006D3159" w:rsidRDefault="009C6A90" w:rsidP="00436D25">
      <w:pPr>
        <w:pStyle w:val="Textonotapie"/>
        <w:rPr>
          <w:sz w:val="16"/>
          <w:szCs w:val="16"/>
          <w:lang w:val="es-CR"/>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i/>
          <w:sz w:val="16"/>
          <w:szCs w:val="16"/>
        </w:rPr>
        <w:t xml:space="preserve">Caso Fermín Ramírez Vs. Guatemala, supra, </w:t>
      </w:r>
      <w:r w:rsidRPr="006D3159">
        <w:rPr>
          <w:sz w:val="16"/>
          <w:szCs w:val="16"/>
        </w:rPr>
        <w:t>párr. 70.</w:t>
      </w:r>
    </w:p>
  </w:footnote>
  <w:footnote w:id="79">
    <w:p w14:paraId="093AF690"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bCs/>
          <w:sz w:val="16"/>
          <w:szCs w:val="16"/>
        </w:rPr>
        <w:t>Certificado de</w:t>
      </w:r>
      <w:r w:rsidRPr="006D3159">
        <w:rPr>
          <w:sz w:val="16"/>
          <w:szCs w:val="16"/>
        </w:rPr>
        <w:t xml:space="preserve"> defunción de Aníbal Archila Pérez emitido por el Registro Civil del Municipio de Escuintla, defunción no. 6468 (expediente de prueba, folio 1329).</w:t>
      </w:r>
    </w:p>
  </w:footnote>
  <w:footnote w:id="80">
    <w:p w14:paraId="36119F7F" w14:textId="77777777" w:rsidR="009C6A90" w:rsidRPr="006D3159" w:rsidRDefault="009C6A90" w:rsidP="00436D25">
      <w:pPr>
        <w:pStyle w:val="Textonotapie"/>
        <w:rPr>
          <w:sz w:val="16"/>
          <w:szCs w:val="16"/>
          <w:lang w:val="es-ES"/>
        </w:rPr>
      </w:pPr>
      <w:r w:rsidRPr="006D3159">
        <w:rPr>
          <w:rStyle w:val="Refdenotaalpie"/>
          <w:sz w:val="16"/>
          <w:szCs w:val="16"/>
        </w:rPr>
        <w:footnoteRef/>
      </w:r>
      <w:r w:rsidRPr="006D3159">
        <w:rPr>
          <w:sz w:val="16"/>
          <w:szCs w:val="16"/>
        </w:rPr>
        <w:t xml:space="preserve"> </w:t>
      </w:r>
      <w:r w:rsidRPr="006D3159">
        <w:rPr>
          <w:sz w:val="16"/>
          <w:szCs w:val="16"/>
        </w:rPr>
        <w:tab/>
        <w:t>Artículo 5 de la Convención Americana.</w:t>
      </w:r>
    </w:p>
  </w:footnote>
  <w:footnote w:id="81">
    <w:p w14:paraId="5D2092EB" w14:textId="77777777" w:rsidR="009C6A90" w:rsidRPr="006D3159" w:rsidRDefault="009C6A90" w:rsidP="00436D25">
      <w:pPr>
        <w:pStyle w:val="Textonotapie"/>
        <w:rPr>
          <w:sz w:val="16"/>
          <w:szCs w:val="16"/>
        </w:rPr>
      </w:pPr>
      <w:r w:rsidRPr="006D3159">
        <w:rPr>
          <w:rStyle w:val="Refdenotaalpie"/>
          <w:rFonts w:eastAsia="Times"/>
          <w:sz w:val="16"/>
          <w:szCs w:val="16"/>
        </w:rPr>
        <w:footnoteRef/>
      </w:r>
      <w:r w:rsidRPr="006D3159">
        <w:rPr>
          <w:sz w:val="16"/>
          <w:szCs w:val="16"/>
        </w:rPr>
        <w:tab/>
      </w:r>
      <w:r w:rsidRPr="006D3159">
        <w:rPr>
          <w:i/>
          <w:sz w:val="16"/>
          <w:szCs w:val="16"/>
        </w:rPr>
        <w:t>Cfr. Caso Loayza Tamayo Vs. Perú. Fondo.</w:t>
      </w:r>
      <w:r w:rsidRPr="006D3159">
        <w:rPr>
          <w:sz w:val="16"/>
          <w:szCs w:val="16"/>
        </w:rPr>
        <w:t xml:space="preserve"> Sentencia de 17 de septiembre de 1997. Serie C No. 33, párr. 57, y</w:t>
      </w:r>
      <w:r w:rsidRPr="006D3159">
        <w:rPr>
          <w:i/>
          <w:sz w:val="16"/>
          <w:szCs w:val="16"/>
        </w:rPr>
        <w:t xml:space="preserve"> Caso Pueblo Indígena </w:t>
      </w:r>
      <w:proofErr w:type="spellStart"/>
      <w:r w:rsidRPr="006D3159">
        <w:rPr>
          <w:i/>
          <w:sz w:val="16"/>
          <w:szCs w:val="16"/>
        </w:rPr>
        <w:t>Xucuru</w:t>
      </w:r>
      <w:proofErr w:type="spellEnd"/>
      <w:r w:rsidRPr="006D3159">
        <w:rPr>
          <w:i/>
          <w:sz w:val="16"/>
          <w:szCs w:val="16"/>
        </w:rPr>
        <w:t xml:space="preserve"> y sus miembros Vs. Brasil.</w:t>
      </w:r>
      <w:r w:rsidRPr="006D3159">
        <w:rPr>
          <w:sz w:val="16"/>
          <w:szCs w:val="16"/>
        </w:rPr>
        <w:t xml:space="preserve"> Excepciones Preliminares, Fondo, Reparaciones y Costas. Sentencia de 5 de febrero de 2018. Serie C No. 346, párr. 171.</w:t>
      </w:r>
    </w:p>
  </w:footnote>
  <w:footnote w:id="82">
    <w:p w14:paraId="45B11BA9"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rStyle w:val="Textoennegrita"/>
          <w:b w:val="0"/>
          <w:i/>
          <w:sz w:val="16"/>
          <w:szCs w:val="16"/>
        </w:rPr>
        <w:t>Caso Díaz Peña Vs. Venezuela. Excepción Preliminar, Fondo, Reparaciones y Costas</w:t>
      </w:r>
      <w:r w:rsidRPr="006D3159">
        <w:rPr>
          <w:rStyle w:val="Textoennegrita"/>
          <w:b w:val="0"/>
          <w:sz w:val="16"/>
          <w:szCs w:val="16"/>
        </w:rPr>
        <w:t>. Sentencia de 26 de junio de 2012. Serie C No. 244, párr. 135.</w:t>
      </w:r>
      <w:r w:rsidRPr="006D3159">
        <w:rPr>
          <w:rStyle w:val="Textoennegrita"/>
          <w:b w:val="0"/>
          <w:sz w:val="16"/>
          <w:szCs w:val="16"/>
        </w:rPr>
        <w:tab/>
      </w:r>
    </w:p>
  </w:footnote>
  <w:footnote w:id="83">
    <w:p w14:paraId="367EF784"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i/>
          <w:sz w:val="16"/>
          <w:szCs w:val="16"/>
        </w:rPr>
        <w:t>Caso Neira Alegría y otros Vs. Perú</w:t>
      </w:r>
      <w:r w:rsidRPr="006D3159">
        <w:rPr>
          <w:sz w:val="16"/>
          <w:szCs w:val="16"/>
        </w:rPr>
        <w:t xml:space="preserve">. </w:t>
      </w:r>
      <w:r w:rsidRPr="006D3159">
        <w:rPr>
          <w:i/>
          <w:sz w:val="16"/>
          <w:szCs w:val="16"/>
        </w:rPr>
        <w:t>Fondo</w:t>
      </w:r>
      <w:r w:rsidRPr="006D3159">
        <w:rPr>
          <w:sz w:val="16"/>
          <w:szCs w:val="16"/>
        </w:rPr>
        <w:t xml:space="preserve">. Sentencia de 19 de enero de 1995. Serie C No. 20, párr. 60, y </w:t>
      </w:r>
      <w:r w:rsidRPr="006D3159">
        <w:rPr>
          <w:rStyle w:val="Textoennegrita"/>
          <w:b w:val="0"/>
          <w:i/>
          <w:sz w:val="16"/>
          <w:szCs w:val="16"/>
        </w:rPr>
        <w:t>Caso Díaz Peña Vs. Venezuela</w:t>
      </w:r>
      <w:r w:rsidRPr="006D3159">
        <w:rPr>
          <w:i/>
          <w:sz w:val="16"/>
          <w:szCs w:val="16"/>
        </w:rPr>
        <w:t xml:space="preserve">, supra, </w:t>
      </w:r>
      <w:r w:rsidRPr="006D3159">
        <w:rPr>
          <w:rStyle w:val="Textoennegrita"/>
          <w:b w:val="0"/>
          <w:sz w:val="16"/>
          <w:szCs w:val="16"/>
        </w:rPr>
        <w:t>párr. 135</w:t>
      </w:r>
      <w:r w:rsidRPr="006D3159">
        <w:rPr>
          <w:sz w:val="16"/>
          <w:szCs w:val="16"/>
          <w:lang w:val="es-ES"/>
        </w:rPr>
        <w:t>.</w:t>
      </w:r>
    </w:p>
  </w:footnote>
  <w:footnote w:id="84">
    <w:p w14:paraId="3FEA439E"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ab/>
      </w:r>
      <w:r w:rsidRPr="006D3159">
        <w:rPr>
          <w:i/>
          <w:sz w:val="16"/>
          <w:szCs w:val="16"/>
        </w:rPr>
        <w:t>Cfr. Caso “Instituto de Reeducación del Menor” Vs. Paraguay. Excepciones Preliminares, Fondo, Reparaciones y Costas.</w:t>
      </w:r>
      <w:r w:rsidRPr="006D3159">
        <w:rPr>
          <w:sz w:val="16"/>
          <w:szCs w:val="16"/>
        </w:rPr>
        <w:t xml:space="preserve"> Sentencia de 2 de septiembre de 2004. Serie C No. 112, párr. 159, y </w:t>
      </w:r>
      <w:r w:rsidRPr="006D3159">
        <w:rPr>
          <w:rStyle w:val="Textoennegrita"/>
          <w:b w:val="0"/>
          <w:i/>
          <w:sz w:val="16"/>
          <w:szCs w:val="16"/>
        </w:rPr>
        <w:t>Caso Díaz Peña Vs. Venezuela</w:t>
      </w:r>
      <w:r w:rsidRPr="006D3159">
        <w:rPr>
          <w:i/>
          <w:sz w:val="16"/>
          <w:szCs w:val="16"/>
        </w:rPr>
        <w:t xml:space="preserve">, supra, </w:t>
      </w:r>
      <w:r w:rsidRPr="006D3159">
        <w:rPr>
          <w:rStyle w:val="Textoennegrita"/>
          <w:b w:val="0"/>
          <w:sz w:val="16"/>
          <w:szCs w:val="16"/>
        </w:rPr>
        <w:t>párr. 135</w:t>
      </w:r>
      <w:r w:rsidRPr="006D3159">
        <w:rPr>
          <w:sz w:val="16"/>
          <w:szCs w:val="16"/>
          <w:lang w:val="es-ES"/>
        </w:rPr>
        <w:t>.</w:t>
      </w:r>
    </w:p>
  </w:footnote>
  <w:footnote w:id="85">
    <w:p w14:paraId="1930D4E0"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sz w:val="16"/>
          <w:szCs w:val="16"/>
          <w:lang w:val="es-ES" w:eastAsia="es-ES_tradnl"/>
        </w:rPr>
        <w:t xml:space="preserve">Declaración de Miguel Ángel Rodríguez Revolorio rendida </w:t>
      </w:r>
      <w:r w:rsidRPr="006D3159">
        <w:rPr>
          <w:sz w:val="16"/>
          <w:szCs w:val="16"/>
        </w:rPr>
        <w:t xml:space="preserve">en la audiencia pública ante la Corte Interamericana celebrada el 8 de marzo de 2019. </w:t>
      </w:r>
    </w:p>
  </w:footnote>
  <w:footnote w:id="86">
    <w:p w14:paraId="01634C00"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 xml:space="preserve">Comunicación de la </w:t>
      </w:r>
      <w:proofErr w:type="gramStart"/>
      <w:r w:rsidRPr="006D3159">
        <w:rPr>
          <w:sz w:val="16"/>
          <w:szCs w:val="16"/>
        </w:rPr>
        <w:t>Secretaria General</w:t>
      </w:r>
      <w:proofErr w:type="gramEnd"/>
      <w:r w:rsidRPr="006D3159">
        <w:rPr>
          <w:sz w:val="16"/>
          <w:szCs w:val="16"/>
        </w:rPr>
        <w:t xml:space="preserve"> de la Presidencia del Organismo Judicial, de 28 de junio de 2018 (expediente de prueba, folio 2392).</w:t>
      </w:r>
    </w:p>
  </w:footnote>
  <w:footnote w:id="87">
    <w:p w14:paraId="59675F6F"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265).</w:t>
      </w:r>
    </w:p>
  </w:footnote>
  <w:footnote w:id="88">
    <w:p w14:paraId="6DC51172"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265).</w:t>
      </w:r>
    </w:p>
  </w:footnote>
  <w:footnote w:id="89">
    <w:p w14:paraId="3C3B2BD7"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267).</w:t>
      </w:r>
    </w:p>
  </w:footnote>
  <w:footnote w:id="90">
    <w:p w14:paraId="450DA076"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268).</w:t>
      </w:r>
    </w:p>
  </w:footnote>
  <w:footnote w:id="91">
    <w:p w14:paraId="36D1A20A" w14:textId="77777777" w:rsidR="009C6A90" w:rsidRPr="006D3159" w:rsidRDefault="009C6A90" w:rsidP="00436D25">
      <w:pPr>
        <w:pStyle w:val="Textonotapie"/>
        <w:rPr>
          <w:sz w:val="16"/>
          <w:szCs w:val="16"/>
          <w:lang w:val="es-CR"/>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Declaración de Miguel Ángel Rodríguez Revolorio rendida en la audiencia pública ante la Corte Interamericana celebrada el 8 de marzo de 2019, en la que indicó lo siguiente: “resulta pues que estuvimos más o menos como espacio de dos meses y medio sin visita, no teníamos visita”. </w:t>
      </w:r>
    </w:p>
  </w:footnote>
  <w:footnote w:id="92">
    <w:p w14:paraId="234224F0"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Declaración de Miguel Ángel Rodríguez Revolorio rendida en la audiencia pública ante la Corte Interamericana celebrada el 8 de marzo de 2019.</w:t>
      </w:r>
    </w:p>
  </w:footnote>
  <w:footnote w:id="93">
    <w:p w14:paraId="3B8FD3B8"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267).</w:t>
      </w:r>
    </w:p>
  </w:footnote>
  <w:footnote w:id="94">
    <w:p w14:paraId="17BA0D18"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Declaración de Miguel Ángel Rodríguez Revolorio rendida en la audiencia pública ante la Corte Interamericana celebrada el 8 de marzo de 2019.</w:t>
      </w:r>
    </w:p>
  </w:footnote>
  <w:footnote w:id="95">
    <w:p w14:paraId="5794FDA0"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folios 271, 272, 273 y 274).</w:t>
      </w:r>
    </w:p>
  </w:footnote>
  <w:footnote w:id="96">
    <w:p w14:paraId="09D2CDE7" w14:textId="77777777" w:rsidR="009C6A90" w:rsidRPr="006D3159" w:rsidRDefault="009C6A90" w:rsidP="00436D25">
      <w:pPr>
        <w:pStyle w:val="Textonotapie"/>
        <w:rPr>
          <w:sz w:val="16"/>
          <w:szCs w:val="16"/>
          <w:lang w:val="es-CR"/>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Declaración de Miguel Ángel Rodríguez Revolorio rendida en la audiencia pública ante la Corte Interamericana celebrada el 8 de marzo de 2019, en la que el señor Rodríguez Revolorio indicó que “[sus hijos] no podían [entrar en la cárcel] porque en la cárcel en el infiernito era sin contacto físico y por todo ese tiempo que yo estuve allí que fueron 6 años yo no podía abrazarlos”.</w:t>
      </w:r>
    </w:p>
  </w:footnote>
  <w:footnote w:id="97">
    <w:p w14:paraId="7731C42C"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De</w:t>
      </w:r>
      <w:proofErr w:type="spellStart"/>
      <w:r w:rsidRPr="006D3159">
        <w:rPr>
          <w:sz w:val="16"/>
          <w:szCs w:val="16"/>
          <w:lang w:val="es-ES" w:eastAsia="es-ES_tradnl"/>
        </w:rPr>
        <w:t>claración</w:t>
      </w:r>
      <w:proofErr w:type="spellEnd"/>
      <w:r w:rsidRPr="006D3159">
        <w:rPr>
          <w:sz w:val="16"/>
          <w:szCs w:val="16"/>
          <w:lang w:val="es-ES" w:eastAsia="es-ES_tradnl"/>
        </w:rPr>
        <w:t xml:space="preserve"> de Miguel Ángel Rodríguez Revolorio rendida </w:t>
      </w:r>
      <w:r w:rsidRPr="006D3159">
        <w:rPr>
          <w:sz w:val="16"/>
          <w:szCs w:val="16"/>
        </w:rPr>
        <w:t>en la audiencia pública ante la Corte Interamericana celebrada el 8 de marzo de 2019.</w:t>
      </w:r>
    </w:p>
  </w:footnote>
  <w:footnote w:id="98">
    <w:p w14:paraId="4B3FC119"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 xml:space="preserve">Certificado médico expedido por el doctor Ricardo Estrada </w:t>
      </w:r>
      <w:proofErr w:type="spellStart"/>
      <w:r w:rsidRPr="006D3159">
        <w:rPr>
          <w:sz w:val="16"/>
          <w:szCs w:val="16"/>
        </w:rPr>
        <w:t>Estrada</w:t>
      </w:r>
      <w:proofErr w:type="spellEnd"/>
      <w:r w:rsidRPr="006D3159">
        <w:rPr>
          <w:sz w:val="16"/>
          <w:szCs w:val="16"/>
        </w:rPr>
        <w:t xml:space="preserve"> sobre el estado de salud del señor Miguel Ángel López Calo, de 15 de junio de 2005 (expediente de prueba, folio 1430).</w:t>
      </w:r>
    </w:p>
  </w:footnote>
  <w:footnote w:id="99">
    <w:p w14:paraId="67DFB253"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Tales como evaluación por Medico Oftalmólogo y la práctica de los siguientes exámenes de laboratorio clínico: (i) Glicemia pre y post pradial y (</w:t>
      </w:r>
      <w:proofErr w:type="spellStart"/>
      <w:r w:rsidRPr="006D3159">
        <w:rPr>
          <w:sz w:val="16"/>
          <w:szCs w:val="16"/>
        </w:rPr>
        <w:t>ii</w:t>
      </w:r>
      <w:proofErr w:type="spellEnd"/>
      <w:r w:rsidRPr="006D3159">
        <w:rPr>
          <w:sz w:val="16"/>
          <w:szCs w:val="16"/>
        </w:rPr>
        <w:t xml:space="preserve">) Hemoglobina glicosilada. </w:t>
      </w:r>
      <w:r w:rsidRPr="006D3159">
        <w:rPr>
          <w:i/>
          <w:iCs/>
          <w:sz w:val="16"/>
          <w:szCs w:val="16"/>
        </w:rPr>
        <w:t xml:space="preserve">Cfr. </w:t>
      </w:r>
      <w:r w:rsidRPr="006D3159">
        <w:rPr>
          <w:rFonts w:cs="Arial"/>
          <w:sz w:val="16"/>
          <w:szCs w:val="16"/>
        </w:rPr>
        <w:t xml:space="preserve">Certificado médico expedido por el doctor Ricardo Estrada </w:t>
      </w:r>
      <w:proofErr w:type="spellStart"/>
      <w:r w:rsidRPr="006D3159">
        <w:rPr>
          <w:rFonts w:cs="Arial"/>
          <w:sz w:val="16"/>
          <w:szCs w:val="16"/>
        </w:rPr>
        <w:t>Estrada</w:t>
      </w:r>
      <w:proofErr w:type="spellEnd"/>
      <w:r w:rsidRPr="006D3159">
        <w:rPr>
          <w:rFonts w:cs="Arial"/>
          <w:sz w:val="16"/>
          <w:szCs w:val="16"/>
        </w:rPr>
        <w:t xml:space="preserve"> sobre el estado de salud del señor Miguel Ángel López Calo, de 15 de junio de 2005 </w:t>
      </w:r>
      <w:r w:rsidRPr="006D3159">
        <w:rPr>
          <w:sz w:val="16"/>
          <w:szCs w:val="16"/>
        </w:rPr>
        <w:t>(expediente de prueba, folio 1430).</w:t>
      </w:r>
    </w:p>
  </w:footnote>
  <w:footnote w:id="100">
    <w:p w14:paraId="0BC8F69E"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273).</w:t>
      </w:r>
    </w:p>
  </w:footnote>
  <w:footnote w:id="101">
    <w:p w14:paraId="37A9C46B"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Declaración rendida ante fedatario público realizada por Miriam Floridalma Osorio García de López, de 1 de marzo de 2019 (expediente de prueba, folios 2430 y 2432).</w:t>
      </w:r>
    </w:p>
  </w:footnote>
  <w:footnote w:id="102">
    <w:p w14:paraId="06E11F7B"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Declaración rendida ante fedatario público realizada por Miriam Floridalma Osorio García de López, de 1 de marzo de 2019 (expediente de prueba, folio 2433).</w:t>
      </w:r>
    </w:p>
  </w:footnote>
  <w:footnote w:id="103">
    <w:p w14:paraId="058166A9"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Comunicación de la Secretaría General de la Presidencia, de 28 de junio de 2018 (expediente de prueba, folio 2392).</w:t>
      </w:r>
    </w:p>
  </w:footnote>
  <w:footnote w:id="104">
    <w:p w14:paraId="504C24FB"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bCs/>
          <w:sz w:val="16"/>
          <w:szCs w:val="16"/>
        </w:rPr>
        <w:t>Certificado de</w:t>
      </w:r>
      <w:r w:rsidRPr="006D3159">
        <w:rPr>
          <w:sz w:val="16"/>
          <w:szCs w:val="16"/>
        </w:rPr>
        <w:t xml:space="preserve"> defunción de Miguel Ángel López Calo emitido por el Registro Civil del Municipio de Guatemala, Departamento de Guatemala, defunción no. 162576 (expediente de prueba, folio 1322).</w:t>
      </w:r>
    </w:p>
  </w:footnote>
  <w:footnote w:id="105">
    <w:p w14:paraId="143384E2"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Declaración rendida ante fedatario público realizada por Irma Morales </w:t>
      </w:r>
      <w:proofErr w:type="spellStart"/>
      <w:r w:rsidRPr="006D3159">
        <w:rPr>
          <w:sz w:val="16"/>
          <w:szCs w:val="16"/>
        </w:rPr>
        <w:t>Moratava</w:t>
      </w:r>
      <w:proofErr w:type="spellEnd"/>
      <w:r w:rsidRPr="006D3159">
        <w:rPr>
          <w:sz w:val="16"/>
          <w:szCs w:val="16"/>
        </w:rPr>
        <w:t xml:space="preserve"> de Archilla, de 1 de marzo de 2019 (expediente de prueba, folio 2438).</w:t>
      </w:r>
    </w:p>
  </w:footnote>
  <w:footnote w:id="106">
    <w:p w14:paraId="177D8176"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A este respecto, la señora Morales indicó expresamente que:</w:t>
      </w:r>
    </w:p>
    <w:p w14:paraId="44DC378D" w14:textId="77777777" w:rsidR="009C6A90" w:rsidRPr="006D3159" w:rsidRDefault="009C6A90" w:rsidP="00436D25">
      <w:pPr>
        <w:pStyle w:val="Textonotapie"/>
        <w:ind w:left="720" w:right="720"/>
        <w:rPr>
          <w:sz w:val="16"/>
          <w:szCs w:val="16"/>
          <w:lang w:val="es-CR"/>
        </w:rPr>
      </w:pPr>
      <w:r w:rsidRPr="006D3159">
        <w:rPr>
          <w:sz w:val="16"/>
          <w:szCs w:val="16"/>
        </w:rPr>
        <w:t xml:space="preserve">“[E]l 29 de mayo 1999 fue trasladado a una cárcel de máxima seguridad la cual le llamaban El INFIERNITO que está ubicada en el departamento de ESCUINTLA, desde esa fecha comencé a sufrir más porqué ese lugar queda mucho más lejos y para mi representaba muchos gastos y cuando iba no me dejaron verlo, incluso cuando me llevaba a mis hijos y nunca me dejaron verlo, yo pedía que lo quería ver y a mí me negaban verlo porque me dijeron que él estaba enfermo pero él no se fue enfermo de la cárcel de la zona 18 y me pedían medicinas y sueros y nunca se los dieron. Yo </w:t>
      </w:r>
      <w:proofErr w:type="gramStart"/>
      <w:r w:rsidRPr="006D3159">
        <w:rPr>
          <w:sz w:val="16"/>
          <w:szCs w:val="16"/>
        </w:rPr>
        <w:t>hable</w:t>
      </w:r>
      <w:proofErr w:type="gramEnd"/>
      <w:r w:rsidRPr="006D3159">
        <w:rPr>
          <w:sz w:val="16"/>
          <w:szCs w:val="16"/>
        </w:rPr>
        <w:t xml:space="preserve">, pedí hablar con el director de presidios y él me dijo que él ya estaba mejor y yo le pedí verlo y me lo negó, incluso yo le dije al director que si me lo podía dar con custodia para llevarlo con el doctor, porque yo no lo había visto ni creí que estaba enfermo, por eso quería verlo y no quería que me lo mataran allí adentro […]” (Declaración rendida ante fedatario público realizada por Irma Morales </w:t>
      </w:r>
      <w:proofErr w:type="spellStart"/>
      <w:r w:rsidRPr="006D3159">
        <w:rPr>
          <w:sz w:val="16"/>
          <w:szCs w:val="16"/>
        </w:rPr>
        <w:t>Moratava</w:t>
      </w:r>
      <w:proofErr w:type="spellEnd"/>
      <w:r w:rsidRPr="006D3159">
        <w:rPr>
          <w:sz w:val="16"/>
          <w:szCs w:val="16"/>
        </w:rPr>
        <w:t xml:space="preserve"> de Archilla, de 1 de marzo de 2019, expediente de prueba, folio 2438). </w:t>
      </w:r>
    </w:p>
  </w:footnote>
  <w:footnote w:id="107">
    <w:p w14:paraId="4F4BF217"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Declaración rendida ante fedatario público realizada por Irma Morales </w:t>
      </w:r>
      <w:proofErr w:type="spellStart"/>
      <w:r w:rsidRPr="006D3159">
        <w:rPr>
          <w:sz w:val="16"/>
          <w:szCs w:val="16"/>
        </w:rPr>
        <w:t>Moratava</w:t>
      </w:r>
      <w:proofErr w:type="spellEnd"/>
      <w:r w:rsidRPr="006D3159">
        <w:rPr>
          <w:sz w:val="16"/>
          <w:szCs w:val="16"/>
        </w:rPr>
        <w:t xml:space="preserve"> de Archilla, de 1 de marzo de 2019 (expediente de prueba, folio 2439).</w:t>
      </w:r>
    </w:p>
  </w:footnote>
  <w:footnote w:id="108">
    <w:p w14:paraId="2F933C57"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Declaración de Miguel Ángel Rodríguez Revolorio rendida en la audiencia pública ante la Corte Interamericana celebrada el 8 de marzo de 2019. </w:t>
      </w:r>
    </w:p>
  </w:footnote>
  <w:footnote w:id="109">
    <w:p w14:paraId="3E7EA33B"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bCs/>
          <w:sz w:val="16"/>
          <w:szCs w:val="16"/>
        </w:rPr>
        <w:t>Certificado de</w:t>
      </w:r>
      <w:r w:rsidRPr="006D3159">
        <w:rPr>
          <w:sz w:val="16"/>
          <w:szCs w:val="16"/>
        </w:rPr>
        <w:t xml:space="preserve"> defunción de Aníbal Archila Pérez emitido por el Registro Civil del Municipio de Escuintla, defunción no. 6468 (expediente de prueba, folio 1329).</w:t>
      </w:r>
    </w:p>
  </w:footnote>
  <w:footnote w:id="110">
    <w:p w14:paraId="1B48EF2B"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w:t>
      </w:r>
      <w:r w:rsidRPr="006D3159">
        <w:rPr>
          <w:rStyle w:val="Textoennegrita"/>
          <w:b w:val="0"/>
          <w:i/>
          <w:sz w:val="16"/>
          <w:szCs w:val="16"/>
        </w:rPr>
        <w:t>Caso Fermín Ramírez Vs. Guatemala</w:t>
      </w:r>
      <w:r w:rsidRPr="006D3159">
        <w:rPr>
          <w:i/>
          <w:sz w:val="16"/>
          <w:szCs w:val="16"/>
        </w:rPr>
        <w:t xml:space="preserve">, supra, </w:t>
      </w:r>
      <w:r w:rsidRPr="006D3159">
        <w:rPr>
          <w:rStyle w:val="Textoennegrita"/>
          <w:b w:val="0"/>
          <w:sz w:val="16"/>
          <w:szCs w:val="16"/>
        </w:rPr>
        <w:t xml:space="preserve">párr. 54.55. </w:t>
      </w:r>
    </w:p>
  </w:footnote>
  <w:footnote w:id="111">
    <w:p w14:paraId="580C0B34"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w:t>
      </w:r>
      <w:r w:rsidRPr="006D3159">
        <w:rPr>
          <w:rStyle w:val="Textoennegrita"/>
          <w:b w:val="0"/>
          <w:i/>
          <w:sz w:val="16"/>
          <w:szCs w:val="16"/>
        </w:rPr>
        <w:t>Caso Fermín Ramírez Vs. Guatemala</w:t>
      </w:r>
      <w:r w:rsidRPr="006D3159">
        <w:rPr>
          <w:i/>
          <w:sz w:val="16"/>
          <w:szCs w:val="16"/>
        </w:rPr>
        <w:t xml:space="preserve">, supra, </w:t>
      </w:r>
      <w:r w:rsidRPr="006D3159">
        <w:rPr>
          <w:rStyle w:val="Textoennegrita"/>
          <w:b w:val="0"/>
          <w:sz w:val="16"/>
          <w:szCs w:val="16"/>
        </w:rPr>
        <w:t>párr. 54.57.</w:t>
      </w:r>
    </w:p>
  </w:footnote>
  <w:footnote w:id="112">
    <w:p w14:paraId="6116A7C6"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rStyle w:val="Textoennegrita"/>
          <w:b w:val="0"/>
          <w:i/>
          <w:sz w:val="16"/>
          <w:szCs w:val="16"/>
        </w:rPr>
        <w:t xml:space="preserve">Caso Fermín Ramírez Vs. Guatemala, supra, </w:t>
      </w:r>
      <w:r w:rsidRPr="006D3159">
        <w:rPr>
          <w:rStyle w:val="Textoennegrita"/>
          <w:b w:val="0"/>
          <w:sz w:val="16"/>
          <w:szCs w:val="16"/>
        </w:rPr>
        <w:t xml:space="preserve">párr. 119. </w:t>
      </w:r>
      <w:r w:rsidRPr="006D3159">
        <w:rPr>
          <w:sz w:val="16"/>
          <w:szCs w:val="16"/>
        </w:rPr>
        <w:t xml:space="preserve">Véase también, </w:t>
      </w:r>
      <w:r w:rsidRPr="006D3159">
        <w:rPr>
          <w:sz w:val="16"/>
          <w:szCs w:val="16"/>
          <w:lang w:val="es-CR"/>
        </w:rPr>
        <w:t xml:space="preserve">Comisión Interamericana de Derechos Humanos, Quinto Informe sobre la Situación de Derechos Humanos en Guatemala, de 6 de abril de 2001, Capítulo VIII; y MINUGUA, </w:t>
      </w:r>
      <w:r w:rsidRPr="006D3159">
        <w:rPr>
          <w:sz w:val="16"/>
          <w:szCs w:val="16"/>
        </w:rPr>
        <w:t>Informe de Verificación, La Situación Penitenciaria en Guatemala, abril de 2000.</w:t>
      </w:r>
    </w:p>
  </w:footnote>
  <w:footnote w:id="113">
    <w:p w14:paraId="3D2F479F"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rStyle w:val="Textoennegrita"/>
          <w:b w:val="0"/>
          <w:i/>
          <w:sz w:val="16"/>
          <w:szCs w:val="16"/>
        </w:rPr>
        <w:t>Caso Fermín Ramírez Vs. Guatemala</w:t>
      </w:r>
      <w:r w:rsidRPr="006D3159">
        <w:rPr>
          <w:i/>
          <w:sz w:val="16"/>
          <w:szCs w:val="16"/>
        </w:rPr>
        <w:t xml:space="preserve">, supra, </w:t>
      </w:r>
      <w:r w:rsidRPr="006D3159">
        <w:rPr>
          <w:rStyle w:val="Textoennegrita"/>
          <w:b w:val="0"/>
          <w:sz w:val="16"/>
          <w:szCs w:val="16"/>
        </w:rPr>
        <w:t>párr. 119.</w:t>
      </w:r>
    </w:p>
  </w:footnote>
  <w:footnote w:id="114">
    <w:p w14:paraId="59DB7FCB" w14:textId="77777777" w:rsidR="009C6A90" w:rsidRPr="006D3159" w:rsidRDefault="009C6A90" w:rsidP="00436D25">
      <w:pPr>
        <w:spacing w:line="240" w:lineRule="auto"/>
        <w:rPr>
          <w:rFonts w:cs="Arial"/>
          <w:sz w:val="16"/>
          <w:szCs w:val="16"/>
        </w:rPr>
      </w:pPr>
      <w:r w:rsidRPr="006D3159">
        <w:rPr>
          <w:rStyle w:val="Refdenotaalpie"/>
          <w:sz w:val="16"/>
          <w:szCs w:val="16"/>
        </w:rPr>
        <w:footnoteRef/>
      </w:r>
      <w:r w:rsidRPr="006D3159">
        <w:rPr>
          <w:sz w:val="16"/>
          <w:szCs w:val="16"/>
        </w:rPr>
        <w:t xml:space="preserve"> </w:t>
      </w:r>
      <w:r w:rsidRPr="006D3159">
        <w:rPr>
          <w:sz w:val="16"/>
          <w:szCs w:val="16"/>
        </w:rPr>
        <w:tab/>
        <w:t>La Corte Interamericana en numerosas decisiones ha empleado las Reglas Mínimas de Naciones Unidas para el Tratamiento de Reclusos (Reglas de Mandela) a fin de interpretar el contenido del derecho de las personas privadas de la libertad a un trato digno y humano. Éstas prescriben las normas básicas respecto al alojamiento, higiene, tratamiento médico y ejercicio de los reos privados de la libertad</w:t>
      </w:r>
      <w:r w:rsidRPr="006D3159">
        <w:rPr>
          <w:rFonts w:cs="Verdana"/>
          <w:sz w:val="16"/>
          <w:szCs w:val="16"/>
        </w:rPr>
        <w:t xml:space="preserve">. </w:t>
      </w:r>
      <w:r w:rsidRPr="006D3159">
        <w:rPr>
          <w:i/>
          <w:sz w:val="16"/>
          <w:szCs w:val="16"/>
        </w:rPr>
        <w:t>Cfr.</w:t>
      </w:r>
      <w:r w:rsidRPr="006D3159">
        <w:rPr>
          <w:sz w:val="16"/>
          <w:szCs w:val="16"/>
        </w:rPr>
        <w:t xml:space="preserve"> </w:t>
      </w:r>
      <w:r w:rsidRPr="006D3159">
        <w:rPr>
          <w:rFonts w:cs="Arial"/>
          <w:sz w:val="16"/>
          <w:szCs w:val="16"/>
        </w:rPr>
        <w:t xml:space="preserve">Reglas Mínimas de las Naciones para el Tratamiento de Reclusos, adoptadas por el Primer Congreso de las Naciones Unidas sobre Prevención del Delito y Tratamiento del Delincuente, celebrado en Ginebra en 1995, y aprobadas por el Consejo Económico y Social en sus resoluciones 663C (XXIV) de 31 de julio de 1957 y 2076 (LXVII) de 13 de mayo de 1977, </w:t>
      </w:r>
      <w:r w:rsidRPr="006D3159">
        <w:rPr>
          <w:rFonts w:cs="Arial"/>
          <w:i/>
          <w:sz w:val="16"/>
          <w:szCs w:val="16"/>
        </w:rPr>
        <w:t xml:space="preserve">inter </w:t>
      </w:r>
      <w:proofErr w:type="spellStart"/>
      <w:r w:rsidRPr="006D3159">
        <w:rPr>
          <w:rFonts w:cs="Arial"/>
          <w:i/>
          <w:sz w:val="16"/>
          <w:szCs w:val="16"/>
        </w:rPr>
        <w:t>alia</w:t>
      </w:r>
      <w:proofErr w:type="spellEnd"/>
      <w:r w:rsidRPr="006D3159">
        <w:rPr>
          <w:rFonts w:cs="Arial"/>
          <w:sz w:val="16"/>
          <w:szCs w:val="16"/>
        </w:rPr>
        <w:t>:</w:t>
      </w:r>
    </w:p>
    <w:p w14:paraId="54C27133" w14:textId="77777777" w:rsidR="009C6A90" w:rsidRPr="006D3159" w:rsidRDefault="009C6A90" w:rsidP="00436D25">
      <w:pPr>
        <w:spacing w:line="240" w:lineRule="auto"/>
        <w:ind w:left="720" w:right="630"/>
        <w:rPr>
          <w:sz w:val="16"/>
          <w:szCs w:val="16"/>
        </w:rPr>
      </w:pPr>
      <w:r w:rsidRPr="006D3159">
        <w:rPr>
          <w:sz w:val="16"/>
          <w:szCs w:val="16"/>
        </w:rPr>
        <w:t xml:space="preserve">“10. Los locales destinados a los reclusos y especialmente aquellos que se destinan al alojamiento de los reclusos durante la noche, deberán satisfacer las exigencias de la higiene, habida cuenta del clima, particularmente en lo que concierne al volumen de aire, superficie mínima, alumbrado, calefacción y ventilación. </w:t>
      </w:r>
    </w:p>
    <w:p w14:paraId="427DA54B" w14:textId="77777777" w:rsidR="009C6A90" w:rsidRPr="006D3159" w:rsidRDefault="009C6A90" w:rsidP="00436D25">
      <w:pPr>
        <w:spacing w:line="240" w:lineRule="auto"/>
        <w:ind w:left="720" w:right="720"/>
        <w:rPr>
          <w:sz w:val="16"/>
          <w:szCs w:val="16"/>
        </w:rPr>
      </w:pPr>
      <w:r w:rsidRPr="006D3159">
        <w:rPr>
          <w:sz w:val="16"/>
          <w:szCs w:val="16"/>
        </w:rPr>
        <w:t>11. En todo local donde los reclusos tengan que vivir o trabajar: a) Las ventanas tendrán que ser suficientemente grandes para que el recluso pueda leer y trabajar con luz natural; y deberán estar dispuestas de manera que pueda entrar aire fresco, haya o no ventilación artificial; b)</w:t>
      </w:r>
      <w:r w:rsidRPr="006D3159">
        <w:rPr>
          <w:sz w:val="16"/>
          <w:szCs w:val="16"/>
        </w:rPr>
        <w:tab/>
        <w:t xml:space="preserve">La luz artificial tendrá que ser suficiente para que el recluso pueda leer y trabajar sin perjuicio de su vista. </w:t>
      </w:r>
    </w:p>
    <w:p w14:paraId="693AFA12" w14:textId="77777777" w:rsidR="009C6A90" w:rsidRPr="006D3159" w:rsidRDefault="009C6A90" w:rsidP="00436D25">
      <w:pPr>
        <w:spacing w:line="240" w:lineRule="auto"/>
        <w:ind w:left="720" w:right="720"/>
        <w:rPr>
          <w:sz w:val="16"/>
          <w:szCs w:val="16"/>
        </w:rPr>
      </w:pPr>
      <w:r w:rsidRPr="006D3159">
        <w:rPr>
          <w:sz w:val="16"/>
          <w:szCs w:val="16"/>
        </w:rPr>
        <w:t>12. Las instalaciones sanitarias deberán ser adecuadas para que el recluso pueda satisfacer sus necesidades naturales en el momento oportuno, en forma aseada y decente. […]</w:t>
      </w:r>
    </w:p>
    <w:p w14:paraId="16987DDA" w14:textId="77777777" w:rsidR="009C6A90" w:rsidRPr="006D3159" w:rsidRDefault="009C6A90" w:rsidP="00436D25">
      <w:pPr>
        <w:spacing w:line="240" w:lineRule="auto"/>
        <w:ind w:left="720" w:right="720"/>
        <w:rPr>
          <w:sz w:val="16"/>
          <w:szCs w:val="16"/>
        </w:rPr>
      </w:pPr>
      <w:r w:rsidRPr="006D3159">
        <w:rPr>
          <w:sz w:val="16"/>
          <w:szCs w:val="16"/>
        </w:rPr>
        <w:t>14. a) Las ventanas serán suficientemente grandes para que puedan leer y trabajar con luz natural y estarán construidas de manera que pueda entrar aire fresco, haya o no ventilación artificial; b) La luz artificial será suficiente para que puedan leer y trabajar sin perjudicarse la vista.</w:t>
      </w:r>
    </w:p>
    <w:p w14:paraId="7320CA97" w14:textId="77777777" w:rsidR="009C6A90" w:rsidRPr="006D3159" w:rsidRDefault="009C6A90" w:rsidP="00436D25">
      <w:pPr>
        <w:spacing w:line="240" w:lineRule="auto"/>
        <w:ind w:left="720" w:right="720"/>
        <w:rPr>
          <w:sz w:val="16"/>
          <w:szCs w:val="16"/>
        </w:rPr>
      </w:pPr>
      <w:r w:rsidRPr="006D3159">
        <w:rPr>
          <w:sz w:val="16"/>
          <w:szCs w:val="16"/>
        </w:rPr>
        <w:t>15. Se exigirá de los reclusos aseo personal y a tal efecto dispondrán de agua y de los artículos de aseo indispensables para su salud y limpieza. […]</w:t>
      </w:r>
    </w:p>
    <w:p w14:paraId="4C08FE1D" w14:textId="77777777" w:rsidR="009C6A90" w:rsidRPr="006D3159" w:rsidRDefault="009C6A90" w:rsidP="00436D25">
      <w:pPr>
        <w:spacing w:line="240" w:lineRule="auto"/>
        <w:ind w:left="720" w:right="720"/>
        <w:rPr>
          <w:sz w:val="16"/>
          <w:szCs w:val="16"/>
        </w:rPr>
      </w:pPr>
      <w:r w:rsidRPr="006D3159">
        <w:rPr>
          <w:sz w:val="16"/>
          <w:szCs w:val="16"/>
        </w:rPr>
        <w:t>16. Se facilitará a los reclusos medios para el cuidado del cabello y de la barba, a fin de que se presenten de un modo correcto y conserven el respeto de sí mismos; los hombres deberán poder afeitarse con regularidad. […]</w:t>
      </w:r>
    </w:p>
    <w:p w14:paraId="100970BC" w14:textId="77777777" w:rsidR="009C6A90" w:rsidRPr="006D3159" w:rsidRDefault="009C6A90" w:rsidP="00436D25">
      <w:pPr>
        <w:spacing w:line="240" w:lineRule="auto"/>
        <w:ind w:left="720" w:right="720"/>
        <w:rPr>
          <w:sz w:val="16"/>
          <w:szCs w:val="16"/>
        </w:rPr>
      </w:pPr>
      <w:r w:rsidRPr="006D3159">
        <w:rPr>
          <w:sz w:val="16"/>
          <w:szCs w:val="16"/>
        </w:rPr>
        <w:t>20. 1) Todo recluso recibirá de la administración, a las horas acostumbradas, una alimentación de buena calidad, bien preparada y servida, cuyo valor nutritivo sea suficiente para el mantenimiento de su salud y de sus fuerzas. 2) Todo recluso deberá tener la posibilidad de proveerse de agua potable cuando la necesite. […]</w:t>
      </w:r>
    </w:p>
    <w:p w14:paraId="553699BD" w14:textId="77777777" w:rsidR="009C6A90" w:rsidRPr="006D3159" w:rsidRDefault="009C6A90" w:rsidP="00436D25">
      <w:pPr>
        <w:spacing w:line="240" w:lineRule="auto"/>
        <w:ind w:left="720" w:right="720"/>
        <w:rPr>
          <w:sz w:val="16"/>
          <w:szCs w:val="16"/>
        </w:rPr>
      </w:pPr>
      <w:r w:rsidRPr="006D3159">
        <w:rPr>
          <w:sz w:val="16"/>
          <w:szCs w:val="16"/>
        </w:rPr>
        <w:t>21. 1) El recluso que no se ocupe de un trabajo al aire libre deberá disponer, si el tiempo lo permite, de una hora al día por lo menos de ejercicio físico adecuado al aire libre. 2) Los reclusos jóvenes y otros cuya edad y condición física lo permitan, recibirán durante el período reservado al ejercicio una educación física y recreativa. Para ello, se pondrán a su disposición el terreno, las instalaciones y el equipo necesario.</w:t>
      </w:r>
    </w:p>
    <w:p w14:paraId="2AB4BF67" w14:textId="77777777" w:rsidR="009C6A90" w:rsidRPr="006D3159" w:rsidRDefault="009C6A90" w:rsidP="00436D25">
      <w:pPr>
        <w:spacing w:line="240" w:lineRule="auto"/>
        <w:ind w:left="720" w:right="720"/>
        <w:rPr>
          <w:sz w:val="16"/>
          <w:szCs w:val="16"/>
        </w:rPr>
      </w:pPr>
      <w:r w:rsidRPr="006D3159">
        <w:rPr>
          <w:sz w:val="16"/>
          <w:szCs w:val="16"/>
        </w:rPr>
        <w:t>22. 1) Todo establecimiento penitenciario dispondrá por lo menos de los servicios de un médico calificado que deberá poseer algunos conocimientos psiquiátricos. […]</w:t>
      </w:r>
    </w:p>
    <w:p w14:paraId="731FA0CA" w14:textId="77777777" w:rsidR="009C6A90" w:rsidRPr="006D3159" w:rsidRDefault="009C6A90" w:rsidP="00436D25">
      <w:pPr>
        <w:spacing w:line="240" w:lineRule="auto"/>
        <w:ind w:left="720" w:right="720"/>
        <w:rPr>
          <w:sz w:val="16"/>
          <w:szCs w:val="16"/>
        </w:rPr>
      </w:pPr>
      <w:r w:rsidRPr="006D3159">
        <w:rPr>
          <w:sz w:val="16"/>
          <w:szCs w:val="16"/>
        </w:rPr>
        <w:t xml:space="preserve">24. El médico deberá examinar a cada recluso tan pronto sea posible después de su ingreso y ulteriormente tan a menudo como sea necesario […]”. </w:t>
      </w:r>
    </w:p>
    <w:p w14:paraId="1F686570" w14:textId="77777777" w:rsidR="009C6A90" w:rsidRPr="006D3159" w:rsidRDefault="009C6A90" w:rsidP="00436D25">
      <w:pPr>
        <w:pStyle w:val="Textonotapie"/>
        <w:rPr>
          <w:sz w:val="16"/>
          <w:szCs w:val="16"/>
        </w:rPr>
      </w:pPr>
      <w:r w:rsidRPr="006D3159">
        <w:rPr>
          <w:sz w:val="16"/>
          <w:szCs w:val="16"/>
        </w:rPr>
        <w:t xml:space="preserve">Véase también, Principios y Buenas Prácticas sobre la Protección de las Personas Privadas de Libertad en las Américas, Adoptados por la Comisión Interamericana de Derechos Humanos durante el 131º período ordinario de sesiones, celebrado del 3 al 14 de marzo de 2008, principios IX, X, XI y XII. </w:t>
      </w:r>
      <w:r w:rsidRPr="006D3159">
        <w:rPr>
          <w:i/>
          <w:sz w:val="16"/>
          <w:szCs w:val="16"/>
        </w:rPr>
        <w:t>Cfr. Caso Pacheco Teruel y otros Vs. Honduras. Fondo, Reparaciones y Costas</w:t>
      </w:r>
      <w:r w:rsidRPr="006D3159">
        <w:rPr>
          <w:sz w:val="16"/>
          <w:szCs w:val="16"/>
        </w:rPr>
        <w:t xml:space="preserve">. Sentencia de 27 de abril de 2012. Serie C No. 241, párr. 67 y </w:t>
      </w:r>
      <w:r w:rsidRPr="006D3159">
        <w:rPr>
          <w:i/>
          <w:sz w:val="16"/>
          <w:szCs w:val="16"/>
        </w:rPr>
        <w:t xml:space="preserve">Asunto del Complejo Penitenciario de </w:t>
      </w:r>
      <w:proofErr w:type="spellStart"/>
      <w:r w:rsidRPr="006D3159">
        <w:rPr>
          <w:i/>
          <w:sz w:val="16"/>
          <w:szCs w:val="16"/>
        </w:rPr>
        <w:t>Pedrinhas</w:t>
      </w:r>
      <w:proofErr w:type="spellEnd"/>
      <w:r w:rsidRPr="006D3159">
        <w:rPr>
          <w:i/>
          <w:sz w:val="16"/>
          <w:szCs w:val="16"/>
        </w:rPr>
        <w:t xml:space="preserve"> respecto de Brasil. Medidas Provisionales.</w:t>
      </w:r>
      <w:r w:rsidRPr="006D3159">
        <w:rPr>
          <w:sz w:val="16"/>
          <w:szCs w:val="16"/>
        </w:rPr>
        <w:t xml:space="preserve"> Resolución de la Corte Interamericana de Derechos Humanos de 14 de marzo de 2018, Considerando 47, y </w:t>
      </w:r>
      <w:r w:rsidRPr="006D3159">
        <w:rPr>
          <w:i/>
          <w:sz w:val="16"/>
          <w:szCs w:val="16"/>
        </w:rPr>
        <w:t>Asunto del Complejo Penitenciario de Curado respecto de Brasil. Medidas Provisionales</w:t>
      </w:r>
      <w:r w:rsidRPr="006D3159">
        <w:rPr>
          <w:sz w:val="16"/>
          <w:szCs w:val="16"/>
        </w:rPr>
        <w:t>. Resolución de la Corte Interamericana de Derechos Humanos de 28 de noviembre de 2018, Considerando 31.</w:t>
      </w:r>
    </w:p>
  </w:footnote>
  <w:footnote w:id="115">
    <w:p w14:paraId="03083D80"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rFonts w:cs="Arial"/>
          <w:i/>
          <w:sz w:val="16"/>
          <w:szCs w:val="16"/>
        </w:rPr>
        <w:t>Caso Díaz Peña Vs. Venezuela. Excepción Preliminar, Fondo, Reparaciones y Costas</w:t>
      </w:r>
      <w:r w:rsidRPr="006D3159">
        <w:rPr>
          <w:rFonts w:cs="Arial"/>
          <w:sz w:val="16"/>
          <w:szCs w:val="16"/>
        </w:rPr>
        <w:t>. Sentencia de 26 de junio de 2012. Serie C No. 244, párr. 135,</w:t>
      </w:r>
      <w:r w:rsidRPr="006D3159">
        <w:rPr>
          <w:i/>
          <w:sz w:val="16"/>
          <w:szCs w:val="16"/>
        </w:rPr>
        <w:t xml:space="preserve"> </w:t>
      </w:r>
      <w:r w:rsidRPr="006D3159">
        <w:rPr>
          <w:sz w:val="16"/>
          <w:szCs w:val="16"/>
        </w:rPr>
        <w:t>y</w:t>
      </w:r>
      <w:r w:rsidRPr="006D3159">
        <w:rPr>
          <w:i/>
          <w:sz w:val="16"/>
          <w:szCs w:val="16"/>
        </w:rPr>
        <w:t xml:space="preserve"> Caso J. Vs. Perú. Excepción Preliminar, Fondo, Reparaciones y Costas</w:t>
      </w:r>
      <w:r w:rsidRPr="006D3159">
        <w:rPr>
          <w:sz w:val="16"/>
          <w:szCs w:val="16"/>
        </w:rPr>
        <w:t xml:space="preserve">. Sentencia de 27 de noviembre de 2013. Serie C No. 275, párr. 372. </w:t>
      </w:r>
    </w:p>
  </w:footnote>
  <w:footnote w:id="116">
    <w:p w14:paraId="6E2C19BC" w14:textId="77777777" w:rsidR="009C6A90" w:rsidRPr="006D3159" w:rsidRDefault="009C6A90" w:rsidP="00436D25">
      <w:pPr>
        <w:pStyle w:val="Textonotapie"/>
        <w:rPr>
          <w:sz w:val="16"/>
          <w:szCs w:val="16"/>
          <w:lang w:val="es-CR"/>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Informe pericial de Aída Castro-Conde Barrios sobre el estado de salud mental de Miguel Ángel López Calo y Miguel Ángel Rodríguez Revolorio, de 23 de junio de 2005 (expediente de prueba, folio 265). Al respecto, la regla 10 de las Reglas Mínimas de las Naciones Unidas para el Tratamiento de Reclusos establece que “[l]os locales destinados a los reclusos y especialmente a aquellos que se destinan al alojamiento de los reclusos durante la noche, deberán satisfacer las exigencias de la higiene, habida cuenta del clima, particularmente en lo que concierne al volumen de aire, superficie mínima, alumbrado, calefacción y ventilación”. Por su parte, la regla 12 dispone que “[l]as instalaciones sanitarias deberán ser adecuadas En relación con el acceso a la luz natural y aire fresco, la regla 11 de las Reglas Mínimas de las Naciones Unidas para el Tratamiento de Reclusos establece que “[e]n todo local donde los reclusos tengan que vivir o trabajar: a) Las ventanas tendrán que ser suficientemente grandes para que el recluso pueda leer y trabajar con luz natural; y deberán estar dispuestas de manera que pueda entrar aire fresco, haya o no ventilación artificial; b) La luz artificial tendrá que ser suficiente para que el recluso pueda leer y trabajar sin perjuicio de su vista”. Véase también, Principios y Buenas Prácticas sobre la Protección de las Personas Privadas de Libertad en las Américas, Adoptados por la Comisión Interamericana de Derechos Humanos durante el 131º período ordinario de sesiones, celebrado del 3 al 14 de marzo de 2008, principio XII. Véase también, </w:t>
      </w:r>
      <w:r w:rsidRPr="006D3159">
        <w:rPr>
          <w:i/>
          <w:sz w:val="16"/>
          <w:szCs w:val="16"/>
        </w:rPr>
        <w:t xml:space="preserve">Cfr. Caso Montero Aranguren y otros (Retén de Catia) Vs. Venezuela. Excepción Preliminar, Fondo, Reparaciones y Costas. Sentencia de 5 de julio de 2006. </w:t>
      </w:r>
      <w:r w:rsidRPr="006D3159">
        <w:rPr>
          <w:sz w:val="16"/>
          <w:szCs w:val="16"/>
        </w:rPr>
        <w:t xml:space="preserve">Serie C No. 150, párr. 146, y </w:t>
      </w:r>
      <w:r w:rsidRPr="006D3159">
        <w:rPr>
          <w:i/>
          <w:sz w:val="16"/>
          <w:szCs w:val="16"/>
        </w:rPr>
        <w:t>Caso Pacheco Teruel y otros Vs. Honduras. Fondo, Reparaciones y Costas</w:t>
      </w:r>
      <w:r w:rsidRPr="006D3159">
        <w:rPr>
          <w:sz w:val="16"/>
          <w:szCs w:val="16"/>
        </w:rPr>
        <w:t xml:space="preserve">. Sentencia de 27 de abril de 2012. Serie C No. 241, </w:t>
      </w:r>
      <w:proofErr w:type="spellStart"/>
      <w:r w:rsidRPr="006D3159">
        <w:rPr>
          <w:sz w:val="16"/>
          <w:szCs w:val="16"/>
        </w:rPr>
        <w:t>párrs</w:t>
      </w:r>
      <w:proofErr w:type="spellEnd"/>
      <w:r w:rsidRPr="006D3159">
        <w:rPr>
          <w:sz w:val="16"/>
          <w:szCs w:val="16"/>
        </w:rPr>
        <w:t>. 65 y 67.</w:t>
      </w:r>
    </w:p>
  </w:footnote>
  <w:footnote w:id="117">
    <w:p w14:paraId="2CE43105"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265). En relación con el acceso al agua, la regla 15 de las Reglas Mínimas de las Naciones Unidas para el Tratamiento de Reclusos establece que “[s]e exigirá de los reclusos aseo personal y a tal efecto dispondrán de agua y de los artículos de aseo indispensables para su salud y limpieza”. Por otro lado, la regla 20.2 del citado cuerpo legal señala que “[t]</w:t>
      </w:r>
      <w:proofErr w:type="spellStart"/>
      <w:r w:rsidRPr="006D3159">
        <w:rPr>
          <w:sz w:val="16"/>
          <w:szCs w:val="16"/>
        </w:rPr>
        <w:t>odo</w:t>
      </w:r>
      <w:proofErr w:type="spellEnd"/>
      <w:r w:rsidRPr="006D3159">
        <w:rPr>
          <w:sz w:val="16"/>
          <w:szCs w:val="16"/>
        </w:rPr>
        <w:t xml:space="preserve"> recluso deberá tener la posibilidad de proveerse de agua potable cuando la necesite”. Véase también, Principios y Buenas Prácticas sobre la Protección de las Personas Privadas de Libertad en las Américas, Adoptados por la Comisión Interamericana de Derechos Humanos durante el 131º período ordinario de sesiones, celebrado del 3 al 14 de marzo de 2008, principio XI. Véase también, </w:t>
      </w:r>
      <w:r w:rsidRPr="006D3159">
        <w:rPr>
          <w:i/>
          <w:sz w:val="16"/>
          <w:szCs w:val="16"/>
        </w:rPr>
        <w:t>Caso Vélez Loor Vs. Panamá. Excepciones Preliminares, Fondo, Reparaciones y Costas.</w:t>
      </w:r>
      <w:r w:rsidRPr="006D3159">
        <w:rPr>
          <w:sz w:val="16"/>
          <w:szCs w:val="16"/>
        </w:rPr>
        <w:t xml:space="preserve"> Sentencia de 23 de noviembre de 2010. Serie C No. 218, párr. 216 y </w:t>
      </w:r>
      <w:r w:rsidRPr="006D3159">
        <w:rPr>
          <w:i/>
          <w:sz w:val="16"/>
          <w:szCs w:val="16"/>
        </w:rPr>
        <w:t>Caso Pacheco Teruel y otros Vs. Honduras. Fondo, Reparaciones y Costas</w:t>
      </w:r>
      <w:r w:rsidRPr="006D3159">
        <w:rPr>
          <w:sz w:val="16"/>
          <w:szCs w:val="16"/>
        </w:rPr>
        <w:t>. Sentencia de 27 de abril de 2012. Serie C No. 241, párr. 67.</w:t>
      </w:r>
    </w:p>
  </w:footnote>
  <w:footnote w:id="118">
    <w:p w14:paraId="493950A0"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268). Véase también</w:t>
      </w:r>
      <w:r w:rsidRPr="006D3159">
        <w:rPr>
          <w:i/>
          <w:sz w:val="16"/>
          <w:szCs w:val="16"/>
        </w:rPr>
        <w:t xml:space="preserve">, Caso Montero Aranguren y otros (Retén de Catia) Vs. Venezuela. Excepción Preliminar, Fondo, Reparaciones y Costas. Sentencia de 5 de julio de 2006. </w:t>
      </w:r>
      <w:r w:rsidRPr="006D3159">
        <w:rPr>
          <w:sz w:val="16"/>
          <w:szCs w:val="16"/>
        </w:rPr>
        <w:t xml:space="preserve">Serie C No. 150, párr. 146, y </w:t>
      </w:r>
      <w:r w:rsidRPr="006D3159">
        <w:rPr>
          <w:i/>
          <w:sz w:val="16"/>
          <w:szCs w:val="16"/>
        </w:rPr>
        <w:t>Caso Pacheco Teruel y otros Vs. Honduras. Fondo, Reparaciones y Costas</w:t>
      </w:r>
      <w:r w:rsidRPr="006D3159">
        <w:rPr>
          <w:sz w:val="16"/>
          <w:szCs w:val="16"/>
        </w:rPr>
        <w:t xml:space="preserve">. Sentencia de 27 de abril de 2012. Serie C No. 241, </w:t>
      </w:r>
      <w:proofErr w:type="spellStart"/>
      <w:r w:rsidRPr="006D3159">
        <w:rPr>
          <w:sz w:val="16"/>
          <w:szCs w:val="16"/>
        </w:rPr>
        <w:t>párrs</w:t>
      </w:r>
      <w:proofErr w:type="spellEnd"/>
      <w:r w:rsidRPr="006D3159">
        <w:rPr>
          <w:sz w:val="16"/>
          <w:szCs w:val="16"/>
        </w:rPr>
        <w:t>. 65 y 67.</w:t>
      </w:r>
    </w:p>
  </w:footnote>
  <w:footnote w:id="119">
    <w:p w14:paraId="36D6F2BA"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ab/>
      </w:r>
      <w:r w:rsidRPr="006D3159">
        <w:rPr>
          <w:i/>
          <w:sz w:val="16"/>
          <w:szCs w:val="16"/>
        </w:rPr>
        <w:t>Cfr. Caso Albán Cornejo y otros Vs. Ecuador. Fondo, Reparaciones y Costas.</w:t>
      </w:r>
      <w:r w:rsidRPr="006D3159">
        <w:rPr>
          <w:sz w:val="16"/>
          <w:szCs w:val="16"/>
        </w:rPr>
        <w:t xml:space="preserve"> Sentencia de 22 de noviembre de 2007. Serie C No. 171, párr. 117, y </w:t>
      </w:r>
      <w:r w:rsidRPr="006D3159">
        <w:rPr>
          <w:i/>
          <w:sz w:val="16"/>
          <w:szCs w:val="16"/>
        </w:rPr>
        <w:t>Caso Poblete Vilches y otros Vs. Chile. Fondo, Reparaciones y Costas</w:t>
      </w:r>
      <w:r w:rsidRPr="006D3159">
        <w:rPr>
          <w:sz w:val="16"/>
          <w:szCs w:val="16"/>
        </w:rPr>
        <w:t>. Sentencia de 8 de marzo de 2018. Serie C No. 349, párr. 152.</w:t>
      </w:r>
    </w:p>
  </w:footnote>
  <w:footnote w:id="120">
    <w:p w14:paraId="6F2A92EC"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 Caso Tibi Vs. Ecuador. Excepciones Preliminares, Fondo, Reparaciones y Costas</w:t>
      </w:r>
      <w:r w:rsidRPr="006D3159">
        <w:rPr>
          <w:sz w:val="16"/>
          <w:szCs w:val="16"/>
        </w:rPr>
        <w:t xml:space="preserve">. Sentencia de 7 de septiembre de 2004. Serie C No. 114, párr. 156, y </w:t>
      </w:r>
      <w:r w:rsidRPr="006D3159">
        <w:rPr>
          <w:rStyle w:val="Textoennegrita"/>
          <w:b w:val="0"/>
          <w:i/>
          <w:sz w:val="16"/>
          <w:szCs w:val="16"/>
        </w:rPr>
        <w:t>Caso Díaz Peña Vs. Venezuela. Excepción Preliminar, Fondo, Reparaciones y Costas</w:t>
      </w:r>
      <w:r w:rsidRPr="006D3159">
        <w:rPr>
          <w:rStyle w:val="Textoennegrita"/>
          <w:b w:val="0"/>
          <w:sz w:val="16"/>
          <w:szCs w:val="16"/>
        </w:rPr>
        <w:t xml:space="preserve">. Sentencia de 26 de junio de 2012. Serie C No. 244, párr. 137. Véase también, la regla 31 de las </w:t>
      </w:r>
      <w:r w:rsidRPr="006D3159">
        <w:rPr>
          <w:sz w:val="16"/>
          <w:szCs w:val="16"/>
        </w:rPr>
        <w:t xml:space="preserve">Reglas Mínimas de Naciones Unidas para el Tratamiento de Reclusos, </w:t>
      </w:r>
      <w:r w:rsidRPr="006D3159">
        <w:rPr>
          <w:i/>
          <w:sz w:val="16"/>
          <w:szCs w:val="16"/>
        </w:rPr>
        <w:t>supra</w:t>
      </w:r>
      <w:r w:rsidRPr="006D3159">
        <w:rPr>
          <w:sz w:val="16"/>
          <w:szCs w:val="16"/>
        </w:rPr>
        <w:t xml:space="preserve">, la cual estipula que “[e]l médico o, cuando proceda, otros profesionales de la salud </w:t>
      </w:r>
      <w:proofErr w:type="gramStart"/>
      <w:r w:rsidRPr="006D3159">
        <w:rPr>
          <w:sz w:val="16"/>
          <w:szCs w:val="16"/>
        </w:rPr>
        <w:t>competentes,</w:t>
      </w:r>
      <w:proofErr w:type="gramEnd"/>
      <w:r w:rsidRPr="006D3159">
        <w:rPr>
          <w:sz w:val="16"/>
          <w:szCs w:val="16"/>
        </w:rPr>
        <w:t xml:space="preserve"> tendrán acceso diario a todos los reclusos enfermos, a todos los que afirmen padecer enfermedades o lesiones físicas o mentales y a todos aquellos sobre los cuales se llame su atención. Todos los exámenes médicos se llevarán a cabo con plena confidencialidad”, y Conjunto de Principios para la protección de todas las personas sometidas a cualquier forma de detención o prisión, adoptado por la Asamblea General de la ONU en su resolución 43/173, de 9 de diciembre de 1988, principio 24, el cual señala que “[e]l médico deberá examinar a cada recluso tan pronto sea posible después de su ingreso y ulteriormente tan a menudo como sea necesario, en particular para determinar la existencia de una enfermedad física o mental, tomar en su caso las medidas necesarias; asegurar el aislamiento de los reclusos sospechosos de sufrir enfermedades infecciosas o contagiosas; señalar las deficiencias físicas y mentales que puedan constituir un obstáculo para la readaptación, y determinar la capacidad física de cada recluso para el trabajo”.</w:t>
      </w:r>
    </w:p>
  </w:footnote>
  <w:footnote w:id="121">
    <w:p w14:paraId="4F536144" w14:textId="77777777" w:rsidR="009C6A90" w:rsidRPr="006D3159" w:rsidRDefault="009C6A90" w:rsidP="00436D25">
      <w:pPr>
        <w:spacing w:line="240" w:lineRule="auto"/>
        <w:rPr>
          <w:sz w:val="16"/>
          <w:szCs w:val="16"/>
          <w:lang w:val="es-ES"/>
        </w:rPr>
      </w:pPr>
      <w:r w:rsidRPr="006D3159">
        <w:rPr>
          <w:rStyle w:val="Refdenotaalpie"/>
          <w:rFonts w:eastAsia="MS Mincho"/>
          <w:sz w:val="16"/>
          <w:szCs w:val="16"/>
        </w:rPr>
        <w:footnoteRef/>
      </w:r>
      <w:r w:rsidRPr="006D3159">
        <w:rPr>
          <w:iCs/>
          <w:sz w:val="16"/>
          <w:szCs w:val="16"/>
        </w:rPr>
        <w:tab/>
      </w:r>
      <w:r w:rsidRPr="006D3159">
        <w:rPr>
          <w:i/>
          <w:sz w:val="16"/>
          <w:szCs w:val="16"/>
          <w:lang w:val="es-PR"/>
        </w:rPr>
        <w:t>Cfr</w:t>
      </w:r>
      <w:r w:rsidRPr="006D3159">
        <w:rPr>
          <w:sz w:val="16"/>
          <w:szCs w:val="16"/>
          <w:lang w:val="es-PR"/>
        </w:rPr>
        <w:t xml:space="preserve">. </w:t>
      </w:r>
      <w:r w:rsidRPr="006D3159">
        <w:rPr>
          <w:i/>
          <w:sz w:val="16"/>
          <w:szCs w:val="16"/>
        </w:rPr>
        <w:t>Caso de los “Niños de la Calle” (Villagrán Morales y otros) Vs. Guatemala. Fondo.</w:t>
      </w:r>
      <w:r w:rsidRPr="006D3159">
        <w:rPr>
          <w:sz w:val="16"/>
          <w:szCs w:val="16"/>
        </w:rPr>
        <w:t xml:space="preserve"> Sentencia de 19 de noviembre de 1999. Serie C No. 63, </w:t>
      </w:r>
      <w:r w:rsidRPr="006D3159">
        <w:rPr>
          <w:rFonts w:cs="Verdana"/>
          <w:sz w:val="16"/>
          <w:szCs w:val="16"/>
          <w:lang w:val="es-MX"/>
        </w:rPr>
        <w:t xml:space="preserve">párr. 74, y </w:t>
      </w:r>
      <w:r w:rsidRPr="006D3159">
        <w:rPr>
          <w:rStyle w:val="Textoennegrita"/>
          <w:b w:val="0"/>
          <w:i/>
          <w:sz w:val="16"/>
          <w:szCs w:val="16"/>
        </w:rPr>
        <w:t>Caso Díaz Peña Vs. Venezuela</w:t>
      </w:r>
      <w:r w:rsidRPr="006D3159">
        <w:rPr>
          <w:i/>
          <w:sz w:val="16"/>
          <w:szCs w:val="16"/>
        </w:rPr>
        <w:t xml:space="preserve">, supra, </w:t>
      </w:r>
      <w:r w:rsidRPr="006D3159">
        <w:rPr>
          <w:rStyle w:val="Textoennegrita"/>
          <w:b w:val="0"/>
          <w:sz w:val="16"/>
          <w:szCs w:val="16"/>
        </w:rPr>
        <w:t>párr. 137.</w:t>
      </w:r>
    </w:p>
  </w:footnote>
  <w:footnote w:id="122">
    <w:p w14:paraId="4CC75F85"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267).</w:t>
      </w:r>
    </w:p>
  </w:footnote>
  <w:footnote w:id="123">
    <w:p w14:paraId="17A847C9"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267).</w:t>
      </w:r>
    </w:p>
  </w:footnote>
  <w:footnote w:id="124">
    <w:p w14:paraId="2DD6B506"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 xml:space="preserve">Informe pericial del estado de salud mental de Miguel Ángel Rodríguez Revolorio y Miguel Ángel López Calo elaborado por Aida Castro-Conde, de 23 de junio de 2005. (expediente de prueba, folio 278). </w:t>
      </w:r>
      <w:r w:rsidRPr="006D3159">
        <w:rPr>
          <w:i/>
          <w:sz w:val="16"/>
          <w:szCs w:val="16"/>
        </w:rPr>
        <w:t xml:space="preserve">Cfr. Caso Tibi Vs. Ecuador. Excepciones Preliminares, Fondo, Reparaciones y Costas. </w:t>
      </w:r>
      <w:r w:rsidRPr="006D3159">
        <w:rPr>
          <w:sz w:val="16"/>
          <w:szCs w:val="16"/>
        </w:rPr>
        <w:t xml:space="preserve">Sentencia de 7 de septiembre de 2004. Serie C No. 114, párr. 156, y </w:t>
      </w:r>
      <w:r w:rsidRPr="006D3159">
        <w:rPr>
          <w:i/>
          <w:sz w:val="16"/>
          <w:szCs w:val="16"/>
        </w:rPr>
        <w:t>Caso Pacheco Teruel y otros Vs. Honduras. Fondo, Reparaciones y Costas</w:t>
      </w:r>
      <w:r w:rsidRPr="006D3159">
        <w:rPr>
          <w:sz w:val="16"/>
          <w:szCs w:val="16"/>
        </w:rPr>
        <w:t>. Sentencia de 27 de abril de 2012. Serie C No. 241, párr. 67.</w:t>
      </w:r>
    </w:p>
  </w:footnote>
  <w:footnote w:id="125">
    <w:p w14:paraId="20EB7A34"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rFonts w:cs="Arial"/>
          <w:i/>
          <w:sz w:val="16"/>
          <w:szCs w:val="16"/>
        </w:rPr>
        <w:t xml:space="preserve">Cfr. Caso Loayza Tamayo Vs. Perú. Fondo. </w:t>
      </w:r>
      <w:r w:rsidRPr="006D3159">
        <w:rPr>
          <w:rFonts w:cs="Arial"/>
          <w:sz w:val="16"/>
          <w:szCs w:val="16"/>
        </w:rPr>
        <w:t xml:space="preserve">Sentencia de 17 de septiembre de 1997. Serie C No. 33, párr. 58, </w:t>
      </w:r>
      <w:r w:rsidRPr="006D3159">
        <w:rPr>
          <w:sz w:val="16"/>
          <w:szCs w:val="16"/>
        </w:rPr>
        <w:t xml:space="preserve">y </w:t>
      </w:r>
      <w:r w:rsidRPr="006D3159">
        <w:rPr>
          <w:i/>
          <w:sz w:val="16"/>
          <w:szCs w:val="16"/>
        </w:rPr>
        <w:t xml:space="preserve">Caso Pacheco Teruel y otros Vs. Honduras, supra, </w:t>
      </w:r>
      <w:r w:rsidRPr="006D3159">
        <w:rPr>
          <w:sz w:val="16"/>
          <w:szCs w:val="16"/>
        </w:rPr>
        <w:t>párr. 67.</w:t>
      </w:r>
    </w:p>
  </w:footnote>
  <w:footnote w:id="126">
    <w:p w14:paraId="04BBDA43"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268). Véase también, declaración de Miguel Ángel Rodríguez Revolorio rendida en la audiencia pública ante la Corte Interamericana celebrada el 8 de marzo de 2019.</w:t>
      </w:r>
    </w:p>
  </w:footnote>
  <w:footnote w:id="127">
    <w:p w14:paraId="35B0E6C0"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Informe pericial de Aída Castro-Conde Barrios sobre el estado de salud mental de Miguel Ángel López Calo y Miguel Ángel Rodríguez Revolorio, de 23 de junio de 2005 (expediente de prueba, folio 268). A este respecto señor Rodríguez Revolorio indicó además lo siguiente:</w:t>
      </w:r>
    </w:p>
    <w:p w14:paraId="5E91263F" w14:textId="77777777" w:rsidR="009C6A90" w:rsidRPr="006D3159" w:rsidRDefault="009C6A90" w:rsidP="00436D25">
      <w:pPr>
        <w:pStyle w:val="Textonotapie"/>
        <w:ind w:left="720" w:right="720"/>
        <w:rPr>
          <w:sz w:val="16"/>
          <w:szCs w:val="16"/>
        </w:rPr>
      </w:pPr>
      <w:r w:rsidRPr="006D3159">
        <w:rPr>
          <w:sz w:val="16"/>
          <w:szCs w:val="16"/>
        </w:rPr>
        <w:t>“[E]</w:t>
      </w:r>
      <w:proofErr w:type="spellStart"/>
      <w:r w:rsidRPr="006D3159">
        <w:rPr>
          <w:sz w:val="16"/>
          <w:szCs w:val="16"/>
        </w:rPr>
        <w:t>stuvimos</w:t>
      </w:r>
      <w:proofErr w:type="spellEnd"/>
      <w:r w:rsidRPr="006D3159">
        <w:rPr>
          <w:sz w:val="16"/>
          <w:szCs w:val="16"/>
        </w:rPr>
        <w:t xml:space="preserve"> más o menos como espacio de dos meses y medio sin visita, no teníamos visita, la comida era realmente mala no era una comida buena, sufrimos ahí porque no teníamos agua, en </w:t>
      </w:r>
      <w:proofErr w:type="gramStart"/>
      <w:r w:rsidRPr="006D3159">
        <w:rPr>
          <w:sz w:val="16"/>
          <w:szCs w:val="16"/>
        </w:rPr>
        <w:t>fin</w:t>
      </w:r>
      <w:proofErr w:type="gramEnd"/>
      <w:r w:rsidRPr="006D3159">
        <w:rPr>
          <w:sz w:val="16"/>
          <w:szCs w:val="16"/>
        </w:rPr>
        <w:t xml:space="preserve"> vivimos una situación terrible. Cuando logramos la oportunidad de tener nuestra visita la tuvimos sin contacto físico con barrote y cedazos donde no podíamos ni tocarles la yema del dedo a nuestros hijos a nuestros niños que también sufrieron mucho al vernos en esta situación.” </w:t>
      </w:r>
      <w:r w:rsidRPr="006D3159">
        <w:rPr>
          <w:i/>
          <w:sz w:val="16"/>
          <w:szCs w:val="16"/>
        </w:rPr>
        <w:t>Cfr</w:t>
      </w:r>
      <w:r w:rsidRPr="006D3159">
        <w:rPr>
          <w:sz w:val="16"/>
          <w:szCs w:val="16"/>
        </w:rPr>
        <w:t>. Declaración de Miguel Ángel Rodríguez Revolorio rendida en la audiencia pública ante la Corte Interamericana celebrada el 8 de marzo de 2019.</w:t>
      </w:r>
    </w:p>
  </w:footnote>
  <w:footnote w:id="128">
    <w:p w14:paraId="01751835"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Declaración de Miguel Ángel Rodríguez Revolorio rendida en la audiencia pública ante la Corte Interamericana celebrada el 8 de marzo de 2019.</w:t>
      </w:r>
    </w:p>
  </w:footnote>
  <w:footnote w:id="129">
    <w:p w14:paraId="042E4A27"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t>A este respecto, la señora Morataya de Archila indicó lo siguiente:</w:t>
      </w:r>
    </w:p>
    <w:p w14:paraId="7EDF63AD" w14:textId="77777777" w:rsidR="009C6A90" w:rsidRPr="006D3159" w:rsidRDefault="009C6A90" w:rsidP="00436D25">
      <w:pPr>
        <w:widowControl/>
        <w:tabs>
          <w:tab w:val="left" w:pos="720"/>
        </w:tabs>
        <w:autoSpaceDE w:val="0"/>
        <w:autoSpaceDN w:val="0"/>
        <w:spacing w:line="240" w:lineRule="auto"/>
        <w:ind w:left="720" w:right="720"/>
        <w:textAlignment w:val="auto"/>
        <w:rPr>
          <w:sz w:val="16"/>
          <w:szCs w:val="16"/>
          <w:lang w:val="es-ES_tradnl"/>
        </w:rPr>
      </w:pPr>
      <w:r w:rsidRPr="006D3159">
        <w:rPr>
          <w:rFonts w:eastAsia="SimSun" w:cs="SimSun"/>
          <w:sz w:val="16"/>
          <w:szCs w:val="16"/>
          <w:lang w:eastAsia="en-US"/>
        </w:rPr>
        <w:t xml:space="preserve">“[E]l 29 de mayo 1999 fue trasladado a una cárcel de máxima seguridad la cual le llamaban El INFIERNITO que está ubicada en el departamento de ESCUINTLA, […] cuando iba no me dejaron verlo, incluso cuando me llevaba a mis hijos y nunca me dejaron verlo, yo pedía que lo quería ver y a mí me negaban verlo porque me dijeron que él estaba enfermo […] y me pedían medicinas y sueros y nunca se la dieron. Yo </w:t>
      </w:r>
      <w:proofErr w:type="gramStart"/>
      <w:r w:rsidRPr="006D3159">
        <w:rPr>
          <w:rFonts w:eastAsia="SimSun" w:cs="SimSun"/>
          <w:sz w:val="16"/>
          <w:szCs w:val="16"/>
          <w:lang w:eastAsia="en-US"/>
        </w:rPr>
        <w:t>hable</w:t>
      </w:r>
      <w:proofErr w:type="gramEnd"/>
      <w:r w:rsidRPr="006D3159">
        <w:rPr>
          <w:rFonts w:eastAsia="SimSun" w:cs="SimSun"/>
          <w:sz w:val="16"/>
          <w:szCs w:val="16"/>
          <w:lang w:eastAsia="en-US"/>
        </w:rPr>
        <w:t>, pedí hablar con el director de presidios y él me dijo que él ya estaba mejor y yo le pedí verlo y me lo negó, incluso yo le dije al director que si me lo podía dar con custodia para llevarlo con el doctor, porque yo no lo había visto ni creí que estaba enfermo, por eso quería verlo”.</w:t>
      </w:r>
    </w:p>
  </w:footnote>
  <w:footnote w:id="130">
    <w:p w14:paraId="5AFFE14F"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Pacheco Teruel y otros Vs. Honduras, supra,</w:t>
      </w:r>
      <w:r w:rsidR="006D3159" w:rsidRPr="006D3159">
        <w:rPr>
          <w:i/>
          <w:sz w:val="16"/>
          <w:szCs w:val="16"/>
        </w:rPr>
        <w:t xml:space="preserve"> </w:t>
      </w:r>
      <w:r w:rsidRPr="006D3159">
        <w:rPr>
          <w:sz w:val="16"/>
          <w:szCs w:val="16"/>
        </w:rPr>
        <w:t xml:space="preserve">párr. 69 y </w:t>
      </w:r>
      <w:r w:rsidRPr="006D3159">
        <w:rPr>
          <w:i/>
          <w:sz w:val="16"/>
          <w:szCs w:val="16"/>
        </w:rPr>
        <w:t xml:space="preserve">Caso Díaz Peña Vs. Venezuela, supra, </w:t>
      </w:r>
      <w:r w:rsidRPr="006D3159">
        <w:rPr>
          <w:sz w:val="16"/>
          <w:szCs w:val="16"/>
        </w:rPr>
        <w:t>párr. 141.</w:t>
      </w:r>
    </w:p>
  </w:footnote>
  <w:footnote w:id="131">
    <w:p w14:paraId="25737F39" w14:textId="77777777" w:rsidR="009C6A90" w:rsidRPr="006D3159" w:rsidRDefault="009C6A90" w:rsidP="00254547">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w:t>
      </w:r>
      <w:r w:rsidRPr="006D3159">
        <w:rPr>
          <w:bCs/>
          <w:i/>
          <w:sz w:val="16"/>
          <w:szCs w:val="16"/>
          <w:lang w:eastAsia="en-US"/>
        </w:rPr>
        <w:t xml:space="preserve">Caso Hilaire, </w:t>
      </w:r>
      <w:proofErr w:type="spellStart"/>
      <w:r w:rsidRPr="006D3159">
        <w:rPr>
          <w:bCs/>
          <w:i/>
          <w:sz w:val="16"/>
          <w:szCs w:val="16"/>
          <w:lang w:eastAsia="en-US"/>
        </w:rPr>
        <w:t>Constantine</w:t>
      </w:r>
      <w:proofErr w:type="spellEnd"/>
      <w:r w:rsidRPr="006D3159">
        <w:rPr>
          <w:bCs/>
          <w:i/>
          <w:sz w:val="16"/>
          <w:szCs w:val="16"/>
          <w:lang w:eastAsia="en-US"/>
        </w:rPr>
        <w:t xml:space="preserve"> y </w:t>
      </w:r>
      <w:proofErr w:type="spellStart"/>
      <w:r w:rsidRPr="006D3159">
        <w:rPr>
          <w:bCs/>
          <w:i/>
          <w:sz w:val="16"/>
          <w:szCs w:val="16"/>
          <w:lang w:eastAsia="en-US"/>
        </w:rPr>
        <w:t>Benjamin</w:t>
      </w:r>
      <w:proofErr w:type="spellEnd"/>
      <w:r w:rsidRPr="006D3159">
        <w:rPr>
          <w:bCs/>
          <w:i/>
          <w:sz w:val="16"/>
          <w:szCs w:val="16"/>
          <w:lang w:eastAsia="en-US"/>
        </w:rPr>
        <w:t xml:space="preserve"> y otros Vs. Trinidad y Tobago</w:t>
      </w:r>
      <w:r w:rsidRPr="006D3159">
        <w:rPr>
          <w:bCs/>
          <w:sz w:val="16"/>
          <w:szCs w:val="16"/>
          <w:lang w:eastAsia="en-US"/>
        </w:rPr>
        <w:t xml:space="preserve">. </w:t>
      </w:r>
      <w:r w:rsidRPr="006D3159">
        <w:rPr>
          <w:bCs/>
          <w:i/>
          <w:sz w:val="16"/>
          <w:szCs w:val="16"/>
          <w:lang w:eastAsia="en-US"/>
        </w:rPr>
        <w:t>Fondo, Reparaciones y Costas</w:t>
      </w:r>
      <w:r w:rsidRPr="006D3159">
        <w:rPr>
          <w:bCs/>
          <w:sz w:val="16"/>
          <w:szCs w:val="16"/>
          <w:lang w:eastAsia="en-US"/>
        </w:rPr>
        <w:t>. Sentencia de 21 de junio de 2002. Serie C No. 94.</w:t>
      </w:r>
      <w:r w:rsidRPr="006D3159">
        <w:rPr>
          <w:sz w:val="16"/>
          <w:szCs w:val="16"/>
          <w:lang w:eastAsia="en-US"/>
        </w:rPr>
        <w:t xml:space="preserve"> </w:t>
      </w:r>
    </w:p>
  </w:footnote>
  <w:footnote w:id="132">
    <w:p w14:paraId="5AE47A48" w14:textId="77777777" w:rsidR="009C6A90" w:rsidRPr="006D3159" w:rsidRDefault="009C6A90" w:rsidP="006146E8">
      <w:pPr>
        <w:pStyle w:val="Textonotapie"/>
        <w:rPr>
          <w:sz w:val="16"/>
          <w:szCs w:val="16"/>
          <w:lang w:val="en-US"/>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Caso Vera </w:t>
      </w:r>
      <w:proofErr w:type="spellStart"/>
      <w:r w:rsidRPr="006D3159">
        <w:rPr>
          <w:i/>
          <w:sz w:val="16"/>
          <w:szCs w:val="16"/>
        </w:rPr>
        <w:t>Vera</w:t>
      </w:r>
      <w:proofErr w:type="spellEnd"/>
      <w:r w:rsidRPr="006D3159">
        <w:rPr>
          <w:i/>
          <w:sz w:val="16"/>
          <w:szCs w:val="16"/>
        </w:rPr>
        <w:t xml:space="preserve"> y otra Vs. Ecuador. Excepción Preliminar, Fondo, Reparaciones y Costas</w:t>
      </w:r>
      <w:r w:rsidRPr="006D3159">
        <w:rPr>
          <w:sz w:val="16"/>
          <w:szCs w:val="16"/>
        </w:rPr>
        <w:t xml:space="preserve">. Sentencia de 19 de mayo de 2011. Serie C No. 226, párr. 76. Véase también, TEDH, </w:t>
      </w:r>
      <w:r w:rsidRPr="006D3159">
        <w:rPr>
          <w:i/>
          <w:sz w:val="16"/>
          <w:szCs w:val="16"/>
        </w:rPr>
        <w:t xml:space="preserve">Case </w:t>
      </w:r>
      <w:proofErr w:type="spellStart"/>
      <w:r w:rsidRPr="006D3159">
        <w:rPr>
          <w:i/>
          <w:sz w:val="16"/>
          <w:szCs w:val="16"/>
        </w:rPr>
        <w:t>of</w:t>
      </w:r>
      <w:proofErr w:type="spellEnd"/>
      <w:r w:rsidRPr="006D3159">
        <w:rPr>
          <w:i/>
          <w:sz w:val="16"/>
          <w:szCs w:val="16"/>
        </w:rPr>
        <w:t xml:space="preserve"> </w:t>
      </w:r>
      <w:proofErr w:type="spellStart"/>
      <w:r w:rsidRPr="006D3159">
        <w:rPr>
          <w:i/>
          <w:sz w:val="16"/>
          <w:szCs w:val="16"/>
        </w:rPr>
        <w:t>Ireland</w:t>
      </w:r>
      <w:proofErr w:type="spellEnd"/>
      <w:r w:rsidRPr="006D3159">
        <w:rPr>
          <w:i/>
          <w:sz w:val="16"/>
          <w:szCs w:val="16"/>
        </w:rPr>
        <w:t xml:space="preserve"> v. </w:t>
      </w:r>
      <w:proofErr w:type="spellStart"/>
      <w:r w:rsidRPr="006D3159">
        <w:rPr>
          <w:i/>
          <w:sz w:val="16"/>
          <w:szCs w:val="16"/>
        </w:rPr>
        <w:t>the</w:t>
      </w:r>
      <w:proofErr w:type="spellEnd"/>
      <w:r w:rsidRPr="006D3159">
        <w:rPr>
          <w:i/>
          <w:sz w:val="16"/>
          <w:szCs w:val="16"/>
        </w:rPr>
        <w:t xml:space="preserve"> </w:t>
      </w:r>
      <w:proofErr w:type="spellStart"/>
      <w:r w:rsidRPr="006D3159">
        <w:rPr>
          <w:i/>
          <w:sz w:val="16"/>
          <w:szCs w:val="16"/>
        </w:rPr>
        <w:t>United</w:t>
      </w:r>
      <w:proofErr w:type="spellEnd"/>
      <w:r w:rsidRPr="006D3159">
        <w:rPr>
          <w:i/>
          <w:sz w:val="16"/>
          <w:szCs w:val="16"/>
        </w:rPr>
        <w:t xml:space="preserve"> </w:t>
      </w:r>
      <w:proofErr w:type="spellStart"/>
      <w:r w:rsidRPr="006D3159">
        <w:rPr>
          <w:i/>
          <w:sz w:val="16"/>
          <w:szCs w:val="16"/>
        </w:rPr>
        <w:t>Kingdom</w:t>
      </w:r>
      <w:proofErr w:type="spellEnd"/>
      <w:r w:rsidRPr="006D3159">
        <w:rPr>
          <w:sz w:val="16"/>
          <w:szCs w:val="16"/>
        </w:rPr>
        <w:t xml:space="preserve">, no. 5310/71, Sentencia de 18 de enero de 1978, párr. 162; </w:t>
      </w:r>
      <w:r w:rsidRPr="006D3159">
        <w:rPr>
          <w:i/>
          <w:sz w:val="16"/>
          <w:szCs w:val="16"/>
        </w:rPr>
        <w:t xml:space="preserve">Case </w:t>
      </w:r>
      <w:proofErr w:type="spellStart"/>
      <w:r w:rsidRPr="006D3159">
        <w:rPr>
          <w:i/>
          <w:sz w:val="16"/>
          <w:szCs w:val="16"/>
        </w:rPr>
        <w:t>of</w:t>
      </w:r>
      <w:proofErr w:type="spellEnd"/>
      <w:r w:rsidRPr="006D3159">
        <w:rPr>
          <w:i/>
          <w:sz w:val="16"/>
          <w:szCs w:val="16"/>
        </w:rPr>
        <w:t xml:space="preserve"> </w:t>
      </w:r>
      <w:proofErr w:type="spellStart"/>
      <w:r w:rsidRPr="006D3159">
        <w:rPr>
          <w:i/>
          <w:sz w:val="16"/>
          <w:szCs w:val="16"/>
        </w:rPr>
        <w:t>Jalloh</w:t>
      </w:r>
      <w:proofErr w:type="spellEnd"/>
      <w:r w:rsidRPr="006D3159">
        <w:rPr>
          <w:i/>
          <w:sz w:val="16"/>
          <w:szCs w:val="16"/>
        </w:rPr>
        <w:t xml:space="preserve"> v. </w:t>
      </w:r>
      <w:proofErr w:type="spellStart"/>
      <w:r w:rsidRPr="006D3159">
        <w:rPr>
          <w:i/>
          <w:sz w:val="16"/>
          <w:szCs w:val="16"/>
        </w:rPr>
        <w:t>Germany</w:t>
      </w:r>
      <w:proofErr w:type="spellEnd"/>
      <w:r w:rsidRPr="006D3159">
        <w:rPr>
          <w:sz w:val="16"/>
          <w:szCs w:val="16"/>
        </w:rPr>
        <w:t xml:space="preserve"> [GS], no. 54810/00, Sentencia de 11 de julio de 2006, párr. 67, y </w:t>
      </w:r>
      <w:r w:rsidRPr="006D3159">
        <w:rPr>
          <w:rFonts w:cs="Arial"/>
          <w:i/>
          <w:sz w:val="16"/>
          <w:szCs w:val="16"/>
        </w:rPr>
        <w:t xml:space="preserve">Case </w:t>
      </w:r>
      <w:proofErr w:type="spellStart"/>
      <w:r w:rsidRPr="006D3159">
        <w:rPr>
          <w:rFonts w:cs="Arial"/>
          <w:i/>
          <w:sz w:val="16"/>
          <w:szCs w:val="16"/>
        </w:rPr>
        <w:t>of</w:t>
      </w:r>
      <w:proofErr w:type="spellEnd"/>
      <w:r w:rsidRPr="006D3159">
        <w:rPr>
          <w:rFonts w:cs="Arial"/>
          <w:i/>
          <w:sz w:val="16"/>
          <w:szCs w:val="16"/>
        </w:rPr>
        <w:t xml:space="preserve"> </w:t>
      </w:r>
      <w:proofErr w:type="spellStart"/>
      <w:r w:rsidRPr="006D3159">
        <w:rPr>
          <w:rFonts w:cs="Arial"/>
          <w:i/>
          <w:sz w:val="16"/>
          <w:szCs w:val="16"/>
        </w:rPr>
        <w:t>Bouyid</w:t>
      </w:r>
      <w:proofErr w:type="spellEnd"/>
      <w:r w:rsidRPr="006D3159">
        <w:rPr>
          <w:rFonts w:cs="Arial"/>
          <w:i/>
          <w:sz w:val="16"/>
          <w:szCs w:val="16"/>
        </w:rPr>
        <w:t xml:space="preserve"> v. </w:t>
      </w:r>
      <w:proofErr w:type="spellStart"/>
      <w:r w:rsidRPr="006D3159">
        <w:rPr>
          <w:rFonts w:cs="Arial"/>
          <w:i/>
          <w:sz w:val="16"/>
          <w:szCs w:val="16"/>
        </w:rPr>
        <w:t>Belgium</w:t>
      </w:r>
      <w:proofErr w:type="spellEnd"/>
      <w:r w:rsidRPr="006D3159">
        <w:rPr>
          <w:rFonts w:cs="Arial"/>
          <w:i/>
          <w:sz w:val="16"/>
          <w:szCs w:val="16"/>
        </w:rPr>
        <w:t xml:space="preserve"> </w:t>
      </w:r>
      <w:r w:rsidRPr="006D3159">
        <w:rPr>
          <w:rFonts w:cs="Arial"/>
          <w:sz w:val="16"/>
          <w:szCs w:val="16"/>
        </w:rPr>
        <w:t xml:space="preserve">[GS], no. 23380/09/03, Sentencia de 28 de septiembre de 2015, párr. </w:t>
      </w:r>
      <w:r w:rsidRPr="006D3159">
        <w:rPr>
          <w:rFonts w:cs="Arial"/>
          <w:sz w:val="16"/>
          <w:szCs w:val="16"/>
          <w:lang w:val="en-US"/>
        </w:rPr>
        <w:t>86.</w:t>
      </w:r>
    </w:p>
  </w:footnote>
  <w:footnote w:id="133">
    <w:p w14:paraId="0A340E6D" w14:textId="77777777" w:rsidR="009C6A90" w:rsidRPr="006D3159" w:rsidRDefault="009C6A90" w:rsidP="006146E8">
      <w:pPr>
        <w:pStyle w:val="Textonotapie"/>
        <w:rPr>
          <w:rFonts w:cs="AmnestyTradeGothic-Light"/>
          <w:color w:val="000000"/>
          <w:sz w:val="16"/>
          <w:szCs w:val="16"/>
          <w:lang w:val="en-US"/>
        </w:rPr>
      </w:pPr>
      <w:r w:rsidRPr="006D3159">
        <w:rPr>
          <w:rStyle w:val="Refdenotaalpie"/>
          <w:sz w:val="16"/>
          <w:szCs w:val="16"/>
        </w:rPr>
        <w:footnoteRef/>
      </w:r>
      <w:r w:rsidRPr="006D3159">
        <w:rPr>
          <w:sz w:val="16"/>
          <w:szCs w:val="16"/>
          <w:lang w:val="en-US"/>
        </w:rPr>
        <w:t xml:space="preserve"> </w:t>
      </w:r>
      <w:r w:rsidRPr="006D3159">
        <w:rPr>
          <w:sz w:val="16"/>
          <w:szCs w:val="16"/>
          <w:lang w:val="en-US"/>
        </w:rPr>
        <w:tab/>
      </w:r>
      <w:proofErr w:type="spellStart"/>
      <w:r w:rsidRPr="006D3159">
        <w:rPr>
          <w:i/>
          <w:sz w:val="16"/>
          <w:szCs w:val="16"/>
          <w:lang w:val="en-US"/>
        </w:rPr>
        <w:t>Cfr</w:t>
      </w:r>
      <w:proofErr w:type="spellEnd"/>
      <w:r w:rsidRPr="006D3159">
        <w:rPr>
          <w:i/>
          <w:sz w:val="16"/>
          <w:szCs w:val="16"/>
          <w:lang w:val="en-US"/>
        </w:rPr>
        <w:t xml:space="preserve">. </w:t>
      </w:r>
      <w:r w:rsidRPr="006D3159">
        <w:rPr>
          <w:sz w:val="16"/>
          <w:szCs w:val="16"/>
          <w:lang w:val="en-US"/>
        </w:rPr>
        <w:t xml:space="preserve">TEDH, </w:t>
      </w:r>
      <w:r w:rsidRPr="006D3159">
        <w:rPr>
          <w:i/>
          <w:sz w:val="16"/>
          <w:szCs w:val="16"/>
          <w:lang w:val="en-US"/>
        </w:rPr>
        <w:t>Case of</w:t>
      </w:r>
      <w:r w:rsidRPr="006D3159">
        <w:rPr>
          <w:sz w:val="16"/>
          <w:szCs w:val="16"/>
          <w:lang w:val="en-US"/>
        </w:rPr>
        <w:t xml:space="preserve"> </w:t>
      </w:r>
      <w:proofErr w:type="spellStart"/>
      <w:r w:rsidRPr="006D3159">
        <w:rPr>
          <w:rFonts w:cs="AmnestyTradeGothic-LightObl"/>
          <w:i/>
          <w:iCs/>
          <w:sz w:val="16"/>
          <w:szCs w:val="16"/>
          <w:lang w:val="en-US"/>
        </w:rPr>
        <w:t>Öcalan</w:t>
      </w:r>
      <w:proofErr w:type="spellEnd"/>
      <w:r w:rsidRPr="006D3159">
        <w:rPr>
          <w:rFonts w:cs="AmnestyTradeGothic-LightObl"/>
          <w:i/>
          <w:iCs/>
          <w:sz w:val="16"/>
          <w:szCs w:val="16"/>
          <w:lang w:val="en-US"/>
        </w:rPr>
        <w:t xml:space="preserve"> v Turkey </w:t>
      </w:r>
      <w:r w:rsidRPr="006D3159">
        <w:rPr>
          <w:rFonts w:cs="AmnestyTradeGothic-LightObl"/>
          <w:iCs/>
          <w:sz w:val="16"/>
          <w:szCs w:val="16"/>
          <w:lang w:val="en-US"/>
        </w:rPr>
        <w:t>[GS]</w:t>
      </w:r>
      <w:r w:rsidRPr="006D3159">
        <w:rPr>
          <w:rFonts w:cs="AmnestyTradeGothic-LightObl"/>
          <w:i/>
          <w:iCs/>
          <w:sz w:val="16"/>
          <w:szCs w:val="16"/>
          <w:lang w:val="en-US"/>
        </w:rPr>
        <w:t xml:space="preserve"> </w:t>
      </w:r>
      <w:r w:rsidRPr="006D3159">
        <w:rPr>
          <w:rFonts w:cs="AmnestyTradeGothic-Light"/>
          <w:sz w:val="16"/>
          <w:szCs w:val="16"/>
          <w:lang w:val="en-US"/>
        </w:rPr>
        <w:t xml:space="preserve">no. 46221/99, </w:t>
      </w:r>
      <w:proofErr w:type="spellStart"/>
      <w:r w:rsidRPr="006D3159">
        <w:rPr>
          <w:rFonts w:cs="AmnestyTradeGothic-Light"/>
          <w:sz w:val="16"/>
          <w:szCs w:val="16"/>
          <w:lang w:val="en-US"/>
        </w:rPr>
        <w:t>párrs</w:t>
      </w:r>
      <w:proofErr w:type="spellEnd"/>
      <w:r w:rsidRPr="006D3159">
        <w:rPr>
          <w:rFonts w:cs="AmnestyTradeGothic-Light"/>
          <w:sz w:val="16"/>
          <w:szCs w:val="16"/>
          <w:lang w:val="en-US"/>
        </w:rPr>
        <w:t xml:space="preserve">. 166-169; </w:t>
      </w:r>
      <w:r w:rsidRPr="006D3159">
        <w:rPr>
          <w:rFonts w:cs="AmnestyTradeGothic-Light"/>
          <w:i/>
          <w:sz w:val="16"/>
          <w:szCs w:val="16"/>
          <w:lang w:val="en-US"/>
        </w:rPr>
        <w:t xml:space="preserve">Case of </w:t>
      </w:r>
      <w:r w:rsidRPr="006D3159">
        <w:rPr>
          <w:rFonts w:cs="AmnestyTradeGothic-LightObl"/>
          <w:i/>
          <w:iCs/>
          <w:sz w:val="16"/>
          <w:szCs w:val="16"/>
          <w:lang w:val="en-US"/>
        </w:rPr>
        <w:t xml:space="preserve">Bader and </w:t>
      </w:r>
      <w:proofErr w:type="spellStart"/>
      <w:r w:rsidRPr="006D3159">
        <w:rPr>
          <w:rFonts w:cs="AmnestyTradeGothic-LightObl"/>
          <w:i/>
          <w:iCs/>
          <w:sz w:val="16"/>
          <w:szCs w:val="16"/>
          <w:lang w:val="en-US"/>
        </w:rPr>
        <w:t>Kanbor</w:t>
      </w:r>
      <w:proofErr w:type="spellEnd"/>
      <w:r w:rsidRPr="006D3159">
        <w:rPr>
          <w:rFonts w:cs="AmnestyTradeGothic-LightObl"/>
          <w:i/>
          <w:iCs/>
          <w:sz w:val="16"/>
          <w:szCs w:val="16"/>
          <w:lang w:val="en-US"/>
        </w:rPr>
        <w:t xml:space="preserve"> v. Sweden, </w:t>
      </w:r>
      <w:r w:rsidRPr="006D3159">
        <w:rPr>
          <w:rFonts w:cs="AmnestyTradeGothic-LightObl"/>
          <w:iCs/>
          <w:sz w:val="16"/>
          <w:szCs w:val="16"/>
          <w:lang w:val="en-US"/>
        </w:rPr>
        <w:t>no.</w:t>
      </w:r>
      <w:r w:rsidRPr="006D3159">
        <w:rPr>
          <w:rFonts w:cs="AmnestyTradeGothic-LightObl"/>
          <w:i/>
          <w:iCs/>
          <w:sz w:val="16"/>
          <w:szCs w:val="16"/>
          <w:lang w:val="en-US"/>
        </w:rPr>
        <w:t xml:space="preserve"> </w:t>
      </w:r>
      <w:r w:rsidRPr="006D3159">
        <w:rPr>
          <w:rFonts w:cs="AmnestyTradeGothic-Light"/>
          <w:sz w:val="16"/>
          <w:szCs w:val="16"/>
          <w:lang w:val="en-US"/>
        </w:rPr>
        <w:t xml:space="preserve">13284/04, </w:t>
      </w:r>
      <w:proofErr w:type="spellStart"/>
      <w:r w:rsidRPr="006D3159">
        <w:rPr>
          <w:rFonts w:cs="AmnestyTradeGothic-Light"/>
          <w:sz w:val="16"/>
          <w:szCs w:val="16"/>
          <w:lang w:val="en-US"/>
        </w:rPr>
        <w:t>párrs</w:t>
      </w:r>
      <w:proofErr w:type="spellEnd"/>
      <w:r w:rsidRPr="006D3159">
        <w:rPr>
          <w:rFonts w:cs="AmnestyTradeGothic-Light"/>
          <w:sz w:val="16"/>
          <w:szCs w:val="16"/>
          <w:lang w:val="en-US"/>
        </w:rPr>
        <w:t xml:space="preserve">. 42-48. </w:t>
      </w:r>
    </w:p>
  </w:footnote>
  <w:footnote w:id="134">
    <w:p w14:paraId="0A1A1F27" w14:textId="77777777" w:rsidR="009C6A90" w:rsidRPr="006D3159" w:rsidRDefault="009C6A90" w:rsidP="00436D25">
      <w:pPr>
        <w:tabs>
          <w:tab w:val="left" w:pos="567"/>
        </w:tabs>
        <w:spacing w:line="240" w:lineRule="auto"/>
        <w:rPr>
          <w:sz w:val="16"/>
          <w:szCs w:val="16"/>
          <w:lang w:val="en-US"/>
        </w:rPr>
      </w:pPr>
      <w:r w:rsidRPr="006D3159">
        <w:rPr>
          <w:rStyle w:val="Refdenotaalpie"/>
          <w:sz w:val="16"/>
          <w:szCs w:val="16"/>
        </w:rPr>
        <w:footnoteRef/>
      </w:r>
      <w:r w:rsidRPr="006D3159">
        <w:rPr>
          <w:sz w:val="16"/>
          <w:szCs w:val="16"/>
        </w:rPr>
        <w:t xml:space="preserve"> </w:t>
      </w:r>
      <w:r w:rsidRPr="006D3159">
        <w:rPr>
          <w:sz w:val="16"/>
          <w:szCs w:val="16"/>
        </w:rPr>
        <w:tab/>
        <w:t xml:space="preserve">Naciones Unidas. Informe del Relator Especial sobre la tortura y otros tratos o penas crueles, inhumanos o degradantes. 9 de agosto de 2012. A/67/279, Párr. 42. Se define al fenómeno del corredor de la muerte como: “(…) Consiste en una combinación de circunstancias que producen graves traumas mentales y deterioro físico en los presos sentenciados a muerte.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básicas y de primera necesidad (…)”. Véase también, </w:t>
      </w:r>
      <w:r w:rsidRPr="006D3159">
        <w:rPr>
          <w:rFonts w:cs="AmnestyTradeGothic-Light"/>
          <w:sz w:val="16"/>
          <w:szCs w:val="16"/>
        </w:rPr>
        <w:t xml:space="preserve">HRC, </w:t>
      </w:r>
      <w:r w:rsidRPr="006D3159">
        <w:rPr>
          <w:rFonts w:cs="AmnestyTradeGothic-LightObl"/>
          <w:i/>
          <w:iCs/>
          <w:sz w:val="16"/>
          <w:szCs w:val="16"/>
        </w:rPr>
        <w:t>Larrañaga vs. Filipinas</w:t>
      </w:r>
      <w:r w:rsidRPr="006D3159">
        <w:rPr>
          <w:rFonts w:cs="AmnestyTradeGothic-Light"/>
          <w:sz w:val="16"/>
          <w:szCs w:val="16"/>
        </w:rPr>
        <w:t xml:space="preserve">, Doc. ONU: CCPR/C/87/D/1421/2005 (2006), párr. </w:t>
      </w:r>
      <w:r w:rsidRPr="006D3159">
        <w:rPr>
          <w:rFonts w:cs="AmnestyTradeGothic-Light"/>
          <w:sz w:val="16"/>
          <w:szCs w:val="16"/>
          <w:lang w:val="en-US"/>
        </w:rPr>
        <w:t xml:space="preserve">7.11; </w:t>
      </w:r>
      <w:r w:rsidRPr="006D3159">
        <w:rPr>
          <w:rFonts w:cs="AmnestyTradeGothic-LightObl"/>
          <w:i/>
          <w:iCs/>
          <w:sz w:val="16"/>
          <w:szCs w:val="16"/>
          <w:lang w:val="en-US"/>
        </w:rPr>
        <w:t>Mwamba vs. Zambia</w:t>
      </w:r>
      <w:r w:rsidRPr="006D3159">
        <w:rPr>
          <w:rFonts w:cs="AmnestyTradeGothic-Light"/>
          <w:sz w:val="16"/>
          <w:szCs w:val="16"/>
          <w:lang w:val="en-US"/>
        </w:rPr>
        <w:t xml:space="preserve">, Doc. ONU: CCPR/C/98/D/1520/2006 (2010), </w:t>
      </w:r>
      <w:proofErr w:type="spellStart"/>
      <w:r w:rsidRPr="006D3159">
        <w:rPr>
          <w:rFonts w:cs="AmnestyTradeGothic-Light"/>
          <w:sz w:val="16"/>
          <w:szCs w:val="16"/>
          <w:lang w:val="en-US"/>
        </w:rPr>
        <w:t>párr</w:t>
      </w:r>
      <w:proofErr w:type="spellEnd"/>
      <w:r w:rsidRPr="006D3159">
        <w:rPr>
          <w:rFonts w:cs="AmnestyTradeGothic-Light"/>
          <w:sz w:val="16"/>
          <w:szCs w:val="16"/>
          <w:lang w:val="en-US"/>
        </w:rPr>
        <w:t>. 6.8.</w:t>
      </w:r>
    </w:p>
  </w:footnote>
  <w:footnote w:id="135">
    <w:p w14:paraId="2729CD72" w14:textId="77777777" w:rsidR="009C6A90" w:rsidRPr="006D3159" w:rsidRDefault="009C6A90" w:rsidP="00436D25">
      <w:pPr>
        <w:tabs>
          <w:tab w:val="left" w:pos="567"/>
        </w:tabs>
        <w:spacing w:line="240" w:lineRule="auto"/>
        <w:rPr>
          <w:sz w:val="16"/>
          <w:szCs w:val="16"/>
          <w:lang w:val="en-US"/>
        </w:rPr>
      </w:pPr>
      <w:r w:rsidRPr="006D3159">
        <w:rPr>
          <w:rStyle w:val="Refdenotaalpie"/>
          <w:sz w:val="16"/>
          <w:szCs w:val="16"/>
        </w:rPr>
        <w:footnoteRef/>
      </w:r>
      <w:r w:rsidRPr="006D3159">
        <w:rPr>
          <w:sz w:val="16"/>
          <w:szCs w:val="16"/>
          <w:lang w:val="en-US"/>
        </w:rPr>
        <w:t xml:space="preserve"> </w:t>
      </w:r>
      <w:r w:rsidRPr="006D3159">
        <w:rPr>
          <w:sz w:val="16"/>
          <w:szCs w:val="16"/>
          <w:lang w:val="en-US"/>
        </w:rPr>
        <w:tab/>
      </w:r>
      <w:r w:rsidRPr="006D3159">
        <w:rPr>
          <w:i/>
          <w:sz w:val="16"/>
          <w:szCs w:val="16"/>
          <w:lang w:val="en-US"/>
        </w:rPr>
        <w:t xml:space="preserve">Judgment of the Supreme Court of Zimbabwe </w:t>
      </w:r>
      <w:r w:rsidRPr="006D3159">
        <w:rPr>
          <w:sz w:val="16"/>
          <w:szCs w:val="16"/>
          <w:lang w:val="en-US"/>
        </w:rPr>
        <w:t xml:space="preserve">of 24 June 1993 in Catholic Commissioner for Justice and Peace in Zimbabwe v. Attorney General (4) SA 239 (ZS); </w:t>
      </w:r>
      <w:r w:rsidRPr="006D3159">
        <w:rPr>
          <w:i/>
          <w:sz w:val="16"/>
          <w:szCs w:val="16"/>
          <w:lang w:val="en-US"/>
        </w:rPr>
        <w:t xml:space="preserve">Supreme Court of Uganda in Attorney General v. Susan </w:t>
      </w:r>
      <w:proofErr w:type="spellStart"/>
      <w:r w:rsidRPr="006D3159">
        <w:rPr>
          <w:i/>
          <w:sz w:val="16"/>
          <w:szCs w:val="16"/>
          <w:lang w:val="en-US"/>
        </w:rPr>
        <w:t>Kigula</w:t>
      </w:r>
      <w:proofErr w:type="spellEnd"/>
      <w:r w:rsidRPr="006D3159">
        <w:rPr>
          <w:sz w:val="16"/>
          <w:szCs w:val="16"/>
          <w:lang w:val="en-US"/>
        </w:rPr>
        <w:t xml:space="preserve"> and 417 others (Constitutional Appeal No. 3 of 2006), 2009. AG v Susan </w:t>
      </w:r>
      <w:proofErr w:type="spellStart"/>
      <w:r w:rsidRPr="006D3159">
        <w:rPr>
          <w:sz w:val="16"/>
          <w:szCs w:val="16"/>
          <w:lang w:val="en-US"/>
        </w:rPr>
        <w:t>Kigula</w:t>
      </w:r>
      <w:proofErr w:type="spellEnd"/>
      <w:r w:rsidRPr="006D3159">
        <w:rPr>
          <w:sz w:val="16"/>
          <w:szCs w:val="16"/>
          <w:lang w:val="en-US"/>
        </w:rPr>
        <w:t xml:space="preserve"> &amp; 417 others, Tribunal Supremo de Uganda (2009); </w:t>
      </w:r>
      <w:r w:rsidRPr="006D3159">
        <w:rPr>
          <w:i/>
          <w:sz w:val="16"/>
          <w:szCs w:val="16"/>
          <w:lang w:val="en-US"/>
        </w:rPr>
        <w:t xml:space="preserve">Catholic Commission for Justice and Peace in Zimbabwe v the Attorney General &amp; Others, Tribunal Supremo de </w:t>
      </w:r>
      <w:proofErr w:type="spellStart"/>
      <w:r w:rsidRPr="006D3159">
        <w:rPr>
          <w:i/>
          <w:sz w:val="16"/>
          <w:szCs w:val="16"/>
          <w:lang w:val="en-US"/>
        </w:rPr>
        <w:t>Zimbabue</w:t>
      </w:r>
      <w:proofErr w:type="spellEnd"/>
      <w:r w:rsidRPr="006D3159">
        <w:rPr>
          <w:sz w:val="16"/>
          <w:szCs w:val="16"/>
          <w:lang w:val="en-US"/>
        </w:rPr>
        <w:t xml:space="preserve"> (1993), 2LRC 277; </w:t>
      </w:r>
      <w:r w:rsidRPr="006D3159">
        <w:rPr>
          <w:i/>
          <w:sz w:val="16"/>
          <w:szCs w:val="16"/>
          <w:lang w:val="en-US"/>
        </w:rPr>
        <w:t xml:space="preserve">Godfrey </w:t>
      </w:r>
      <w:proofErr w:type="spellStart"/>
      <w:r w:rsidRPr="006D3159">
        <w:rPr>
          <w:i/>
          <w:sz w:val="16"/>
          <w:szCs w:val="16"/>
          <w:lang w:val="en-US"/>
        </w:rPr>
        <w:t>Mutiso</w:t>
      </w:r>
      <w:proofErr w:type="spellEnd"/>
      <w:r w:rsidRPr="006D3159">
        <w:rPr>
          <w:i/>
          <w:sz w:val="16"/>
          <w:szCs w:val="16"/>
          <w:lang w:val="en-US"/>
        </w:rPr>
        <w:t xml:space="preserve"> v Republic, Tribunal de </w:t>
      </w:r>
      <w:proofErr w:type="spellStart"/>
      <w:r w:rsidRPr="006D3159">
        <w:rPr>
          <w:i/>
          <w:sz w:val="16"/>
          <w:szCs w:val="16"/>
          <w:lang w:val="en-US"/>
        </w:rPr>
        <w:t>Apelación</w:t>
      </w:r>
      <w:proofErr w:type="spellEnd"/>
      <w:r w:rsidRPr="006D3159">
        <w:rPr>
          <w:i/>
          <w:sz w:val="16"/>
          <w:szCs w:val="16"/>
          <w:lang w:val="en-US"/>
        </w:rPr>
        <w:t xml:space="preserve"> de Kenia</w:t>
      </w:r>
      <w:r w:rsidRPr="006D3159">
        <w:rPr>
          <w:sz w:val="16"/>
          <w:szCs w:val="16"/>
          <w:lang w:val="en-US"/>
        </w:rPr>
        <w:t xml:space="preserve"> (2010). </w:t>
      </w:r>
      <w:r w:rsidRPr="006D3159">
        <w:rPr>
          <w:sz w:val="16"/>
          <w:szCs w:val="16"/>
        </w:rPr>
        <w:t xml:space="preserve">Véase también </w:t>
      </w:r>
      <w:r w:rsidRPr="006D3159">
        <w:rPr>
          <w:i/>
          <w:sz w:val="16"/>
          <w:szCs w:val="16"/>
        </w:rPr>
        <w:t xml:space="preserve">US v Burns, </w:t>
      </w:r>
      <w:r w:rsidRPr="006D3159">
        <w:rPr>
          <w:sz w:val="16"/>
          <w:szCs w:val="16"/>
        </w:rPr>
        <w:t xml:space="preserve">Tribunal Supremo de Canadá, 2001 SCC 7, </w:t>
      </w:r>
      <w:proofErr w:type="spellStart"/>
      <w:r w:rsidRPr="006D3159">
        <w:rPr>
          <w:sz w:val="16"/>
          <w:szCs w:val="16"/>
        </w:rPr>
        <w:t>párrs</w:t>
      </w:r>
      <w:proofErr w:type="spellEnd"/>
      <w:r w:rsidRPr="006D3159">
        <w:rPr>
          <w:sz w:val="16"/>
          <w:szCs w:val="16"/>
        </w:rPr>
        <w:t>. </w:t>
      </w:r>
      <w:r w:rsidRPr="006D3159">
        <w:rPr>
          <w:sz w:val="16"/>
          <w:szCs w:val="16"/>
          <w:lang w:val="en-US"/>
        </w:rPr>
        <w:t>118-123</w:t>
      </w:r>
    </w:p>
  </w:footnote>
  <w:footnote w:id="136">
    <w:p w14:paraId="09BB63B0" w14:textId="77777777" w:rsidR="009C6A90" w:rsidRPr="006D3159" w:rsidRDefault="009C6A90" w:rsidP="00436D25">
      <w:pPr>
        <w:tabs>
          <w:tab w:val="left" w:pos="567"/>
        </w:tabs>
        <w:spacing w:line="240" w:lineRule="auto"/>
        <w:rPr>
          <w:sz w:val="16"/>
          <w:szCs w:val="16"/>
          <w:lang w:val="en-US"/>
        </w:rPr>
      </w:pPr>
      <w:r w:rsidRPr="006D3159">
        <w:rPr>
          <w:rStyle w:val="Refdenotaalpie"/>
          <w:sz w:val="16"/>
          <w:szCs w:val="16"/>
        </w:rPr>
        <w:footnoteRef/>
      </w:r>
      <w:r w:rsidRPr="006D3159">
        <w:rPr>
          <w:sz w:val="16"/>
          <w:szCs w:val="16"/>
          <w:lang w:val="en-US"/>
        </w:rPr>
        <w:t xml:space="preserve"> </w:t>
      </w:r>
      <w:r w:rsidRPr="006D3159">
        <w:rPr>
          <w:sz w:val="16"/>
          <w:szCs w:val="16"/>
          <w:lang w:val="en-US"/>
        </w:rPr>
        <w:tab/>
      </w:r>
      <w:proofErr w:type="spellStart"/>
      <w:r w:rsidRPr="006D3159">
        <w:rPr>
          <w:i/>
          <w:sz w:val="16"/>
          <w:szCs w:val="16"/>
          <w:lang w:val="en-US"/>
        </w:rPr>
        <w:t>Cfr</w:t>
      </w:r>
      <w:proofErr w:type="spellEnd"/>
      <w:r w:rsidRPr="006D3159">
        <w:rPr>
          <w:sz w:val="16"/>
          <w:szCs w:val="16"/>
          <w:lang w:val="en-US"/>
        </w:rPr>
        <w:t xml:space="preserve">. TEDH, </w:t>
      </w:r>
      <w:r w:rsidRPr="006D3159">
        <w:rPr>
          <w:i/>
          <w:sz w:val="16"/>
          <w:szCs w:val="16"/>
          <w:lang w:val="en-US"/>
        </w:rPr>
        <w:t xml:space="preserve">Case of Soering v the United Kingdom </w:t>
      </w:r>
      <w:r w:rsidRPr="006D3159">
        <w:rPr>
          <w:sz w:val="16"/>
          <w:szCs w:val="16"/>
          <w:lang w:val="en-US"/>
        </w:rPr>
        <w:t xml:space="preserve">[GS], no. 14038/88, </w:t>
      </w:r>
      <w:proofErr w:type="spellStart"/>
      <w:r w:rsidRPr="006D3159">
        <w:rPr>
          <w:sz w:val="16"/>
          <w:szCs w:val="16"/>
          <w:lang w:val="en-US"/>
        </w:rPr>
        <w:t>Sentencia</w:t>
      </w:r>
      <w:proofErr w:type="spellEnd"/>
      <w:r w:rsidRPr="006D3159">
        <w:rPr>
          <w:sz w:val="16"/>
          <w:szCs w:val="16"/>
          <w:lang w:val="en-US"/>
        </w:rPr>
        <w:t xml:space="preserve"> de 7 de Julio de 1989, </w:t>
      </w:r>
      <w:proofErr w:type="spellStart"/>
      <w:r w:rsidRPr="006D3159">
        <w:rPr>
          <w:sz w:val="16"/>
          <w:szCs w:val="16"/>
          <w:lang w:val="en-US"/>
        </w:rPr>
        <w:t>párrs</w:t>
      </w:r>
      <w:proofErr w:type="spellEnd"/>
      <w:r w:rsidRPr="006D3159">
        <w:rPr>
          <w:sz w:val="16"/>
          <w:szCs w:val="16"/>
          <w:lang w:val="en-US"/>
        </w:rPr>
        <w:t>. 56, 81 y 111.</w:t>
      </w:r>
    </w:p>
  </w:footnote>
  <w:footnote w:id="137">
    <w:p w14:paraId="74EBFF2C" w14:textId="77777777" w:rsidR="009C6A90" w:rsidRPr="006D3159" w:rsidRDefault="009C6A90" w:rsidP="00436D25">
      <w:pPr>
        <w:tabs>
          <w:tab w:val="left" w:pos="567"/>
        </w:tabs>
        <w:spacing w:line="240" w:lineRule="auto"/>
        <w:rPr>
          <w:sz w:val="16"/>
          <w:szCs w:val="16"/>
          <w:lang w:val="es-ES"/>
        </w:rPr>
      </w:pPr>
      <w:r w:rsidRPr="006D3159">
        <w:rPr>
          <w:rStyle w:val="Refdenotaalpie"/>
          <w:sz w:val="16"/>
          <w:szCs w:val="16"/>
        </w:rPr>
        <w:footnoteRef/>
      </w:r>
      <w:r w:rsidRPr="006D3159">
        <w:rPr>
          <w:sz w:val="16"/>
          <w:szCs w:val="16"/>
          <w:lang w:val="en-US"/>
        </w:rPr>
        <w:t xml:space="preserve"> </w:t>
      </w:r>
      <w:r w:rsidRPr="006D3159">
        <w:rPr>
          <w:sz w:val="16"/>
          <w:szCs w:val="16"/>
          <w:lang w:val="en-US"/>
        </w:rPr>
        <w:tab/>
      </w:r>
      <w:proofErr w:type="spellStart"/>
      <w:r w:rsidRPr="006D3159">
        <w:rPr>
          <w:i/>
          <w:iCs/>
          <w:sz w:val="16"/>
          <w:szCs w:val="16"/>
          <w:lang w:val="en-US"/>
        </w:rPr>
        <w:t>Cfr</w:t>
      </w:r>
      <w:proofErr w:type="spellEnd"/>
      <w:r w:rsidRPr="006D3159">
        <w:rPr>
          <w:sz w:val="16"/>
          <w:szCs w:val="16"/>
          <w:lang w:val="en-US"/>
        </w:rPr>
        <w:t xml:space="preserve">. TEDH, </w:t>
      </w:r>
      <w:r w:rsidRPr="006D3159">
        <w:rPr>
          <w:i/>
          <w:sz w:val="16"/>
          <w:szCs w:val="16"/>
          <w:lang w:val="en-US"/>
        </w:rPr>
        <w:t xml:space="preserve">Case of Soering v the United Kingdom </w:t>
      </w:r>
      <w:r w:rsidRPr="006D3159">
        <w:rPr>
          <w:sz w:val="16"/>
          <w:szCs w:val="16"/>
          <w:lang w:val="en-US"/>
        </w:rPr>
        <w:t xml:space="preserve">[GS], </w:t>
      </w:r>
      <w:r w:rsidRPr="006D3159">
        <w:rPr>
          <w:i/>
          <w:sz w:val="16"/>
          <w:szCs w:val="16"/>
          <w:lang w:val="en-US"/>
        </w:rPr>
        <w:t>supra</w:t>
      </w:r>
      <w:r w:rsidRPr="006D3159">
        <w:rPr>
          <w:sz w:val="16"/>
          <w:szCs w:val="16"/>
          <w:lang w:val="en-US"/>
        </w:rPr>
        <w:t xml:space="preserve">, </w:t>
      </w:r>
      <w:proofErr w:type="spellStart"/>
      <w:r w:rsidRPr="006D3159">
        <w:rPr>
          <w:sz w:val="16"/>
          <w:szCs w:val="16"/>
          <w:lang w:val="en-US"/>
        </w:rPr>
        <w:t>párr</w:t>
      </w:r>
      <w:proofErr w:type="spellEnd"/>
      <w:r w:rsidRPr="006D3159">
        <w:rPr>
          <w:sz w:val="16"/>
          <w:szCs w:val="16"/>
          <w:lang w:val="en-US"/>
        </w:rPr>
        <w:t xml:space="preserve">. </w:t>
      </w:r>
      <w:r w:rsidRPr="006D3159">
        <w:rPr>
          <w:sz w:val="16"/>
          <w:szCs w:val="16"/>
          <w:lang w:val="es-ES"/>
        </w:rPr>
        <w:t xml:space="preserve">106, y </w:t>
      </w:r>
      <w:r w:rsidRPr="006D3159">
        <w:rPr>
          <w:i/>
          <w:sz w:val="16"/>
          <w:szCs w:val="16"/>
          <w:lang w:val="es-ES"/>
        </w:rPr>
        <w:t xml:space="preserve">Case </w:t>
      </w:r>
      <w:proofErr w:type="spellStart"/>
      <w:r w:rsidRPr="006D3159">
        <w:rPr>
          <w:i/>
          <w:sz w:val="16"/>
          <w:szCs w:val="16"/>
          <w:lang w:val="es-ES"/>
        </w:rPr>
        <w:t>of</w:t>
      </w:r>
      <w:proofErr w:type="spellEnd"/>
      <w:r w:rsidRPr="006D3159">
        <w:rPr>
          <w:i/>
          <w:sz w:val="16"/>
          <w:szCs w:val="16"/>
          <w:lang w:val="es-ES"/>
        </w:rPr>
        <w:t xml:space="preserve"> </w:t>
      </w:r>
      <w:proofErr w:type="spellStart"/>
      <w:r w:rsidRPr="006D3159">
        <w:rPr>
          <w:i/>
          <w:iCs/>
          <w:sz w:val="16"/>
          <w:szCs w:val="16"/>
          <w:lang w:val="es-ES"/>
        </w:rPr>
        <w:t>Shamayev</w:t>
      </w:r>
      <w:proofErr w:type="spellEnd"/>
      <w:r w:rsidRPr="006D3159">
        <w:rPr>
          <w:i/>
          <w:iCs/>
          <w:sz w:val="16"/>
          <w:szCs w:val="16"/>
          <w:lang w:val="es-ES"/>
        </w:rPr>
        <w:t xml:space="preserve"> and </w:t>
      </w:r>
      <w:proofErr w:type="spellStart"/>
      <w:r w:rsidRPr="006D3159">
        <w:rPr>
          <w:i/>
          <w:iCs/>
          <w:sz w:val="16"/>
          <w:szCs w:val="16"/>
          <w:lang w:val="es-ES"/>
        </w:rPr>
        <w:t>others</w:t>
      </w:r>
      <w:proofErr w:type="spellEnd"/>
      <w:r w:rsidRPr="006D3159">
        <w:rPr>
          <w:i/>
          <w:iCs/>
          <w:sz w:val="16"/>
          <w:szCs w:val="16"/>
          <w:lang w:val="es-ES"/>
        </w:rPr>
        <w:t xml:space="preserve"> v. Georgia y Rusia</w:t>
      </w:r>
      <w:r w:rsidRPr="006D3159">
        <w:rPr>
          <w:sz w:val="16"/>
          <w:szCs w:val="16"/>
          <w:lang w:val="es-ES"/>
        </w:rPr>
        <w:t>, no. 36378/02, Sentencia de 12 de abril de 2005, párr. 333.</w:t>
      </w:r>
    </w:p>
  </w:footnote>
  <w:footnote w:id="138">
    <w:p w14:paraId="1CA92995" w14:textId="77777777" w:rsidR="009C6A90" w:rsidRPr="006D3159" w:rsidRDefault="009C6A90" w:rsidP="00436D25">
      <w:pPr>
        <w:tabs>
          <w:tab w:val="left" w:pos="567"/>
        </w:tabs>
        <w:spacing w:line="240" w:lineRule="auto"/>
        <w:rPr>
          <w:sz w:val="16"/>
          <w:szCs w:val="16"/>
          <w:lang w:val="es-ES_tradnl"/>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Cfr</w:t>
      </w:r>
      <w:r w:rsidRPr="006D3159">
        <w:rPr>
          <w:sz w:val="16"/>
          <w:szCs w:val="16"/>
        </w:rPr>
        <w:t xml:space="preserve">. </w:t>
      </w:r>
      <w:r w:rsidRPr="006D3159">
        <w:rPr>
          <w:i/>
          <w:iCs/>
          <w:sz w:val="16"/>
          <w:szCs w:val="16"/>
        </w:rPr>
        <w:t xml:space="preserve">Caso </w:t>
      </w:r>
      <w:proofErr w:type="spellStart"/>
      <w:r w:rsidRPr="006D3159">
        <w:rPr>
          <w:i/>
          <w:iCs/>
          <w:sz w:val="16"/>
          <w:szCs w:val="16"/>
        </w:rPr>
        <w:t>Raxcaco</w:t>
      </w:r>
      <w:proofErr w:type="spellEnd"/>
      <w:r w:rsidRPr="006D3159">
        <w:rPr>
          <w:i/>
          <w:iCs/>
          <w:sz w:val="16"/>
          <w:szCs w:val="16"/>
        </w:rPr>
        <w:t xml:space="preserve"> Reyes Vs. Guatemala, supra, </w:t>
      </w:r>
      <w:r w:rsidRPr="006D3159">
        <w:rPr>
          <w:sz w:val="16"/>
          <w:szCs w:val="16"/>
        </w:rPr>
        <w:t xml:space="preserve">y </w:t>
      </w:r>
      <w:r w:rsidRPr="006D3159">
        <w:rPr>
          <w:rStyle w:val="Textoennegrita"/>
          <w:b w:val="0"/>
          <w:i/>
          <w:iCs/>
          <w:sz w:val="16"/>
          <w:szCs w:val="16"/>
        </w:rPr>
        <w:t>Caso</w:t>
      </w:r>
      <w:r w:rsidRPr="006D3159">
        <w:rPr>
          <w:rStyle w:val="Textoennegrita"/>
          <w:b w:val="0"/>
          <w:i/>
          <w:sz w:val="16"/>
          <w:szCs w:val="16"/>
        </w:rPr>
        <w:t xml:space="preserve"> Hilaire, </w:t>
      </w:r>
      <w:proofErr w:type="spellStart"/>
      <w:r w:rsidRPr="006D3159">
        <w:rPr>
          <w:rStyle w:val="Textoennegrita"/>
          <w:b w:val="0"/>
          <w:i/>
          <w:sz w:val="16"/>
          <w:szCs w:val="16"/>
        </w:rPr>
        <w:t>Constantine</w:t>
      </w:r>
      <w:proofErr w:type="spellEnd"/>
      <w:r w:rsidRPr="006D3159">
        <w:rPr>
          <w:rStyle w:val="Textoennegrita"/>
          <w:b w:val="0"/>
          <w:i/>
          <w:sz w:val="16"/>
          <w:szCs w:val="16"/>
        </w:rPr>
        <w:t xml:space="preserve"> y </w:t>
      </w:r>
      <w:proofErr w:type="spellStart"/>
      <w:r w:rsidRPr="006D3159">
        <w:rPr>
          <w:rStyle w:val="Textoennegrita"/>
          <w:b w:val="0"/>
          <w:i/>
          <w:sz w:val="16"/>
          <w:szCs w:val="16"/>
        </w:rPr>
        <w:t>Benjamin</w:t>
      </w:r>
      <w:proofErr w:type="spellEnd"/>
      <w:r w:rsidRPr="006D3159">
        <w:rPr>
          <w:rStyle w:val="Textoennegrita"/>
          <w:b w:val="0"/>
          <w:i/>
          <w:sz w:val="16"/>
          <w:szCs w:val="16"/>
        </w:rPr>
        <w:t xml:space="preserve"> y otros Vs. Trinidad y Tobago, supra.</w:t>
      </w:r>
    </w:p>
  </w:footnote>
  <w:footnote w:id="139">
    <w:p w14:paraId="20ACF081" w14:textId="77777777" w:rsidR="009C6A90" w:rsidRPr="006D3159" w:rsidRDefault="009C6A90" w:rsidP="00436D25">
      <w:pPr>
        <w:tabs>
          <w:tab w:val="left" w:pos="567"/>
        </w:tabs>
        <w:spacing w:line="240" w:lineRule="auto"/>
        <w:rPr>
          <w:sz w:val="16"/>
          <w:szCs w:val="16"/>
          <w:lang w:val="es-ES_tradnl"/>
        </w:rPr>
      </w:pPr>
      <w:r w:rsidRPr="006D3159">
        <w:rPr>
          <w:rStyle w:val="Refdenotaalpie"/>
          <w:sz w:val="16"/>
          <w:szCs w:val="16"/>
        </w:rPr>
        <w:footnoteRef/>
      </w:r>
      <w:r w:rsidRPr="006D3159">
        <w:rPr>
          <w:sz w:val="16"/>
          <w:szCs w:val="16"/>
        </w:rPr>
        <w:t xml:space="preserve"> </w:t>
      </w:r>
      <w:r w:rsidRPr="006D3159">
        <w:rPr>
          <w:sz w:val="16"/>
          <w:szCs w:val="16"/>
        </w:rPr>
        <w:tab/>
        <w:t>Artículos 8 y 25 de la Convención Americana.</w:t>
      </w:r>
    </w:p>
  </w:footnote>
  <w:footnote w:id="140">
    <w:p w14:paraId="25934142" w14:textId="77777777" w:rsidR="009C6A90" w:rsidRPr="006D3159" w:rsidRDefault="009C6A90" w:rsidP="00436D25">
      <w:pPr>
        <w:spacing w:line="240" w:lineRule="auto"/>
        <w:rPr>
          <w:sz w:val="16"/>
          <w:szCs w:val="16"/>
          <w:lang w:val="es-CO"/>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bCs/>
          <w:i/>
          <w:sz w:val="16"/>
          <w:szCs w:val="16"/>
          <w:lang w:val="es-CL"/>
        </w:rPr>
        <w:t xml:space="preserve">Cfr. </w:t>
      </w:r>
      <w:r w:rsidRPr="006D3159">
        <w:rPr>
          <w:i/>
          <w:sz w:val="16"/>
          <w:szCs w:val="16"/>
        </w:rPr>
        <w:t>Caso del Tribunal Constitucional Vs. Perú. Fondo, Reparaciones y Costas.</w:t>
      </w:r>
      <w:r w:rsidRPr="006D3159">
        <w:rPr>
          <w:sz w:val="16"/>
          <w:szCs w:val="16"/>
        </w:rPr>
        <w:t xml:space="preserve"> Sentencia de 31 de enero de 2001. Serie C No. 71</w:t>
      </w:r>
      <w:r w:rsidRPr="006D3159">
        <w:rPr>
          <w:sz w:val="16"/>
          <w:szCs w:val="16"/>
          <w:lang w:val="es-CO"/>
        </w:rPr>
        <w:t xml:space="preserve">, párr. 69, y </w:t>
      </w:r>
      <w:r w:rsidRPr="006D3159">
        <w:rPr>
          <w:rStyle w:val="Textoennegrita"/>
          <w:b w:val="0"/>
          <w:i/>
          <w:color w:val="000000"/>
          <w:sz w:val="16"/>
          <w:szCs w:val="16"/>
        </w:rPr>
        <w:t>Caso de Personas Dominicanas y Haitianas Expulsadas Vs. República Dominicana, supra</w:t>
      </w:r>
      <w:r w:rsidRPr="006D3159">
        <w:rPr>
          <w:sz w:val="16"/>
          <w:szCs w:val="16"/>
          <w:lang w:val="es-CO"/>
        </w:rPr>
        <w:t>, párr. 349.</w:t>
      </w:r>
    </w:p>
  </w:footnote>
  <w:footnote w:id="141">
    <w:p w14:paraId="1D3B43E4"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 Excepciones al Agotamiento de los Recursos Internos (arts. 46.1, 46.2.a y 46.2.b, Convención Americana sobre Derechos Humanos). Opinión Consultiva OC-11/90 del 10 de agosto de 1990.</w:t>
      </w:r>
      <w:r w:rsidRPr="006D3159">
        <w:rPr>
          <w:sz w:val="16"/>
          <w:szCs w:val="16"/>
        </w:rPr>
        <w:t xml:space="preserve"> Serie A No. 11, párr. 28, y Caso J Vs. Perú, supra, párr. 258.</w:t>
      </w:r>
    </w:p>
  </w:footnote>
  <w:footnote w:id="142">
    <w:p w14:paraId="05A83D2D"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lang w:val="es-CR"/>
        </w:rPr>
        <w:t xml:space="preserve"> </w:t>
      </w:r>
      <w:r w:rsidRPr="006D3159">
        <w:rPr>
          <w:sz w:val="16"/>
          <w:szCs w:val="16"/>
          <w:lang w:val="es-CR"/>
        </w:rPr>
        <w:tab/>
      </w:r>
      <w:r w:rsidRPr="006D3159">
        <w:rPr>
          <w:i/>
          <w:sz w:val="16"/>
          <w:szCs w:val="16"/>
          <w:lang w:val="es-CR"/>
        </w:rPr>
        <w:t xml:space="preserve">Cfr. </w:t>
      </w:r>
      <w:r w:rsidRPr="006D3159">
        <w:rPr>
          <w:i/>
          <w:sz w:val="16"/>
          <w:szCs w:val="16"/>
        </w:rPr>
        <w:t xml:space="preserve">Caso </w:t>
      </w:r>
      <w:proofErr w:type="spellStart"/>
      <w:r w:rsidRPr="006D3159">
        <w:rPr>
          <w:i/>
          <w:sz w:val="16"/>
          <w:szCs w:val="16"/>
        </w:rPr>
        <w:t>Palamara</w:t>
      </w:r>
      <w:proofErr w:type="spellEnd"/>
      <w:r w:rsidRPr="006D3159">
        <w:rPr>
          <w:i/>
          <w:sz w:val="16"/>
          <w:szCs w:val="16"/>
        </w:rPr>
        <w:t xml:space="preserve"> Iribarne Vs. Chile. Fondo, Reparaciones y Costas</w:t>
      </w:r>
      <w:r w:rsidRPr="006D3159">
        <w:rPr>
          <w:sz w:val="16"/>
          <w:szCs w:val="16"/>
        </w:rPr>
        <w:t>. Sentencia de 22 de noviembre de 2005. Serie C No. 135</w:t>
      </w:r>
      <w:r w:rsidRPr="006D3159">
        <w:rPr>
          <w:sz w:val="16"/>
          <w:szCs w:val="16"/>
          <w:lang w:val="es-CR"/>
        </w:rPr>
        <w:t xml:space="preserve">, </w:t>
      </w:r>
      <w:proofErr w:type="spellStart"/>
      <w:r w:rsidRPr="006D3159">
        <w:rPr>
          <w:sz w:val="16"/>
          <w:szCs w:val="16"/>
          <w:lang w:val="es-CR"/>
        </w:rPr>
        <w:t>párrs</w:t>
      </w:r>
      <w:proofErr w:type="spellEnd"/>
      <w:r w:rsidRPr="006D3159">
        <w:rPr>
          <w:sz w:val="16"/>
          <w:szCs w:val="16"/>
          <w:lang w:val="es-CR"/>
        </w:rPr>
        <w:t>. 174 y 175.</w:t>
      </w:r>
    </w:p>
  </w:footnote>
  <w:footnote w:id="143">
    <w:p w14:paraId="223F956E" w14:textId="77777777" w:rsidR="009C6A90" w:rsidRPr="006D3159" w:rsidRDefault="009C6A90" w:rsidP="00436D25">
      <w:pPr>
        <w:pStyle w:val="Textonotapie"/>
        <w:rPr>
          <w:rFonts w:cs="Times_New_Roman--Identity-H"/>
          <w:sz w:val="16"/>
          <w:szCs w:val="16"/>
        </w:rPr>
      </w:pPr>
      <w:r w:rsidRPr="006D3159">
        <w:rPr>
          <w:rStyle w:val="Refdenotaalpie"/>
          <w:rFonts w:eastAsia="MS Mincho"/>
          <w:sz w:val="16"/>
          <w:szCs w:val="16"/>
        </w:rPr>
        <w:footnoteRef/>
      </w:r>
      <w:r w:rsidRPr="006D3159">
        <w:rPr>
          <w:i/>
          <w:sz w:val="16"/>
          <w:szCs w:val="16"/>
        </w:rPr>
        <w:tab/>
        <w:t>Cfr. Condición Jurídica y Derechos Humanos del Niño.</w:t>
      </w:r>
      <w:r w:rsidRPr="006D3159">
        <w:rPr>
          <w:sz w:val="16"/>
          <w:szCs w:val="16"/>
        </w:rPr>
        <w:t xml:space="preserve"> Opinión Consultiva OC-17/02 de 28 de agosto de 2002. Serie A No. 17,</w:t>
      </w:r>
      <w:r w:rsidRPr="006D3159">
        <w:rPr>
          <w:i/>
          <w:sz w:val="16"/>
          <w:szCs w:val="16"/>
        </w:rPr>
        <w:t xml:space="preserve"> </w:t>
      </w:r>
      <w:r w:rsidRPr="006D3159">
        <w:rPr>
          <w:sz w:val="16"/>
          <w:szCs w:val="16"/>
        </w:rPr>
        <w:t xml:space="preserve">párr. 132, y </w:t>
      </w:r>
      <w:r w:rsidRPr="006D3159">
        <w:rPr>
          <w:i/>
          <w:sz w:val="16"/>
          <w:szCs w:val="16"/>
        </w:rPr>
        <w:t xml:space="preserve">Caso </w:t>
      </w:r>
      <w:proofErr w:type="spellStart"/>
      <w:r w:rsidRPr="006D3159">
        <w:rPr>
          <w:i/>
          <w:sz w:val="16"/>
          <w:szCs w:val="16"/>
        </w:rPr>
        <w:t>Palamara</w:t>
      </w:r>
      <w:proofErr w:type="spellEnd"/>
      <w:r w:rsidRPr="006D3159">
        <w:rPr>
          <w:i/>
          <w:sz w:val="16"/>
          <w:szCs w:val="16"/>
        </w:rPr>
        <w:t xml:space="preserve"> Iribarne Vs. Chile, supra</w:t>
      </w:r>
      <w:r w:rsidRPr="006D3159">
        <w:rPr>
          <w:sz w:val="16"/>
          <w:szCs w:val="16"/>
        </w:rPr>
        <w:t>, párr. 178.</w:t>
      </w:r>
    </w:p>
  </w:footnote>
  <w:footnote w:id="144">
    <w:p w14:paraId="7C546BA2"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 xml:space="preserve">Comunicación de la Corte Suprema de Justicia al </w:t>
      </w:r>
      <w:proofErr w:type="gramStart"/>
      <w:r w:rsidRPr="006D3159">
        <w:rPr>
          <w:sz w:val="16"/>
          <w:szCs w:val="16"/>
        </w:rPr>
        <w:t>Ministro</w:t>
      </w:r>
      <w:proofErr w:type="gramEnd"/>
      <w:r w:rsidRPr="006D3159">
        <w:rPr>
          <w:sz w:val="16"/>
          <w:szCs w:val="16"/>
        </w:rPr>
        <w:t xml:space="preserve"> de Relaciones Exteriores, de 3 de octubre de 1997 (expediente de prueba, folios 310 y 311).</w:t>
      </w:r>
    </w:p>
  </w:footnote>
  <w:footnote w:id="145">
    <w:p w14:paraId="4DB21B6A" w14:textId="77777777" w:rsidR="009C6A90" w:rsidRPr="006D3159" w:rsidRDefault="009C6A90" w:rsidP="00436D25">
      <w:pPr>
        <w:pStyle w:val="Textonotapie"/>
        <w:rPr>
          <w:sz w:val="16"/>
          <w:szCs w:val="16"/>
          <w:lang w:val="es-NI"/>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iCs/>
          <w:sz w:val="16"/>
          <w:szCs w:val="16"/>
        </w:rPr>
        <w:t>Cfr.</w:t>
      </w:r>
      <w:r w:rsidRPr="006D3159">
        <w:rPr>
          <w:color w:val="2B2B2B"/>
          <w:sz w:val="16"/>
          <w:szCs w:val="16"/>
          <w:lang w:val="es-NI"/>
        </w:rPr>
        <w:t xml:space="preserve"> Sentencia </w:t>
      </w:r>
      <w:r w:rsidRPr="006D3159">
        <w:rPr>
          <w:color w:val="191919"/>
          <w:sz w:val="16"/>
          <w:szCs w:val="16"/>
          <w:lang w:val="es-NI"/>
        </w:rPr>
        <w:t xml:space="preserve">de Tribunal Cuarto de </w:t>
      </w:r>
      <w:r w:rsidRPr="006D3159">
        <w:rPr>
          <w:color w:val="2B2B2B"/>
          <w:sz w:val="16"/>
          <w:szCs w:val="16"/>
          <w:lang w:val="es-NI"/>
        </w:rPr>
        <w:t xml:space="preserve">Sentencia </w:t>
      </w:r>
      <w:r w:rsidRPr="006D3159">
        <w:rPr>
          <w:color w:val="191919"/>
          <w:sz w:val="16"/>
          <w:szCs w:val="16"/>
          <w:lang w:val="es-NI"/>
        </w:rPr>
        <w:t xml:space="preserve">Penal, Narcoactividad </w:t>
      </w:r>
      <w:r w:rsidRPr="006D3159">
        <w:rPr>
          <w:color w:val="2B2B2B"/>
          <w:sz w:val="16"/>
          <w:szCs w:val="16"/>
          <w:lang w:val="es-NI"/>
        </w:rPr>
        <w:t xml:space="preserve">y </w:t>
      </w:r>
      <w:r w:rsidRPr="006D3159">
        <w:rPr>
          <w:color w:val="191919"/>
          <w:sz w:val="16"/>
          <w:szCs w:val="16"/>
          <w:lang w:val="es-NI"/>
        </w:rPr>
        <w:t xml:space="preserve">Delitos </w:t>
      </w:r>
      <w:r w:rsidRPr="006D3159">
        <w:rPr>
          <w:color w:val="2B2B2B"/>
          <w:sz w:val="16"/>
          <w:szCs w:val="16"/>
          <w:lang w:val="es-NI"/>
        </w:rPr>
        <w:t xml:space="preserve">Contra </w:t>
      </w:r>
      <w:r w:rsidRPr="006D3159">
        <w:rPr>
          <w:color w:val="191919"/>
          <w:sz w:val="16"/>
          <w:szCs w:val="16"/>
          <w:lang w:val="es-NI"/>
        </w:rPr>
        <w:t xml:space="preserve">el </w:t>
      </w:r>
      <w:r w:rsidRPr="006D3159">
        <w:rPr>
          <w:color w:val="2B2B2B"/>
          <w:sz w:val="16"/>
          <w:szCs w:val="16"/>
          <w:lang w:val="es-NI"/>
        </w:rPr>
        <w:t xml:space="preserve">Ambiente de </w:t>
      </w:r>
      <w:r w:rsidRPr="006D3159">
        <w:rPr>
          <w:color w:val="191919"/>
          <w:sz w:val="16"/>
          <w:szCs w:val="16"/>
          <w:lang w:val="es-NI"/>
        </w:rPr>
        <w:t xml:space="preserve">Guatemala, </w:t>
      </w:r>
      <w:r w:rsidRPr="006D3159">
        <w:rPr>
          <w:color w:val="2B2B2B"/>
          <w:sz w:val="16"/>
          <w:szCs w:val="16"/>
          <w:lang w:val="es-NI"/>
        </w:rPr>
        <w:t xml:space="preserve">de 23 </w:t>
      </w:r>
      <w:r w:rsidRPr="006D3159">
        <w:rPr>
          <w:color w:val="191919"/>
          <w:sz w:val="16"/>
          <w:szCs w:val="16"/>
          <w:lang w:val="es-NI"/>
        </w:rPr>
        <w:t xml:space="preserve">de mayo de 1996. </w:t>
      </w:r>
      <w:r w:rsidRPr="006D3159">
        <w:rPr>
          <w:color w:val="2A2A2A"/>
          <w:sz w:val="16"/>
          <w:szCs w:val="16"/>
          <w:lang w:val="es-NI"/>
        </w:rPr>
        <w:t>(expediente de anexos al Informe de Fondo, anexo 3,</w:t>
      </w:r>
      <w:r w:rsidRPr="006D3159">
        <w:rPr>
          <w:color w:val="000000"/>
          <w:sz w:val="16"/>
          <w:szCs w:val="16"/>
          <w:lang w:val="es-NI"/>
        </w:rPr>
        <w:t xml:space="preserve"> </w:t>
      </w:r>
      <w:r w:rsidRPr="006D3159">
        <w:rPr>
          <w:color w:val="191919"/>
          <w:sz w:val="16"/>
          <w:szCs w:val="16"/>
          <w:lang w:val="es-NI"/>
        </w:rPr>
        <w:t xml:space="preserve">folios 93 a 112). </w:t>
      </w:r>
    </w:p>
  </w:footnote>
  <w:footnote w:id="146">
    <w:p w14:paraId="44D28B32"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 xml:space="preserve">Cfr. Caso Herrera Ulloa Vs. Costa Rica, </w:t>
      </w:r>
      <w:r w:rsidRPr="006D3159">
        <w:rPr>
          <w:i/>
          <w:sz w:val="16"/>
          <w:szCs w:val="16"/>
          <w:lang w:val="es-CR"/>
        </w:rPr>
        <w:t>Excepciones Preliminares, Fondo, Reparaciones y Costas</w:t>
      </w:r>
      <w:r w:rsidRPr="006D3159">
        <w:rPr>
          <w:sz w:val="16"/>
          <w:szCs w:val="16"/>
          <w:lang w:val="es-CR"/>
        </w:rPr>
        <w:t xml:space="preserve">. Sentencia de 2 de julio de 2004. Serie C No. 107, </w:t>
      </w:r>
      <w:r w:rsidRPr="006D3159">
        <w:rPr>
          <w:sz w:val="16"/>
          <w:szCs w:val="16"/>
        </w:rPr>
        <w:t xml:space="preserve">párr. 171, y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Costa Rica, supra, </w:t>
      </w:r>
      <w:r w:rsidRPr="006D3159">
        <w:rPr>
          <w:sz w:val="16"/>
          <w:szCs w:val="16"/>
        </w:rPr>
        <w:t>párr. 385.</w:t>
      </w:r>
    </w:p>
  </w:footnote>
  <w:footnote w:id="147">
    <w:p w14:paraId="5C32E743"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 xml:space="preserve">Cfr. Caso </w:t>
      </w:r>
      <w:proofErr w:type="spellStart"/>
      <w:r w:rsidRPr="006D3159">
        <w:rPr>
          <w:i/>
          <w:sz w:val="16"/>
          <w:szCs w:val="16"/>
        </w:rPr>
        <w:t>Palamara</w:t>
      </w:r>
      <w:proofErr w:type="spellEnd"/>
      <w:r w:rsidRPr="006D3159">
        <w:rPr>
          <w:i/>
          <w:sz w:val="16"/>
          <w:szCs w:val="16"/>
        </w:rPr>
        <w:t xml:space="preserve"> Iribarne Vs. Chile. Fondo, Reparaciones y Costas. </w:t>
      </w:r>
      <w:r w:rsidRPr="006D3159">
        <w:rPr>
          <w:sz w:val="16"/>
          <w:szCs w:val="16"/>
        </w:rPr>
        <w:t xml:space="preserve">Sentencia de 22 de noviembre de 2005. Serie C No. 135, párr. 146, y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Costa Rica, supra, </w:t>
      </w:r>
      <w:r w:rsidRPr="006D3159">
        <w:rPr>
          <w:sz w:val="16"/>
          <w:szCs w:val="16"/>
        </w:rPr>
        <w:t>párr. 385.</w:t>
      </w:r>
    </w:p>
  </w:footnote>
  <w:footnote w:id="148">
    <w:p w14:paraId="27DED6F9"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lang w:val="es-CR"/>
        </w:rPr>
        <w:t>Cfr</w:t>
      </w:r>
      <w:r w:rsidRPr="006D3159">
        <w:rPr>
          <w:sz w:val="16"/>
          <w:szCs w:val="16"/>
          <w:lang w:val="es-CR"/>
        </w:rPr>
        <w:t xml:space="preserve">. Principio 2 de los Principios Básicos de las Naciones Unidas relativos a la Independencia de la Judicatura, y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Costa Rica. Excepciones Preliminares, Fondo, Reparaciones y Costas</w:t>
      </w:r>
      <w:r w:rsidRPr="006D3159">
        <w:rPr>
          <w:sz w:val="16"/>
          <w:szCs w:val="16"/>
        </w:rPr>
        <w:t>. Sentencia de 25 de abril de 2018. Serie C No. 354, párr. 385.</w:t>
      </w:r>
    </w:p>
  </w:footnote>
  <w:footnote w:id="149">
    <w:p w14:paraId="2AE9DBEF"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 xml:space="preserve">Cfr. Caso </w:t>
      </w:r>
      <w:proofErr w:type="spellStart"/>
      <w:r w:rsidRPr="006D3159">
        <w:rPr>
          <w:i/>
          <w:sz w:val="16"/>
          <w:szCs w:val="16"/>
        </w:rPr>
        <w:t>Apitz</w:t>
      </w:r>
      <w:proofErr w:type="spellEnd"/>
      <w:r w:rsidRPr="006D3159">
        <w:rPr>
          <w:i/>
          <w:sz w:val="16"/>
          <w:szCs w:val="16"/>
        </w:rPr>
        <w:t xml:space="preserve"> Barbera y otros (“Corte Primera de lo Contencioso Administrativo”) Vs. Venezuela, </w:t>
      </w:r>
      <w:r w:rsidRPr="006D3159">
        <w:rPr>
          <w:i/>
          <w:sz w:val="16"/>
          <w:szCs w:val="16"/>
          <w:lang w:val="es-CR"/>
        </w:rPr>
        <w:t>Excepción Preliminar, Fondo, Reparaciones y Costas.</w:t>
      </w:r>
      <w:r w:rsidRPr="006D3159">
        <w:rPr>
          <w:sz w:val="16"/>
          <w:szCs w:val="16"/>
          <w:lang w:val="es-CR"/>
        </w:rPr>
        <w:t xml:space="preserve"> Sentencia de 5 de agosto de 2008. Serie C No. 182</w:t>
      </w:r>
      <w:r w:rsidRPr="006D3159">
        <w:rPr>
          <w:sz w:val="16"/>
          <w:szCs w:val="16"/>
        </w:rPr>
        <w:t xml:space="preserve">, párr. 56, y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Costa Rica, supra, </w:t>
      </w:r>
      <w:r w:rsidRPr="006D3159">
        <w:rPr>
          <w:sz w:val="16"/>
          <w:szCs w:val="16"/>
        </w:rPr>
        <w:t>párr. 385.</w:t>
      </w:r>
    </w:p>
  </w:footnote>
  <w:footnote w:id="150">
    <w:p w14:paraId="68A7329E"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 xml:space="preserve">Cfr. Caso </w:t>
      </w:r>
      <w:proofErr w:type="spellStart"/>
      <w:r w:rsidRPr="006D3159">
        <w:rPr>
          <w:i/>
          <w:sz w:val="16"/>
          <w:szCs w:val="16"/>
        </w:rPr>
        <w:t>Apitz</w:t>
      </w:r>
      <w:proofErr w:type="spellEnd"/>
      <w:r w:rsidRPr="006D3159">
        <w:rPr>
          <w:i/>
          <w:sz w:val="16"/>
          <w:szCs w:val="16"/>
        </w:rPr>
        <w:t xml:space="preserve"> Barbera y otros (“Corte Primera de lo Contencioso Administrativo”) Vs. Venezuela, supra</w:t>
      </w:r>
      <w:r w:rsidRPr="006D3159">
        <w:rPr>
          <w:sz w:val="16"/>
          <w:szCs w:val="16"/>
        </w:rPr>
        <w:t xml:space="preserve">, párr. 56, y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Costa Rica, supra, </w:t>
      </w:r>
      <w:r w:rsidRPr="006D3159">
        <w:rPr>
          <w:sz w:val="16"/>
          <w:szCs w:val="16"/>
        </w:rPr>
        <w:t>párr. 386.</w:t>
      </w:r>
    </w:p>
  </w:footnote>
  <w:footnote w:id="151">
    <w:p w14:paraId="714DCC95"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 xml:space="preserve">Cfr. Caso </w:t>
      </w:r>
      <w:proofErr w:type="spellStart"/>
      <w:r w:rsidRPr="006D3159">
        <w:rPr>
          <w:i/>
          <w:sz w:val="16"/>
          <w:szCs w:val="16"/>
        </w:rPr>
        <w:t>Atala</w:t>
      </w:r>
      <w:proofErr w:type="spellEnd"/>
      <w:r w:rsidRPr="006D3159">
        <w:rPr>
          <w:i/>
          <w:sz w:val="16"/>
          <w:szCs w:val="16"/>
        </w:rPr>
        <w:t xml:space="preserve"> Riffo y niñas Vs. Chile. Fondo, Reparaciones y Costas</w:t>
      </w:r>
      <w:r w:rsidRPr="006D3159">
        <w:rPr>
          <w:sz w:val="16"/>
          <w:szCs w:val="16"/>
        </w:rPr>
        <w:t xml:space="preserve">. Sentencia de 24 de febrero de 2012. Serie C No. 239, párr. 234, y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Costa Rica, supra, </w:t>
      </w:r>
      <w:r w:rsidRPr="006D3159">
        <w:rPr>
          <w:sz w:val="16"/>
          <w:szCs w:val="16"/>
        </w:rPr>
        <w:t>párr. 386.</w:t>
      </w:r>
    </w:p>
  </w:footnote>
  <w:footnote w:id="152">
    <w:p w14:paraId="50AE73A1"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 xml:space="preserve">Cfr. Caso </w:t>
      </w:r>
      <w:proofErr w:type="spellStart"/>
      <w:r w:rsidRPr="006D3159">
        <w:rPr>
          <w:i/>
          <w:sz w:val="16"/>
          <w:szCs w:val="16"/>
        </w:rPr>
        <w:t>Atala</w:t>
      </w:r>
      <w:proofErr w:type="spellEnd"/>
      <w:r w:rsidRPr="006D3159">
        <w:rPr>
          <w:i/>
          <w:sz w:val="16"/>
          <w:szCs w:val="16"/>
        </w:rPr>
        <w:t xml:space="preserve"> Riffo y niñas Vs. Chile, supra,</w:t>
      </w:r>
      <w:r w:rsidRPr="006D3159">
        <w:rPr>
          <w:sz w:val="16"/>
          <w:szCs w:val="16"/>
        </w:rPr>
        <w:t xml:space="preserve"> párr. 234, y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w:t>
      </w:r>
      <w:r w:rsidRPr="006D3159">
        <w:rPr>
          <w:i/>
          <w:sz w:val="16"/>
          <w:szCs w:val="16"/>
          <w:lang w:val="es-CR"/>
        </w:rPr>
        <w:t xml:space="preserve">Costa Rica, supra, </w:t>
      </w:r>
      <w:r w:rsidRPr="006D3159">
        <w:rPr>
          <w:sz w:val="16"/>
          <w:szCs w:val="16"/>
          <w:lang w:val="es-CR"/>
        </w:rPr>
        <w:t xml:space="preserve">párr. 386, citando: TEDH, </w:t>
      </w:r>
      <w:r w:rsidRPr="006D3159">
        <w:rPr>
          <w:i/>
          <w:sz w:val="16"/>
          <w:szCs w:val="16"/>
          <w:lang w:val="es-CR"/>
        </w:rPr>
        <w:t xml:space="preserve">Caso </w:t>
      </w:r>
      <w:proofErr w:type="spellStart"/>
      <w:r w:rsidRPr="006D3159">
        <w:rPr>
          <w:i/>
          <w:sz w:val="16"/>
          <w:szCs w:val="16"/>
          <w:lang w:val="es-CR"/>
        </w:rPr>
        <w:t>Kyprianou</w:t>
      </w:r>
      <w:proofErr w:type="spellEnd"/>
      <w:r w:rsidRPr="006D3159">
        <w:rPr>
          <w:i/>
          <w:sz w:val="16"/>
          <w:szCs w:val="16"/>
          <w:lang w:val="es-CR"/>
        </w:rPr>
        <w:t xml:space="preserve"> v. </w:t>
      </w:r>
      <w:proofErr w:type="spellStart"/>
      <w:r w:rsidRPr="006D3159">
        <w:rPr>
          <w:i/>
          <w:sz w:val="16"/>
          <w:szCs w:val="16"/>
          <w:lang w:val="es-CR"/>
        </w:rPr>
        <w:t>Cyprus</w:t>
      </w:r>
      <w:proofErr w:type="spellEnd"/>
      <w:r w:rsidRPr="006D3159">
        <w:rPr>
          <w:i/>
          <w:sz w:val="16"/>
          <w:szCs w:val="16"/>
          <w:lang w:val="es-CR"/>
        </w:rPr>
        <w:t>,</w:t>
      </w:r>
      <w:r w:rsidRPr="006D3159">
        <w:rPr>
          <w:sz w:val="16"/>
          <w:szCs w:val="16"/>
          <w:lang w:val="es-CR"/>
        </w:rPr>
        <w:t xml:space="preserve"> no. 73797/01, Sentencia de 15 de diciembre de 2005, párr. </w:t>
      </w:r>
      <w:r w:rsidRPr="006D3159">
        <w:rPr>
          <w:sz w:val="16"/>
          <w:szCs w:val="16"/>
          <w:lang w:val="en-US"/>
        </w:rPr>
        <w:t xml:space="preserve">119 (“As regards the type of proof required, the Court has, for example, sought to ascertain whether a judge has displayed hostility or ill will or has arranged to have a case assigned to himself for personal” reasons). </w:t>
      </w:r>
      <w:proofErr w:type="gramStart"/>
      <w:r w:rsidRPr="006D3159">
        <w:rPr>
          <w:sz w:val="16"/>
          <w:szCs w:val="16"/>
        </w:rPr>
        <w:t>Ver</w:t>
      </w:r>
      <w:proofErr w:type="gramEnd"/>
      <w:r w:rsidRPr="006D3159">
        <w:rPr>
          <w:sz w:val="16"/>
          <w:szCs w:val="16"/>
        </w:rPr>
        <w:t xml:space="preserve"> asimismo, TEDH, </w:t>
      </w:r>
      <w:r w:rsidRPr="006D3159">
        <w:rPr>
          <w:i/>
          <w:sz w:val="16"/>
          <w:szCs w:val="16"/>
        </w:rPr>
        <w:t xml:space="preserve">Case </w:t>
      </w:r>
      <w:proofErr w:type="spellStart"/>
      <w:r w:rsidRPr="006D3159">
        <w:rPr>
          <w:i/>
          <w:sz w:val="16"/>
          <w:szCs w:val="16"/>
        </w:rPr>
        <w:t>of</w:t>
      </w:r>
      <w:proofErr w:type="spellEnd"/>
      <w:r w:rsidRPr="006D3159">
        <w:rPr>
          <w:i/>
          <w:sz w:val="16"/>
          <w:szCs w:val="16"/>
        </w:rPr>
        <w:t xml:space="preserve"> </w:t>
      </w:r>
      <w:proofErr w:type="spellStart"/>
      <w:r w:rsidRPr="006D3159">
        <w:rPr>
          <w:i/>
          <w:sz w:val="16"/>
          <w:szCs w:val="16"/>
        </w:rPr>
        <w:t>Bellizzi</w:t>
      </w:r>
      <w:proofErr w:type="spellEnd"/>
      <w:r w:rsidRPr="006D3159">
        <w:rPr>
          <w:i/>
          <w:sz w:val="16"/>
          <w:szCs w:val="16"/>
        </w:rPr>
        <w:t xml:space="preserve"> v. Malta</w:t>
      </w:r>
      <w:r w:rsidRPr="006D3159">
        <w:rPr>
          <w:sz w:val="16"/>
          <w:szCs w:val="16"/>
        </w:rPr>
        <w:t xml:space="preserve">, no. 46575/09, Sentencia de 21 de junio de 2011, párr. 52 y final de 28 de noviembre de 2011, párr. 52, y </w:t>
      </w:r>
      <w:r w:rsidRPr="006D3159">
        <w:rPr>
          <w:i/>
          <w:sz w:val="16"/>
          <w:szCs w:val="16"/>
        </w:rPr>
        <w:t xml:space="preserve">Case </w:t>
      </w:r>
      <w:proofErr w:type="spellStart"/>
      <w:r w:rsidRPr="006D3159">
        <w:rPr>
          <w:i/>
          <w:sz w:val="16"/>
          <w:szCs w:val="16"/>
        </w:rPr>
        <w:t>of</w:t>
      </w:r>
      <w:proofErr w:type="spellEnd"/>
      <w:r w:rsidRPr="006D3159">
        <w:rPr>
          <w:i/>
          <w:sz w:val="16"/>
          <w:szCs w:val="16"/>
        </w:rPr>
        <w:t xml:space="preserve"> De </w:t>
      </w:r>
      <w:proofErr w:type="spellStart"/>
      <w:r w:rsidRPr="006D3159">
        <w:rPr>
          <w:i/>
          <w:sz w:val="16"/>
          <w:szCs w:val="16"/>
        </w:rPr>
        <w:t>Cubber</w:t>
      </w:r>
      <w:proofErr w:type="spellEnd"/>
      <w:r w:rsidRPr="006D3159">
        <w:rPr>
          <w:i/>
          <w:sz w:val="16"/>
          <w:szCs w:val="16"/>
        </w:rPr>
        <w:t xml:space="preserve"> v. </w:t>
      </w:r>
      <w:proofErr w:type="spellStart"/>
      <w:r w:rsidRPr="006D3159">
        <w:rPr>
          <w:i/>
          <w:sz w:val="16"/>
          <w:szCs w:val="16"/>
        </w:rPr>
        <w:t>Belgium</w:t>
      </w:r>
      <w:proofErr w:type="spellEnd"/>
      <w:r w:rsidRPr="006D3159">
        <w:rPr>
          <w:sz w:val="16"/>
          <w:szCs w:val="16"/>
        </w:rPr>
        <w:t xml:space="preserve">, No. 9186/80, Sentencia de 26 de octubre de 1996, párr. 25. Además, este Tribunal señaló que la imparcialidad subjetiva de un juez puede determinarse, según las circunstancias concretas del caso, con base en el comportamiento del juez durante el procedimiento, el contenido, los argumentos y el lenguaje utilizados en la decisión, o los motivos para llevar a cabo la investigación, que indiquen una falta de distancia profesional frente a la decisión. </w:t>
      </w:r>
      <w:r w:rsidRPr="006D3159">
        <w:rPr>
          <w:i/>
          <w:sz w:val="16"/>
          <w:szCs w:val="16"/>
        </w:rPr>
        <w:t xml:space="preserve">Cfr. </w:t>
      </w:r>
      <w:r w:rsidRPr="006D3159">
        <w:rPr>
          <w:sz w:val="16"/>
          <w:szCs w:val="16"/>
        </w:rPr>
        <w:t>TEDH</w:t>
      </w:r>
      <w:r w:rsidRPr="006D3159">
        <w:rPr>
          <w:i/>
          <w:sz w:val="16"/>
          <w:szCs w:val="16"/>
        </w:rPr>
        <w:t xml:space="preserve">, Case </w:t>
      </w:r>
      <w:proofErr w:type="spellStart"/>
      <w:r w:rsidRPr="006D3159">
        <w:rPr>
          <w:i/>
          <w:sz w:val="16"/>
          <w:szCs w:val="16"/>
        </w:rPr>
        <w:t>of</w:t>
      </w:r>
      <w:proofErr w:type="spellEnd"/>
      <w:r w:rsidRPr="006D3159">
        <w:rPr>
          <w:i/>
          <w:sz w:val="16"/>
          <w:szCs w:val="16"/>
        </w:rPr>
        <w:t xml:space="preserve"> </w:t>
      </w:r>
      <w:proofErr w:type="spellStart"/>
      <w:r w:rsidRPr="006D3159">
        <w:rPr>
          <w:i/>
          <w:sz w:val="16"/>
          <w:szCs w:val="16"/>
        </w:rPr>
        <w:t>Kyprianou</w:t>
      </w:r>
      <w:proofErr w:type="spellEnd"/>
      <w:r w:rsidRPr="006D3159">
        <w:rPr>
          <w:i/>
          <w:sz w:val="16"/>
          <w:szCs w:val="16"/>
        </w:rPr>
        <w:t xml:space="preserve"> v. </w:t>
      </w:r>
      <w:proofErr w:type="spellStart"/>
      <w:r w:rsidRPr="006D3159">
        <w:rPr>
          <w:i/>
          <w:sz w:val="16"/>
          <w:szCs w:val="16"/>
        </w:rPr>
        <w:t>Cyprus</w:t>
      </w:r>
      <w:proofErr w:type="spellEnd"/>
      <w:r w:rsidRPr="006D3159">
        <w:rPr>
          <w:i/>
          <w:sz w:val="16"/>
          <w:szCs w:val="16"/>
        </w:rPr>
        <w:t xml:space="preserve"> </w:t>
      </w:r>
      <w:r w:rsidRPr="006D3159">
        <w:rPr>
          <w:sz w:val="16"/>
          <w:szCs w:val="16"/>
        </w:rPr>
        <w:t xml:space="preserve">[GC], no. 73797/01, Sentencia de 15 de diciembre de 2005, </w:t>
      </w:r>
      <w:proofErr w:type="spellStart"/>
      <w:r w:rsidRPr="006D3159">
        <w:rPr>
          <w:sz w:val="16"/>
          <w:szCs w:val="16"/>
        </w:rPr>
        <w:t>párrs</w:t>
      </w:r>
      <w:proofErr w:type="spellEnd"/>
      <w:r w:rsidRPr="006D3159">
        <w:rPr>
          <w:sz w:val="16"/>
          <w:szCs w:val="16"/>
        </w:rPr>
        <w:t>. 130 a 133.</w:t>
      </w:r>
    </w:p>
  </w:footnote>
  <w:footnote w:id="153">
    <w:p w14:paraId="4F96B8EF"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lang w:val="es-CR"/>
        </w:rPr>
        <w:tab/>
      </w:r>
      <w:r w:rsidRPr="006D3159">
        <w:rPr>
          <w:i/>
          <w:sz w:val="16"/>
          <w:szCs w:val="16"/>
        </w:rPr>
        <w:t xml:space="preserve">Cfr. Caso </w:t>
      </w:r>
      <w:proofErr w:type="spellStart"/>
      <w:r w:rsidRPr="006D3159">
        <w:rPr>
          <w:i/>
          <w:sz w:val="16"/>
          <w:szCs w:val="16"/>
        </w:rPr>
        <w:t>Apitz</w:t>
      </w:r>
      <w:proofErr w:type="spellEnd"/>
      <w:r w:rsidRPr="006D3159">
        <w:rPr>
          <w:i/>
          <w:sz w:val="16"/>
          <w:szCs w:val="16"/>
        </w:rPr>
        <w:t xml:space="preserve"> Barbera y otros (“Corte Primera de lo Contencioso Administrativo”), supra</w:t>
      </w:r>
      <w:r w:rsidRPr="006D3159">
        <w:rPr>
          <w:sz w:val="16"/>
          <w:szCs w:val="16"/>
        </w:rPr>
        <w:t xml:space="preserve">, párr. 56, y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Costa Rica, supra, </w:t>
      </w:r>
      <w:r w:rsidRPr="006D3159">
        <w:rPr>
          <w:sz w:val="16"/>
          <w:szCs w:val="16"/>
        </w:rPr>
        <w:t>párr. 386.</w:t>
      </w:r>
    </w:p>
  </w:footnote>
  <w:footnote w:id="154">
    <w:p w14:paraId="644193AC"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 Caso Suárez Rosero Vs. Ecuador. Fondo.</w:t>
      </w:r>
      <w:r w:rsidRPr="006D3159">
        <w:rPr>
          <w:sz w:val="16"/>
          <w:szCs w:val="16"/>
        </w:rPr>
        <w:t xml:space="preserve"> Sentencia de 12 de noviembre de 1997, párr. 77, y </w:t>
      </w:r>
      <w:r w:rsidRPr="006D3159">
        <w:rPr>
          <w:i/>
          <w:sz w:val="16"/>
          <w:szCs w:val="16"/>
        </w:rPr>
        <w:t xml:space="preserve">Caso </w:t>
      </w:r>
      <w:proofErr w:type="spellStart"/>
      <w:r w:rsidRPr="006D3159">
        <w:rPr>
          <w:i/>
          <w:sz w:val="16"/>
          <w:szCs w:val="16"/>
        </w:rPr>
        <w:t>Amrhein</w:t>
      </w:r>
      <w:proofErr w:type="spellEnd"/>
      <w:r w:rsidRPr="006D3159">
        <w:rPr>
          <w:i/>
          <w:sz w:val="16"/>
          <w:szCs w:val="16"/>
        </w:rPr>
        <w:t xml:space="preserve"> y otros Vs. Costa Rica, supra, </w:t>
      </w:r>
      <w:r w:rsidRPr="006D3159">
        <w:rPr>
          <w:sz w:val="16"/>
          <w:szCs w:val="16"/>
        </w:rPr>
        <w:t>párr. 387.</w:t>
      </w:r>
    </w:p>
  </w:footnote>
  <w:footnote w:id="155">
    <w:p w14:paraId="42CB0813"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 Caso Cabrera García y Montiel Flores Vs. México</w:t>
      </w:r>
      <w:r w:rsidRPr="006D3159">
        <w:rPr>
          <w:sz w:val="16"/>
          <w:szCs w:val="16"/>
        </w:rPr>
        <w:t xml:space="preserve">. </w:t>
      </w:r>
      <w:r w:rsidRPr="006D3159">
        <w:rPr>
          <w:i/>
          <w:sz w:val="16"/>
          <w:szCs w:val="16"/>
        </w:rPr>
        <w:t>Excepción Preliminar, Fondo, Reparaciones y Costas</w:t>
      </w:r>
      <w:r w:rsidRPr="006D3159">
        <w:rPr>
          <w:sz w:val="16"/>
          <w:szCs w:val="16"/>
        </w:rPr>
        <w:t xml:space="preserve">. Sentencia de 26 de noviembre de 2010. Serie C No. 220, párr. 184, y </w:t>
      </w:r>
      <w:r w:rsidRPr="006D3159">
        <w:rPr>
          <w:i/>
          <w:sz w:val="16"/>
          <w:szCs w:val="16"/>
          <w:lang w:val="es-CR"/>
        </w:rPr>
        <w:t xml:space="preserve">Caso </w:t>
      </w:r>
      <w:proofErr w:type="spellStart"/>
      <w:r w:rsidRPr="006D3159">
        <w:rPr>
          <w:i/>
          <w:sz w:val="16"/>
          <w:szCs w:val="16"/>
          <w:lang w:val="es-CR"/>
        </w:rPr>
        <w:t>Amrhein</w:t>
      </w:r>
      <w:proofErr w:type="spellEnd"/>
      <w:r w:rsidRPr="006D3159">
        <w:rPr>
          <w:i/>
          <w:sz w:val="16"/>
          <w:szCs w:val="16"/>
          <w:lang w:val="es-CR"/>
        </w:rPr>
        <w:t xml:space="preserve"> y otros Vs. Costa Rica</w:t>
      </w:r>
      <w:r w:rsidRPr="006D3159">
        <w:rPr>
          <w:i/>
          <w:sz w:val="16"/>
          <w:szCs w:val="16"/>
        </w:rPr>
        <w:t xml:space="preserve">, supra, </w:t>
      </w:r>
      <w:r w:rsidRPr="006D3159">
        <w:rPr>
          <w:sz w:val="16"/>
          <w:szCs w:val="16"/>
          <w:lang w:val="es-CR"/>
        </w:rPr>
        <w:t>párr. 387.</w:t>
      </w:r>
    </w:p>
  </w:footnote>
  <w:footnote w:id="156">
    <w:p w14:paraId="02018B89" w14:textId="77777777" w:rsidR="009C6A90" w:rsidRPr="006D3159" w:rsidRDefault="009C6A90" w:rsidP="00436D25">
      <w:pPr>
        <w:pStyle w:val="Textonotapie"/>
        <w:rPr>
          <w:sz w:val="16"/>
          <w:szCs w:val="16"/>
          <w:lang w:val="es-CR"/>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 Caso Lori Berenson Mejía Vs. Perú. Fondo, Reparaciones y Costas</w:t>
      </w:r>
      <w:r w:rsidRPr="006D3159">
        <w:rPr>
          <w:sz w:val="16"/>
          <w:szCs w:val="16"/>
        </w:rPr>
        <w:t xml:space="preserve">. Sentencia de 25 de noviembre de 2004. Serie C No. 119, párr. 160, y </w:t>
      </w:r>
      <w:r w:rsidRPr="006D3159">
        <w:rPr>
          <w:i/>
          <w:sz w:val="16"/>
          <w:szCs w:val="16"/>
          <w:lang w:val="es-CR"/>
        </w:rPr>
        <w:t xml:space="preserve">Caso </w:t>
      </w:r>
      <w:proofErr w:type="spellStart"/>
      <w:r w:rsidRPr="006D3159">
        <w:rPr>
          <w:i/>
          <w:sz w:val="16"/>
          <w:szCs w:val="16"/>
          <w:lang w:val="es-CR"/>
        </w:rPr>
        <w:t>Amrhein</w:t>
      </w:r>
      <w:proofErr w:type="spellEnd"/>
      <w:r w:rsidRPr="006D3159">
        <w:rPr>
          <w:i/>
          <w:sz w:val="16"/>
          <w:szCs w:val="16"/>
          <w:lang w:val="es-CR"/>
        </w:rPr>
        <w:t xml:space="preserve"> y otros Vs. Costa Rica</w:t>
      </w:r>
      <w:r w:rsidRPr="006D3159">
        <w:rPr>
          <w:i/>
          <w:sz w:val="16"/>
          <w:szCs w:val="16"/>
        </w:rPr>
        <w:t xml:space="preserve">, supra, </w:t>
      </w:r>
      <w:r w:rsidRPr="006D3159">
        <w:rPr>
          <w:sz w:val="16"/>
          <w:szCs w:val="16"/>
          <w:lang w:val="es-CR"/>
        </w:rPr>
        <w:t>párr. 388.</w:t>
      </w:r>
    </w:p>
  </w:footnote>
  <w:footnote w:id="157">
    <w:p w14:paraId="1052B6F4"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Acta de debate ante el Tribunal Cuarto de Sentencia Penal Narcoactividad y Delitos contra el Ambiente, de 22 de abril de 1996 (expediente de prueba, folio 62).</w:t>
      </w:r>
    </w:p>
  </w:footnote>
  <w:footnote w:id="158">
    <w:p w14:paraId="50415A40"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color w:val="282828"/>
          <w:sz w:val="16"/>
          <w:szCs w:val="16"/>
        </w:rPr>
        <w:t>Ley del Organismo judicial</w:t>
      </w:r>
      <w:r w:rsidRPr="006D3159">
        <w:rPr>
          <w:sz w:val="16"/>
          <w:szCs w:val="16"/>
        </w:rPr>
        <w:t xml:space="preserve">, artículo 131: “Recusación en tribunales colegiados. Cuando se recuse a miembros de tribunales colegiados, el recusado hará constar inmediatamente en los autos si reconoce o niega la causal de la recusación. El tribunal integrado como corresponde, le dará el trámite de los incidentes. Contra lo </w:t>
      </w:r>
      <w:proofErr w:type="gramStart"/>
      <w:r w:rsidRPr="006D3159">
        <w:rPr>
          <w:sz w:val="16"/>
          <w:szCs w:val="16"/>
        </w:rPr>
        <w:t>resuelto</w:t>
      </w:r>
      <w:proofErr w:type="gramEnd"/>
      <w:r w:rsidRPr="006D3159">
        <w:rPr>
          <w:sz w:val="16"/>
          <w:szCs w:val="16"/>
        </w:rPr>
        <w:t xml:space="preserve"> así como en el caso previsto en el artículo 127 no cabe recurso alguno”. Disponible en: </w:t>
      </w:r>
      <w:hyperlink r:id="rId3" w:history="1">
        <w:r w:rsidRPr="006D3159">
          <w:rPr>
            <w:rStyle w:val="Hipervnculo"/>
            <w:rFonts w:eastAsia="MS Mincho"/>
            <w:sz w:val="16"/>
            <w:szCs w:val="16"/>
          </w:rPr>
          <w:t>https://www.wipo.int/edocs/lexdocs/laws/es/gt/gt004es.pdf</w:t>
        </w:r>
      </w:hyperlink>
      <w:r w:rsidRPr="006D3159">
        <w:rPr>
          <w:sz w:val="16"/>
          <w:szCs w:val="16"/>
        </w:rPr>
        <w:t>.</w:t>
      </w:r>
    </w:p>
  </w:footnote>
  <w:footnote w:id="159">
    <w:p w14:paraId="76302F26"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Acta de debate ante el Tribunal Cuarto de Sentencia Penal Narcoactividad y Delitos contra el Ambiente, de 22 de abril de 1996 (expediente de prueba, folio 62).</w:t>
      </w:r>
    </w:p>
  </w:footnote>
  <w:footnote w:id="160">
    <w:p w14:paraId="318DC635"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color w:val="282828"/>
          <w:sz w:val="16"/>
          <w:szCs w:val="16"/>
        </w:rPr>
        <w:t>Ley del Organismo judicial</w:t>
      </w:r>
      <w:r w:rsidRPr="006D3159">
        <w:rPr>
          <w:sz w:val="16"/>
          <w:szCs w:val="16"/>
        </w:rPr>
        <w:t xml:space="preserve">, artículo 129: “Trámite de la recusación. Si el juez estima que no es cierta la causal o que no ha lugar a la recusación, así lo hará constar en resolución motivada, y en el primer caso seguirá conociendo sin más trámite, pero en el de recusación remitirá las actuaciones al tribunal superior, el que la tramitará y resolverá como incidente”. Disponible en: </w:t>
      </w:r>
      <w:hyperlink r:id="rId4" w:history="1">
        <w:r w:rsidRPr="006D3159">
          <w:rPr>
            <w:rStyle w:val="Hipervnculo"/>
            <w:rFonts w:eastAsia="MS Mincho"/>
            <w:sz w:val="16"/>
            <w:szCs w:val="16"/>
          </w:rPr>
          <w:t>https://www.wipo.int/edocs/lexdocs/laws/es/gt/gt004es.pdf</w:t>
        </w:r>
      </w:hyperlink>
      <w:r w:rsidRPr="006D3159">
        <w:rPr>
          <w:sz w:val="16"/>
          <w:szCs w:val="16"/>
        </w:rPr>
        <w:t>.</w:t>
      </w:r>
    </w:p>
  </w:footnote>
  <w:footnote w:id="161">
    <w:p w14:paraId="26F9AD68"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t xml:space="preserve">Código Procesal Penal, Congreso de la República de Guatemala, Decreto No. 51-92. </w:t>
      </w:r>
    </w:p>
    <w:p w14:paraId="537E3391" w14:textId="77777777" w:rsidR="009C6A90" w:rsidRPr="006D3159" w:rsidRDefault="009C6A90" w:rsidP="00436D25">
      <w:pPr>
        <w:pStyle w:val="Textonotapie"/>
        <w:ind w:left="720" w:right="810"/>
        <w:rPr>
          <w:sz w:val="16"/>
          <w:szCs w:val="16"/>
          <w:lang w:val="es-CR"/>
        </w:rPr>
      </w:pPr>
      <w:r w:rsidRPr="006D3159">
        <w:rPr>
          <w:sz w:val="16"/>
          <w:szCs w:val="16"/>
          <w:lang w:val="es-CR"/>
        </w:rPr>
        <w:t xml:space="preserve">“Artículo 317. (Actos jurisdiccionales: Anticipo de prueba). Cuando sea necesario practicar un reconocimiento, reconstrucción, pericia o inspección que por su naturaleza y características deban ser considerados como actos definitivos que no puedan ser reproducidos, o cuando deba declarar un órgano de prueba que, por algún obstáculo difícil de superar, se presuma que no podrá hacerlo durante el debate, el Ministerio Público o cualquiera de las partes requerirá al juez que controla la investigación que lo realice. </w:t>
      </w:r>
    </w:p>
    <w:p w14:paraId="2B8D11C7" w14:textId="77777777" w:rsidR="009C6A90" w:rsidRPr="006D3159" w:rsidRDefault="009C6A90" w:rsidP="00436D25">
      <w:pPr>
        <w:pStyle w:val="Textonotapie"/>
        <w:ind w:left="720" w:right="810"/>
        <w:rPr>
          <w:sz w:val="16"/>
          <w:szCs w:val="16"/>
          <w:lang w:val="es-CR"/>
        </w:rPr>
      </w:pPr>
      <w:r w:rsidRPr="006D3159">
        <w:rPr>
          <w:sz w:val="16"/>
          <w:szCs w:val="16"/>
          <w:lang w:val="es-CR"/>
        </w:rPr>
        <w:t xml:space="preserve">El juez practicará el acto, si lo considera admisible formalmente, citando a todas las partes, los defensores o mandatarios, quienes tendrán derecho a asistir con las facultades previstas respecto de su intervención en el debate. El imputado que estuviere detenido será representado por su defensor, salvo que pidiere intervenir personalmente. </w:t>
      </w:r>
    </w:p>
    <w:p w14:paraId="5DEFB970" w14:textId="77777777" w:rsidR="009C6A90" w:rsidRPr="006D3159" w:rsidRDefault="009C6A90" w:rsidP="00436D25">
      <w:pPr>
        <w:pStyle w:val="Textonotapie"/>
        <w:ind w:left="720" w:right="810"/>
        <w:rPr>
          <w:sz w:val="16"/>
          <w:szCs w:val="16"/>
        </w:rPr>
      </w:pPr>
      <w:r w:rsidRPr="006D3159">
        <w:rPr>
          <w:sz w:val="16"/>
          <w:szCs w:val="16"/>
          <w:lang w:val="es-CR"/>
        </w:rPr>
        <w:t>Si, por la naturaleza del acto, la citación anticipada hiciere temer la pérdida de elementos de prueba, el juez practicará la citación de las partes a manera de evitar este peligro, procurando no afectar las facultades atribuidas a ellas”.</w:t>
      </w:r>
    </w:p>
  </w:footnote>
  <w:footnote w:id="162">
    <w:p w14:paraId="50A9D5BA"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t xml:space="preserve">Código Procesal Penal, Congreso de la República de Guatemala, Decreto No. 51-92. </w:t>
      </w:r>
    </w:p>
    <w:p w14:paraId="1E792AD2" w14:textId="77777777" w:rsidR="009C6A90" w:rsidRPr="006D3159" w:rsidRDefault="009C6A90" w:rsidP="00436D25">
      <w:pPr>
        <w:pStyle w:val="Textonotapie"/>
        <w:ind w:left="720" w:right="720"/>
        <w:rPr>
          <w:sz w:val="16"/>
          <w:szCs w:val="16"/>
        </w:rPr>
      </w:pPr>
      <w:r w:rsidRPr="006D3159">
        <w:rPr>
          <w:sz w:val="16"/>
          <w:szCs w:val="16"/>
        </w:rPr>
        <w:t>“Artículo 320. (Auto de procesamiento). Inmediatamente de dictado el auto de prisión o una medida sustitutiva, el juez que controla la investigación emitirá auto de procesamiento contra la persona a que se refiera. Sólo podrá dictarse auto de procesamiento después de que sea indagada la persona contra quien se emita. Podrá ser reformable de oficio o a instancia de parte solamente en el proceso preparatorio, antes de la acusación”.</w:t>
      </w:r>
    </w:p>
  </w:footnote>
  <w:footnote w:id="163">
    <w:p w14:paraId="296C837F" w14:textId="77777777" w:rsidR="009C6A90" w:rsidRPr="006D3159" w:rsidRDefault="009C6A90" w:rsidP="00436D25">
      <w:pPr>
        <w:pStyle w:val="Textonotapie"/>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t xml:space="preserve">Código Procesal Penal, Congreso de la República de Guatemala, Decreto No. 51-92. </w:t>
      </w:r>
    </w:p>
    <w:p w14:paraId="42FD645F" w14:textId="77777777" w:rsidR="009C6A90" w:rsidRPr="006D3159" w:rsidRDefault="009C6A90" w:rsidP="00436D25">
      <w:pPr>
        <w:pStyle w:val="Textonotapie"/>
        <w:ind w:firstLine="720"/>
        <w:rPr>
          <w:sz w:val="16"/>
          <w:szCs w:val="16"/>
        </w:rPr>
      </w:pPr>
      <w:r w:rsidRPr="006D3159">
        <w:rPr>
          <w:sz w:val="16"/>
          <w:szCs w:val="16"/>
        </w:rPr>
        <w:t>“Artículo 321. (Requisitos). El auto de procesamiento deberá contener: […]</w:t>
      </w:r>
    </w:p>
    <w:p w14:paraId="0E00640F" w14:textId="77777777" w:rsidR="009C6A90" w:rsidRPr="006D3159" w:rsidRDefault="009C6A90" w:rsidP="00436D25">
      <w:pPr>
        <w:pStyle w:val="Textonotapie"/>
        <w:ind w:firstLine="720"/>
        <w:rPr>
          <w:sz w:val="16"/>
          <w:szCs w:val="16"/>
        </w:rPr>
      </w:pPr>
      <w:r w:rsidRPr="006D3159">
        <w:rPr>
          <w:sz w:val="16"/>
          <w:szCs w:val="16"/>
        </w:rPr>
        <w:t>2) Una sucinta enunciación del hecho o hechos sobre los que se recibió la indagatoria.</w:t>
      </w:r>
    </w:p>
  </w:footnote>
  <w:footnote w:id="164">
    <w:p w14:paraId="400B5B3B"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Ruano Torres y otros Vs. El Salvador. Fondo, Reparaciones y Costas</w:t>
      </w:r>
      <w:r w:rsidRPr="006D3159">
        <w:rPr>
          <w:sz w:val="16"/>
          <w:szCs w:val="16"/>
        </w:rPr>
        <w:t>. Sentencia de 5 de octubre de 2015. Serie C No. 303, párr. 153.</w:t>
      </w:r>
    </w:p>
  </w:footnote>
  <w:footnote w:id="165">
    <w:p w14:paraId="0EB7C0BA"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Pollo Rivera y otros Vs. Perú. Fondo, Reparaciones y Costas</w:t>
      </w:r>
      <w:r w:rsidRPr="006D3159">
        <w:rPr>
          <w:sz w:val="16"/>
          <w:szCs w:val="16"/>
        </w:rPr>
        <w:t>. Sentencia de 21 de octubre de 2016. Serie C No. 319, párr. 319.</w:t>
      </w:r>
    </w:p>
  </w:footnote>
  <w:footnote w:id="166">
    <w:p w14:paraId="3A694E54"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Chaparro Álvarez y Lapo Íñiguez Vs. Ecuador. Excepciones Preliminares, Fondo, Reparaciones y Costas</w:t>
      </w:r>
      <w:r w:rsidRPr="006D3159">
        <w:rPr>
          <w:sz w:val="16"/>
          <w:szCs w:val="16"/>
        </w:rPr>
        <w:t xml:space="preserve">. Sentencia de 21 de noviembre de 2007, párr. 107. </w:t>
      </w:r>
    </w:p>
  </w:footnote>
  <w:footnote w:id="167">
    <w:p w14:paraId="74EEAD2D"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Escher y otros Vs. Brasil. Excepciones Preliminares, Fondo, Reparaciones y Costas</w:t>
      </w:r>
      <w:r w:rsidRPr="006D3159">
        <w:rPr>
          <w:sz w:val="16"/>
          <w:szCs w:val="16"/>
        </w:rPr>
        <w:t>. Sentencia de 6 de julio de 2009. Serie C No. 200, párr. 196.</w:t>
      </w:r>
    </w:p>
  </w:footnote>
  <w:footnote w:id="168">
    <w:p w14:paraId="03768E30"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 xml:space="preserve">Cfr. Caso Fermín Ramírez Vs. Guatemala, supra, </w:t>
      </w:r>
      <w:r w:rsidRPr="006D3159">
        <w:rPr>
          <w:sz w:val="16"/>
          <w:szCs w:val="16"/>
        </w:rPr>
        <w:t>párr. 85.</w:t>
      </w:r>
    </w:p>
  </w:footnote>
  <w:footnote w:id="169">
    <w:p w14:paraId="76397E35"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Zegarra Marín Vs. Perú. Excepciones Preliminares, Fondo, Reparaciones y Costas</w:t>
      </w:r>
      <w:r w:rsidRPr="006D3159">
        <w:rPr>
          <w:sz w:val="16"/>
          <w:szCs w:val="16"/>
        </w:rPr>
        <w:t xml:space="preserve">. Sentencia de 15 de febrero de 2017, párr. 147. </w:t>
      </w:r>
    </w:p>
  </w:footnote>
  <w:footnote w:id="170">
    <w:p w14:paraId="16ABAEFE" w14:textId="77777777" w:rsidR="009C6A90" w:rsidRPr="006D3159" w:rsidRDefault="009C6A90" w:rsidP="00207A2A">
      <w:pPr>
        <w:spacing w:line="240" w:lineRule="auto"/>
        <w:rPr>
          <w:sz w:val="16"/>
          <w:szCs w:val="16"/>
        </w:rPr>
      </w:pPr>
      <w:r w:rsidRPr="006D3159">
        <w:rPr>
          <w:rStyle w:val="Refdenotaalpie"/>
          <w:sz w:val="16"/>
          <w:szCs w:val="16"/>
        </w:rPr>
        <w:footnoteRef/>
      </w:r>
      <w:r w:rsidRPr="006D3159">
        <w:rPr>
          <w:i/>
          <w:iCs/>
          <w:sz w:val="16"/>
          <w:szCs w:val="16"/>
        </w:rPr>
        <w:t xml:space="preserve"> </w:t>
      </w:r>
      <w:r w:rsidRPr="006D3159">
        <w:rPr>
          <w:i/>
          <w:iCs/>
          <w:sz w:val="16"/>
          <w:szCs w:val="16"/>
        </w:rPr>
        <w:tab/>
        <w:t xml:space="preserve">Cfr. </w:t>
      </w:r>
      <w:r w:rsidRPr="006D3159">
        <w:rPr>
          <w:sz w:val="16"/>
          <w:szCs w:val="16"/>
        </w:rPr>
        <w:t>Sentencia emitida por el Tribunal Cuarto de Sentencia Penal Narcoactividad y Delitos contra el Ambiente de Guatemala, de 23 de mayo de 1996 (expediente de prueba, folio 102).</w:t>
      </w:r>
    </w:p>
  </w:footnote>
  <w:footnote w:id="171">
    <w:p w14:paraId="536503F0" w14:textId="77777777" w:rsidR="009C6A90" w:rsidRPr="006D3159" w:rsidRDefault="009C6A90" w:rsidP="00436D25">
      <w:pPr>
        <w:spacing w:line="240" w:lineRule="auto"/>
        <w:rPr>
          <w:sz w:val="16"/>
          <w:szCs w:val="16"/>
        </w:rPr>
      </w:pPr>
      <w:r w:rsidRPr="006D3159">
        <w:rPr>
          <w:rStyle w:val="Refdenotaalpie"/>
          <w:sz w:val="16"/>
          <w:szCs w:val="16"/>
        </w:rPr>
        <w:footnoteRef/>
      </w:r>
      <w:r w:rsidRPr="006D3159">
        <w:rPr>
          <w:i/>
          <w:iCs/>
          <w:sz w:val="16"/>
          <w:szCs w:val="16"/>
        </w:rPr>
        <w:t xml:space="preserve"> </w:t>
      </w:r>
      <w:r w:rsidRPr="006D3159">
        <w:rPr>
          <w:i/>
          <w:iCs/>
          <w:sz w:val="16"/>
          <w:szCs w:val="16"/>
        </w:rPr>
        <w:tab/>
        <w:t xml:space="preserve">Cfr. </w:t>
      </w:r>
      <w:r w:rsidRPr="006D3159">
        <w:rPr>
          <w:sz w:val="16"/>
          <w:szCs w:val="16"/>
        </w:rPr>
        <w:t>Sentencia emitida por el Tribunal Cuarto de Sentencia Penal Narcoactividad y Delitos contra el Ambiente de Guatemala, de 23 de mayo de 1996 (expediente de prueba, folio 102).</w:t>
      </w:r>
    </w:p>
  </w:footnote>
  <w:footnote w:id="172">
    <w:p w14:paraId="6554FAD5"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emitida por el Tribunal Cuarto de Sentencia Penal Narcoactividad y Delitos contra el Ambiente de Guatemala, de 23 de mayo de 1996 (expediente de prueba, folio 102).</w:t>
      </w:r>
    </w:p>
  </w:footnote>
  <w:footnote w:id="173">
    <w:p w14:paraId="0827A5C2" w14:textId="77777777" w:rsidR="009C6A90" w:rsidRPr="006D3159" w:rsidRDefault="009C6A90" w:rsidP="00436D25">
      <w:pPr>
        <w:spacing w:line="240" w:lineRule="auto"/>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rStyle w:val="Textoennegrita"/>
          <w:b w:val="0"/>
          <w:i/>
          <w:color w:val="000000"/>
          <w:sz w:val="16"/>
          <w:szCs w:val="16"/>
          <w:shd w:val="clear" w:color="auto" w:fill="FFFFFF"/>
        </w:rPr>
        <w:t>Caso Herrera Ulloa Vs. Costa Rica</w:t>
      </w:r>
      <w:r w:rsidRPr="006D3159">
        <w:rPr>
          <w:i/>
          <w:sz w:val="16"/>
          <w:szCs w:val="16"/>
        </w:rPr>
        <w:t xml:space="preserve">, supra, </w:t>
      </w:r>
      <w:r w:rsidRPr="006D3159">
        <w:rPr>
          <w:sz w:val="16"/>
          <w:szCs w:val="16"/>
        </w:rPr>
        <w:t xml:space="preserve">párr. 158, y </w:t>
      </w:r>
      <w:r w:rsidRPr="006D3159">
        <w:rPr>
          <w:rStyle w:val="Textoennegrita"/>
          <w:b w:val="0"/>
          <w:i/>
          <w:color w:val="000000"/>
          <w:sz w:val="16"/>
          <w:szCs w:val="16"/>
          <w:shd w:val="clear" w:color="auto" w:fill="FFFFFF"/>
        </w:rPr>
        <w:t xml:space="preserve">Caso </w:t>
      </w:r>
      <w:proofErr w:type="spellStart"/>
      <w:r w:rsidRPr="006D3159">
        <w:rPr>
          <w:rStyle w:val="Textoennegrita"/>
          <w:b w:val="0"/>
          <w:i/>
          <w:color w:val="000000"/>
          <w:sz w:val="16"/>
          <w:szCs w:val="16"/>
          <w:shd w:val="clear" w:color="auto" w:fill="FFFFFF"/>
        </w:rPr>
        <w:t>Amrhein</w:t>
      </w:r>
      <w:proofErr w:type="spellEnd"/>
      <w:r w:rsidRPr="006D3159">
        <w:rPr>
          <w:rStyle w:val="Textoennegrita"/>
          <w:b w:val="0"/>
          <w:i/>
          <w:color w:val="000000"/>
          <w:sz w:val="16"/>
          <w:szCs w:val="16"/>
          <w:shd w:val="clear" w:color="auto" w:fill="FFFFFF"/>
        </w:rPr>
        <w:t xml:space="preserve"> y otros Vs. Costa Rica</w:t>
      </w:r>
      <w:r w:rsidRPr="006D3159">
        <w:rPr>
          <w:i/>
          <w:sz w:val="16"/>
          <w:szCs w:val="16"/>
        </w:rPr>
        <w:t xml:space="preserve">, supra, </w:t>
      </w:r>
      <w:r w:rsidRPr="006D3159">
        <w:rPr>
          <w:rStyle w:val="Textoennegrita"/>
          <w:b w:val="0"/>
          <w:color w:val="000000"/>
          <w:sz w:val="16"/>
          <w:szCs w:val="16"/>
          <w:shd w:val="clear" w:color="auto" w:fill="FFFFFF"/>
        </w:rPr>
        <w:t>párr. 255.</w:t>
      </w:r>
    </w:p>
  </w:footnote>
  <w:footnote w:id="174">
    <w:p w14:paraId="740EB7EC" w14:textId="77777777" w:rsidR="009C6A90" w:rsidRPr="006D3159" w:rsidRDefault="009C6A90" w:rsidP="00436D25">
      <w:pPr>
        <w:spacing w:line="240" w:lineRule="auto"/>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 Caso Mohamed Vs. Argentina. Excepción Preliminar, Fondo, Reparaciones y Costas</w:t>
      </w:r>
      <w:r w:rsidRPr="006D3159">
        <w:rPr>
          <w:sz w:val="16"/>
          <w:szCs w:val="16"/>
        </w:rPr>
        <w:t xml:space="preserve">. Sentencia de 23 noviembre de 2012. Serie C No. 255, </w:t>
      </w:r>
      <w:proofErr w:type="spellStart"/>
      <w:r w:rsidRPr="006D3159">
        <w:rPr>
          <w:sz w:val="16"/>
          <w:szCs w:val="16"/>
        </w:rPr>
        <w:t>párrs</w:t>
      </w:r>
      <w:proofErr w:type="spellEnd"/>
      <w:r w:rsidRPr="006D3159">
        <w:rPr>
          <w:sz w:val="16"/>
          <w:szCs w:val="16"/>
        </w:rPr>
        <w:t xml:space="preserve">. 92 y 93 y </w:t>
      </w:r>
      <w:r w:rsidRPr="006D3159">
        <w:rPr>
          <w:rStyle w:val="Textoennegrita"/>
          <w:b w:val="0"/>
          <w:i/>
          <w:color w:val="000000"/>
          <w:sz w:val="16"/>
          <w:szCs w:val="16"/>
          <w:shd w:val="clear" w:color="auto" w:fill="FFFFFF"/>
        </w:rPr>
        <w:t xml:space="preserve">Caso </w:t>
      </w:r>
      <w:proofErr w:type="spellStart"/>
      <w:r w:rsidRPr="006D3159">
        <w:rPr>
          <w:rStyle w:val="Textoennegrita"/>
          <w:b w:val="0"/>
          <w:i/>
          <w:color w:val="000000"/>
          <w:sz w:val="16"/>
          <w:szCs w:val="16"/>
          <w:shd w:val="clear" w:color="auto" w:fill="FFFFFF"/>
        </w:rPr>
        <w:t>Amrhein</w:t>
      </w:r>
      <w:proofErr w:type="spellEnd"/>
      <w:r w:rsidRPr="006D3159">
        <w:rPr>
          <w:rStyle w:val="Textoennegrita"/>
          <w:b w:val="0"/>
          <w:i/>
          <w:color w:val="000000"/>
          <w:sz w:val="16"/>
          <w:szCs w:val="16"/>
          <w:shd w:val="clear" w:color="auto" w:fill="FFFFFF"/>
        </w:rPr>
        <w:t xml:space="preserve"> y otros Vs. Costa Rica</w:t>
      </w:r>
      <w:r w:rsidRPr="006D3159">
        <w:rPr>
          <w:i/>
          <w:sz w:val="16"/>
          <w:szCs w:val="16"/>
        </w:rPr>
        <w:t xml:space="preserve">, supra, </w:t>
      </w:r>
      <w:r w:rsidRPr="006D3159">
        <w:rPr>
          <w:rStyle w:val="Textoennegrita"/>
          <w:b w:val="0"/>
          <w:color w:val="000000"/>
          <w:sz w:val="16"/>
          <w:szCs w:val="16"/>
          <w:shd w:val="clear" w:color="auto" w:fill="FFFFFF"/>
        </w:rPr>
        <w:t>párr. 255.</w:t>
      </w:r>
    </w:p>
  </w:footnote>
  <w:footnote w:id="175">
    <w:p w14:paraId="73B2DEA1" w14:textId="77777777" w:rsidR="009C6A90" w:rsidRPr="006D3159" w:rsidRDefault="009C6A90" w:rsidP="00436D25">
      <w:pPr>
        <w:spacing w:line="240" w:lineRule="auto"/>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 Caso Baena Ricardo y otros Vs. Panamá. Fondo, Reparaciones y Costas.</w:t>
      </w:r>
      <w:r w:rsidRPr="006D3159">
        <w:rPr>
          <w:sz w:val="16"/>
          <w:szCs w:val="16"/>
        </w:rPr>
        <w:t xml:space="preserve"> Sentencia de 2 de febrero de 2001. Serie C No. 72, párr. 107, y </w:t>
      </w:r>
      <w:r w:rsidRPr="006D3159">
        <w:rPr>
          <w:rStyle w:val="Textoennegrita"/>
          <w:b w:val="0"/>
          <w:i/>
          <w:color w:val="000000"/>
          <w:sz w:val="16"/>
          <w:szCs w:val="16"/>
          <w:shd w:val="clear" w:color="auto" w:fill="FFFFFF"/>
        </w:rPr>
        <w:t xml:space="preserve">Caso </w:t>
      </w:r>
      <w:proofErr w:type="spellStart"/>
      <w:r w:rsidRPr="006D3159">
        <w:rPr>
          <w:rStyle w:val="Textoennegrita"/>
          <w:b w:val="0"/>
          <w:i/>
          <w:color w:val="000000"/>
          <w:sz w:val="16"/>
          <w:szCs w:val="16"/>
          <w:shd w:val="clear" w:color="auto" w:fill="FFFFFF"/>
        </w:rPr>
        <w:t>Amrhein</w:t>
      </w:r>
      <w:proofErr w:type="spellEnd"/>
      <w:r w:rsidRPr="006D3159">
        <w:rPr>
          <w:rStyle w:val="Textoennegrita"/>
          <w:b w:val="0"/>
          <w:i/>
          <w:color w:val="000000"/>
          <w:sz w:val="16"/>
          <w:szCs w:val="16"/>
          <w:shd w:val="clear" w:color="auto" w:fill="FFFFFF"/>
        </w:rPr>
        <w:t xml:space="preserve"> y otros Vs. Costa Rica</w:t>
      </w:r>
      <w:r w:rsidRPr="006D3159">
        <w:rPr>
          <w:i/>
          <w:sz w:val="16"/>
          <w:szCs w:val="16"/>
        </w:rPr>
        <w:t xml:space="preserve">, supra, </w:t>
      </w:r>
      <w:r w:rsidRPr="006D3159">
        <w:rPr>
          <w:rStyle w:val="Textoennegrita"/>
          <w:b w:val="0"/>
          <w:color w:val="000000"/>
          <w:sz w:val="16"/>
          <w:szCs w:val="16"/>
          <w:shd w:val="clear" w:color="auto" w:fill="FFFFFF"/>
        </w:rPr>
        <w:t>párr. 255.</w:t>
      </w:r>
    </w:p>
  </w:footnote>
  <w:footnote w:id="176">
    <w:p w14:paraId="3013B71B" w14:textId="77777777" w:rsidR="009C6A90" w:rsidRPr="006D3159" w:rsidRDefault="009C6A90" w:rsidP="00436D25">
      <w:pPr>
        <w:spacing w:line="240" w:lineRule="auto"/>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rStyle w:val="Textoennegrita"/>
          <w:b w:val="0"/>
          <w:i/>
          <w:color w:val="000000"/>
          <w:sz w:val="16"/>
          <w:szCs w:val="16"/>
          <w:shd w:val="clear" w:color="auto" w:fill="FFFFFF"/>
        </w:rPr>
        <w:t>Caso Zegarra Marín Vs. Perú</w:t>
      </w:r>
      <w:r w:rsidRPr="006D3159">
        <w:rPr>
          <w:i/>
          <w:sz w:val="16"/>
          <w:szCs w:val="16"/>
        </w:rPr>
        <w:t xml:space="preserve">, supra, </w:t>
      </w:r>
      <w:r w:rsidRPr="006D3159">
        <w:rPr>
          <w:sz w:val="16"/>
          <w:szCs w:val="16"/>
        </w:rPr>
        <w:t xml:space="preserve">párr. 171, y </w:t>
      </w:r>
      <w:r w:rsidRPr="006D3159">
        <w:rPr>
          <w:rStyle w:val="Textoennegrita"/>
          <w:b w:val="0"/>
          <w:i/>
          <w:color w:val="000000"/>
          <w:sz w:val="16"/>
          <w:szCs w:val="16"/>
          <w:shd w:val="clear" w:color="auto" w:fill="FFFFFF"/>
        </w:rPr>
        <w:t xml:space="preserve">Caso </w:t>
      </w:r>
      <w:proofErr w:type="spellStart"/>
      <w:r w:rsidRPr="006D3159">
        <w:rPr>
          <w:rStyle w:val="Textoennegrita"/>
          <w:b w:val="0"/>
          <w:i/>
          <w:color w:val="000000"/>
          <w:sz w:val="16"/>
          <w:szCs w:val="16"/>
          <w:shd w:val="clear" w:color="auto" w:fill="FFFFFF"/>
        </w:rPr>
        <w:t>Amrhein</w:t>
      </w:r>
      <w:proofErr w:type="spellEnd"/>
      <w:r w:rsidRPr="006D3159">
        <w:rPr>
          <w:rStyle w:val="Textoennegrita"/>
          <w:b w:val="0"/>
          <w:i/>
          <w:color w:val="000000"/>
          <w:sz w:val="16"/>
          <w:szCs w:val="16"/>
          <w:shd w:val="clear" w:color="auto" w:fill="FFFFFF"/>
        </w:rPr>
        <w:t xml:space="preserve"> y otros Vs. Costa Rica</w:t>
      </w:r>
      <w:r w:rsidRPr="006D3159">
        <w:rPr>
          <w:i/>
          <w:sz w:val="16"/>
          <w:szCs w:val="16"/>
        </w:rPr>
        <w:t xml:space="preserve">, supra, </w:t>
      </w:r>
      <w:r w:rsidRPr="006D3159">
        <w:rPr>
          <w:rStyle w:val="Textoennegrita"/>
          <w:b w:val="0"/>
          <w:color w:val="000000"/>
          <w:sz w:val="16"/>
          <w:szCs w:val="16"/>
          <w:shd w:val="clear" w:color="auto" w:fill="FFFFFF"/>
        </w:rPr>
        <w:t>párr. 256.</w:t>
      </w:r>
    </w:p>
  </w:footnote>
  <w:footnote w:id="177">
    <w:p w14:paraId="7F6460F2" w14:textId="77777777" w:rsidR="009C6A90" w:rsidRPr="006D3159" w:rsidRDefault="009C6A90" w:rsidP="00436D25">
      <w:pPr>
        <w:spacing w:line="240" w:lineRule="auto"/>
        <w:rPr>
          <w:sz w:val="16"/>
          <w:szCs w:val="16"/>
          <w:lang w:val="pt-PT"/>
        </w:rPr>
      </w:pPr>
      <w:r w:rsidRPr="006D3159">
        <w:rPr>
          <w:rStyle w:val="Refdenotaalpie"/>
          <w:rFonts w:eastAsia="MS Mincho"/>
          <w:spacing w:val="-4"/>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rStyle w:val="Textoennegrita"/>
          <w:b w:val="0"/>
          <w:i/>
          <w:color w:val="000000"/>
          <w:sz w:val="16"/>
          <w:szCs w:val="16"/>
          <w:shd w:val="clear" w:color="auto" w:fill="FFFFFF"/>
        </w:rPr>
        <w:t>Caso Herrera Ulloa Vs. Costa Rica</w:t>
      </w:r>
      <w:r w:rsidRPr="006D3159">
        <w:rPr>
          <w:i/>
          <w:sz w:val="16"/>
          <w:szCs w:val="16"/>
        </w:rPr>
        <w:t xml:space="preserve">, supra, </w:t>
      </w:r>
      <w:proofErr w:type="spellStart"/>
      <w:r w:rsidRPr="006D3159">
        <w:rPr>
          <w:sz w:val="16"/>
          <w:szCs w:val="16"/>
        </w:rPr>
        <w:t>párrs</w:t>
      </w:r>
      <w:proofErr w:type="spellEnd"/>
      <w:r w:rsidRPr="006D3159">
        <w:rPr>
          <w:sz w:val="16"/>
          <w:szCs w:val="16"/>
        </w:rPr>
        <w:t xml:space="preserve">. 161, 164 y 165, y </w:t>
      </w:r>
      <w:r w:rsidRPr="006D3159">
        <w:rPr>
          <w:i/>
          <w:sz w:val="16"/>
          <w:szCs w:val="16"/>
        </w:rPr>
        <w:t xml:space="preserve">Caso Zegarra Marín Vs. Perú, supra, </w:t>
      </w:r>
      <w:r w:rsidRPr="006D3159">
        <w:rPr>
          <w:sz w:val="16"/>
          <w:szCs w:val="16"/>
        </w:rPr>
        <w:t>párr. 172.</w:t>
      </w:r>
    </w:p>
  </w:footnote>
  <w:footnote w:id="178">
    <w:p w14:paraId="48E81176" w14:textId="77777777" w:rsidR="009C6A90" w:rsidRPr="006D3159" w:rsidRDefault="009C6A90" w:rsidP="00436D25">
      <w:pPr>
        <w:spacing w:line="240" w:lineRule="auto"/>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emitida por la Sala Décima de la Corte de Apelaciones, Penal Narcoactividad y Delitos contra el Ambiente de Guatemala, de 2 de septiembre de 1996 (expediente de prueba, folio 1988).</w:t>
      </w:r>
    </w:p>
  </w:footnote>
  <w:footnote w:id="179">
    <w:p w14:paraId="09F2A4ED" w14:textId="77777777" w:rsidR="009C6A90" w:rsidRPr="006D3159" w:rsidRDefault="009C6A90" w:rsidP="00436D25">
      <w:pPr>
        <w:spacing w:line="240" w:lineRule="auto"/>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emitida por la Sala Décima de la Corte de Apelaciones, Penal Narcoactividad y Delitos contra el Ambiente de Guatemala, de 2 de septiembre de 1996 (expediente de prueba, folio 1988).</w:t>
      </w:r>
    </w:p>
  </w:footnote>
  <w:footnote w:id="180">
    <w:p w14:paraId="3CADCF65" w14:textId="77777777" w:rsidR="009C6A90" w:rsidRPr="006D3159" w:rsidRDefault="009C6A90" w:rsidP="00436D25">
      <w:pPr>
        <w:spacing w:line="240" w:lineRule="auto"/>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emitida por la Sala Décima de la Corte de Apelaciones, Penal Narcoactividad y Delitos contra el Ambiente de Guatemala, de 2 de septiembre de 1996 (expediente de prueba, folios 2005 y 2006).</w:t>
      </w:r>
    </w:p>
  </w:footnote>
  <w:footnote w:id="181">
    <w:p w14:paraId="72FA317A" w14:textId="77777777" w:rsidR="009C6A90" w:rsidRPr="006D3159" w:rsidRDefault="009C6A90" w:rsidP="00436D25">
      <w:pPr>
        <w:spacing w:line="240" w:lineRule="auto"/>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iCs/>
          <w:sz w:val="16"/>
          <w:szCs w:val="16"/>
        </w:rPr>
        <w:t xml:space="preserve">Cfr. </w:t>
      </w:r>
      <w:r w:rsidRPr="006D3159">
        <w:rPr>
          <w:sz w:val="16"/>
          <w:szCs w:val="16"/>
        </w:rPr>
        <w:t>Sentencia emitida por la Sala Décima de la Corte de Apelaciones, Penal Narcoactividad y Delitos contra el Ambiente de Guatemala, de 2 de septiembre de 1996 (expediente de prueba, folio 2006).</w:t>
      </w:r>
    </w:p>
  </w:footnote>
  <w:footnote w:id="182">
    <w:p w14:paraId="034902B8" w14:textId="77777777" w:rsidR="009C6A90" w:rsidRPr="006D3159" w:rsidRDefault="009C6A90" w:rsidP="00436D25">
      <w:pPr>
        <w:spacing w:line="240" w:lineRule="auto"/>
        <w:rPr>
          <w:sz w:val="16"/>
          <w:szCs w:val="16"/>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rPr>
        <w:t xml:space="preserve">Cfr. Caso </w:t>
      </w:r>
      <w:proofErr w:type="spellStart"/>
      <w:r w:rsidRPr="006D3159">
        <w:rPr>
          <w:i/>
          <w:sz w:val="16"/>
          <w:szCs w:val="16"/>
        </w:rPr>
        <w:t>Anzualdo</w:t>
      </w:r>
      <w:proofErr w:type="spellEnd"/>
      <w:r w:rsidRPr="006D3159">
        <w:rPr>
          <w:i/>
          <w:sz w:val="16"/>
          <w:szCs w:val="16"/>
        </w:rPr>
        <w:t xml:space="preserve"> Castro Vs. Perú. Excepción Preliminar, Fondo, Reparaciones y Costas.</w:t>
      </w:r>
      <w:r w:rsidRPr="006D3159">
        <w:rPr>
          <w:sz w:val="16"/>
          <w:szCs w:val="16"/>
        </w:rPr>
        <w:t xml:space="preserve"> Sentencia de 22 de septiembre de 2009. Serie C No. 202, párr. 77, y Ca</w:t>
      </w:r>
      <w:r w:rsidRPr="006D3159">
        <w:rPr>
          <w:i/>
          <w:sz w:val="16"/>
          <w:szCs w:val="16"/>
        </w:rPr>
        <w:t>so Vélez Loor Vs. Panamá. Excepciones Preliminares, Fondo, Reparaciones y Costas.</w:t>
      </w:r>
      <w:r w:rsidRPr="006D3159">
        <w:rPr>
          <w:sz w:val="16"/>
          <w:szCs w:val="16"/>
        </w:rPr>
        <w:t xml:space="preserve"> Sentencia de 23 de noviembre de 2010. Serie C No. 218, párr. 123.</w:t>
      </w:r>
    </w:p>
  </w:footnote>
  <w:footnote w:id="183">
    <w:p w14:paraId="22FA07D0" w14:textId="77777777" w:rsidR="009C6A90" w:rsidRPr="006D3159" w:rsidRDefault="009C6A90" w:rsidP="00436D25">
      <w:pPr>
        <w:pStyle w:val="Textonotapie"/>
        <w:rPr>
          <w:sz w:val="16"/>
          <w:szCs w:val="16"/>
        </w:rPr>
      </w:pPr>
      <w:r w:rsidRPr="006D3159">
        <w:rPr>
          <w:rStyle w:val="Refdenotaalpie"/>
          <w:rFonts w:eastAsia="Calibri"/>
          <w:sz w:val="16"/>
          <w:szCs w:val="16"/>
        </w:rPr>
        <w:footnoteRef/>
      </w:r>
      <w:r w:rsidRPr="006D3159">
        <w:rPr>
          <w:sz w:val="16"/>
          <w:szCs w:val="16"/>
        </w:rPr>
        <w:t xml:space="preserve"> </w:t>
      </w:r>
      <w:r w:rsidRPr="006D3159">
        <w:rPr>
          <w:sz w:val="16"/>
          <w:szCs w:val="16"/>
        </w:rPr>
        <w:tab/>
        <w:t>El artículo 63.1 de la Convención dispone que “[c]</w:t>
      </w:r>
      <w:proofErr w:type="spellStart"/>
      <w:r w:rsidRPr="006D3159">
        <w:rPr>
          <w:sz w:val="16"/>
          <w:szCs w:val="16"/>
        </w:rPr>
        <w:t>uando</w:t>
      </w:r>
      <w:proofErr w:type="spellEnd"/>
      <w:r w:rsidRPr="006D3159">
        <w:rPr>
          <w:sz w:val="16"/>
          <w:szCs w:val="16"/>
        </w:rPr>
        <w:t xml:space="preserve"> decida que hubo violación de un derecho o libertad protegidos en [la] Convención, la Corte dispondrá que se garantice al lesionado en el goce de su derecho o libertad conculcados. </w:t>
      </w:r>
      <w:proofErr w:type="gramStart"/>
      <w:r w:rsidRPr="006D3159">
        <w:rPr>
          <w:sz w:val="16"/>
          <w:szCs w:val="16"/>
        </w:rPr>
        <w:t>Dispondrá</w:t>
      </w:r>
      <w:proofErr w:type="gramEnd"/>
      <w:r w:rsidRPr="006D3159">
        <w:rPr>
          <w:sz w:val="16"/>
          <w:szCs w:val="16"/>
        </w:rPr>
        <w:t xml:space="preserve"> asimismo, si ello fuera procedente, que se reparen las consecuencias de la medida o situación que ha configurado la vulneración de esos derechos y el pago de una justa indemnización a la parte lesionada”.</w:t>
      </w:r>
    </w:p>
  </w:footnote>
  <w:footnote w:id="184">
    <w:p w14:paraId="6D0A8E87" w14:textId="77777777" w:rsidR="009C6A90" w:rsidRPr="006D3159" w:rsidRDefault="009C6A90" w:rsidP="00436D25">
      <w:pPr>
        <w:spacing w:line="240" w:lineRule="auto"/>
        <w:rPr>
          <w:sz w:val="16"/>
          <w:szCs w:val="16"/>
          <w:lang w:eastAsia="es-PE"/>
        </w:rPr>
      </w:pPr>
      <w:r w:rsidRPr="006D3159">
        <w:rPr>
          <w:rStyle w:val="Refdenotaalpie"/>
          <w:rFonts w:eastAsia="Calibri"/>
          <w:sz w:val="16"/>
          <w:szCs w:val="16"/>
        </w:rPr>
        <w:footnoteRef/>
      </w:r>
      <w:r w:rsidRPr="006D3159">
        <w:rPr>
          <w:sz w:val="16"/>
          <w:szCs w:val="16"/>
        </w:rPr>
        <w:t xml:space="preserve"> </w:t>
      </w:r>
      <w:r w:rsidRPr="006D3159">
        <w:rPr>
          <w:sz w:val="16"/>
          <w:szCs w:val="16"/>
        </w:rPr>
        <w:tab/>
      </w:r>
      <w:r w:rsidRPr="006D3159">
        <w:rPr>
          <w:i/>
          <w:sz w:val="16"/>
          <w:szCs w:val="16"/>
          <w:lang w:eastAsia="es-PE"/>
        </w:rPr>
        <w:t>Cfr. Caso Velásquez Rodríguez Vs. Honduras. Reparaciones y Costas</w:t>
      </w:r>
      <w:r w:rsidRPr="006D3159">
        <w:rPr>
          <w:sz w:val="16"/>
          <w:szCs w:val="16"/>
          <w:lang w:eastAsia="es-PE"/>
        </w:rPr>
        <w:t xml:space="preserve">. Sentencia de 21 de julio de 1989. Serie C No. 7, párr. 25, y </w:t>
      </w:r>
      <w:r w:rsidRPr="006D3159">
        <w:rPr>
          <w:i/>
          <w:sz w:val="16"/>
          <w:szCs w:val="16"/>
          <w:lang w:eastAsia="es-PE"/>
        </w:rPr>
        <w:t xml:space="preserve">Caso </w:t>
      </w:r>
      <w:proofErr w:type="spellStart"/>
      <w:r w:rsidRPr="006D3159">
        <w:rPr>
          <w:i/>
          <w:sz w:val="16"/>
          <w:szCs w:val="16"/>
          <w:lang w:eastAsia="es-PE"/>
        </w:rPr>
        <w:t>Coc</w:t>
      </w:r>
      <w:proofErr w:type="spellEnd"/>
      <w:r w:rsidRPr="006D3159">
        <w:rPr>
          <w:i/>
          <w:sz w:val="16"/>
          <w:szCs w:val="16"/>
          <w:lang w:eastAsia="es-PE"/>
        </w:rPr>
        <w:t xml:space="preserve"> Max y otros (Masacre de </w:t>
      </w:r>
      <w:proofErr w:type="spellStart"/>
      <w:r w:rsidRPr="006D3159">
        <w:rPr>
          <w:i/>
          <w:sz w:val="16"/>
          <w:szCs w:val="16"/>
          <w:lang w:eastAsia="es-PE"/>
        </w:rPr>
        <w:t>Xamán</w:t>
      </w:r>
      <w:proofErr w:type="spellEnd"/>
      <w:r w:rsidRPr="006D3159">
        <w:rPr>
          <w:i/>
          <w:sz w:val="16"/>
          <w:szCs w:val="16"/>
          <w:lang w:eastAsia="es-PE"/>
        </w:rPr>
        <w:t>) Vs. Guatemala</w:t>
      </w:r>
      <w:r w:rsidRPr="006D3159">
        <w:rPr>
          <w:i/>
          <w:sz w:val="16"/>
          <w:szCs w:val="16"/>
        </w:rPr>
        <w:t>, supra</w:t>
      </w:r>
      <w:r w:rsidRPr="006D3159">
        <w:rPr>
          <w:sz w:val="16"/>
          <w:szCs w:val="16"/>
          <w:lang w:eastAsia="es-PE"/>
        </w:rPr>
        <w:t>, párr. 143.</w:t>
      </w:r>
    </w:p>
  </w:footnote>
  <w:footnote w:id="185">
    <w:p w14:paraId="490ACB53" w14:textId="77777777" w:rsidR="009C6A90" w:rsidRPr="006D3159" w:rsidRDefault="009C6A90" w:rsidP="00436D25">
      <w:pPr>
        <w:spacing w:line="240" w:lineRule="auto"/>
        <w:rPr>
          <w:sz w:val="16"/>
          <w:szCs w:val="16"/>
          <w:lang w:eastAsia="es-PE"/>
        </w:rPr>
      </w:pPr>
      <w:r w:rsidRPr="006D3159">
        <w:rPr>
          <w:rStyle w:val="Refdenotaalpie"/>
          <w:rFonts w:eastAsia="MS Mincho"/>
          <w:sz w:val="16"/>
          <w:szCs w:val="16"/>
        </w:rPr>
        <w:footnoteRef/>
      </w:r>
      <w:r w:rsidRPr="006D3159">
        <w:rPr>
          <w:sz w:val="16"/>
          <w:szCs w:val="16"/>
        </w:rPr>
        <w:t xml:space="preserve"> </w:t>
      </w:r>
      <w:r w:rsidRPr="006D3159">
        <w:rPr>
          <w:sz w:val="16"/>
          <w:szCs w:val="16"/>
        </w:rPr>
        <w:tab/>
      </w:r>
      <w:r w:rsidRPr="006D3159">
        <w:rPr>
          <w:i/>
          <w:sz w:val="16"/>
          <w:szCs w:val="16"/>
          <w:lang w:eastAsia="es-PE"/>
        </w:rPr>
        <w:t>Cfr. Caso Velásquez Rodríguez Vs. Honduras</w:t>
      </w:r>
      <w:r w:rsidRPr="006D3159">
        <w:rPr>
          <w:sz w:val="16"/>
          <w:szCs w:val="16"/>
          <w:lang w:eastAsia="es-PE"/>
        </w:rPr>
        <w:t xml:space="preserve">. Reparaciones y Costas, </w:t>
      </w:r>
      <w:r w:rsidRPr="006D3159">
        <w:rPr>
          <w:i/>
          <w:sz w:val="16"/>
          <w:szCs w:val="16"/>
          <w:lang w:eastAsia="es-PE"/>
        </w:rPr>
        <w:t>supra</w:t>
      </w:r>
      <w:r w:rsidRPr="006D3159">
        <w:rPr>
          <w:sz w:val="16"/>
          <w:szCs w:val="16"/>
          <w:lang w:eastAsia="es-PE"/>
        </w:rPr>
        <w:t xml:space="preserve">, </w:t>
      </w:r>
      <w:proofErr w:type="spellStart"/>
      <w:r w:rsidRPr="006D3159">
        <w:rPr>
          <w:sz w:val="16"/>
          <w:szCs w:val="16"/>
          <w:lang w:eastAsia="es-PE"/>
        </w:rPr>
        <w:t>párrs</w:t>
      </w:r>
      <w:proofErr w:type="spellEnd"/>
      <w:r w:rsidRPr="006D3159">
        <w:rPr>
          <w:sz w:val="16"/>
          <w:szCs w:val="16"/>
          <w:lang w:eastAsia="es-PE"/>
        </w:rPr>
        <w:t xml:space="preserve">. 25 y 26, y </w:t>
      </w:r>
      <w:r w:rsidRPr="006D3159">
        <w:rPr>
          <w:i/>
          <w:sz w:val="16"/>
          <w:szCs w:val="16"/>
          <w:lang w:eastAsia="es-PE"/>
        </w:rPr>
        <w:t xml:space="preserve">Caso </w:t>
      </w:r>
      <w:proofErr w:type="spellStart"/>
      <w:r w:rsidRPr="006D3159">
        <w:rPr>
          <w:i/>
          <w:sz w:val="16"/>
          <w:szCs w:val="16"/>
          <w:lang w:eastAsia="es-PE"/>
        </w:rPr>
        <w:t>Coc</w:t>
      </w:r>
      <w:proofErr w:type="spellEnd"/>
      <w:r w:rsidRPr="006D3159">
        <w:rPr>
          <w:i/>
          <w:sz w:val="16"/>
          <w:szCs w:val="16"/>
          <w:lang w:eastAsia="es-PE"/>
        </w:rPr>
        <w:t xml:space="preserve"> Max y otros (Masacre de </w:t>
      </w:r>
      <w:proofErr w:type="spellStart"/>
      <w:r w:rsidRPr="006D3159">
        <w:rPr>
          <w:i/>
          <w:sz w:val="16"/>
          <w:szCs w:val="16"/>
          <w:lang w:eastAsia="es-PE"/>
        </w:rPr>
        <w:t>Xamán</w:t>
      </w:r>
      <w:proofErr w:type="spellEnd"/>
      <w:r w:rsidRPr="006D3159">
        <w:rPr>
          <w:i/>
          <w:sz w:val="16"/>
          <w:szCs w:val="16"/>
          <w:lang w:eastAsia="es-PE"/>
        </w:rPr>
        <w:t xml:space="preserve">) Vs. Guatemala, supra, </w:t>
      </w:r>
      <w:r w:rsidRPr="006D3159">
        <w:rPr>
          <w:sz w:val="16"/>
          <w:szCs w:val="16"/>
          <w:lang w:eastAsia="es-PE"/>
        </w:rPr>
        <w:t>párr. 144.</w:t>
      </w:r>
    </w:p>
  </w:footnote>
  <w:footnote w:id="186">
    <w:p w14:paraId="3E2719C7" w14:textId="77777777" w:rsidR="009C6A90" w:rsidRPr="006D3159" w:rsidRDefault="009C6A90" w:rsidP="00436D25">
      <w:pPr>
        <w:spacing w:line="240" w:lineRule="auto"/>
        <w:rPr>
          <w:rFonts w:cs="Courier New"/>
          <w:bCs/>
          <w:sz w:val="16"/>
          <w:szCs w:val="16"/>
          <w:lang w:eastAsia="en-US"/>
        </w:rPr>
      </w:pPr>
      <w:r w:rsidRPr="006D3159">
        <w:rPr>
          <w:rStyle w:val="Refdenotaalpie"/>
          <w:rFonts w:eastAsia="Calibri"/>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bCs/>
          <w:i/>
          <w:sz w:val="16"/>
          <w:szCs w:val="16"/>
        </w:rPr>
        <w:t xml:space="preserve"> Caso Cantoral Benavides Vs. Perú. </w:t>
      </w:r>
      <w:r w:rsidRPr="006D3159">
        <w:rPr>
          <w:i/>
          <w:sz w:val="16"/>
          <w:szCs w:val="16"/>
        </w:rPr>
        <w:t>Reparaciones y Costas</w:t>
      </w:r>
      <w:r w:rsidRPr="006D3159">
        <w:rPr>
          <w:sz w:val="16"/>
          <w:szCs w:val="16"/>
        </w:rPr>
        <w:t xml:space="preserve">. Sentencia de 3 de diciembre de 2001. Serie C No. 88, </w:t>
      </w:r>
      <w:proofErr w:type="spellStart"/>
      <w:r w:rsidRPr="006D3159">
        <w:rPr>
          <w:sz w:val="16"/>
          <w:szCs w:val="16"/>
        </w:rPr>
        <w:t>párrs</w:t>
      </w:r>
      <w:proofErr w:type="spellEnd"/>
      <w:r w:rsidRPr="006D3159">
        <w:rPr>
          <w:sz w:val="16"/>
          <w:szCs w:val="16"/>
        </w:rPr>
        <w:t xml:space="preserve">. 79 a 81, y </w:t>
      </w:r>
      <w:r w:rsidRPr="006D3159">
        <w:rPr>
          <w:i/>
          <w:sz w:val="16"/>
          <w:szCs w:val="16"/>
        </w:rPr>
        <w:t>Caso Ramírez Escobar y otros Vs. Guatemala, supra</w:t>
      </w:r>
      <w:r w:rsidRPr="006D3159">
        <w:rPr>
          <w:sz w:val="16"/>
          <w:szCs w:val="16"/>
          <w:lang w:eastAsia="es-PE"/>
        </w:rPr>
        <w:t>, párr. 371.</w:t>
      </w:r>
    </w:p>
  </w:footnote>
  <w:footnote w:id="187">
    <w:p w14:paraId="7D14ACF9" w14:textId="77777777" w:rsidR="009C6A90" w:rsidRPr="006D3159" w:rsidRDefault="009C6A90" w:rsidP="00436D25">
      <w:pPr>
        <w:spacing w:line="240" w:lineRule="auto"/>
        <w:rPr>
          <w:rFonts w:cstheme="minorBidi"/>
          <w:bCs/>
          <w:sz w:val="16"/>
          <w:szCs w:val="16"/>
        </w:rPr>
      </w:pPr>
      <w:r w:rsidRPr="006D3159">
        <w:rPr>
          <w:rStyle w:val="Refdenotaalpie"/>
          <w:rFonts w:eastAsia="Calibri"/>
          <w:sz w:val="16"/>
          <w:szCs w:val="16"/>
        </w:rPr>
        <w:footnoteRef/>
      </w:r>
      <w:r w:rsidRPr="006D3159">
        <w:rPr>
          <w:sz w:val="16"/>
          <w:szCs w:val="16"/>
        </w:rPr>
        <w:t xml:space="preserve"> </w:t>
      </w:r>
      <w:r w:rsidRPr="006D3159">
        <w:rPr>
          <w:sz w:val="16"/>
          <w:szCs w:val="16"/>
        </w:rPr>
        <w:tab/>
      </w:r>
      <w:r w:rsidRPr="006D3159">
        <w:rPr>
          <w:i/>
          <w:sz w:val="16"/>
          <w:szCs w:val="16"/>
        </w:rPr>
        <w:t>Cfr. Caso Ticona Estrada Vs. Bolivia. Fondo, Reparaciones y Costas</w:t>
      </w:r>
      <w:r w:rsidRPr="006D3159">
        <w:rPr>
          <w:sz w:val="16"/>
          <w:szCs w:val="16"/>
        </w:rPr>
        <w:t xml:space="preserve">. Sentencia de 27 de noviembre de 2008. Serie C No. 191, párr. 110, y </w:t>
      </w:r>
      <w:r w:rsidRPr="006D3159">
        <w:rPr>
          <w:i/>
          <w:sz w:val="16"/>
          <w:szCs w:val="16"/>
          <w:lang w:eastAsia="es-PE"/>
        </w:rPr>
        <w:t xml:space="preserve">Caso </w:t>
      </w:r>
      <w:proofErr w:type="spellStart"/>
      <w:r w:rsidRPr="006D3159">
        <w:rPr>
          <w:i/>
          <w:sz w:val="16"/>
          <w:szCs w:val="16"/>
          <w:lang w:eastAsia="es-PE"/>
        </w:rPr>
        <w:t>Coc</w:t>
      </w:r>
      <w:proofErr w:type="spellEnd"/>
      <w:r w:rsidRPr="006D3159">
        <w:rPr>
          <w:i/>
          <w:sz w:val="16"/>
          <w:szCs w:val="16"/>
          <w:lang w:eastAsia="es-PE"/>
        </w:rPr>
        <w:t xml:space="preserve"> Max y otros (Masacre de </w:t>
      </w:r>
      <w:proofErr w:type="spellStart"/>
      <w:r w:rsidRPr="006D3159">
        <w:rPr>
          <w:i/>
          <w:sz w:val="16"/>
          <w:szCs w:val="16"/>
          <w:lang w:eastAsia="es-PE"/>
        </w:rPr>
        <w:t>Xamán</w:t>
      </w:r>
      <w:proofErr w:type="spellEnd"/>
      <w:r w:rsidRPr="006D3159">
        <w:rPr>
          <w:i/>
          <w:sz w:val="16"/>
          <w:szCs w:val="16"/>
          <w:lang w:eastAsia="es-PE"/>
        </w:rPr>
        <w:t>) Vs. Guatemala, supra</w:t>
      </w:r>
      <w:r w:rsidRPr="006D3159">
        <w:rPr>
          <w:sz w:val="16"/>
          <w:szCs w:val="16"/>
          <w:lang w:eastAsia="es-PE"/>
        </w:rPr>
        <w:t>, párr. 144.</w:t>
      </w:r>
    </w:p>
  </w:footnote>
  <w:footnote w:id="188">
    <w:p w14:paraId="1D3CC9D1" w14:textId="77777777" w:rsidR="009C6A90" w:rsidRPr="006D3159" w:rsidRDefault="009C6A90" w:rsidP="00436D25">
      <w:pPr>
        <w:pStyle w:val="Textonotapie"/>
        <w:rPr>
          <w:sz w:val="16"/>
          <w:szCs w:val="16"/>
          <w:lang w:eastAsia="es-PE"/>
        </w:rPr>
      </w:pPr>
      <w:r w:rsidRPr="006D3159">
        <w:rPr>
          <w:rStyle w:val="Refdenotaalpie"/>
          <w:rFonts w:eastAsia="Calibri"/>
          <w:sz w:val="16"/>
          <w:szCs w:val="16"/>
        </w:rPr>
        <w:footnoteRef/>
      </w:r>
      <w:r w:rsidRPr="006D3159">
        <w:rPr>
          <w:rFonts w:cs="Verdana"/>
          <w:bCs/>
          <w:sz w:val="16"/>
          <w:szCs w:val="16"/>
        </w:rPr>
        <w:tab/>
      </w:r>
      <w:r w:rsidRPr="006D3159">
        <w:rPr>
          <w:i/>
          <w:sz w:val="16"/>
          <w:szCs w:val="16"/>
        </w:rPr>
        <w:t>Cfr.</w:t>
      </w:r>
      <w:r w:rsidRPr="006D3159">
        <w:rPr>
          <w:bCs/>
          <w:i/>
          <w:sz w:val="16"/>
          <w:szCs w:val="16"/>
        </w:rPr>
        <w:t xml:space="preserve"> Caso Velásquez Rodríguez Vs. Honduras. </w:t>
      </w:r>
      <w:r w:rsidRPr="006D3159">
        <w:rPr>
          <w:i/>
          <w:sz w:val="16"/>
          <w:szCs w:val="16"/>
        </w:rPr>
        <w:t>Reparaciones y Costas, supra</w:t>
      </w:r>
      <w:r w:rsidRPr="006D3159">
        <w:rPr>
          <w:sz w:val="16"/>
          <w:szCs w:val="16"/>
        </w:rPr>
        <w:t xml:space="preserve">, </w:t>
      </w:r>
      <w:proofErr w:type="spellStart"/>
      <w:r w:rsidRPr="006D3159">
        <w:rPr>
          <w:sz w:val="16"/>
          <w:szCs w:val="16"/>
        </w:rPr>
        <w:t>párrs</w:t>
      </w:r>
      <w:proofErr w:type="spellEnd"/>
      <w:r w:rsidRPr="006D3159">
        <w:rPr>
          <w:sz w:val="16"/>
          <w:szCs w:val="16"/>
        </w:rPr>
        <w:t xml:space="preserve">. 25 a 27, y </w:t>
      </w:r>
      <w:r w:rsidRPr="006D3159">
        <w:rPr>
          <w:i/>
          <w:sz w:val="16"/>
          <w:szCs w:val="16"/>
          <w:lang w:eastAsia="es-PE"/>
        </w:rPr>
        <w:t xml:space="preserve">Caso </w:t>
      </w:r>
      <w:proofErr w:type="spellStart"/>
      <w:r w:rsidRPr="006D3159">
        <w:rPr>
          <w:i/>
          <w:sz w:val="16"/>
          <w:szCs w:val="16"/>
          <w:lang w:eastAsia="es-PE"/>
        </w:rPr>
        <w:t>Coc</w:t>
      </w:r>
      <w:proofErr w:type="spellEnd"/>
      <w:r w:rsidRPr="006D3159">
        <w:rPr>
          <w:i/>
          <w:sz w:val="16"/>
          <w:szCs w:val="16"/>
          <w:lang w:eastAsia="es-PE"/>
        </w:rPr>
        <w:t xml:space="preserve"> Max y otros (Masacre de </w:t>
      </w:r>
      <w:proofErr w:type="spellStart"/>
      <w:r w:rsidRPr="006D3159">
        <w:rPr>
          <w:i/>
          <w:sz w:val="16"/>
          <w:szCs w:val="16"/>
          <w:lang w:eastAsia="es-PE"/>
        </w:rPr>
        <w:t>Xamán</w:t>
      </w:r>
      <w:proofErr w:type="spellEnd"/>
      <w:r w:rsidRPr="006D3159">
        <w:rPr>
          <w:i/>
          <w:sz w:val="16"/>
          <w:szCs w:val="16"/>
          <w:lang w:eastAsia="es-PE"/>
        </w:rPr>
        <w:t>) Vs. Guatemala, supra,</w:t>
      </w:r>
      <w:r w:rsidRPr="006D3159">
        <w:rPr>
          <w:sz w:val="16"/>
          <w:szCs w:val="16"/>
          <w:lang w:eastAsia="es-PE"/>
        </w:rPr>
        <w:t xml:space="preserve"> párr. 145.</w:t>
      </w:r>
    </w:p>
  </w:footnote>
  <w:footnote w:id="189">
    <w:p w14:paraId="4017060E" w14:textId="77777777" w:rsidR="009C6A90" w:rsidRPr="006D3159" w:rsidRDefault="009C6A90" w:rsidP="00436D25">
      <w:pPr>
        <w:pStyle w:val="Textonotapie"/>
        <w:rPr>
          <w:rFonts w:cstheme="minorBidi"/>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 Caso Cantoral Benavides Vs. Perú. Reparaciones y Costas</w:t>
      </w:r>
      <w:r w:rsidRPr="006D3159">
        <w:rPr>
          <w:sz w:val="16"/>
          <w:szCs w:val="16"/>
        </w:rPr>
        <w:t xml:space="preserve">. Sentencia de 3 de diciembre de 2001. Serie C No. 88, párr. 79, y </w:t>
      </w:r>
      <w:r w:rsidRPr="006D3159">
        <w:rPr>
          <w:i/>
          <w:sz w:val="16"/>
          <w:szCs w:val="16"/>
        </w:rPr>
        <w:t xml:space="preserve">Caso Martínez Coronado Vs. Guatemala, supra, </w:t>
      </w:r>
      <w:r w:rsidRPr="006D3159">
        <w:rPr>
          <w:sz w:val="16"/>
          <w:szCs w:val="16"/>
        </w:rPr>
        <w:t>párr. 98.</w:t>
      </w:r>
    </w:p>
  </w:footnote>
  <w:footnote w:id="190">
    <w:p w14:paraId="4E502A97"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i/>
          <w:sz w:val="16"/>
          <w:szCs w:val="16"/>
        </w:rPr>
        <w:t xml:space="preserve">Caso Fermín Ramírez Vs. Guatemala, supra, </w:t>
      </w:r>
      <w:r w:rsidRPr="006D3159">
        <w:rPr>
          <w:sz w:val="16"/>
          <w:szCs w:val="16"/>
        </w:rPr>
        <w:t>resolutivo no. 12.</w:t>
      </w:r>
    </w:p>
  </w:footnote>
  <w:footnote w:id="191">
    <w:p w14:paraId="747EC515" w14:textId="77777777" w:rsidR="009C6A90" w:rsidRPr="006D3159" w:rsidRDefault="009C6A90" w:rsidP="00436D25">
      <w:pPr>
        <w:pStyle w:val="Textonotapie"/>
        <w:rPr>
          <w:sz w:val="16"/>
          <w:szCs w:val="16"/>
        </w:rPr>
      </w:pPr>
      <w:r w:rsidRPr="006D3159">
        <w:rPr>
          <w:rStyle w:val="Refdenotaalpie"/>
          <w:sz w:val="16"/>
          <w:szCs w:val="16"/>
        </w:rPr>
        <w:footnoteRef/>
      </w:r>
      <w:r w:rsidRPr="006D3159">
        <w:rPr>
          <w:sz w:val="16"/>
          <w:szCs w:val="16"/>
        </w:rPr>
        <w:t xml:space="preserve"> </w:t>
      </w:r>
      <w:r w:rsidRPr="006D3159">
        <w:rPr>
          <w:sz w:val="16"/>
          <w:szCs w:val="16"/>
        </w:rPr>
        <w:tab/>
      </w:r>
      <w:r w:rsidRPr="006D3159">
        <w:rPr>
          <w:i/>
          <w:sz w:val="16"/>
          <w:szCs w:val="16"/>
        </w:rPr>
        <w:t>Cfr</w:t>
      </w:r>
      <w:r w:rsidRPr="006D3159">
        <w:rPr>
          <w:sz w:val="16"/>
          <w:szCs w:val="16"/>
        </w:rPr>
        <w:t xml:space="preserve">. </w:t>
      </w:r>
      <w:r w:rsidRPr="006D3159">
        <w:rPr>
          <w:i/>
          <w:sz w:val="16"/>
          <w:szCs w:val="16"/>
        </w:rPr>
        <w:t>Caso Bámaca Velásquez Vs. Guatemala. Reparaciones y Costas</w:t>
      </w:r>
      <w:r w:rsidRPr="006D3159">
        <w:rPr>
          <w:sz w:val="16"/>
          <w:szCs w:val="16"/>
        </w:rPr>
        <w:t xml:space="preserve">. Sentencia de 22 de febrero de 2002. Serie C No. 91, párr. 43, y </w:t>
      </w:r>
      <w:r w:rsidRPr="006D3159">
        <w:rPr>
          <w:rStyle w:val="Textoennegrita"/>
          <w:b w:val="0"/>
          <w:i/>
          <w:sz w:val="16"/>
          <w:szCs w:val="16"/>
        </w:rPr>
        <w:t>Caso Villamizar Durán y otros Vs. Colombia. Excepción Preliminar, Fondo, Reparaciones y Costas</w:t>
      </w:r>
      <w:r w:rsidRPr="006D3159">
        <w:rPr>
          <w:rStyle w:val="Textoennegrita"/>
          <w:b w:val="0"/>
          <w:sz w:val="16"/>
          <w:szCs w:val="16"/>
        </w:rPr>
        <w:t>. Sentencia de 20 de noviembre de 2018. Serie C No. 364</w:t>
      </w:r>
      <w:r w:rsidRPr="006D3159">
        <w:rPr>
          <w:b/>
          <w:sz w:val="16"/>
          <w:szCs w:val="16"/>
        </w:rPr>
        <w:t>,</w:t>
      </w:r>
      <w:r w:rsidRPr="006D3159">
        <w:rPr>
          <w:sz w:val="16"/>
          <w:szCs w:val="16"/>
        </w:rPr>
        <w:t xml:space="preserve"> párr. 223.</w:t>
      </w:r>
    </w:p>
  </w:footnote>
  <w:footnote w:id="192">
    <w:p w14:paraId="3E5BBBDA" w14:textId="77777777" w:rsidR="009C6A90" w:rsidRPr="006D3159" w:rsidRDefault="009C6A90" w:rsidP="00436D25">
      <w:pPr>
        <w:pStyle w:val="Textonotapie"/>
        <w:rPr>
          <w:sz w:val="16"/>
          <w:szCs w:val="16"/>
        </w:rPr>
      </w:pPr>
      <w:r w:rsidRPr="006D3159">
        <w:rPr>
          <w:rStyle w:val="Refdenotaalpie"/>
          <w:rFonts w:eastAsia="Calibri"/>
          <w:sz w:val="16"/>
          <w:szCs w:val="16"/>
        </w:rPr>
        <w:footnoteRef/>
      </w:r>
      <w:r w:rsidRPr="006D3159">
        <w:rPr>
          <w:sz w:val="16"/>
          <w:szCs w:val="16"/>
        </w:rPr>
        <w:t xml:space="preserve"> </w:t>
      </w:r>
      <w:r w:rsidRPr="006D3159">
        <w:rPr>
          <w:sz w:val="16"/>
          <w:szCs w:val="16"/>
        </w:rPr>
        <w:tab/>
      </w:r>
      <w:r w:rsidRPr="006D3159">
        <w:rPr>
          <w:i/>
          <w:sz w:val="16"/>
          <w:szCs w:val="16"/>
        </w:rPr>
        <w:t>Cfr. Caso de los “Niños de la Calle” (Villagrán Morales y otros) Vs. Guatemala. Reparaciones y Costas</w:t>
      </w:r>
      <w:r w:rsidRPr="006D3159">
        <w:rPr>
          <w:sz w:val="16"/>
          <w:szCs w:val="16"/>
        </w:rPr>
        <w:t xml:space="preserve">, </w:t>
      </w:r>
      <w:r w:rsidRPr="006D3159">
        <w:rPr>
          <w:i/>
          <w:sz w:val="16"/>
          <w:szCs w:val="16"/>
        </w:rPr>
        <w:t>supra</w:t>
      </w:r>
      <w:r w:rsidRPr="006D3159">
        <w:rPr>
          <w:sz w:val="16"/>
          <w:szCs w:val="16"/>
        </w:rPr>
        <w:t xml:space="preserve">, párr. 84, y </w:t>
      </w:r>
      <w:r w:rsidRPr="006D3159">
        <w:rPr>
          <w:bCs/>
          <w:i/>
          <w:sz w:val="16"/>
          <w:szCs w:val="16"/>
        </w:rPr>
        <w:t xml:space="preserve">Caso </w:t>
      </w:r>
      <w:proofErr w:type="spellStart"/>
      <w:r w:rsidRPr="006D3159">
        <w:rPr>
          <w:bCs/>
          <w:i/>
          <w:sz w:val="16"/>
          <w:szCs w:val="16"/>
        </w:rPr>
        <w:t>Coc</w:t>
      </w:r>
      <w:proofErr w:type="spellEnd"/>
      <w:r w:rsidRPr="006D3159">
        <w:rPr>
          <w:bCs/>
          <w:i/>
          <w:sz w:val="16"/>
          <w:szCs w:val="16"/>
        </w:rPr>
        <w:t xml:space="preserve"> Max y otros (Masacre de </w:t>
      </w:r>
      <w:proofErr w:type="spellStart"/>
      <w:r w:rsidRPr="006D3159">
        <w:rPr>
          <w:bCs/>
          <w:i/>
          <w:sz w:val="16"/>
          <w:szCs w:val="16"/>
        </w:rPr>
        <w:t>Xamán</w:t>
      </w:r>
      <w:proofErr w:type="spellEnd"/>
      <w:r w:rsidRPr="006D3159">
        <w:rPr>
          <w:bCs/>
          <w:i/>
          <w:sz w:val="16"/>
          <w:szCs w:val="16"/>
        </w:rPr>
        <w:t>) Vs. Guatemala</w:t>
      </w:r>
      <w:r w:rsidRPr="006D3159">
        <w:rPr>
          <w:bCs/>
          <w:sz w:val="16"/>
          <w:szCs w:val="16"/>
        </w:rPr>
        <w:t xml:space="preserve">, </w:t>
      </w:r>
      <w:r w:rsidRPr="006D3159">
        <w:rPr>
          <w:bCs/>
          <w:i/>
          <w:sz w:val="16"/>
          <w:szCs w:val="16"/>
        </w:rPr>
        <w:t>supra</w:t>
      </w:r>
      <w:r w:rsidRPr="006D3159">
        <w:rPr>
          <w:bCs/>
          <w:sz w:val="16"/>
          <w:szCs w:val="16"/>
        </w:rPr>
        <w:t>,</w:t>
      </w:r>
      <w:r w:rsidRPr="006D3159">
        <w:rPr>
          <w:sz w:val="16"/>
          <w:szCs w:val="16"/>
        </w:rPr>
        <w:t xml:space="preserve"> p</w:t>
      </w:r>
      <w:r w:rsidRPr="006D3159">
        <w:rPr>
          <w:rFonts w:cs="Calibri"/>
          <w:sz w:val="16"/>
          <w:szCs w:val="16"/>
        </w:rPr>
        <w:t>á</w:t>
      </w:r>
      <w:r w:rsidRPr="006D3159">
        <w:rPr>
          <w:sz w:val="16"/>
          <w:szCs w:val="16"/>
        </w:rPr>
        <w:t>rr. 189.</w:t>
      </w:r>
    </w:p>
  </w:footnote>
  <w:footnote w:id="193">
    <w:p w14:paraId="60427289" w14:textId="77777777" w:rsidR="009C6A90" w:rsidRPr="006D3159" w:rsidRDefault="009C6A90" w:rsidP="00436D25">
      <w:pPr>
        <w:pStyle w:val="Textonotapie"/>
        <w:rPr>
          <w:sz w:val="16"/>
          <w:szCs w:val="16"/>
        </w:rPr>
      </w:pPr>
      <w:r w:rsidRPr="006D3159">
        <w:rPr>
          <w:rStyle w:val="Refdenotaalpie"/>
          <w:rFonts w:eastAsia="Calibri"/>
          <w:sz w:val="16"/>
          <w:szCs w:val="16"/>
        </w:rPr>
        <w:footnoteRef/>
      </w:r>
      <w:r w:rsidRPr="006D3159">
        <w:rPr>
          <w:sz w:val="16"/>
          <w:szCs w:val="16"/>
        </w:rPr>
        <w:t xml:space="preserve"> </w:t>
      </w:r>
      <w:r w:rsidRPr="006D3159">
        <w:rPr>
          <w:sz w:val="16"/>
          <w:szCs w:val="16"/>
        </w:rPr>
        <w:tab/>
      </w:r>
      <w:r w:rsidRPr="006D3159">
        <w:rPr>
          <w:i/>
          <w:sz w:val="16"/>
          <w:szCs w:val="16"/>
        </w:rPr>
        <w:t xml:space="preserve">Cfr. </w:t>
      </w:r>
      <w:r w:rsidRPr="006D3159">
        <w:rPr>
          <w:rFonts w:eastAsia="Calibri"/>
          <w:i/>
          <w:sz w:val="16"/>
          <w:szCs w:val="16"/>
          <w:shd w:val="clear" w:color="auto" w:fill="FFFFFF"/>
        </w:rPr>
        <w:t>Caso Garrido y Baigorria Vs. Argentina. Reparaciones y Costas.</w:t>
      </w:r>
      <w:r w:rsidRPr="006D3159">
        <w:rPr>
          <w:rFonts w:eastAsia="Calibri"/>
          <w:sz w:val="16"/>
          <w:szCs w:val="16"/>
          <w:shd w:val="clear" w:color="auto" w:fill="FFFFFF"/>
        </w:rPr>
        <w:t xml:space="preserve"> Sentencia de 27 de agosto de 1998. Serie C No. 39, párr. 79, y </w:t>
      </w:r>
      <w:r w:rsidRPr="006D3159">
        <w:rPr>
          <w:i/>
          <w:sz w:val="16"/>
          <w:szCs w:val="16"/>
        </w:rPr>
        <w:t xml:space="preserve">Caso </w:t>
      </w:r>
      <w:proofErr w:type="spellStart"/>
      <w:r w:rsidRPr="006D3159">
        <w:rPr>
          <w:i/>
          <w:sz w:val="16"/>
          <w:szCs w:val="16"/>
        </w:rPr>
        <w:t>Coc</w:t>
      </w:r>
      <w:proofErr w:type="spellEnd"/>
      <w:r w:rsidRPr="006D3159">
        <w:rPr>
          <w:i/>
          <w:sz w:val="16"/>
          <w:szCs w:val="16"/>
        </w:rPr>
        <w:t xml:space="preserve"> Max y otros (Masacre de </w:t>
      </w:r>
      <w:proofErr w:type="spellStart"/>
      <w:r w:rsidRPr="006D3159">
        <w:rPr>
          <w:i/>
          <w:sz w:val="16"/>
          <w:szCs w:val="16"/>
        </w:rPr>
        <w:t>Xamán</w:t>
      </w:r>
      <w:proofErr w:type="spellEnd"/>
      <w:r w:rsidRPr="006D3159">
        <w:rPr>
          <w:i/>
          <w:sz w:val="16"/>
          <w:szCs w:val="16"/>
        </w:rPr>
        <w:t>) Vs. Guatemala, supra</w:t>
      </w:r>
      <w:r w:rsidRPr="006D3159">
        <w:rPr>
          <w:sz w:val="16"/>
          <w:szCs w:val="16"/>
        </w:rPr>
        <w:t>, p</w:t>
      </w:r>
      <w:r w:rsidRPr="006D3159">
        <w:rPr>
          <w:rFonts w:cs="Calibri"/>
          <w:sz w:val="16"/>
          <w:szCs w:val="16"/>
        </w:rPr>
        <w:t>á</w:t>
      </w:r>
      <w:r w:rsidRPr="006D3159">
        <w:rPr>
          <w:sz w:val="16"/>
          <w:szCs w:val="16"/>
        </w:rPr>
        <w:t>rr. 193.</w:t>
      </w:r>
    </w:p>
  </w:footnote>
  <w:footnote w:id="194">
    <w:p w14:paraId="7030D186" w14:textId="77777777" w:rsidR="009C6A90" w:rsidRPr="006D3159" w:rsidRDefault="009C6A90" w:rsidP="00436D25">
      <w:pPr>
        <w:pStyle w:val="Textonotapie"/>
        <w:rPr>
          <w:sz w:val="16"/>
          <w:szCs w:val="16"/>
        </w:rPr>
      </w:pPr>
      <w:r w:rsidRPr="006D3159">
        <w:rPr>
          <w:rStyle w:val="Refdenotaalpie"/>
          <w:rFonts w:eastAsia="Calibri"/>
          <w:sz w:val="16"/>
          <w:szCs w:val="16"/>
        </w:rPr>
        <w:footnoteRef/>
      </w:r>
      <w:r w:rsidRPr="006D3159">
        <w:rPr>
          <w:sz w:val="16"/>
          <w:szCs w:val="16"/>
        </w:rPr>
        <w:tab/>
      </w:r>
      <w:r w:rsidRPr="006D3159">
        <w:rPr>
          <w:i/>
          <w:sz w:val="16"/>
          <w:szCs w:val="16"/>
        </w:rPr>
        <w:t xml:space="preserve">Cfr. </w:t>
      </w:r>
      <w:r w:rsidRPr="006D3159">
        <w:rPr>
          <w:sz w:val="16"/>
          <w:szCs w:val="16"/>
        </w:rPr>
        <w:t xml:space="preserve">Artículo 40.d del Reglamento de la Corte. Véase también, </w:t>
      </w:r>
      <w:r w:rsidRPr="006D3159">
        <w:rPr>
          <w:rFonts w:eastAsia="Calibri"/>
          <w:bCs/>
          <w:i/>
          <w:sz w:val="16"/>
          <w:szCs w:val="16"/>
          <w:shd w:val="clear" w:color="auto" w:fill="FFFFFF"/>
        </w:rPr>
        <w:t>Caso Garrido y Baigorria Vs. Argentina. Reparaciones y Costas, supra</w:t>
      </w:r>
      <w:r w:rsidRPr="006D3159">
        <w:rPr>
          <w:sz w:val="16"/>
          <w:szCs w:val="16"/>
        </w:rPr>
        <w:t xml:space="preserve">, </w:t>
      </w:r>
      <w:proofErr w:type="spellStart"/>
      <w:r w:rsidRPr="006D3159">
        <w:rPr>
          <w:sz w:val="16"/>
          <w:szCs w:val="16"/>
        </w:rPr>
        <w:t>párrs</w:t>
      </w:r>
      <w:proofErr w:type="spellEnd"/>
      <w:r w:rsidRPr="006D3159">
        <w:rPr>
          <w:sz w:val="16"/>
          <w:szCs w:val="16"/>
        </w:rPr>
        <w:t xml:space="preserve">. 79 y 82, y </w:t>
      </w:r>
      <w:r w:rsidRPr="006D3159">
        <w:rPr>
          <w:i/>
          <w:sz w:val="16"/>
          <w:szCs w:val="16"/>
        </w:rPr>
        <w:t xml:space="preserve">Caso </w:t>
      </w:r>
      <w:proofErr w:type="spellStart"/>
      <w:r w:rsidRPr="006D3159">
        <w:rPr>
          <w:i/>
          <w:sz w:val="16"/>
          <w:szCs w:val="16"/>
        </w:rPr>
        <w:t>Coc</w:t>
      </w:r>
      <w:proofErr w:type="spellEnd"/>
      <w:r w:rsidRPr="006D3159">
        <w:rPr>
          <w:i/>
          <w:sz w:val="16"/>
          <w:szCs w:val="16"/>
        </w:rPr>
        <w:t xml:space="preserve"> Max y otros (Masacre de </w:t>
      </w:r>
      <w:proofErr w:type="spellStart"/>
      <w:r w:rsidRPr="006D3159">
        <w:rPr>
          <w:i/>
          <w:sz w:val="16"/>
          <w:szCs w:val="16"/>
        </w:rPr>
        <w:t>Xamán</w:t>
      </w:r>
      <w:proofErr w:type="spellEnd"/>
      <w:r w:rsidRPr="006D3159">
        <w:rPr>
          <w:i/>
          <w:sz w:val="16"/>
          <w:szCs w:val="16"/>
        </w:rPr>
        <w:t>) Vs. Guatemala, supra</w:t>
      </w:r>
      <w:r w:rsidRPr="006D3159">
        <w:rPr>
          <w:sz w:val="16"/>
          <w:szCs w:val="16"/>
        </w:rPr>
        <w:t>, párr. 194.</w:t>
      </w:r>
    </w:p>
  </w:footnote>
  <w:footnote w:id="195">
    <w:p w14:paraId="1BE30721" w14:textId="77777777" w:rsidR="009C6A90" w:rsidRPr="006D3159" w:rsidRDefault="009C6A90" w:rsidP="00436D25">
      <w:pPr>
        <w:spacing w:line="240" w:lineRule="auto"/>
        <w:rPr>
          <w:sz w:val="16"/>
          <w:szCs w:val="16"/>
        </w:rPr>
      </w:pPr>
      <w:r w:rsidRPr="006D3159">
        <w:rPr>
          <w:rStyle w:val="Refdenotaalpie"/>
          <w:rFonts w:eastAsia="Calibri"/>
          <w:sz w:val="16"/>
          <w:szCs w:val="16"/>
        </w:rPr>
        <w:footnoteRef/>
      </w:r>
      <w:r w:rsidRPr="006D3159">
        <w:rPr>
          <w:sz w:val="16"/>
          <w:szCs w:val="16"/>
        </w:rPr>
        <w:t xml:space="preserve"> </w:t>
      </w:r>
      <w:r w:rsidRPr="006D3159">
        <w:rPr>
          <w:sz w:val="16"/>
          <w:szCs w:val="16"/>
        </w:rPr>
        <w:tab/>
      </w:r>
      <w:r w:rsidRPr="006D3159">
        <w:rPr>
          <w:i/>
          <w:sz w:val="16"/>
          <w:szCs w:val="16"/>
        </w:rPr>
        <w:t>Cfr. Caso Chaparro Álvarez y Lapo Íñiguez Vs. Ecuador, supra</w:t>
      </w:r>
      <w:r w:rsidRPr="006D3159">
        <w:rPr>
          <w:sz w:val="16"/>
          <w:szCs w:val="16"/>
        </w:rPr>
        <w:t>, párr. 277, y</w:t>
      </w:r>
      <w:r w:rsidRPr="006D3159">
        <w:rPr>
          <w:bCs/>
          <w:sz w:val="16"/>
          <w:szCs w:val="16"/>
        </w:rPr>
        <w:t xml:space="preserve"> </w:t>
      </w:r>
      <w:r w:rsidRPr="006D3159">
        <w:rPr>
          <w:i/>
          <w:sz w:val="16"/>
          <w:szCs w:val="16"/>
        </w:rPr>
        <w:t xml:space="preserve">Caso </w:t>
      </w:r>
      <w:proofErr w:type="spellStart"/>
      <w:r w:rsidRPr="006D3159">
        <w:rPr>
          <w:i/>
          <w:sz w:val="16"/>
          <w:szCs w:val="16"/>
        </w:rPr>
        <w:t>Coc</w:t>
      </w:r>
      <w:proofErr w:type="spellEnd"/>
      <w:r w:rsidRPr="006D3159">
        <w:rPr>
          <w:i/>
          <w:sz w:val="16"/>
          <w:szCs w:val="16"/>
        </w:rPr>
        <w:t xml:space="preserve"> Max y otros (Masacre de </w:t>
      </w:r>
      <w:proofErr w:type="spellStart"/>
      <w:r w:rsidRPr="006D3159">
        <w:rPr>
          <w:i/>
          <w:sz w:val="16"/>
          <w:szCs w:val="16"/>
        </w:rPr>
        <w:t>Xamán</w:t>
      </w:r>
      <w:proofErr w:type="spellEnd"/>
      <w:r w:rsidRPr="006D3159">
        <w:rPr>
          <w:i/>
          <w:sz w:val="16"/>
          <w:szCs w:val="16"/>
        </w:rPr>
        <w:t>) Vs. Guatemala, supra</w:t>
      </w:r>
      <w:r w:rsidRPr="006D3159">
        <w:rPr>
          <w:sz w:val="16"/>
          <w:szCs w:val="16"/>
        </w:rPr>
        <w:t>, párr. 194.</w:t>
      </w:r>
    </w:p>
  </w:footnote>
  <w:footnote w:id="196">
    <w:p w14:paraId="6F9543CB" w14:textId="77777777" w:rsidR="009C6A90" w:rsidRPr="006D3159" w:rsidRDefault="009C6A90" w:rsidP="00436D25">
      <w:pPr>
        <w:pStyle w:val="Textonotapie"/>
        <w:rPr>
          <w:sz w:val="16"/>
          <w:szCs w:val="16"/>
          <w:u w:val="single"/>
        </w:rPr>
      </w:pPr>
      <w:r w:rsidRPr="006D3159">
        <w:rPr>
          <w:rStyle w:val="Refdenotaalpie"/>
          <w:rFonts w:eastAsia="Calibri"/>
          <w:sz w:val="16"/>
          <w:szCs w:val="16"/>
        </w:rPr>
        <w:footnoteRef/>
      </w:r>
      <w:r w:rsidRPr="006D3159">
        <w:rPr>
          <w:sz w:val="16"/>
          <w:szCs w:val="16"/>
        </w:rPr>
        <w:t xml:space="preserve"> </w:t>
      </w:r>
      <w:r w:rsidRPr="006D3159">
        <w:rPr>
          <w:sz w:val="16"/>
          <w:szCs w:val="16"/>
        </w:rPr>
        <w:tab/>
      </w:r>
      <w:r w:rsidRPr="006D3159">
        <w:rPr>
          <w:bCs/>
          <w:sz w:val="16"/>
          <w:szCs w:val="16"/>
        </w:rPr>
        <w:t>AG/RES. 2426 (XXXVIII-O/08),</w:t>
      </w:r>
      <w:r w:rsidRPr="006D3159">
        <w:rPr>
          <w:rFonts w:cs="Verdana"/>
          <w:sz w:val="16"/>
          <w:szCs w:val="16"/>
        </w:rPr>
        <w:t xml:space="preserve"> </w:t>
      </w:r>
      <w:r w:rsidRPr="006D3159">
        <w:rPr>
          <w:sz w:val="16"/>
          <w:szCs w:val="16"/>
        </w:rPr>
        <w:t xml:space="preserve">Resolución adoptada por la Asamblea General de la OEA </w:t>
      </w:r>
      <w:r w:rsidRPr="006D3159">
        <w:rPr>
          <w:rFonts w:cs="Verdana"/>
          <w:sz w:val="16"/>
          <w:szCs w:val="16"/>
        </w:rPr>
        <w:t>durante la celebración del XXXVIII Período Ordinario de Sesiones de la OEA,</w:t>
      </w:r>
      <w:r w:rsidRPr="006D3159">
        <w:rPr>
          <w:bCs/>
          <w:sz w:val="16"/>
          <w:szCs w:val="16"/>
        </w:rPr>
        <w:t xml:space="preserve"> </w:t>
      </w:r>
      <w:r w:rsidRPr="006D3159">
        <w:rPr>
          <w:sz w:val="16"/>
          <w:szCs w:val="16"/>
        </w:rPr>
        <w:t>en la cuarta sesión plenaria,</w:t>
      </w:r>
      <w:r w:rsidRPr="006D3159">
        <w:rPr>
          <w:bCs/>
          <w:sz w:val="16"/>
          <w:szCs w:val="16"/>
        </w:rPr>
        <w:t xml:space="preserve"> </w:t>
      </w:r>
      <w:r w:rsidRPr="006D3159">
        <w:rPr>
          <w:sz w:val="16"/>
          <w:szCs w:val="16"/>
        </w:rPr>
        <w:t xml:space="preserve">celebrada el 3 de junio de 2008, </w:t>
      </w:r>
      <w:r w:rsidRPr="006D3159">
        <w:rPr>
          <w:i/>
          <w:sz w:val="16"/>
          <w:szCs w:val="16"/>
        </w:rPr>
        <w:t>“Creación del Fondo de Asistencia Legal del Sistema Interamericano de Derechos Humanos</w:t>
      </w:r>
      <w:r w:rsidRPr="006D3159">
        <w:rPr>
          <w:sz w:val="16"/>
          <w:szCs w:val="16"/>
        </w:rPr>
        <w:t>”, Punto Resolutivo 2.a</w:t>
      </w:r>
      <w:r w:rsidRPr="006D3159">
        <w:rPr>
          <w:rFonts w:cs="Verdana"/>
          <w:sz w:val="16"/>
          <w:szCs w:val="16"/>
        </w:rPr>
        <w:t xml:space="preserve">), y </w:t>
      </w:r>
      <w:r w:rsidRPr="006D3159">
        <w:rPr>
          <w:sz w:val="16"/>
          <w:szCs w:val="16"/>
        </w:rPr>
        <w:t>CP/RES. 963 (1728/09), Resolución adoptada el 11 de noviembre de 2009 por el Consejo Permanente de la OEA, “</w:t>
      </w:r>
      <w:r w:rsidRPr="006D3159">
        <w:rPr>
          <w:i/>
          <w:iCs/>
          <w:sz w:val="16"/>
          <w:szCs w:val="16"/>
        </w:rPr>
        <w:t xml:space="preserve">Reglamento para el Funcionamiento del Fondo de Asistencia </w:t>
      </w:r>
      <w:r w:rsidRPr="006D3159">
        <w:rPr>
          <w:iCs/>
          <w:sz w:val="16"/>
          <w:szCs w:val="16"/>
        </w:rPr>
        <w:t>Legal</w:t>
      </w:r>
      <w:r w:rsidRPr="006D3159">
        <w:rPr>
          <w:i/>
          <w:iCs/>
          <w:sz w:val="16"/>
          <w:szCs w:val="16"/>
        </w:rPr>
        <w:t xml:space="preserve"> del Sistema Interamericano de Derechos Humanos</w:t>
      </w:r>
      <w:r w:rsidRPr="006D3159">
        <w:rPr>
          <w:sz w:val="16"/>
          <w:szCs w:val="16"/>
        </w:rPr>
        <w:t>”, artículo 1.1.</w:t>
      </w:r>
    </w:p>
  </w:footnote>
  <w:footnote w:id="197">
    <w:p w14:paraId="4C56B589" w14:textId="77777777" w:rsidR="006D3159" w:rsidRPr="006D3159" w:rsidRDefault="006D3159" w:rsidP="006D3159">
      <w:pPr>
        <w:pStyle w:val="Textonotapie"/>
        <w:rPr>
          <w:rFonts w:cs="Arial"/>
          <w:sz w:val="16"/>
          <w:szCs w:val="16"/>
          <w:lang w:val="es-CR"/>
        </w:rPr>
      </w:pPr>
      <w:r w:rsidRPr="006D3159">
        <w:rPr>
          <w:rStyle w:val="Refdenotaalpie"/>
          <w:rFonts w:cs="Arial"/>
          <w:sz w:val="16"/>
          <w:szCs w:val="16"/>
        </w:rPr>
        <w:footnoteRef/>
      </w:r>
      <w:r w:rsidRPr="006D3159">
        <w:rPr>
          <w:rFonts w:cs="Arial"/>
          <w:sz w:val="16"/>
          <w:szCs w:val="16"/>
        </w:rPr>
        <w:t xml:space="preserve"> </w:t>
      </w:r>
      <w:r w:rsidRPr="006D3159">
        <w:rPr>
          <w:rFonts w:cs="Arial"/>
          <w:sz w:val="16"/>
          <w:szCs w:val="16"/>
        </w:rPr>
        <w:tab/>
      </w:r>
      <w:r w:rsidRPr="006D3159">
        <w:rPr>
          <w:rFonts w:cs="Arial"/>
          <w:i/>
          <w:sz w:val="16"/>
          <w:szCs w:val="16"/>
        </w:rPr>
        <w:t xml:space="preserve">Cfr. Caso Gonzales </w:t>
      </w:r>
      <w:proofErr w:type="spellStart"/>
      <w:r w:rsidRPr="006D3159">
        <w:rPr>
          <w:rFonts w:cs="Arial"/>
          <w:i/>
          <w:sz w:val="16"/>
          <w:szCs w:val="16"/>
        </w:rPr>
        <w:t>Lluy</w:t>
      </w:r>
      <w:proofErr w:type="spellEnd"/>
      <w:r w:rsidRPr="006D3159">
        <w:rPr>
          <w:rFonts w:cs="Arial"/>
          <w:i/>
          <w:sz w:val="16"/>
          <w:szCs w:val="16"/>
        </w:rPr>
        <w:t xml:space="preserve"> y otros Vs. Ecuador. Excepciones Preliminares, Fondo, Reparaciones y Costas</w:t>
      </w:r>
      <w:r w:rsidRPr="006D3159">
        <w:rPr>
          <w:rFonts w:cs="Arial"/>
          <w:sz w:val="16"/>
          <w:szCs w:val="16"/>
        </w:rPr>
        <w:t>. Sentencia de 1 de septiembre de 2015. Serie C No. 298.</w:t>
      </w:r>
    </w:p>
  </w:footnote>
  <w:footnote w:id="198">
    <w:p w14:paraId="357F2D19" w14:textId="77777777" w:rsidR="006D3159" w:rsidRPr="006D3159" w:rsidRDefault="006D3159" w:rsidP="006D3159">
      <w:pPr>
        <w:pStyle w:val="Textonotapie"/>
        <w:rPr>
          <w:rFonts w:cs="Arial"/>
          <w:sz w:val="16"/>
          <w:szCs w:val="16"/>
          <w:lang w:val="es-MX"/>
        </w:rPr>
      </w:pPr>
      <w:r w:rsidRPr="006D3159">
        <w:rPr>
          <w:rStyle w:val="Refdenotaalpie"/>
          <w:rFonts w:cs="Arial"/>
          <w:sz w:val="16"/>
          <w:szCs w:val="16"/>
        </w:rPr>
        <w:footnoteRef/>
      </w:r>
      <w:r w:rsidRPr="006D3159">
        <w:rPr>
          <w:rFonts w:cs="Arial"/>
          <w:sz w:val="16"/>
          <w:szCs w:val="16"/>
        </w:rPr>
        <w:t xml:space="preserve"> </w:t>
      </w:r>
      <w:r w:rsidRPr="006D3159">
        <w:rPr>
          <w:rFonts w:cs="Arial"/>
          <w:sz w:val="16"/>
          <w:szCs w:val="16"/>
        </w:rPr>
        <w:tab/>
      </w:r>
      <w:r w:rsidRPr="006D3159">
        <w:rPr>
          <w:rFonts w:cs="Arial"/>
          <w:i/>
          <w:sz w:val="16"/>
          <w:szCs w:val="16"/>
        </w:rPr>
        <w:t xml:space="preserve">Cfr. </w:t>
      </w:r>
      <w:r w:rsidRPr="006D3159">
        <w:rPr>
          <w:rStyle w:val="Textoennegrita"/>
          <w:rFonts w:cs="Arial"/>
          <w:b w:val="0"/>
          <w:i/>
          <w:sz w:val="16"/>
          <w:szCs w:val="16"/>
        </w:rPr>
        <w:t>Caso Lagos del Campo Vs. Perú. Excepciones Preliminares, Fondo, Reparaciones y Costas</w:t>
      </w:r>
      <w:r w:rsidRPr="006D3159">
        <w:rPr>
          <w:rStyle w:val="Textoennegrita"/>
          <w:rFonts w:cs="Arial"/>
          <w:b w:val="0"/>
          <w:sz w:val="16"/>
          <w:szCs w:val="16"/>
        </w:rPr>
        <w:t>. Sentencia de 31 de agosto de 2017. Serie C No. 340</w:t>
      </w:r>
      <w:r w:rsidRPr="006D3159">
        <w:rPr>
          <w:rStyle w:val="Textoennegrita"/>
          <w:rFonts w:eastAsia="MS Mincho" w:cs="Arial"/>
          <w:b w:val="0"/>
          <w:sz w:val="16"/>
          <w:szCs w:val="16"/>
        </w:rPr>
        <w:t>.</w:t>
      </w:r>
    </w:p>
  </w:footnote>
  <w:footnote w:id="199">
    <w:p w14:paraId="6AF1FA3C" w14:textId="77777777" w:rsidR="006D3159" w:rsidRPr="006D3159" w:rsidRDefault="006D3159" w:rsidP="006D3159">
      <w:pPr>
        <w:pStyle w:val="Textonotapie"/>
        <w:rPr>
          <w:rFonts w:cs="Arial"/>
          <w:sz w:val="16"/>
          <w:szCs w:val="16"/>
          <w:lang w:val="es-MX"/>
        </w:rPr>
      </w:pPr>
      <w:r w:rsidRPr="006D3159">
        <w:rPr>
          <w:rStyle w:val="Refdenotaalpie"/>
          <w:rFonts w:cs="Arial"/>
          <w:sz w:val="16"/>
          <w:szCs w:val="16"/>
        </w:rPr>
        <w:footnoteRef/>
      </w:r>
      <w:r w:rsidRPr="006D3159">
        <w:rPr>
          <w:rFonts w:cs="Arial"/>
          <w:sz w:val="16"/>
          <w:szCs w:val="16"/>
        </w:rPr>
        <w:t xml:space="preserve"> </w:t>
      </w:r>
      <w:r w:rsidRPr="006D3159">
        <w:rPr>
          <w:rFonts w:cs="Arial"/>
          <w:sz w:val="16"/>
          <w:szCs w:val="16"/>
        </w:rPr>
        <w:tab/>
      </w:r>
      <w:r w:rsidRPr="006D3159">
        <w:rPr>
          <w:rFonts w:cs="Arial"/>
          <w:i/>
          <w:sz w:val="16"/>
          <w:szCs w:val="16"/>
        </w:rPr>
        <w:t xml:space="preserve">Cfr. </w:t>
      </w:r>
      <w:r w:rsidRPr="006D3159">
        <w:rPr>
          <w:rStyle w:val="Textoennegrita"/>
          <w:rFonts w:cs="Arial"/>
          <w:b w:val="0"/>
          <w:i/>
          <w:sz w:val="16"/>
          <w:szCs w:val="16"/>
        </w:rPr>
        <w:t>Caso Trabajadores Cesados de Petroperú y otros Vs. Perú. Interpretación de la Sentencia de Excepciones Preliminares, Fondo, Reparaciones y Costas</w:t>
      </w:r>
      <w:r w:rsidRPr="006D3159">
        <w:rPr>
          <w:rStyle w:val="Textoennegrita"/>
          <w:rFonts w:cs="Arial"/>
          <w:b w:val="0"/>
          <w:sz w:val="16"/>
          <w:szCs w:val="16"/>
        </w:rPr>
        <w:t>. Sentencia de 22 de agosto de 2018. Serie C No. 358.</w:t>
      </w:r>
    </w:p>
  </w:footnote>
  <w:footnote w:id="200">
    <w:p w14:paraId="6019CE0D" w14:textId="77777777" w:rsidR="006D3159" w:rsidRPr="006D3159" w:rsidRDefault="006D3159" w:rsidP="006D3159">
      <w:pPr>
        <w:pStyle w:val="Textonotapie"/>
        <w:rPr>
          <w:rFonts w:cs="Arial"/>
          <w:sz w:val="16"/>
          <w:szCs w:val="16"/>
          <w:lang w:val="es-MX"/>
        </w:rPr>
      </w:pPr>
      <w:r w:rsidRPr="006D3159">
        <w:rPr>
          <w:rStyle w:val="Refdenotaalpie"/>
          <w:rFonts w:cs="Arial"/>
          <w:sz w:val="16"/>
          <w:szCs w:val="16"/>
        </w:rPr>
        <w:footnoteRef/>
      </w:r>
      <w:r w:rsidRPr="006D3159">
        <w:rPr>
          <w:rFonts w:cs="Arial"/>
          <w:sz w:val="16"/>
          <w:szCs w:val="16"/>
        </w:rPr>
        <w:t xml:space="preserve"> </w:t>
      </w:r>
      <w:r w:rsidRPr="006D3159">
        <w:rPr>
          <w:rFonts w:cs="Arial"/>
          <w:sz w:val="16"/>
          <w:szCs w:val="16"/>
        </w:rPr>
        <w:tab/>
      </w:r>
      <w:r w:rsidRPr="006D3159">
        <w:rPr>
          <w:rFonts w:cs="Arial"/>
          <w:i/>
          <w:sz w:val="16"/>
          <w:szCs w:val="16"/>
        </w:rPr>
        <w:t xml:space="preserve">Cfr. </w:t>
      </w:r>
      <w:r w:rsidRPr="006D3159">
        <w:rPr>
          <w:rStyle w:val="Textoennegrita"/>
          <w:rFonts w:cs="Arial"/>
          <w:b w:val="0"/>
          <w:i/>
          <w:sz w:val="16"/>
          <w:szCs w:val="16"/>
        </w:rPr>
        <w:t>Caso San Miguel Sosa y otras Vs. Venezuela. Fondo, Reparaciones y Costas</w:t>
      </w:r>
      <w:r w:rsidRPr="006D3159">
        <w:rPr>
          <w:rStyle w:val="Textoennegrita"/>
          <w:rFonts w:cs="Arial"/>
          <w:b w:val="0"/>
          <w:sz w:val="16"/>
          <w:szCs w:val="16"/>
        </w:rPr>
        <w:t>. Sentencia de 8 de febrero de 2018. Serie C No. 348.</w:t>
      </w:r>
    </w:p>
  </w:footnote>
  <w:footnote w:id="201">
    <w:p w14:paraId="5902A51C" w14:textId="77777777" w:rsidR="006D3159" w:rsidRPr="006D3159" w:rsidRDefault="006D3159" w:rsidP="006D3159">
      <w:pPr>
        <w:pStyle w:val="Textonotapie"/>
        <w:rPr>
          <w:rFonts w:cs="Arial"/>
          <w:sz w:val="16"/>
          <w:szCs w:val="16"/>
          <w:lang w:val="es-MX"/>
        </w:rPr>
      </w:pPr>
      <w:r w:rsidRPr="006D3159">
        <w:rPr>
          <w:rStyle w:val="Refdenotaalpie"/>
          <w:rFonts w:cs="Arial"/>
          <w:sz w:val="16"/>
          <w:szCs w:val="16"/>
        </w:rPr>
        <w:footnoteRef/>
      </w:r>
      <w:r w:rsidRPr="006D3159">
        <w:rPr>
          <w:rFonts w:cs="Arial"/>
          <w:sz w:val="16"/>
          <w:szCs w:val="16"/>
        </w:rPr>
        <w:t xml:space="preserve"> </w:t>
      </w:r>
      <w:r w:rsidRPr="006D3159">
        <w:rPr>
          <w:rFonts w:cs="Arial"/>
          <w:sz w:val="16"/>
          <w:szCs w:val="16"/>
        </w:rPr>
        <w:tab/>
      </w:r>
      <w:r w:rsidRPr="006D3159">
        <w:rPr>
          <w:rFonts w:cs="Arial"/>
          <w:i/>
          <w:sz w:val="16"/>
          <w:szCs w:val="16"/>
        </w:rPr>
        <w:t xml:space="preserve">Cfr. </w:t>
      </w:r>
      <w:r w:rsidRPr="006D3159">
        <w:rPr>
          <w:rStyle w:val="Textoennegrita"/>
          <w:rFonts w:cs="Arial"/>
          <w:b w:val="0"/>
          <w:i/>
          <w:sz w:val="16"/>
          <w:szCs w:val="16"/>
        </w:rPr>
        <w:t>Caso Poblete Vilches y otros Vs. Chile. Fondo, Reparaciones y Costas</w:t>
      </w:r>
      <w:r w:rsidRPr="006D3159">
        <w:rPr>
          <w:rStyle w:val="Textoennegrita"/>
          <w:rFonts w:cs="Arial"/>
          <w:b w:val="0"/>
          <w:sz w:val="16"/>
          <w:szCs w:val="16"/>
        </w:rPr>
        <w:t>. Sentencia de 8 de marzo de 2018. Serie C No. 349.</w:t>
      </w:r>
    </w:p>
  </w:footnote>
  <w:footnote w:id="202">
    <w:p w14:paraId="5584FB96" w14:textId="77777777" w:rsidR="006D3159" w:rsidRPr="006D3159" w:rsidRDefault="006D3159" w:rsidP="006D3159">
      <w:pPr>
        <w:pStyle w:val="Textonotapie"/>
        <w:rPr>
          <w:rFonts w:cs="Arial"/>
          <w:sz w:val="16"/>
          <w:szCs w:val="16"/>
          <w:lang w:val="es-MX"/>
        </w:rPr>
      </w:pPr>
      <w:r w:rsidRPr="006D3159">
        <w:rPr>
          <w:rStyle w:val="Refdenotaalpie"/>
          <w:rFonts w:cs="Arial"/>
          <w:sz w:val="16"/>
          <w:szCs w:val="16"/>
        </w:rPr>
        <w:footnoteRef/>
      </w:r>
      <w:r w:rsidRPr="006D3159">
        <w:rPr>
          <w:rFonts w:cs="Arial"/>
          <w:sz w:val="16"/>
          <w:szCs w:val="16"/>
        </w:rPr>
        <w:t xml:space="preserve"> </w:t>
      </w:r>
      <w:r w:rsidRPr="006D3159">
        <w:rPr>
          <w:rFonts w:cs="Arial"/>
          <w:sz w:val="16"/>
          <w:szCs w:val="16"/>
        </w:rPr>
        <w:tab/>
      </w:r>
      <w:r w:rsidRPr="006D3159">
        <w:rPr>
          <w:rFonts w:cs="Arial"/>
          <w:i/>
          <w:sz w:val="16"/>
          <w:szCs w:val="16"/>
        </w:rPr>
        <w:t xml:space="preserve">Cfr. </w:t>
      </w:r>
      <w:r w:rsidRPr="006D3159">
        <w:rPr>
          <w:rStyle w:val="Textoennegrita"/>
          <w:rFonts w:cs="Arial"/>
          <w:b w:val="0"/>
          <w:i/>
          <w:sz w:val="16"/>
          <w:szCs w:val="16"/>
        </w:rPr>
        <w:t xml:space="preserve">Caso </w:t>
      </w:r>
      <w:proofErr w:type="spellStart"/>
      <w:r w:rsidRPr="006D3159">
        <w:rPr>
          <w:rStyle w:val="Textoennegrita"/>
          <w:rFonts w:cs="Arial"/>
          <w:b w:val="0"/>
          <w:i/>
          <w:sz w:val="16"/>
          <w:szCs w:val="16"/>
        </w:rPr>
        <w:t>Cuscul</w:t>
      </w:r>
      <w:proofErr w:type="spellEnd"/>
      <w:r w:rsidRPr="006D3159">
        <w:rPr>
          <w:rStyle w:val="Textoennegrita"/>
          <w:rFonts w:cs="Arial"/>
          <w:b w:val="0"/>
          <w:i/>
          <w:sz w:val="16"/>
          <w:szCs w:val="16"/>
        </w:rPr>
        <w:t xml:space="preserve"> Pivaral y otros Vs. Guatemala. Excepción Preliminar, Fondo, Reparaciones y Costas</w:t>
      </w:r>
      <w:r w:rsidRPr="006D3159">
        <w:rPr>
          <w:rStyle w:val="Textoennegrita"/>
          <w:rFonts w:cs="Arial"/>
          <w:b w:val="0"/>
          <w:sz w:val="16"/>
          <w:szCs w:val="16"/>
        </w:rPr>
        <w:t>. Sentencia de 23 de agosto de 2018. Serie C No. 359.</w:t>
      </w:r>
    </w:p>
  </w:footnote>
  <w:footnote w:id="203">
    <w:p w14:paraId="69B49037" w14:textId="77777777" w:rsidR="006D3159" w:rsidRPr="006D3159" w:rsidRDefault="006D3159" w:rsidP="006D3159">
      <w:pPr>
        <w:pStyle w:val="Textonotapie"/>
        <w:rPr>
          <w:rFonts w:cs="Arial"/>
          <w:sz w:val="16"/>
          <w:szCs w:val="16"/>
          <w:lang w:val="es-MX"/>
        </w:rPr>
      </w:pPr>
      <w:r w:rsidRPr="006D3159">
        <w:rPr>
          <w:rStyle w:val="Refdenotaalpie"/>
          <w:rFonts w:cs="Arial"/>
          <w:sz w:val="16"/>
          <w:szCs w:val="16"/>
        </w:rPr>
        <w:footnoteRef/>
      </w:r>
      <w:r w:rsidRPr="006D3159">
        <w:rPr>
          <w:rFonts w:cs="Arial"/>
          <w:sz w:val="16"/>
          <w:szCs w:val="16"/>
        </w:rPr>
        <w:t xml:space="preserve"> </w:t>
      </w:r>
      <w:r w:rsidRPr="006D3159">
        <w:rPr>
          <w:rFonts w:cs="Arial"/>
          <w:sz w:val="16"/>
          <w:szCs w:val="16"/>
        </w:rPr>
        <w:tab/>
      </w:r>
      <w:r w:rsidRPr="006D3159">
        <w:rPr>
          <w:rFonts w:cs="Arial"/>
          <w:i/>
          <w:sz w:val="16"/>
          <w:szCs w:val="16"/>
        </w:rPr>
        <w:t xml:space="preserve">Cfr. </w:t>
      </w:r>
      <w:r w:rsidRPr="006D3159">
        <w:rPr>
          <w:rStyle w:val="Textoennegrita"/>
          <w:rFonts w:cs="Arial"/>
          <w:b w:val="0"/>
          <w:i/>
          <w:sz w:val="16"/>
          <w:szCs w:val="16"/>
        </w:rPr>
        <w:t>Caso Muelle Flores Vs. Perú. Excepciones Preliminares, Fondo, Reparaciones y Costas</w:t>
      </w:r>
      <w:r w:rsidRPr="006D3159">
        <w:rPr>
          <w:rStyle w:val="Textoennegrita"/>
          <w:rFonts w:cs="Arial"/>
          <w:b w:val="0"/>
          <w:sz w:val="16"/>
          <w:szCs w:val="16"/>
        </w:rPr>
        <w:t>. Sentencia de 6 de marzo de 2019. Serie C No. 375.</w:t>
      </w:r>
    </w:p>
  </w:footnote>
  <w:footnote w:id="204">
    <w:p w14:paraId="4F0D8F4E" w14:textId="77777777" w:rsidR="006D3159" w:rsidRPr="006D3159" w:rsidRDefault="006D3159" w:rsidP="006D3159">
      <w:pPr>
        <w:spacing w:line="240" w:lineRule="auto"/>
        <w:rPr>
          <w:rFonts w:cs="Arial"/>
          <w:sz w:val="16"/>
          <w:szCs w:val="16"/>
        </w:rPr>
      </w:pPr>
      <w:r w:rsidRPr="006D3159">
        <w:rPr>
          <w:rStyle w:val="Refdenotaalpie"/>
          <w:rFonts w:cs="Arial"/>
          <w:sz w:val="16"/>
          <w:szCs w:val="16"/>
        </w:rPr>
        <w:footnoteRef/>
      </w:r>
      <w:r w:rsidRPr="006D3159">
        <w:rPr>
          <w:rFonts w:cs="Arial"/>
          <w:sz w:val="16"/>
          <w:szCs w:val="16"/>
        </w:rPr>
        <w:t xml:space="preserve"> </w:t>
      </w:r>
      <w:r w:rsidRPr="006D3159">
        <w:rPr>
          <w:rFonts w:cs="Arial"/>
          <w:sz w:val="16"/>
          <w:szCs w:val="16"/>
        </w:rPr>
        <w:tab/>
        <w:t xml:space="preserve">La consideración que hago sobre las limitaciones connaturales al principio del </w:t>
      </w:r>
      <w:proofErr w:type="spellStart"/>
      <w:r w:rsidRPr="006D3159">
        <w:rPr>
          <w:rFonts w:cs="Arial"/>
          <w:i/>
          <w:iCs/>
          <w:sz w:val="16"/>
          <w:szCs w:val="16"/>
        </w:rPr>
        <w:t>iura</w:t>
      </w:r>
      <w:proofErr w:type="spellEnd"/>
      <w:r w:rsidRPr="006D3159">
        <w:rPr>
          <w:rFonts w:cs="Arial"/>
          <w:i/>
          <w:iCs/>
          <w:sz w:val="16"/>
          <w:szCs w:val="16"/>
        </w:rPr>
        <w:t xml:space="preserve"> </w:t>
      </w:r>
      <w:proofErr w:type="spellStart"/>
      <w:r w:rsidRPr="006D3159">
        <w:rPr>
          <w:rFonts w:cs="Arial"/>
          <w:i/>
          <w:iCs/>
          <w:sz w:val="16"/>
          <w:szCs w:val="16"/>
        </w:rPr>
        <w:t>novit</w:t>
      </w:r>
      <w:proofErr w:type="spellEnd"/>
      <w:r w:rsidRPr="006D3159">
        <w:rPr>
          <w:rFonts w:cs="Arial"/>
          <w:sz w:val="16"/>
          <w:szCs w:val="16"/>
        </w:rPr>
        <w:t xml:space="preserve"> </w:t>
      </w:r>
      <w:r w:rsidRPr="006D3159">
        <w:rPr>
          <w:rFonts w:cs="Arial"/>
          <w:i/>
          <w:iCs/>
          <w:sz w:val="16"/>
          <w:szCs w:val="16"/>
        </w:rPr>
        <w:t>curia</w:t>
      </w:r>
      <w:r w:rsidRPr="006D3159">
        <w:rPr>
          <w:rFonts w:cs="Arial"/>
          <w:sz w:val="16"/>
          <w:szCs w:val="16"/>
        </w:rPr>
        <w:t xml:space="preserve"> no son criterios inéditos o aislados, sino que forman parte del </w:t>
      </w:r>
      <w:r w:rsidRPr="006D3159">
        <w:rPr>
          <w:rFonts w:cs="Arial"/>
          <w:i/>
          <w:iCs/>
          <w:sz w:val="16"/>
          <w:szCs w:val="16"/>
        </w:rPr>
        <w:t>corpus iuris</w:t>
      </w:r>
      <w:r w:rsidRPr="006D3159">
        <w:rPr>
          <w:rFonts w:cs="Arial"/>
          <w:sz w:val="16"/>
          <w:szCs w:val="16"/>
        </w:rPr>
        <w:t xml:space="preserve"> del Derecho Internacional, el cual se ha visto sistematizado a través de decisiones de otros órganos jurisdiccionales de alcance internacional. La Corte Internacional de Justicia ha determinado que su aplicación está restringida por un parámetro de razonabilidad, pertinencia y prohibición de decidir más allá de lo que la </w:t>
      </w:r>
      <w:r w:rsidRPr="006D3159">
        <w:rPr>
          <w:rFonts w:cs="Arial"/>
          <w:i/>
          <w:iCs/>
          <w:sz w:val="16"/>
          <w:szCs w:val="16"/>
        </w:rPr>
        <w:t>litis</w:t>
      </w:r>
      <w:r w:rsidRPr="006D3159">
        <w:rPr>
          <w:rFonts w:cs="Arial"/>
          <w:sz w:val="16"/>
          <w:szCs w:val="16"/>
        </w:rPr>
        <w:t xml:space="preserve"> y el marco del caso naturalmente permiten (</w:t>
      </w:r>
      <w:r w:rsidRPr="006D3159">
        <w:rPr>
          <w:rFonts w:cs="Arial"/>
          <w:i/>
          <w:sz w:val="16"/>
          <w:szCs w:val="16"/>
        </w:rPr>
        <w:t>Cfr. Corte Internacional de Justicia, Caso relativo a la Jurisdicción Pesquera (Reino Unido vs. Islandia), Sentencia de 25 de julio de 1974, párr. 17; Corte Internacional de Justicia, Decisión de Interpretación de Sentencia de 10 de noviembre de 1950 sobre el caso de Asilo Político (Colombia vs. Perú), párr. 404; y Corte Internacional de Justicia, Caso sobre la “Orden de Arresto” (República Democrática del Congo vs. Bélgica), Sentencia de 14 de febrero de 2002, párr. 43</w:t>
      </w:r>
      <w:r w:rsidRPr="006D3159">
        <w:rPr>
          <w:rFonts w:cs="Arial"/>
          <w:sz w:val="16"/>
          <w:szCs w:val="16"/>
        </w:rPr>
        <w:t xml:space="preserve">; Por su parte, Tanto la Corte Penal Internacional como el Tribunal Penal </w:t>
      </w:r>
      <w:r w:rsidRPr="006D3159">
        <w:rPr>
          <w:rFonts w:cs="Arial"/>
          <w:i/>
          <w:iCs/>
          <w:sz w:val="16"/>
          <w:szCs w:val="16"/>
        </w:rPr>
        <w:t>Ad Hoc</w:t>
      </w:r>
      <w:r w:rsidRPr="006D3159">
        <w:rPr>
          <w:rFonts w:cs="Arial"/>
          <w:sz w:val="16"/>
          <w:szCs w:val="16"/>
        </w:rPr>
        <w:t xml:space="preserve"> para la Ex-Yugoslavia han coincidido en que las consecuencias de una invocación discrecional, indiscriminado, arbitraria o en el mejor de los casos, insuficientemente razonada, del principio del </w:t>
      </w:r>
      <w:proofErr w:type="spellStart"/>
      <w:r w:rsidRPr="006D3159">
        <w:rPr>
          <w:rFonts w:cs="Arial"/>
          <w:i/>
          <w:sz w:val="16"/>
          <w:szCs w:val="16"/>
        </w:rPr>
        <w:t>iu</w:t>
      </w:r>
      <w:r w:rsidRPr="006D3159">
        <w:rPr>
          <w:rFonts w:cs="Arial"/>
          <w:i/>
          <w:iCs/>
          <w:sz w:val="16"/>
          <w:szCs w:val="16"/>
        </w:rPr>
        <w:t>ra</w:t>
      </w:r>
      <w:proofErr w:type="spellEnd"/>
      <w:r w:rsidRPr="006D3159">
        <w:rPr>
          <w:rFonts w:cs="Arial"/>
          <w:i/>
          <w:iCs/>
          <w:sz w:val="16"/>
          <w:szCs w:val="16"/>
        </w:rPr>
        <w:t xml:space="preserve"> </w:t>
      </w:r>
      <w:proofErr w:type="spellStart"/>
      <w:r w:rsidRPr="006D3159">
        <w:rPr>
          <w:rFonts w:cs="Arial"/>
          <w:i/>
          <w:iCs/>
          <w:sz w:val="16"/>
          <w:szCs w:val="16"/>
        </w:rPr>
        <w:t>novit</w:t>
      </w:r>
      <w:proofErr w:type="spellEnd"/>
      <w:r w:rsidRPr="006D3159">
        <w:rPr>
          <w:rFonts w:cs="Arial"/>
          <w:i/>
          <w:iCs/>
          <w:sz w:val="16"/>
          <w:szCs w:val="16"/>
        </w:rPr>
        <w:t xml:space="preserve"> curia</w:t>
      </w:r>
      <w:r w:rsidRPr="006D3159">
        <w:rPr>
          <w:rFonts w:cs="Arial"/>
          <w:sz w:val="16"/>
          <w:szCs w:val="16"/>
        </w:rPr>
        <w:t xml:space="preserve">, puede derivar en la indefensión de la parte demandada </w:t>
      </w:r>
      <w:r w:rsidRPr="006D3159">
        <w:rPr>
          <w:rFonts w:cs="Arial"/>
          <w:i/>
          <w:sz w:val="16"/>
          <w:szCs w:val="16"/>
        </w:rPr>
        <w:t xml:space="preserve">Cfr. Corte Penal Internacional, Caso Fiscal Vs. Thomas Lubanga </w:t>
      </w:r>
      <w:proofErr w:type="spellStart"/>
      <w:r w:rsidRPr="006D3159">
        <w:rPr>
          <w:rFonts w:cs="Arial"/>
          <w:i/>
          <w:sz w:val="16"/>
          <w:szCs w:val="16"/>
        </w:rPr>
        <w:t>Dyilo</w:t>
      </w:r>
      <w:proofErr w:type="spellEnd"/>
      <w:r w:rsidRPr="006D3159">
        <w:rPr>
          <w:rFonts w:cs="Arial"/>
          <w:i/>
          <w:sz w:val="16"/>
          <w:szCs w:val="16"/>
        </w:rPr>
        <w:t xml:space="preserve">, Sentencia relativa al Artículo 74 del Estatuto de Roma, de 14 de marzo de 2012 (ICC-01/04-01/06-2842); Tribunal Penal ad hoc para la Ex-Yugoslavia, Caso Fiscal Vs. </w:t>
      </w:r>
      <w:proofErr w:type="spellStart"/>
      <w:r w:rsidRPr="006D3159">
        <w:rPr>
          <w:rFonts w:cs="Arial"/>
          <w:i/>
          <w:sz w:val="16"/>
          <w:szCs w:val="16"/>
        </w:rPr>
        <w:t>Kupreskic</w:t>
      </w:r>
      <w:proofErr w:type="spellEnd"/>
      <w:r w:rsidRPr="006D3159">
        <w:rPr>
          <w:rFonts w:cs="Arial"/>
          <w:i/>
          <w:sz w:val="16"/>
          <w:szCs w:val="16"/>
        </w:rPr>
        <w:t>, Sentencia de 14 de enero de 2000, párr. 733-738</w:t>
      </w:r>
      <w:r w:rsidRPr="006D3159">
        <w:rPr>
          <w:rFonts w:cs="Arial"/>
          <w:sz w:val="16"/>
          <w:szCs w:val="16"/>
        </w:rPr>
        <w:t xml:space="preserve">. </w:t>
      </w:r>
    </w:p>
    <w:p w14:paraId="563F90CE" w14:textId="77777777" w:rsidR="006D3159" w:rsidRPr="006D3159" w:rsidRDefault="006D3159" w:rsidP="006D3159">
      <w:pPr>
        <w:pStyle w:val="Textonotapie"/>
        <w:rPr>
          <w:rFonts w:cs="Arial"/>
          <w:sz w:val="16"/>
          <w:szCs w:val="16"/>
          <w:lang w:val="es-C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057"/>
    <w:multiLevelType w:val="hybridMultilevel"/>
    <w:tmpl w:val="B93482C2"/>
    <w:lvl w:ilvl="0" w:tplc="04090017">
      <w:start w:val="1"/>
      <w:numFmt w:val="lowerLetter"/>
      <w:lvlText w:val="%1)"/>
      <w:lvlJc w:val="left"/>
      <w:pPr>
        <w:ind w:left="1068" w:hanging="360"/>
      </w:pPr>
      <w:rPr>
        <w:b w:val="0"/>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 w15:restartNumberingAfterBreak="0">
    <w:nsid w:val="05FC320B"/>
    <w:multiLevelType w:val="hybridMultilevel"/>
    <w:tmpl w:val="95FC487E"/>
    <w:lvl w:ilvl="0" w:tplc="94809758">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6C5F42"/>
    <w:multiLevelType w:val="hybridMultilevel"/>
    <w:tmpl w:val="0C2AEC5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E0A7AE1"/>
    <w:multiLevelType w:val="multilevel"/>
    <w:tmpl w:val="976A5FA6"/>
    <w:lvl w:ilvl="0">
      <w:start w:val="1"/>
      <w:numFmt w:val="decimal"/>
      <w:lvlText w:val="%1."/>
      <w:lvlJc w:val="left"/>
      <w:pPr>
        <w:ind w:left="1211" w:hanging="360"/>
      </w:pPr>
      <w:rPr>
        <w:rFonts w:ascii="Verdana" w:hAnsi="Verdana" w:hint="default"/>
        <w:b w:val="0"/>
        <w:i w:val="0"/>
        <w:sz w:val="20"/>
        <w:szCs w:val="20"/>
        <w:lang w:val="es-CR"/>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E8103F"/>
    <w:multiLevelType w:val="hybridMultilevel"/>
    <w:tmpl w:val="B1E65DDE"/>
    <w:lvl w:ilvl="0" w:tplc="0546C094">
      <w:start w:val="1"/>
      <w:numFmt w:val="decimal"/>
      <w:lvlText w:val="%1."/>
      <w:lvlJc w:val="left"/>
      <w:pPr>
        <w:ind w:left="1080" w:hanging="360"/>
      </w:pPr>
      <w:rPr>
        <w:rFonts w:hint="default"/>
      </w:rPr>
    </w:lvl>
    <w:lvl w:ilvl="1" w:tplc="9E662AE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37286B"/>
    <w:multiLevelType w:val="hybridMultilevel"/>
    <w:tmpl w:val="B93482C2"/>
    <w:lvl w:ilvl="0" w:tplc="04090017">
      <w:start w:val="1"/>
      <w:numFmt w:val="lowerLetter"/>
      <w:lvlText w:val="%1)"/>
      <w:lvlJc w:val="left"/>
      <w:pPr>
        <w:ind w:left="1068" w:hanging="360"/>
      </w:pPr>
      <w:rPr>
        <w:b w:val="0"/>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7" w15:restartNumberingAfterBreak="0">
    <w:nsid w:val="3B10138E"/>
    <w:multiLevelType w:val="hybridMultilevel"/>
    <w:tmpl w:val="B93482C2"/>
    <w:lvl w:ilvl="0" w:tplc="04090017">
      <w:start w:val="1"/>
      <w:numFmt w:val="lowerLetter"/>
      <w:lvlText w:val="%1)"/>
      <w:lvlJc w:val="left"/>
      <w:pPr>
        <w:ind w:left="1068" w:hanging="360"/>
      </w:pPr>
      <w:rPr>
        <w:b w:val="0"/>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8" w15:restartNumberingAfterBreak="0">
    <w:nsid w:val="3BA44C05"/>
    <w:multiLevelType w:val="hybridMultilevel"/>
    <w:tmpl w:val="23FCDE72"/>
    <w:styleLink w:val="ImportedStyle1"/>
    <w:lvl w:ilvl="0" w:tplc="663461B6">
      <w:start w:val="1"/>
      <w:numFmt w:val="decimal"/>
      <w:lvlText w:val="%1."/>
      <w:lvlJc w:val="left"/>
      <w:pPr>
        <w:ind w:left="540" w:hanging="5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E480D8">
      <w:start w:val="1"/>
      <w:numFmt w:val="lowerLetter"/>
      <w:lvlText w:val="%2."/>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AE274">
      <w:start w:val="1"/>
      <w:numFmt w:val="lowerRoman"/>
      <w:lvlText w:val="%3."/>
      <w:lvlJc w:val="left"/>
      <w:pPr>
        <w:tabs>
          <w:tab w:val="left" w:pos="540"/>
        </w:tabs>
        <w:ind w:left="144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A0C22">
      <w:start w:val="1"/>
      <w:numFmt w:val="decimal"/>
      <w:lvlText w:val="%4."/>
      <w:lvlJc w:val="left"/>
      <w:pPr>
        <w:tabs>
          <w:tab w:val="left" w:pos="540"/>
        </w:tabs>
        <w:ind w:left="216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A430CE">
      <w:start w:val="1"/>
      <w:numFmt w:val="lowerLetter"/>
      <w:lvlText w:val="%5."/>
      <w:lvlJc w:val="left"/>
      <w:pPr>
        <w:tabs>
          <w:tab w:val="left" w:pos="540"/>
        </w:tabs>
        <w:ind w:left="288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348524">
      <w:start w:val="1"/>
      <w:numFmt w:val="lowerRoman"/>
      <w:lvlText w:val="%6."/>
      <w:lvlJc w:val="left"/>
      <w:pPr>
        <w:tabs>
          <w:tab w:val="left" w:pos="540"/>
        </w:tabs>
        <w:ind w:left="360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03F70">
      <w:start w:val="1"/>
      <w:numFmt w:val="decimal"/>
      <w:lvlText w:val="%7."/>
      <w:lvlJc w:val="left"/>
      <w:pPr>
        <w:tabs>
          <w:tab w:val="left" w:pos="540"/>
        </w:tabs>
        <w:ind w:left="43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CE436">
      <w:start w:val="1"/>
      <w:numFmt w:val="lowerLetter"/>
      <w:lvlText w:val="%8."/>
      <w:lvlJc w:val="left"/>
      <w:pPr>
        <w:tabs>
          <w:tab w:val="left" w:pos="540"/>
        </w:tabs>
        <w:ind w:left="504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BE8C4A">
      <w:start w:val="1"/>
      <w:numFmt w:val="lowerRoman"/>
      <w:lvlText w:val="%9."/>
      <w:lvlJc w:val="left"/>
      <w:pPr>
        <w:tabs>
          <w:tab w:val="left" w:pos="540"/>
        </w:tabs>
        <w:ind w:left="576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731B6"/>
    <w:multiLevelType w:val="hybridMultilevel"/>
    <w:tmpl w:val="4AAE7D5A"/>
    <w:lvl w:ilvl="0" w:tplc="5520FEA0">
      <w:start w:val="6"/>
      <w:numFmt w:val="decimal"/>
      <w:lvlText w:val="%1."/>
      <w:lvlJc w:val="left"/>
      <w:pPr>
        <w:ind w:left="1070" w:hanging="360"/>
      </w:pPr>
      <w:rPr>
        <w:rFonts w:ascii="Verdana" w:eastAsia="Calibri" w:hAnsi="Verdan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15:restartNumberingAfterBreak="0">
    <w:nsid w:val="62081F2A"/>
    <w:multiLevelType w:val="hybridMultilevel"/>
    <w:tmpl w:val="9FA88704"/>
    <w:lvl w:ilvl="0" w:tplc="140A000F">
      <w:start w:val="1"/>
      <w:numFmt w:val="decimal"/>
      <w:lvlText w:val="%1."/>
      <w:lvlJc w:val="left"/>
      <w:pPr>
        <w:ind w:left="-774" w:hanging="360"/>
      </w:pPr>
    </w:lvl>
    <w:lvl w:ilvl="1" w:tplc="140A0019" w:tentative="1">
      <w:start w:val="1"/>
      <w:numFmt w:val="lowerLetter"/>
      <w:lvlText w:val="%2."/>
      <w:lvlJc w:val="left"/>
      <w:pPr>
        <w:ind w:left="-54" w:hanging="360"/>
      </w:pPr>
    </w:lvl>
    <w:lvl w:ilvl="2" w:tplc="140A001B" w:tentative="1">
      <w:start w:val="1"/>
      <w:numFmt w:val="lowerRoman"/>
      <w:lvlText w:val="%3."/>
      <w:lvlJc w:val="right"/>
      <w:pPr>
        <w:ind w:left="666" w:hanging="180"/>
      </w:pPr>
    </w:lvl>
    <w:lvl w:ilvl="3" w:tplc="140A000F" w:tentative="1">
      <w:start w:val="1"/>
      <w:numFmt w:val="decimal"/>
      <w:lvlText w:val="%4."/>
      <w:lvlJc w:val="left"/>
      <w:pPr>
        <w:ind w:left="1386" w:hanging="360"/>
      </w:pPr>
    </w:lvl>
    <w:lvl w:ilvl="4" w:tplc="140A0019" w:tentative="1">
      <w:start w:val="1"/>
      <w:numFmt w:val="lowerLetter"/>
      <w:lvlText w:val="%5."/>
      <w:lvlJc w:val="left"/>
      <w:pPr>
        <w:ind w:left="2106" w:hanging="360"/>
      </w:pPr>
    </w:lvl>
    <w:lvl w:ilvl="5" w:tplc="140A001B" w:tentative="1">
      <w:start w:val="1"/>
      <w:numFmt w:val="lowerRoman"/>
      <w:lvlText w:val="%6."/>
      <w:lvlJc w:val="right"/>
      <w:pPr>
        <w:ind w:left="2826" w:hanging="180"/>
      </w:pPr>
    </w:lvl>
    <w:lvl w:ilvl="6" w:tplc="140A000F" w:tentative="1">
      <w:start w:val="1"/>
      <w:numFmt w:val="decimal"/>
      <w:lvlText w:val="%7."/>
      <w:lvlJc w:val="left"/>
      <w:pPr>
        <w:ind w:left="3546" w:hanging="360"/>
      </w:pPr>
    </w:lvl>
    <w:lvl w:ilvl="7" w:tplc="140A0019" w:tentative="1">
      <w:start w:val="1"/>
      <w:numFmt w:val="lowerLetter"/>
      <w:lvlText w:val="%8."/>
      <w:lvlJc w:val="left"/>
      <w:pPr>
        <w:ind w:left="4266" w:hanging="360"/>
      </w:pPr>
    </w:lvl>
    <w:lvl w:ilvl="8" w:tplc="140A001B" w:tentative="1">
      <w:start w:val="1"/>
      <w:numFmt w:val="lowerRoman"/>
      <w:lvlText w:val="%9."/>
      <w:lvlJc w:val="right"/>
      <w:pPr>
        <w:ind w:left="4986" w:hanging="180"/>
      </w:pPr>
    </w:lvl>
  </w:abstractNum>
  <w:abstractNum w:abstractNumId="13" w15:restartNumberingAfterBreak="0">
    <w:nsid w:val="79354707"/>
    <w:multiLevelType w:val="hybridMultilevel"/>
    <w:tmpl w:val="D3482DF2"/>
    <w:lvl w:ilvl="0" w:tplc="E878CDC4">
      <w:start w:val="1"/>
      <w:numFmt w:val="decimal"/>
      <w:lvlText w:val="%1."/>
      <w:lvlJc w:val="left"/>
      <w:pPr>
        <w:ind w:left="7305"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16cid:durableId="2043166940">
    <w:abstractNumId w:val="3"/>
  </w:num>
  <w:num w:numId="2" w16cid:durableId="1255820793">
    <w:abstractNumId w:val="9"/>
  </w:num>
  <w:num w:numId="3" w16cid:durableId="368338711">
    <w:abstractNumId w:val="5"/>
  </w:num>
  <w:num w:numId="4" w16cid:durableId="652832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0448714">
    <w:abstractNumId w:val="8"/>
  </w:num>
  <w:num w:numId="6" w16cid:durableId="614024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3139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3603192">
    <w:abstractNumId w:val="0"/>
  </w:num>
  <w:num w:numId="9" w16cid:durableId="1829637170">
    <w:abstractNumId w:val="6"/>
  </w:num>
  <w:num w:numId="10" w16cid:durableId="1880435909">
    <w:abstractNumId w:val="7"/>
  </w:num>
  <w:num w:numId="11" w16cid:durableId="1793092224">
    <w:abstractNumId w:val="13"/>
  </w:num>
  <w:num w:numId="12" w16cid:durableId="569465965">
    <w:abstractNumId w:val="4"/>
  </w:num>
  <w:num w:numId="13" w16cid:durableId="1681197193">
    <w:abstractNumId w:val="11"/>
  </w:num>
  <w:num w:numId="14" w16cid:durableId="1281765029">
    <w:abstractNumId w:val="10"/>
  </w:num>
  <w:num w:numId="15" w16cid:durableId="16660868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16"/>
    <w:rsid w:val="00002749"/>
    <w:rsid w:val="000176BB"/>
    <w:rsid w:val="00025086"/>
    <w:rsid w:val="000508B6"/>
    <w:rsid w:val="00054D66"/>
    <w:rsid w:val="00056E57"/>
    <w:rsid w:val="00064B26"/>
    <w:rsid w:val="000653C2"/>
    <w:rsid w:val="00066A69"/>
    <w:rsid w:val="000725E4"/>
    <w:rsid w:val="00074B67"/>
    <w:rsid w:val="000753C7"/>
    <w:rsid w:val="00080FD2"/>
    <w:rsid w:val="00083489"/>
    <w:rsid w:val="0008596B"/>
    <w:rsid w:val="000901AB"/>
    <w:rsid w:val="00090559"/>
    <w:rsid w:val="00096823"/>
    <w:rsid w:val="000A0776"/>
    <w:rsid w:val="000B15FD"/>
    <w:rsid w:val="000C4077"/>
    <w:rsid w:val="000D2EAA"/>
    <w:rsid w:val="000E7FAE"/>
    <w:rsid w:val="000F0120"/>
    <w:rsid w:val="000F6887"/>
    <w:rsid w:val="0010377C"/>
    <w:rsid w:val="00105001"/>
    <w:rsid w:val="00105AB8"/>
    <w:rsid w:val="001062D5"/>
    <w:rsid w:val="00110556"/>
    <w:rsid w:val="0011211B"/>
    <w:rsid w:val="00114200"/>
    <w:rsid w:val="00121688"/>
    <w:rsid w:val="001268C5"/>
    <w:rsid w:val="00136FBA"/>
    <w:rsid w:val="00140196"/>
    <w:rsid w:val="0014109D"/>
    <w:rsid w:val="00142347"/>
    <w:rsid w:val="001430FB"/>
    <w:rsid w:val="0015064C"/>
    <w:rsid w:val="001523C1"/>
    <w:rsid w:val="00167380"/>
    <w:rsid w:val="001772DF"/>
    <w:rsid w:val="00190F6E"/>
    <w:rsid w:val="0019200D"/>
    <w:rsid w:val="001921B6"/>
    <w:rsid w:val="001B07E3"/>
    <w:rsid w:val="001B12CA"/>
    <w:rsid w:val="001B599B"/>
    <w:rsid w:val="001B62C9"/>
    <w:rsid w:val="001B680E"/>
    <w:rsid w:val="001C29E4"/>
    <w:rsid w:val="001D557D"/>
    <w:rsid w:val="001D565A"/>
    <w:rsid w:val="001D5BF4"/>
    <w:rsid w:val="001D6AEB"/>
    <w:rsid w:val="001E592D"/>
    <w:rsid w:val="001E6E6D"/>
    <w:rsid w:val="001F241D"/>
    <w:rsid w:val="002025CD"/>
    <w:rsid w:val="00207A2A"/>
    <w:rsid w:val="00210C11"/>
    <w:rsid w:val="00214D3E"/>
    <w:rsid w:val="0021767B"/>
    <w:rsid w:val="00217BCC"/>
    <w:rsid w:val="00221D3E"/>
    <w:rsid w:val="00222187"/>
    <w:rsid w:val="0022316C"/>
    <w:rsid w:val="00226D02"/>
    <w:rsid w:val="002316FA"/>
    <w:rsid w:val="00234096"/>
    <w:rsid w:val="00235346"/>
    <w:rsid w:val="00241F90"/>
    <w:rsid w:val="002478C7"/>
    <w:rsid w:val="00247CE0"/>
    <w:rsid w:val="00254547"/>
    <w:rsid w:val="00264747"/>
    <w:rsid w:val="002667D1"/>
    <w:rsid w:val="00271B21"/>
    <w:rsid w:val="002761D7"/>
    <w:rsid w:val="002A1E37"/>
    <w:rsid w:val="002A5E94"/>
    <w:rsid w:val="002B37D0"/>
    <w:rsid w:val="002B45C8"/>
    <w:rsid w:val="002C35E6"/>
    <w:rsid w:val="002C55E5"/>
    <w:rsid w:val="002C56E0"/>
    <w:rsid w:val="002C684D"/>
    <w:rsid w:val="002D09F5"/>
    <w:rsid w:val="002D37A3"/>
    <w:rsid w:val="002D37DA"/>
    <w:rsid w:val="002D65AB"/>
    <w:rsid w:val="002E5FF5"/>
    <w:rsid w:val="002F080E"/>
    <w:rsid w:val="002F0FF5"/>
    <w:rsid w:val="002F21AD"/>
    <w:rsid w:val="002F5A43"/>
    <w:rsid w:val="00304FC0"/>
    <w:rsid w:val="00317B9E"/>
    <w:rsid w:val="003248AE"/>
    <w:rsid w:val="003378B5"/>
    <w:rsid w:val="00354A24"/>
    <w:rsid w:val="00362EF1"/>
    <w:rsid w:val="00364CE4"/>
    <w:rsid w:val="00372207"/>
    <w:rsid w:val="00377A9D"/>
    <w:rsid w:val="003800CF"/>
    <w:rsid w:val="00390DC3"/>
    <w:rsid w:val="00397DF2"/>
    <w:rsid w:val="003B178A"/>
    <w:rsid w:val="003B5A0B"/>
    <w:rsid w:val="003C5D70"/>
    <w:rsid w:val="003C6B58"/>
    <w:rsid w:val="003D10D0"/>
    <w:rsid w:val="003E5988"/>
    <w:rsid w:val="003E5D77"/>
    <w:rsid w:val="003F0125"/>
    <w:rsid w:val="003F37A6"/>
    <w:rsid w:val="003F65B9"/>
    <w:rsid w:val="00404CAA"/>
    <w:rsid w:val="00412576"/>
    <w:rsid w:val="0043009F"/>
    <w:rsid w:val="00436D25"/>
    <w:rsid w:val="00436F04"/>
    <w:rsid w:val="00443AB4"/>
    <w:rsid w:val="00445A6D"/>
    <w:rsid w:val="00446328"/>
    <w:rsid w:val="00454CF5"/>
    <w:rsid w:val="004570E5"/>
    <w:rsid w:val="00461E94"/>
    <w:rsid w:val="00466A26"/>
    <w:rsid w:val="00467516"/>
    <w:rsid w:val="00471D83"/>
    <w:rsid w:val="00491045"/>
    <w:rsid w:val="0049300B"/>
    <w:rsid w:val="00497B99"/>
    <w:rsid w:val="004A4400"/>
    <w:rsid w:val="004C3044"/>
    <w:rsid w:val="004C63B2"/>
    <w:rsid w:val="004C7410"/>
    <w:rsid w:val="004C7DD9"/>
    <w:rsid w:val="004D19BA"/>
    <w:rsid w:val="004D2A8A"/>
    <w:rsid w:val="004D7ECF"/>
    <w:rsid w:val="0050134A"/>
    <w:rsid w:val="005039F3"/>
    <w:rsid w:val="00503CA9"/>
    <w:rsid w:val="00505B56"/>
    <w:rsid w:val="005114A6"/>
    <w:rsid w:val="00513FB5"/>
    <w:rsid w:val="005205C2"/>
    <w:rsid w:val="00520A12"/>
    <w:rsid w:val="00522701"/>
    <w:rsid w:val="00523FCC"/>
    <w:rsid w:val="00530549"/>
    <w:rsid w:val="005339D7"/>
    <w:rsid w:val="00533D83"/>
    <w:rsid w:val="00543CF0"/>
    <w:rsid w:val="005622BB"/>
    <w:rsid w:val="00562B60"/>
    <w:rsid w:val="00565C70"/>
    <w:rsid w:val="0058291A"/>
    <w:rsid w:val="005879F4"/>
    <w:rsid w:val="00595BCC"/>
    <w:rsid w:val="005B0504"/>
    <w:rsid w:val="005C1BC6"/>
    <w:rsid w:val="005D4B02"/>
    <w:rsid w:val="006023CA"/>
    <w:rsid w:val="00604CAC"/>
    <w:rsid w:val="00605A7E"/>
    <w:rsid w:val="00613D97"/>
    <w:rsid w:val="006146E8"/>
    <w:rsid w:val="00635466"/>
    <w:rsid w:val="006418F0"/>
    <w:rsid w:val="0064527F"/>
    <w:rsid w:val="00654122"/>
    <w:rsid w:val="006549F9"/>
    <w:rsid w:val="00655DF6"/>
    <w:rsid w:val="00661BF7"/>
    <w:rsid w:val="00665DD2"/>
    <w:rsid w:val="00667F73"/>
    <w:rsid w:val="00671BF2"/>
    <w:rsid w:val="00677487"/>
    <w:rsid w:val="00677EB7"/>
    <w:rsid w:val="00695E6D"/>
    <w:rsid w:val="0069630E"/>
    <w:rsid w:val="006A06FC"/>
    <w:rsid w:val="006A3375"/>
    <w:rsid w:val="006A708F"/>
    <w:rsid w:val="006B0525"/>
    <w:rsid w:val="006C13B7"/>
    <w:rsid w:val="006C1554"/>
    <w:rsid w:val="006C3298"/>
    <w:rsid w:val="006C7DDC"/>
    <w:rsid w:val="006D21AB"/>
    <w:rsid w:val="006D26D6"/>
    <w:rsid w:val="006D3159"/>
    <w:rsid w:val="006D5DB2"/>
    <w:rsid w:val="006E0A18"/>
    <w:rsid w:val="006F2319"/>
    <w:rsid w:val="007014A5"/>
    <w:rsid w:val="00717EDD"/>
    <w:rsid w:val="0072160A"/>
    <w:rsid w:val="0073088D"/>
    <w:rsid w:val="007403F5"/>
    <w:rsid w:val="00741CF1"/>
    <w:rsid w:val="00744FA0"/>
    <w:rsid w:val="00750FE9"/>
    <w:rsid w:val="00771716"/>
    <w:rsid w:val="00772CF7"/>
    <w:rsid w:val="00773E86"/>
    <w:rsid w:val="00774978"/>
    <w:rsid w:val="0078052E"/>
    <w:rsid w:val="00782926"/>
    <w:rsid w:val="00785EE9"/>
    <w:rsid w:val="007901B2"/>
    <w:rsid w:val="00794B92"/>
    <w:rsid w:val="007B0815"/>
    <w:rsid w:val="007B2D56"/>
    <w:rsid w:val="007B4A97"/>
    <w:rsid w:val="007B7D1D"/>
    <w:rsid w:val="007C4270"/>
    <w:rsid w:val="007C4ED3"/>
    <w:rsid w:val="007D7CAA"/>
    <w:rsid w:val="007E1E6B"/>
    <w:rsid w:val="007E78F2"/>
    <w:rsid w:val="0080157D"/>
    <w:rsid w:val="00810FFD"/>
    <w:rsid w:val="0081227B"/>
    <w:rsid w:val="008127CE"/>
    <w:rsid w:val="00821FA5"/>
    <w:rsid w:val="008244E9"/>
    <w:rsid w:val="008254BE"/>
    <w:rsid w:val="00833C12"/>
    <w:rsid w:val="008349B0"/>
    <w:rsid w:val="008364D8"/>
    <w:rsid w:val="00842E01"/>
    <w:rsid w:val="008510E6"/>
    <w:rsid w:val="00851B50"/>
    <w:rsid w:val="00856541"/>
    <w:rsid w:val="00873717"/>
    <w:rsid w:val="0087580C"/>
    <w:rsid w:val="008761A1"/>
    <w:rsid w:val="0088325F"/>
    <w:rsid w:val="008945B7"/>
    <w:rsid w:val="008A21A9"/>
    <w:rsid w:val="008A431D"/>
    <w:rsid w:val="008B3192"/>
    <w:rsid w:val="008B35D9"/>
    <w:rsid w:val="008B3A58"/>
    <w:rsid w:val="008B5701"/>
    <w:rsid w:val="008C2FE4"/>
    <w:rsid w:val="008D67A8"/>
    <w:rsid w:val="008E5A68"/>
    <w:rsid w:val="008F31D6"/>
    <w:rsid w:val="008F434A"/>
    <w:rsid w:val="008F7B71"/>
    <w:rsid w:val="009049E9"/>
    <w:rsid w:val="009123F0"/>
    <w:rsid w:val="00912D70"/>
    <w:rsid w:val="00917604"/>
    <w:rsid w:val="0092241B"/>
    <w:rsid w:val="0092654E"/>
    <w:rsid w:val="00927458"/>
    <w:rsid w:val="00930580"/>
    <w:rsid w:val="009318E8"/>
    <w:rsid w:val="009352D9"/>
    <w:rsid w:val="009463F5"/>
    <w:rsid w:val="00954F1E"/>
    <w:rsid w:val="00956A31"/>
    <w:rsid w:val="00960C38"/>
    <w:rsid w:val="00961172"/>
    <w:rsid w:val="00964384"/>
    <w:rsid w:val="00964E7B"/>
    <w:rsid w:val="00971F4A"/>
    <w:rsid w:val="00983CA4"/>
    <w:rsid w:val="00984BE2"/>
    <w:rsid w:val="009926FC"/>
    <w:rsid w:val="00994215"/>
    <w:rsid w:val="00994A3F"/>
    <w:rsid w:val="009951E1"/>
    <w:rsid w:val="009970C0"/>
    <w:rsid w:val="009A026E"/>
    <w:rsid w:val="009A078E"/>
    <w:rsid w:val="009A2DC8"/>
    <w:rsid w:val="009A6095"/>
    <w:rsid w:val="009C15C6"/>
    <w:rsid w:val="009C2F37"/>
    <w:rsid w:val="009C6A90"/>
    <w:rsid w:val="009D10D3"/>
    <w:rsid w:val="009D5BBC"/>
    <w:rsid w:val="009E03F1"/>
    <w:rsid w:val="009E187A"/>
    <w:rsid w:val="009E36B4"/>
    <w:rsid w:val="009E5B7E"/>
    <w:rsid w:val="009F0B17"/>
    <w:rsid w:val="00A04B9C"/>
    <w:rsid w:val="00A05D96"/>
    <w:rsid w:val="00A10ABF"/>
    <w:rsid w:val="00A12D72"/>
    <w:rsid w:val="00A1565E"/>
    <w:rsid w:val="00A17C8B"/>
    <w:rsid w:val="00A17E90"/>
    <w:rsid w:val="00A20EEE"/>
    <w:rsid w:val="00A20F6E"/>
    <w:rsid w:val="00A22E91"/>
    <w:rsid w:val="00A251F9"/>
    <w:rsid w:val="00A316A6"/>
    <w:rsid w:val="00A316CD"/>
    <w:rsid w:val="00A33359"/>
    <w:rsid w:val="00A41AF7"/>
    <w:rsid w:val="00A43896"/>
    <w:rsid w:val="00A5185F"/>
    <w:rsid w:val="00A52E73"/>
    <w:rsid w:val="00A67BE6"/>
    <w:rsid w:val="00A705E3"/>
    <w:rsid w:val="00A83C64"/>
    <w:rsid w:val="00AA3AF9"/>
    <w:rsid w:val="00AA4B23"/>
    <w:rsid w:val="00AB2AD5"/>
    <w:rsid w:val="00AB3AB0"/>
    <w:rsid w:val="00AC00A6"/>
    <w:rsid w:val="00AC4E0D"/>
    <w:rsid w:val="00AC585B"/>
    <w:rsid w:val="00AD1563"/>
    <w:rsid w:val="00AF0882"/>
    <w:rsid w:val="00AF3E9E"/>
    <w:rsid w:val="00B10D77"/>
    <w:rsid w:val="00B2132C"/>
    <w:rsid w:val="00B24754"/>
    <w:rsid w:val="00B36299"/>
    <w:rsid w:val="00B40804"/>
    <w:rsid w:val="00B42DDE"/>
    <w:rsid w:val="00B57788"/>
    <w:rsid w:val="00B6245B"/>
    <w:rsid w:val="00B70CAE"/>
    <w:rsid w:val="00B77101"/>
    <w:rsid w:val="00B85477"/>
    <w:rsid w:val="00BA25AC"/>
    <w:rsid w:val="00BA3181"/>
    <w:rsid w:val="00BA6835"/>
    <w:rsid w:val="00BB6503"/>
    <w:rsid w:val="00BC2B71"/>
    <w:rsid w:val="00BD3B9C"/>
    <w:rsid w:val="00BD6719"/>
    <w:rsid w:val="00BD7BBF"/>
    <w:rsid w:val="00BE32BB"/>
    <w:rsid w:val="00BE694A"/>
    <w:rsid w:val="00BF35F0"/>
    <w:rsid w:val="00BF373F"/>
    <w:rsid w:val="00C00B1C"/>
    <w:rsid w:val="00C01B2E"/>
    <w:rsid w:val="00C01EE4"/>
    <w:rsid w:val="00C03F01"/>
    <w:rsid w:val="00C05D4F"/>
    <w:rsid w:val="00C10093"/>
    <w:rsid w:val="00C100E3"/>
    <w:rsid w:val="00C11457"/>
    <w:rsid w:val="00C1205E"/>
    <w:rsid w:val="00C12182"/>
    <w:rsid w:val="00C1468F"/>
    <w:rsid w:val="00C16C7B"/>
    <w:rsid w:val="00C16F77"/>
    <w:rsid w:val="00C2134F"/>
    <w:rsid w:val="00C24E96"/>
    <w:rsid w:val="00C2670C"/>
    <w:rsid w:val="00C30A0D"/>
    <w:rsid w:val="00C32DC3"/>
    <w:rsid w:val="00C34A63"/>
    <w:rsid w:val="00C403D1"/>
    <w:rsid w:val="00C45B86"/>
    <w:rsid w:val="00C529DF"/>
    <w:rsid w:val="00C54CB7"/>
    <w:rsid w:val="00C73DAD"/>
    <w:rsid w:val="00C874A7"/>
    <w:rsid w:val="00CB6899"/>
    <w:rsid w:val="00CC1AFA"/>
    <w:rsid w:val="00CC2603"/>
    <w:rsid w:val="00CC58D2"/>
    <w:rsid w:val="00CC63BE"/>
    <w:rsid w:val="00CC7E87"/>
    <w:rsid w:val="00CD152D"/>
    <w:rsid w:val="00CE112F"/>
    <w:rsid w:val="00CE37C5"/>
    <w:rsid w:val="00CE4855"/>
    <w:rsid w:val="00CF2E39"/>
    <w:rsid w:val="00CF51D7"/>
    <w:rsid w:val="00D12A53"/>
    <w:rsid w:val="00D233A1"/>
    <w:rsid w:val="00D353E4"/>
    <w:rsid w:val="00D40C5B"/>
    <w:rsid w:val="00D43F80"/>
    <w:rsid w:val="00D4412B"/>
    <w:rsid w:val="00D45579"/>
    <w:rsid w:val="00D50BA8"/>
    <w:rsid w:val="00D51AC8"/>
    <w:rsid w:val="00D5467B"/>
    <w:rsid w:val="00D54C6F"/>
    <w:rsid w:val="00D56F88"/>
    <w:rsid w:val="00D57776"/>
    <w:rsid w:val="00D600E6"/>
    <w:rsid w:val="00D642B6"/>
    <w:rsid w:val="00D6447D"/>
    <w:rsid w:val="00D664CD"/>
    <w:rsid w:val="00D7421B"/>
    <w:rsid w:val="00D7443B"/>
    <w:rsid w:val="00D81826"/>
    <w:rsid w:val="00D86497"/>
    <w:rsid w:val="00D8798C"/>
    <w:rsid w:val="00D907B0"/>
    <w:rsid w:val="00DA24C0"/>
    <w:rsid w:val="00DA4BDA"/>
    <w:rsid w:val="00DC2B71"/>
    <w:rsid w:val="00DD4BA6"/>
    <w:rsid w:val="00DE6A80"/>
    <w:rsid w:val="00DF1629"/>
    <w:rsid w:val="00DF45C6"/>
    <w:rsid w:val="00DF6312"/>
    <w:rsid w:val="00E04DEA"/>
    <w:rsid w:val="00E10C54"/>
    <w:rsid w:val="00E11D58"/>
    <w:rsid w:val="00E177C7"/>
    <w:rsid w:val="00E20EBB"/>
    <w:rsid w:val="00E258C4"/>
    <w:rsid w:val="00E27090"/>
    <w:rsid w:val="00E52193"/>
    <w:rsid w:val="00E52671"/>
    <w:rsid w:val="00E52B37"/>
    <w:rsid w:val="00E548F5"/>
    <w:rsid w:val="00E56348"/>
    <w:rsid w:val="00E56B37"/>
    <w:rsid w:val="00E60E76"/>
    <w:rsid w:val="00E61E6F"/>
    <w:rsid w:val="00E72142"/>
    <w:rsid w:val="00E721D8"/>
    <w:rsid w:val="00E75AB8"/>
    <w:rsid w:val="00E856E5"/>
    <w:rsid w:val="00EA102E"/>
    <w:rsid w:val="00EB0EAF"/>
    <w:rsid w:val="00EB4777"/>
    <w:rsid w:val="00ED5ADD"/>
    <w:rsid w:val="00ED719D"/>
    <w:rsid w:val="00EE16ED"/>
    <w:rsid w:val="00EE31FD"/>
    <w:rsid w:val="00EE45F8"/>
    <w:rsid w:val="00EE62DD"/>
    <w:rsid w:val="00EF19BD"/>
    <w:rsid w:val="00EF1E81"/>
    <w:rsid w:val="00EF42CB"/>
    <w:rsid w:val="00EF5117"/>
    <w:rsid w:val="00F13E49"/>
    <w:rsid w:val="00F205CB"/>
    <w:rsid w:val="00F24EB4"/>
    <w:rsid w:val="00F26391"/>
    <w:rsid w:val="00F34BA8"/>
    <w:rsid w:val="00F36CCB"/>
    <w:rsid w:val="00F519EF"/>
    <w:rsid w:val="00F5534E"/>
    <w:rsid w:val="00F653ED"/>
    <w:rsid w:val="00F76DD1"/>
    <w:rsid w:val="00F83A85"/>
    <w:rsid w:val="00F85E66"/>
    <w:rsid w:val="00F94D74"/>
    <w:rsid w:val="00FA2EAC"/>
    <w:rsid w:val="00FB16EA"/>
    <w:rsid w:val="00FB5CB3"/>
    <w:rsid w:val="00FD01AF"/>
    <w:rsid w:val="00FD2A3C"/>
    <w:rsid w:val="00FD4F2C"/>
    <w:rsid w:val="00FD5713"/>
    <w:rsid w:val="00FD6916"/>
    <w:rsid w:val="00FD7C03"/>
    <w:rsid w:val="00FE0425"/>
    <w:rsid w:val="00FE2E00"/>
    <w:rsid w:val="00FE3131"/>
    <w:rsid w:val="00FF057C"/>
    <w:rsid w:val="00FF2138"/>
    <w:rsid w:val="00FF5129"/>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EA9B"/>
  <w15:docId w15:val="{A00274EE-714C-4F65-9A7D-B9DF83DA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74"/>
    <w:pPr>
      <w:widowControl w:val="0"/>
      <w:adjustRightInd w:val="0"/>
      <w:spacing w:after="0" w:line="360" w:lineRule="atLeast"/>
      <w:jc w:val="both"/>
      <w:textAlignment w:val="baseline"/>
    </w:pPr>
    <w:rPr>
      <w:rFonts w:ascii="Verdana" w:eastAsia="Times New Roman" w:hAnsi="Verdana" w:cs="Times New Roman"/>
      <w:sz w:val="20"/>
      <w:szCs w:val="20"/>
      <w:lang w:val="es-CR" w:eastAsia="es-CR"/>
    </w:rPr>
  </w:style>
  <w:style w:type="paragraph" w:styleId="Ttulo1">
    <w:name w:val="heading 1"/>
    <w:basedOn w:val="Normal"/>
    <w:next w:val="Normal"/>
    <w:link w:val="Ttulo1Car"/>
    <w:uiPriority w:val="9"/>
    <w:qFormat/>
    <w:rsid w:val="00530549"/>
    <w:pPr>
      <w:keepNext/>
      <w:keepLines/>
      <w:tabs>
        <w:tab w:val="left" w:pos="851"/>
      </w:tabs>
      <w:spacing w:before="240" w:after="240" w:line="240" w:lineRule="auto"/>
      <w:jc w:val="center"/>
      <w:outlineLvl w:val="0"/>
    </w:pPr>
    <w:rPr>
      <w:rFonts w:cs="Verdana"/>
      <w:b/>
      <w:bCs/>
      <w:caps/>
      <w:snapToGrid w:val="0"/>
    </w:rPr>
  </w:style>
  <w:style w:type="paragraph" w:styleId="Ttulo2">
    <w:name w:val="heading 2"/>
    <w:basedOn w:val="Normal"/>
    <w:next w:val="Normal"/>
    <w:link w:val="Ttulo2Car"/>
    <w:uiPriority w:val="9"/>
    <w:unhideWhenUsed/>
    <w:qFormat/>
    <w:rsid w:val="00467516"/>
    <w:pPr>
      <w:keepNext/>
      <w:keepLines/>
      <w:tabs>
        <w:tab w:val="left" w:pos="1134"/>
      </w:tabs>
      <w:spacing w:before="240" w:after="240" w:line="240" w:lineRule="auto"/>
      <w:ind w:left="562"/>
      <w:outlineLvl w:val="1"/>
    </w:pPr>
    <w:rPr>
      <w:rFonts w:eastAsia="MS Mincho"/>
      <w:b/>
      <w:bCs/>
      <w:i/>
    </w:rPr>
  </w:style>
  <w:style w:type="paragraph" w:styleId="Ttulo3">
    <w:name w:val="heading 3"/>
    <w:basedOn w:val="Ttulo2"/>
    <w:next w:val="Normal"/>
    <w:link w:val="Ttulo3Car"/>
    <w:uiPriority w:val="9"/>
    <w:unhideWhenUsed/>
    <w:qFormat/>
    <w:rsid w:val="00F94D74"/>
    <w:pPr>
      <w:ind w:left="1170"/>
      <w:outlineLvl w:val="2"/>
    </w:pPr>
    <w:rPr>
      <w:rFonts w:eastAsia="Verdana" w:cs="Verdana"/>
      <w:b w:val="0"/>
    </w:rPr>
  </w:style>
  <w:style w:type="paragraph" w:styleId="Ttulo4">
    <w:name w:val="heading 4"/>
    <w:basedOn w:val="Normal"/>
    <w:next w:val="Normal"/>
    <w:link w:val="Ttulo4Car"/>
    <w:uiPriority w:val="9"/>
    <w:unhideWhenUsed/>
    <w:qFormat/>
    <w:rsid w:val="00471D83"/>
    <w:pPr>
      <w:keepNext/>
      <w:keepLines/>
      <w:spacing w:before="240" w:after="240" w:line="240" w:lineRule="auto"/>
      <w:ind w:firstLine="720"/>
      <w:outlineLvl w:val="3"/>
    </w:pPr>
    <w:rPr>
      <w:rFonts w:eastAsia="MS Mincho" w:cstheme="majorBidi"/>
      <w:i/>
      <w:iCs/>
      <w:lang w:eastAsia="en-US"/>
    </w:rPr>
  </w:style>
  <w:style w:type="paragraph" w:styleId="Ttulo5">
    <w:name w:val="heading 5"/>
    <w:basedOn w:val="Normal"/>
    <w:next w:val="Normal"/>
    <w:link w:val="Ttulo5Car"/>
    <w:uiPriority w:val="9"/>
    <w:semiHidden/>
    <w:unhideWhenUsed/>
    <w:qFormat/>
    <w:rsid w:val="00467516"/>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Ttulo5"/>
    <w:next w:val="Normal"/>
    <w:link w:val="Ttulo6Car"/>
    <w:uiPriority w:val="9"/>
    <w:unhideWhenUsed/>
    <w:qFormat/>
    <w:rsid w:val="00467516"/>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0549"/>
    <w:rPr>
      <w:rFonts w:ascii="Verdana" w:eastAsia="Times New Roman" w:hAnsi="Verdana" w:cs="Verdana"/>
      <w:b/>
      <w:bCs/>
      <w:caps/>
      <w:snapToGrid w:val="0"/>
      <w:sz w:val="20"/>
      <w:szCs w:val="20"/>
      <w:lang w:val="es-CR" w:eastAsia="es-CR"/>
    </w:rPr>
  </w:style>
  <w:style w:type="character" w:customStyle="1" w:styleId="Ttulo2Car">
    <w:name w:val="Título 2 Car"/>
    <w:basedOn w:val="Fuentedeprrafopredeter"/>
    <w:link w:val="Ttulo2"/>
    <w:uiPriority w:val="9"/>
    <w:rsid w:val="00467516"/>
    <w:rPr>
      <w:rFonts w:ascii="Verdana" w:eastAsia="MS Mincho" w:hAnsi="Verdana" w:cs="Times New Roman"/>
      <w:b/>
      <w:bCs/>
      <w:i/>
      <w:sz w:val="20"/>
      <w:szCs w:val="20"/>
      <w:lang w:val="es-CR" w:eastAsia="es-CR"/>
    </w:rPr>
  </w:style>
  <w:style w:type="character" w:customStyle="1" w:styleId="Ttulo3Car">
    <w:name w:val="Título 3 Car"/>
    <w:basedOn w:val="Fuentedeprrafopredeter"/>
    <w:link w:val="Ttulo3"/>
    <w:uiPriority w:val="9"/>
    <w:rsid w:val="00F94D74"/>
    <w:rPr>
      <w:rFonts w:ascii="Verdana" w:eastAsia="Verdana" w:hAnsi="Verdana" w:cs="Verdana"/>
      <w:bCs/>
      <w:i/>
      <w:sz w:val="20"/>
      <w:szCs w:val="20"/>
      <w:lang w:val="es-CR" w:eastAsia="es-CR"/>
    </w:rPr>
  </w:style>
  <w:style w:type="character" w:customStyle="1" w:styleId="Ttulo4Car">
    <w:name w:val="Título 4 Car"/>
    <w:basedOn w:val="Fuentedeprrafopredeter"/>
    <w:link w:val="Ttulo4"/>
    <w:uiPriority w:val="9"/>
    <w:rsid w:val="00471D83"/>
    <w:rPr>
      <w:rFonts w:ascii="Verdana" w:eastAsia="MS Mincho" w:hAnsi="Verdana" w:cstheme="majorBidi"/>
      <w:i/>
      <w:iCs/>
      <w:sz w:val="20"/>
      <w:szCs w:val="20"/>
      <w:lang w:val="es-CR"/>
    </w:rPr>
  </w:style>
  <w:style w:type="character" w:customStyle="1" w:styleId="Ttulo5Car">
    <w:name w:val="Título 5 Car"/>
    <w:basedOn w:val="Fuentedeprrafopredeter"/>
    <w:link w:val="Ttulo5"/>
    <w:uiPriority w:val="9"/>
    <w:semiHidden/>
    <w:rsid w:val="00467516"/>
    <w:rPr>
      <w:rFonts w:asciiTheme="majorHAnsi" w:eastAsiaTheme="majorEastAsia" w:hAnsiTheme="majorHAnsi" w:cstheme="majorBidi"/>
      <w:color w:val="1F4D78" w:themeColor="accent1" w:themeShade="7F"/>
      <w:sz w:val="24"/>
      <w:szCs w:val="24"/>
      <w:lang w:val="es-CR" w:eastAsia="es-CR"/>
    </w:rPr>
  </w:style>
  <w:style w:type="character" w:customStyle="1" w:styleId="Ttulo6Car">
    <w:name w:val="Título 6 Car"/>
    <w:basedOn w:val="Fuentedeprrafopredeter"/>
    <w:link w:val="Ttulo6"/>
    <w:uiPriority w:val="9"/>
    <w:rsid w:val="00467516"/>
    <w:rPr>
      <w:rFonts w:ascii="Verdana" w:eastAsia="Times New Roman" w:hAnsi="Verdana" w:cs="Times New Roman"/>
      <w:spacing w:val="-2"/>
      <w:sz w:val="20"/>
      <w:szCs w:val="20"/>
      <w:lang w:val="es-ES_tradnl" w:eastAsia="es-CR"/>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467516"/>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467516"/>
    <w:pPr>
      <w:spacing w:line="240" w:lineRule="auto"/>
    </w:pPr>
    <w:rPr>
      <w:lang w:val="es-ES_tradnl"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qFormat/>
    <w:rsid w:val="00467516"/>
    <w:rPr>
      <w:rFonts w:ascii="Verdana" w:eastAsia="Times New Roman" w:hAnsi="Verdana" w:cs="Times New Roman"/>
      <w:sz w:val="2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67516"/>
    <w:pPr>
      <w:widowControl/>
      <w:adjustRightInd/>
      <w:spacing w:line="240" w:lineRule="auto"/>
      <w:textAlignment w:val="auto"/>
    </w:pPr>
    <w:rPr>
      <w:rFonts w:asciiTheme="minorHAnsi" w:eastAsiaTheme="minorHAnsi" w:hAnsiTheme="minorHAnsi" w:cstheme="minorBidi"/>
      <w:sz w:val="22"/>
      <w:szCs w:val="22"/>
      <w:vertAlign w:val="superscript"/>
      <w:lang w:val="en-US" w:eastAsia="en-US"/>
    </w:rPr>
  </w:style>
  <w:style w:type="character" w:styleId="Nmerodelnea">
    <w:name w:val="line number"/>
    <w:basedOn w:val="Fuentedeprrafopredeter"/>
    <w:uiPriority w:val="99"/>
    <w:semiHidden/>
    <w:unhideWhenUsed/>
    <w:rsid w:val="00467516"/>
  </w:style>
  <w:style w:type="paragraph" w:styleId="Encabezado">
    <w:name w:val="header"/>
    <w:basedOn w:val="Normal"/>
    <w:link w:val="EncabezadoCar"/>
    <w:uiPriority w:val="99"/>
    <w:unhideWhenUsed/>
    <w:rsid w:val="004675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67516"/>
    <w:rPr>
      <w:rFonts w:ascii="Verdana" w:eastAsia="Times New Roman" w:hAnsi="Verdana" w:cs="Times New Roman"/>
      <w:sz w:val="24"/>
      <w:szCs w:val="24"/>
      <w:lang w:val="es-CR" w:eastAsia="es-CR"/>
    </w:rPr>
  </w:style>
  <w:style w:type="paragraph" w:styleId="Piedepgina">
    <w:name w:val="footer"/>
    <w:basedOn w:val="Normal"/>
    <w:link w:val="PiedepginaCar"/>
    <w:uiPriority w:val="99"/>
    <w:unhideWhenUsed/>
    <w:rsid w:val="004675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67516"/>
    <w:rPr>
      <w:rFonts w:ascii="Verdana" w:eastAsia="Times New Roman" w:hAnsi="Verdana" w:cs="Times New Roman"/>
      <w:sz w:val="24"/>
      <w:szCs w:val="24"/>
      <w:lang w:val="es-CR" w:eastAsia="es-CR"/>
    </w:rPr>
  </w:style>
  <w:style w:type="paragraph" w:styleId="Prrafodelista">
    <w:name w:val="List Paragraph"/>
    <w:aliases w:val="List Paragraph2,Lista vistosa - Énfasis 11,Párrafo de lista1,Footnote,List Paragraph1,Colorful List - Accent 11,Parrafos,Subtle Emphasis1,Footnote1,List Paragraph11"/>
    <w:basedOn w:val="Normal"/>
    <w:link w:val="PrrafodelistaCar"/>
    <w:qFormat/>
    <w:rsid w:val="00467516"/>
    <w:pPr>
      <w:ind w:left="708"/>
    </w:pPr>
  </w:style>
  <w:style w:type="character" w:customStyle="1" w:styleId="PrrafodelistaCar">
    <w:name w:val="Párrafo de lista Car"/>
    <w:aliases w:val="List Paragraph2 Car,Lista vistosa - Énfasis 11 Car,Párrafo de lista1 Car,Footnote Car,List Paragraph1 Car,Colorful List - Accent 11 Car,Parrafos Car,Subtle Emphasis1 Car,Footnote1 Car,List Paragraph11 Car"/>
    <w:basedOn w:val="Fuentedeprrafopredeter"/>
    <w:link w:val="Prrafodelista"/>
    <w:rsid w:val="00467516"/>
    <w:rPr>
      <w:rFonts w:ascii="Verdana" w:eastAsia="Times New Roman" w:hAnsi="Verdana" w:cs="Times New Roman"/>
      <w:sz w:val="24"/>
      <w:szCs w:val="24"/>
      <w:lang w:val="es-CR" w:eastAsia="es-CR"/>
    </w:rPr>
  </w:style>
  <w:style w:type="character" w:styleId="Textoennegrita">
    <w:name w:val="Strong"/>
    <w:aliases w:val="Heading 2.1"/>
    <w:basedOn w:val="Fuentedeprrafopredeter"/>
    <w:uiPriority w:val="22"/>
    <w:qFormat/>
    <w:rsid w:val="00467516"/>
    <w:rPr>
      <w:b/>
      <w:bCs/>
    </w:rPr>
  </w:style>
  <w:style w:type="paragraph" w:styleId="NormalWeb">
    <w:name w:val="Normal (Web)"/>
    <w:aliases w:val="Normal (Web) Char1,Normal (Web) Char Char,Normal (Web) Char1 Char,Normal (Web) Char Char Char"/>
    <w:basedOn w:val="Normal"/>
    <w:uiPriority w:val="99"/>
    <w:unhideWhenUsed/>
    <w:rsid w:val="00467516"/>
    <w:rPr>
      <w:rFonts w:ascii="Times New Roman" w:hAnsi="Times New Roman"/>
    </w:rPr>
  </w:style>
  <w:style w:type="character" w:customStyle="1" w:styleId="apple-converted-space">
    <w:name w:val="apple-converted-space"/>
    <w:basedOn w:val="Fuentedeprrafopredeter"/>
    <w:rsid w:val="00467516"/>
  </w:style>
  <w:style w:type="character" w:styleId="Hipervnculo">
    <w:name w:val="Hyperlink"/>
    <w:basedOn w:val="Fuentedeprrafopredeter"/>
    <w:uiPriority w:val="99"/>
    <w:unhideWhenUsed/>
    <w:rsid w:val="00467516"/>
    <w:rPr>
      <w:color w:val="0563C1" w:themeColor="hyperlink"/>
      <w:u w:val="single"/>
    </w:rPr>
  </w:style>
  <w:style w:type="paragraph" w:styleId="TtuloTDC">
    <w:name w:val="TOC Heading"/>
    <w:basedOn w:val="Ttulo1"/>
    <w:next w:val="Normal"/>
    <w:uiPriority w:val="39"/>
    <w:unhideWhenUsed/>
    <w:qFormat/>
    <w:rsid w:val="00467516"/>
    <w:pPr>
      <w:widowControl/>
      <w:adjustRightInd/>
      <w:spacing w:line="276" w:lineRule="auto"/>
      <w:jc w:val="left"/>
      <w:textAlignment w:val="auto"/>
      <w:outlineLvl w:val="9"/>
    </w:pPr>
    <w:rPr>
      <w:lang w:val="en-US" w:eastAsia="ja-JP"/>
    </w:rPr>
  </w:style>
  <w:style w:type="paragraph" w:styleId="TDC1">
    <w:name w:val="toc 1"/>
    <w:basedOn w:val="Normal"/>
    <w:next w:val="Normal"/>
    <w:autoRedefine/>
    <w:uiPriority w:val="39"/>
    <w:unhideWhenUsed/>
    <w:rsid w:val="00467516"/>
    <w:pPr>
      <w:tabs>
        <w:tab w:val="right" w:leader="dot" w:pos="10070"/>
      </w:tabs>
      <w:spacing w:before="120" w:after="120" w:line="240" w:lineRule="auto"/>
    </w:pPr>
    <w:rPr>
      <w:rFonts w:eastAsia="MS Mincho"/>
      <w:b/>
      <w:noProof/>
    </w:rPr>
  </w:style>
  <w:style w:type="paragraph" w:styleId="TDC2">
    <w:name w:val="toc 2"/>
    <w:basedOn w:val="Normal"/>
    <w:next w:val="Normal"/>
    <w:autoRedefine/>
    <w:uiPriority w:val="39"/>
    <w:unhideWhenUsed/>
    <w:rsid w:val="00467516"/>
    <w:pPr>
      <w:tabs>
        <w:tab w:val="left" w:pos="450"/>
        <w:tab w:val="left" w:pos="630"/>
        <w:tab w:val="right" w:leader="dot" w:pos="10070"/>
      </w:tabs>
      <w:spacing w:line="240" w:lineRule="auto"/>
      <w:ind w:left="240"/>
    </w:pPr>
  </w:style>
  <w:style w:type="paragraph" w:styleId="Textodeglobo">
    <w:name w:val="Balloon Text"/>
    <w:basedOn w:val="Normal"/>
    <w:link w:val="TextodegloboCar"/>
    <w:uiPriority w:val="99"/>
    <w:semiHidden/>
    <w:unhideWhenUsed/>
    <w:rsid w:val="004675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516"/>
    <w:rPr>
      <w:rFonts w:ascii="Tahoma" w:eastAsia="Times New Roman" w:hAnsi="Tahoma" w:cs="Tahoma"/>
      <w:sz w:val="16"/>
      <w:szCs w:val="16"/>
      <w:lang w:val="es-CR" w:eastAsia="es-CR"/>
    </w:rPr>
  </w:style>
  <w:style w:type="table" w:styleId="Tablaconcuadrcula">
    <w:name w:val="Table Grid"/>
    <w:basedOn w:val="Tablanormal"/>
    <w:uiPriority w:val="59"/>
    <w:rsid w:val="0046751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inlista"/>
    <w:uiPriority w:val="99"/>
    <w:semiHidden/>
    <w:unhideWhenUsed/>
    <w:rsid w:val="00467516"/>
  </w:style>
  <w:style w:type="character" w:styleId="Refdecomentario">
    <w:name w:val="annotation reference"/>
    <w:basedOn w:val="Fuentedeprrafopredeter"/>
    <w:uiPriority w:val="99"/>
    <w:semiHidden/>
    <w:unhideWhenUsed/>
    <w:rsid w:val="00467516"/>
    <w:rPr>
      <w:sz w:val="16"/>
      <w:szCs w:val="16"/>
    </w:rPr>
  </w:style>
  <w:style w:type="paragraph" w:styleId="Textocomentario">
    <w:name w:val="annotation text"/>
    <w:basedOn w:val="Normal"/>
    <w:link w:val="TextocomentarioCar"/>
    <w:uiPriority w:val="99"/>
    <w:semiHidden/>
    <w:unhideWhenUsed/>
    <w:rsid w:val="00467516"/>
    <w:pPr>
      <w:widowControl/>
      <w:adjustRightInd/>
      <w:spacing w:after="200" w:line="240" w:lineRule="auto"/>
      <w:jc w:val="left"/>
      <w:textAlignment w:val="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467516"/>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467516"/>
    <w:rPr>
      <w:b/>
      <w:bCs/>
    </w:rPr>
  </w:style>
  <w:style w:type="character" w:customStyle="1" w:styleId="AsuntodelcomentarioCar">
    <w:name w:val="Asunto del comentario Car"/>
    <w:basedOn w:val="TextocomentarioCar"/>
    <w:link w:val="Asuntodelcomentario"/>
    <w:uiPriority w:val="99"/>
    <w:semiHidden/>
    <w:rsid w:val="00467516"/>
    <w:rPr>
      <w:b/>
      <w:bCs/>
      <w:sz w:val="20"/>
      <w:szCs w:val="20"/>
      <w:lang w:val="es-CR"/>
    </w:rPr>
  </w:style>
  <w:style w:type="character" w:customStyle="1" w:styleId="ListParagraphChar1">
    <w:name w:val="List Paragraph Char1"/>
    <w:aliases w:val="List Paragraph2 Char1,Lista vistosa - Énfasis 11 Char1,Párrafo de lista1 Char1,Footnote Char1,List Paragraph1 Char1"/>
    <w:basedOn w:val="Fuentedeprrafopredeter"/>
    <w:uiPriority w:val="34"/>
    <w:rsid w:val="00467516"/>
    <w:rPr>
      <w:rFonts w:ascii="Verdana" w:eastAsia="Times New Roman" w:hAnsi="Verdana" w:cs="Times New Roman"/>
      <w:sz w:val="24"/>
      <w:szCs w:val="24"/>
      <w:lang w:eastAsia="es-CR"/>
    </w:rPr>
  </w:style>
  <w:style w:type="paragraph" w:customStyle="1" w:styleId="Default">
    <w:name w:val="Default"/>
    <w:rsid w:val="00467516"/>
    <w:pPr>
      <w:autoSpaceDE w:val="0"/>
      <w:autoSpaceDN w:val="0"/>
      <w:adjustRightInd w:val="0"/>
      <w:spacing w:after="0" w:line="240" w:lineRule="auto"/>
    </w:pPr>
    <w:rPr>
      <w:rFonts w:ascii="Verdana" w:hAnsi="Verdana" w:cs="Verdana"/>
      <w:color w:val="000000"/>
      <w:sz w:val="24"/>
      <w:szCs w:val="24"/>
      <w:lang w:val="es-CR"/>
    </w:rPr>
  </w:style>
  <w:style w:type="paragraph" w:customStyle="1" w:styleId="PrrafodeSentencia">
    <w:name w:val="*. Párrafo de Sentencia"/>
    <w:basedOn w:val="Normal"/>
    <w:link w:val="PrrafodeSentenciaChar"/>
    <w:qFormat/>
    <w:rsid w:val="00467516"/>
    <w:pPr>
      <w:widowControl/>
      <w:numPr>
        <w:numId w:val="1"/>
      </w:numPr>
      <w:tabs>
        <w:tab w:val="left" w:pos="567"/>
      </w:tabs>
      <w:adjustRightInd/>
      <w:spacing w:line="240" w:lineRule="auto"/>
      <w:textAlignment w:val="auto"/>
    </w:pPr>
    <w:rPr>
      <w:rFonts w:eastAsia="Batang"/>
      <w:lang w:val="es-ES_tradnl" w:eastAsia="es-MX"/>
    </w:rPr>
  </w:style>
  <w:style w:type="character" w:customStyle="1" w:styleId="PrrafodeSentenciaChar">
    <w:name w:val="*. Párrafo de Sentencia Char"/>
    <w:link w:val="PrrafodeSentencia"/>
    <w:rsid w:val="00467516"/>
    <w:rPr>
      <w:rFonts w:ascii="Verdana" w:eastAsia="Batang" w:hAnsi="Verdana" w:cs="Times New Roman"/>
      <w:sz w:val="20"/>
      <w:szCs w:val="20"/>
      <w:lang w:val="es-ES_tradnl" w:eastAsia="es-MX"/>
    </w:rPr>
  </w:style>
  <w:style w:type="character" w:customStyle="1" w:styleId="shorttext">
    <w:name w:val="shorttext"/>
    <w:basedOn w:val="Fuentedeprrafopredeter"/>
    <w:rsid w:val="00467516"/>
  </w:style>
  <w:style w:type="paragraph" w:customStyle="1" w:styleId="Estilo4">
    <w:name w:val="Estilo4"/>
    <w:basedOn w:val="Prrafodelista"/>
    <w:qFormat/>
    <w:rsid w:val="00467516"/>
    <w:pPr>
      <w:widowControl/>
      <w:numPr>
        <w:ilvl w:val="1"/>
        <w:numId w:val="2"/>
      </w:numPr>
      <w:adjustRightInd/>
      <w:spacing w:after="120" w:line="240" w:lineRule="auto"/>
      <w:ind w:left="0" w:firstLine="357"/>
      <w:textAlignment w:val="auto"/>
    </w:pPr>
    <w:rPr>
      <w:spacing w:val="-2"/>
      <w:lang w:eastAsia="en-US"/>
    </w:rPr>
  </w:style>
  <w:style w:type="paragraph" w:customStyle="1" w:styleId="Numberedparagraphs">
    <w:name w:val="Numbered paragraphs"/>
    <w:basedOn w:val="Normal"/>
    <w:qFormat/>
    <w:rsid w:val="00467516"/>
    <w:pPr>
      <w:widowControl/>
      <w:adjustRightInd/>
      <w:spacing w:after="200" w:line="240" w:lineRule="auto"/>
      <w:textAlignment w:val="auto"/>
    </w:pPr>
    <w:rPr>
      <w:rFonts w:eastAsia="MS Mincho"/>
      <w:color w:val="000000"/>
      <w:lang w:val="es-ES_tradnl" w:eastAsia="en-US"/>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uiPriority w:val="99"/>
    <w:qFormat/>
    <w:rsid w:val="00467516"/>
    <w:rPr>
      <w:sz w:val="20"/>
      <w:szCs w:val="20"/>
    </w:rPr>
  </w:style>
  <w:style w:type="character" w:customStyle="1" w:styleId="column">
    <w:name w:val="column"/>
    <w:basedOn w:val="Fuentedeprrafopredeter"/>
    <w:rsid w:val="00467516"/>
  </w:style>
  <w:style w:type="character" w:customStyle="1" w:styleId="summarytext">
    <w:name w:val="summarytext"/>
    <w:basedOn w:val="Fuentedeprrafopredeter"/>
    <w:rsid w:val="00467516"/>
  </w:style>
  <w:style w:type="character" w:customStyle="1" w:styleId="textcolumn">
    <w:name w:val="textcolumn"/>
    <w:basedOn w:val="Fuentedeprrafopredeter"/>
    <w:rsid w:val="00467516"/>
  </w:style>
  <w:style w:type="character" w:customStyle="1" w:styleId="more">
    <w:name w:val="more"/>
    <w:basedOn w:val="Fuentedeprrafopredeter"/>
    <w:rsid w:val="00467516"/>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467516"/>
    <w:pPr>
      <w:widowControl/>
      <w:adjustRightInd/>
      <w:spacing w:after="160" w:line="240" w:lineRule="exact"/>
      <w:jc w:val="left"/>
      <w:textAlignment w:val="auto"/>
    </w:pPr>
    <w:rPr>
      <w:rFonts w:eastAsiaTheme="minorHAnsi" w:cstheme="minorBidi"/>
      <w:vertAlign w:val="superscript"/>
      <w:lang w:eastAsia="en-US"/>
    </w:rPr>
  </w:style>
  <w:style w:type="paragraph" w:styleId="Sinespaciado">
    <w:name w:val="No Spacing"/>
    <w:link w:val="SinespaciadoCar"/>
    <w:uiPriority w:val="1"/>
    <w:qFormat/>
    <w:rsid w:val="00467516"/>
    <w:pPr>
      <w:spacing w:after="0" w:line="240" w:lineRule="auto"/>
    </w:pPr>
    <w:rPr>
      <w:lang w:val="es-CR"/>
    </w:rPr>
  </w:style>
  <w:style w:type="character" w:customStyle="1" w:styleId="SinespaciadoCar">
    <w:name w:val="Sin espaciado Car"/>
    <w:basedOn w:val="Fuentedeprrafopredeter"/>
    <w:link w:val="Sinespaciado"/>
    <w:uiPriority w:val="1"/>
    <w:rsid w:val="00467516"/>
    <w:rPr>
      <w:lang w:val="es-CR"/>
    </w:rPr>
  </w:style>
  <w:style w:type="paragraph" w:styleId="Textoindependiente3">
    <w:name w:val="Body Text 3"/>
    <w:basedOn w:val="Normal"/>
    <w:link w:val="Textoindependiente3Car"/>
    <w:rsid w:val="00467516"/>
    <w:pPr>
      <w:widowControl/>
      <w:adjustRightInd/>
      <w:spacing w:after="120" w:line="240" w:lineRule="auto"/>
      <w:jc w:val="left"/>
      <w:textAlignment w:val="auto"/>
    </w:pPr>
    <w:rPr>
      <w:rFonts w:ascii="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467516"/>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semiHidden/>
    <w:unhideWhenUsed/>
    <w:rsid w:val="00467516"/>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467516"/>
    <w:rPr>
      <w:rFonts w:ascii="Verdana" w:eastAsia="Times New Roman" w:hAnsi="Verdana" w:cs="Times New Roman"/>
      <w:sz w:val="24"/>
      <w:szCs w:val="24"/>
      <w:lang w:val="es-CR" w:eastAsia="es-CR"/>
    </w:rPr>
  </w:style>
  <w:style w:type="paragraph" w:customStyle="1" w:styleId="Normal1">
    <w:name w:val="Normal1"/>
    <w:rsid w:val="00467516"/>
    <w:pPr>
      <w:widowControl w:val="0"/>
      <w:spacing w:after="0" w:line="240" w:lineRule="auto"/>
    </w:pPr>
    <w:rPr>
      <w:rFonts w:ascii="Times New Roman" w:eastAsia="Times New Roman" w:hAnsi="Times New Roman" w:cs="Times New Roman"/>
      <w:sz w:val="24"/>
      <w:szCs w:val="24"/>
      <w:lang w:val="es-CR"/>
    </w:rPr>
  </w:style>
  <w:style w:type="paragraph" w:styleId="Textodebloque">
    <w:name w:val="Block Text"/>
    <w:basedOn w:val="Normal"/>
    <w:rsid w:val="00467516"/>
    <w:pPr>
      <w:widowControl/>
      <w:tabs>
        <w:tab w:val="left" w:pos="720"/>
      </w:tabs>
      <w:adjustRightInd/>
      <w:spacing w:line="240" w:lineRule="auto"/>
      <w:ind w:left="720" w:right="720"/>
      <w:textAlignment w:val="auto"/>
    </w:pPr>
    <w:rPr>
      <w:rFonts w:ascii="Garamond" w:hAnsi="Garamond"/>
      <w:sz w:val="22"/>
      <w:lang w:val="en-GB" w:eastAsia="en-US"/>
    </w:rPr>
  </w:style>
  <w:style w:type="table" w:customStyle="1" w:styleId="GridTable5Dark-Accent11">
    <w:name w:val="Grid Table 5 Dark - Accent 11"/>
    <w:basedOn w:val="Tablanormal"/>
    <w:uiPriority w:val="50"/>
    <w:rsid w:val="004675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encinsinresolver1">
    <w:name w:val="Mención sin resolver1"/>
    <w:basedOn w:val="Fuentedeprrafopredeter"/>
    <w:uiPriority w:val="99"/>
    <w:semiHidden/>
    <w:unhideWhenUsed/>
    <w:rsid w:val="00467516"/>
    <w:rPr>
      <w:color w:val="605E5C"/>
      <w:shd w:val="clear" w:color="auto" w:fill="E1DFDD"/>
    </w:rPr>
  </w:style>
  <w:style w:type="character" w:customStyle="1" w:styleId="highlight">
    <w:name w:val="highlight"/>
    <w:basedOn w:val="Fuentedeprrafopredeter"/>
    <w:rsid w:val="00467516"/>
  </w:style>
  <w:style w:type="paragraph" w:customStyle="1" w:styleId="Prrafodelista2">
    <w:name w:val="Párrafo de lista2"/>
    <w:basedOn w:val="Normal"/>
    <w:uiPriority w:val="99"/>
    <w:rsid w:val="00467516"/>
    <w:pPr>
      <w:widowControl/>
      <w:adjustRightInd/>
      <w:spacing w:line="240" w:lineRule="auto"/>
      <w:ind w:left="720"/>
      <w:jc w:val="left"/>
      <w:textAlignment w:val="auto"/>
    </w:pPr>
    <w:rPr>
      <w:rFonts w:eastAsia="MS Mincho"/>
      <w:lang w:val="es-ES_tradnl" w:eastAsia="en-US"/>
    </w:rPr>
  </w:style>
  <w:style w:type="paragraph" w:styleId="TDC3">
    <w:name w:val="toc 3"/>
    <w:basedOn w:val="Normal"/>
    <w:next w:val="Normal"/>
    <w:autoRedefine/>
    <w:uiPriority w:val="39"/>
    <w:unhideWhenUsed/>
    <w:rsid w:val="00467516"/>
    <w:pPr>
      <w:tabs>
        <w:tab w:val="left" w:pos="1080"/>
        <w:tab w:val="left" w:pos="1260"/>
        <w:tab w:val="left" w:pos="1440"/>
        <w:tab w:val="left" w:pos="1530"/>
        <w:tab w:val="right" w:leader="dot" w:pos="10070"/>
      </w:tabs>
      <w:spacing w:line="240" w:lineRule="auto"/>
      <w:ind w:left="1080" w:hanging="270"/>
    </w:pPr>
  </w:style>
  <w:style w:type="paragraph" w:customStyle="1" w:styleId="Estilo1">
    <w:name w:val="Estilo1"/>
    <w:basedOn w:val="Normal"/>
    <w:link w:val="Estilo1Car"/>
    <w:qFormat/>
    <w:rsid w:val="00467516"/>
    <w:pPr>
      <w:widowControl/>
      <w:adjustRightInd/>
      <w:spacing w:after="120" w:line="240" w:lineRule="auto"/>
      <w:ind w:left="2018" w:right="6" w:hanging="180"/>
      <w:textAlignment w:val="auto"/>
    </w:pPr>
    <w:rPr>
      <w:rFonts w:eastAsia="Batang" w:cs="Times"/>
      <w:i/>
      <w:lang w:val="es-ES_tradnl" w:eastAsia="en-US"/>
    </w:rPr>
  </w:style>
  <w:style w:type="character" w:customStyle="1" w:styleId="Estilo1Car">
    <w:name w:val="Estilo1 Car"/>
    <w:basedOn w:val="Fuentedeprrafopredeter"/>
    <w:link w:val="Estilo1"/>
    <w:rsid w:val="00467516"/>
    <w:rPr>
      <w:rFonts w:ascii="Verdana" w:eastAsia="Batang" w:hAnsi="Verdana" w:cs="Times"/>
      <w:i/>
      <w:sz w:val="20"/>
      <w:szCs w:val="24"/>
      <w:lang w:val="es-ES_tradnl"/>
    </w:rPr>
  </w:style>
  <w:style w:type="numbering" w:customStyle="1" w:styleId="ImportedStyle1">
    <w:name w:val="Imported Style 1"/>
    <w:rsid w:val="00467516"/>
    <w:pPr>
      <w:numPr>
        <w:numId w:val="5"/>
      </w:numPr>
    </w:pPr>
  </w:style>
  <w:style w:type="character" w:customStyle="1" w:styleId="fontstyle01">
    <w:name w:val="fontstyle01"/>
    <w:basedOn w:val="Fuentedeprrafopredeter"/>
    <w:rsid w:val="00467516"/>
    <w:rPr>
      <w:rFonts w:ascii="Arial" w:hAnsi="Arial" w:cs="Arial" w:hint="default"/>
      <w:b w:val="0"/>
      <w:bCs w:val="0"/>
      <w:i w:val="0"/>
      <w:iCs w:val="0"/>
      <w:color w:val="000000"/>
      <w:sz w:val="24"/>
      <w:szCs w:val="24"/>
    </w:rPr>
  </w:style>
  <w:style w:type="paragraph" w:styleId="Textoindependiente2">
    <w:name w:val="Body Text 2"/>
    <w:basedOn w:val="Normal"/>
    <w:link w:val="Textoindependiente2Car"/>
    <w:uiPriority w:val="99"/>
    <w:semiHidden/>
    <w:unhideWhenUsed/>
    <w:rsid w:val="00F83A85"/>
    <w:pPr>
      <w:spacing w:after="120" w:line="480" w:lineRule="auto"/>
    </w:pPr>
  </w:style>
  <w:style w:type="character" w:customStyle="1" w:styleId="Textoindependiente2Car">
    <w:name w:val="Texto independiente 2 Car"/>
    <w:basedOn w:val="Fuentedeprrafopredeter"/>
    <w:link w:val="Textoindependiente2"/>
    <w:uiPriority w:val="99"/>
    <w:semiHidden/>
    <w:rsid w:val="00F83A85"/>
    <w:rPr>
      <w:rFonts w:ascii="Verdana" w:eastAsia="Times New Roman" w:hAnsi="Verdana" w:cs="Times New Roman"/>
      <w:sz w:val="24"/>
      <w:szCs w:val="24"/>
      <w:lang w:val="es-CR" w:eastAsia="es-CR"/>
    </w:rPr>
  </w:style>
  <w:style w:type="paragraph" w:customStyle="1" w:styleId="Textoindependiente20">
    <w:name w:val="Texto independiente2"/>
    <w:basedOn w:val="Normal"/>
    <w:rsid w:val="00F519EF"/>
    <w:pPr>
      <w:adjustRightInd/>
      <w:spacing w:line="240" w:lineRule="auto"/>
      <w:textAlignment w:val="auto"/>
    </w:pPr>
    <w:rPr>
      <w:rFonts w:ascii="Times" w:hAnsi="Times"/>
      <w:lang w:val="es-ES"/>
    </w:rPr>
  </w:style>
  <w:style w:type="paragraph" w:styleId="Textoindependiente">
    <w:name w:val="Body Text"/>
    <w:basedOn w:val="Normal"/>
    <w:link w:val="TextoindependienteCar"/>
    <w:uiPriority w:val="99"/>
    <w:semiHidden/>
    <w:unhideWhenUsed/>
    <w:rsid w:val="00EE16ED"/>
    <w:pPr>
      <w:spacing w:after="120"/>
    </w:pPr>
  </w:style>
  <w:style w:type="character" w:customStyle="1" w:styleId="TextoindependienteCar">
    <w:name w:val="Texto independiente Car"/>
    <w:basedOn w:val="Fuentedeprrafopredeter"/>
    <w:link w:val="Textoindependiente"/>
    <w:uiPriority w:val="99"/>
    <w:semiHidden/>
    <w:rsid w:val="00EE16ED"/>
    <w:rPr>
      <w:rFonts w:ascii="Verdana" w:eastAsia="Times New Roman" w:hAnsi="Verdana" w:cs="Times New Roman"/>
      <w:sz w:val="24"/>
      <w:szCs w:val="24"/>
      <w:lang w:val="es-CR" w:eastAsia="es-CR"/>
    </w:rPr>
  </w:style>
  <w:style w:type="character" w:customStyle="1" w:styleId="fontstyle21">
    <w:name w:val="fontstyle21"/>
    <w:basedOn w:val="Fuentedeprrafopredeter"/>
    <w:rsid w:val="005B0504"/>
    <w:rPr>
      <w:rFonts w:ascii="Helvetica-Oblique" w:hAnsi="Helvetica-Oblique" w:hint="default"/>
      <w:b w:val="0"/>
      <w:bCs w:val="0"/>
      <w:i/>
      <w:iCs/>
      <w:color w:val="2B2B2B"/>
      <w:sz w:val="16"/>
      <w:szCs w:val="16"/>
    </w:rPr>
  </w:style>
  <w:style w:type="paragraph" w:customStyle="1" w:styleId="1">
    <w:name w:val="1"/>
    <w:basedOn w:val="Normal"/>
    <w:rsid w:val="003248AE"/>
    <w:pPr>
      <w:widowControl/>
      <w:adjustRightInd/>
      <w:spacing w:after="160" w:line="240" w:lineRule="exact"/>
      <w:jc w:val="left"/>
      <w:textAlignment w:val="auto"/>
    </w:pPr>
    <w:rPr>
      <w:sz w:val="16"/>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0025">
      <w:bodyDiv w:val="1"/>
      <w:marLeft w:val="0"/>
      <w:marRight w:val="0"/>
      <w:marTop w:val="0"/>
      <w:marBottom w:val="0"/>
      <w:divBdr>
        <w:top w:val="none" w:sz="0" w:space="0" w:color="auto"/>
        <w:left w:val="none" w:sz="0" w:space="0" w:color="auto"/>
        <w:bottom w:val="none" w:sz="0" w:space="0" w:color="auto"/>
        <w:right w:val="none" w:sz="0" w:space="0" w:color="auto"/>
      </w:divBdr>
    </w:div>
    <w:div w:id="625744795">
      <w:bodyDiv w:val="1"/>
      <w:marLeft w:val="0"/>
      <w:marRight w:val="0"/>
      <w:marTop w:val="0"/>
      <w:marBottom w:val="0"/>
      <w:divBdr>
        <w:top w:val="none" w:sz="0" w:space="0" w:color="auto"/>
        <w:left w:val="none" w:sz="0" w:space="0" w:color="auto"/>
        <w:bottom w:val="none" w:sz="0" w:space="0" w:color="auto"/>
        <w:right w:val="none" w:sz="0" w:space="0" w:color="auto"/>
      </w:divBdr>
    </w:div>
    <w:div w:id="9851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lexdocs/laws/es/gt/gt004es.pdf" TargetMode="External"/><Relationship Id="rId2" Type="http://schemas.openxmlformats.org/officeDocument/2006/relationships/hyperlink" Target="http://www.corteidh.or.cr/docs/asuntos/rodriguez_revolorio_15_02_19.pdf" TargetMode="External"/><Relationship Id="rId1" Type="http://schemas.openxmlformats.org/officeDocument/2006/relationships/hyperlink" Target="http://www.corteidh.or.cr/docs/asuntos/rodriguez_revolorio_15_02_19.pdf" TargetMode="External"/><Relationship Id="rId4" Type="http://schemas.openxmlformats.org/officeDocument/2006/relationships/hyperlink" Target="https://www.wipo.int/edocs/lexdocs/laws/es/gt/gt004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6203-8949-4167-8F13-2CF8FDBE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22644</Words>
  <Characters>124545</Characters>
  <Application>Microsoft Office Word</Application>
  <DocSecurity>0</DocSecurity>
  <Lines>1037</Lines>
  <Paragraphs>293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Isaac Valerin</cp:lastModifiedBy>
  <cp:revision>6</cp:revision>
  <cp:lastPrinted>2022-12-15T23:29:00Z</cp:lastPrinted>
  <dcterms:created xsi:type="dcterms:W3CDTF">2019-12-02T19:41:00Z</dcterms:created>
  <dcterms:modified xsi:type="dcterms:W3CDTF">2022-12-15T23:29:00Z</dcterms:modified>
</cp:coreProperties>
</file>