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8A9A" w14:textId="77777777" w:rsidR="00AC4D2F" w:rsidRDefault="00AC4D2F" w:rsidP="00AA55A3">
      <w:pPr>
        <w:pStyle w:val="Ttulo"/>
        <w:spacing w:before="120"/>
        <w:ind w:left="-142" w:right="-138"/>
        <w:rPr>
          <w:rFonts w:eastAsia="MS Mincho"/>
        </w:rPr>
      </w:pPr>
    </w:p>
    <w:p w14:paraId="6141E79F" w14:textId="77777777" w:rsidR="00AC4D2F" w:rsidRDefault="00AC4D2F" w:rsidP="00AC4D2F">
      <w:pPr>
        <w:pStyle w:val="Ttulo"/>
        <w:ind w:left="-142" w:right="-138"/>
        <w:rPr>
          <w:rFonts w:eastAsia="MS Mincho"/>
        </w:rPr>
      </w:pPr>
    </w:p>
    <w:p w14:paraId="385FA903" w14:textId="1F73C900" w:rsidR="00DC4D22" w:rsidRDefault="00517E6D" w:rsidP="00517E6D">
      <w:pPr>
        <w:pStyle w:val="Ttulo"/>
        <w:tabs>
          <w:tab w:val="left" w:pos="1132"/>
        </w:tabs>
        <w:ind w:left="-142" w:right="-138"/>
        <w:jc w:val="both"/>
        <w:rPr>
          <w:rFonts w:eastAsia="MS Mincho"/>
        </w:rPr>
      </w:pPr>
      <w:r>
        <w:rPr>
          <w:rFonts w:eastAsia="MS Mincho"/>
        </w:rPr>
        <w:tab/>
      </w:r>
    </w:p>
    <w:p w14:paraId="1BB2F71C" w14:textId="77777777" w:rsidR="00E15A80" w:rsidRDefault="00E15A80" w:rsidP="00517E6D">
      <w:pPr>
        <w:pStyle w:val="Ttulo"/>
        <w:tabs>
          <w:tab w:val="left" w:pos="1132"/>
        </w:tabs>
        <w:ind w:left="-142" w:right="-138"/>
        <w:jc w:val="both"/>
        <w:rPr>
          <w:rFonts w:eastAsia="MS Mincho"/>
        </w:rPr>
      </w:pPr>
    </w:p>
    <w:p w14:paraId="3BBEB6FA" w14:textId="77777777" w:rsidR="00E15A80" w:rsidRDefault="00E15A80" w:rsidP="00517E6D">
      <w:pPr>
        <w:pStyle w:val="Ttulo"/>
        <w:tabs>
          <w:tab w:val="left" w:pos="1132"/>
        </w:tabs>
        <w:ind w:left="-142" w:right="-138"/>
        <w:jc w:val="both"/>
        <w:rPr>
          <w:rFonts w:eastAsia="MS Mincho"/>
        </w:rPr>
      </w:pPr>
    </w:p>
    <w:p w14:paraId="1E7E6B71" w14:textId="77777777" w:rsidR="00E15A80" w:rsidRDefault="00E15A80" w:rsidP="00517E6D">
      <w:pPr>
        <w:pStyle w:val="Ttulo"/>
        <w:tabs>
          <w:tab w:val="left" w:pos="1132"/>
        </w:tabs>
        <w:ind w:left="-142" w:right="-138"/>
        <w:jc w:val="both"/>
        <w:rPr>
          <w:rFonts w:eastAsia="MS Mincho"/>
        </w:rPr>
      </w:pPr>
    </w:p>
    <w:p w14:paraId="48E3AFAE" w14:textId="77777777" w:rsidR="00DC4D22" w:rsidRDefault="00DC4D22" w:rsidP="00AC4D2F">
      <w:pPr>
        <w:pStyle w:val="Ttulo"/>
        <w:ind w:left="-142" w:right="-138"/>
        <w:rPr>
          <w:rFonts w:eastAsia="MS Mincho"/>
        </w:rPr>
      </w:pPr>
    </w:p>
    <w:p w14:paraId="61D78D03" w14:textId="595C44A9" w:rsidR="00AC4D2F" w:rsidRPr="00897CBE" w:rsidRDefault="00AC4D2F" w:rsidP="00AC4D2F">
      <w:pPr>
        <w:pStyle w:val="Ttulo"/>
        <w:ind w:left="-142" w:right="-138"/>
        <w:rPr>
          <w:rFonts w:eastAsia="MS Mincho"/>
        </w:rPr>
      </w:pPr>
      <w:r w:rsidRPr="00897CBE">
        <w:rPr>
          <w:rFonts w:eastAsia="MS Mincho"/>
        </w:rPr>
        <w:t>CORTE INTERAMERICANA DE DERECHOS HUMANOS</w:t>
      </w:r>
      <w:r w:rsidR="0011579D" w:rsidRPr="002040C8">
        <w:footnoteReference w:customMarkFollows="1" w:id="1"/>
        <w:t>*</w:t>
      </w:r>
    </w:p>
    <w:p w14:paraId="25498E06" w14:textId="77777777" w:rsidR="00AC4D2F" w:rsidRDefault="00AC4D2F" w:rsidP="00AC4D2F">
      <w:pPr>
        <w:pStyle w:val="Ttulo"/>
        <w:ind w:left="-142" w:right="-138"/>
        <w:rPr>
          <w:rFonts w:eastAsia="MS Mincho"/>
        </w:rPr>
      </w:pPr>
    </w:p>
    <w:p w14:paraId="11DA3F2B" w14:textId="77777777" w:rsidR="00F21114" w:rsidRPr="00CF1787" w:rsidRDefault="00F21114" w:rsidP="00F21114">
      <w:pPr>
        <w:tabs>
          <w:tab w:val="left" w:pos="567"/>
        </w:tabs>
        <w:jc w:val="center"/>
        <w:rPr>
          <w:b/>
          <w:spacing w:val="-4"/>
          <w:lang w:val="es-CR"/>
        </w:rPr>
      </w:pPr>
      <w:bookmarkStart w:id="0" w:name="_Toc424833991"/>
      <w:bookmarkStart w:id="1" w:name="_Toc424834592"/>
      <w:bookmarkStart w:id="2" w:name="_Toc424834675"/>
      <w:bookmarkStart w:id="3" w:name="_Toc424834742"/>
      <w:r w:rsidRPr="00CF1787">
        <w:rPr>
          <w:b/>
          <w:spacing w:val="-4"/>
          <w:lang w:val="es-CR"/>
        </w:rPr>
        <w:t xml:space="preserve">CASO </w:t>
      </w:r>
      <w:bookmarkEnd w:id="0"/>
      <w:bookmarkEnd w:id="1"/>
      <w:bookmarkEnd w:id="2"/>
      <w:bookmarkEnd w:id="3"/>
      <w:r>
        <w:rPr>
          <w:b/>
          <w:spacing w:val="-4"/>
          <w:lang w:val="es-CR"/>
        </w:rPr>
        <w:t>OMEARA CARRASCAL Y OTROS VS. COLOMBIA</w:t>
      </w:r>
    </w:p>
    <w:p w14:paraId="7CB616EE" w14:textId="77777777" w:rsidR="00F21114" w:rsidRPr="00CF1787" w:rsidRDefault="00F21114" w:rsidP="00F21114">
      <w:pPr>
        <w:tabs>
          <w:tab w:val="left" w:pos="567"/>
        </w:tabs>
        <w:jc w:val="center"/>
        <w:rPr>
          <w:b/>
          <w:spacing w:val="-4"/>
          <w:lang w:val="es-CR"/>
        </w:rPr>
      </w:pPr>
    </w:p>
    <w:p w14:paraId="709A9F25" w14:textId="7DBB23BB" w:rsidR="00F21114" w:rsidRPr="00CF1787" w:rsidRDefault="00F21114" w:rsidP="00F21114">
      <w:pPr>
        <w:tabs>
          <w:tab w:val="left" w:pos="567"/>
        </w:tabs>
        <w:jc w:val="center"/>
        <w:rPr>
          <w:b/>
          <w:spacing w:val="-4"/>
          <w:lang w:val="es-CR"/>
        </w:rPr>
      </w:pPr>
      <w:bookmarkStart w:id="4" w:name="_Toc424833992"/>
      <w:bookmarkStart w:id="5" w:name="_Toc424834593"/>
      <w:bookmarkStart w:id="6" w:name="_Toc424834676"/>
      <w:bookmarkStart w:id="7" w:name="_Toc424834743"/>
      <w:r w:rsidRPr="00CF1787">
        <w:rPr>
          <w:b/>
          <w:spacing w:val="-4"/>
          <w:lang w:val="es-CR"/>
        </w:rPr>
        <w:t>SENTENCIA DE</w:t>
      </w:r>
      <w:r w:rsidR="003F1143">
        <w:rPr>
          <w:b/>
          <w:spacing w:val="-4"/>
          <w:lang w:val="es-CR"/>
        </w:rPr>
        <w:t xml:space="preserve"> 14</w:t>
      </w:r>
      <w:r w:rsidRPr="00CF1787">
        <w:rPr>
          <w:b/>
          <w:spacing w:val="-4"/>
          <w:lang w:val="es-CR"/>
        </w:rPr>
        <w:t xml:space="preserve"> </w:t>
      </w:r>
      <w:bookmarkEnd w:id="4"/>
      <w:bookmarkEnd w:id="5"/>
      <w:bookmarkEnd w:id="6"/>
      <w:bookmarkEnd w:id="7"/>
      <w:r w:rsidR="00305CD1">
        <w:rPr>
          <w:b/>
          <w:spacing w:val="-4"/>
          <w:lang w:val="es-CR"/>
        </w:rPr>
        <w:t xml:space="preserve">DE </w:t>
      </w:r>
      <w:r w:rsidR="00114F3C">
        <w:rPr>
          <w:b/>
          <w:spacing w:val="-4"/>
          <w:lang w:val="es-CR"/>
        </w:rPr>
        <w:t xml:space="preserve">OCTUBRE </w:t>
      </w:r>
      <w:r>
        <w:rPr>
          <w:b/>
          <w:spacing w:val="-4"/>
          <w:lang w:val="es-CR"/>
        </w:rPr>
        <w:t>DE</w:t>
      </w:r>
      <w:r w:rsidR="00305CD1">
        <w:rPr>
          <w:b/>
          <w:spacing w:val="-4"/>
          <w:lang w:val="es-CR"/>
        </w:rPr>
        <w:t xml:space="preserve"> 2019</w:t>
      </w:r>
    </w:p>
    <w:p w14:paraId="76D843DA" w14:textId="77777777" w:rsidR="00F21114" w:rsidRPr="00CF1787" w:rsidRDefault="00F21114" w:rsidP="00F21114">
      <w:pPr>
        <w:tabs>
          <w:tab w:val="left" w:pos="567"/>
        </w:tabs>
        <w:rPr>
          <w:spacing w:val="-4"/>
          <w:lang w:val="es-CR"/>
        </w:rPr>
      </w:pPr>
    </w:p>
    <w:p w14:paraId="61AFF44F" w14:textId="77777777" w:rsidR="00AC4D2F" w:rsidRPr="00897CBE" w:rsidRDefault="00F21114" w:rsidP="00AC4D2F">
      <w:pPr>
        <w:pStyle w:val="Subttulo"/>
        <w:ind w:left="-142" w:right="-138"/>
      </w:pPr>
      <w:r w:rsidRPr="00897CBE">
        <w:t xml:space="preserve"> </w:t>
      </w:r>
      <w:r w:rsidR="00AC4D2F" w:rsidRPr="00897CBE">
        <w:t>(</w:t>
      </w:r>
      <w:r w:rsidR="00032D02" w:rsidRPr="00032D02">
        <w:t xml:space="preserve">Interpretación de la Sentencia de </w:t>
      </w:r>
      <w:r w:rsidR="00AC4D2F" w:rsidRPr="00897CBE">
        <w:t>Fondo, Reparaciones y Costas)</w:t>
      </w:r>
    </w:p>
    <w:p w14:paraId="363C6D1E" w14:textId="77777777" w:rsidR="00AC4D2F" w:rsidRPr="00897CBE" w:rsidRDefault="00AC4D2F" w:rsidP="00AC4D2F">
      <w:pPr>
        <w:ind w:left="-142" w:right="-138"/>
        <w:rPr>
          <w:szCs w:val="20"/>
        </w:rPr>
      </w:pPr>
    </w:p>
    <w:p w14:paraId="4732D963" w14:textId="5F3D6730" w:rsidR="00AC4D2F" w:rsidRDefault="00D633D5" w:rsidP="00305CD1">
      <w:pPr>
        <w:ind w:right="-138"/>
        <w:rPr>
          <w:szCs w:val="20"/>
        </w:rPr>
      </w:pPr>
      <w:r>
        <w:rPr>
          <w:szCs w:val="20"/>
        </w:rPr>
        <w:t xml:space="preserve">    </w:t>
      </w:r>
      <w:bookmarkStart w:id="8" w:name="_GoBack"/>
      <w:bookmarkEnd w:id="8"/>
    </w:p>
    <w:p w14:paraId="72EC80A0" w14:textId="77777777" w:rsidR="00E15A80" w:rsidRDefault="00E15A80" w:rsidP="00305CD1">
      <w:pPr>
        <w:ind w:right="-138"/>
        <w:rPr>
          <w:szCs w:val="20"/>
        </w:rPr>
      </w:pPr>
    </w:p>
    <w:p w14:paraId="760F6B44" w14:textId="77777777" w:rsidR="00E15A80" w:rsidRPr="00897CBE" w:rsidRDefault="00E15A80" w:rsidP="00305CD1">
      <w:pPr>
        <w:ind w:right="-138"/>
        <w:rPr>
          <w:szCs w:val="20"/>
        </w:rPr>
      </w:pPr>
    </w:p>
    <w:p w14:paraId="04CA7B5E" w14:textId="4CA8411C" w:rsidR="00F21114" w:rsidRPr="00CF1787" w:rsidRDefault="00F21114" w:rsidP="00F21114">
      <w:pPr>
        <w:widowControl w:val="0"/>
        <w:tabs>
          <w:tab w:val="left" w:pos="567"/>
          <w:tab w:val="left" w:pos="720"/>
        </w:tabs>
        <w:adjustRightInd w:val="0"/>
        <w:textAlignment w:val="baseline"/>
        <w:rPr>
          <w:rFonts w:cs="Verdana"/>
          <w:i/>
          <w:iCs/>
          <w:spacing w:val="-4"/>
          <w:szCs w:val="20"/>
          <w:lang w:val="es-CR" w:eastAsia="es-CR"/>
        </w:rPr>
      </w:pPr>
      <w:r w:rsidRPr="00CF1787">
        <w:rPr>
          <w:rFonts w:cs="Verdana"/>
          <w:spacing w:val="-4"/>
          <w:szCs w:val="20"/>
          <w:lang w:val="es-CR" w:eastAsia="es-CR"/>
        </w:rPr>
        <w:t>En el caso</w:t>
      </w:r>
      <w:r w:rsidRPr="00CF1787">
        <w:rPr>
          <w:rFonts w:cs="Verdana"/>
          <w:i/>
          <w:iCs/>
          <w:spacing w:val="-4"/>
          <w:szCs w:val="20"/>
          <w:lang w:val="es-CR" w:eastAsia="es-CR"/>
        </w:rPr>
        <w:t xml:space="preserve"> </w:t>
      </w:r>
      <w:r>
        <w:rPr>
          <w:rFonts w:cs="Verdana"/>
          <w:i/>
          <w:iCs/>
          <w:spacing w:val="-4"/>
          <w:szCs w:val="20"/>
          <w:lang w:val="es-CR" w:eastAsia="es-CR"/>
        </w:rPr>
        <w:t>Omeara Carrascal y otros</w:t>
      </w:r>
      <w:r w:rsidR="00E31DDD">
        <w:rPr>
          <w:rFonts w:cs="Verdana"/>
          <w:i/>
          <w:iCs/>
          <w:spacing w:val="-4"/>
          <w:szCs w:val="20"/>
          <w:lang w:val="es-CR" w:eastAsia="es-CR"/>
        </w:rPr>
        <w:t xml:space="preserve"> Vs. Colombia, </w:t>
      </w:r>
      <w:r w:rsidRPr="00CF1787">
        <w:rPr>
          <w:rFonts w:cs="Verdana"/>
          <w:i/>
          <w:iCs/>
          <w:spacing w:val="-4"/>
          <w:szCs w:val="20"/>
          <w:lang w:val="es-CR" w:eastAsia="es-CR"/>
        </w:rPr>
        <w:t xml:space="preserve"> </w:t>
      </w:r>
    </w:p>
    <w:p w14:paraId="66EB74CD" w14:textId="77777777" w:rsidR="00F21114" w:rsidRPr="00CF1787" w:rsidRDefault="00F21114" w:rsidP="00F21114">
      <w:pPr>
        <w:widowControl w:val="0"/>
        <w:tabs>
          <w:tab w:val="left" w:pos="567"/>
          <w:tab w:val="left" w:pos="720"/>
        </w:tabs>
        <w:adjustRightInd w:val="0"/>
        <w:textAlignment w:val="baseline"/>
        <w:rPr>
          <w:rFonts w:cs="Verdana"/>
          <w:spacing w:val="-4"/>
          <w:szCs w:val="20"/>
          <w:lang w:val="es-CR" w:eastAsia="es-CR"/>
        </w:rPr>
      </w:pPr>
    </w:p>
    <w:p w14:paraId="71ECCA64" w14:textId="55D3447A" w:rsidR="00F21114" w:rsidRDefault="00F21114" w:rsidP="00F21114">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CR"/>
        </w:rPr>
        <w:t>la Corte Interamericana de Derechos Humanos (en adelante “la Corte Interamericana”, “la Corte” o “este Tribunal”)</w:t>
      </w:r>
      <w:r>
        <w:rPr>
          <w:rFonts w:cs="Verdana"/>
          <w:spacing w:val="-4"/>
          <w:szCs w:val="20"/>
          <w:lang w:val="es-CR" w:eastAsia="es-CR"/>
        </w:rPr>
        <w:t>, integrada por los siguientes J</w:t>
      </w:r>
      <w:r w:rsidRPr="00CF1787">
        <w:rPr>
          <w:rFonts w:cs="Verdana"/>
          <w:spacing w:val="-4"/>
          <w:szCs w:val="20"/>
          <w:lang w:val="es-CR" w:eastAsia="es-CR"/>
        </w:rPr>
        <w:t>ueces:</w:t>
      </w:r>
    </w:p>
    <w:p w14:paraId="241D4A14" w14:textId="77777777" w:rsidR="00F21114" w:rsidRPr="00CF1787" w:rsidRDefault="00F21114" w:rsidP="00F21114">
      <w:pPr>
        <w:widowControl w:val="0"/>
        <w:tabs>
          <w:tab w:val="left" w:pos="567"/>
          <w:tab w:val="left" w:pos="720"/>
        </w:tabs>
        <w:adjustRightInd w:val="0"/>
        <w:textAlignment w:val="baseline"/>
        <w:rPr>
          <w:rFonts w:cs="Verdana"/>
          <w:spacing w:val="-4"/>
          <w:szCs w:val="20"/>
          <w:lang w:val="es-CR" w:eastAsia="es-CR"/>
        </w:rPr>
      </w:pPr>
    </w:p>
    <w:p w14:paraId="12AF9C89" w14:textId="77777777" w:rsidR="00F21114" w:rsidRPr="00CF1787" w:rsidRDefault="00F21114" w:rsidP="00F21114">
      <w:pPr>
        <w:pStyle w:val="citaindirecta"/>
        <w:tabs>
          <w:tab w:val="left" w:pos="567"/>
          <w:tab w:val="left" w:pos="851"/>
        </w:tabs>
        <w:ind w:left="0" w:right="-174"/>
        <w:rPr>
          <w:spacing w:val="-4"/>
          <w:lang w:val="pt-BR"/>
        </w:rPr>
      </w:pPr>
      <w:r w:rsidRPr="00CF1787">
        <w:rPr>
          <w:spacing w:val="-4"/>
          <w:lang w:val="pt-BR"/>
        </w:rPr>
        <w:t>Eduardo Ferrer Mac-Gregor Poisot,</w:t>
      </w:r>
      <w:r>
        <w:rPr>
          <w:rFonts w:cs="Verdana"/>
          <w:spacing w:val="-4"/>
          <w:lang w:val="pt-BR"/>
        </w:rPr>
        <w:t xml:space="preserve"> P</w:t>
      </w:r>
      <w:r w:rsidRPr="00CF1787">
        <w:rPr>
          <w:rFonts w:cs="Verdana"/>
          <w:spacing w:val="-4"/>
          <w:lang w:val="pt-BR"/>
        </w:rPr>
        <w:t>residente;</w:t>
      </w:r>
    </w:p>
    <w:p w14:paraId="7615013E" w14:textId="24F6E645" w:rsidR="00F21114" w:rsidRPr="002605FA" w:rsidRDefault="00F21114" w:rsidP="00F21114">
      <w:pPr>
        <w:pStyle w:val="citaindirecta"/>
        <w:tabs>
          <w:tab w:val="left" w:pos="567"/>
          <w:tab w:val="left" w:pos="851"/>
        </w:tabs>
        <w:ind w:left="0" w:right="-174"/>
        <w:rPr>
          <w:spacing w:val="-4"/>
          <w:lang w:val="es-CR"/>
        </w:rPr>
      </w:pPr>
      <w:r w:rsidRPr="00CF1787">
        <w:rPr>
          <w:spacing w:val="-4"/>
          <w:lang w:val="es-CR"/>
        </w:rPr>
        <w:t xml:space="preserve">Eduardo Vio Grossi, </w:t>
      </w:r>
      <w:r>
        <w:rPr>
          <w:spacing w:val="-4"/>
          <w:lang w:val="es-CR"/>
        </w:rPr>
        <w:t>Vicepresidente;</w:t>
      </w:r>
    </w:p>
    <w:p w14:paraId="1EDDA0AF" w14:textId="77777777" w:rsidR="00F21114" w:rsidRPr="00CF1787" w:rsidRDefault="00F21114" w:rsidP="00F21114">
      <w:pPr>
        <w:tabs>
          <w:tab w:val="left" w:pos="567"/>
          <w:tab w:val="left" w:pos="720"/>
          <w:tab w:val="left" w:pos="851"/>
        </w:tabs>
        <w:ind w:right="-174"/>
        <w:rPr>
          <w:rFonts w:cs="Verdana"/>
          <w:spacing w:val="-4"/>
          <w:szCs w:val="20"/>
          <w:lang w:val="es-CR"/>
        </w:rPr>
      </w:pPr>
      <w:r w:rsidRPr="00CF1787">
        <w:rPr>
          <w:rFonts w:cs="Verdana"/>
          <w:spacing w:val="-4"/>
          <w:szCs w:val="20"/>
          <w:lang w:val="es-CR"/>
        </w:rPr>
        <w:t xml:space="preserve">Elizabeth Odio Benito, </w:t>
      </w:r>
      <w:r w:rsidRPr="00CF1787">
        <w:rPr>
          <w:spacing w:val="-4"/>
          <w:szCs w:val="20"/>
          <w:lang w:val="es-CR"/>
        </w:rPr>
        <w:t>Jueza,</w:t>
      </w:r>
      <w:r w:rsidRPr="00CF1787">
        <w:rPr>
          <w:rFonts w:cs="Verdana"/>
          <w:spacing w:val="-4"/>
          <w:szCs w:val="20"/>
          <w:lang w:val="es-CR"/>
        </w:rPr>
        <w:t xml:space="preserve"> </w:t>
      </w:r>
    </w:p>
    <w:p w14:paraId="376A2879" w14:textId="77777777" w:rsidR="00F21114" w:rsidRDefault="00F21114" w:rsidP="00F21114">
      <w:pPr>
        <w:tabs>
          <w:tab w:val="left" w:pos="567"/>
          <w:tab w:val="left" w:pos="720"/>
          <w:tab w:val="left" w:pos="851"/>
        </w:tabs>
        <w:ind w:right="-174"/>
        <w:rPr>
          <w:spacing w:val="-4"/>
          <w:szCs w:val="20"/>
          <w:lang w:val="es-CR"/>
        </w:rPr>
      </w:pPr>
      <w:r w:rsidRPr="00CF1787">
        <w:rPr>
          <w:spacing w:val="-4"/>
          <w:szCs w:val="20"/>
          <w:lang w:val="es-CR"/>
        </w:rPr>
        <w:t>Eugenio Raúl Zaffaroni,</w:t>
      </w:r>
      <w:r w:rsidRPr="00CF1787">
        <w:rPr>
          <w:rFonts w:cs="Verdana"/>
          <w:spacing w:val="-4"/>
          <w:szCs w:val="20"/>
          <w:lang w:val="es-CR"/>
        </w:rPr>
        <w:t xml:space="preserve"> </w:t>
      </w:r>
      <w:r w:rsidRPr="00CF1787">
        <w:rPr>
          <w:spacing w:val="-4"/>
          <w:szCs w:val="20"/>
          <w:lang w:val="es-CR"/>
        </w:rPr>
        <w:t>Juez</w:t>
      </w:r>
      <w:r>
        <w:rPr>
          <w:spacing w:val="-4"/>
          <w:szCs w:val="20"/>
          <w:lang w:val="es-CR"/>
        </w:rPr>
        <w:t>, y</w:t>
      </w:r>
    </w:p>
    <w:p w14:paraId="7E9F8E0F" w14:textId="77777777" w:rsidR="00F21114" w:rsidRPr="00CF1787" w:rsidRDefault="00F21114" w:rsidP="00F21114">
      <w:pPr>
        <w:tabs>
          <w:tab w:val="left" w:pos="567"/>
          <w:tab w:val="left" w:pos="720"/>
          <w:tab w:val="left" w:pos="851"/>
        </w:tabs>
        <w:ind w:right="-174"/>
        <w:rPr>
          <w:rFonts w:cs="Verdana"/>
          <w:spacing w:val="-4"/>
          <w:szCs w:val="20"/>
          <w:lang w:val="es-CR"/>
        </w:rPr>
      </w:pPr>
      <w:r w:rsidRPr="00CF1787">
        <w:t>Patricio Pazmiño Freire</w:t>
      </w:r>
      <w:r>
        <w:t>, Juez.</w:t>
      </w:r>
    </w:p>
    <w:p w14:paraId="4A19C910" w14:textId="77777777" w:rsidR="00F21114" w:rsidRPr="00CF1787" w:rsidRDefault="00F21114" w:rsidP="00F21114">
      <w:pPr>
        <w:widowControl w:val="0"/>
        <w:tabs>
          <w:tab w:val="left" w:pos="567"/>
          <w:tab w:val="left" w:pos="720"/>
        </w:tabs>
        <w:adjustRightInd w:val="0"/>
        <w:textAlignment w:val="baseline"/>
        <w:rPr>
          <w:rFonts w:cs="Verdana"/>
          <w:spacing w:val="-4"/>
          <w:szCs w:val="20"/>
          <w:lang w:val="es-CR" w:eastAsia="es-CR"/>
        </w:rPr>
      </w:pPr>
    </w:p>
    <w:p w14:paraId="5A434F24" w14:textId="534C8CA2" w:rsidR="00F21114" w:rsidRPr="00CF1787" w:rsidRDefault="00E31DDD" w:rsidP="00F21114">
      <w:pPr>
        <w:widowControl w:val="0"/>
        <w:tabs>
          <w:tab w:val="left" w:pos="567"/>
          <w:tab w:val="left" w:pos="720"/>
          <w:tab w:val="left" w:pos="7693"/>
        </w:tabs>
        <w:adjustRightInd w:val="0"/>
        <w:textAlignment w:val="baseline"/>
        <w:rPr>
          <w:rFonts w:cs="Verdana"/>
          <w:spacing w:val="-4"/>
          <w:szCs w:val="20"/>
          <w:lang w:val="es-CR" w:eastAsia="es-CR"/>
        </w:rPr>
      </w:pPr>
      <w:r>
        <w:rPr>
          <w:rFonts w:cs="Verdana"/>
          <w:spacing w:val="-4"/>
          <w:szCs w:val="20"/>
          <w:lang w:val="es-CR" w:eastAsia="es-CR"/>
        </w:rPr>
        <w:t>p</w:t>
      </w:r>
      <w:r w:rsidR="00F21114" w:rsidRPr="00CF1787">
        <w:rPr>
          <w:rFonts w:cs="Verdana"/>
          <w:spacing w:val="-4"/>
          <w:szCs w:val="20"/>
          <w:lang w:val="es-CR" w:eastAsia="es-CR"/>
        </w:rPr>
        <w:t>resente además,</w:t>
      </w:r>
      <w:r w:rsidR="00F21114">
        <w:rPr>
          <w:rFonts w:cs="Verdana"/>
          <w:spacing w:val="-4"/>
          <w:szCs w:val="20"/>
          <w:lang w:val="es-CR" w:eastAsia="es-CR"/>
        </w:rPr>
        <w:tab/>
      </w:r>
    </w:p>
    <w:p w14:paraId="633FFA3B" w14:textId="77777777" w:rsidR="00F21114" w:rsidRPr="00CF1787" w:rsidRDefault="00F21114" w:rsidP="00F21114">
      <w:pPr>
        <w:widowControl w:val="0"/>
        <w:tabs>
          <w:tab w:val="left" w:pos="567"/>
          <w:tab w:val="left" w:pos="720"/>
        </w:tabs>
        <w:adjustRightInd w:val="0"/>
        <w:textAlignment w:val="baseline"/>
        <w:rPr>
          <w:rFonts w:cs="Verdana"/>
          <w:spacing w:val="-4"/>
          <w:szCs w:val="20"/>
          <w:lang w:val="es-CR" w:eastAsia="es-CR"/>
        </w:rPr>
      </w:pPr>
    </w:p>
    <w:p w14:paraId="286FA7B1" w14:textId="77777777" w:rsidR="00F21114" w:rsidRPr="00CF1787" w:rsidRDefault="00F21114" w:rsidP="00F21114">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CR"/>
        </w:rPr>
        <w:t xml:space="preserve">Pablo Saavedra Alessandri, Secretario, y </w:t>
      </w:r>
    </w:p>
    <w:p w14:paraId="5E80E73F" w14:textId="77777777" w:rsidR="00AC4D2F" w:rsidRDefault="00AC4D2F" w:rsidP="00AC4D2F">
      <w:pPr>
        <w:ind w:right="-138"/>
      </w:pPr>
    </w:p>
    <w:p w14:paraId="3248822E" w14:textId="661F1DB6" w:rsidR="00744F47" w:rsidRDefault="00032D02" w:rsidP="00032D02">
      <w:pPr>
        <w:ind w:right="-138"/>
        <w:rPr>
          <w:b/>
        </w:rPr>
      </w:pPr>
      <w:r w:rsidRPr="000866D1">
        <w:rPr>
          <w:rFonts w:cs="Verdana"/>
          <w:spacing w:val="-2"/>
          <w:szCs w:val="20"/>
          <w:lang w:val="es-ES_tradnl"/>
        </w:rPr>
        <w:t>de conformidad con el artículo 67 de la Convención Americana sobre Derechos Humanos (en adelante también “la Convención Americana” o “la Convención”) y el artículo 68 del Reglamento de la Corte (en adelante “el Reglamento”), resuelve la</w:t>
      </w:r>
      <w:r w:rsidR="00E80643">
        <w:rPr>
          <w:rFonts w:cs="Verdana"/>
          <w:spacing w:val="-2"/>
          <w:szCs w:val="20"/>
          <w:lang w:val="es-ES_tradnl"/>
        </w:rPr>
        <w:t>s</w:t>
      </w:r>
      <w:r w:rsidRPr="000866D1">
        <w:rPr>
          <w:rFonts w:cs="Verdana"/>
          <w:spacing w:val="-2"/>
          <w:szCs w:val="20"/>
          <w:lang w:val="es-ES_tradnl"/>
        </w:rPr>
        <w:t xml:space="preserve"> solicitud</w:t>
      </w:r>
      <w:r w:rsidR="00E80643">
        <w:rPr>
          <w:rFonts w:cs="Verdana"/>
          <w:spacing w:val="-2"/>
          <w:szCs w:val="20"/>
          <w:lang w:val="es-ES_tradnl"/>
        </w:rPr>
        <w:t>es</w:t>
      </w:r>
      <w:r w:rsidRPr="000866D1">
        <w:rPr>
          <w:rFonts w:cs="Verdana"/>
          <w:spacing w:val="-2"/>
          <w:szCs w:val="20"/>
          <w:lang w:val="es-ES_tradnl"/>
        </w:rPr>
        <w:t xml:space="preserve"> de interpretación de la Sentencia </w:t>
      </w:r>
      <w:r w:rsidR="0086660F">
        <w:rPr>
          <w:rFonts w:cs="Verdana"/>
          <w:spacing w:val="-2"/>
          <w:szCs w:val="20"/>
          <w:lang w:val="es-ES_tradnl"/>
        </w:rPr>
        <w:t>sobre</w:t>
      </w:r>
      <w:r w:rsidR="0086660F" w:rsidRPr="000866D1">
        <w:rPr>
          <w:rFonts w:cs="Verdana"/>
          <w:spacing w:val="-2"/>
          <w:szCs w:val="20"/>
          <w:lang w:val="es-ES_tradnl"/>
        </w:rPr>
        <w:t xml:space="preserve"> </w:t>
      </w:r>
      <w:r w:rsidR="005D100C">
        <w:rPr>
          <w:rFonts w:cs="Verdana"/>
          <w:spacing w:val="-2"/>
          <w:szCs w:val="20"/>
          <w:lang w:val="es-ES_tradnl"/>
        </w:rPr>
        <w:t>F</w:t>
      </w:r>
      <w:r w:rsidRPr="000866D1">
        <w:rPr>
          <w:rFonts w:cs="Verdana"/>
          <w:spacing w:val="-2"/>
          <w:szCs w:val="20"/>
          <w:lang w:val="es-ES_tradnl"/>
        </w:rPr>
        <w:t xml:space="preserve">ondo, </w:t>
      </w:r>
      <w:r w:rsidR="005D100C">
        <w:rPr>
          <w:rFonts w:cs="Verdana"/>
          <w:spacing w:val="-2"/>
          <w:szCs w:val="20"/>
          <w:lang w:val="es-ES_tradnl"/>
        </w:rPr>
        <w:t>R</w:t>
      </w:r>
      <w:r w:rsidRPr="000866D1">
        <w:rPr>
          <w:rFonts w:cs="Verdana"/>
          <w:spacing w:val="-2"/>
          <w:szCs w:val="20"/>
          <w:lang w:val="es-ES_tradnl"/>
        </w:rPr>
        <w:t xml:space="preserve">eparaciones y </w:t>
      </w:r>
      <w:r w:rsidR="005D100C">
        <w:rPr>
          <w:rFonts w:cs="Verdana"/>
          <w:spacing w:val="-2"/>
          <w:szCs w:val="20"/>
          <w:lang w:val="es-ES_tradnl"/>
        </w:rPr>
        <w:t>C</w:t>
      </w:r>
      <w:r w:rsidRPr="000866D1">
        <w:rPr>
          <w:rFonts w:cs="Verdana"/>
          <w:spacing w:val="-2"/>
          <w:szCs w:val="20"/>
          <w:lang w:val="es-ES_tradnl"/>
        </w:rPr>
        <w:t xml:space="preserve">ostas emitida por este Tribunal </w:t>
      </w:r>
      <w:r>
        <w:rPr>
          <w:rFonts w:cs="Verdana"/>
          <w:spacing w:val="-2"/>
          <w:szCs w:val="20"/>
          <w:lang w:val="es-ES_tradnl"/>
        </w:rPr>
        <w:t xml:space="preserve">el </w:t>
      </w:r>
      <w:r w:rsidR="00F21114">
        <w:rPr>
          <w:rFonts w:cs="Verdana"/>
          <w:spacing w:val="-2"/>
          <w:szCs w:val="20"/>
          <w:lang w:val="es-ES_tradnl"/>
        </w:rPr>
        <w:t xml:space="preserve">21 de noviembre de 2018 </w:t>
      </w:r>
      <w:r w:rsidRPr="000866D1">
        <w:rPr>
          <w:rFonts w:cs="Verdana"/>
          <w:spacing w:val="-2"/>
          <w:szCs w:val="20"/>
          <w:lang w:val="es-ES_tradnl"/>
        </w:rPr>
        <w:t xml:space="preserve">en el presente caso (en adelante también “la Sentencia”), </w:t>
      </w:r>
      <w:r w:rsidRPr="00A351FB">
        <w:rPr>
          <w:rFonts w:cs="Verdana"/>
          <w:spacing w:val="-2"/>
          <w:szCs w:val="20"/>
          <w:lang w:val="es-ES_tradnl"/>
        </w:rPr>
        <w:t>interpuesta</w:t>
      </w:r>
      <w:r w:rsidR="00E80643">
        <w:rPr>
          <w:rFonts w:cs="Verdana"/>
          <w:spacing w:val="-2"/>
          <w:szCs w:val="20"/>
          <w:lang w:val="es-ES_tradnl"/>
        </w:rPr>
        <w:t>s</w:t>
      </w:r>
      <w:r w:rsidRPr="00A351FB">
        <w:rPr>
          <w:rFonts w:cs="Verdana"/>
          <w:spacing w:val="-2"/>
          <w:szCs w:val="20"/>
          <w:lang w:val="es-ES_tradnl"/>
        </w:rPr>
        <w:t xml:space="preserve"> </w:t>
      </w:r>
      <w:r w:rsidR="00F21114">
        <w:rPr>
          <w:rFonts w:cs="Verdana"/>
          <w:spacing w:val="-2"/>
          <w:szCs w:val="20"/>
          <w:lang w:val="es-ES_tradnl"/>
        </w:rPr>
        <w:t>el 18 de marzo de 2019</w:t>
      </w:r>
      <w:r w:rsidR="00E80643">
        <w:rPr>
          <w:rFonts w:cs="Verdana"/>
          <w:spacing w:val="-2"/>
          <w:szCs w:val="20"/>
          <w:lang w:val="es-ES_tradnl"/>
        </w:rPr>
        <w:t xml:space="preserve">, </w:t>
      </w:r>
      <w:r w:rsidR="00F21114">
        <w:rPr>
          <w:rFonts w:cs="Verdana"/>
          <w:spacing w:val="-2"/>
          <w:szCs w:val="20"/>
          <w:lang w:val="es-ES_tradnl"/>
        </w:rPr>
        <w:t>respectivamente, por l</w:t>
      </w:r>
      <w:r w:rsidR="00101888">
        <w:rPr>
          <w:rFonts w:cs="Verdana"/>
          <w:spacing w:val="-2"/>
          <w:szCs w:val="20"/>
          <w:lang w:val="es-ES_tradnl"/>
        </w:rPr>
        <w:t>o</w:t>
      </w:r>
      <w:r w:rsidR="00E80643">
        <w:rPr>
          <w:rFonts w:cs="Verdana"/>
          <w:spacing w:val="-2"/>
          <w:szCs w:val="20"/>
          <w:lang w:val="es-ES_tradnl"/>
        </w:rPr>
        <w:t xml:space="preserve">s representantes </w:t>
      </w:r>
      <w:r w:rsidR="00F21114">
        <w:rPr>
          <w:rFonts w:cs="Verdana"/>
          <w:spacing w:val="-2"/>
          <w:szCs w:val="20"/>
          <w:lang w:val="es-ES_tradnl"/>
        </w:rPr>
        <w:t>de las víctimas (en adelante “l</w:t>
      </w:r>
      <w:r w:rsidR="00101888">
        <w:rPr>
          <w:rFonts w:cs="Verdana"/>
          <w:spacing w:val="-2"/>
          <w:szCs w:val="20"/>
          <w:lang w:val="es-ES_tradnl"/>
        </w:rPr>
        <w:t>o</w:t>
      </w:r>
      <w:r w:rsidR="00E80643">
        <w:rPr>
          <w:rFonts w:cs="Verdana"/>
          <w:spacing w:val="-2"/>
          <w:szCs w:val="20"/>
          <w:lang w:val="es-ES_tradnl"/>
        </w:rPr>
        <w:t>s representantes”) y</w:t>
      </w:r>
      <w:r w:rsidR="00DA3437">
        <w:rPr>
          <w:rFonts w:cs="Verdana"/>
          <w:spacing w:val="-2"/>
          <w:szCs w:val="20"/>
          <w:lang w:val="es-ES_tradnl"/>
        </w:rPr>
        <w:t xml:space="preserve"> la República</w:t>
      </w:r>
      <w:r w:rsidRPr="000866D1">
        <w:rPr>
          <w:rFonts w:eastAsia="Times"/>
          <w:bCs/>
          <w:spacing w:val="-2"/>
          <w:szCs w:val="20"/>
          <w:lang w:val="es-ES_tradnl"/>
        </w:rPr>
        <w:t xml:space="preserve"> de</w:t>
      </w:r>
      <w:r>
        <w:rPr>
          <w:rFonts w:eastAsia="Times"/>
          <w:bCs/>
          <w:spacing w:val="-2"/>
          <w:szCs w:val="20"/>
          <w:lang w:val="es-ES_tradnl"/>
        </w:rPr>
        <w:t xml:space="preserve"> Colombia </w:t>
      </w:r>
      <w:r w:rsidRPr="000866D1">
        <w:rPr>
          <w:spacing w:val="-2"/>
          <w:szCs w:val="20"/>
          <w:lang w:val="es-ES_tradnl"/>
        </w:rPr>
        <w:t xml:space="preserve">(en adelante </w:t>
      </w:r>
      <w:r w:rsidR="00DA3437" w:rsidRPr="000866D1">
        <w:rPr>
          <w:spacing w:val="-2"/>
          <w:szCs w:val="20"/>
          <w:lang w:val="es-ES_tradnl"/>
        </w:rPr>
        <w:t xml:space="preserve">“el Estado” </w:t>
      </w:r>
      <w:r w:rsidR="00DA3437">
        <w:rPr>
          <w:spacing w:val="-2"/>
          <w:szCs w:val="20"/>
          <w:lang w:val="es-ES_tradnl"/>
        </w:rPr>
        <w:t xml:space="preserve">o </w:t>
      </w:r>
      <w:r w:rsidRPr="000866D1">
        <w:rPr>
          <w:spacing w:val="-2"/>
          <w:szCs w:val="20"/>
          <w:lang w:val="es-ES_tradnl"/>
        </w:rPr>
        <w:t>“</w:t>
      </w:r>
      <w:r>
        <w:rPr>
          <w:spacing w:val="-2"/>
          <w:szCs w:val="20"/>
          <w:lang w:val="es-ES_tradnl"/>
        </w:rPr>
        <w:t>Colombia</w:t>
      </w:r>
      <w:r w:rsidR="00DA3437">
        <w:rPr>
          <w:spacing w:val="-2"/>
          <w:szCs w:val="20"/>
          <w:lang w:val="es-ES_tradnl"/>
        </w:rPr>
        <w:t>”</w:t>
      </w:r>
      <w:r w:rsidRPr="000866D1">
        <w:rPr>
          <w:spacing w:val="-2"/>
          <w:szCs w:val="20"/>
          <w:lang w:val="es-ES_tradnl"/>
        </w:rPr>
        <w:t>)</w:t>
      </w:r>
      <w:r w:rsidRPr="000866D1">
        <w:rPr>
          <w:rFonts w:cs="Verdana"/>
          <w:spacing w:val="-2"/>
          <w:szCs w:val="20"/>
          <w:lang w:val="es-ES_tradnl"/>
        </w:rPr>
        <w:t>.</w:t>
      </w:r>
    </w:p>
    <w:p w14:paraId="22B6E96B" w14:textId="77777777" w:rsidR="00744F47" w:rsidRDefault="00744F47" w:rsidP="00032D02">
      <w:pPr>
        <w:ind w:right="-138"/>
        <w:rPr>
          <w:b/>
        </w:rPr>
      </w:pPr>
    </w:p>
    <w:p w14:paraId="5E256504" w14:textId="77777777" w:rsidR="00744F47" w:rsidRDefault="00744F47" w:rsidP="00032D02">
      <w:pPr>
        <w:ind w:right="-138"/>
      </w:pPr>
    </w:p>
    <w:p w14:paraId="5BA13EAA" w14:textId="77777777" w:rsidR="00200285" w:rsidRPr="00897CBE" w:rsidRDefault="00200285" w:rsidP="00032D02">
      <w:pPr>
        <w:ind w:right="-138"/>
      </w:pPr>
    </w:p>
    <w:p w14:paraId="53EDF565" w14:textId="77777777" w:rsidR="00032D02" w:rsidRPr="00032D02" w:rsidRDefault="00032D02" w:rsidP="00032D02">
      <w:pPr>
        <w:keepNext/>
        <w:tabs>
          <w:tab w:val="left" w:pos="567"/>
        </w:tabs>
        <w:jc w:val="center"/>
        <w:outlineLvl w:val="1"/>
        <w:rPr>
          <w:rFonts w:eastAsia="Times New Roman" w:cs="Verdana"/>
          <w:b/>
          <w:bCs/>
          <w:iCs/>
          <w:caps/>
          <w:snapToGrid w:val="0"/>
          <w:spacing w:val="-2"/>
          <w:szCs w:val="20"/>
          <w:lang w:val="es-ES_tradnl" w:eastAsia="es-ES"/>
        </w:rPr>
      </w:pPr>
      <w:r w:rsidRPr="00032D02">
        <w:rPr>
          <w:rFonts w:eastAsia="Times New Roman" w:cs="Verdana"/>
          <w:b/>
          <w:bCs/>
          <w:iCs/>
          <w:caps/>
          <w:snapToGrid w:val="0"/>
          <w:spacing w:val="-2"/>
          <w:szCs w:val="20"/>
          <w:lang w:val="es-ES_tradnl" w:eastAsia="es-ES"/>
        </w:rPr>
        <w:lastRenderedPageBreak/>
        <w:t>I</w:t>
      </w:r>
    </w:p>
    <w:p w14:paraId="6AEC0446" w14:textId="77777777" w:rsidR="00032D02" w:rsidRPr="00032D02" w:rsidRDefault="00032D02" w:rsidP="00032D02">
      <w:pPr>
        <w:keepNext/>
        <w:tabs>
          <w:tab w:val="left" w:pos="567"/>
        </w:tabs>
        <w:spacing w:after="360"/>
        <w:jc w:val="center"/>
        <w:outlineLvl w:val="1"/>
        <w:rPr>
          <w:rFonts w:eastAsia="Times New Roman" w:cs="Verdana"/>
          <w:b/>
          <w:bCs/>
          <w:iCs/>
          <w:caps/>
          <w:snapToGrid w:val="0"/>
          <w:spacing w:val="-2"/>
          <w:szCs w:val="20"/>
          <w:lang w:val="es-ES_tradnl" w:eastAsia="es-ES"/>
        </w:rPr>
      </w:pPr>
      <w:r w:rsidRPr="00032D02">
        <w:rPr>
          <w:rFonts w:eastAsia="Times New Roman" w:cs="Verdana"/>
          <w:b/>
          <w:bCs/>
          <w:iCs/>
          <w:caps/>
          <w:snapToGrid w:val="0"/>
          <w:spacing w:val="-2"/>
          <w:szCs w:val="20"/>
          <w:lang w:val="es-ES_tradnl" w:eastAsia="es-ES"/>
        </w:rPr>
        <w:t>SOLICITUD</w:t>
      </w:r>
      <w:r w:rsidR="006D77EE">
        <w:rPr>
          <w:rFonts w:eastAsia="Times New Roman" w:cs="Verdana"/>
          <w:b/>
          <w:bCs/>
          <w:iCs/>
          <w:caps/>
          <w:snapToGrid w:val="0"/>
          <w:spacing w:val="-2"/>
          <w:szCs w:val="20"/>
          <w:lang w:val="es-ES_tradnl" w:eastAsia="es-ES"/>
        </w:rPr>
        <w:t>es</w:t>
      </w:r>
      <w:r w:rsidRPr="00032D02">
        <w:rPr>
          <w:rFonts w:eastAsia="Times New Roman" w:cs="Verdana"/>
          <w:b/>
          <w:bCs/>
          <w:iCs/>
          <w:caps/>
          <w:snapToGrid w:val="0"/>
          <w:spacing w:val="-2"/>
          <w:szCs w:val="20"/>
          <w:lang w:val="es-ES_tradnl" w:eastAsia="es-ES"/>
        </w:rPr>
        <w:t xml:space="preserve"> DE INTERPRETACIÓN</w:t>
      </w:r>
      <w:r>
        <w:rPr>
          <w:rFonts w:eastAsia="Times New Roman" w:cs="Verdana"/>
          <w:b/>
          <w:bCs/>
          <w:iCs/>
          <w:caps/>
          <w:snapToGrid w:val="0"/>
          <w:spacing w:val="-2"/>
          <w:szCs w:val="20"/>
          <w:lang w:val="es-ES_tradnl" w:eastAsia="es-ES"/>
        </w:rPr>
        <w:t xml:space="preserve"> </w:t>
      </w:r>
      <w:r>
        <w:rPr>
          <w:rFonts w:eastAsia="Times New Roman" w:cs="Verdana"/>
          <w:b/>
          <w:bCs/>
          <w:iCs/>
          <w:caps/>
          <w:snapToGrid w:val="0"/>
          <w:spacing w:val="-2"/>
          <w:szCs w:val="20"/>
          <w:lang w:val="es-ES_tradnl" w:eastAsia="es-ES"/>
        </w:rPr>
        <w:br/>
        <w:t>Y PROCEDIMIENTO ANTE LA cORTE</w:t>
      </w:r>
    </w:p>
    <w:p w14:paraId="7B6CD06F" w14:textId="4845F608" w:rsidR="000C17DE" w:rsidRPr="005D3C5C" w:rsidRDefault="00F21114" w:rsidP="00C20E8D">
      <w:pPr>
        <w:numPr>
          <w:ilvl w:val="0"/>
          <w:numId w:val="16"/>
        </w:numPr>
        <w:spacing w:before="120" w:after="120"/>
        <w:ind w:left="0" w:firstLine="0"/>
        <w:rPr>
          <w:rFonts w:eastAsia="Times New Roman" w:cs="Times New Roman"/>
          <w:color w:val="000000"/>
          <w:szCs w:val="20"/>
          <w:lang w:val="es-CL" w:eastAsia="es-CL"/>
        </w:rPr>
      </w:pPr>
      <w:r>
        <w:rPr>
          <w:rFonts w:cs="Verdana"/>
          <w:spacing w:val="-2"/>
          <w:szCs w:val="20"/>
          <w:lang w:val="es-ES_tradnl"/>
        </w:rPr>
        <w:t xml:space="preserve">El 21 de noviembre de 2018 </w:t>
      </w:r>
      <w:r w:rsidR="00C20E8D" w:rsidRPr="005D3C5C">
        <w:rPr>
          <w:rFonts w:eastAsia="Times"/>
          <w:spacing w:val="-2"/>
          <w:szCs w:val="20"/>
          <w:lang w:val="es-ES_tradnl"/>
        </w:rPr>
        <w:t xml:space="preserve">la Corte </w:t>
      </w:r>
      <w:r w:rsidR="00E72BF1">
        <w:rPr>
          <w:rFonts w:eastAsia="Times"/>
          <w:spacing w:val="-2"/>
          <w:szCs w:val="20"/>
          <w:lang w:val="es-ES_tradnl"/>
        </w:rPr>
        <w:t xml:space="preserve">Interamericana </w:t>
      </w:r>
      <w:r w:rsidR="00C20E8D" w:rsidRPr="005D3C5C">
        <w:rPr>
          <w:rFonts w:eastAsia="Times"/>
          <w:spacing w:val="-2"/>
          <w:szCs w:val="20"/>
          <w:lang w:val="es-ES_tradnl"/>
        </w:rPr>
        <w:t>emitió la Sentencia</w:t>
      </w:r>
      <w:r w:rsidR="005761FF">
        <w:rPr>
          <w:rFonts w:eastAsia="Times"/>
          <w:spacing w:val="-2"/>
          <w:szCs w:val="20"/>
          <w:lang w:val="es-ES_tradnl"/>
        </w:rPr>
        <w:t xml:space="preserve"> en el presente caso</w:t>
      </w:r>
      <w:r w:rsidR="00C20E8D" w:rsidRPr="005D3C5C">
        <w:rPr>
          <w:rFonts w:eastAsia="Times"/>
          <w:spacing w:val="-2"/>
          <w:szCs w:val="20"/>
          <w:lang w:val="es-ES_tradnl"/>
        </w:rPr>
        <w:t xml:space="preserve">, la cual fue notificada a las partes y a la </w:t>
      </w:r>
      <w:r w:rsidR="00C20E8D" w:rsidRPr="005D3C5C">
        <w:rPr>
          <w:rFonts w:eastAsia="Times New Roman" w:cs="Times New Roman"/>
          <w:color w:val="000000"/>
          <w:szCs w:val="20"/>
          <w:lang w:val="es-CL" w:eastAsia="es-CL"/>
        </w:rPr>
        <w:t>Comisión</w:t>
      </w:r>
      <w:r w:rsidR="00C20E8D" w:rsidRPr="005D3C5C">
        <w:rPr>
          <w:rFonts w:eastAsia="Times"/>
          <w:spacing w:val="-2"/>
          <w:szCs w:val="20"/>
          <w:lang w:val="es-ES_tradnl"/>
        </w:rPr>
        <w:t xml:space="preserve"> Interamericana de </w:t>
      </w:r>
      <w:r w:rsidR="00C20E8D" w:rsidRPr="005D3C5C">
        <w:rPr>
          <w:rFonts w:cs="Verdana"/>
          <w:spacing w:val="-2"/>
          <w:szCs w:val="20"/>
          <w:lang w:val="es-ES_tradnl"/>
        </w:rPr>
        <w:t xml:space="preserve">Derechos Humanos (en adelante “la Comisión”) </w:t>
      </w:r>
      <w:r w:rsidR="00C20E8D" w:rsidRPr="005D3C5C">
        <w:rPr>
          <w:rFonts w:eastAsia="Times"/>
          <w:spacing w:val="-2"/>
          <w:szCs w:val="20"/>
          <w:lang w:val="es-ES_tradnl"/>
        </w:rPr>
        <w:t xml:space="preserve">el </w:t>
      </w:r>
      <w:r w:rsidR="00536005">
        <w:rPr>
          <w:rFonts w:eastAsia="Times"/>
          <w:spacing w:val="-2"/>
          <w:szCs w:val="20"/>
          <w:lang w:val="es-ES_tradnl"/>
        </w:rPr>
        <w:t>18</w:t>
      </w:r>
      <w:r w:rsidR="00C20E8D" w:rsidRPr="005D3C5C">
        <w:rPr>
          <w:rFonts w:eastAsia="Times"/>
          <w:spacing w:val="-2"/>
          <w:szCs w:val="20"/>
          <w:lang w:val="es-ES_tradnl"/>
        </w:rPr>
        <w:t xml:space="preserve"> de </w:t>
      </w:r>
      <w:r w:rsidR="00536005">
        <w:rPr>
          <w:rFonts w:eastAsia="Times"/>
          <w:spacing w:val="-2"/>
          <w:szCs w:val="20"/>
          <w:lang w:val="es-ES_tradnl"/>
        </w:rPr>
        <w:t xml:space="preserve">diciembre </w:t>
      </w:r>
      <w:r w:rsidR="00C20E8D" w:rsidRPr="005D3C5C">
        <w:rPr>
          <w:rFonts w:eastAsia="Times"/>
          <w:spacing w:val="-2"/>
          <w:szCs w:val="20"/>
          <w:lang w:val="es-ES_tradnl"/>
        </w:rPr>
        <w:t>del mismo año.</w:t>
      </w:r>
    </w:p>
    <w:p w14:paraId="18853ED1" w14:textId="56D225AA" w:rsidR="00C20E8D" w:rsidRPr="00EA22D3" w:rsidRDefault="00C20E8D" w:rsidP="00781C53">
      <w:pPr>
        <w:numPr>
          <w:ilvl w:val="0"/>
          <w:numId w:val="16"/>
        </w:numPr>
        <w:spacing w:before="120" w:after="120"/>
        <w:ind w:left="0" w:firstLine="0"/>
        <w:rPr>
          <w:rFonts w:eastAsia="Times New Roman" w:cs="Times New Roman"/>
          <w:color w:val="000000"/>
          <w:szCs w:val="20"/>
          <w:lang w:val="es-CL" w:eastAsia="es-CL"/>
        </w:rPr>
      </w:pPr>
      <w:bookmarkStart w:id="9" w:name="_Ref395083029"/>
      <w:bookmarkStart w:id="10" w:name="_Ref403060836"/>
      <w:bookmarkStart w:id="11" w:name="_Ref363085373"/>
      <w:r w:rsidRPr="00EA22D3">
        <w:rPr>
          <w:rFonts w:cs="Verdana"/>
          <w:spacing w:val="-2"/>
          <w:szCs w:val="20"/>
          <w:lang w:val="es-ES_tradnl"/>
        </w:rPr>
        <w:t>El</w:t>
      </w:r>
      <w:r w:rsidR="000D0454">
        <w:rPr>
          <w:rFonts w:cs="Verdana"/>
          <w:spacing w:val="-2"/>
          <w:szCs w:val="20"/>
          <w:lang w:val="es-ES_tradnl"/>
        </w:rPr>
        <w:t xml:space="preserve"> 18 de marzo de 2019</w:t>
      </w:r>
      <w:bookmarkStart w:id="12" w:name="_Ref403060837"/>
      <w:bookmarkEnd w:id="9"/>
      <w:bookmarkEnd w:id="10"/>
      <w:bookmarkEnd w:id="11"/>
      <w:r w:rsidR="00F250E4" w:rsidRPr="00EA22D3">
        <w:rPr>
          <w:rFonts w:cs="Verdana"/>
          <w:spacing w:val="-2"/>
          <w:szCs w:val="20"/>
          <w:lang w:val="es-ES_tradnl"/>
        </w:rPr>
        <w:t xml:space="preserve"> </w:t>
      </w:r>
      <w:bookmarkEnd w:id="12"/>
      <w:r w:rsidR="000D0454">
        <w:rPr>
          <w:rFonts w:cs="Verdana"/>
          <w:spacing w:val="-2"/>
          <w:szCs w:val="20"/>
          <w:lang w:val="es-ES_tradnl"/>
        </w:rPr>
        <w:t>l</w:t>
      </w:r>
      <w:r w:rsidR="0011579D">
        <w:rPr>
          <w:rFonts w:cs="Verdana"/>
          <w:spacing w:val="-2"/>
          <w:szCs w:val="20"/>
          <w:lang w:val="es-ES_tradnl"/>
        </w:rPr>
        <w:t>o</w:t>
      </w:r>
      <w:r w:rsidR="006D77EE" w:rsidRPr="00EA22D3">
        <w:rPr>
          <w:rFonts w:cs="Verdana"/>
          <w:spacing w:val="-2"/>
          <w:szCs w:val="20"/>
          <w:lang w:val="es-ES_tradnl"/>
        </w:rPr>
        <w:t xml:space="preserve">s representantes </w:t>
      </w:r>
      <w:r w:rsidR="005761FF" w:rsidRPr="00EA22D3">
        <w:rPr>
          <w:rFonts w:cs="Verdana"/>
          <w:spacing w:val="-2"/>
          <w:szCs w:val="20"/>
          <w:lang w:val="es-ES_tradnl"/>
        </w:rPr>
        <w:t>de las víctimas</w:t>
      </w:r>
      <w:r w:rsidR="005761FF" w:rsidRPr="00EA22D3">
        <w:rPr>
          <w:rStyle w:val="Refdenotaalpie"/>
          <w:spacing w:val="-2"/>
          <w:lang w:val="es-ES_tradnl"/>
        </w:rPr>
        <w:footnoteReference w:id="2"/>
      </w:r>
      <w:r w:rsidR="005761FF" w:rsidRPr="00EA22D3">
        <w:rPr>
          <w:rFonts w:cs="Verdana"/>
          <w:spacing w:val="-2"/>
          <w:szCs w:val="20"/>
          <w:lang w:val="es-ES_tradnl"/>
        </w:rPr>
        <w:t xml:space="preserve"> </w:t>
      </w:r>
      <w:r w:rsidR="006D77EE" w:rsidRPr="00EA22D3">
        <w:rPr>
          <w:rFonts w:cs="Verdana"/>
          <w:spacing w:val="-2"/>
          <w:szCs w:val="20"/>
          <w:lang w:val="es-ES_tradnl"/>
        </w:rPr>
        <w:t xml:space="preserve">sometieron una solicitud de interpretación </w:t>
      </w:r>
      <w:r w:rsidR="005761FF" w:rsidRPr="00EA22D3">
        <w:rPr>
          <w:rFonts w:cs="Verdana"/>
          <w:spacing w:val="-2"/>
          <w:szCs w:val="20"/>
          <w:lang w:val="es-ES_tradnl"/>
        </w:rPr>
        <w:t>relacionada con</w:t>
      </w:r>
      <w:r w:rsidR="000D0454">
        <w:rPr>
          <w:rFonts w:cs="Verdana"/>
          <w:spacing w:val="-2"/>
          <w:szCs w:val="20"/>
          <w:lang w:val="es-ES_tradnl"/>
        </w:rPr>
        <w:t xml:space="preserve"> aclaraciones del alcance de lo dispuesto</w:t>
      </w:r>
      <w:r w:rsidR="00B512E4">
        <w:rPr>
          <w:rFonts w:cs="Verdana"/>
          <w:spacing w:val="-2"/>
          <w:szCs w:val="20"/>
          <w:lang w:val="es-ES_tradnl"/>
        </w:rPr>
        <w:t xml:space="preserve"> en la fijación del pago en equidad por concepto de daño emergente</w:t>
      </w:r>
      <w:r w:rsidR="000D0454">
        <w:rPr>
          <w:rFonts w:cs="Verdana"/>
          <w:spacing w:val="-2"/>
          <w:szCs w:val="20"/>
          <w:lang w:val="es-ES_tradnl"/>
        </w:rPr>
        <w:t xml:space="preserve">. </w:t>
      </w:r>
    </w:p>
    <w:p w14:paraId="4AC7A194" w14:textId="56FBD90D" w:rsidR="006D77EE" w:rsidRPr="00781C53" w:rsidRDefault="00DB3F05" w:rsidP="00DB3F05">
      <w:pPr>
        <w:numPr>
          <w:ilvl w:val="0"/>
          <w:numId w:val="16"/>
        </w:numPr>
        <w:spacing w:before="120" w:after="120"/>
        <w:ind w:left="0" w:firstLine="0"/>
        <w:rPr>
          <w:rFonts w:eastAsia="Times New Roman" w:cs="Times New Roman"/>
          <w:color w:val="000000"/>
          <w:szCs w:val="20"/>
          <w:lang w:val="es-CL" w:eastAsia="es-CL"/>
        </w:rPr>
      </w:pPr>
      <w:bookmarkStart w:id="13" w:name="_Ref403065790"/>
      <w:r w:rsidRPr="00EA22D3">
        <w:rPr>
          <w:rFonts w:eastAsia="Times New Roman" w:cs="Times New Roman"/>
          <w:color w:val="000000"/>
          <w:szCs w:val="20"/>
          <w:lang w:val="es-CL" w:eastAsia="es-CL"/>
        </w:rPr>
        <w:t>Asimismo, e</w:t>
      </w:r>
      <w:r w:rsidR="006D77EE" w:rsidRPr="00EA22D3">
        <w:rPr>
          <w:rFonts w:eastAsia="Times New Roman" w:cs="Times New Roman"/>
          <w:color w:val="000000"/>
          <w:szCs w:val="20"/>
          <w:lang w:val="es-CL" w:eastAsia="es-CL"/>
        </w:rPr>
        <w:t>l</w:t>
      </w:r>
      <w:r w:rsidR="00B512E4">
        <w:rPr>
          <w:rFonts w:eastAsia="Times New Roman" w:cs="Times New Roman"/>
          <w:color w:val="000000"/>
          <w:szCs w:val="20"/>
          <w:lang w:val="es-CL" w:eastAsia="es-CL"/>
        </w:rPr>
        <w:t xml:space="preserve"> </w:t>
      </w:r>
      <w:r w:rsidR="00B512E4">
        <w:rPr>
          <w:rFonts w:cs="Verdana"/>
          <w:spacing w:val="-2"/>
          <w:szCs w:val="20"/>
          <w:lang w:val="es-ES_tradnl"/>
        </w:rPr>
        <w:t>18 de marzo de 2019</w:t>
      </w:r>
      <w:r w:rsidR="006D77EE" w:rsidRPr="00EA22D3">
        <w:rPr>
          <w:rFonts w:eastAsia="Times New Roman" w:cs="Times New Roman"/>
          <w:color w:val="000000"/>
          <w:szCs w:val="20"/>
          <w:lang w:val="es-CL" w:eastAsia="es-CL"/>
        </w:rPr>
        <w:t xml:space="preserve"> </w:t>
      </w:r>
      <w:r w:rsidR="006D77EE" w:rsidRPr="00EA22D3">
        <w:rPr>
          <w:rFonts w:cs="Verdana"/>
          <w:spacing w:val="-2"/>
          <w:szCs w:val="20"/>
          <w:lang w:val="es-ES_tradnl"/>
        </w:rPr>
        <w:t>el Estado sometió una solicitud de interpretación respecto de</w:t>
      </w:r>
      <w:r w:rsidRPr="00EA22D3">
        <w:rPr>
          <w:rFonts w:cs="Verdana"/>
          <w:spacing w:val="-2"/>
          <w:szCs w:val="20"/>
          <w:lang w:val="es-ES_tradnl"/>
        </w:rPr>
        <w:t xml:space="preserve"> </w:t>
      </w:r>
      <w:r w:rsidR="00B512E4">
        <w:rPr>
          <w:rFonts w:cs="Verdana"/>
          <w:spacing w:val="-2"/>
          <w:szCs w:val="20"/>
          <w:lang w:val="es-CR"/>
        </w:rPr>
        <w:t xml:space="preserve">la investigación de los alegados hechos de tortura respecto al señor </w:t>
      </w:r>
      <w:r w:rsidR="00536005">
        <w:rPr>
          <w:rFonts w:cs="Verdana"/>
          <w:spacing w:val="-2"/>
          <w:szCs w:val="20"/>
          <w:lang w:val="es-CR"/>
        </w:rPr>
        <w:t>Manuel Guillermo Omeara Miraval.</w:t>
      </w:r>
    </w:p>
    <w:p w14:paraId="678E99CF" w14:textId="4949CE23" w:rsidR="00C20E8D" w:rsidRPr="00AB030D" w:rsidRDefault="00C20E8D" w:rsidP="00A706E6">
      <w:pPr>
        <w:numPr>
          <w:ilvl w:val="0"/>
          <w:numId w:val="16"/>
        </w:numPr>
        <w:ind w:left="0" w:firstLine="0"/>
        <w:rPr>
          <w:rFonts w:eastAsia="Times New Roman" w:cs="Times New Roman"/>
          <w:color w:val="000000"/>
          <w:szCs w:val="20"/>
          <w:lang w:val="es-CL" w:eastAsia="es-CL"/>
        </w:rPr>
      </w:pPr>
      <w:r w:rsidRPr="005D3C5C">
        <w:rPr>
          <w:rFonts w:cs="Verdana"/>
          <w:spacing w:val="-2"/>
          <w:szCs w:val="20"/>
          <w:lang w:val="es-ES_tradnl"/>
        </w:rPr>
        <w:t xml:space="preserve">El </w:t>
      </w:r>
      <w:r w:rsidR="00536005">
        <w:rPr>
          <w:rFonts w:cs="Verdana"/>
          <w:spacing w:val="-2"/>
          <w:szCs w:val="20"/>
          <w:lang w:val="es-ES_tradnl"/>
        </w:rPr>
        <w:t>28 de marzo</w:t>
      </w:r>
      <w:r w:rsidR="006D77EE">
        <w:rPr>
          <w:rFonts w:cs="Verdana"/>
          <w:spacing w:val="-2"/>
          <w:szCs w:val="20"/>
          <w:lang w:val="es-ES_tradnl"/>
        </w:rPr>
        <w:t xml:space="preserve"> </w:t>
      </w:r>
      <w:r w:rsidRPr="005D3C5C">
        <w:rPr>
          <w:rFonts w:cs="Verdana"/>
          <w:spacing w:val="-2"/>
          <w:szCs w:val="20"/>
          <w:lang w:val="es-ES_tradnl"/>
        </w:rPr>
        <w:t>de 201</w:t>
      </w:r>
      <w:r w:rsidR="00B512E4">
        <w:rPr>
          <w:rFonts w:cs="Verdana"/>
          <w:spacing w:val="-2"/>
          <w:szCs w:val="20"/>
          <w:lang w:val="es-ES_tradnl"/>
        </w:rPr>
        <w:t>9</w:t>
      </w:r>
      <w:r w:rsidRPr="005D3C5C">
        <w:rPr>
          <w:rFonts w:cs="Verdana"/>
          <w:spacing w:val="-2"/>
          <w:szCs w:val="20"/>
          <w:lang w:val="es-ES_tradnl"/>
        </w:rPr>
        <w:t>, de conformidad con el artículo 68.2 del Reglamento y siguiendo instrucciones del Presidente de la Corte, la Secretaría transmitió la</w:t>
      </w:r>
      <w:r w:rsidR="006D77EE">
        <w:rPr>
          <w:rFonts w:cs="Verdana"/>
          <w:spacing w:val="-2"/>
          <w:szCs w:val="20"/>
          <w:lang w:val="es-ES_tradnl"/>
        </w:rPr>
        <w:t>s</w:t>
      </w:r>
      <w:r w:rsidRPr="005D3C5C">
        <w:rPr>
          <w:rFonts w:cs="Verdana"/>
          <w:spacing w:val="-2"/>
          <w:szCs w:val="20"/>
          <w:lang w:val="es-ES_tradnl"/>
        </w:rPr>
        <w:t xml:space="preserve"> referida</w:t>
      </w:r>
      <w:r w:rsidR="006D77EE">
        <w:rPr>
          <w:rFonts w:cs="Verdana"/>
          <w:spacing w:val="-2"/>
          <w:szCs w:val="20"/>
          <w:lang w:val="es-ES_tradnl"/>
        </w:rPr>
        <w:t>s</w:t>
      </w:r>
      <w:r w:rsidRPr="005D3C5C">
        <w:rPr>
          <w:rFonts w:cs="Verdana"/>
          <w:spacing w:val="-2"/>
          <w:szCs w:val="20"/>
          <w:lang w:val="es-ES_tradnl"/>
        </w:rPr>
        <w:t xml:space="preserve"> solicitud</w:t>
      </w:r>
      <w:r w:rsidR="006D77EE">
        <w:rPr>
          <w:rFonts w:cs="Verdana"/>
          <w:spacing w:val="-2"/>
          <w:szCs w:val="20"/>
          <w:lang w:val="es-ES_tradnl"/>
        </w:rPr>
        <w:t>es</w:t>
      </w:r>
      <w:r w:rsidRPr="005D3C5C">
        <w:rPr>
          <w:rFonts w:cs="Verdana"/>
          <w:spacing w:val="-2"/>
          <w:szCs w:val="20"/>
          <w:lang w:val="es-ES_tradnl"/>
        </w:rPr>
        <w:t xml:space="preserve"> de interpretación a l</w:t>
      </w:r>
      <w:r w:rsidR="006D77EE">
        <w:rPr>
          <w:rFonts w:cs="Verdana"/>
          <w:spacing w:val="-2"/>
          <w:szCs w:val="20"/>
          <w:lang w:val="es-ES_tradnl"/>
        </w:rPr>
        <w:t>as partes</w:t>
      </w:r>
      <w:r w:rsidRPr="005D3C5C">
        <w:rPr>
          <w:rFonts w:cs="Verdana"/>
          <w:spacing w:val="-2"/>
          <w:szCs w:val="20"/>
          <w:lang w:val="es-ES_tradnl"/>
        </w:rPr>
        <w:t xml:space="preserve"> y a la Comisión y les otorgó un plazo </w:t>
      </w:r>
      <w:r w:rsidR="00891022">
        <w:rPr>
          <w:rFonts w:cs="Verdana"/>
          <w:spacing w:val="-2"/>
          <w:szCs w:val="20"/>
          <w:lang w:val="es-ES_tradnl"/>
        </w:rPr>
        <w:t xml:space="preserve">a más tardar el 12 de abril de 2019 </w:t>
      </w:r>
      <w:r w:rsidRPr="005D3C5C">
        <w:rPr>
          <w:rFonts w:cs="Verdana"/>
          <w:spacing w:val="-2"/>
          <w:szCs w:val="20"/>
          <w:lang w:val="es-ES_tradnl"/>
        </w:rPr>
        <w:t xml:space="preserve">para que presentaran las </w:t>
      </w:r>
      <w:r w:rsidR="00907A18">
        <w:rPr>
          <w:rFonts w:cs="Verdana"/>
          <w:spacing w:val="-2"/>
          <w:szCs w:val="20"/>
          <w:lang w:val="es-ES_tradnl"/>
        </w:rPr>
        <w:t>alegaciones</w:t>
      </w:r>
      <w:r w:rsidR="000B73F3" w:rsidRPr="005D3C5C">
        <w:rPr>
          <w:rFonts w:cs="Verdana"/>
          <w:spacing w:val="-2"/>
          <w:szCs w:val="20"/>
          <w:lang w:val="es-ES_tradnl"/>
        </w:rPr>
        <w:t xml:space="preserve"> </w:t>
      </w:r>
      <w:r w:rsidRPr="005D3C5C">
        <w:rPr>
          <w:rFonts w:cs="Verdana"/>
          <w:spacing w:val="-2"/>
          <w:szCs w:val="20"/>
          <w:lang w:val="es-ES_tradnl"/>
        </w:rPr>
        <w:t xml:space="preserve">escritas que </w:t>
      </w:r>
      <w:r w:rsidR="000B73F3" w:rsidRPr="005D3C5C">
        <w:rPr>
          <w:rFonts w:cs="Verdana"/>
          <w:spacing w:val="-2"/>
          <w:szCs w:val="20"/>
          <w:lang w:val="es-ES_tradnl"/>
        </w:rPr>
        <w:t>estim</w:t>
      </w:r>
      <w:r w:rsidR="009C6C08">
        <w:rPr>
          <w:rFonts w:cs="Verdana"/>
          <w:spacing w:val="-2"/>
          <w:szCs w:val="20"/>
          <w:lang w:val="es-ES_tradnl"/>
        </w:rPr>
        <w:t>aran</w:t>
      </w:r>
      <w:r w:rsidR="000B73F3" w:rsidRPr="005D3C5C">
        <w:rPr>
          <w:rFonts w:cs="Verdana"/>
          <w:spacing w:val="-2"/>
          <w:szCs w:val="20"/>
          <w:lang w:val="es-ES_tradnl"/>
        </w:rPr>
        <w:t xml:space="preserve"> </w:t>
      </w:r>
      <w:r w:rsidRPr="005D3C5C">
        <w:rPr>
          <w:rFonts w:cs="Verdana"/>
          <w:spacing w:val="-2"/>
          <w:szCs w:val="20"/>
          <w:lang w:val="es-ES_tradnl"/>
        </w:rPr>
        <w:t xml:space="preserve">pertinentes. </w:t>
      </w:r>
      <w:bookmarkStart w:id="14" w:name="_Ref324683819"/>
      <w:bookmarkEnd w:id="13"/>
      <w:r w:rsidR="00536005">
        <w:rPr>
          <w:rFonts w:cs="Verdana"/>
          <w:spacing w:val="-2"/>
          <w:szCs w:val="20"/>
          <w:lang w:val="es-ES_tradnl"/>
        </w:rPr>
        <w:t xml:space="preserve">El </w:t>
      </w:r>
      <w:r w:rsidR="00891022">
        <w:rPr>
          <w:rFonts w:cs="Verdana"/>
          <w:spacing w:val="-2"/>
          <w:szCs w:val="20"/>
          <w:lang w:val="es-ES_tradnl"/>
        </w:rPr>
        <w:t xml:space="preserve">12 </w:t>
      </w:r>
      <w:r w:rsidR="00983D88" w:rsidRPr="005D3C5C">
        <w:rPr>
          <w:rFonts w:cs="Verdana"/>
          <w:spacing w:val="-2"/>
          <w:szCs w:val="20"/>
          <w:lang w:val="es-ES_tradnl"/>
        </w:rPr>
        <w:t xml:space="preserve">de </w:t>
      </w:r>
      <w:r w:rsidR="00891022">
        <w:rPr>
          <w:rFonts w:cs="Verdana"/>
          <w:spacing w:val="-2"/>
          <w:szCs w:val="20"/>
          <w:lang w:val="es-ES_tradnl"/>
        </w:rPr>
        <w:t>abril</w:t>
      </w:r>
      <w:r w:rsidR="00983D88" w:rsidRPr="005D3C5C">
        <w:rPr>
          <w:rFonts w:cs="Verdana"/>
          <w:spacing w:val="-2"/>
          <w:szCs w:val="20"/>
          <w:lang w:val="es-ES_tradnl"/>
        </w:rPr>
        <w:t xml:space="preserve"> </w:t>
      </w:r>
      <w:r w:rsidRPr="005D3C5C">
        <w:rPr>
          <w:rFonts w:cs="Verdana"/>
          <w:spacing w:val="-2"/>
          <w:szCs w:val="20"/>
          <w:lang w:val="es-ES_tradnl"/>
        </w:rPr>
        <w:t xml:space="preserve">de </w:t>
      </w:r>
      <w:r w:rsidR="00B512E4">
        <w:rPr>
          <w:rFonts w:cs="Verdana"/>
          <w:spacing w:val="-2"/>
          <w:szCs w:val="20"/>
          <w:lang w:val="es-ES_tradnl"/>
        </w:rPr>
        <w:t>2019</w:t>
      </w:r>
      <w:r w:rsidRPr="005D3C5C">
        <w:rPr>
          <w:rFonts w:cs="Verdana"/>
          <w:spacing w:val="-2"/>
          <w:szCs w:val="20"/>
          <w:lang w:val="es-ES_tradnl"/>
        </w:rPr>
        <w:t xml:space="preserve"> </w:t>
      </w:r>
      <w:r w:rsidR="00B512E4">
        <w:rPr>
          <w:rFonts w:cs="Verdana"/>
          <w:spacing w:val="-2"/>
          <w:szCs w:val="20"/>
          <w:lang w:val="es-ES_tradnl"/>
        </w:rPr>
        <w:t>la</w:t>
      </w:r>
      <w:r w:rsidR="005D3C5C" w:rsidRPr="005D3C5C">
        <w:rPr>
          <w:rFonts w:cs="Verdana"/>
          <w:spacing w:val="-2"/>
          <w:szCs w:val="20"/>
          <w:lang w:val="es-ES_tradnl"/>
        </w:rPr>
        <w:t xml:space="preserve">s </w:t>
      </w:r>
      <w:r w:rsidRPr="005D3C5C">
        <w:rPr>
          <w:rFonts w:cs="Verdana"/>
          <w:spacing w:val="-2"/>
          <w:szCs w:val="20"/>
          <w:lang w:val="es-ES_tradnl"/>
        </w:rPr>
        <w:t>representante</w:t>
      </w:r>
      <w:r w:rsidR="005D3C5C" w:rsidRPr="005D3C5C">
        <w:rPr>
          <w:rFonts w:cs="Verdana"/>
          <w:spacing w:val="-2"/>
          <w:szCs w:val="20"/>
          <w:lang w:val="es-ES_tradnl"/>
        </w:rPr>
        <w:t>s</w:t>
      </w:r>
      <w:r w:rsidR="006D77EE">
        <w:rPr>
          <w:rFonts w:cs="Verdana"/>
          <w:spacing w:val="-2"/>
          <w:szCs w:val="20"/>
          <w:lang w:val="es-ES_tradnl"/>
        </w:rPr>
        <w:t xml:space="preserve"> </w:t>
      </w:r>
      <w:r w:rsidR="00891022">
        <w:rPr>
          <w:rFonts w:cs="Verdana"/>
          <w:spacing w:val="-2"/>
          <w:szCs w:val="20"/>
          <w:lang w:val="es-ES_tradnl"/>
        </w:rPr>
        <w:t xml:space="preserve">remitieron </w:t>
      </w:r>
      <w:r w:rsidR="00907A18">
        <w:rPr>
          <w:rFonts w:cs="Verdana"/>
          <w:spacing w:val="-2"/>
          <w:szCs w:val="20"/>
          <w:lang w:val="es-ES_tradnl"/>
        </w:rPr>
        <w:t>sus alegacione</w:t>
      </w:r>
      <w:r w:rsidR="00536005">
        <w:rPr>
          <w:rFonts w:cs="Verdana"/>
          <w:spacing w:val="-2"/>
          <w:szCs w:val="20"/>
          <w:lang w:val="es-ES_tradnl"/>
        </w:rPr>
        <w:t xml:space="preserve">s. </w:t>
      </w:r>
      <w:r w:rsidR="00891022">
        <w:rPr>
          <w:rFonts w:cs="Verdana"/>
          <w:spacing w:val="-2"/>
          <w:szCs w:val="20"/>
          <w:lang w:val="es-ES_tradnl"/>
        </w:rPr>
        <w:t>Ese mismo día</w:t>
      </w:r>
      <w:r w:rsidR="00F8328A">
        <w:rPr>
          <w:rFonts w:cs="Verdana"/>
          <w:spacing w:val="-2"/>
          <w:szCs w:val="20"/>
          <w:lang w:val="es-ES_tradnl"/>
        </w:rPr>
        <w:t>, la</w:t>
      </w:r>
      <w:r w:rsidR="00891022">
        <w:rPr>
          <w:rFonts w:cs="Verdana"/>
          <w:spacing w:val="-2"/>
          <w:szCs w:val="20"/>
          <w:lang w:val="es-ES_tradnl"/>
        </w:rPr>
        <w:t xml:space="preserve"> </w:t>
      </w:r>
      <w:r w:rsidR="00536005">
        <w:rPr>
          <w:rFonts w:cs="Verdana"/>
          <w:spacing w:val="-2"/>
          <w:szCs w:val="20"/>
          <w:lang w:val="es-ES_tradnl"/>
        </w:rPr>
        <w:t>Comisi</w:t>
      </w:r>
      <w:r w:rsidR="00891022">
        <w:rPr>
          <w:rFonts w:cs="Verdana"/>
          <w:spacing w:val="-2"/>
          <w:szCs w:val="20"/>
          <w:lang w:val="es-ES_tradnl"/>
        </w:rPr>
        <w:t>ón solicitó una prórroga para la presentación de sus</w:t>
      </w:r>
      <w:r w:rsidR="00907A18">
        <w:rPr>
          <w:rFonts w:cs="Verdana"/>
          <w:spacing w:val="-2"/>
          <w:szCs w:val="20"/>
          <w:lang w:val="es-ES_tradnl"/>
        </w:rPr>
        <w:t xml:space="preserve"> alegaciones</w:t>
      </w:r>
      <w:r w:rsidR="00891022">
        <w:rPr>
          <w:rFonts w:cs="Verdana"/>
          <w:spacing w:val="-2"/>
          <w:szCs w:val="20"/>
          <w:lang w:val="es-ES_tradnl"/>
        </w:rPr>
        <w:t>, la cual fue concedida. El 29 de abril de 2019 cuando vencía el plazo prorrogado, la Comisión solicitó una nueva prórroga para remitir</w:t>
      </w:r>
      <w:r w:rsidR="00907A18">
        <w:rPr>
          <w:rFonts w:cs="Verdana"/>
          <w:spacing w:val="-2"/>
          <w:szCs w:val="20"/>
          <w:lang w:val="es-ES_tradnl"/>
        </w:rPr>
        <w:t xml:space="preserve"> su escrito</w:t>
      </w:r>
      <w:r w:rsidR="00891022">
        <w:rPr>
          <w:rFonts w:cs="Verdana"/>
          <w:spacing w:val="-2"/>
          <w:szCs w:val="20"/>
          <w:lang w:val="es-ES_tradnl"/>
        </w:rPr>
        <w:t>, la cual no fue otorgada</w:t>
      </w:r>
      <w:r w:rsidR="00536005">
        <w:rPr>
          <w:rFonts w:cs="Verdana"/>
          <w:spacing w:val="-2"/>
          <w:szCs w:val="20"/>
          <w:lang w:val="es-ES_tradnl"/>
        </w:rPr>
        <w:t>. El Estado no presentó</w:t>
      </w:r>
      <w:bookmarkEnd w:id="14"/>
      <w:r w:rsidR="00907A18">
        <w:rPr>
          <w:rFonts w:cs="Verdana"/>
          <w:spacing w:val="-2"/>
          <w:szCs w:val="20"/>
          <w:lang w:val="es-ES_tradnl"/>
        </w:rPr>
        <w:t xml:space="preserve"> alegaciones escritas</w:t>
      </w:r>
      <w:r w:rsidR="00891022">
        <w:rPr>
          <w:rFonts w:cs="Verdana"/>
          <w:spacing w:val="-2"/>
          <w:szCs w:val="20"/>
          <w:lang w:val="es-ES_tradnl"/>
        </w:rPr>
        <w:t>.</w:t>
      </w:r>
    </w:p>
    <w:p w14:paraId="64AF7B61" w14:textId="77777777" w:rsidR="00677056" w:rsidRPr="00781C53" w:rsidRDefault="00677056" w:rsidP="00AB030D">
      <w:pPr>
        <w:rPr>
          <w:rFonts w:eastAsia="Times New Roman" w:cs="Times New Roman"/>
          <w:color w:val="000000"/>
          <w:szCs w:val="20"/>
          <w:lang w:val="es-CL" w:eastAsia="es-CL"/>
        </w:rPr>
      </w:pPr>
    </w:p>
    <w:p w14:paraId="3B1D28A2" w14:textId="77777777" w:rsidR="00C20E8D" w:rsidRPr="000866D1" w:rsidRDefault="00C20E8D" w:rsidP="00A706E6">
      <w:pPr>
        <w:tabs>
          <w:tab w:val="left" w:pos="567"/>
        </w:tabs>
        <w:jc w:val="center"/>
        <w:rPr>
          <w:rFonts w:eastAsia="Times"/>
          <w:b/>
          <w:bCs/>
          <w:spacing w:val="-2"/>
          <w:szCs w:val="20"/>
          <w:lang w:val="es-ES_tradnl"/>
        </w:rPr>
      </w:pPr>
      <w:r w:rsidRPr="000866D1">
        <w:rPr>
          <w:rFonts w:eastAsia="Times"/>
          <w:b/>
          <w:bCs/>
          <w:spacing w:val="-2"/>
          <w:szCs w:val="20"/>
          <w:lang w:val="es-ES_tradnl"/>
        </w:rPr>
        <w:t>II</w:t>
      </w:r>
    </w:p>
    <w:p w14:paraId="68AC9402" w14:textId="77777777" w:rsidR="00C20E8D" w:rsidRDefault="00C20E8D" w:rsidP="00A706E6">
      <w:pPr>
        <w:tabs>
          <w:tab w:val="left" w:pos="567"/>
        </w:tabs>
        <w:jc w:val="center"/>
        <w:rPr>
          <w:rFonts w:eastAsia="Times"/>
          <w:b/>
          <w:bCs/>
          <w:spacing w:val="-2"/>
          <w:szCs w:val="20"/>
          <w:lang w:val="es-ES_tradnl"/>
        </w:rPr>
      </w:pPr>
      <w:r w:rsidRPr="000866D1">
        <w:rPr>
          <w:rFonts w:eastAsia="Times"/>
          <w:b/>
          <w:bCs/>
          <w:spacing w:val="-2"/>
          <w:szCs w:val="20"/>
          <w:lang w:val="es-ES_tradnl"/>
        </w:rPr>
        <w:t>COMPETENCIA</w:t>
      </w:r>
    </w:p>
    <w:p w14:paraId="3FB703AB" w14:textId="77777777" w:rsidR="00A706E6" w:rsidRPr="000866D1" w:rsidRDefault="00A706E6" w:rsidP="00A706E6">
      <w:pPr>
        <w:tabs>
          <w:tab w:val="left" w:pos="567"/>
        </w:tabs>
        <w:jc w:val="center"/>
        <w:rPr>
          <w:rFonts w:eastAsia="Times"/>
          <w:b/>
          <w:bCs/>
          <w:spacing w:val="-2"/>
          <w:szCs w:val="20"/>
          <w:lang w:val="es-ES_tradnl"/>
        </w:rPr>
      </w:pPr>
    </w:p>
    <w:p w14:paraId="6B148305" w14:textId="42FADCD0" w:rsidR="007D7A08" w:rsidRDefault="007D7A08" w:rsidP="00F8328A">
      <w:pPr>
        <w:numPr>
          <w:ilvl w:val="0"/>
          <w:numId w:val="16"/>
        </w:numPr>
        <w:ind w:left="0" w:firstLine="0"/>
        <w:rPr>
          <w:rFonts w:eastAsia="Times"/>
          <w:spacing w:val="-2"/>
          <w:szCs w:val="20"/>
          <w:lang w:val="es-ES_tradnl"/>
        </w:rPr>
      </w:pPr>
      <w:bookmarkStart w:id="15" w:name="_Ref361668910"/>
      <w:r w:rsidRPr="00200285">
        <w:rPr>
          <w:rFonts w:eastAsia="Times"/>
          <w:spacing w:val="-2"/>
          <w:szCs w:val="20"/>
          <w:lang w:val="es-ES_tradnl"/>
        </w:rPr>
        <w:t xml:space="preserve">El artículo 67 de la Convención </w:t>
      </w:r>
      <w:r w:rsidR="00E72BF1">
        <w:rPr>
          <w:rFonts w:eastAsia="Times"/>
          <w:spacing w:val="-2"/>
          <w:szCs w:val="20"/>
          <w:lang w:val="es-ES_tradnl"/>
        </w:rPr>
        <w:t xml:space="preserve">Americana </w:t>
      </w:r>
      <w:r w:rsidRPr="00200285">
        <w:rPr>
          <w:rFonts w:eastAsia="Times"/>
          <w:spacing w:val="-2"/>
          <w:szCs w:val="20"/>
          <w:lang w:val="es-ES_tradnl"/>
        </w:rPr>
        <w:t>establece que “</w:t>
      </w:r>
      <w:bookmarkEnd w:id="15"/>
      <w:r w:rsidRPr="00B01902">
        <w:rPr>
          <w:rFonts w:eastAsia="Times"/>
          <w:spacing w:val="-2"/>
          <w:szCs w:val="20"/>
          <w:lang w:val="es-ES_tradnl"/>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0CF35719" w14:textId="77777777" w:rsidR="00A706E6" w:rsidRPr="00B01902" w:rsidRDefault="00A706E6" w:rsidP="00A706E6">
      <w:pPr>
        <w:rPr>
          <w:rFonts w:eastAsia="Times"/>
          <w:spacing w:val="-2"/>
          <w:szCs w:val="20"/>
          <w:lang w:val="es-ES_tradnl"/>
        </w:rPr>
      </w:pPr>
    </w:p>
    <w:p w14:paraId="6E610C5B" w14:textId="3EFC643A" w:rsidR="00032A20" w:rsidRPr="00744F47" w:rsidRDefault="007D7A08" w:rsidP="00744F47">
      <w:pPr>
        <w:numPr>
          <w:ilvl w:val="0"/>
          <w:numId w:val="16"/>
        </w:numPr>
        <w:ind w:left="0" w:firstLine="0"/>
        <w:rPr>
          <w:rFonts w:eastAsia="Times"/>
          <w:bCs/>
          <w:spacing w:val="-2"/>
          <w:szCs w:val="20"/>
          <w:lang w:val="es-ES_tradnl"/>
        </w:rPr>
      </w:pPr>
      <w:r w:rsidRPr="000866D1">
        <w:rPr>
          <w:rFonts w:eastAsia="Times"/>
          <w:spacing w:val="-2"/>
          <w:szCs w:val="20"/>
          <w:lang w:val="es-ES_tradnl"/>
        </w:rPr>
        <w:t xml:space="preserve">De conformidad con el artículo citado, la Corte </w:t>
      </w:r>
      <w:r w:rsidR="00E72BF1">
        <w:rPr>
          <w:rFonts w:eastAsia="Times"/>
          <w:spacing w:val="-2"/>
          <w:szCs w:val="20"/>
          <w:lang w:val="es-ES_tradnl"/>
        </w:rPr>
        <w:t xml:space="preserve">Interamericana </w:t>
      </w:r>
      <w:r w:rsidRPr="000866D1">
        <w:rPr>
          <w:rFonts w:eastAsia="Times"/>
          <w:spacing w:val="-2"/>
          <w:szCs w:val="20"/>
          <w:lang w:val="es-ES_tradnl"/>
        </w:rPr>
        <w:t>es competente para interpretar sus fallos.</w:t>
      </w:r>
      <w:r w:rsidRPr="000A3972">
        <w:rPr>
          <w:rFonts w:eastAsia="Times"/>
          <w:spacing w:val="-2"/>
          <w:szCs w:val="20"/>
          <w:lang w:val="es-ES_tradnl"/>
        </w:rPr>
        <w:t xml:space="preserve"> Para realizar el examen de las solicitudes de interpretación y resolver lo que</w:t>
      </w:r>
      <w:r w:rsidR="00E72BF1">
        <w:rPr>
          <w:rFonts w:eastAsia="Times"/>
          <w:spacing w:val="-2"/>
          <w:szCs w:val="20"/>
          <w:lang w:val="es-ES_tradnl"/>
        </w:rPr>
        <w:t xml:space="preserve"> a este respecto corresponda, este</w:t>
      </w:r>
      <w:r w:rsidRPr="000A3972">
        <w:rPr>
          <w:rFonts w:eastAsia="Times"/>
          <w:spacing w:val="-2"/>
          <w:szCs w:val="20"/>
          <w:lang w:val="es-ES_tradnl"/>
        </w:rPr>
        <w:t xml:space="preserve"> Tribunal debe tener, si es posible, la misma composición que tenía al dictar la Sentencia respectiva, de acuerdo con el artículo 68.3 del Reglamen</w:t>
      </w:r>
      <w:r w:rsidR="00E72BF1">
        <w:rPr>
          <w:rFonts w:eastAsia="Times"/>
          <w:spacing w:val="-2"/>
          <w:szCs w:val="20"/>
          <w:lang w:val="es-ES_tradnl"/>
        </w:rPr>
        <w:t>to</w:t>
      </w:r>
      <w:r w:rsidRPr="000A3972">
        <w:rPr>
          <w:rFonts w:eastAsia="Times"/>
          <w:spacing w:val="-2"/>
          <w:szCs w:val="20"/>
          <w:lang w:val="es-ES_tradnl"/>
        </w:rPr>
        <w:t xml:space="preserve">. En esta ocasión, la Corte </w:t>
      </w:r>
      <w:r w:rsidR="000A3972">
        <w:rPr>
          <w:rFonts w:eastAsia="Times"/>
          <w:spacing w:val="-2"/>
          <w:szCs w:val="20"/>
          <w:lang w:val="es-ES_tradnl"/>
        </w:rPr>
        <w:t xml:space="preserve">está </w:t>
      </w:r>
      <w:r w:rsidRPr="000A3972">
        <w:rPr>
          <w:rFonts w:eastAsia="Times"/>
          <w:spacing w:val="-2"/>
          <w:szCs w:val="20"/>
          <w:lang w:val="es-ES_tradnl"/>
        </w:rPr>
        <w:t>integra</w:t>
      </w:r>
      <w:r w:rsidR="000A3972">
        <w:rPr>
          <w:rFonts w:eastAsia="Times"/>
          <w:spacing w:val="-2"/>
          <w:szCs w:val="20"/>
          <w:lang w:val="es-ES_tradnl"/>
        </w:rPr>
        <w:t xml:space="preserve">da por </w:t>
      </w:r>
      <w:r w:rsidRPr="000A3972">
        <w:t xml:space="preserve">los </w:t>
      </w:r>
      <w:r w:rsidR="000A3972">
        <w:t xml:space="preserve">mismos </w:t>
      </w:r>
      <w:r w:rsidR="00F4467D">
        <w:t>J</w:t>
      </w:r>
      <w:r w:rsidRPr="000A3972">
        <w:t xml:space="preserve">ueces que dictaron la Sentencia cuya interpretación ha sido solicitada. </w:t>
      </w:r>
    </w:p>
    <w:p w14:paraId="1C23FAB1" w14:textId="77777777" w:rsidR="00744F47" w:rsidRDefault="00744F47" w:rsidP="00744F47">
      <w:pPr>
        <w:pStyle w:val="Sinespaciado"/>
        <w:jc w:val="center"/>
        <w:rPr>
          <w:rFonts w:ascii="Verdana" w:hAnsi="Verdana" w:cs="Verdana"/>
          <w:b/>
          <w:spacing w:val="-2"/>
          <w:sz w:val="20"/>
          <w:szCs w:val="20"/>
          <w:lang w:val="es-ES_tradnl"/>
        </w:rPr>
      </w:pPr>
    </w:p>
    <w:p w14:paraId="2B55270D" w14:textId="77777777" w:rsidR="007D7A08" w:rsidRPr="000866D1" w:rsidRDefault="007D7A08" w:rsidP="00744F47">
      <w:pPr>
        <w:pStyle w:val="Sinespaciado"/>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III</w:t>
      </w:r>
    </w:p>
    <w:p w14:paraId="7CC7F3E3" w14:textId="77777777" w:rsidR="007D7A08" w:rsidRDefault="007D7A08" w:rsidP="00A706E6">
      <w:pPr>
        <w:pStyle w:val="Sinespaciado"/>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ADMISIBILIDAD</w:t>
      </w:r>
    </w:p>
    <w:p w14:paraId="1DE44753" w14:textId="77777777" w:rsidR="00A706E6" w:rsidRPr="007D7A08" w:rsidRDefault="00A706E6" w:rsidP="00A706E6">
      <w:pPr>
        <w:pStyle w:val="Sinespaciado"/>
        <w:jc w:val="center"/>
      </w:pPr>
    </w:p>
    <w:p w14:paraId="5990F85E" w14:textId="326A4335" w:rsidR="00F23E2E" w:rsidRDefault="00200285" w:rsidP="00A706E6">
      <w:pPr>
        <w:numPr>
          <w:ilvl w:val="0"/>
          <w:numId w:val="16"/>
        </w:numPr>
        <w:tabs>
          <w:tab w:val="num" w:pos="720"/>
        </w:tabs>
        <w:ind w:left="0" w:firstLine="0"/>
      </w:pPr>
      <w:r w:rsidRPr="00A73AF0">
        <w:rPr>
          <w:rFonts w:eastAsia="Times"/>
          <w:spacing w:val="-2"/>
          <w:szCs w:val="20"/>
          <w:lang w:val="es-ES_tradnl"/>
        </w:rPr>
        <w:t>Corresponde</w:t>
      </w:r>
      <w:r w:rsidRPr="00A73AF0">
        <w:rPr>
          <w:spacing w:val="-2"/>
          <w:szCs w:val="20"/>
          <w:lang w:val="es-ES_tradnl"/>
        </w:rPr>
        <w:t xml:space="preserve"> a la Corte verificar si la</w:t>
      </w:r>
      <w:r w:rsidR="000A3972">
        <w:rPr>
          <w:spacing w:val="-2"/>
          <w:szCs w:val="20"/>
          <w:lang w:val="es-ES_tradnl"/>
        </w:rPr>
        <w:t xml:space="preserve">s solicitudes </w:t>
      </w:r>
      <w:r w:rsidRPr="00A73AF0">
        <w:rPr>
          <w:spacing w:val="-2"/>
          <w:szCs w:val="20"/>
          <w:lang w:val="es-ES_tradnl"/>
        </w:rPr>
        <w:t>presentada</w:t>
      </w:r>
      <w:r w:rsidR="000A3972">
        <w:rPr>
          <w:spacing w:val="-2"/>
          <w:szCs w:val="20"/>
          <w:lang w:val="es-ES_tradnl"/>
        </w:rPr>
        <w:t>s</w:t>
      </w:r>
      <w:r w:rsidRPr="00A73AF0">
        <w:rPr>
          <w:spacing w:val="-2"/>
          <w:szCs w:val="20"/>
          <w:lang w:val="es-ES_tradnl"/>
        </w:rPr>
        <w:t xml:space="preserve"> por </w:t>
      </w:r>
      <w:r w:rsidR="000A3972">
        <w:rPr>
          <w:spacing w:val="-2"/>
          <w:szCs w:val="20"/>
          <w:lang w:val="es-ES_tradnl"/>
        </w:rPr>
        <w:t xml:space="preserve">los representantes y por </w:t>
      </w:r>
      <w:r w:rsidRPr="00A73AF0">
        <w:rPr>
          <w:spacing w:val="-2"/>
          <w:szCs w:val="20"/>
          <w:lang w:val="es-ES_tradnl"/>
        </w:rPr>
        <w:t>el Estado cumple</w:t>
      </w:r>
      <w:r w:rsidR="000A3972">
        <w:rPr>
          <w:spacing w:val="-2"/>
          <w:szCs w:val="20"/>
          <w:lang w:val="es-ES_tradnl"/>
        </w:rPr>
        <w:t>n</w:t>
      </w:r>
      <w:r w:rsidRPr="00A73AF0">
        <w:rPr>
          <w:spacing w:val="-2"/>
          <w:szCs w:val="20"/>
          <w:lang w:val="es-ES_tradnl"/>
        </w:rPr>
        <w:t xml:space="preserve"> con los requisitos establecidos en las normas aplicables a una solicitud de interpretación de Sentencia, a saber, el artículo</w:t>
      </w:r>
      <w:r w:rsidR="00283502">
        <w:rPr>
          <w:spacing w:val="-2"/>
          <w:szCs w:val="20"/>
          <w:lang w:val="es-ES_tradnl"/>
        </w:rPr>
        <w:t xml:space="preserve"> 67 de la Convención</w:t>
      </w:r>
      <w:r w:rsidR="004126C7">
        <w:rPr>
          <w:spacing w:val="-2"/>
          <w:szCs w:val="20"/>
          <w:lang w:val="es-ES_tradnl"/>
        </w:rPr>
        <w:t xml:space="preserve"> </w:t>
      </w:r>
      <w:r w:rsidR="004126C7">
        <w:t>anteriormente citado,</w:t>
      </w:r>
      <w:r w:rsidRPr="00A73AF0">
        <w:rPr>
          <w:spacing w:val="-2"/>
          <w:szCs w:val="20"/>
          <w:lang w:val="es-ES_tradnl"/>
        </w:rPr>
        <w:t xml:space="preserve"> y el artículo 68 del Reglamento</w:t>
      </w:r>
      <w:r>
        <w:rPr>
          <w:spacing w:val="-2"/>
          <w:szCs w:val="20"/>
          <w:lang w:val="es-ES_tradnl"/>
        </w:rPr>
        <w:t xml:space="preserve">. </w:t>
      </w:r>
      <w:r w:rsidR="00283502">
        <w:rPr>
          <w:spacing w:val="-2"/>
          <w:szCs w:val="20"/>
          <w:lang w:val="es-ES_tradnl"/>
        </w:rPr>
        <w:t xml:space="preserve">Asimismo, </w:t>
      </w:r>
      <w:r w:rsidR="00283502">
        <w:t xml:space="preserve">el </w:t>
      </w:r>
      <w:r w:rsidR="00F23E2E">
        <w:t xml:space="preserve">artículo 31.3 del Reglamento establece que “[c]ontra las sentencias y resoluciones de la Corte no procede ningún medio de impugnación”. </w:t>
      </w:r>
    </w:p>
    <w:p w14:paraId="29951759" w14:textId="77777777" w:rsidR="00486148" w:rsidRPr="00F23E2E" w:rsidRDefault="00486148" w:rsidP="00486148"/>
    <w:p w14:paraId="57AD8C12" w14:textId="14FE47D8" w:rsidR="00461D9E" w:rsidRPr="00744F47" w:rsidRDefault="00461D9E" w:rsidP="00744F47">
      <w:pPr>
        <w:numPr>
          <w:ilvl w:val="0"/>
          <w:numId w:val="16"/>
        </w:numPr>
        <w:tabs>
          <w:tab w:val="num" w:pos="720"/>
        </w:tabs>
        <w:ind w:left="0" w:firstLine="0"/>
        <w:rPr>
          <w:spacing w:val="-2"/>
          <w:szCs w:val="20"/>
          <w:lang w:val="es-ES_tradnl"/>
        </w:rPr>
      </w:pPr>
      <w:r w:rsidRPr="005D3C5C">
        <w:rPr>
          <w:spacing w:val="-2"/>
          <w:szCs w:val="20"/>
          <w:lang w:val="es-ES_tradnl"/>
        </w:rPr>
        <w:t xml:space="preserve">La Corte </w:t>
      </w:r>
      <w:r w:rsidRPr="005D3C5C">
        <w:rPr>
          <w:rFonts w:eastAsia="Times"/>
          <w:spacing w:val="-2"/>
          <w:szCs w:val="20"/>
          <w:lang w:val="es-ES_tradnl"/>
        </w:rPr>
        <w:t>advierte</w:t>
      </w:r>
      <w:r w:rsidRPr="005D3C5C">
        <w:rPr>
          <w:spacing w:val="-2"/>
          <w:szCs w:val="20"/>
          <w:lang w:val="es-ES_tradnl"/>
        </w:rPr>
        <w:t xml:space="preserve"> que</w:t>
      </w:r>
      <w:r w:rsidR="00B512E4">
        <w:rPr>
          <w:spacing w:val="-2"/>
          <w:szCs w:val="20"/>
          <w:lang w:val="es-ES_tradnl"/>
        </w:rPr>
        <w:t xml:space="preserve"> tanto l</w:t>
      </w:r>
      <w:r w:rsidR="003B705B">
        <w:rPr>
          <w:spacing w:val="-2"/>
          <w:szCs w:val="20"/>
          <w:lang w:val="es-ES_tradnl"/>
        </w:rPr>
        <w:t>o</w:t>
      </w:r>
      <w:r w:rsidR="000A3972">
        <w:rPr>
          <w:spacing w:val="-2"/>
          <w:szCs w:val="20"/>
          <w:lang w:val="es-ES_tradnl"/>
        </w:rPr>
        <w:t>s representantes como</w:t>
      </w:r>
      <w:r w:rsidR="00A32DEE">
        <w:rPr>
          <w:spacing w:val="-2"/>
          <w:szCs w:val="20"/>
          <w:lang w:val="es-ES_tradnl"/>
        </w:rPr>
        <w:t xml:space="preserve"> el Estado presentaron</w:t>
      </w:r>
      <w:r w:rsidRPr="005D3C5C">
        <w:rPr>
          <w:spacing w:val="-2"/>
          <w:szCs w:val="20"/>
          <w:lang w:val="es-ES_tradnl"/>
        </w:rPr>
        <w:t xml:space="preserve"> su</w:t>
      </w:r>
      <w:r w:rsidR="00A32DEE">
        <w:rPr>
          <w:spacing w:val="-2"/>
          <w:szCs w:val="20"/>
          <w:lang w:val="es-ES_tradnl"/>
        </w:rPr>
        <w:t>s</w:t>
      </w:r>
      <w:r w:rsidRPr="005D3C5C">
        <w:rPr>
          <w:spacing w:val="-2"/>
          <w:szCs w:val="20"/>
          <w:lang w:val="es-ES_tradnl"/>
        </w:rPr>
        <w:t xml:space="preserve"> solicitud</w:t>
      </w:r>
      <w:r w:rsidR="00A32DEE">
        <w:rPr>
          <w:spacing w:val="-2"/>
          <w:szCs w:val="20"/>
          <w:lang w:val="es-ES_tradnl"/>
        </w:rPr>
        <w:t>es</w:t>
      </w:r>
      <w:r w:rsidRPr="005D3C5C">
        <w:rPr>
          <w:spacing w:val="-2"/>
          <w:szCs w:val="20"/>
          <w:lang w:val="es-ES_tradnl"/>
        </w:rPr>
        <w:t xml:space="preserve"> de interpretación dentro del plazo de noventa días establecido en el artículo 67 de la </w:t>
      </w:r>
      <w:r w:rsidRPr="005D3C5C">
        <w:rPr>
          <w:rFonts w:eastAsia="Times"/>
          <w:spacing w:val="-2"/>
          <w:szCs w:val="20"/>
          <w:lang w:val="es-ES_tradnl"/>
        </w:rPr>
        <w:lastRenderedPageBreak/>
        <w:t>Convención</w:t>
      </w:r>
      <w:r w:rsidR="00A32DEE">
        <w:rPr>
          <w:rFonts w:eastAsia="Times"/>
          <w:spacing w:val="-2"/>
          <w:szCs w:val="20"/>
          <w:lang w:val="es-ES_tradnl"/>
        </w:rPr>
        <w:t xml:space="preserve">, </w:t>
      </w:r>
      <w:r w:rsidR="00A32DEE">
        <w:t>ya que las mismas fueron presentadas el</w:t>
      </w:r>
      <w:r w:rsidR="001B4882">
        <w:t xml:space="preserve"> 18 de marzo de 2019</w:t>
      </w:r>
      <w:r w:rsidR="00A32DEE">
        <w:t>, respectivamente, y las partes fueron notificadas de la Sentencia el</w:t>
      </w:r>
      <w:r w:rsidR="002A70B9">
        <w:t xml:space="preserve"> </w:t>
      </w:r>
      <w:r w:rsidR="002A70B9" w:rsidRPr="002A70B9">
        <w:rPr>
          <w:lang w:val="es-CR"/>
        </w:rPr>
        <w:t>18 de diciembre de 2018</w:t>
      </w:r>
      <w:r w:rsidRPr="005D3C5C">
        <w:rPr>
          <w:spacing w:val="-2"/>
          <w:szCs w:val="20"/>
          <w:lang w:val="es-ES_tradnl"/>
        </w:rPr>
        <w:t xml:space="preserve">. Por ende, la solicitud resulta admisible en lo que se refiere al plazo de su presentación. </w:t>
      </w:r>
      <w:r w:rsidR="00A32DEE">
        <w:t>En cuanto a los demás requisitos, la Corte</w:t>
      </w:r>
      <w:r w:rsidR="00E72BF1">
        <w:t xml:space="preserve"> Interamericana </w:t>
      </w:r>
      <w:r w:rsidR="00A32DEE">
        <w:t xml:space="preserve">realizará el análisis respectivo al mérito de dichas solicitudes en el </w:t>
      </w:r>
      <w:r w:rsidR="0027086A">
        <w:t xml:space="preserve">siguiente </w:t>
      </w:r>
      <w:r w:rsidR="00A32DEE">
        <w:t>capítulo.</w:t>
      </w:r>
    </w:p>
    <w:p w14:paraId="37E3671B" w14:textId="77777777" w:rsidR="00744F47" w:rsidRPr="005D3C5C" w:rsidRDefault="00744F47" w:rsidP="00744F47">
      <w:pPr>
        <w:rPr>
          <w:spacing w:val="-2"/>
          <w:szCs w:val="20"/>
          <w:lang w:val="es-ES_tradnl"/>
        </w:rPr>
      </w:pPr>
    </w:p>
    <w:p w14:paraId="29F7451C" w14:textId="77777777" w:rsidR="00A24CBC" w:rsidRPr="00A24CBC" w:rsidRDefault="00A24CBC" w:rsidP="00744F47">
      <w:pPr>
        <w:pStyle w:val="Sinespaciado"/>
        <w:jc w:val="center"/>
        <w:rPr>
          <w:rFonts w:ascii="Verdana" w:hAnsi="Verdana" w:cs="Verdana"/>
          <w:b/>
          <w:spacing w:val="-2"/>
          <w:sz w:val="20"/>
          <w:szCs w:val="20"/>
          <w:lang w:val="es-ES_tradnl"/>
        </w:rPr>
      </w:pPr>
      <w:r w:rsidRPr="00A24CBC">
        <w:rPr>
          <w:rFonts w:ascii="Verdana" w:hAnsi="Verdana" w:cs="Verdana"/>
          <w:b/>
          <w:spacing w:val="-2"/>
          <w:sz w:val="20"/>
          <w:szCs w:val="20"/>
          <w:lang w:val="es-ES_tradnl"/>
        </w:rPr>
        <w:t>IV</w:t>
      </w:r>
    </w:p>
    <w:p w14:paraId="0E2315E5" w14:textId="77777777" w:rsidR="00744F47" w:rsidRDefault="00A24CBC" w:rsidP="00744F47">
      <w:pPr>
        <w:pStyle w:val="Sinespaciado"/>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ANÁLISIS DE LA PROCEDENCIA DE LA SOLICITUD DE INTERPRETACIÓN</w:t>
      </w:r>
    </w:p>
    <w:p w14:paraId="730BBA0B" w14:textId="77777777" w:rsidR="00A24CBC" w:rsidRPr="000866D1" w:rsidRDefault="00A24CBC" w:rsidP="00744F47">
      <w:pPr>
        <w:pStyle w:val="Sinespaciado"/>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 xml:space="preserve"> </w:t>
      </w:r>
    </w:p>
    <w:p w14:paraId="23ED3F9E" w14:textId="6A311CFB" w:rsidR="00A24CBC" w:rsidRPr="000E44BE" w:rsidRDefault="00DA3437" w:rsidP="00744F47">
      <w:pPr>
        <w:numPr>
          <w:ilvl w:val="0"/>
          <w:numId w:val="16"/>
        </w:numPr>
        <w:tabs>
          <w:tab w:val="num" w:pos="720"/>
        </w:tabs>
        <w:ind w:left="0" w:firstLine="0"/>
        <w:rPr>
          <w:rFonts w:eastAsia="Times"/>
          <w:bCs/>
          <w:spacing w:val="-2"/>
          <w:szCs w:val="20"/>
          <w:lang w:val="es-ES_tradnl"/>
        </w:rPr>
      </w:pPr>
      <w:r>
        <w:rPr>
          <w:rFonts w:eastAsia="Times"/>
          <w:spacing w:val="-2"/>
          <w:szCs w:val="20"/>
          <w:lang w:val="es-ES_tradnl"/>
        </w:rPr>
        <w:t>Este</w:t>
      </w:r>
      <w:r w:rsidR="00A24CBC" w:rsidRPr="000866D1">
        <w:rPr>
          <w:rFonts w:eastAsia="Times"/>
          <w:spacing w:val="-2"/>
          <w:szCs w:val="20"/>
          <w:lang w:val="es-ES_tradnl"/>
        </w:rPr>
        <w:t xml:space="preserve"> Tribunal analizará la</w:t>
      </w:r>
      <w:r w:rsidR="00C1576D">
        <w:rPr>
          <w:rFonts w:eastAsia="Times"/>
          <w:spacing w:val="-2"/>
          <w:szCs w:val="20"/>
          <w:lang w:val="es-ES_tradnl"/>
        </w:rPr>
        <w:t>s</w:t>
      </w:r>
      <w:r w:rsidR="00A24CBC" w:rsidRPr="000866D1">
        <w:rPr>
          <w:rFonts w:eastAsia="Times"/>
          <w:spacing w:val="-2"/>
          <w:szCs w:val="20"/>
          <w:lang w:val="es-ES_tradnl"/>
        </w:rPr>
        <w:t xml:space="preserve"> solicitud</w:t>
      </w:r>
      <w:r w:rsidR="00B512E4">
        <w:rPr>
          <w:rFonts w:eastAsia="Times"/>
          <w:spacing w:val="-2"/>
          <w:szCs w:val="20"/>
          <w:lang w:val="es-ES_tradnl"/>
        </w:rPr>
        <w:t>es de l</w:t>
      </w:r>
      <w:r w:rsidR="00CC2DDA">
        <w:rPr>
          <w:rFonts w:eastAsia="Times"/>
          <w:spacing w:val="-2"/>
          <w:szCs w:val="20"/>
          <w:lang w:val="es-ES_tradnl"/>
        </w:rPr>
        <w:t>o</w:t>
      </w:r>
      <w:r w:rsidR="00C1576D">
        <w:rPr>
          <w:rFonts w:eastAsia="Times"/>
          <w:spacing w:val="-2"/>
          <w:szCs w:val="20"/>
          <w:lang w:val="es-ES_tradnl"/>
        </w:rPr>
        <w:t>s representantes y</w:t>
      </w:r>
      <w:r w:rsidR="00A24CBC" w:rsidRPr="000866D1">
        <w:rPr>
          <w:rFonts w:eastAsia="Times"/>
          <w:spacing w:val="-2"/>
          <w:szCs w:val="20"/>
          <w:lang w:val="es-ES_tradnl"/>
        </w:rPr>
        <w:t xml:space="preserve"> del Estado para determinar si, de acuerdo a la normativa y a los estándares desarrollados en su jurisprudencia, procede aclarar el sentido o alcance de algún punto de la Sentencia. </w:t>
      </w:r>
    </w:p>
    <w:p w14:paraId="5FAE618B" w14:textId="3CB86073" w:rsidR="000E44BE" w:rsidRPr="005254A8" w:rsidRDefault="000E44BE" w:rsidP="0011579D">
      <w:pPr>
        <w:numPr>
          <w:ilvl w:val="0"/>
          <w:numId w:val="16"/>
        </w:numPr>
        <w:tabs>
          <w:tab w:val="num" w:pos="720"/>
        </w:tabs>
        <w:spacing w:before="120" w:after="120"/>
        <w:ind w:left="0" w:firstLine="0"/>
        <w:rPr>
          <w:lang w:val="es-CR"/>
        </w:rPr>
      </w:pPr>
      <w:bookmarkStart w:id="16" w:name="_Ref392082429"/>
      <w:r w:rsidRPr="005254A8">
        <w:rPr>
          <w:lang w:val="es-CR"/>
        </w:rPr>
        <w:t>Para analizar la procedencia de la</w:t>
      </w:r>
      <w:r w:rsidR="00C1576D">
        <w:rPr>
          <w:lang w:val="es-CR"/>
        </w:rPr>
        <w:t>s</w:t>
      </w:r>
      <w:r w:rsidRPr="005254A8">
        <w:rPr>
          <w:lang w:val="es-CR"/>
        </w:rPr>
        <w:t xml:space="preserve"> solicitud</w:t>
      </w:r>
      <w:r w:rsidR="00C1576D">
        <w:rPr>
          <w:lang w:val="es-CR"/>
        </w:rPr>
        <w:t>es de los representantes y</w:t>
      </w:r>
      <w:r w:rsidRPr="005254A8">
        <w:rPr>
          <w:lang w:val="es-CR"/>
        </w:rPr>
        <w:t xml:space="preserve"> del Estado, la Corte toma en consideración su </w:t>
      </w:r>
      <w:r w:rsidRPr="000E44BE">
        <w:rPr>
          <w:rFonts w:eastAsia="Times"/>
          <w:spacing w:val="-2"/>
          <w:szCs w:val="20"/>
          <w:lang w:val="es-ES_tradnl"/>
        </w:rPr>
        <w:t>jurisprudencia</w:t>
      </w:r>
      <w:r w:rsidRPr="005254A8">
        <w:rPr>
          <w:lang w:val="es-CR"/>
        </w:rPr>
        <w:t xml:space="preserve">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 Por lo tanto, no se puede solicitar la modificación o anulación de la sentencia respectiva a través de una solicitud de interpretación</w:t>
      </w:r>
      <w:r w:rsidR="00DA3437" w:rsidRPr="005254A8">
        <w:rPr>
          <w:rStyle w:val="Refdenotaalpie"/>
          <w:lang w:val="es-CR"/>
        </w:rPr>
        <w:footnoteReference w:id="3"/>
      </w:r>
      <w:r w:rsidRPr="005254A8">
        <w:rPr>
          <w:lang w:val="es-CR"/>
        </w:rPr>
        <w:t>.</w:t>
      </w:r>
      <w:bookmarkEnd w:id="16"/>
    </w:p>
    <w:p w14:paraId="3FE106D6" w14:textId="77777777" w:rsidR="00D72B1C" w:rsidRPr="00781C53" w:rsidRDefault="00265C94" w:rsidP="0011579D">
      <w:pPr>
        <w:numPr>
          <w:ilvl w:val="0"/>
          <w:numId w:val="16"/>
        </w:numPr>
        <w:tabs>
          <w:tab w:val="num" w:pos="720"/>
        </w:tabs>
        <w:spacing w:before="120" w:after="120"/>
        <w:ind w:left="0" w:firstLine="0"/>
        <w:rPr>
          <w:rFonts w:eastAsia="Times"/>
          <w:szCs w:val="20"/>
          <w:lang w:val="es-ES_tradnl"/>
        </w:rPr>
      </w:pPr>
      <w:r>
        <w:t>Adicionalmente, la Corte ha sostenido la improcedencia de utilizar una solicitud de interpretación para someter cuestiones de hecho y de derecho que ya fueron planteadas en su oportunidad procesal y sobre las cuales la Corte ya adoptó una decisión</w:t>
      </w:r>
      <w:r>
        <w:rPr>
          <w:rStyle w:val="Refdenotaalpie"/>
        </w:rPr>
        <w:footnoteReference w:id="4"/>
      </w:r>
      <w:r>
        <w:t>, así como para pretender que la Corte valore nuevamente cuestiones que ya han sido resueltas por ésta en su Sentencia</w:t>
      </w:r>
      <w:r>
        <w:rPr>
          <w:rStyle w:val="Refdenotaalpie"/>
        </w:rPr>
        <w:footnoteReference w:id="5"/>
      </w:r>
      <w:r>
        <w:t>. De igual manera, por esta vía tampoco se puede intentar que se amplíe el alcance de una medida de reparación ordenada oportunamente</w:t>
      </w:r>
      <w:r>
        <w:rPr>
          <w:rStyle w:val="Refdenotaalpie"/>
        </w:rPr>
        <w:footnoteReference w:id="6"/>
      </w:r>
      <w:r>
        <w:t>.</w:t>
      </w:r>
    </w:p>
    <w:p w14:paraId="36D00474" w14:textId="7A16DC44" w:rsidR="00BE560E" w:rsidRDefault="00E83C72" w:rsidP="00BE560E">
      <w:pPr>
        <w:numPr>
          <w:ilvl w:val="0"/>
          <w:numId w:val="16"/>
        </w:numPr>
        <w:tabs>
          <w:tab w:val="num" w:pos="720"/>
        </w:tabs>
        <w:spacing w:before="120" w:after="120"/>
        <w:ind w:left="0" w:firstLine="0"/>
        <w:rPr>
          <w:lang w:val="es-CR"/>
        </w:rPr>
      </w:pPr>
      <w:r w:rsidRPr="00E83C72">
        <w:t xml:space="preserve">A continuación </w:t>
      </w:r>
      <w:r w:rsidR="00D72B1C" w:rsidRPr="00E83C72">
        <w:t xml:space="preserve">la Corte </w:t>
      </w:r>
      <w:r w:rsidR="00E72BF1">
        <w:t xml:space="preserve">Interamericana </w:t>
      </w:r>
      <w:r w:rsidR="00D72B1C" w:rsidRPr="00E83C72">
        <w:t xml:space="preserve">examinará las </w:t>
      </w:r>
      <w:r w:rsidR="002678D1" w:rsidRPr="00E83C72">
        <w:t>cuestiones planteadas por l</w:t>
      </w:r>
      <w:r w:rsidR="00B15020">
        <w:t>o</w:t>
      </w:r>
      <w:r w:rsidR="005558B1" w:rsidRPr="00E83C72">
        <w:t>s representantes y el Estado</w:t>
      </w:r>
      <w:r w:rsidR="00D72B1C" w:rsidRPr="00E83C72">
        <w:t xml:space="preserve">, en el siguiente orden: </w:t>
      </w:r>
      <w:r w:rsidR="00BE560E" w:rsidRPr="00E83C72">
        <w:rPr>
          <w:lang w:val="es-CR"/>
        </w:rPr>
        <w:t xml:space="preserve">A. Forma de pago y distribución de los montos en equidad, </w:t>
      </w:r>
      <w:r w:rsidR="00517E6D">
        <w:rPr>
          <w:lang w:val="es-CR"/>
        </w:rPr>
        <w:t xml:space="preserve">y </w:t>
      </w:r>
      <w:r w:rsidR="00BE560E" w:rsidRPr="00E83C72">
        <w:rPr>
          <w:lang w:val="es-CR"/>
        </w:rPr>
        <w:t>B. Investigación de los alegados hechos de tortura respecto al señor Manuel Guillermo Omeara Miraval.</w:t>
      </w:r>
    </w:p>
    <w:p w14:paraId="79E8638F" w14:textId="77777777" w:rsidR="00517E6D" w:rsidRDefault="00517E6D" w:rsidP="00517E6D">
      <w:pPr>
        <w:spacing w:before="120" w:after="120"/>
        <w:rPr>
          <w:lang w:val="es-CR"/>
        </w:rPr>
      </w:pPr>
    </w:p>
    <w:p w14:paraId="63405FAE" w14:textId="77777777" w:rsidR="00517E6D" w:rsidRPr="00E83C72" w:rsidRDefault="00517E6D" w:rsidP="00517E6D">
      <w:pPr>
        <w:spacing w:before="120" w:after="120"/>
        <w:rPr>
          <w:lang w:val="es-CR"/>
        </w:rPr>
      </w:pPr>
    </w:p>
    <w:p w14:paraId="65479F45" w14:textId="77777777" w:rsidR="00D50732" w:rsidRDefault="0095012D" w:rsidP="00781C53">
      <w:pPr>
        <w:tabs>
          <w:tab w:val="num" w:pos="720"/>
        </w:tabs>
        <w:spacing w:before="240" w:after="240"/>
        <w:ind w:left="720"/>
        <w:rPr>
          <w:b/>
          <w:i/>
          <w:lang w:val="es-CR"/>
        </w:rPr>
      </w:pPr>
      <w:r>
        <w:rPr>
          <w:b/>
          <w:i/>
          <w:lang w:val="es-CR"/>
        </w:rPr>
        <w:t>A</w:t>
      </w:r>
      <w:r w:rsidR="00964662">
        <w:rPr>
          <w:b/>
          <w:i/>
          <w:lang w:val="es-CR"/>
        </w:rPr>
        <w:t xml:space="preserve">. </w:t>
      </w:r>
      <w:r w:rsidR="00300F5E">
        <w:rPr>
          <w:b/>
          <w:i/>
          <w:lang w:val="es-CR"/>
        </w:rPr>
        <w:t>Forma de pago y distribución de los montos en equidad</w:t>
      </w:r>
    </w:p>
    <w:p w14:paraId="07B5FEB3" w14:textId="3609E4AA" w:rsidR="005566E0" w:rsidRDefault="00D50732" w:rsidP="00300F5E">
      <w:pPr>
        <w:numPr>
          <w:ilvl w:val="0"/>
          <w:numId w:val="16"/>
        </w:numPr>
        <w:tabs>
          <w:tab w:val="num" w:pos="720"/>
        </w:tabs>
        <w:spacing w:before="120" w:after="120"/>
        <w:ind w:left="0" w:firstLine="0"/>
        <w:rPr>
          <w:lang w:val="es-CR"/>
        </w:rPr>
      </w:pPr>
      <w:r>
        <w:rPr>
          <w:lang w:val="es-CR"/>
        </w:rPr>
        <w:t>L</w:t>
      </w:r>
      <w:r w:rsidR="00B15020">
        <w:rPr>
          <w:lang w:val="es-CR"/>
        </w:rPr>
        <w:t>o</w:t>
      </w:r>
      <w:r w:rsidR="00964662" w:rsidRPr="00D50732">
        <w:rPr>
          <w:lang w:val="es-CR"/>
        </w:rPr>
        <w:t>s</w:t>
      </w:r>
      <w:r w:rsidR="00964662" w:rsidRPr="003318D8">
        <w:rPr>
          <w:b/>
          <w:i/>
          <w:lang w:val="es-CR"/>
        </w:rPr>
        <w:t xml:space="preserve"> </w:t>
      </w:r>
      <w:r w:rsidR="00964662" w:rsidRPr="00A163B4">
        <w:rPr>
          <w:b/>
          <w:i/>
          <w:lang w:val="es-CR"/>
        </w:rPr>
        <w:t>representantes</w:t>
      </w:r>
      <w:r w:rsidR="00300F5E" w:rsidRPr="00A163B4">
        <w:rPr>
          <w:b/>
          <w:lang w:val="es-CR"/>
        </w:rPr>
        <w:t xml:space="preserve"> </w:t>
      </w:r>
      <w:r w:rsidR="00300F5E">
        <w:rPr>
          <w:lang w:val="es-CR"/>
        </w:rPr>
        <w:t xml:space="preserve">realizaron la solicitud </w:t>
      </w:r>
      <w:r w:rsidR="00963C4E" w:rsidRPr="00300F5E">
        <w:rPr>
          <w:lang w:val="es-CR"/>
        </w:rPr>
        <w:t>de aclaración</w:t>
      </w:r>
      <w:r w:rsidRPr="00300F5E">
        <w:rPr>
          <w:lang w:val="es-CR"/>
        </w:rPr>
        <w:t xml:space="preserve"> </w:t>
      </w:r>
      <w:r w:rsidR="00BB04C8" w:rsidRPr="00300F5E">
        <w:rPr>
          <w:lang w:val="es-CR"/>
        </w:rPr>
        <w:t>sobre</w:t>
      </w:r>
      <w:r w:rsidRPr="00300F5E">
        <w:rPr>
          <w:lang w:val="es-CR"/>
        </w:rPr>
        <w:t xml:space="preserve"> </w:t>
      </w:r>
      <w:r w:rsidR="001E2844" w:rsidRPr="00300F5E">
        <w:rPr>
          <w:lang w:val="es-CR"/>
        </w:rPr>
        <w:t xml:space="preserve">el </w:t>
      </w:r>
      <w:r w:rsidR="002B22E1" w:rsidRPr="00300F5E">
        <w:rPr>
          <w:lang w:val="es-CR"/>
        </w:rPr>
        <w:t xml:space="preserve">alcance del </w:t>
      </w:r>
      <w:r w:rsidR="001E2844" w:rsidRPr="00300F5E">
        <w:rPr>
          <w:lang w:val="es-CR"/>
        </w:rPr>
        <w:t>pago</w:t>
      </w:r>
      <w:r w:rsidR="002B22E1" w:rsidRPr="00300F5E">
        <w:rPr>
          <w:lang w:val="es-CR"/>
        </w:rPr>
        <w:t xml:space="preserve"> en</w:t>
      </w:r>
      <w:r w:rsidR="001E2844" w:rsidRPr="00300F5E">
        <w:rPr>
          <w:lang w:val="es-CR"/>
        </w:rPr>
        <w:t xml:space="preserve"> </w:t>
      </w:r>
      <w:r w:rsidR="00063C46" w:rsidRPr="00300F5E">
        <w:rPr>
          <w:lang w:val="es-CR"/>
        </w:rPr>
        <w:t xml:space="preserve">equidad por concepto </w:t>
      </w:r>
      <w:r w:rsidR="00300F5E" w:rsidRPr="00300F5E">
        <w:rPr>
          <w:lang w:val="es-CR"/>
        </w:rPr>
        <w:t xml:space="preserve">de daño emergente. </w:t>
      </w:r>
      <w:r w:rsidR="005566E0">
        <w:rPr>
          <w:lang w:val="es-CR"/>
        </w:rPr>
        <w:t xml:space="preserve">Consideraron que resulta necesario que la Corte aclare, a qué se refiere por grupos familiares, es decir, a quién o quiénes  deberían realizarse </w:t>
      </w:r>
      <w:r w:rsidR="005566E0">
        <w:rPr>
          <w:lang w:val="es-CR"/>
        </w:rPr>
        <w:lastRenderedPageBreak/>
        <w:t xml:space="preserve">los pagos ordenados y con base en que criterios deberían realizarse los pagos, debido a que los mismos no parecen estar establecidos en el párrafo </w:t>
      </w:r>
      <w:r w:rsidR="00942780">
        <w:rPr>
          <w:lang w:val="es-CR"/>
        </w:rPr>
        <w:t>3</w:t>
      </w:r>
      <w:r w:rsidR="005566E0">
        <w:rPr>
          <w:lang w:val="es-CR"/>
        </w:rPr>
        <w:t>28 de la Sentencia.</w:t>
      </w:r>
    </w:p>
    <w:p w14:paraId="6BF8CA54" w14:textId="77777777" w:rsidR="002B22E1" w:rsidRPr="00300F5E" w:rsidRDefault="002B22E1" w:rsidP="00300F5E">
      <w:pPr>
        <w:numPr>
          <w:ilvl w:val="0"/>
          <w:numId w:val="16"/>
        </w:numPr>
        <w:tabs>
          <w:tab w:val="num" w:pos="720"/>
        </w:tabs>
        <w:spacing w:before="120" w:after="120"/>
        <w:ind w:left="0" w:firstLine="0"/>
        <w:rPr>
          <w:lang w:val="es-CR"/>
        </w:rPr>
      </w:pPr>
      <w:r w:rsidRPr="00300F5E">
        <w:rPr>
          <w:lang w:val="es-CR"/>
        </w:rPr>
        <w:t>Con respecto a esta solicitud, la Corte nota que</w:t>
      </w:r>
      <w:r w:rsidR="001535FC">
        <w:rPr>
          <w:lang w:val="es-CR"/>
        </w:rPr>
        <w:t xml:space="preserve"> existió </w:t>
      </w:r>
      <w:r w:rsidRPr="00300F5E">
        <w:rPr>
          <w:lang w:val="es-CR"/>
        </w:rPr>
        <w:t>un e</w:t>
      </w:r>
      <w:r w:rsidR="009526F2">
        <w:rPr>
          <w:lang w:val="es-CR"/>
        </w:rPr>
        <w:t>rror material tipográfico</w:t>
      </w:r>
      <w:r w:rsidR="005558B1">
        <w:rPr>
          <w:lang w:val="es-CR"/>
        </w:rPr>
        <w:t xml:space="preserve"> </w:t>
      </w:r>
      <w:r w:rsidR="001535FC">
        <w:rPr>
          <w:lang w:val="es-CR"/>
        </w:rPr>
        <w:t>al momento de señalar el</w:t>
      </w:r>
      <w:r w:rsidRPr="00300F5E">
        <w:rPr>
          <w:lang w:val="es-CR"/>
        </w:rPr>
        <w:t xml:space="preserve"> párrafo </w:t>
      </w:r>
      <w:r w:rsidR="001535FC">
        <w:rPr>
          <w:lang w:val="es-CR"/>
        </w:rPr>
        <w:t>que  desarrolla</w:t>
      </w:r>
      <w:r w:rsidRPr="00300F5E">
        <w:rPr>
          <w:lang w:val="es-CR"/>
        </w:rPr>
        <w:t xml:space="preserve"> el alcance y el criterio del</w:t>
      </w:r>
      <w:r w:rsidR="001535FC">
        <w:rPr>
          <w:lang w:val="es-CR"/>
        </w:rPr>
        <w:t xml:space="preserve"> correspondiente</w:t>
      </w:r>
      <w:r w:rsidRPr="00300F5E">
        <w:rPr>
          <w:lang w:val="es-CR"/>
        </w:rPr>
        <w:t xml:space="preserve"> pago</w:t>
      </w:r>
      <w:r w:rsidR="001535FC">
        <w:rPr>
          <w:lang w:val="es-CR"/>
        </w:rPr>
        <w:t xml:space="preserve">. Por lo que </w:t>
      </w:r>
      <w:r w:rsidR="009526F2">
        <w:rPr>
          <w:lang w:val="es-CR"/>
        </w:rPr>
        <w:t>aclara lo siguiente</w:t>
      </w:r>
      <w:r w:rsidR="001535FC">
        <w:rPr>
          <w:lang w:val="es-CR"/>
        </w:rPr>
        <w:t>:</w:t>
      </w:r>
      <w:r w:rsidRPr="00300F5E">
        <w:rPr>
          <w:lang w:val="es-CR"/>
        </w:rPr>
        <w:t xml:space="preserve"> el</w:t>
      </w:r>
      <w:r w:rsidR="005558B1">
        <w:rPr>
          <w:lang w:val="es-CR"/>
        </w:rPr>
        <w:t xml:space="preserve"> párrafo </w:t>
      </w:r>
      <w:r w:rsidR="001535FC">
        <w:rPr>
          <w:lang w:val="es-CR"/>
        </w:rPr>
        <w:t xml:space="preserve">destinado a desarrollar dicho punto es el párrafo </w:t>
      </w:r>
      <w:r w:rsidR="005558B1">
        <w:rPr>
          <w:lang w:val="es-CR"/>
        </w:rPr>
        <w:t>327</w:t>
      </w:r>
      <w:r w:rsidR="001535FC">
        <w:rPr>
          <w:lang w:val="es-CR"/>
        </w:rPr>
        <w:t xml:space="preserve"> </w:t>
      </w:r>
      <w:r w:rsidR="009526F2">
        <w:rPr>
          <w:lang w:val="es-CR"/>
        </w:rPr>
        <w:t xml:space="preserve">del Fallo </w:t>
      </w:r>
      <w:r w:rsidR="005558B1">
        <w:rPr>
          <w:lang w:val="es-CR"/>
        </w:rPr>
        <w:t xml:space="preserve">y no </w:t>
      </w:r>
      <w:r w:rsidR="001535FC">
        <w:rPr>
          <w:lang w:val="es-CR"/>
        </w:rPr>
        <w:t>así</w:t>
      </w:r>
      <w:r w:rsidR="005558B1">
        <w:rPr>
          <w:lang w:val="es-CR"/>
        </w:rPr>
        <w:t xml:space="preserve"> el párrafo 328</w:t>
      </w:r>
      <w:r w:rsidR="001535FC">
        <w:rPr>
          <w:lang w:val="es-CR"/>
        </w:rPr>
        <w:t xml:space="preserve"> como se estableció en la Sentencia debido al error detallado. A continuación transcribimos el párrafo correspondiente</w:t>
      </w:r>
      <w:r w:rsidRPr="00300F5E">
        <w:rPr>
          <w:lang w:val="es-CR"/>
        </w:rPr>
        <w:t>:</w:t>
      </w:r>
    </w:p>
    <w:p w14:paraId="4276E649" w14:textId="77777777" w:rsidR="002B22E1" w:rsidRPr="002B22E1" w:rsidRDefault="00813990" w:rsidP="00813990">
      <w:pPr>
        <w:pStyle w:val="Prrafodelista"/>
        <w:numPr>
          <w:ilvl w:val="0"/>
          <w:numId w:val="29"/>
        </w:numPr>
        <w:spacing w:before="120" w:after="120"/>
        <w:ind w:right="900"/>
        <w:rPr>
          <w:sz w:val="16"/>
          <w:szCs w:val="16"/>
          <w:lang w:val="es-MX"/>
        </w:rPr>
      </w:pPr>
      <w:r>
        <w:rPr>
          <w:sz w:val="16"/>
          <w:szCs w:val="16"/>
          <w:lang w:val="es-CR"/>
        </w:rPr>
        <w:t xml:space="preserve"> </w:t>
      </w:r>
      <w:r w:rsidR="002B22E1" w:rsidRPr="002B22E1">
        <w:rPr>
          <w:sz w:val="16"/>
          <w:szCs w:val="16"/>
          <w:lang w:val="es-MX"/>
        </w:rPr>
        <w:t>Los montos deben ser entregados siguiendo los siguientes criterios:</w:t>
      </w:r>
    </w:p>
    <w:p w14:paraId="666D5C67" w14:textId="77777777" w:rsidR="002B22E1" w:rsidRPr="002B22E1" w:rsidRDefault="002B22E1" w:rsidP="002B22E1">
      <w:pPr>
        <w:spacing w:before="120" w:after="120"/>
        <w:ind w:left="1134" w:right="900"/>
        <w:rPr>
          <w:sz w:val="16"/>
          <w:szCs w:val="16"/>
          <w:lang w:val="es-MX"/>
        </w:rPr>
      </w:pPr>
      <w:r w:rsidRPr="002B22E1">
        <w:rPr>
          <w:sz w:val="16"/>
          <w:szCs w:val="16"/>
          <w:lang w:val="es-MX"/>
        </w:rPr>
        <w:t>a) el cincuenta por ciento (50%) de la indemnización correspondiente a cada víctima se repartirá, por partes iguales, entre los hijos de ésta. Si uno o varios de los hijos hubieren fallecido ya, la parte que le o les corresponda acrecerá a la de los demás hijos de la misma víctima;</w:t>
      </w:r>
    </w:p>
    <w:p w14:paraId="0C7ECC1D" w14:textId="77777777" w:rsidR="002B22E1" w:rsidRPr="002B22E1" w:rsidRDefault="002B22E1" w:rsidP="002B22E1">
      <w:pPr>
        <w:spacing w:before="120" w:after="120"/>
        <w:ind w:left="1134" w:right="900"/>
        <w:rPr>
          <w:sz w:val="16"/>
          <w:szCs w:val="16"/>
          <w:lang w:val="es-MX"/>
        </w:rPr>
      </w:pPr>
      <w:r w:rsidRPr="002B22E1">
        <w:rPr>
          <w:sz w:val="16"/>
          <w:szCs w:val="16"/>
          <w:lang w:val="es-MX"/>
        </w:rPr>
        <w:t>b) el otro cincuenta por ciento (50%) de la indemnización deberá ser entregado a quien fuera cónyuge, compañero o compañera permanente de la víctima, al inicio de la desaparición o al momento de la muerte de ésta, según corresponda;</w:t>
      </w:r>
    </w:p>
    <w:p w14:paraId="77692F33" w14:textId="77777777" w:rsidR="002B22E1" w:rsidRPr="002B22E1" w:rsidRDefault="002B22E1" w:rsidP="002B22E1">
      <w:pPr>
        <w:spacing w:before="120" w:after="120"/>
        <w:ind w:left="1134" w:right="900"/>
        <w:rPr>
          <w:sz w:val="16"/>
          <w:szCs w:val="16"/>
          <w:lang w:val="es-MX"/>
        </w:rPr>
      </w:pPr>
      <w:r w:rsidRPr="002B22E1">
        <w:rPr>
          <w:sz w:val="16"/>
          <w:szCs w:val="16"/>
          <w:lang w:val="es-MX"/>
        </w:rPr>
        <w:t>c) en el evento de que la víctima no tuviese hijos o cónyuge, compañero o compañera permanente, lo que hubiere correspondido a los familiares ubicados en esa categoría acrecerá a la parte que le corresponda a la otra categoría;</w:t>
      </w:r>
    </w:p>
    <w:p w14:paraId="1944C059" w14:textId="77777777" w:rsidR="002B22E1" w:rsidRPr="002B22E1" w:rsidRDefault="002B22E1" w:rsidP="002B22E1">
      <w:pPr>
        <w:spacing w:before="120" w:after="120"/>
        <w:ind w:left="1134" w:right="900"/>
        <w:rPr>
          <w:sz w:val="16"/>
          <w:szCs w:val="16"/>
          <w:lang w:val="es-MX"/>
        </w:rPr>
      </w:pPr>
      <w:r w:rsidRPr="002B22E1">
        <w:rPr>
          <w:sz w:val="16"/>
          <w:szCs w:val="16"/>
          <w:lang w:val="es-MX"/>
        </w:rPr>
        <w:t>d) en el caso de que la víctima no tuviere hijos ni cónyuge ni compañero o compañera permanente, la indemnización del daño material será entregado a sus padres o, en su defecto, a sus hermanos en partes iguales, y</w:t>
      </w:r>
    </w:p>
    <w:p w14:paraId="7D93E3E1" w14:textId="77777777" w:rsidR="002B22E1" w:rsidRPr="002B22E1" w:rsidRDefault="002B22E1" w:rsidP="002B22E1">
      <w:pPr>
        <w:spacing w:before="120" w:after="120"/>
        <w:ind w:left="1134" w:right="900"/>
        <w:rPr>
          <w:sz w:val="16"/>
          <w:szCs w:val="16"/>
          <w:lang w:val="es-MX"/>
        </w:rPr>
      </w:pPr>
      <w:r w:rsidRPr="002B22E1">
        <w:rPr>
          <w:sz w:val="16"/>
          <w:szCs w:val="16"/>
          <w:lang w:val="es-MX"/>
        </w:rPr>
        <w:t>e) en el evento de que la víctima no hubiera tenido ni hijos, ni cónyuge, compañera o compañero, ni padres, ni hermanos, la indemnización deberá ser pagada a los herederos de acuerdo con el derecho sucesorio interno.</w:t>
      </w:r>
    </w:p>
    <w:p w14:paraId="27F2EFEC" w14:textId="77777777" w:rsidR="00F12BB9" w:rsidRDefault="005566E0" w:rsidP="00744F47">
      <w:pPr>
        <w:rPr>
          <w:lang w:val="es-MX"/>
        </w:rPr>
      </w:pPr>
      <w:r>
        <w:rPr>
          <w:lang w:val="es-MX"/>
        </w:rPr>
        <w:t>15</w:t>
      </w:r>
      <w:r w:rsidR="00FE47A6">
        <w:rPr>
          <w:lang w:val="es-MX"/>
        </w:rPr>
        <w:t>.</w:t>
      </w:r>
      <w:r w:rsidR="00FE47A6">
        <w:rPr>
          <w:lang w:val="es-MX"/>
        </w:rPr>
        <w:tab/>
      </w:r>
      <w:r w:rsidR="00300F5E">
        <w:rPr>
          <w:lang w:val="es-MX"/>
        </w:rPr>
        <w:t>Con respecto a la solicitud de aclaración sobre los</w:t>
      </w:r>
      <w:r w:rsidR="00063C46" w:rsidRPr="00300F5E">
        <w:rPr>
          <w:lang w:val="es-CR"/>
        </w:rPr>
        <w:t xml:space="preserve"> grupos familiares incluidos en el pago en equidad por concepto de daño emergente</w:t>
      </w:r>
      <w:r w:rsidR="00300F5E">
        <w:rPr>
          <w:lang w:val="es-CR"/>
        </w:rPr>
        <w:t xml:space="preserve"> </w:t>
      </w:r>
      <w:r w:rsidR="0084131B">
        <w:rPr>
          <w:lang w:val="es-CR"/>
        </w:rPr>
        <w:t xml:space="preserve">mencionados </w:t>
      </w:r>
      <w:r w:rsidR="008A4016">
        <w:rPr>
          <w:lang w:val="es-CR"/>
        </w:rPr>
        <w:t xml:space="preserve">en el párrafo 318, </w:t>
      </w:r>
      <w:r w:rsidR="00300F5E">
        <w:rPr>
          <w:lang w:val="es-CR"/>
        </w:rPr>
        <w:t xml:space="preserve">la Corte </w:t>
      </w:r>
      <w:r w:rsidR="009526F2">
        <w:rPr>
          <w:lang w:val="es-CR"/>
        </w:rPr>
        <w:t xml:space="preserve">considera que el referido párrafo es lo suficientemente claro y preciso, ya que en la Sentencia se establece </w:t>
      </w:r>
      <w:r w:rsidR="0084131B">
        <w:rPr>
          <w:lang w:val="es-CR"/>
        </w:rPr>
        <w:t xml:space="preserve">que </w:t>
      </w:r>
      <w:r w:rsidR="009526F2">
        <w:rPr>
          <w:lang w:val="es-CR"/>
        </w:rPr>
        <w:t>“</w:t>
      </w:r>
      <w:r w:rsidR="0084131B">
        <w:rPr>
          <w:lang w:val="es-CR"/>
        </w:rPr>
        <w:t xml:space="preserve">los </w:t>
      </w:r>
      <w:r w:rsidR="00ED658E">
        <w:rPr>
          <w:lang w:val="es-CR"/>
        </w:rPr>
        <w:t xml:space="preserve">grupos familiares </w:t>
      </w:r>
      <w:r w:rsidR="00300F5E">
        <w:rPr>
          <w:lang w:val="es-CR"/>
        </w:rPr>
        <w:t xml:space="preserve">corresponden a </w:t>
      </w:r>
      <w:r w:rsidR="00300F5E" w:rsidRPr="00300F5E">
        <w:rPr>
          <w:lang w:val="es-MX"/>
        </w:rPr>
        <w:t>Noel Emiro Omeara Carrascal, Manuel Guillermo Omeara Miraval y Héctor Álvarez Sánchez</w:t>
      </w:r>
      <w:r w:rsidR="00ED658E">
        <w:rPr>
          <w:lang w:val="es-MX"/>
        </w:rPr>
        <w:t xml:space="preserve"> y </w:t>
      </w:r>
      <w:r w:rsidR="00300F5E">
        <w:rPr>
          <w:lang w:val="es-MX"/>
        </w:rPr>
        <w:t xml:space="preserve">que los mismos deben ser distribuidos </w:t>
      </w:r>
      <w:r w:rsidR="0084131B">
        <w:rPr>
          <w:lang w:val="es-MX"/>
        </w:rPr>
        <w:t>en cada grupo de forma proporcional</w:t>
      </w:r>
      <w:r w:rsidR="009526F2">
        <w:rPr>
          <w:lang w:val="es-MX"/>
        </w:rPr>
        <w:t>”</w:t>
      </w:r>
      <w:r w:rsidR="0084131B">
        <w:rPr>
          <w:lang w:val="es-MX"/>
        </w:rPr>
        <w:t>.</w:t>
      </w:r>
    </w:p>
    <w:p w14:paraId="0F04C581" w14:textId="77777777" w:rsidR="00E83C72" w:rsidRPr="00300F5E" w:rsidRDefault="00E83C72" w:rsidP="00744F47">
      <w:pPr>
        <w:rPr>
          <w:lang w:val="es-CR"/>
        </w:rPr>
      </w:pPr>
    </w:p>
    <w:p w14:paraId="4519AAF2" w14:textId="77777777" w:rsidR="008A4016" w:rsidRDefault="00300F5E" w:rsidP="00744F47">
      <w:pPr>
        <w:tabs>
          <w:tab w:val="num" w:pos="720"/>
        </w:tabs>
        <w:ind w:left="720"/>
        <w:rPr>
          <w:b/>
          <w:i/>
          <w:lang w:val="es-CR"/>
        </w:rPr>
      </w:pPr>
      <w:r>
        <w:rPr>
          <w:b/>
          <w:i/>
          <w:lang w:val="es-CR"/>
        </w:rPr>
        <w:t xml:space="preserve">B. </w:t>
      </w:r>
      <w:r w:rsidR="008A4016">
        <w:rPr>
          <w:b/>
          <w:i/>
          <w:lang w:val="es-CR"/>
        </w:rPr>
        <w:t>Investigación de los alegados hechos de tortura respecto al señor Manuel Guillermo Omeara Miraval</w:t>
      </w:r>
    </w:p>
    <w:p w14:paraId="04BFF1E4" w14:textId="77777777" w:rsidR="00A163B4" w:rsidRDefault="005566E0" w:rsidP="00404F29">
      <w:pPr>
        <w:tabs>
          <w:tab w:val="num" w:pos="720"/>
        </w:tabs>
        <w:spacing w:before="240" w:after="240"/>
        <w:rPr>
          <w:szCs w:val="20"/>
          <w:lang w:val="es-CR"/>
        </w:rPr>
      </w:pPr>
      <w:r>
        <w:rPr>
          <w:lang w:val="es-CR"/>
        </w:rPr>
        <w:t>16</w:t>
      </w:r>
      <w:r w:rsidR="00FE47A6">
        <w:rPr>
          <w:lang w:val="es-CR"/>
        </w:rPr>
        <w:t>.</w:t>
      </w:r>
      <w:r w:rsidR="00FE47A6">
        <w:rPr>
          <w:lang w:val="es-CR"/>
        </w:rPr>
        <w:tab/>
      </w:r>
      <w:r w:rsidR="008A4016">
        <w:rPr>
          <w:lang w:val="es-CR"/>
        </w:rPr>
        <w:t xml:space="preserve">El </w:t>
      </w:r>
      <w:r w:rsidR="008A4016" w:rsidRPr="00A163B4">
        <w:rPr>
          <w:b/>
          <w:i/>
          <w:lang w:val="es-CR"/>
        </w:rPr>
        <w:t>Es</w:t>
      </w:r>
      <w:r w:rsidR="00ED658E" w:rsidRPr="00A163B4">
        <w:rPr>
          <w:b/>
          <w:i/>
          <w:lang w:val="es-CR"/>
        </w:rPr>
        <w:t>tado</w:t>
      </w:r>
      <w:r w:rsidR="00ED658E" w:rsidRPr="00A163B4">
        <w:rPr>
          <w:b/>
          <w:lang w:val="es-CR"/>
        </w:rPr>
        <w:t xml:space="preserve"> </w:t>
      </w:r>
      <w:r w:rsidR="00ED658E">
        <w:rPr>
          <w:lang w:val="es-CR"/>
        </w:rPr>
        <w:t xml:space="preserve">solicitó una aclaración en el marco del punto resolutivo numeral 16 con respecto a </w:t>
      </w:r>
      <w:r w:rsidR="00ED658E" w:rsidRPr="00931CA9">
        <w:rPr>
          <w:rFonts w:cs="Arial"/>
          <w:szCs w:val="20"/>
        </w:rPr>
        <w:t>la investigación sobre la alegada tortura que habría sufrido el señor Manuel Guillermo Omeara Miraval,</w:t>
      </w:r>
      <w:r w:rsidR="00ED658E" w:rsidRPr="00931CA9">
        <w:t xml:space="preserve"> </w:t>
      </w:r>
      <w:r w:rsidR="00ED658E" w:rsidRPr="00931CA9">
        <w:rPr>
          <w:szCs w:val="20"/>
          <w:lang w:val="es-CR"/>
        </w:rPr>
        <w:t>de conformidad con lo expuesto en los párrafos 293 y 294</w:t>
      </w:r>
      <w:r w:rsidR="00ED658E">
        <w:rPr>
          <w:szCs w:val="20"/>
          <w:lang w:val="es-CR"/>
        </w:rPr>
        <w:t xml:space="preserve"> de la</w:t>
      </w:r>
      <w:r w:rsidR="00ED658E" w:rsidRPr="00931CA9">
        <w:rPr>
          <w:szCs w:val="20"/>
          <w:lang w:val="es-CR"/>
        </w:rPr>
        <w:t xml:space="preserve"> Sentencia</w:t>
      </w:r>
      <w:r w:rsidR="00ED658E">
        <w:rPr>
          <w:szCs w:val="20"/>
          <w:lang w:val="es-CR"/>
        </w:rPr>
        <w:t>, mismos que declaran al Estado</w:t>
      </w:r>
      <w:r w:rsidR="0014259D">
        <w:rPr>
          <w:szCs w:val="20"/>
          <w:lang w:val="es-CR"/>
        </w:rPr>
        <w:t xml:space="preserve"> responsable de la violación de los</w:t>
      </w:r>
      <w:r w:rsidR="00ED658E">
        <w:rPr>
          <w:szCs w:val="20"/>
          <w:lang w:val="es-CR"/>
        </w:rPr>
        <w:t xml:space="preserve"> artículo</w:t>
      </w:r>
      <w:r w:rsidR="0014259D">
        <w:rPr>
          <w:szCs w:val="20"/>
          <w:lang w:val="es-CR"/>
        </w:rPr>
        <w:t>s</w:t>
      </w:r>
      <w:r w:rsidR="00ED658E">
        <w:rPr>
          <w:szCs w:val="20"/>
          <w:lang w:val="es-CR"/>
        </w:rPr>
        <w:t xml:space="preserve"> 8.1 y 25.1 de la Convención Americana, por el incumplimiento del Estado en su obligación de investigar los hechos ocurridos en perjuicio de Manuel Guillermo Omeara Miraval</w:t>
      </w:r>
      <w:r w:rsidR="001F1629">
        <w:rPr>
          <w:szCs w:val="20"/>
          <w:lang w:val="es-CR"/>
        </w:rPr>
        <w:t>. Al respecto, el Estado señaló que esta orden de iniciar una investigación sobre la alegada tortura que habría sufrido el señor M</w:t>
      </w:r>
      <w:r w:rsidR="00D454F5">
        <w:rPr>
          <w:szCs w:val="20"/>
          <w:lang w:val="es-CR"/>
        </w:rPr>
        <w:t xml:space="preserve">anuel Guillermo Omeara Miraval no es consistente con lo expuesto en los párrafos 199 y 200 de la Sentencia, pues </w:t>
      </w:r>
      <w:r w:rsidR="008D41B6">
        <w:rPr>
          <w:szCs w:val="20"/>
          <w:lang w:val="es-CR"/>
        </w:rPr>
        <w:t xml:space="preserve">en estos párrafos </w:t>
      </w:r>
      <w:r w:rsidR="00D454F5">
        <w:rPr>
          <w:szCs w:val="20"/>
          <w:lang w:val="es-CR"/>
        </w:rPr>
        <w:t>la Corte reconoció que la prueba remitida no fue suficiente pa</w:t>
      </w:r>
      <w:r w:rsidR="002678D1">
        <w:rPr>
          <w:szCs w:val="20"/>
          <w:lang w:val="es-CR"/>
        </w:rPr>
        <w:t>ra acreditar que el señor Omeara</w:t>
      </w:r>
      <w:r w:rsidR="00D454F5">
        <w:rPr>
          <w:szCs w:val="20"/>
          <w:lang w:val="es-CR"/>
        </w:rPr>
        <w:t xml:space="preserve"> Miraval sufriera maltratos que pudieran considerar</w:t>
      </w:r>
      <w:r w:rsidR="002678D1">
        <w:rPr>
          <w:szCs w:val="20"/>
          <w:lang w:val="es-CR"/>
        </w:rPr>
        <w:t>se como tortura.</w:t>
      </w:r>
    </w:p>
    <w:p w14:paraId="52AF617D" w14:textId="4F976876" w:rsidR="00A163B4" w:rsidRDefault="005566E0" w:rsidP="00404F29">
      <w:pPr>
        <w:tabs>
          <w:tab w:val="num" w:pos="720"/>
        </w:tabs>
        <w:spacing w:before="240" w:after="240"/>
        <w:rPr>
          <w:szCs w:val="20"/>
          <w:lang w:val="es-CR"/>
        </w:rPr>
      </w:pPr>
      <w:r>
        <w:rPr>
          <w:szCs w:val="20"/>
          <w:lang w:val="es-CR"/>
        </w:rPr>
        <w:t>17</w:t>
      </w:r>
      <w:r w:rsidR="00A163B4">
        <w:rPr>
          <w:szCs w:val="20"/>
          <w:lang w:val="es-CR"/>
        </w:rPr>
        <w:t>.</w:t>
      </w:r>
      <w:r w:rsidR="00A163B4">
        <w:rPr>
          <w:szCs w:val="20"/>
          <w:lang w:val="es-CR"/>
        </w:rPr>
        <w:tab/>
        <w:t xml:space="preserve"> Los </w:t>
      </w:r>
      <w:r w:rsidR="00A163B4" w:rsidRPr="00A163B4">
        <w:rPr>
          <w:b/>
          <w:i/>
          <w:szCs w:val="20"/>
          <w:lang w:val="es-CR"/>
        </w:rPr>
        <w:t>representantes</w:t>
      </w:r>
      <w:r w:rsidR="00A163B4">
        <w:rPr>
          <w:szCs w:val="20"/>
          <w:lang w:val="es-CR"/>
        </w:rPr>
        <w:t xml:space="preserve"> señalaron que </w:t>
      </w:r>
      <w:r w:rsidR="00907A18">
        <w:rPr>
          <w:szCs w:val="20"/>
          <w:lang w:val="es-CR"/>
        </w:rPr>
        <w:t xml:space="preserve">el Estado “pretende modificar lo dispuesto por el Tribunal en </w:t>
      </w:r>
      <w:r w:rsidR="00D376FD">
        <w:rPr>
          <w:szCs w:val="20"/>
          <w:lang w:val="es-CR"/>
        </w:rPr>
        <w:t>[</w:t>
      </w:r>
      <w:r w:rsidR="00907A18">
        <w:rPr>
          <w:szCs w:val="20"/>
          <w:lang w:val="es-CR"/>
        </w:rPr>
        <w:t>la</w:t>
      </w:r>
      <w:r w:rsidR="00D376FD">
        <w:rPr>
          <w:szCs w:val="20"/>
          <w:lang w:val="es-CR"/>
        </w:rPr>
        <w:t>...]</w:t>
      </w:r>
      <w:r w:rsidR="00907A18">
        <w:rPr>
          <w:szCs w:val="20"/>
          <w:lang w:val="es-CR"/>
        </w:rPr>
        <w:t xml:space="preserve"> sentencia” y </w:t>
      </w:r>
      <w:r w:rsidR="00D560B7">
        <w:rPr>
          <w:szCs w:val="20"/>
          <w:lang w:val="es-CR"/>
        </w:rPr>
        <w:t>consideraron que “se encuentra en desacuerdo con lo decidido por la […]</w:t>
      </w:r>
      <w:r w:rsidR="00D376FD">
        <w:rPr>
          <w:szCs w:val="20"/>
          <w:lang w:val="es-CR"/>
        </w:rPr>
        <w:t xml:space="preserve"> Corte</w:t>
      </w:r>
      <w:r w:rsidR="00D560B7">
        <w:rPr>
          <w:szCs w:val="20"/>
          <w:lang w:val="es-CR"/>
        </w:rPr>
        <w:t xml:space="preserve"> en relación con la obligación estatal de investigar la tortura sufrida por el señor Manuel Guil</w:t>
      </w:r>
      <w:r>
        <w:rPr>
          <w:szCs w:val="20"/>
          <w:lang w:val="es-CR"/>
        </w:rPr>
        <w:t>l</w:t>
      </w:r>
      <w:r w:rsidR="00D560B7">
        <w:rPr>
          <w:szCs w:val="20"/>
          <w:lang w:val="es-CR"/>
        </w:rPr>
        <w:t>ermo Omeara Miraval”. Por lo que no se está frente a una solicitud de interpretación de sentencia, sino frente a una apelación, y la solicitud estatal debe ser rechazada.</w:t>
      </w:r>
    </w:p>
    <w:p w14:paraId="2D3BD1F3" w14:textId="5A1FD559" w:rsidR="00024756" w:rsidRDefault="005566E0" w:rsidP="005A0F5E">
      <w:pPr>
        <w:tabs>
          <w:tab w:val="num" w:pos="720"/>
        </w:tabs>
        <w:spacing w:before="240" w:after="240"/>
        <w:rPr>
          <w:rFonts w:cs="Arial"/>
          <w:szCs w:val="20"/>
        </w:rPr>
      </w:pPr>
      <w:r>
        <w:rPr>
          <w:szCs w:val="20"/>
          <w:lang w:val="es-CR"/>
        </w:rPr>
        <w:lastRenderedPageBreak/>
        <w:t>18</w:t>
      </w:r>
      <w:r w:rsidR="00FE47A6">
        <w:rPr>
          <w:szCs w:val="20"/>
          <w:lang w:val="es-CR"/>
        </w:rPr>
        <w:t>.</w:t>
      </w:r>
      <w:r w:rsidR="00FE47A6">
        <w:rPr>
          <w:szCs w:val="20"/>
          <w:lang w:val="es-CR"/>
        </w:rPr>
        <w:tab/>
      </w:r>
      <w:r w:rsidR="00AE37C9" w:rsidRPr="00E926C5">
        <w:rPr>
          <w:szCs w:val="20"/>
          <w:lang w:val="es-CR"/>
        </w:rPr>
        <w:t xml:space="preserve">Al </w:t>
      </w:r>
      <w:r w:rsidR="00497200" w:rsidRPr="00E926C5">
        <w:rPr>
          <w:szCs w:val="20"/>
          <w:lang w:val="es-CR"/>
        </w:rPr>
        <w:t>respecto</w:t>
      </w:r>
      <w:r w:rsidR="00FE47A6" w:rsidRPr="00E926C5">
        <w:rPr>
          <w:szCs w:val="20"/>
          <w:lang w:val="es-CR"/>
        </w:rPr>
        <w:t>,</w:t>
      </w:r>
      <w:r w:rsidR="00497200" w:rsidRPr="00E926C5">
        <w:rPr>
          <w:szCs w:val="20"/>
          <w:lang w:val="es-CR"/>
        </w:rPr>
        <w:t xml:space="preserve"> </w:t>
      </w:r>
      <w:r w:rsidR="00E926C5">
        <w:rPr>
          <w:szCs w:val="20"/>
          <w:lang w:val="es-CR"/>
        </w:rPr>
        <w:t xml:space="preserve">la Corte </w:t>
      </w:r>
      <w:r w:rsidR="000E0B9F" w:rsidRPr="00E926C5">
        <w:rPr>
          <w:szCs w:val="20"/>
          <w:lang w:val="es-CR"/>
        </w:rPr>
        <w:t xml:space="preserve">estableció </w:t>
      </w:r>
      <w:r w:rsidR="0014259D" w:rsidRPr="00E926C5">
        <w:rPr>
          <w:szCs w:val="20"/>
          <w:lang w:val="es-CR"/>
        </w:rPr>
        <w:t xml:space="preserve">en el párrafo 200 </w:t>
      </w:r>
      <w:r w:rsidR="000E0B9F" w:rsidRPr="00E926C5">
        <w:rPr>
          <w:szCs w:val="20"/>
          <w:lang w:val="es-CR"/>
        </w:rPr>
        <w:t xml:space="preserve">de la Sentencia </w:t>
      </w:r>
      <w:r w:rsidR="0014259D" w:rsidRPr="00E926C5">
        <w:rPr>
          <w:szCs w:val="20"/>
          <w:lang w:val="es-CR"/>
        </w:rPr>
        <w:t xml:space="preserve">que </w:t>
      </w:r>
      <w:r w:rsidR="000E0B9F" w:rsidRPr="00E926C5">
        <w:rPr>
          <w:szCs w:val="20"/>
          <w:lang w:val="es-CR"/>
        </w:rPr>
        <w:t>“la prueba remitida ante este Tribunal no es suficiente para acreditar que el señor Omeara Miraval, mientras estuvo detenido antes de su ejecución, sufriera maltratos que puedan ca</w:t>
      </w:r>
      <w:r w:rsidR="00E926C5" w:rsidRPr="00E926C5">
        <w:rPr>
          <w:szCs w:val="20"/>
          <w:lang w:val="es-CR"/>
        </w:rPr>
        <w:t>lificarse como actos de tortura[, sin embargo,</w:t>
      </w:r>
      <w:r w:rsidR="00D376FD">
        <w:rPr>
          <w:szCs w:val="20"/>
          <w:lang w:val="es-CR"/>
        </w:rPr>
        <w:t xml:space="preserve"> …</w:t>
      </w:r>
      <w:r w:rsidR="00E926C5" w:rsidRPr="00E926C5">
        <w:rPr>
          <w:szCs w:val="20"/>
          <w:lang w:val="es-CR"/>
        </w:rPr>
        <w:t>]</w:t>
      </w:r>
      <w:r w:rsidR="000E0B9F" w:rsidRPr="00E926C5">
        <w:rPr>
          <w:szCs w:val="20"/>
          <w:lang w:val="es-CR"/>
        </w:rPr>
        <w:t xml:space="preserve"> </w:t>
      </w:r>
      <w:r w:rsidR="00E926C5" w:rsidRPr="00E926C5">
        <w:rPr>
          <w:szCs w:val="20"/>
          <w:lang w:val="es-CR"/>
        </w:rPr>
        <w:t>advirt[ió</w:t>
      </w:r>
      <w:r w:rsidR="00D376FD">
        <w:rPr>
          <w:szCs w:val="20"/>
          <w:lang w:val="es-CR"/>
        </w:rPr>
        <w:t>…</w:t>
      </w:r>
      <w:r w:rsidR="00E926C5" w:rsidRPr="00E926C5">
        <w:rPr>
          <w:szCs w:val="20"/>
          <w:lang w:val="es-CR"/>
        </w:rPr>
        <w:t>]</w:t>
      </w:r>
      <w:r w:rsidR="000E0B9F" w:rsidRPr="00E926C5">
        <w:rPr>
          <w:szCs w:val="20"/>
          <w:lang w:val="es-CR"/>
        </w:rPr>
        <w:t xml:space="preserve"> que esta conclusión es independiente de aquella a la que pueda arribar el Estado en la investigación correspondiente</w:t>
      </w:r>
      <w:r w:rsidR="00111EE2">
        <w:rPr>
          <w:szCs w:val="20"/>
          <w:lang w:val="es-CR"/>
        </w:rPr>
        <w:t xml:space="preserve">”. Además, dicho párrafo remite claramente al </w:t>
      </w:r>
      <w:r w:rsidR="00024756">
        <w:rPr>
          <w:szCs w:val="20"/>
          <w:lang w:val="es-CR"/>
        </w:rPr>
        <w:t xml:space="preserve">párrafo </w:t>
      </w:r>
      <w:r w:rsidR="00111EE2">
        <w:rPr>
          <w:szCs w:val="20"/>
          <w:lang w:val="es-CR"/>
        </w:rPr>
        <w:t>294 en cuestión</w:t>
      </w:r>
      <w:r w:rsidR="000E0B9F" w:rsidRPr="00E926C5">
        <w:rPr>
          <w:szCs w:val="20"/>
          <w:lang w:val="es-CR"/>
        </w:rPr>
        <w:t xml:space="preserve">.  </w:t>
      </w:r>
      <w:r w:rsidR="005A0F5E" w:rsidRPr="00E926C5">
        <w:rPr>
          <w:color w:val="000000"/>
          <w:szCs w:val="20"/>
        </w:rPr>
        <w:t xml:space="preserve">Asimismo, </w:t>
      </w:r>
      <w:r w:rsidR="00E926C5" w:rsidRPr="00E926C5">
        <w:rPr>
          <w:color w:val="000000"/>
          <w:szCs w:val="20"/>
        </w:rPr>
        <w:t>en lo conducente</w:t>
      </w:r>
      <w:r w:rsidR="00E926C5">
        <w:rPr>
          <w:color w:val="000000"/>
          <w:szCs w:val="20"/>
        </w:rPr>
        <w:t>,</w:t>
      </w:r>
      <w:r w:rsidR="00E926C5" w:rsidRPr="00E926C5">
        <w:rPr>
          <w:color w:val="000000"/>
          <w:szCs w:val="20"/>
        </w:rPr>
        <w:t xml:space="preserve"> en los párrafos 31 y 33</w:t>
      </w:r>
      <w:r w:rsidR="00E926C5">
        <w:rPr>
          <w:color w:val="000000"/>
          <w:szCs w:val="20"/>
        </w:rPr>
        <w:t xml:space="preserve"> de la Sentencia</w:t>
      </w:r>
      <w:r w:rsidR="00E926C5" w:rsidRPr="00E926C5">
        <w:rPr>
          <w:color w:val="000000"/>
          <w:szCs w:val="20"/>
        </w:rPr>
        <w:t xml:space="preserve"> se estableció que</w:t>
      </w:r>
      <w:r w:rsidR="005A0F5E" w:rsidRPr="00E926C5">
        <w:rPr>
          <w:color w:val="000000"/>
          <w:szCs w:val="20"/>
        </w:rPr>
        <w:t xml:space="preserve"> el Estado reconoció, por omisión, la falta de investigar </w:t>
      </w:r>
      <w:r w:rsidR="005A0F5E" w:rsidRPr="00E926C5">
        <w:rPr>
          <w:rFonts w:cs="Arial"/>
          <w:szCs w:val="20"/>
        </w:rPr>
        <w:t>las alegadas torturas que habría sufrido el señor Omeara Miraval mientras permaneció desaparecido antes de su muerte.</w:t>
      </w:r>
      <w:r w:rsidR="005A0F5E">
        <w:rPr>
          <w:rFonts w:cs="Arial"/>
          <w:szCs w:val="20"/>
        </w:rPr>
        <w:t xml:space="preserve"> </w:t>
      </w:r>
    </w:p>
    <w:p w14:paraId="6AF23370" w14:textId="2CE2BF6A" w:rsidR="005A0F5E" w:rsidRPr="00E926C5" w:rsidRDefault="005566E0" w:rsidP="005A0F5E">
      <w:pPr>
        <w:tabs>
          <w:tab w:val="num" w:pos="720"/>
        </w:tabs>
        <w:spacing w:before="240" w:after="240"/>
        <w:rPr>
          <w:szCs w:val="20"/>
          <w:lang w:val="es-CR"/>
        </w:rPr>
      </w:pPr>
      <w:r>
        <w:rPr>
          <w:rFonts w:cs="Arial"/>
          <w:szCs w:val="20"/>
        </w:rPr>
        <w:t>19</w:t>
      </w:r>
      <w:r w:rsidR="00024756">
        <w:rPr>
          <w:rFonts w:cs="Arial"/>
          <w:szCs w:val="20"/>
        </w:rPr>
        <w:t>.</w:t>
      </w:r>
      <w:r w:rsidR="00024756">
        <w:rPr>
          <w:rFonts w:cs="Arial"/>
          <w:szCs w:val="20"/>
        </w:rPr>
        <w:tab/>
        <w:t>En consonancia con lo anterior, este Tribunal hace notar que</w:t>
      </w:r>
      <w:r w:rsidR="00D34597">
        <w:rPr>
          <w:rFonts w:cs="Arial"/>
          <w:szCs w:val="20"/>
        </w:rPr>
        <w:t xml:space="preserve"> </w:t>
      </w:r>
      <w:r w:rsidR="00024756">
        <w:rPr>
          <w:rFonts w:cs="Arial"/>
          <w:szCs w:val="20"/>
        </w:rPr>
        <w:t xml:space="preserve">el </w:t>
      </w:r>
      <w:r w:rsidR="00D34597">
        <w:rPr>
          <w:rFonts w:cs="Arial"/>
          <w:szCs w:val="20"/>
        </w:rPr>
        <w:t xml:space="preserve">texto del </w:t>
      </w:r>
      <w:r w:rsidR="00024756">
        <w:rPr>
          <w:rFonts w:cs="Arial"/>
          <w:szCs w:val="20"/>
        </w:rPr>
        <w:t xml:space="preserve">párrafo 294 de la Sentencia </w:t>
      </w:r>
      <w:r w:rsidR="00111EE2">
        <w:rPr>
          <w:rFonts w:cs="Arial"/>
          <w:szCs w:val="20"/>
        </w:rPr>
        <w:t xml:space="preserve">es claro y preciso, ya que </w:t>
      </w:r>
      <w:r w:rsidR="00D34597">
        <w:rPr>
          <w:rFonts w:cs="Arial"/>
          <w:szCs w:val="20"/>
        </w:rPr>
        <w:t xml:space="preserve">establece que </w:t>
      </w:r>
      <w:r w:rsidR="00024756">
        <w:rPr>
          <w:rFonts w:cs="Arial"/>
          <w:szCs w:val="20"/>
        </w:rPr>
        <w:t xml:space="preserve">“de </w:t>
      </w:r>
      <w:r w:rsidR="00024756" w:rsidRPr="007A5234">
        <w:rPr>
          <w:rFonts w:cs="Arial"/>
          <w:szCs w:val="20"/>
        </w:rPr>
        <w:t>acuerdo a lo previsto en la legislación interna, la Corte considera que el Estado debe iniciar, en un plazo razonable, la referida investigación para esclarecer los hechos ale</w:t>
      </w:r>
      <w:r w:rsidR="00024756">
        <w:rPr>
          <w:rFonts w:cs="Arial"/>
          <w:szCs w:val="20"/>
        </w:rPr>
        <w:t>gados</w:t>
      </w:r>
      <w:r w:rsidR="00111EE2">
        <w:rPr>
          <w:rFonts w:cs="Arial"/>
          <w:szCs w:val="20"/>
        </w:rPr>
        <w:t xml:space="preserve"> [de tortura]</w:t>
      </w:r>
      <w:r w:rsidR="00024756">
        <w:rPr>
          <w:rFonts w:cs="Arial"/>
          <w:szCs w:val="20"/>
        </w:rPr>
        <w:t>, con la debida diligencia</w:t>
      </w:r>
      <w:r w:rsidR="00024756" w:rsidRPr="007A5234">
        <w:rPr>
          <w:rFonts w:cs="Arial"/>
          <w:szCs w:val="20"/>
        </w:rPr>
        <w:t xml:space="preserve"> y p</w:t>
      </w:r>
      <w:r w:rsidR="00024756" w:rsidRPr="007A5234">
        <w:rPr>
          <w:color w:val="000000"/>
        </w:rPr>
        <w:t xml:space="preserve">osibilitar la participación </w:t>
      </w:r>
      <w:r w:rsidR="00024756" w:rsidRPr="007A5234">
        <w:t>de las víctimas involucradas en los hechos o por medio de sus representantes y el acceso a las actuaciones que se desarrollen</w:t>
      </w:r>
      <w:r w:rsidR="00024756">
        <w:t>”</w:t>
      </w:r>
      <w:r w:rsidR="00024756" w:rsidRPr="007A5234">
        <w:t>.</w:t>
      </w:r>
    </w:p>
    <w:p w14:paraId="671B5F86" w14:textId="171C5138" w:rsidR="003C659E" w:rsidRDefault="005566E0" w:rsidP="00744F47">
      <w:pPr>
        <w:tabs>
          <w:tab w:val="num" w:pos="720"/>
        </w:tabs>
        <w:rPr>
          <w:rFonts w:cs="Arial"/>
          <w:szCs w:val="20"/>
        </w:rPr>
      </w:pPr>
      <w:r>
        <w:rPr>
          <w:rFonts w:cs="Arial"/>
          <w:szCs w:val="20"/>
        </w:rPr>
        <w:t>20</w:t>
      </w:r>
      <w:r w:rsidR="00FE47A6">
        <w:rPr>
          <w:rFonts w:cs="Arial"/>
          <w:szCs w:val="20"/>
        </w:rPr>
        <w:t>.</w:t>
      </w:r>
      <w:r w:rsidR="00FE47A6">
        <w:rPr>
          <w:rFonts w:cs="Arial"/>
          <w:szCs w:val="20"/>
        </w:rPr>
        <w:tab/>
      </w:r>
      <w:r w:rsidR="00111EE2">
        <w:rPr>
          <w:rFonts w:cs="Arial"/>
          <w:szCs w:val="20"/>
        </w:rPr>
        <w:t>Por lo anterior, l</w:t>
      </w:r>
      <w:r w:rsidR="005A0F5E">
        <w:rPr>
          <w:rFonts w:cs="Arial"/>
          <w:szCs w:val="20"/>
        </w:rPr>
        <w:t>a Corte</w:t>
      </w:r>
      <w:r w:rsidR="0014259D">
        <w:rPr>
          <w:rFonts w:cs="Arial"/>
          <w:szCs w:val="20"/>
        </w:rPr>
        <w:t xml:space="preserve"> </w:t>
      </w:r>
      <w:r w:rsidR="00111EE2">
        <w:rPr>
          <w:rFonts w:cs="Arial"/>
          <w:szCs w:val="20"/>
        </w:rPr>
        <w:t>estima</w:t>
      </w:r>
      <w:r w:rsidR="00111EE2">
        <w:rPr>
          <w:szCs w:val="20"/>
        </w:rPr>
        <w:t xml:space="preserve"> que la consulta realizada por el Estado (</w:t>
      </w:r>
      <w:r w:rsidR="00111EE2">
        <w:rPr>
          <w:i/>
          <w:szCs w:val="20"/>
        </w:rPr>
        <w:t xml:space="preserve">supra </w:t>
      </w:r>
      <w:r w:rsidR="00111EE2">
        <w:rPr>
          <w:szCs w:val="20"/>
        </w:rPr>
        <w:t>párr. 16</w:t>
      </w:r>
      <w:r w:rsidR="00517E6D">
        <w:rPr>
          <w:szCs w:val="20"/>
        </w:rPr>
        <w:t>)</w:t>
      </w:r>
      <w:r w:rsidR="00111EE2">
        <w:rPr>
          <w:szCs w:val="20"/>
        </w:rPr>
        <w:t xml:space="preserve"> no corresponde a los supuestos de interpretación establecidos en el artículo 67 de la Convención, ya que no versa sobre el sentido o alcance del fallo</w:t>
      </w:r>
      <w:r w:rsidR="001D3479">
        <w:rPr>
          <w:szCs w:val="20"/>
        </w:rPr>
        <w:t xml:space="preserve">, </w:t>
      </w:r>
      <w:r w:rsidR="001D3479" w:rsidRPr="008A2975">
        <w:rPr>
          <w:szCs w:val="20"/>
        </w:rPr>
        <w:t>pues la decisión cuestionada result</w:t>
      </w:r>
      <w:r w:rsidR="001D3479">
        <w:rPr>
          <w:szCs w:val="20"/>
        </w:rPr>
        <w:t xml:space="preserve">a precisa y expresa al señalar </w:t>
      </w:r>
      <w:r w:rsidR="001D3479" w:rsidRPr="008A2975">
        <w:rPr>
          <w:szCs w:val="20"/>
        </w:rPr>
        <w:t>la obligación del Estado</w:t>
      </w:r>
      <w:r w:rsidR="001D3479">
        <w:rPr>
          <w:szCs w:val="20"/>
        </w:rPr>
        <w:t xml:space="preserve"> </w:t>
      </w:r>
      <w:r w:rsidR="0014259D">
        <w:rPr>
          <w:rFonts w:cs="Arial"/>
          <w:szCs w:val="20"/>
        </w:rPr>
        <w:t>de</w:t>
      </w:r>
      <w:r w:rsidR="005A0F5E">
        <w:rPr>
          <w:rFonts w:cs="Arial"/>
          <w:szCs w:val="20"/>
        </w:rPr>
        <w:t xml:space="preserve"> investigar</w:t>
      </w:r>
      <w:r w:rsidR="00111EE2">
        <w:rPr>
          <w:rFonts w:cs="Arial"/>
          <w:szCs w:val="20"/>
        </w:rPr>
        <w:t xml:space="preserve"> en la jurisdicción interna</w:t>
      </w:r>
      <w:r w:rsidR="005A0F5E">
        <w:rPr>
          <w:rFonts w:cs="Arial"/>
          <w:szCs w:val="20"/>
        </w:rPr>
        <w:t xml:space="preserve"> los alegados hechos de tortur</w:t>
      </w:r>
      <w:r w:rsidR="00BE560E">
        <w:rPr>
          <w:rFonts w:cs="Arial"/>
          <w:szCs w:val="20"/>
        </w:rPr>
        <w:t>a</w:t>
      </w:r>
      <w:r w:rsidR="00D34597">
        <w:rPr>
          <w:rFonts w:cs="Arial"/>
          <w:szCs w:val="20"/>
        </w:rPr>
        <w:t>.</w:t>
      </w:r>
    </w:p>
    <w:p w14:paraId="79CD9207" w14:textId="77777777" w:rsidR="003C659E" w:rsidRPr="00744F47" w:rsidRDefault="003C659E" w:rsidP="00744F47">
      <w:pPr>
        <w:tabs>
          <w:tab w:val="num" w:pos="720"/>
        </w:tabs>
        <w:rPr>
          <w:rFonts w:cs="Arial"/>
          <w:szCs w:val="20"/>
        </w:rPr>
      </w:pPr>
    </w:p>
    <w:p w14:paraId="6D423757" w14:textId="77777777" w:rsidR="00DC589E" w:rsidRPr="00E90BED" w:rsidRDefault="00DC589E" w:rsidP="00DC589E">
      <w:pPr>
        <w:tabs>
          <w:tab w:val="left" w:pos="567"/>
        </w:tabs>
        <w:jc w:val="center"/>
        <w:rPr>
          <w:rFonts w:eastAsia="Times"/>
          <w:b/>
          <w:szCs w:val="20"/>
          <w:lang w:val="es-ES_tradnl"/>
        </w:rPr>
      </w:pPr>
      <w:r w:rsidRPr="00E90BED">
        <w:rPr>
          <w:rFonts w:eastAsia="Times"/>
          <w:b/>
          <w:szCs w:val="20"/>
          <w:lang w:val="es-ES_tradnl"/>
        </w:rPr>
        <w:t>V</w:t>
      </w:r>
    </w:p>
    <w:p w14:paraId="2051F886" w14:textId="77777777" w:rsidR="007D7A08" w:rsidRDefault="00DC589E" w:rsidP="000A767F">
      <w:pPr>
        <w:tabs>
          <w:tab w:val="left" w:pos="567"/>
        </w:tabs>
        <w:jc w:val="center"/>
        <w:rPr>
          <w:rFonts w:eastAsia="Times"/>
          <w:b/>
          <w:szCs w:val="20"/>
          <w:lang w:val="es-ES_tradnl"/>
        </w:rPr>
      </w:pPr>
      <w:r w:rsidRPr="00E90BED">
        <w:rPr>
          <w:rFonts w:eastAsia="Times"/>
          <w:b/>
          <w:szCs w:val="20"/>
          <w:lang w:val="es-ES_tradnl"/>
        </w:rPr>
        <w:t xml:space="preserve">PUNTOS RESOLUTIVOS </w:t>
      </w:r>
    </w:p>
    <w:p w14:paraId="03B7E029" w14:textId="77777777" w:rsidR="00875FAA" w:rsidRPr="000A767F" w:rsidRDefault="00875FAA" w:rsidP="00875FAA">
      <w:pPr>
        <w:tabs>
          <w:tab w:val="left" w:pos="567"/>
        </w:tabs>
        <w:rPr>
          <w:rFonts w:eastAsia="Times"/>
          <w:b/>
          <w:szCs w:val="20"/>
          <w:lang w:val="es-ES_tradnl"/>
        </w:rPr>
      </w:pPr>
    </w:p>
    <w:p w14:paraId="401F3034" w14:textId="77777777" w:rsidR="00DC589E" w:rsidRPr="005566E0" w:rsidRDefault="00DC589E" w:rsidP="005566E0">
      <w:pPr>
        <w:pStyle w:val="Prrafodelista"/>
        <w:numPr>
          <w:ilvl w:val="0"/>
          <w:numId w:val="39"/>
        </w:numPr>
        <w:ind w:left="0" w:right="-90" w:firstLine="0"/>
        <w:rPr>
          <w:rFonts w:cs="Arial"/>
          <w:lang w:val="es-ES_tradnl"/>
        </w:rPr>
      </w:pPr>
      <w:r w:rsidRPr="005566E0">
        <w:rPr>
          <w:rFonts w:eastAsia="Times"/>
          <w:lang w:val="es-ES_tradnl"/>
        </w:rPr>
        <w:t xml:space="preserve">Por tanto, </w:t>
      </w:r>
    </w:p>
    <w:p w14:paraId="07891449" w14:textId="77777777" w:rsidR="00DC589E" w:rsidRPr="00DC589E" w:rsidRDefault="00DC589E" w:rsidP="005566E0">
      <w:pPr>
        <w:tabs>
          <w:tab w:val="left" w:pos="567"/>
        </w:tabs>
        <w:rPr>
          <w:rFonts w:eastAsia="Times"/>
          <w:b/>
          <w:szCs w:val="20"/>
          <w:lang w:val="es-ES_tradnl"/>
        </w:rPr>
      </w:pPr>
      <w:r w:rsidRPr="00DC589E">
        <w:rPr>
          <w:rFonts w:eastAsia="Times"/>
          <w:b/>
          <w:szCs w:val="20"/>
          <w:lang w:val="es-ES_tradnl"/>
        </w:rPr>
        <w:t xml:space="preserve">LA CORTE </w:t>
      </w:r>
    </w:p>
    <w:p w14:paraId="30DBDC62" w14:textId="77777777" w:rsidR="00DC589E" w:rsidRPr="00DC589E" w:rsidRDefault="00DC589E" w:rsidP="00DC589E">
      <w:pPr>
        <w:tabs>
          <w:tab w:val="left" w:pos="567"/>
        </w:tabs>
        <w:rPr>
          <w:rFonts w:eastAsia="Times"/>
          <w:b/>
          <w:szCs w:val="20"/>
          <w:lang w:val="es-ES_tradnl"/>
        </w:rPr>
      </w:pPr>
    </w:p>
    <w:p w14:paraId="7DA2675A" w14:textId="77777777" w:rsidR="00DC589E" w:rsidRPr="000A7481" w:rsidRDefault="00DC589E" w:rsidP="00DC589E">
      <w:pPr>
        <w:tabs>
          <w:tab w:val="left" w:pos="567"/>
        </w:tabs>
        <w:rPr>
          <w:rFonts w:eastAsia="Times"/>
          <w:szCs w:val="20"/>
          <w:lang w:val="es-ES_tradnl"/>
        </w:rPr>
      </w:pPr>
      <w:r w:rsidRPr="000A7481">
        <w:rPr>
          <w:rFonts w:eastAsia="Times"/>
          <w:szCs w:val="20"/>
          <w:lang w:val="es-ES_tradnl"/>
        </w:rPr>
        <w:t>de conformidad con el artículo 67 de la Convención Americana sobre Derechos Humanos y los artículos 31.3 y 68 del Reglamento</w:t>
      </w:r>
      <w:r w:rsidR="005566E0">
        <w:rPr>
          <w:rFonts w:eastAsia="Times"/>
          <w:szCs w:val="20"/>
          <w:lang w:val="es-ES_tradnl"/>
        </w:rPr>
        <w:t xml:space="preserve"> de la Corte</w:t>
      </w:r>
      <w:r w:rsidRPr="000A7481">
        <w:rPr>
          <w:rFonts w:eastAsia="Times"/>
          <w:szCs w:val="20"/>
          <w:lang w:val="es-ES_tradnl"/>
        </w:rPr>
        <w:t>,</w:t>
      </w:r>
    </w:p>
    <w:p w14:paraId="5A63DA09" w14:textId="77777777" w:rsidR="00DC589E" w:rsidRPr="000A7481" w:rsidRDefault="00DC589E" w:rsidP="00DC589E">
      <w:pPr>
        <w:tabs>
          <w:tab w:val="left" w:pos="567"/>
        </w:tabs>
        <w:rPr>
          <w:rFonts w:eastAsia="Times"/>
          <w:b/>
          <w:szCs w:val="20"/>
          <w:lang w:val="es-ES_tradnl"/>
        </w:rPr>
      </w:pPr>
      <w:r w:rsidRPr="000A7481">
        <w:rPr>
          <w:rFonts w:eastAsia="Times"/>
          <w:szCs w:val="20"/>
          <w:lang w:val="es-ES_tradnl"/>
        </w:rPr>
        <w:br/>
      </w:r>
      <w:r w:rsidRPr="000A7481">
        <w:rPr>
          <w:rFonts w:eastAsia="Times"/>
          <w:b/>
          <w:szCs w:val="20"/>
          <w:lang w:val="es-ES_tradnl"/>
        </w:rPr>
        <w:t>DECIDE:</w:t>
      </w:r>
    </w:p>
    <w:p w14:paraId="43B06C4D" w14:textId="77777777" w:rsidR="00DC589E" w:rsidRPr="000A7481" w:rsidRDefault="00DC589E" w:rsidP="00DC589E">
      <w:pPr>
        <w:tabs>
          <w:tab w:val="left" w:pos="567"/>
        </w:tabs>
        <w:rPr>
          <w:rFonts w:eastAsia="Times"/>
          <w:b/>
          <w:szCs w:val="20"/>
          <w:lang w:val="es-ES_tradnl"/>
        </w:rPr>
      </w:pPr>
    </w:p>
    <w:p w14:paraId="6237A86D" w14:textId="4136CF87" w:rsidR="00DC589E" w:rsidRDefault="00DC589E" w:rsidP="00DC589E">
      <w:pPr>
        <w:tabs>
          <w:tab w:val="left" w:pos="567"/>
          <w:tab w:val="center" w:pos="4252"/>
          <w:tab w:val="right" w:pos="8504"/>
        </w:tabs>
        <w:rPr>
          <w:rFonts w:eastAsia="Times"/>
          <w:szCs w:val="20"/>
          <w:lang w:val="es-ES_tradnl"/>
        </w:rPr>
      </w:pPr>
      <w:r w:rsidRPr="000A7481">
        <w:rPr>
          <w:rFonts w:eastAsia="Times"/>
          <w:szCs w:val="20"/>
          <w:lang w:val="es-ES_tradnl"/>
        </w:rPr>
        <w:t xml:space="preserve">Por </w:t>
      </w:r>
      <w:r w:rsidR="003F1143">
        <w:rPr>
          <w:rFonts w:eastAsia="Times"/>
          <w:szCs w:val="20"/>
          <w:lang w:val="es-ES_tradnl"/>
        </w:rPr>
        <w:t>unanimidad</w:t>
      </w:r>
      <w:r w:rsidR="00F7381E" w:rsidRPr="000A7481">
        <w:rPr>
          <w:rFonts w:eastAsia="Times"/>
          <w:szCs w:val="20"/>
          <w:lang w:val="es-ES_tradnl"/>
        </w:rPr>
        <w:t>,</w:t>
      </w:r>
    </w:p>
    <w:p w14:paraId="0C45515E" w14:textId="77777777" w:rsidR="00DC589E" w:rsidRPr="00A4671B" w:rsidRDefault="00DC589E" w:rsidP="00BE560E">
      <w:pPr>
        <w:pStyle w:val="Prrafodelista"/>
        <w:tabs>
          <w:tab w:val="left" w:pos="567"/>
        </w:tabs>
        <w:spacing w:after="0" w:line="240" w:lineRule="auto"/>
        <w:ind w:left="0"/>
        <w:jc w:val="both"/>
        <w:rPr>
          <w:rFonts w:eastAsia="Times New Roman"/>
          <w:szCs w:val="22"/>
        </w:rPr>
      </w:pPr>
    </w:p>
    <w:p w14:paraId="5A4F289C" w14:textId="228BFD86" w:rsidR="000A7481" w:rsidRPr="001D3479" w:rsidRDefault="00A4671B" w:rsidP="00BE560E">
      <w:pPr>
        <w:pStyle w:val="Prrafodelista"/>
        <w:numPr>
          <w:ilvl w:val="0"/>
          <w:numId w:val="33"/>
        </w:numPr>
        <w:tabs>
          <w:tab w:val="left" w:pos="567"/>
          <w:tab w:val="left" w:pos="720"/>
        </w:tabs>
        <w:ind w:right="-90"/>
        <w:jc w:val="both"/>
        <w:rPr>
          <w:rFonts w:eastAsia="Times New Roman"/>
        </w:rPr>
      </w:pPr>
      <w:r w:rsidRPr="001D3479">
        <w:t>Declarar admisible</w:t>
      </w:r>
      <w:r w:rsidR="00032A20" w:rsidRPr="001D3479">
        <w:t>s</w:t>
      </w:r>
      <w:r w:rsidRPr="001D3479">
        <w:t xml:space="preserve"> la</w:t>
      </w:r>
      <w:r w:rsidR="00032A20" w:rsidRPr="001D3479">
        <w:t>s</w:t>
      </w:r>
      <w:r w:rsidRPr="001D3479">
        <w:t xml:space="preserve"> solicitud</w:t>
      </w:r>
      <w:r w:rsidR="00032A20" w:rsidRPr="001D3479">
        <w:t>es</w:t>
      </w:r>
      <w:r w:rsidR="00362CB3" w:rsidRPr="001D3479">
        <w:t xml:space="preserve"> de interpretación de la Sentencia de fondo, reparacion</w:t>
      </w:r>
      <w:r w:rsidR="00032A20" w:rsidRPr="001D3479">
        <w:t xml:space="preserve">es y costas, emitida en el caso </w:t>
      </w:r>
      <w:r w:rsidRPr="001D3479">
        <w:rPr>
          <w:i/>
        </w:rPr>
        <w:t>Omeara Carrascal</w:t>
      </w:r>
      <w:r w:rsidR="00283502" w:rsidRPr="001D3479">
        <w:rPr>
          <w:i/>
        </w:rPr>
        <w:t xml:space="preserve"> y otros</w:t>
      </w:r>
      <w:r w:rsidRPr="001D3479">
        <w:rPr>
          <w:i/>
        </w:rPr>
        <w:t xml:space="preserve"> Vs. Colombia</w:t>
      </w:r>
      <w:r w:rsidRPr="001D3479">
        <w:t>, presentada</w:t>
      </w:r>
      <w:r w:rsidR="005566E0">
        <w:t>s</w:t>
      </w:r>
      <w:r w:rsidR="00BE560E" w:rsidRPr="001D3479">
        <w:t xml:space="preserve"> por l</w:t>
      </w:r>
      <w:r w:rsidR="003C659E">
        <w:t>o</w:t>
      </w:r>
      <w:r w:rsidR="00BE560E" w:rsidRPr="001D3479">
        <w:t>s representantes</w:t>
      </w:r>
      <w:r w:rsidR="00032A20" w:rsidRPr="001D3479">
        <w:t xml:space="preserve"> </w:t>
      </w:r>
      <w:r w:rsidR="00283502" w:rsidRPr="001D3479">
        <w:t xml:space="preserve">de las víctimas </w:t>
      </w:r>
      <w:r w:rsidR="00032A20" w:rsidRPr="001D3479">
        <w:t>y por la República de Colombia.</w:t>
      </w:r>
      <w:r w:rsidR="00BE560E" w:rsidRPr="001D3479">
        <w:t xml:space="preserve"> </w:t>
      </w:r>
    </w:p>
    <w:p w14:paraId="29D5E1FC" w14:textId="6F89CFCC" w:rsidR="00BE560E" w:rsidRPr="00AB030D" w:rsidRDefault="00A706E6" w:rsidP="00BE560E">
      <w:pPr>
        <w:numPr>
          <w:ilvl w:val="0"/>
          <w:numId w:val="33"/>
        </w:numPr>
        <w:tabs>
          <w:tab w:val="left" w:pos="567"/>
          <w:tab w:val="left" w:pos="720"/>
        </w:tabs>
        <w:ind w:right="-90"/>
        <w:rPr>
          <w:rFonts w:eastAsia="Times New Roman"/>
        </w:rPr>
      </w:pPr>
      <w:r w:rsidRPr="00AB030D">
        <w:t>Desestimar por improcedente la solicitud de interpretación</w:t>
      </w:r>
      <w:r w:rsidR="00362CB3" w:rsidRPr="00AB030D">
        <w:t xml:space="preserve"> </w:t>
      </w:r>
      <w:r w:rsidR="00362CB3" w:rsidRPr="00677056">
        <w:t>la Sentencia de fondo, reparaciones y costas, emitida en el caso</w:t>
      </w:r>
      <w:r w:rsidR="00A4671B" w:rsidRPr="00677056">
        <w:rPr>
          <w:i/>
        </w:rPr>
        <w:t xml:space="preserve"> Omeara Carrascal</w:t>
      </w:r>
      <w:r w:rsidR="00283502" w:rsidRPr="00677056">
        <w:rPr>
          <w:i/>
        </w:rPr>
        <w:t xml:space="preserve"> y otros</w:t>
      </w:r>
      <w:r w:rsidR="00A4671B" w:rsidRPr="00677056">
        <w:rPr>
          <w:i/>
        </w:rPr>
        <w:t xml:space="preserve"> Vs. Colombia</w:t>
      </w:r>
      <w:r w:rsidR="00283502" w:rsidRPr="00677056">
        <w:t xml:space="preserve"> presentada por l</w:t>
      </w:r>
      <w:r w:rsidR="003C659E">
        <w:t>o</w:t>
      </w:r>
      <w:r w:rsidR="00283502" w:rsidRPr="00677056">
        <w:t>s representantes de las víctimas</w:t>
      </w:r>
      <w:r w:rsidR="00362CB3" w:rsidRPr="00677056">
        <w:t xml:space="preserve">, en los términos de los párrafos </w:t>
      </w:r>
      <w:r w:rsidRPr="00677056">
        <w:t>14 y 15</w:t>
      </w:r>
      <w:r w:rsidR="00283502" w:rsidRPr="00677056">
        <w:t xml:space="preserve"> </w:t>
      </w:r>
      <w:r w:rsidR="00BE560E" w:rsidRPr="00677056">
        <w:t xml:space="preserve">de la </w:t>
      </w:r>
      <w:r w:rsidRPr="00677056">
        <w:t xml:space="preserve">presente </w:t>
      </w:r>
      <w:r w:rsidR="00BE560E" w:rsidRPr="00677056">
        <w:t>Sentencia.</w:t>
      </w:r>
    </w:p>
    <w:p w14:paraId="0D4B36F3" w14:textId="77777777" w:rsidR="00BE560E" w:rsidRPr="00032A20" w:rsidRDefault="00BE560E" w:rsidP="00BE560E">
      <w:pPr>
        <w:tabs>
          <w:tab w:val="left" w:pos="567"/>
          <w:tab w:val="left" w:pos="720"/>
        </w:tabs>
        <w:ind w:right="-90"/>
        <w:rPr>
          <w:rFonts w:eastAsia="Times New Roman"/>
          <w:highlight w:val="yellow"/>
        </w:rPr>
      </w:pPr>
    </w:p>
    <w:p w14:paraId="1987B6CF" w14:textId="32456C01" w:rsidR="00BE560E" w:rsidRPr="001D3479" w:rsidRDefault="00362CB3" w:rsidP="00BE560E">
      <w:pPr>
        <w:numPr>
          <w:ilvl w:val="0"/>
          <w:numId w:val="33"/>
        </w:numPr>
        <w:tabs>
          <w:tab w:val="left" w:pos="567"/>
          <w:tab w:val="left" w:pos="720"/>
        </w:tabs>
        <w:ind w:right="-90"/>
      </w:pPr>
      <w:r w:rsidRPr="001D3479">
        <w:t>Desestimar por imp</w:t>
      </w:r>
      <w:r w:rsidR="00032A20" w:rsidRPr="001D3479">
        <w:t>rocedente</w:t>
      </w:r>
      <w:r w:rsidR="00A4671B" w:rsidRPr="001D3479">
        <w:t xml:space="preserve"> la solicitud</w:t>
      </w:r>
      <w:r w:rsidRPr="001D3479">
        <w:t xml:space="preserve"> de interpretación de la Sentencia de fondo, reparaciones y costas emitida en el caso </w:t>
      </w:r>
      <w:r w:rsidR="00A4671B" w:rsidRPr="001D3479">
        <w:rPr>
          <w:i/>
        </w:rPr>
        <w:t xml:space="preserve">Omeara Carrascal </w:t>
      </w:r>
      <w:r w:rsidR="00283502" w:rsidRPr="001D3479">
        <w:rPr>
          <w:i/>
        </w:rPr>
        <w:t xml:space="preserve">y otros </w:t>
      </w:r>
      <w:r w:rsidR="00032A20" w:rsidRPr="001D3479">
        <w:rPr>
          <w:i/>
        </w:rPr>
        <w:t>Vs. Colombia</w:t>
      </w:r>
      <w:r w:rsidR="00032A20" w:rsidRPr="001D3479">
        <w:t>, presentada por</w:t>
      </w:r>
      <w:r w:rsidR="00BE560E" w:rsidRPr="001D3479">
        <w:t xml:space="preserve"> el Estado</w:t>
      </w:r>
      <w:r w:rsidRPr="001D3479">
        <w:t xml:space="preserve">, en los términos de los párrafos </w:t>
      </w:r>
      <w:r w:rsidR="00A706E6">
        <w:t>18 a 20 de la presente</w:t>
      </w:r>
      <w:r w:rsidR="00BE560E" w:rsidRPr="001D3479">
        <w:t xml:space="preserve"> Sentencia. </w:t>
      </w:r>
    </w:p>
    <w:p w14:paraId="067CF553" w14:textId="77777777" w:rsidR="000A7481" w:rsidRPr="000A7481" w:rsidRDefault="000A7481" w:rsidP="000A7481">
      <w:pPr>
        <w:tabs>
          <w:tab w:val="left" w:pos="567"/>
          <w:tab w:val="left" w:pos="720"/>
        </w:tabs>
        <w:ind w:right="-90"/>
        <w:rPr>
          <w:rFonts w:eastAsia="Times New Roman"/>
        </w:rPr>
      </w:pPr>
    </w:p>
    <w:p w14:paraId="02DC27A1" w14:textId="76A7AA76" w:rsidR="00DC589E" w:rsidRPr="000A7481" w:rsidRDefault="00362CB3" w:rsidP="00A4671B">
      <w:pPr>
        <w:numPr>
          <w:ilvl w:val="0"/>
          <w:numId w:val="33"/>
        </w:numPr>
        <w:tabs>
          <w:tab w:val="left" w:pos="567"/>
          <w:tab w:val="left" w:pos="720"/>
        </w:tabs>
        <w:ind w:right="-90"/>
        <w:rPr>
          <w:rFonts w:eastAsia="Times New Roman"/>
        </w:rPr>
      </w:pPr>
      <w:r w:rsidRPr="000A7481">
        <w:t>Disponer que la Secretaría de la Corte notifique la presente Sentencia de interpretación a la República de Colombia, a l</w:t>
      </w:r>
      <w:r w:rsidR="003C659E">
        <w:t>o</w:t>
      </w:r>
      <w:r w:rsidRPr="000A7481">
        <w:t>s representantes de las víctimas y a la Comisión Interamericana de Derechos Humanos.</w:t>
      </w:r>
    </w:p>
    <w:p w14:paraId="35347874" w14:textId="77777777" w:rsidR="00C97F05" w:rsidRDefault="00C97F05" w:rsidP="00C428F4">
      <w:pPr>
        <w:jc w:val="center"/>
        <w:rPr>
          <w:szCs w:val="20"/>
        </w:rPr>
      </w:pPr>
    </w:p>
    <w:p w14:paraId="38FDC931" w14:textId="77777777" w:rsidR="00C97F05" w:rsidRDefault="00C97F05" w:rsidP="00C428F4">
      <w:pPr>
        <w:jc w:val="center"/>
        <w:rPr>
          <w:szCs w:val="20"/>
        </w:rPr>
      </w:pPr>
    </w:p>
    <w:p w14:paraId="560AC21C" w14:textId="77777777" w:rsidR="00C97F05" w:rsidRDefault="00C97F05" w:rsidP="00C97F05">
      <w:r w:rsidRPr="009526F2">
        <w:t xml:space="preserve">Corte IDH. </w:t>
      </w:r>
      <w:r w:rsidRPr="009526F2">
        <w:rPr>
          <w:i/>
        </w:rPr>
        <w:t>Caso</w:t>
      </w:r>
      <w:r w:rsidRPr="009526F2">
        <w:t xml:space="preserve"> </w:t>
      </w:r>
      <w:r w:rsidRPr="009526F2">
        <w:rPr>
          <w:i/>
        </w:rPr>
        <w:t>Omeara Carrascal y otros Vs. Colombia. Interpretación de la Sentencia de Fondo, Reparaciones y Costas</w:t>
      </w:r>
      <w:r>
        <w:t>. Sentencia de 14 de octubre</w:t>
      </w:r>
      <w:r w:rsidRPr="009526F2">
        <w:t xml:space="preserve"> de 2019.</w:t>
      </w:r>
    </w:p>
    <w:p w14:paraId="6FD98FE8" w14:textId="77777777" w:rsidR="00C97F05" w:rsidRDefault="00C97F05" w:rsidP="00C428F4">
      <w:pPr>
        <w:jc w:val="center"/>
        <w:rPr>
          <w:szCs w:val="20"/>
        </w:rPr>
      </w:pPr>
    </w:p>
    <w:p w14:paraId="0872B9F6" w14:textId="77777777" w:rsidR="00C97F05" w:rsidRDefault="00C97F05" w:rsidP="00C428F4">
      <w:pPr>
        <w:jc w:val="center"/>
        <w:rPr>
          <w:szCs w:val="20"/>
        </w:rPr>
      </w:pPr>
    </w:p>
    <w:p w14:paraId="5CEC8DC9" w14:textId="77777777" w:rsidR="00C428F4" w:rsidRPr="00C428F4" w:rsidRDefault="00C428F4" w:rsidP="00C428F4">
      <w:pPr>
        <w:jc w:val="center"/>
        <w:rPr>
          <w:szCs w:val="20"/>
        </w:rPr>
      </w:pPr>
      <w:r w:rsidRPr="00C428F4">
        <w:rPr>
          <w:szCs w:val="20"/>
        </w:rPr>
        <w:t xml:space="preserve">Eduardo Ferrer Mac-Gregor Poisot </w:t>
      </w:r>
    </w:p>
    <w:p w14:paraId="7A08433D" w14:textId="77777777" w:rsidR="00C428F4" w:rsidRPr="00C428F4" w:rsidRDefault="00C428F4" w:rsidP="00C428F4">
      <w:pPr>
        <w:jc w:val="center"/>
        <w:rPr>
          <w:szCs w:val="20"/>
        </w:rPr>
      </w:pPr>
      <w:r w:rsidRPr="00C428F4">
        <w:rPr>
          <w:szCs w:val="20"/>
        </w:rPr>
        <w:t xml:space="preserve">Presidente </w:t>
      </w:r>
    </w:p>
    <w:p w14:paraId="2A087897" w14:textId="77777777" w:rsidR="00C428F4" w:rsidRPr="00C428F4" w:rsidRDefault="00C428F4" w:rsidP="00C428F4">
      <w:pPr>
        <w:rPr>
          <w:szCs w:val="20"/>
        </w:rPr>
      </w:pPr>
    </w:p>
    <w:p w14:paraId="22071565" w14:textId="77777777" w:rsidR="00C428F4" w:rsidRPr="00C428F4" w:rsidRDefault="00C428F4" w:rsidP="00C428F4">
      <w:pPr>
        <w:rPr>
          <w:szCs w:val="20"/>
        </w:rPr>
      </w:pPr>
    </w:p>
    <w:p w14:paraId="04CC83AF" w14:textId="77777777" w:rsidR="00C428F4" w:rsidRPr="00C428F4" w:rsidRDefault="00C428F4" w:rsidP="00C428F4">
      <w:pPr>
        <w:rPr>
          <w:szCs w:val="20"/>
        </w:rPr>
      </w:pPr>
    </w:p>
    <w:p w14:paraId="34E488B2" w14:textId="77777777" w:rsidR="00C428F4" w:rsidRPr="00C428F4" w:rsidRDefault="00C428F4" w:rsidP="00C428F4">
      <w:pPr>
        <w:rPr>
          <w:szCs w:val="20"/>
        </w:rPr>
      </w:pPr>
    </w:p>
    <w:p w14:paraId="3E5CF060" w14:textId="77777777" w:rsidR="00C428F4" w:rsidRPr="00C428F4" w:rsidRDefault="00C428F4" w:rsidP="00C428F4">
      <w:pPr>
        <w:rPr>
          <w:szCs w:val="20"/>
        </w:rPr>
      </w:pPr>
    </w:p>
    <w:p w14:paraId="0E7E794E" w14:textId="77777777" w:rsidR="00C428F4" w:rsidRPr="00C428F4" w:rsidRDefault="00C428F4" w:rsidP="00C428F4">
      <w:pPr>
        <w:rPr>
          <w:szCs w:val="20"/>
        </w:rPr>
      </w:pPr>
      <w:r w:rsidRPr="00C428F4">
        <w:rPr>
          <w:szCs w:val="20"/>
        </w:rPr>
        <w:t>Eduardo Vio Grossi</w:t>
      </w:r>
      <w:r w:rsidRPr="00C428F4">
        <w:rPr>
          <w:szCs w:val="20"/>
        </w:rPr>
        <w:tab/>
      </w:r>
      <w:r w:rsidRPr="00C428F4">
        <w:rPr>
          <w:szCs w:val="20"/>
        </w:rPr>
        <w:tab/>
      </w:r>
      <w:r w:rsidRPr="00C428F4">
        <w:rPr>
          <w:szCs w:val="20"/>
        </w:rPr>
        <w:tab/>
      </w:r>
      <w:r w:rsidRPr="00C428F4">
        <w:rPr>
          <w:szCs w:val="20"/>
        </w:rPr>
        <w:tab/>
      </w:r>
      <w:r w:rsidRPr="00C428F4">
        <w:rPr>
          <w:szCs w:val="20"/>
        </w:rPr>
        <w:tab/>
      </w:r>
      <w:r w:rsidRPr="00C428F4">
        <w:rPr>
          <w:szCs w:val="20"/>
        </w:rPr>
        <w:tab/>
        <w:t xml:space="preserve">             Elizabeth Odio Benito</w:t>
      </w:r>
    </w:p>
    <w:p w14:paraId="2500646D" w14:textId="77777777" w:rsidR="00C428F4" w:rsidRPr="00C428F4" w:rsidRDefault="00C428F4" w:rsidP="00C428F4">
      <w:pPr>
        <w:rPr>
          <w:szCs w:val="20"/>
        </w:rPr>
      </w:pPr>
    </w:p>
    <w:p w14:paraId="1B198131" w14:textId="77777777" w:rsidR="00C428F4" w:rsidRPr="00C428F4" w:rsidRDefault="00C428F4" w:rsidP="00C428F4">
      <w:pPr>
        <w:rPr>
          <w:szCs w:val="20"/>
        </w:rPr>
      </w:pPr>
    </w:p>
    <w:p w14:paraId="3C7DF53D" w14:textId="77777777" w:rsidR="00C428F4" w:rsidRPr="00C428F4" w:rsidRDefault="00C428F4" w:rsidP="00C428F4">
      <w:pPr>
        <w:rPr>
          <w:szCs w:val="20"/>
        </w:rPr>
      </w:pPr>
    </w:p>
    <w:p w14:paraId="47360717" w14:textId="77777777" w:rsidR="00C428F4" w:rsidRPr="00C428F4" w:rsidRDefault="00C428F4" w:rsidP="00C428F4">
      <w:pPr>
        <w:jc w:val="center"/>
        <w:rPr>
          <w:szCs w:val="20"/>
        </w:rPr>
      </w:pPr>
      <w:r w:rsidRPr="00C428F4">
        <w:rPr>
          <w:szCs w:val="20"/>
        </w:rPr>
        <w:t>Eugenio Raúl Zaffaroni</w:t>
      </w:r>
      <w:r w:rsidRPr="00C428F4">
        <w:rPr>
          <w:szCs w:val="20"/>
        </w:rPr>
        <w:tab/>
      </w:r>
      <w:r w:rsidRPr="00C428F4">
        <w:rPr>
          <w:szCs w:val="20"/>
        </w:rPr>
        <w:tab/>
      </w:r>
      <w:r w:rsidRPr="00C428F4">
        <w:rPr>
          <w:szCs w:val="20"/>
        </w:rPr>
        <w:tab/>
      </w:r>
      <w:r w:rsidRPr="00C428F4">
        <w:rPr>
          <w:szCs w:val="20"/>
        </w:rPr>
        <w:tab/>
      </w:r>
      <w:r w:rsidRPr="00C428F4">
        <w:rPr>
          <w:szCs w:val="20"/>
        </w:rPr>
        <w:tab/>
        <w:t xml:space="preserve">       L. Patricio Pazmiño Freire</w:t>
      </w:r>
    </w:p>
    <w:p w14:paraId="28E0396C" w14:textId="77777777" w:rsidR="00C428F4" w:rsidRPr="00C428F4" w:rsidRDefault="00C428F4" w:rsidP="00C428F4">
      <w:pPr>
        <w:rPr>
          <w:szCs w:val="20"/>
          <w:lang w:val="es-CR"/>
        </w:rPr>
      </w:pPr>
    </w:p>
    <w:p w14:paraId="3D07ABCB" w14:textId="77777777" w:rsidR="00C428F4" w:rsidRPr="00C428F4" w:rsidRDefault="00C428F4" w:rsidP="00C428F4">
      <w:pPr>
        <w:rPr>
          <w:szCs w:val="20"/>
        </w:rPr>
      </w:pPr>
    </w:p>
    <w:p w14:paraId="6A565021" w14:textId="77777777" w:rsidR="00C428F4" w:rsidRPr="00C428F4" w:rsidRDefault="00C428F4" w:rsidP="00C428F4">
      <w:pPr>
        <w:jc w:val="center"/>
        <w:rPr>
          <w:szCs w:val="20"/>
        </w:rPr>
      </w:pPr>
      <w:r w:rsidRPr="00C428F4">
        <w:rPr>
          <w:szCs w:val="20"/>
        </w:rPr>
        <w:t>Pablo Saavedra Alessandri</w:t>
      </w:r>
    </w:p>
    <w:p w14:paraId="0C4CE379" w14:textId="77777777" w:rsidR="00C428F4" w:rsidRPr="00C428F4" w:rsidRDefault="00C428F4" w:rsidP="00C428F4">
      <w:pPr>
        <w:jc w:val="center"/>
        <w:rPr>
          <w:szCs w:val="20"/>
        </w:rPr>
      </w:pPr>
      <w:r w:rsidRPr="00C428F4">
        <w:rPr>
          <w:szCs w:val="20"/>
        </w:rPr>
        <w:t>Secretario</w:t>
      </w:r>
    </w:p>
    <w:p w14:paraId="0F8F1B80" w14:textId="77777777" w:rsidR="00C428F4" w:rsidRPr="00C428F4" w:rsidRDefault="00C428F4" w:rsidP="00C428F4">
      <w:pPr>
        <w:pStyle w:val="Textonotapie"/>
        <w:spacing w:before="0" w:after="0"/>
        <w:rPr>
          <w:sz w:val="20"/>
          <w:lang w:val="es-ES"/>
        </w:rPr>
      </w:pPr>
    </w:p>
    <w:p w14:paraId="001EC24A" w14:textId="77777777" w:rsidR="00C428F4" w:rsidRPr="00C428F4" w:rsidRDefault="00C428F4" w:rsidP="00C428F4">
      <w:pPr>
        <w:pStyle w:val="Textonotapie"/>
        <w:spacing w:before="0" w:after="0"/>
        <w:rPr>
          <w:sz w:val="20"/>
          <w:lang w:val="es-ES"/>
        </w:rPr>
      </w:pPr>
    </w:p>
    <w:p w14:paraId="37103A9E" w14:textId="77777777" w:rsidR="00C428F4" w:rsidRPr="00C428F4" w:rsidRDefault="00C428F4" w:rsidP="00C428F4">
      <w:pPr>
        <w:pStyle w:val="Textonotapie"/>
        <w:spacing w:before="0" w:after="0"/>
        <w:rPr>
          <w:sz w:val="20"/>
          <w:lang w:val="es-ES"/>
        </w:rPr>
      </w:pPr>
    </w:p>
    <w:p w14:paraId="50BF2ED8" w14:textId="39C8C53A" w:rsidR="00C428F4" w:rsidRPr="00C428F4" w:rsidRDefault="00C428F4" w:rsidP="00C428F4">
      <w:pPr>
        <w:rPr>
          <w:szCs w:val="20"/>
        </w:rPr>
      </w:pPr>
      <w:r w:rsidRPr="00C428F4">
        <w:rPr>
          <w:szCs w:val="20"/>
        </w:rPr>
        <w:t>Comuníquese y ejecútese,</w:t>
      </w:r>
    </w:p>
    <w:p w14:paraId="5174FB45" w14:textId="77777777" w:rsidR="00C428F4" w:rsidRPr="00C428F4" w:rsidRDefault="00C428F4" w:rsidP="00C428F4">
      <w:pPr>
        <w:rPr>
          <w:szCs w:val="20"/>
        </w:rPr>
      </w:pPr>
    </w:p>
    <w:p w14:paraId="0FD86800" w14:textId="77777777" w:rsidR="00C428F4" w:rsidRPr="00C428F4" w:rsidRDefault="00C428F4" w:rsidP="00C428F4">
      <w:pPr>
        <w:rPr>
          <w:szCs w:val="20"/>
        </w:rPr>
      </w:pPr>
    </w:p>
    <w:p w14:paraId="7C1A8AFC" w14:textId="77777777" w:rsidR="00C428F4" w:rsidRPr="00C428F4" w:rsidRDefault="00C428F4" w:rsidP="00C428F4">
      <w:pPr>
        <w:ind w:left="4956"/>
        <w:jc w:val="center"/>
        <w:rPr>
          <w:szCs w:val="20"/>
        </w:rPr>
      </w:pPr>
      <w:r w:rsidRPr="00C428F4">
        <w:rPr>
          <w:szCs w:val="20"/>
        </w:rPr>
        <w:t>Eduardo Ferrer Mac-Gregor Poisot</w:t>
      </w:r>
    </w:p>
    <w:p w14:paraId="2152CE39" w14:textId="77777777" w:rsidR="00C428F4" w:rsidRPr="00C428F4" w:rsidRDefault="00C428F4" w:rsidP="00C428F4">
      <w:pPr>
        <w:ind w:left="4956"/>
        <w:jc w:val="center"/>
        <w:rPr>
          <w:szCs w:val="20"/>
        </w:rPr>
      </w:pPr>
      <w:r w:rsidRPr="00C428F4">
        <w:rPr>
          <w:szCs w:val="20"/>
        </w:rPr>
        <w:t>Presidente</w:t>
      </w:r>
    </w:p>
    <w:p w14:paraId="00BE311C" w14:textId="77777777" w:rsidR="00C428F4" w:rsidRPr="00C428F4" w:rsidRDefault="00C428F4" w:rsidP="00C428F4">
      <w:pPr>
        <w:rPr>
          <w:szCs w:val="20"/>
        </w:rPr>
      </w:pPr>
    </w:p>
    <w:p w14:paraId="1B6EAED4" w14:textId="77777777" w:rsidR="00C428F4" w:rsidRPr="00C428F4" w:rsidRDefault="00C428F4" w:rsidP="00C428F4">
      <w:pPr>
        <w:rPr>
          <w:szCs w:val="20"/>
        </w:rPr>
      </w:pPr>
    </w:p>
    <w:p w14:paraId="2976524A" w14:textId="77777777" w:rsidR="00C428F4" w:rsidRPr="00C428F4" w:rsidRDefault="00C428F4" w:rsidP="00C428F4">
      <w:pPr>
        <w:rPr>
          <w:szCs w:val="20"/>
        </w:rPr>
      </w:pPr>
    </w:p>
    <w:p w14:paraId="3B3FAAA7" w14:textId="77777777" w:rsidR="00C428F4" w:rsidRPr="00C428F4" w:rsidRDefault="00C428F4" w:rsidP="00C428F4">
      <w:pPr>
        <w:rPr>
          <w:szCs w:val="20"/>
        </w:rPr>
      </w:pPr>
    </w:p>
    <w:p w14:paraId="14829702" w14:textId="77777777" w:rsidR="00C428F4" w:rsidRPr="00C428F4" w:rsidRDefault="00C428F4" w:rsidP="00C428F4">
      <w:pPr>
        <w:rPr>
          <w:szCs w:val="20"/>
        </w:rPr>
      </w:pPr>
      <w:r w:rsidRPr="00C428F4">
        <w:rPr>
          <w:szCs w:val="20"/>
        </w:rPr>
        <w:t>Pablo Saavedra Alessandri</w:t>
      </w:r>
    </w:p>
    <w:p w14:paraId="70E7EAB6" w14:textId="77777777" w:rsidR="00C428F4" w:rsidRPr="00C428F4" w:rsidRDefault="00C428F4" w:rsidP="00C428F4">
      <w:pPr>
        <w:rPr>
          <w:szCs w:val="20"/>
          <w:lang w:val="es-CR"/>
        </w:rPr>
      </w:pPr>
      <w:r w:rsidRPr="00C428F4">
        <w:rPr>
          <w:szCs w:val="20"/>
        </w:rPr>
        <w:tab/>
      </w:r>
      <w:r w:rsidRPr="00C428F4">
        <w:rPr>
          <w:szCs w:val="20"/>
          <w:lang w:val="es-CR"/>
        </w:rPr>
        <w:t>Secretario</w:t>
      </w:r>
    </w:p>
    <w:sectPr w:rsidR="00C428F4" w:rsidRPr="00C428F4" w:rsidSect="00E15A80">
      <w:footerReference w:type="default" r:id="rId8"/>
      <w:footnotePr>
        <w:numRestart w:val="eachSect"/>
      </w:footnotePr>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A3FB1" w14:textId="77777777" w:rsidR="008E438C" w:rsidRDefault="008E438C" w:rsidP="00AC4D2F">
      <w:r>
        <w:separator/>
      </w:r>
    </w:p>
  </w:endnote>
  <w:endnote w:type="continuationSeparator" w:id="0">
    <w:p w14:paraId="06C9A5AA" w14:textId="77777777" w:rsidR="008E438C" w:rsidRDefault="008E438C" w:rsidP="00A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alatino-Italic">
    <w:altName w:val="Arial Unicode MS"/>
    <w:charset w:val="00"/>
    <w:family w:val="auto"/>
    <w:pitch w:val="variable"/>
    <w:sig w:usb0="00000001"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862E" w14:textId="77777777" w:rsidR="00027BF2" w:rsidRPr="000C17DE" w:rsidRDefault="00027BF2" w:rsidP="000C17DE">
    <w:pPr>
      <w:pStyle w:val="Piedepgina"/>
      <w:jc w:val="center"/>
      <w:rPr>
        <w:sz w:val="18"/>
        <w:szCs w:val="18"/>
      </w:rPr>
    </w:pPr>
    <w:r>
      <w:rPr>
        <w:sz w:val="18"/>
        <w:szCs w:val="18"/>
      </w:rPr>
      <w:t xml:space="preserve">- </w:t>
    </w:r>
    <w:r w:rsidRPr="000C17DE">
      <w:rPr>
        <w:sz w:val="18"/>
        <w:szCs w:val="18"/>
      </w:rPr>
      <w:fldChar w:fldCharType="begin"/>
    </w:r>
    <w:r w:rsidRPr="000C17DE">
      <w:rPr>
        <w:sz w:val="18"/>
        <w:szCs w:val="18"/>
      </w:rPr>
      <w:instrText xml:space="preserve"> PAGE   \* MERGEFORMAT </w:instrText>
    </w:r>
    <w:r w:rsidRPr="000C17DE">
      <w:rPr>
        <w:sz w:val="18"/>
        <w:szCs w:val="18"/>
      </w:rPr>
      <w:fldChar w:fldCharType="separate"/>
    </w:r>
    <w:r w:rsidR="002D556F">
      <w:rPr>
        <w:sz w:val="18"/>
        <w:szCs w:val="18"/>
      </w:rPr>
      <w:t>5</w:t>
    </w:r>
    <w:r w:rsidRPr="000C17DE">
      <w:rPr>
        <w:sz w:val="18"/>
        <w:szCs w:val="18"/>
      </w:rPr>
      <w:fldChar w:fldCharType="end"/>
    </w:r>
    <w:r>
      <w:rPr>
        <w:sz w:val="18"/>
        <w:szCs w:val="18"/>
      </w:rPr>
      <w:t xml:space="preserve"> -</w:t>
    </w:r>
  </w:p>
  <w:p w14:paraId="2EB979F7" w14:textId="77777777" w:rsidR="00027BF2" w:rsidRDefault="00027B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339E" w14:textId="77777777" w:rsidR="008E438C" w:rsidRDefault="008E438C" w:rsidP="00AC4D2F">
      <w:r>
        <w:separator/>
      </w:r>
    </w:p>
  </w:footnote>
  <w:footnote w:type="continuationSeparator" w:id="0">
    <w:p w14:paraId="5068248D" w14:textId="77777777" w:rsidR="008E438C" w:rsidRDefault="008E438C" w:rsidP="00AC4D2F">
      <w:r>
        <w:continuationSeparator/>
      </w:r>
    </w:p>
  </w:footnote>
  <w:footnote w:id="1">
    <w:p w14:paraId="43C2E08F" w14:textId="77777777" w:rsidR="0011579D" w:rsidRPr="00306F4D" w:rsidRDefault="0011579D" w:rsidP="0011579D">
      <w:pPr>
        <w:spacing w:before="120" w:after="120"/>
        <w:ind w:right="-144"/>
        <w:rPr>
          <w:i/>
          <w:sz w:val="16"/>
          <w:szCs w:val="16"/>
          <w:lang w:val="es-CR"/>
        </w:rPr>
      </w:pPr>
      <w:r w:rsidRPr="00306F4D">
        <w:rPr>
          <w:rStyle w:val="Refdenotaalpie"/>
          <w:lang w:val="es-CR"/>
        </w:rPr>
        <w:t>*</w:t>
      </w:r>
      <w:r w:rsidRPr="00306F4D">
        <w:rPr>
          <w:sz w:val="16"/>
          <w:szCs w:val="16"/>
          <w:lang w:val="es-CR"/>
        </w:rPr>
        <w:tab/>
      </w:r>
      <w:r w:rsidRPr="00306F4D">
        <w:rPr>
          <w:rFonts w:cs="Arial"/>
          <w:spacing w:val="-4"/>
          <w:sz w:val="16"/>
          <w:szCs w:val="16"/>
          <w:lang w:val="es-CR"/>
        </w:rPr>
        <w:t xml:space="preserve">El Juez </w:t>
      </w:r>
      <w:r w:rsidRPr="00306F4D">
        <w:rPr>
          <w:spacing w:val="-4"/>
          <w:sz w:val="16"/>
          <w:szCs w:val="16"/>
          <w:lang w:val="es-CR"/>
        </w:rPr>
        <w:t>Humberto Antonio Sierra Porto</w:t>
      </w:r>
      <w:r w:rsidRPr="00306F4D">
        <w:rPr>
          <w:rFonts w:cs="Arial"/>
          <w:spacing w:val="-4"/>
          <w:sz w:val="16"/>
          <w:szCs w:val="16"/>
          <w:lang w:val="es-CR"/>
        </w:rPr>
        <w:t>, de nacionalidad colombiana, no participó en la deliberación de la presente Sentencia, de conformidad con lo dispuesto en los artículos 19.2 del Estatuto y 19.1 del Reglamento de la Corte.</w:t>
      </w:r>
    </w:p>
  </w:footnote>
  <w:footnote w:id="2">
    <w:p w14:paraId="0C698925" w14:textId="69DAE1FA" w:rsidR="00027BF2" w:rsidRPr="00735AAD" w:rsidRDefault="00027BF2" w:rsidP="00891022">
      <w:pPr>
        <w:pStyle w:val="Textonotapie"/>
        <w:spacing w:before="0" w:after="0"/>
        <w:rPr>
          <w:szCs w:val="16"/>
        </w:rPr>
      </w:pPr>
      <w:r w:rsidRPr="00FE5900">
        <w:rPr>
          <w:rStyle w:val="Refdenotaalpie"/>
          <w:szCs w:val="16"/>
        </w:rPr>
        <w:footnoteRef/>
      </w:r>
      <w:r w:rsidR="00B512E4">
        <w:rPr>
          <w:szCs w:val="16"/>
        </w:rPr>
        <w:t xml:space="preserve"> </w:t>
      </w:r>
      <w:r w:rsidR="00B512E4">
        <w:rPr>
          <w:szCs w:val="16"/>
        </w:rPr>
        <w:tab/>
        <w:t>L</w:t>
      </w:r>
      <w:r w:rsidR="00F8328A">
        <w:rPr>
          <w:szCs w:val="16"/>
        </w:rPr>
        <w:t>o</w:t>
      </w:r>
      <w:r w:rsidRPr="00244BD7">
        <w:rPr>
          <w:szCs w:val="16"/>
        </w:rPr>
        <w:t xml:space="preserve">s representantes de las víctimas son </w:t>
      </w:r>
      <w:r w:rsidR="00F21114">
        <w:rPr>
          <w:szCs w:val="16"/>
          <w:lang w:val="es-CR"/>
        </w:rPr>
        <w:t>e</w:t>
      </w:r>
      <w:r w:rsidR="00F21114" w:rsidRPr="00306F4D">
        <w:rPr>
          <w:szCs w:val="16"/>
          <w:lang w:val="es-CR"/>
        </w:rPr>
        <w:t>l Centro por la Justicia y el Derecho Internacional (</w:t>
      </w:r>
      <w:r w:rsidR="00F21114">
        <w:rPr>
          <w:szCs w:val="16"/>
          <w:lang w:val="es-CR"/>
        </w:rPr>
        <w:t>en adelante también “</w:t>
      </w:r>
      <w:r w:rsidR="00F21114" w:rsidRPr="00306F4D">
        <w:rPr>
          <w:szCs w:val="16"/>
          <w:lang w:val="es-CR"/>
        </w:rPr>
        <w:t>CEJIL</w:t>
      </w:r>
      <w:r w:rsidR="00F21114">
        <w:rPr>
          <w:szCs w:val="16"/>
          <w:lang w:val="es-CR"/>
        </w:rPr>
        <w:t>”</w:t>
      </w:r>
      <w:r w:rsidR="00B512E4">
        <w:rPr>
          <w:szCs w:val="16"/>
          <w:lang w:val="es-CR"/>
        </w:rPr>
        <w:t>) y la Comisión Colombiana de Juristas</w:t>
      </w:r>
      <w:r w:rsidR="002B1B37">
        <w:rPr>
          <w:szCs w:val="16"/>
          <w:lang w:val="es-CR"/>
        </w:rPr>
        <w:t xml:space="preserve"> </w:t>
      </w:r>
      <w:r w:rsidR="002B1B37" w:rsidRPr="00306F4D">
        <w:rPr>
          <w:szCs w:val="16"/>
          <w:lang w:val="es-CR"/>
        </w:rPr>
        <w:t>(</w:t>
      </w:r>
      <w:r w:rsidR="002B1B37">
        <w:rPr>
          <w:szCs w:val="16"/>
          <w:lang w:val="es-CR"/>
        </w:rPr>
        <w:t xml:space="preserve">en adelante también “CCJ”). </w:t>
      </w:r>
    </w:p>
  </w:footnote>
  <w:footnote w:id="3">
    <w:p w14:paraId="4B0DAE06" w14:textId="77777777" w:rsidR="00DA3437" w:rsidRPr="00CC2DDA" w:rsidRDefault="00DA3437" w:rsidP="00DA3437">
      <w:pPr>
        <w:pStyle w:val="Textonotapie"/>
        <w:spacing w:before="0" w:after="0"/>
        <w:rPr>
          <w:szCs w:val="16"/>
          <w:lang w:val="es-CO"/>
        </w:rPr>
      </w:pPr>
      <w:r w:rsidRPr="00F207B5">
        <w:rPr>
          <w:rStyle w:val="Refdenotaalpie"/>
          <w:szCs w:val="16"/>
          <w:lang w:val="es-CO"/>
        </w:rPr>
        <w:footnoteRef/>
      </w:r>
      <w:r w:rsidRPr="00F207B5">
        <w:rPr>
          <w:szCs w:val="16"/>
          <w:lang w:val="es-CO"/>
        </w:rPr>
        <w:t xml:space="preserve"> </w:t>
      </w:r>
      <w:r w:rsidRPr="00F207B5">
        <w:rPr>
          <w:szCs w:val="16"/>
          <w:lang w:val="es-CO"/>
        </w:rPr>
        <w:tab/>
      </w:r>
      <w:r w:rsidRPr="00F207B5">
        <w:rPr>
          <w:i/>
          <w:szCs w:val="16"/>
          <w:lang w:val="es-CO"/>
        </w:rPr>
        <w:t xml:space="preserve">Cfr. </w:t>
      </w:r>
      <w:r w:rsidRPr="00FF47FF">
        <w:rPr>
          <w:i/>
          <w:szCs w:val="16"/>
        </w:rPr>
        <w:t xml:space="preserve">Caso Loayza Tamayo Vs. Perú. Interpretación de la Sentencia de Fondo. </w:t>
      </w:r>
      <w:r w:rsidRPr="00FF47FF">
        <w:rPr>
          <w:szCs w:val="16"/>
        </w:rPr>
        <w:t>Resolución de la Corte de 8 de marzo de 1998. Serie C No. 47</w:t>
      </w:r>
      <w:r w:rsidRPr="000C495D">
        <w:rPr>
          <w:szCs w:val="16"/>
          <w:lang w:val="es-CO"/>
        </w:rPr>
        <w:t>, párr</w:t>
      </w:r>
      <w:r>
        <w:rPr>
          <w:szCs w:val="16"/>
          <w:lang w:val="es-CO"/>
        </w:rPr>
        <w:t>s</w:t>
      </w:r>
      <w:r w:rsidRPr="000C495D">
        <w:rPr>
          <w:szCs w:val="16"/>
          <w:lang w:val="es-CO"/>
        </w:rPr>
        <w:t xml:space="preserve">. </w:t>
      </w:r>
      <w:r>
        <w:rPr>
          <w:szCs w:val="16"/>
          <w:lang w:val="es-CO"/>
        </w:rPr>
        <w:t xml:space="preserve">12 y </w:t>
      </w:r>
      <w:r w:rsidRPr="000C495D">
        <w:rPr>
          <w:szCs w:val="16"/>
          <w:lang w:val="es-CO"/>
        </w:rPr>
        <w:t>16,</w:t>
      </w:r>
      <w:r w:rsidRPr="00CA34B2">
        <w:rPr>
          <w:i/>
          <w:szCs w:val="16"/>
          <w:lang w:val="es-CO"/>
        </w:rPr>
        <w:t xml:space="preserve"> </w:t>
      </w:r>
      <w:r w:rsidRPr="000032D2">
        <w:rPr>
          <w:szCs w:val="16"/>
          <w:lang w:val="es-CO"/>
        </w:rPr>
        <w:t>y</w:t>
      </w:r>
      <w:r w:rsidRPr="000032D2">
        <w:rPr>
          <w:i/>
          <w:szCs w:val="16"/>
          <w:lang w:val="es-CO"/>
        </w:rPr>
        <w:t xml:space="preserve"> </w:t>
      </w:r>
      <w:r w:rsidRPr="0011579D">
        <w:rPr>
          <w:bCs/>
          <w:i/>
          <w:color w:val="000000"/>
          <w:szCs w:val="16"/>
          <w:lang w:val="es-ES"/>
        </w:rPr>
        <w:t xml:space="preserve">Caso López Soto y otros Vs. Venezuela. Interpretación de la Sentencia de Fondo, Reparaciones y Costas. </w:t>
      </w:r>
      <w:r w:rsidRPr="0011579D">
        <w:rPr>
          <w:bCs/>
          <w:color w:val="000000"/>
          <w:szCs w:val="16"/>
          <w:lang w:val="es-ES"/>
        </w:rPr>
        <w:t>Sentencia de 14 de mayo de 2019. Serie C No. 379</w:t>
      </w:r>
      <w:r>
        <w:rPr>
          <w:bCs/>
          <w:color w:val="000000"/>
          <w:szCs w:val="16"/>
          <w:lang w:val="es-ES"/>
        </w:rPr>
        <w:t>, párr. 11</w:t>
      </w:r>
      <w:r w:rsidRPr="0011579D">
        <w:rPr>
          <w:bCs/>
          <w:i/>
          <w:color w:val="000000"/>
          <w:szCs w:val="16"/>
          <w:lang w:val="es-ES"/>
        </w:rPr>
        <w:t>.</w:t>
      </w:r>
    </w:p>
  </w:footnote>
  <w:footnote w:id="4">
    <w:p w14:paraId="4D2854FC" w14:textId="06C8B28C" w:rsidR="00027BF2" w:rsidRPr="00244BD7" w:rsidRDefault="00027BF2" w:rsidP="00744F47">
      <w:pPr>
        <w:pStyle w:val="Textonotapie"/>
        <w:spacing w:before="0" w:after="0"/>
        <w:rPr>
          <w:szCs w:val="16"/>
          <w:lang w:val="es-CR"/>
        </w:rPr>
      </w:pPr>
      <w:r w:rsidRPr="00244BD7">
        <w:rPr>
          <w:rStyle w:val="Refdenotaalpie"/>
          <w:szCs w:val="16"/>
        </w:rPr>
        <w:footnoteRef/>
      </w:r>
      <w:r w:rsidRPr="00244BD7">
        <w:rPr>
          <w:szCs w:val="16"/>
        </w:rPr>
        <w:t xml:space="preserve"> </w:t>
      </w:r>
      <w:r w:rsidRPr="00244BD7">
        <w:rPr>
          <w:szCs w:val="16"/>
          <w:lang w:val="es-CR"/>
        </w:rPr>
        <w:tab/>
      </w:r>
      <w:r w:rsidRPr="00735AAD">
        <w:rPr>
          <w:i/>
          <w:szCs w:val="16"/>
        </w:rPr>
        <w:t xml:space="preserve">Cfr. Caso Loayza Tamayo Vs. Perú. Interpretación de la Sentencia de Reparaciones y Costas. </w:t>
      </w:r>
      <w:r w:rsidRPr="00735AAD">
        <w:rPr>
          <w:szCs w:val="16"/>
        </w:rPr>
        <w:t xml:space="preserve">Sentencia de 3 de junio de 1999. Serie C No. 53, párr. 15, </w:t>
      </w:r>
      <w:r w:rsidR="000D4F10" w:rsidRPr="000032D2">
        <w:rPr>
          <w:szCs w:val="16"/>
          <w:lang w:val="es-CO"/>
        </w:rPr>
        <w:t>y</w:t>
      </w:r>
      <w:r w:rsidR="000D4F10" w:rsidRPr="000032D2">
        <w:rPr>
          <w:i/>
          <w:szCs w:val="16"/>
          <w:lang w:val="es-CO"/>
        </w:rPr>
        <w:t xml:space="preserve"> </w:t>
      </w:r>
      <w:r w:rsidR="000D4F10" w:rsidRPr="004A01A6">
        <w:rPr>
          <w:bCs/>
          <w:i/>
          <w:color w:val="000000"/>
          <w:szCs w:val="16"/>
          <w:lang w:val="es-ES"/>
        </w:rPr>
        <w:t>Caso López Soto y otros Vs. Venezuela. Interpretación de la Sentencia de Fondo, Reparaciones y Costas</w:t>
      </w:r>
      <w:r w:rsidR="000D4F10">
        <w:rPr>
          <w:bCs/>
          <w:i/>
          <w:color w:val="000000"/>
          <w:szCs w:val="16"/>
          <w:lang w:val="es-ES"/>
        </w:rPr>
        <w:t>, supra</w:t>
      </w:r>
      <w:r w:rsidR="000D4F10">
        <w:rPr>
          <w:bCs/>
          <w:color w:val="000000"/>
          <w:szCs w:val="16"/>
          <w:lang w:val="es-ES"/>
        </w:rPr>
        <w:t>, párr. 12.</w:t>
      </w:r>
    </w:p>
  </w:footnote>
  <w:footnote w:id="5">
    <w:p w14:paraId="1F5126B5" w14:textId="693B9BA0" w:rsidR="00027BF2" w:rsidRPr="00244BD7" w:rsidRDefault="00027BF2" w:rsidP="00744F47">
      <w:pPr>
        <w:pStyle w:val="Textonotapie"/>
        <w:spacing w:before="0" w:after="0"/>
        <w:rPr>
          <w:szCs w:val="16"/>
          <w:lang w:val="es-CR"/>
        </w:rPr>
      </w:pPr>
      <w:r w:rsidRPr="00244BD7">
        <w:rPr>
          <w:rStyle w:val="Refdenotaalpie"/>
          <w:szCs w:val="16"/>
        </w:rPr>
        <w:footnoteRef/>
      </w:r>
      <w:r w:rsidRPr="00244BD7">
        <w:rPr>
          <w:szCs w:val="16"/>
        </w:rPr>
        <w:t xml:space="preserve"> </w:t>
      </w:r>
      <w:r w:rsidRPr="00735AAD">
        <w:rPr>
          <w:szCs w:val="16"/>
          <w:lang w:val="es-CR"/>
        </w:rPr>
        <w:tab/>
      </w:r>
      <w:r w:rsidRPr="00735AAD">
        <w:rPr>
          <w:i/>
          <w:szCs w:val="16"/>
        </w:rPr>
        <w:t xml:space="preserve">Cfr. Caso Salvador Chiriboga Vs. Ecuador. Interpretación de la Sentencia de Reparaciones y Costas. </w:t>
      </w:r>
      <w:r w:rsidRPr="00735AAD">
        <w:rPr>
          <w:szCs w:val="16"/>
        </w:rPr>
        <w:t xml:space="preserve">Sentencia de 29 de agosto de 2011. Serie C No. 230, párr. 30, </w:t>
      </w:r>
      <w:r w:rsidRPr="00F207B5">
        <w:rPr>
          <w:szCs w:val="16"/>
          <w:lang w:val="es-CO"/>
        </w:rPr>
        <w:t xml:space="preserve">y </w:t>
      </w:r>
      <w:r w:rsidR="000F16D3" w:rsidRPr="004A01A6">
        <w:rPr>
          <w:bCs/>
          <w:i/>
          <w:color w:val="000000"/>
          <w:szCs w:val="16"/>
          <w:lang w:val="es-ES"/>
        </w:rPr>
        <w:t>Caso López Soto y otros Vs. Venezuela. Interpretación de la Sentencia de Fondo, Reparaciones y Costas</w:t>
      </w:r>
      <w:r w:rsidR="000F16D3">
        <w:rPr>
          <w:bCs/>
          <w:i/>
          <w:color w:val="000000"/>
          <w:szCs w:val="16"/>
          <w:lang w:val="es-ES"/>
        </w:rPr>
        <w:t>, supra</w:t>
      </w:r>
      <w:r w:rsidR="000F16D3">
        <w:rPr>
          <w:bCs/>
          <w:color w:val="000000"/>
          <w:szCs w:val="16"/>
          <w:lang w:val="es-ES"/>
        </w:rPr>
        <w:t>, párr. 12.</w:t>
      </w:r>
    </w:p>
  </w:footnote>
  <w:footnote w:id="6">
    <w:p w14:paraId="0746BB75" w14:textId="1F8F1FB8" w:rsidR="00027BF2" w:rsidRPr="00244BD7" w:rsidRDefault="00027BF2" w:rsidP="00744F47">
      <w:pPr>
        <w:pStyle w:val="Textonotapie"/>
        <w:spacing w:before="0" w:after="0"/>
        <w:rPr>
          <w:szCs w:val="16"/>
          <w:lang w:val="es-CR"/>
        </w:rPr>
      </w:pPr>
      <w:r w:rsidRPr="00244BD7">
        <w:rPr>
          <w:rStyle w:val="Refdenotaalpie"/>
          <w:szCs w:val="16"/>
        </w:rPr>
        <w:footnoteRef/>
      </w:r>
      <w:r w:rsidRPr="00244BD7">
        <w:rPr>
          <w:szCs w:val="16"/>
        </w:rPr>
        <w:t xml:space="preserve"> </w:t>
      </w:r>
      <w:r w:rsidRPr="00735AAD">
        <w:rPr>
          <w:szCs w:val="16"/>
          <w:lang w:val="es-CR"/>
        </w:rPr>
        <w:tab/>
      </w:r>
      <w:r w:rsidRPr="00735AAD">
        <w:rPr>
          <w:i/>
          <w:szCs w:val="16"/>
        </w:rPr>
        <w:t xml:space="preserve">Cfr. </w:t>
      </w:r>
      <w:r w:rsidR="008B4A2B" w:rsidRPr="008856E2">
        <w:rPr>
          <w:i/>
          <w:szCs w:val="16"/>
        </w:rPr>
        <w:t>Caso Escher y otros Vs. Brasil. Interpretación de la Sentencia de Excepciones Preliminares, Fondo, Reparaciones y Costas</w:t>
      </w:r>
      <w:r w:rsidR="008B4A2B" w:rsidRPr="008856E2">
        <w:rPr>
          <w:szCs w:val="16"/>
        </w:rPr>
        <w:t>. Sentencia de 20 de noviembre de 2009. Serie C No. 208, párr. 11,</w:t>
      </w:r>
      <w:r w:rsidR="008B4A2B" w:rsidRPr="008856E2">
        <w:rPr>
          <w:i/>
          <w:szCs w:val="16"/>
        </w:rPr>
        <w:t xml:space="preserve"> </w:t>
      </w:r>
      <w:r w:rsidR="00B15020" w:rsidRPr="000032D2">
        <w:rPr>
          <w:szCs w:val="16"/>
          <w:lang w:val="es-CO"/>
        </w:rPr>
        <w:t>y</w:t>
      </w:r>
      <w:r w:rsidR="00B15020" w:rsidRPr="000032D2">
        <w:rPr>
          <w:i/>
          <w:szCs w:val="16"/>
          <w:lang w:val="es-CO"/>
        </w:rPr>
        <w:t xml:space="preserve"> </w:t>
      </w:r>
      <w:r w:rsidR="00B15020" w:rsidRPr="004A01A6">
        <w:rPr>
          <w:bCs/>
          <w:i/>
          <w:color w:val="000000"/>
          <w:szCs w:val="16"/>
          <w:lang w:val="es-ES"/>
        </w:rPr>
        <w:t>Caso López Soto y otros Vs. Venezuela. Interpretación de la Sentencia de Fondo, Reparaciones y Costas</w:t>
      </w:r>
      <w:r w:rsidR="00B15020">
        <w:rPr>
          <w:bCs/>
          <w:i/>
          <w:color w:val="000000"/>
          <w:szCs w:val="16"/>
          <w:lang w:val="es-ES"/>
        </w:rPr>
        <w:t>, supra</w:t>
      </w:r>
      <w:r w:rsidR="00B15020">
        <w:rPr>
          <w:bCs/>
          <w:color w:val="000000"/>
          <w:szCs w:val="16"/>
          <w:lang w:val="es-ES"/>
        </w:rPr>
        <w:t>, párr. 12</w:t>
      </w:r>
      <w:r w:rsidRPr="00F207B5">
        <w:rPr>
          <w:szCs w:val="16"/>
          <w:lang w:val="es-C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6A1"/>
    <w:multiLevelType w:val="hybridMultilevel"/>
    <w:tmpl w:val="A5AC3F3A"/>
    <w:lvl w:ilvl="0" w:tplc="84BEF9B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212D20"/>
    <w:multiLevelType w:val="hybridMultilevel"/>
    <w:tmpl w:val="D24C49B8"/>
    <w:lvl w:ilvl="0" w:tplc="53A45650">
      <w:start w:val="327"/>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6E65"/>
    <w:multiLevelType w:val="hybridMultilevel"/>
    <w:tmpl w:val="3C6681E4"/>
    <w:lvl w:ilvl="0" w:tplc="DA14B500">
      <w:start w:val="3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1661CFA"/>
    <w:multiLevelType w:val="hybridMultilevel"/>
    <w:tmpl w:val="A5BCBD62"/>
    <w:lvl w:ilvl="0" w:tplc="783ABA1C">
      <w:start w:val="1"/>
      <w:numFmt w:val="upperLetter"/>
      <w:lvlText w:val="%1."/>
      <w:lvlJc w:val="left"/>
      <w:pPr>
        <w:ind w:left="5400" w:hanging="360"/>
      </w:pPr>
      <w:rPr>
        <w:rFonts w:hint="default"/>
        <w:b/>
        <w:i/>
      </w:rPr>
    </w:lvl>
    <w:lvl w:ilvl="1" w:tplc="140A0019">
      <w:start w:val="1"/>
      <w:numFmt w:val="lowerLetter"/>
      <w:lvlText w:val="%2."/>
      <w:lvlJc w:val="left"/>
      <w:pPr>
        <w:ind w:left="6120" w:hanging="360"/>
      </w:pPr>
    </w:lvl>
    <w:lvl w:ilvl="2" w:tplc="140A001B" w:tentative="1">
      <w:start w:val="1"/>
      <w:numFmt w:val="lowerRoman"/>
      <w:lvlText w:val="%3."/>
      <w:lvlJc w:val="right"/>
      <w:pPr>
        <w:ind w:left="6840" w:hanging="180"/>
      </w:pPr>
    </w:lvl>
    <w:lvl w:ilvl="3" w:tplc="140A000F" w:tentative="1">
      <w:start w:val="1"/>
      <w:numFmt w:val="decimal"/>
      <w:lvlText w:val="%4."/>
      <w:lvlJc w:val="left"/>
      <w:pPr>
        <w:ind w:left="7560" w:hanging="360"/>
      </w:pPr>
    </w:lvl>
    <w:lvl w:ilvl="4" w:tplc="140A0019" w:tentative="1">
      <w:start w:val="1"/>
      <w:numFmt w:val="lowerLetter"/>
      <w:lvlText w:val="%5."/>
      <w:lvlJc w:val="left"/>
      <w:pPr>
        <w:ind w:left="8280" w:hanging="360"/>
      </w:pPr>
    </w:lvl>
    <w:lvl w:ilvl="5" w:tplc="140A001B" w:tentative="1">
      <w:start w:val="1"/>
      <w:numFmt w:val="lowerRoman"/>
      <w:lvlText w:val="%6."/>
      <w:lvlJc w:val="right"/>
      <w:pPr>
        <w:ind w:left="9000" w:hanging="180"/>
      </w:pPr>
    </w:lvl>
    <w:lvl w:ilvl="6" w:tplc="140A000F" w:tentative="1">
      <w:start w:val="1"/>
      <w:numFmt w:val="decimal"/>
      <w:lvlText w:val="%7."/>
      <w:lvlJc w:val="left"/>
      <w:pPr>
        <w:ind w:left="9720" w:hanging="360"/>
      </w:pPr>
    </w:lvl>
    <w:lvl w:ilvl="7" w:tplc="140A0019" w:tentative="1">
      <w:start w:val="1"/>
      <w:numFmt w:val="lowerLetter"/>
      <w:lvlText w:val="%8."/>
      <w:lvlJc w:val="left"/>
      <w:pPr>
        <w:ind w:left="10440" w:hanging="360"/>
      </w:pPr>
    </w:lvl>
    <w:lvl w:ilvl="8" w:tplc="140A001B" w:tentative="1">
      <w:start w:val="1"/>
      <w:numFmt w:val="lowerRoman"/>
      <w:lvlText w:val="%9."/>
      <w:lvlJc w:val="right"/>
      <w:pPr>
        <w:ind w:left="11160" w:hanging="180"/>
      </w:pPr>
    </w:lvl>
  </w:abstractNum>
  <w:abstractNum w:abstractNumId="4" w15:restartNumberingAfterBreak="0">
    <w:nsid w:val="11BD2591"/>
    <w:multiLevelType w:val="hybridMultilevel"/>
    <w:tmpl w:val="E8825CCA"/>
    <w:lvl w:ilvl="0" w:tplc="C52A9830">
      <w:start w:val="20"/>
      <w:numFmt w:val="decimal"/>
      <w:lvlText w:val="%1."/>
      <w:lvlJc w:val="left"/>
      <w:pPr>
        <w:ind w:left="720" w:hanging="360"/>
      </w:pPr>
      <w:rPr>
        <w:rFonts w:eastAsia="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8365B"/>
    <w:multiLevelType w:val="hybridMultilevel"/>
    <w:tmpl w:val="47A26680"/>
    <w:lvl w:ilvl="0" w:tplc="B75CF160">
      <w:start w:val="1"/>
      <w:numFmt w:val="lowerLetter"/>
      <w:pStyle w:val="Ttulo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5D0A44"/>
    <w:multiLevelType w:val="hybridMultilevel"/>
    <w:tmpl w:val="2294D18E"/>
    <w:lvl w:ilvl="0" w:tplc="996A088A">
      <w:start w:val="1"/>
      <w:numFmt w:val="bullet"/>
      <w:lvlText w:val=""/>
      <w:lvlJc w:val="left"/>
      <w:pPr>
        <w:ind w:left="1077" w:hanging="360"/>
      </w:pPr>
      <w:rPr>
        <w:rFonts w:ascii="Symbol" w:hAnsi="Symbol" w:hint="default"/>
      </w:rPr>
    </w:lvl>
    <w:lvl w:ilvl="1" w:tplc="2C0A0019" w:tentative="1">
      <w:start w:val="1"/>
      <w:numFmt w:val="bullet"/>
      <w:lvlText w:val="o"/>
      <w:lvlJc w:val="left"/>
      <w:pPr>
        <w:ind w:left="1797" w:hanging="360"/>
      </w:pPr>
      <w:rPr>
        <w:rFonts w:ascii="Courier New" w:hAnsi="Courier New" w:cs="MS Mincho" w:hint="default"/>
      </w:rPr>
    </w:lvl>
    <w:lvl w:ilvl="2" w:tplc="4202A1AC" w:tentative="1">
      <w:start w:val="1"/>
      <w:numFmt w:val="bullet"/>
      <w:lvlText w:val=""/>
      <w:lvlJc w:val="left"/>
      <w:pPr>
        <w:ind w:left="2517" w:hanging="360"/>
      </w:pPr>
      <w:rPr>
        <w:rFonts w:ascii="Wingdings" w:hAnsi="Wingdings" w:hint="default"/>
      </w:rPr>
    </w:lvl>
    <w:lvl w:ilvl="3" w:tplc="3F0893E6" w:tentative="1">
      <w:start w:val="1"/>
      <w:numFmt w:val="bullet"/>
      <w:lvlText w:val=""/>
      <w:lvlJc w:val="left"/>
      <w:pPr>
        <w:ind w:left="3237" w:hanging="360"/>
      </w:pPr>
      <w:rPr>
        <w:rFonts w:ascii="Symbol" w:hAnsi="Symbol" w:hint="default"/>
      </w:rPr>
    </w:lvl>
    <w:lvl w:ilvl="4" w:tplc="E7BA4BB6" w:tentative="1">
      <w:start w:val="1"/>
      <w:numFmt w:val="bullet"/>
      <w:lvlText w:val="o"/>
      <w:lvlJc w:val="left"/>
      <w:pPr>
        <w:ind w:left="3957" w:hanging="360"/>
      </w:pPr>
      <w:rPr>
        <w:rFonts w:ascii="Courier New" w:hAnsi="Courier New" w:cs="MS Mincho" w:hint="default"/>
      </w:rPr>
    </w:lvl>
    <w:lvl w:ilvl="5" w:tplc="2C0A001B" w:tentative="1">
      <w:start w:val="1"/>
      <w:numFmt w:val="bullet"/>
      <w:lvlText w:val=""/>
      <w:lvlJc w:val="left"/>
      <w:pPr>
        <w:ind w:left="4677" w:hanging="360"/>
      </w:pPr>
      <w:rPr>
        <w:rFonts w:ascii="Wingdings" w:hAnsi="Wingdings" w:hint="default"/>
      </w:rPr>
    </w:lvl>
    <w:lvl w:ilvl="6" w:tplc="2C0A000F" w:tentative="1">
      <w:start w:val="1"/>
      <w:numFmt w:val="bullet"/>
      <w:lvlText w:val=""/>
      <w:lvlJc w:val="left"/>
      <w:pPr>
        <w:ind w:left="5397" w:hanging="360"/>
      </w:pPr>
      <w:rPr>
        <w:rFonts w:ascii="Symbol" w:hAnsi="Symbol" w:hint="default"/>
      </w:rPr>
    </w:lvl>
    <w:lvl w:ilvl="7" w:tplc="2C0A0019" w:tentative="1">
      <w:start w:val="1"/>
      <w:numFmt w:val="bullet"/>
      <w:lvlText w:val="o"/>
      <w:lvlJc w:val="left"/>
      <w:pPr>
        <w:ind w:left="6117" w:hanging="360"/>
      </w:pPr>
      <w:rPr>
        <w:rFonts w:ascii="Courier New" w:hAnsi="Courier New" w:cs="MS Mincho" w:hint="default"/>
      </w:rPr>
    </w:lvl>
    <w:lvl w:ilvl="8" w:tplc="2C0A001B" w:tentative="1">
      <w:start w:val="1"/>
      <w:numFmt w:val="bullet"/>
      <w:lvlText w:val=""/>
      <w:lvlJc w:val="left"/>
      <w:pPr>
        <w:ind w:left="6837" w:hanging="360"/>
      </w:pPr>
      <w:rPr>
        <w:rFonts w:ascii="Wingdings" w:hAnsi="Wingdings" w:hint="default"/>
      </w:rPr>
    </w:lvl>
  </w:abstractNum>
  <w:abstractNum w:abstractNumId="7" w15:restartNumberingAfterBreak="0">
    <w:nsid w:val="238E306F"/>
    <w:multiLevelType w:val="hybridMultilevel"/>
    <w:tmpl w:val="5DC494EA"/>
    <w:lvl w:ilvl="0" w:tplc="AB38EE08">
      <w:start w:val="20"/>
      <w:numFmt w:val="decimal"/>
      <w:lvlText w:val="%1."/>
      <w:lvlJc w:val="left"/>
      <w:pPr>
        <w:ind w:left="720" w:hanging="360"/>
      </w:pPr>
      <w:rPr>
        <w:rFonts w:eastAsia="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71CB5"/>
    <w:multiLevelType w:val="hybridMultilevel"/>
    <w:tmpl w:val="816C6CC4"/>
    <w:lvl w:ilvl="0" w:tplc="545A72D2">
      <w:start w:val="21"/>
      <w:numFmt w:val="decimal"/>
      <w:lvlText w:val="%1."/>
      <w:lvlJc w:val="left"/>
      <w:pPr>
        <w:ind w:left="720" w:hanging="360"/>
      </w:pPr>
      <w:rPr>
        <w:rFonts w:eastAsia="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75E8"/>
    <w:multiLevelType w:val="hybridMultilevel"/>
    <w:tmpl w:val="45BE062C"/>
    <w:lvl w:ilvl="0" w:tplc="246A4DB8">
      <w:start w:val="1"/>
      <w:numFmt w:val="upp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4F0621"/>
    <w:multiLevelType w:val="hybridMultilevel"/>
    <w:tmpl w:val="C3DAFA46"/>
    <w:lvl w:ilvl="0" w:tplc="F5487994">
      <w:start w:val="1"/>
      <w:numFmt w:val="upperLetter"/>
      <w:pStyle w:val="Ttulo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EA82306"/>
    <w:multiLevelType w:val="hybridMultilevel"/>
    <w:tmpl w:val="8A0A01E8"/>
    <w:lvl w:ilvl="0" w:tplc="CBACF920">
      <w:start w:val="1"/>
      <w:numFmt w:val="upperLetter"/>
      <w:lvlText w:val="%1."/>
      <w:lvlJc w:val="left"/>
      <w:pPr>
        <w:ind w:left="25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6E65998"/>
    <w:multiLevelType w:val="hybridMultilevel"/>
    <w:tmpl w:val="1B120036"/>
    <w:lvl w:ilvl="0" w:tplc="670C958C">
      <w:start w:val="1"/>
      <w:numFmt w:val="decimal"/>
      <w:lvlText w:val="%1."/>
      <w:lvlJc w:val="left"/>
      <w:pPr>
        <w:ind w:left="450" w:hanging="360"/>
      </w:pPr>
      <w:rPr>
        <w:rFonts w:ascii="Verdana" w:hAnsi="Verdana" w:hint="default"/>
        <w:b w:val="0"/>
        <w:i w:val="0"/>
        <w:strike w:val="0"/>
        <w:sz w:val="20"/>
        <w:szCs w:val="20"/>
        <w:lang w:val="es-MX"/>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8444118"/>
    <w:multiLevelType w:val="hybridMultilevel"/>
    <w:tmpl w:val="33EA0AEA"/>
    <w:lvl w:ilvl="0" w:tplc="F65A7BB0">
      <w:start w:val="327"/>
      <w:numFmt w:val="decimal"/>
      <w:lvlText w:val="%1."/>
      <w:lvlJc w:val="left"/>
      <w:pPr>
        <w:ind w:left="1509" w:hanging="375"/>
      </w:pPr>
      <w:rPr>
        <w:rFonts w:hint="default"/>
        <w:sz w:val="16"/>
        <w:szCs w:val="16"/>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A25665F"/>
    <w:multiLevelType w:val="hybridMultilevel"/>
    <w:tmpl w:val="0D364172"/>
    <w:lvl w:ilvl="0" w:tplc="0C30C974">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F9B713D"/>
    <w:multiLevelType w:val="hybridMultilevel"/>
    <w:tmpl w:val="7EB800F4"/>
    <w:lvl w:ilvl="0" w:tplc="996A088A">
      <w:start w:val="1"/>
      <w:numFmt w:val="decimal"/>
      <w:lvlText w:val="%1."/>
      <w:lvlJc w:val="left"/>
      <w:pPr>
        <w:ind w:left="720" w:hanging="720"/>
      </w:pPr>
      <w:rPr>
        <w:rFonts w:ascii="Verdana" w:hAnsi="Verdana" w:cs="Times New Roman" w:hint="default"/>
        <w:b w:val="0"/>
        <w:i w:val="0"/>
        <w:strike w:val="0"/>
        <w:color w:val="auto"/>
        <w:sz w:val="20"/>
        <w:szCs w:val="20"/>
      </w:rPr>
    </w:lvl>
    <w:lvl w:ilvl="1" w:tplc="2C0A0019">
      <w:start w:val="1"/>
      <w:numFmt w:val="lowerLetter"/>
      <w:lvlText w:val="%2."/>
      <w:lvlJc w:val="left"/>
      <w:pPr>
        <w:ind w:left="1080" w:hanging="360"/>
      </w:pPr>
      <w:rPr>
        <w:rFonts w:cs="Times New Roman" w:hint="default"/>
      </w:rPr>
    </w:lvl>
    <w:lvl w:ilvl="2" w:tplc="4202A1AC">
      <w:start w:val="1"/>
      <w:numFmt w:val="lowerRoman"/>
      <w:lvlText w:val="%3."/>
      <w:lvlJc w:val="right"/>
      <w:pPr>
        <w:ind w:left="1800" w:hanging="180"/>
      </w:pPr>
      <w:rPr>
        <w:rFonts w:cs="Times New Roman"/>
      </w:rPr>
    </w:lvl>
    <w:lvl w:ilvl="3" w:tplc="CBACF920">
      <w:start w:val="1"/>
      <w:numFmt w:val="upperLetter"/>
      <w:lvlText w:val="%4."/>
      <w:lvlJc w:val="left"/>
      <w:pPr>
        <w:ind w:left="2520" w:hanging="360"/>
      </w:pPr>
      <w:rPr>
        <w:rFonts w:hint="default"/>
        <w:b/>
        <w:i/>
      </w:rPr>
    </w:lvl>
    <w:lvl w:ilvl="4" w:tplc="E7BA4BB6">
      <w:start w:val="1"/>
      <w:numFmt w:val="lowerLetter"/>
      <w:lvlText w:val="%5)"/>
      <w:lvlJc w:val="left"/>
      <w:pPr>
        <w:ind w:left="3240" w:hanging="360"/>
      </w:pPr>
      <w:rPr>
        <w:rFonts w:hint="default"/>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6" w15:restartNumberingAfterBreak="0">
    <w:nsid w:val="4B8028DA"/>
    <w:multiLevelType w:val="hybridMultilevel"/>
    <w:tmpl w:val="4EDCD158"/>
    <w:lvl w:ilvl="0" w:tplc="FF062386">
      <w:start w:val="1"/>
      <w:numFmt w:val="upperRoman"/>
      <w:lvlText w:val="%1."/>
      <w:lvlJc w:val="left"/>
      <w:pPr>
        <w:ind w:left="1080" w:hanging="720"/>
      </w:pPr>
      <w:rPr>
        <w:rFonts w:cs="Tahom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FD5E16"/>
    <w:multiLevelType w:val="hybridMultilevel"/>
    <w:tmpl w:val="557A8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9712D"/>
    <w:multiLevelType w:val="hybridMultilevel"/>
    <w:tmpl w:val="E6B2D1E6"/>
    <w:lvl w:ilvl="0" w:tplc="E10AD118">
      <w:start w:val="1"/>
      <w:numFmt w:val="decimal"/>
      <w:lvlText w:val="%1."/>
      <w:lvlJc w:val="left"/>
      <w:pPr>
        <w:ind w:left="1065" w:hanging="705"/>
      </w:pPr>
      <w:rPr>
        <w:b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5C94703C"/>
    <w:multiLevelType w:val="hybridMultilevel"/>
    <w:tmpl w:val="5762B3D4"/>
    <w:lvl w:ilvl="0" w:tplc="43744772">
      <w:start w:val="21"/>
      <w:numFmt w:val="decimal"/>
      <w:lvlText w:val="%1."/>
      <w:lvlJc w:val="left"/>
      <w:pPr>
        <w:ind w:left="720" w:hanging="360"/>
      </w:pPr>
      <w:rPr>
        <w:rFonts w:eastAsia="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13D32"/>
    <w:multiLevelType w:val="hybridMultilevel"/>
    <w:tmpl w:val="B67A0D88"/>
    <w:lvl w:ilvl="0" w:tplc="4F10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2C2C12"/>
    <w:multiLevelType w:val="hybridMultilevel"/>
    <w:tmpl w:val="9F8AF72C"/>
    <w:lvl w:ilvl="0" w:tplc="96061334">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14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140A001B">
      <w:start w:val="1"/>
      <w:numFmt w:val="lowerRoman"/>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abstractNum w:abstractNumId="22" w15:restartNumberingAfterBreak="0">
    <w:nsid w:val="69B101FB"/>
    <w:multiLevelType w:val="hybridMultilevel"/>
    <w:tmpl w:val="AD16C2DC"/>
    <w:lvl w:ilvl="0" w:tplc="C4F44876">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decimal"/>
      <w:pStyle w:val="PrrafodeSentenci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42F37"/>
    <w:multiLevelType w:val="hybridMultilevel"/>
    <w:tmpl w:val="BB100E5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2085B8E"/>
    <w:multiLevelType w:val="hybridMultilevel"/>
    <w:tmpl w:val="6674EC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3DF7E98"/>
    <w:multiLevelType w:val="hybridMultilevel"/>
    <w:tmpl w:val="7660C61E"/>
    <w:lvl w:ilvl="0" w:tplc="B20E4D0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B6261"/>
    <w:multiLevelType w:val="hybridMultilevel"/>
    <w:tmpl w:val="03AC523C"/>
    <w:lvl w:ilvl="0" w:tplc="E6805944">
      <w:start w:val="1"/>
      <w:numFmt w:val="decimal"/>
      <w:lvlText w:val="%1."/>
      <w:lvlJc w:val="left"/>
      <w:pPr>
        <w:ind w:left="720" w:hanging="360"/>
      </w:pPr>
      <w:rPr>
        <w:rFonts w:eastAsia="Batang" w:cs="Verdana"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981C09"/>
    <w:multiLevelType w:val="hybridMultilevel"/>
    <w:tmpl w:val="D758E48A"/>
    <w:lvl w:ilvl="0" w:tplc="3162009A">
      <w:start w:val="1"/>
      <w:numFmt w:val="decimal"/>
      <w:lvlText w:val="%1."/>
      <w:lvlJc w:val="left"/>
      <w:pPr>
        <w:ind w:left="360" w:hanging="360"/>
      </w:pPr>
      <w:rPr>
        <w:rFonts w:eastAsia="Batang" w:cs="Verdana"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753A80"/>
    <w:multiLevelType w:val="hybridMultilevel"/>
    <w:tmpl w:val="B9B8489E"/>
    <w:lvl w:ilvl="0" w:tplc="5126705A">
      <w:start w:val="1"/>
      <w:numFmt w:val="decimal"/>
      <w:pStyle w:val="PrrafodeSentencia0"/>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9" w15:restartNumberingAfterBreak="0">
    <w:nsid w:val="7CA0534C"/>
    <w:multiLevelType w:val="hybridMultilevel"/>
    <w:tmpl w:val="B3D2F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E64D32"/>
    <w:multiLevelType w:val="hybridMultilevel"/>
    <w:tmpl w:val="9F8AF72C"/>
    <w:lvl w:ilvl="0" w:tplc="96061334">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14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140A001B">
      <w:start w:val="1"/>
      <w:numFmt w:val="lowerRoman"/>
      <w:pStyle w:val="Estilo7"/>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abstractNum w:abstractNumId="31" w15:restartNumberingAfterBreak="0">
    <w:nsid w:val="7ECB7880"/>
    <w:multiLevelType w:val="hybridMultilevel"/>
    <w:tmpl w:val="E884BD40"/>
    <w:lvl w:ilvl="0" w:tplc="91807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6"/>
  </w:num>
  <w:num w:numId="4">
    <w:abstractNumId w:val="30"/>
  </w:num>
  <w:num w:numId="5">
    <w:abstractNumId w:val="10"/>
  </w:num>
  <w:num w:numId="6">
    <w:abstractNumId w:val="22"/>
  </w:num>
  <w:num w:numId="7">
    <w:abstractNumId w:val="5"/>
  </w:num>
  <w:num w:numId="8">
    <w:abstractNumId w:val="3"/>
  </w:num>
  <w:num w:numId="9">
    <w:abstractNumId w:val="24"/>
  </w:num>
  <w:num w:numId="10">
    <w:abstractNumId w:val="11"/>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4"/>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9"/>
  </w:num>
  <w:num w:numId="23">
    <w:abstractNumId w:val="29"/>
  </w:num>
  <w:num w:numId="24">
    <w:abstractNumId w:val="26"/>
  </w:num>
  <w:num w:numId="25">
    <w:abstractNumId w:val="20"/>
  </w:num>
  <w:num w:numId="26">
    <w:abstractNumId w:val="17"/>
  </w:num>
  <w:num w:numId="27">
    <w:abstractNumId w:val="12"/>
  </w:num>
  <w:num w:numId="28">
    <w:abstractNumId w:val="1"/>
  </w:num>
  <w:num w:numId="29">
    <w:abstractNumId w:val="13"/>
  </w:num>
  <w:num w:numId="30">
    <w:abstractNumId w:val="25"/>
  </w:num>
  <w:num w:numId="31">
    <w:abstractNumId w:val="2"/>
  </w:num>
  <w:num w:numId="32">
    <w:abstractNumId w:val="30"/>
    <w:lvlOverride w:ilvl="0">
      <w:startOverride w:val="1"/>
    </w:lvlOverride>
  </w:num>
  <w:num w:numId="33">
    <w:abstractNumId w:val="21"/>
  </w:num>
  <w:num w:numId="34">
    <w:abstractNumId w:val="31"/>
  </w:num>
  <w:num w:numId="35">
    <w:abstractNumId w:val="23"/>
  </w:num>
  <w:num w:numId="36">
    <w:abstractNumId w:val="4"/>
  </w:num>
  <w:num w:numId="37">
    <w:abstractNumId w:val="8"/>
  </w:num>
  <w:num w:numId="38">
    <w:abstractNumId w:val="7"/>
  </w:num>
  <w:num w:numId="3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1"/>
  <w:activeWritingStyle w:appName="MSWord" w:lang="es-EC" w:vendorID="64" w:dllVersion="6" w:nlCheck="1" w:checkStyle="1"/>
  <w:activeWritingStyle w:appName="MSWord" w:lang="en-US" w:vendorID="64" w:dllVersion="6" w:nlCheck="1" w:checkStyle="1"/>
  <w:activeWritingStyle w:appName="MSWord" w:lang="es-ES" w:vendorID="64" w:dllVersion="6" w:nlCheck="1" w:checkStyle="1"/>
  <w:activeWritingStyle w:appName="MSWord" w:lang="es-PA" w:vendorID="64" w:dllVersion="6" w:nlCheck="1" w:checkStyle="1"/>
  <w:activeWritingStyle w:appName="MSWord" w:lang="es-GT" w:vendorID="64" w:dllVersion="6" w:nlCheck="1" w:checkStyle="1"/>
  <w:activeWritingStyle w:appName="MSWord" w:lang="es-CO" w:vendorID="64" w:dllVersion="6" w:nlCheck="1" w:checkStyle="1"/>
  <w:activeWritingStyle w:appName="MSWord" w:lang="es-CL" w:vendorID="64" w:dllVersion="6" w:nlCheck="1" w:checkStyle="1"/>
  <w:activeWritingStyle w:appName="MSWord" w:lang="es-CR" w:vendorID="64" w:dllVersion="6" w:nlCheck="1" w:checkStyle="1"/>
  <w:activeWritingStyle w:appName="MSWord" w:lang="es-AR" w:vendorID="64" w:dllVersion="6" w:nlCheck="1" w:checkStyle="1"/>
  <w:activeWritingStyle w:appName="MSWord" w:lang="es-PR" w:vendorID="64" w:dllVersion="6" w:nlCheck="1" w:checkStyle="1"/>
  <w:activeWritingStyle w:appName="MSWord" w:lang="es-VE" w:vendorID="64" w:dllVersion="6" w:nlCheck="1" w:checkStyle="1"/>
  <w:activeWritingStyle w:appName="MSWord" w:lang="fr-FR" w:vendorID="64" w:dllVersion="6" w:nlCheck="1" w:checkStyle="1"/>
  <w:activeWritingStyle w:appName="MSWord" w:lang="es-PE" w:vendorID="64" w:dllVersion="6" w:nlCheck="1" w:checkStyle="1"/>
  <w:activeWritingStyle w:appName="MSWord" w:lang="es-MX" w:vendorID="64" w:dllVersion="6" w:nlCheck="1" w:checkStyle="1"/>
  <w:activeWritingStyle w:appName="MSWord" w:lang="pt-B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48"/>
    <w:rsid w:val="0000157F"/>
    <w:rsid w:val="0000676C"/>
    <w:rsid w:val="0001175E"/>
    <w:rsid w:val="00013AD6"/>
    <w:rsid w:val="00013C61"/>
    <w:rsid w:val="00024756"/>
    <w:rsid w:val="00027BF2"/>
    <w:rsid w:val="00032A20"/>
    <w:rsid w:val="00032D02"/>
    <w:rsid w:val="00037E65"/>
    <w:rsid w:val="00045723"/>
    <w:rsid w:val="00055BA1"/>
    <w:rsid w:val="00061D97"/>
    <w:rsid w:val="00062836"/>
    <w:rsid w:val="00063C46"/>
    <w:rsid w:val="0008039D"/>
    <w:rsid w:val="00094AFC"/>
    <w:rsid w:val="00094D98"/>
    <w:rsid w:val="00094EEB"/>
    <w:rsid w:val="000A2FF7"/>
    <w:rsid w:val="000A3743"/>
    <w:rsid w:val="000A3972"/>
    <w:rsid w:val="000A6AA0"/>
    <w:rsid w:val="000A7481"/>
    <w:rsid w:val="000A767F"/>
    <w:rsid w:val="000B05D1"/>
    <w:rsid w:val="000B1C4D"/>
    <w:rsid w:val="000B5E7C"/>
    <w:rsid w:val="000B73F3"/>
    <w:rsid w:val="000B7B44"/>
    <w:rsid w:val="000C17DE"/>
    <w:rsid w:val="000D0454"/>
    <w:rsid w:val="000D3512"/>
    <w:rsid w:val="000D4F10"/>
    <w:rsid w:val="000D4F3B"/>
    <w:rsid w:val="000D7005"/>
    <w:rsid w:val="000D725D"/>
    <w:rsid w:val="000E0B9F"/>
    <w:rsid w:val="000E44BE"/>
    <w:rsid w:val="000E680E"/>
    <w:rsid w:val="000E6BA4"/>
    <w:rsid w:val="000F16D3"/>
    <w:rsid w:val="000F4E87"/>
    <w:rsid w:val="00100FB8"/>
    <w:rsid w:val="00101888"/>
    <w:rsid w:val="00111EE2"/>
    <w:rsid w:val="00114F3C"/>
    <w:rsid w:val="0011579D"/>
    <w:rsid w:val="0012159B"/>
    <w:rsid w:val="0012289A"/>
    <w:rsid w:val="001244A7"/>
    <w:rsid w:val="00130E4E"/>
    <w:rsid w:val="00141719"/>
    <w:rsid w:val="0014200D"/>
    <w:rsid w:val="0014259D"/>
    <w:rsid w:val="001535FC"/>
    <w:rsid w:val="00153E30"/>
    <w:rsid w:val="00172520"/>
    <w:rsid w:val="001845F3"/>
    <w:rsid w:val="0019639F"/>
    <w:rsid w:val="001B4882"/>
    <w:rsid w:val="001D2AFC"/>
    <w:rsid w:val="001D3479"/>
    <w:rsid w:val="001D38CA"/>
    <w:rsid w:val="001E2844"/>
    <w:rsid w:val="001F1629"/>
    <w:rsid w:val="00200086"/>
    <w:rsid w:val="00200285"/>
    <w:rsid w:val="0020031F"/>
    <w:rsid w:val="0021715E"/>
    <w:rsid w:val="00220BD4"/>
    <w:rsid w:val="002229B2"/>
    <w:rsid w:val="00222DBD"/>
    <w:rsid w:val="00225080"/>
    <w:rsid w:val="00225B1B"/>
    <w:rsid w:val="00226E2D"/>
    <w:rsid w:val="00232D55"/>
    <w:rsid w:val="00233BF4"/>
    <w:rsid w:val="00244BD7"/>
    <w:rsid w:val="00254BFB"/>
    <w:rsid w:val="002651BA"/>
    <w:rsid w:val="00265C94"/>
    <w:rsid w:val="00266D72"/>
    <w:rsid w:val="002678D1"/>
    <w:rsid w:val="0027086A"/>
    <w:rsid w:val="00272244"/>
    <w:rsid w:val="00277D4C"/>
    <w:rsid w:val="0028078A"/>
    <w:rsid w:val="00283277"/>
    <w:rsid w:val="00283502"/>
    <w:rsid w:val="00297115"/>
    <w:rsid w:val="002A0F82"/>
    <w:rsid w:val="002A70B9"/>
    <w:rsid w:val="002A7D3A"/>
    <w:rsid w:val="002B1A6B"/>
    <w:rsid w:val="002B1B37"/>
    <w:rsid w:val="002B22E1"/>
    <w:rsid w:val="002B755D"/>
    <w:rsid w:val="002C2A4A"/>
    <w:rsid w:val="002D21AB"/>
    <w:rsid w:val="002D4B40"/>
    <w:rsid w:val="002D556F"/>
    <w:rsid w:val="002E1C85"/>
    <w:rsid w:val="003005F8"/>
    <w:rsid w:val="00300F5E"/>
    <w:rsid w:val="0030470B"/>
    <w:rsid w:val="00305CD1"/>
    <w:rsid w:val="00311DDC"/>
    <w:rsid w:val="0031452B"/>
    <w:rsid w:val="00314726"/>
    <w:rsid w:val="00324CD3"/>
    <w:rsid w:val="00326962"/>
    <w:rsid w:val="00331181"/>
    <w:rsid w:val="003318D8"/>
    <w:rsid w:val="00334D29"/>
    <w:rsid w:val="003458F1"/>
    <w:rsid w:val="00362CB3"/>
    <w:rsid w:val="0036418C"/>
    <w:rsid w:val="00367BBB"/>
    <w:rsid w:val="00375C21"/>
    <w:rsid w:val="003769C9"/>
    <w:rsid w:val="00377D5D"/>
    <w:rsid w:val="00381E00"/>
    <w:rsid w:val="003862B4"/>
    <w:rsid w:val="0039289F"/>
    <w:rsid w:val="003A2686"/>
    <w:rsid w:val="003A5AE7"/>
    <w:rsid w:val="003B1830"/>
    <w:rsid w:val="003B705B"/>
    <w:rsid w:val="003B7123"/>
    <w:rsid w:val="003C37D8"/>
    <w:rsid w:val="003C659E"/>
    <w:rsid w:val="003C7A69"/>
    <w:rsid w:val="003C7C67"/>
    <w:rsid w:val="003D14E0"/>
    <w:rsid w:val="003D7E1C"/>
    <w:rsid w:val="003E380C"/>
    <w:rsid w:val="003E578C"/>
    <w:rsid w:val="003E6F38"/>
    <w:rsid w:val="003F1143"/>
    <w:rsid w:val="003F1A82"/>
    <w:rsid w:val="00400E73"/>
    <w:rsid w:val="00402D83"/>
    <w:rsid w:val="00403D72"/>
    <w:rsid w:val="00404F29"/>
    <w:rsid w:val="0040799B"/>
    <w:rsid w:val="004126C7"/>
    <w:rsid w:val="00414C66"/>
    <w:rsid w:val="00415E99"/>
    <w:rsid w:val="00415FB4"/>
    <w:rsid w:val="00416DE9"/>
    <w:rsid w:val="004200EB"/>
    <w:rsid w:val="00421339"/>
    <w:rsid w:val="00423267"/>
    <w:rsid w:val="00427BFB"/>
    <w:rsid w:val="00431B34"/>
    <w:rsid w:val="00433F02"/>
    <w:rsid w:val="00435377"/>
    <w:rsid w:val="00436DBD"/>
    <w:rsid w:val="00442077"/>
    <w:rsid w:val="00446D48"/>
    <w:rsid w:val="00447A19"/>
    <w:rsid w:val="00457BCD"/>
    <w:rsid w:val="00461D9E"/>
    <w:rsid w:val="004703F2"/>
    <w:rsid w:val="00475DB4"/>
    <w:rsid w:val="00476A84"/>
    <w:rsid w:val="0048261C"/>
    <w:rsid w:val="00486148"/>
    <w:rsid w:val="00497200"/>
    <w:rsid w:val="004B6C41"/>
    <w:rsid w:val="004C04B9"/>
    <w:rsid w:val="004C5533"/>
    <w:rsid w:val="004C6F10"/>
    <w:rsid w:val="004D17C8"/>
    <w:rsid w:val="004E264A"/>
    <w:rsid w:val="004E2B74"/>
    <w:rsid w:val="004E362A"/>
    <w:rsid w:val="004E3F7A"/>
    <w:rsid w:val="004E4BFF"/>
    <w:rsid w:val="004E6E26"/>
    <w:rsid w:val="004F322D"/>
    <w:rsid w:val="00517E6D"/>
    <w:rsid w:val="005203B9"/>
    <w:rsid w:val="00533551"/>
    <w:rsid w:val="00536005"/>
    <w:rsid w:val="00541E1F"/>
    <w:rsid w:val="00545723"/>
    <w:rsid w:val="005475BE"/>
    <w:rsid w:val="005545C6"/>
    <w:rsid w:val="005558B1"/>
    <w:rsid w:val="005566E0"/>
    <w:rsid w:val="005627A2"/>
    <w:rsid w:val="005643BE"/>
    <w:rsid w:val="0057170A"/>
    <w:rsid w:val="005761FF"/>
    <w:rsid w:val="0057762D"/>
    <w:rsid w:val="00580D64"/>
    <w:rsid w:val="00581FDD"/>
    <w:rsid w:val="00584E4A"/>
    <w:rsid w:val="00593935"/>
    <w:rsid w:val="005A0F5E"/>
    <w:rsid w:val="005A0FC8"/>
    <w:rsid w:val="005B18A2"/>
    <w:rsid w:val="005C06F4"/>
    <w:rsid w:val="005D100C"/>
    <w:rsid w:val="005D3C5C"/>
    <w:rsid w:val="005D40E4"/>
    <w:rsid w:val="005E4733"/>
    <w:rsid w:val="005E63DD"/>
    <w:rsid w:val="005F3C7B"/>
    <w:rsid w:val="005F50D1"/>
    <w:rsid w:val="005F5E76"/>
    <w:rsid w:val="00600140"/>
    <w:rsid w:val="00600433"/>
    <w:rsid w:val="00602C14"/>
    <w:rsid w:val="00611739"/>
    <w:rsid w:val="0062589B"/>
    <w:rsid w:val="00627892"/>
    <w:rsid w:val="00635CE3"/>
    <w:rsid w:val="00644E75"/>
    <w:rsid w:val="00645768"/>
    <w:rsid w:val="00647C67"/>
    <w:rsid w:val="00647EC3"/>
    <w:rsid w:val="00650522"/>
    <w:rsid w:val="00655407"/>
    <w:rsid w:val="0065559C"/>
    <w:rsid w:val="00657756"/>
    <w:rsid w:val="00661161"/>
    <w:rsid w:val="006630D6"/>
    <w:rsid w:val="00670307"/>
    <w:rsid w:val="00670A2C"/>
    <w:rsid w:val="00672D9D"/>
    <w:rsid w:val="00677056"/>
    <w:rsid w:val="00682F2C"/>
    <w:rsid w:val="00687220"/>
    <w:rsid w:val="00694974"/>
    <w:rsid w:val="006B0B1E"/>
    <w:rsid w:val="006D677C"/>
    <w:rsid w:val="006D77EE"/>
    <w:rsid w:val="006E010B"/>
    <w:rsid w:val="006E16A3"/>
    <w:rsid w:val="006E5167"/>
    <w:rsid w:val="006F41A4"/>
    <w:rsid w:val="00701509"/>
    <w:rsid w:val="00715468"/>
    <w:rsid w:val="0071587C"/>
    <w:rsid w:val="00720E1D"/>
    <w:rsid w:val="00725B22"/>
    <w:rsid w:val="007266DE"/>
    <w:rsid w:val="00735AAD"/>
    <w:rsid w:val="00736790"/>
    <w:rsid w:val="00736A73"/>
    <w:rsid w:val="00741E06"/>
    <w:rsid w:val="00744F47"/>
    <w:rsid w:val="0075172D"/>
    <w:rsid w:val="00757468"/>
    <w:rsid w:val="00763B24"/>
    <w:rsid w:val="00771B41"/>
    <w:rsid w:val="0078170C"/>
    <w:rsid w:val="00781C53"/>
    <w:rsid w:val="00791234"/>
    <w:rsid w:val="007B16AD"/>
    <w:rsid w:val="007B1CF4"/>
    <w:rsid w:val="007B6FA8"/>
    <w:rsid w:val="007C0538"/>
    <w:rsid w:val="007C0B6D"/>
    <w:rsid w:val="007C6662"/>
    <w:rsid w:val="007C681B"/>
    <w:rsid w:val="007C6E8C"/>
    <w:rsid w:val="007D6C13"/>
    <w:rsid w:val="007D7A08"/>
    <w:rsid w:val="007E5A41"/>
    <w:rsid w:val="007E75E1"/>
    <w:rsid w:val="007F0DE7"/>
    <w:rsid w:val="007F248C"/>
    <w:rsid w:val="00805165"/>
    <w:rsid w:val="00812E8E"/>
    <w:rsid w:val="00812F7A"/>
    <w:rsid w:val="00813990"/>
    <w:rsid w:val="00817161"/>
    <w:rsid w:val="0081750D"/>
    <w:rsid w:val="008202A5"/>
    <w:rsid w:val="00820784"/>
    <w:rsid w:val="00822BBC"/>
    <w:rsid w:val="00827C38"/>
    <w:rsid w:val="0083014B"/>
    <w:rsid w:val="00830B92"/>
    <w:rsid w:val="00832BFC"/>
    <w:rsid w:val="008367E4"/>
    <w:rsid w:val="0084131B"/>
    <w:rsid w:val="00845415"/>
    <w:rsid w:val="00847A53"/>
    <w:rsid w:val="00850B9A"/>
    <w:rsid w:val="008569CC"/>
    <w:rsid w:val="00857D5F"/>
    <w:rsid w:val="00857FBA"/>
    <w:rsid w:val="00863E24"/>
    <w:rsid w:val="008661ED"/>
    <w:rsid w:val="0086660F"/>
    <w:rsid w:val="00875FAA"/>
    <w:rsid w:val="00876254"/>
    <w:rsid w:val="00881049"/>
    <w:rsid w:val="008815D3"/>
    <w:rsid w:val="00882F84"/>
    <w:rsid w:val="008859F6"/>
    <w:rsid w:val="00890F55"/>
    <w:rsid w:val="00891022"/>
    <w:rsid w:val="00895B6B"/>
    <w:rsid w:val="008A4016"/>
    <w:rsid w:val="008B3E01"/>
    <w:rsid w:val="008B485D"/>
    <w:rsid w:val="008B4A2B"/>
    <w:rsid w:val="008C051F"/>
    <w:rsid w:val="008C55F5"/>
    <w:rsid w:val="008C5CD5"/>
    <w:rsid w:val="008D41B6"/>
    <w:rsid w:val="008D7159"/>
    <w:rsid w:val="008E0159"/>
    <w:rsid w:val="008E1FED"/>
    <w:rsid w:val="008E438C"/>
    <w:rsid w:val="008E548B"/>
    <w:rsid w:val="008E71C0"/>
    <w:rsid w:val="008E7978"/>
    <w:rsid w:val="008F2B34"/>
    <w:rsid w:val="00900CBC"/>
    <w:rsid w:val="0090460A"/>
    <w:rsid w:val="009047CF"/>
    <w:rsid w:val="00907A18"/>
    <w:rsid w:val="009127DF"/>
    <w:rsid w:val="00920A75"/>
    <w:rsid w:val="009310E4"/>
    <w:rsid w:val="00935FDA"/>
    <w:rsid w:val="009370FF"/>
    <w:rsid w:val="00940A09"/>
    <w:rsid w:val="009419BD"/>
    <w:rsid w:val="00942780"/>
    <w:rsid w:val="0095012D"/>
    <w:rsid w:val="009526F2"/>
    <w:rsid w:val="009530F3"/>
    <w:rsid w:val="00953AFF"/>
    <w:rsid w:val="009562AC"/>
    <w:rsid w:val="00956B53"/>
    <w:rsid w:val="00957DE6"/>
    <w:rsid w:val="009623A8"/>
    <w:rsid w:val="00963B3D"/>
    <w:rsid w:val="00963C4E"/>
    <w:rsid w:val="00964662"/>
    <w:rsid w:val="00974CEF"/>
    <w:rsid w:val="00975C34"/>
    <w:rsid w:val="00983D88"/>
    <w:rsid w:val="00995924"/>
    <w:rsid w:val="009A2D24"/>
    <w:rsid w:val="009B3B75"/>
    <w:rsid w:val="009C3E0F"/>
    <w:rsid w:val="009C6C08"/>
    <w:rsid w:val="009C78CB"/>
    <w:rsid w:val="009D0314"/>
    <w:rsid w:val="009E14DF"/>
    <w:rsid w:val="009E2489"/>
    <w:rsid w:val="009E408F"/>
    <w:rsid w:val="009E5325"/>
    <w:rsid w:val="00A04061"/>
    <w:rsid w:val="00A051D4"/>
    <w:rsid w:val="00A10F17"/>
    <w:rsid w:val="00A11D15"/>
    <w:rsid w:val="00A163B4"/>
    <w:rsid w:val="00A16514"/>
    <w:rsid w:val="00A22229"/>
    <w:rsid w:val="00A2357B"/>
    <w:rsid w:val="00A24CBC"/>
    <w:rsid w:val="00A274F7"/>
    <w:rsid w:val="00A32DEE"/>
    <w:rsid w:val="00A351FB"/>
    <w:rsid w:val="00A3655D"/>
    <w:rsid w:val="00A42CFF"/>
    <w:rsid w:val="00A441CD"/>
    <w:rsid w:val="00A45B23"/>
    <w:rsid w:val="00A4671B"/>
    <w:rsid w:val="00A5094D"/>
    <w:rsid w:val="00A51001"/>
    <w:rsid w:val="00A52855"/>
    <w:rsid w:val="00A706E6"/>
    <w:rsid w:val="00A74DAA"/>
    <w:rsid w:val="00A76A1D"/>
    <w:rsid w:val="00A83FBB"/>
    <w:rsid w:val="00A87DA9"/>
    <w:rsid w:val="00A95820"/>
    <w:rsid w:val="00AA55A3"/>
    <w:rsid w:val="00AA7B44"/>
    <w:rsid w:val="00AB015E"/>
    <w:rsid w:val="00AB030D"/>
    <w:rsid w:val="00AB1EE2"/>
    <w:rsid w:val="00AB76F1"/>
    <w:rsid w:val="00AC056B"/>
    <w:rsid w:val="00AC4484"/>
    <w:rsid w:val="00AC4A82"/>
    <w:rsid w:val="00AC4D2F"/>
    <w:rsid w:val="00AC5E07"/>
    <w:rsid w:val="00AD1FCE"/>
    <w:rsid w:val="00AE12C3"/>
    <w:rsid w:val="00AE37C9"/>
    <w:rsid w:val="00AE60B5"/>
    <w:rsid w:val="00AE7F3E"/>
    <w:rsid w:val="00AF4672"/>
    <w:rsid w:val="00B01902"/>
    <w:rsid w:val="00B04B64"/>
    <w:rsid w:val="00B15020"/>
    <w:rsid w:val="00B160DF"/>
    <w:rsid w:val="00B21199"/>
    <w:rsid w:val="00B21F61"/>
    <w:rsid w:val="00B24589"/>
    <w:rsid w:val="00B256E6"/>
    <w:rsid w:val="00B3633C"/>
    <w:rsid w:val="00B512E4"/>
    <w:rsid w:val="00B6223A"/>
    <w:rsid w:val="00B66C5B"/>
    <w:rsid w:val="00B70E76"/>
    <w:rsid w:val="00B7720A"/>
    <w:rsid w:val="00B84188"/>
    <w:rsid w:val="00B8640F"/>
    <w:rsid w:val="00B91A45"/>
    <w:rsid w:val="00B925FC"/>
    <w:rsid w:val="00BA269D"/>
    <w:rsid w:val="00BB04C8"/>
    <w:rsid w:val="00BC56FA"/>
    <w:rsid w:val="00BC6D5F"/>
    <w:rsid w:val="00BD39DD"/>
    <w:rsid w:val="00BE2A09"/>
    <w:rsid w:val="00BE560E"/>
    <w:rsid w:val="00BF5407"/>
    <w:rsid w:val="00C1576D"/>
    <w:rsid w:val="00C17A5F"/>
    <w:rsid w:val="00C20E8D"/>
    <w:rsid w:val="00C221EA"/>
    <w:rsid w:val="00C229DC"/>
    <w:rsid w:val="00C22C5A"/>
    <w:rsid w:val="00C2323C"/>
    <w:rsid w:val="00C234DC"/>
    <w:rsid w:val="00C23EDB"/>
    <w:rsid w:val="00C30536"/>
    <w:rsid w:val="00C428F4"/>
    <w:rsid w:val="00C560EC"/>
    <w:rsid w:val="00C62A41"/>
    <w:rsid w:val="00C65434"/>
    <w:rsid w:val="00C6773E"/>
    <w:rsid w:val="00C70407"/>
    <w:rsid w:val="00C707F4"/>
    <w:rsid w:val="00C71ADE"/>
    <w:rsid w:val="00C74F63"/>
    <w:rsid w:val="00C80D09"/>
    <w:rsid w:val="00C81593"/>
    <w:rsid w:val="00C84394"/>
    <w:rsid w:val="00C85E9C"/>
    <w:rsid w:val="00C938AE"/>
    <w:rsid w:val="00C97D92"/>
    <w:rsid w:val="00C97F05"/>
    <w:rsid w:val="00CA16B1"/>
    <w:rsid w:val="00CA377D"/>
    <w:rsid w:val="00CA5111"/>
    <w:rsid w:val="00CC0000"/>
    <w:rsid w:val="00CC1171"/>
    <w:rsid w:val="00CC2DDA"/>
    <w:rsid w:val="00CC586A"/>
    <w:rsid w:val="00CC5FA2"/>
    <w:rsid w:val="00CE1114"/>
    <w:rsid w:val="00CE3AAE"/>
    <w:rsid w:val="00CF0EFF"/>
    <w:rsid w:val="00CF5675"/>
    <w:rsid w:val="00D012E4"/>
    <w:rsid w:val="00D01FEC"/>
    <w:rsid w:val="00D02A3B"/>
    <w:rsid w:val="00D05128"/>
    <w:rsid w:val="00D05162"/>
    <w:rsid w:val="00D10A0B"/>
    <w:rsid w:val="00D10FE8"/>
    <w:rsid w:val="00D15640"/>
    <w:rsid w:val="00D34597"/>
    <w:rsid w:val="00D37269"/>
    <w:rsid w:val="00D376FD"/>
    <w:rsid w:val="00D41A6A"/>
    <w:rsid w:val="00D437F5"/>
    <w:rsid w:val="00D454F5"/>
    <w:rsid w:val="00D50732"/>
    <w:rsid w:val="00D50FC3"/>
    <w:rsid w:val="00D560B7"/>
    <w:rsid w:val="00D62335"/>
    <w:rsid w:val="00D633D5"/>
    <w:rsid w:val="00D6511C"/>
    <w:rsid w:val="00D70BE5"/>
    <w:rsid w:val="00D71745"/>
    <w:rsid w:val="00D72B1C"/>
    <w:rsid w:val="00D7495A"/>
    <w:rsid w:val="00D761D6"/>
    <w:rsid w:val="00D770A5"/>
    <w:rsid w:val="00D804AB"/>
    <w:rsid w:val="00D818EA"/>
    <w:rsid w:val="00D836C5"/>
    <w:rsid w:val="00D83AD1"/>
    <w:rsid w:val="00D84502"/>
    <w:rsid w:val="00D86EC6"/>
    <w:rsid w:val="00D93654"/>
    <w:rsid w:val="00D95C28"/>
    <w:rsid w:val="00DA2012"/>
    <w:rsid w:val="00DA3437"/>
    <w:rsid w:val="00DA507D"/>
    <w:rsid w:val="00DA5C86"/>
    <w:rsid w:val="00DA6AFA"/>
    <w:rsid w:val="00DB05FB"/>
    <w:rsid w:val="00DB34F2"/>
    <w:rsid w:val="00DB3F05"/>
    <w:rsid w:val="00DC4D22"/>
    <w:rsid w:val="00DC589E"/>
    <w:rsid w:val="00DC5DE5"/>
    <w:rsid w:val="00DC5DF3"/>
    <w:rsid w:val="00DC7CA2"/>
    <w:rsid w:val="00DD0BBE"/>
    <w:rsid w:val="00DD0F90"/>
    <w:rsid w:val="00DD2887"/>
    <w:rsid w:val="00DD727F"/>
    <w:rsid w:val="00DE66C4"/>
    <w:rsid w:val="00DF1F35"/>
    <w:rsid w:val="00DF4E58"/>
    <w:rsid w:val="00E0112B"/>
    <w:rsid w:val="00E10234"/>
    <w:rsid w:val="00E15A80"/>
    <w:rsid w:val="00E24FC5"/>
    <w:rsid w:val="00E3196D"/>
    <w:rsid w:val="00E31A98"/>
    <w:rsid w:val="00E31DDD"/>
    <w:rsid w:val="00E3331A"/>
    <w:rsid w:val="00E511DB"/>
    <w:rsid w:val="00E639E3"/>
    <w:rsid w:val="00E65232"/>
    <w:rsid w:val="00E66330"/>
    <w:rsid w:val="00E66449"/>
    <w:rsid w:val="00E72BF1"/>
    <w:rsid w:val="00E80643"/>
    <w:rsid w:val="00E83C72"/>
    <w:rsid w:val="00E90BED"/>
    <w:rsid w:val="00E926C5"/>
    <w:rsid w:val="00EA1974"/>
    <w:rsid w:val="00EA22D3"/>
    <w:rsid w:val="00EA25E3"/>
    <w:rsid w:val="00EB07DC"/>
    <w:rsid w:val="00EB33F5"/>
    <w:rsid w:val="00EB4890"/>
    <w:rsid w:val="00EB66E2"/>
    <w:rsid w:val="00EC0D0C"/>
    <w:rsid w:val="00EC6903"/>
    <w:rsid w:val="00ED658E"/>
    <w:rsid w:val="00ED6833"/>
    <w:rsid w:val="00EE4E3C"/>
    <w:rsid w:val="00EF617E"/>
    <w:rsid w:val="00F060D0"/>
    <w:rsid w:val="00F06720"/>
    <w:rsid w:val="00F12BB9"/>
    <w:rsid w:val="00F15344"/>
    <w:rsid w:val="00F207B5"/>
    <w:rsid w:val="00F21114"/>
    <w:rsid w:val="00F23E2E"/>
    <w:rsid w:val="00F244C3"/>
    <w:rsid w:val="00F250E4"/>
    <w:rsid w:val="00F33507"/>
    <w:rsid w:val="00F440F2"/>
    <w:rsid w:val="00F4467D"/>
    <w:rsid w:val="00F4507B"/>
    <w:rsid w:val="00F50991"/>
    <w:rsid w:val="00F52A2E"/>
    <w:rsid w:val="00F5671A"/>
    <w:rsid w:val="00F63BF4"/>
    <w:rsid w:val="00F651C2"/>
    <w:rsid w:val="00F67905"/>
    <w:rsid w:val="00F709A2"/>
    <w:rsid w:val="00F7381E"/>
    <w:rsid w:val="00F8328A"/>
    <w:rsid w:val="00F85E9D"/>
    <w:rsid w:val="00F87375"/>
    <w:rsid w:val="00F87593"/>
    <w:rsid w:val="00F9528F"/>
    <w:rsid w:val="00F975A0"/>
    <w:rsid w:val="00FA268A"/>
    <w:rsid w:val="00FA3D77"/>
    <w:rsid w:val="00FD004D"/>
    <w:rsid w:val="00FD3872"/>
    <w:rsid w:val="00FE4682"/>
    <w:rsid w:val="00FE47A6"/>
    <w:rsid w:val="00FE5900"/>
    <w:rsid w:val="00FE6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B20B8"/>
  <w15:docId w15:val="{A02CF704-50C6-4B0A-AE0D-4FFDF3AC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48"/>
    <w:pPr>
      <w:jc w:val="both"/>
    </w:pPr>
    <w:rPr>
      <w:rFonts w:ascii="Verdana" w:eastAsia="Batang" w:hAnsi="Verdana" w:cs="Times"/>
      <w:szCs w:val="24"/>
      <w:lang w:val="es-ES"/>
    </w:rPr>
  </w:style>
  <w:style w:type="paragraph" w:styleId="Ttulo1">
    <w:name w:val="heading 1"/>
    <w:basedOn w:val="Normal"/>
    <w:next w:val="Normal"/>
    <w:link w:val="Ttulo1Car"/>
    <w:uiPriority w:val="9"/>
    <w:qFormat/>
    <w:rsid w:val="00446D48"/>
    <w:pPr>
      <w:keepNext/>
      <w:keepLines/>
      <w:spacing w:before="360" w:after="360"/>
      <w:jc w:val="center"/>
      <w:outlineLvl w:val="0"/>
    </w:pPr>
    <w:rPr>
      <w:rFonts w:eastAsia="Times New Roman" w:cs="Times New Roman"/>
      <w:b/>
      <w:bCs/>
      <w:caps/>
      <w:noProof/>
      <w:snapToGrid w:val="0"/>
      <w:szCs w:val="20"/>
      <w:lang w:val="es-CR" w:eastAsia="es-ES"/>
    </w:rPr>
  </w:style>
  <w:style w:type="paragraph" w:styleId="Ttulo2">
    <w:name w:val="heading 2"/>
    <w:basedOn w:val="Normal"/>
    <w:next w:val="Normal"/>
    <w:link w:val="Ttulo2Car"/>
    <w:uiPriority w:val="9"/>
    <w:qFormat/>
    <w:rsid w:val="00446D48"/>
    <w:pPr>
      <w:keepNext/>
      <w:keepLines/>
      <w:numPr>
        <w:numId w:val="5"/>
      </w:numPr>
      <w:spacing w:before="240" w:after="240"/>
      <w:outlineLvl w:val="1"/>
    </w:pPr>
    <w:rPr>
      <w:rFonts w:eastAsia="Times New Roman" w:cs="Times New Roman"/>
      <w:b/>
      <w:bCs/>
      <w:i/>
      <w:noProof/>
      <w:szCs w:val="20"/>
      <w:lang w:val="es-ES_tradnl" w:eastAsia="x-none"/>
    </w:rPr>
  </w:style>
  <w:style w:type="paragraph" w:styleId="Ttulo3">
    <w:name w:val="heading 3"/>
    <w:basedOn w:val="Normal"/>
    <w:next w:val="Normal"/>
    <w:link w:val="Ttulo3Car"/>
    <w:uiPriority w:val="9"/>
    <w:qFormat/>
    <w:rsid w:val="00446D48"/>
    <w:pPr>
      <w:keepNext/>
      <w:spacing w:before="240" w:after="240"/>
      <w:ind w:left="1068"/>
      <w:outlineLvl w:val="2"/>
    </w:pPr>
    <w:rPr>
      <w:rFonts w:eastAsia="Times New Roman" w:cs="Times New Roman"/>
      <w:bCs/>
      <w:i/>
      <w:noProof/>
      <w:szCs w:val="20"/>
      <w:lang w:val="es-ES_tradnl" w:eastAsia="x-none"/>
    </w:rPr>
  </w:style>
  <w:style w:type="paragraph" w:styleId="Ttulo4">
    <w:name w:val="heading 4"/>
    <w:basedOn w:val="Normal"/>
    <w:next w:val="Normal"/>
    <w:link w:val="Ttulo4Car"/>
    <w:uiPriority w:val="9"/>
    <w:qFormat/>
    <w:rsid w:val="00446D48"/>
    <w:pPr>
      <w:keepNext/>
      <w:keepLines/>
      <w:spacing w:before="240" w:after="240"/>
      <w:ind w:left="1418" w:firstLine="709"/>
      <w:outlineLvl w:val="3"/>
    </w:pPr>
    <w:rPr>
      <w:rFonts w:eastAsia="Times New Roman" w:cs="Times New Roman"/>
      <w:bCs/>
      <w:i/>
      <w:iCs/>
      <w:noProof/>
      <w:lang w:val="es-ES_tradnl" w:eastAsia="x-none"/>
    </w:rPr>
  </w:style>
  <w:style w:type="paragraph" w:styleId="Ttulo5">
    <w:name w:val="heading 5"/>
    <w:basedOn w:val="Normal"/>
    <w:next w:val="Normal"/>
    <w:link w:val="Ttulo5Car"/>
    <w:uiPriority w:val="9"/>
    <w:qFormat/>
    <w:rsid w:val="00446D48"/>
    <w:pPr>
      <w:keepNext/>
      <w:keepLines/>
      <w:numPr>
        <w:numId w:val="7"/>
      </w:numPr>
      <w:spacing w:before="240" w:after="240"/>
      <w:outlineLvl w:val="4"/>
    </w:pPr>
    <w:rPr>
      <w:rFonts w:eastAsia="Times New Roman" w:cs="Times New Roman"/>
      <w:i/>
      <w:noProof/>
      <w:lang w:val="es-ES_tradnl" w:eastAsia="x-none"/>
    </w:rPr>
  </w:style>
  <w:style w:type="paragraph" w:styleId="Ttulo7">
    <w:name w:val="heading 7"/>
    <w:basedOn w:val="Normal"/>
    <w:next w:val="Normal"/>
    <w:link w:val="Ttulo7Car"/>
    <w:uiPriority w:val="9"/>
    <w:qFormat/>
    <w:rsid w:val="00446D48"/>
    <w:pPr>
      <w:keepNext/>
      <w:keepLines/>
      <w:spacing w:before="200"/>
      <w:outlineLvl w:val="6"/>
    </w:pPr>
    <w:rPr>
      <w:rFonts w:ascii="Cambria" w:eastAsia="Times New Roman" w:hAnsi="Cambria" w:cs="Times New Roman"/>
      <w:i/>
      <w:iCs/>
      <w:noProof/>
      <w:color w:val="40404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46D48"/>
    <w:rPr>
      <w:rFonts w:ascii="Verdana" w:eastAsia="Times New Roman" w:hAnsi="Verdana" w:cs="Verdana"/>
      <w:b/>
      <w:bCs/>
      <w:caps/>
      <w:noProof/>
      <w:snapToGrid w:val="0"/>
      <w:sz w:val="20"/>
      <w:szCs w:val="20"/>
      <w:lang w:val="es-CR" w:eastAsia="es-ES"/>
    </w:rPr>
  </w:style>
  <w:style w:type="character" w:customStyle="1" w:styleId="Ttulo2Car">
    <w:name w:val="Título 2 Car"/>
    <w:link w:val="Ttulo2"/>
    <w:uiPriority w:val="9"/>
    <w:rsid w:val="00446D48"/>
    <w:rPr>
      <w:rFonts w:ascii="Verdana" w:eastAsia="Times New Roman" w:hAnsi="Verdana"/>
      <w:b/>
      <w:bCs/>
      <w:i/>
      <w:noProof/>
      <w:lang w:val="es-ES_tradnl" w:eastAsia="x-none"/>
    </w:rPr>
  </w:style>
  <w:style w:type="character" w:customStyle="1" w:styleId="Ttulo3Car">
    <w:name w:val="Título 3 Car"/>
    <w:link w:val="Ttulo3"/>
    <w:uiPriority w:val="9"/>
    <w:rsid w:val="00446D48"/>
    <w:rPr>
      <w:rFonts w:ascii="Verdana" w:eastAsia="Times New Roman" w:hAnsi="Verdana" w:cs="Times New Roman"/>
      <w:bCs/>
      <w:i/>
      <w:noProof/>
      <w:sz w:val="20"/>
      <w:szCs w:val="20"/>
      <w:lang w:val="es-ES_tradnl"/>
    </w:rPr>
  </w:style>
  <w:style w:type="character" w:customStyle="1" w:styleId="Ttulo4Car">
    <w:name w:val="Título 4 Car"/>
    <w:link w:val="Ttulo4"/>
    <w:uiPriority w:val="9"/>
    <w:rsid w:val="00446D48"/>
    <w:rPr>
      <w:rFonts w:ascii="Verdana" w:eastAsia="Times New Roman" w:hAnsi="Verdana" w:cs="Times New Roman"/>
      <w:bCs/>
      <w:i/>
      <w:iCs/>
      <w:noProof/>
      <w:sz w:val="20"/>
      <w:szCs w:val="24"/>
      <w:lang w:val="es-ES_tradnl"/>
    </w:rPr>
  </w:style>
  <w:style w:type="character" w:customStyle="1" w:styleId="Ttulo5Car">
    <w:name w:val="Título 5 Car"/>
    <w:link w:val="Ttulo5"/>
    <w:uiPriority w:val="9"/>
    <w:rsid w:val="00446D48"/>
    <w:rPr>
      <w:rFonts w:ascii="Verdana" w:eastAsia="Times New Roman" w:hAnsi="Verdana"/>
      <w:i/>
      <w:noProof/>
      <w:szCs w:val="24"/>
      <w:lang w:val="es-ES_tradnl" w:eastAsia="x-none"/>
    </w:rPr>
  </w:style>
  <w:style w:type="character" w:customStyle="1" w:styleId="Ttulo7Car">
    <w:name w:val="Título 7 Car"/>
    <w:link w:val="Ttulo7"/>
    <w:uiPriority w:val="9"/>
    <w:semiHidden/>
    <w:rsid w:val="00446D48"/>
    <w:rPr>
      <w:rFonts w:ascii="Cambria" w:eastAsia="Times New Roman" w:hAnsi="Cambria" w:cs="Times New Roman"/>
      <w:i/>
      <w:iCs/>
      <w:noProof/>
      <w:color w:val="404040"/>
      <w:sz w:val="20"/>
      <w:szCs w:val="24"/>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446D48"/>
    <w:rPr>
      <w:rFonts w:cs="Times New Roman"/>
      <w:szCs w:val="20"/>
      <w:vertAlign w:val="superscript"/>
    </w:rPr>
  </w:style>
  <w:style w:type="paragraph" w:styleId="Ttulo">
    <w:name w:val="Title"/>
    <w:basedOn w:val="Normal"/>
    <w:link w:val="TtuloCar"/>
    <w:uiPriority w:val="99"/>
    <w:qFormat/>
    <w:rsid w:val="00446D48"/>
    <w:pPr>
      <w:jc w:val="center"/>
    </w:pPr>
    <w:rPr>
      <w:rFonts w:eastAsia="Times New Roman" w:cs="Times New Roman"/>
      <w:b/>
      <w:noProof/>
      <w:szCs w:val="20"/>
      <w:lang w:val="es-ES_tradnl" w:eastAsia="x-none"/>
    </w:rPr>
  </w:style>
  <w:style w:type="character" w:customStyle="1" w:styleId="TtuloCar">
    <w:name w:val="Título Car"/>
    <w:link w:val="Ttulo"/>
    <w:uiPriority w:val="99"/>
    <w:rsid w:val="00446D48"/>
    <w:rPr>
      <w:rFonts w:ascii="Verdana" w:eastAsia="Times New Roman" w:hAnsi="Verdana" w:cs="Times New Roman"/>
      <w:b/>
      <w:noProof/>
      <w:sz w:val="20"/>
      <w:szCs w:val="20"/>
      <w:lang w:val="es-ES_tradnl"/>
    </w:rPr>
  </w:style>
  <w:style w:type="paragraph" w:styleId="Subttulo">
    <w:name w:val="Subtitle"/>
    <w:basedOn w:val="Normal"/>
    <w:next w:val="Normal"/>
    <w:link w:val="SubttuloCar"/>
    <w:qFormat/>
    <w:rsid w:val="00446D48"/>
    <w:pPr>
      <w:numPr>
        <w:ilvl w:val="1"/>
      </w:numPr>
      <w:jc w:val="center"/>
    </w:pPr>
    <w:rPr>
      <w:rFonts w:eastAsia="Times New Roman" w:cs="Times New Roman"/>
      <w:b/>
      <w:i/>
      <w:iCs/>
      <w:noProof/>
      <w:spacing w:val="15"/>
      <w:lang w:val="es-ES_tradnl" w:eastAsia="x-none"/>
    </w:rPr>
  </w:style>
  <w:style w:type="character" w:customStyle="1" w:styleId="SubttuloCar">
    <w:name w:val="Subtítulo Car"/>
    <w:link w:val="Subttulo"/>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rsid w:val="00446D48"/>
    <w:pPr>
      <w:ind w:left="708"/>
    </w:pPr>
    <w:rPr>
      <w:rFonts w:eastAsia="Times New Roman" w:cs="Times New Roman"/>
      <w:szCs w:val="20"/>
    </w:rPr>
  </w:style>
  <w:style w:type="paragraph" w:customStyle="1" w:styleId="MediumGrid1-Accent21">
    <w:name w:val="Medium Grid 1 - Accent 21"/>
    <w:aliases w:val="Footnote,List Paragraph1,Colorful List - Accent 11,Párrafo de lista1"/>
    <w:basedOn w:val="Normal"/>
    <w:link w:val="MediumGrid1-Accent2Char"/>
    <w:qFormat/>
    <w:rsid w:val="00446D48"/>
    <w:pPr>
      <w:ind w:left="720"/>
      <w:contextualSpacing/>
    </w:pPr>
    <w:rPr>
      <w:rFonts w:cs="Times New Roman"/>
      <w:noProof/>
      <w:lang w:val="es-ES_tradnl" w:eastAsia="x-none"/>
    </w:r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
    <w:link w:val="MediumGrid1-Accent21"/>
    <w:uiPriority w:val="34"/>
    <w:locked/>
    <w:rsid w:val="00446D48"/>
    <w:rPr>
      <w:rFonts w:ascii="Verdana" w:eastAsia="Batang" w:hAnsi="Verdana" w:cs="Times"/>
      <w:noProof/>
      <w:sz w:val="20"/>
      <w:szCs w:val="24"/>
      <w:lang w:val="es-ES_tradnl"/>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Texto nota pie Car,Ca,C,ft,5"/>
    <w:basedOn w:val="Normal"/>
    <w:link w:val="TextonotapieCar1"/>
    <w:unhideWhenUsed/>
    <w:qFormat/>
    <w:rsid w:val="00446D48"/>
    <w:pPr>
      <w:spacing w:before="120" w:after="120"/>
    </w:pPr>
    <w:rPr>
      <w:rFonts w:cs="Times New Roman"/>
      <w:noProof/>
      <w:sz w:val="16"/>
      <w:szCs w:val="20"/>
      <w:lang w:val="es-ES_tradnl" w:eastAsia="x-none"/>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rsid w:val="00446D48"/>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link w:val="Textonotapie"/>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rFonts w:cs="Times New Roman"/>
      <w:i/>
      <w:noProof/>
      <w:lang w:val="es-ES_tradnl" w:eastAsia="x-none"/>
    </w:rPr>
  </w:style>
  <w:style w:type="character" w:customStyle="1" w:styleId="Estilo1Car">
    <w:name w:val="Estilo1 Car"/>
    <w:link w:val="Estilo1"/>
    <w:rsid w:val="00446D48"/>
    <w:rPr>
      <w:rFonts w:ascii="Verdana" w:eastAsia="Batang" w:hAnsi="Verdana" w:cs="Times"/>
      <w:i/>
      <w:noProof/>
      <w:sz w:val="20"/>
      <w:szCs w:val="24"/>
      <w:lang w:val="es-ES_tradnl"/>
    </w:rPr>
  </w:style>
  <w:style w:type="paragraph" w:customStyle="1" w:styleId="Style1">
    <w:name w:val="Style1"/>
    <w:basedOn w:val="Ttulo1"/>
    <w:link w:val="Style1Char"/>
    <w:qFormat/>
    <w:rsid w:val="00446D48"/>
    <w:pPr>
      <w:spacing w:before="0"/>
    </w:pPr>
    <w:rPr>
      <w:b w:val="0"/>
      <w:bCs w:val="0"/>
      <w:caps w:val="0"/>
      <w:lang w:val="es-ES"/>
    </w:rPr>
  </w:style>
  <w:style w:type="character" w:customStyle="1" w:styleId="Style1Char">
    <w:name w:val="Style1 Char"/>
    <w:link w:val="Style1"/>
    <w:rsid w:val="00446D48"/>
    <w:rPr>
      <w:rFonts w:ascii="Verdana" w:eastAsia="Times New Roman" w:hAnsi="Verdana" w:cs="Verdana"/>
      <w:b w:val="0"/>
      <w:bCs w:val="0"/>
      <w:caps w:val="0"/>
      <w:noProof/>
      <w:snapToGrid w:val="0"/>
      <w:sz w:val="20"/>
      <w:szCs w:val="20"/>
      <w:lang w:val="es-ES" w:eastAsia="es-ES"/>
    </w:rPr>
  </w:style>
  <w:style w:type="paragraph" w:customStyle="1" w:styleId="Estilo7">
    <w:name w:val="Estilo7"/>
    <w:basedOn w:val="Normal"/>
    <w:qFormat/>
    <w:rsid w:val="00446D48"/>
    <w:pPr>
      <w:numPr>
        <w:ilvl w:val="2"/>
        <w:numId w:val="4"/>
      </w:numPr>
      <w:tabs>
        <w:tab w:val="left" w:pos="567"/>
        <w:tab w:val="left" w:pos="851"/>
      </w:tabs>
      <w:spacing w:before="120" w:after="120"/>
    </w:pPr>
    <w:rPr>
      <w:rFonts w:cs="Times New Roman"/>
      <w:b/>
      <w:i/>
      <w:szCs w:val="20"/>
      <w:lang w:eastAsia="es-MX"/>
    </w:rPr>
  </w:style>
  <w:style w:type="paragraph" w:customStyle="1" w:styleId="Footnotes">
    <w:name w:val="**. Footnotes"/>
    <w:basedOn w:val="Textonotapie"/>
    <w:link w:val="FootnotesChar"/>
    <w:autoRedefine/>
    <w:qFormat/>
    <w:rsid w:val="00446D48"/>
    <w:rPr>
      <w:rFonts w:eastAsia="Times New Roman"/>
      <w:bCs/>
      <w:iCs/>
      <w:szCs w:val="16"/>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ipervnculo">
    <w:name w:val="Hyperlink"/>
    <w:uiPriority w:val="99"/>
    <w:unhideWhenUsed/>
    <w:rsid w:val="00446D48"/>
    <w:rPr>
      <w:color w:val="0000FF"/>
      <w:u w:val="single"/>
    </w:rPr>
  </w:style>
  <w:style w:type="paragraph" w:customStyle="1" w:styleId="Style2">
    <w:name w:val="Style2"/>
    <w:basedOn w:val="Ttulo2"/>
    <w:link w:val="Style2Char"/>
    <w:autoRedefine/>
    <w:qFormat/>
    <w:rsid w:val="00446D48"/>
    <w:pPr>
      <w:numPr>
        <w:numId w:val="0"/>
      </w:numPr>
      <w:spacing w:before="360"/>
    </w:pPr>
    <w:rPr>
      <w:b w:val="0"/>
      <w:bCs w:val="0"/>
      <w:i w:val="0"/>
      <w:lang w:val="es-CR"/>
    </w:rPr>
  </w:style>
  <w:style w:type="paragraph" w:customStyle="1" w:styleId="Default">
    <w:name w:val="Default"/>
    <w:rsid w:val="00446D48"/>
    <w:pPr>
      <w:autoSpaceDE w:val="0"/>
      <w:autoSpaceDN w:val="0"/>
      <w:adjustRightInd w:val="0"/>
    </w:pPr>
    <w:rPr>
      <w:rFonts w:ascii="Verdana" w:hAnsi="Verdana" w:cs="Verdana"/>
      <w:color w:val="000000"/>
      <w:sz w:val="24"/>
      <w:szCs w:val="24"/>
    </w:rPr>
  </w:style>
  <w:style w:type="character" w:customStyle="1" w:styleId="Style2Char">
    <w:name w:val="Style2 Char"/>
    <w:link w:val="Style2"/>
    <w:rsid w:val="00446D48"/>
    <w:rPr>
      <w:rFonts w:ascii="Verdana" w:eastAsia="Times New Roman" w:hAnsi="Verdana" w:cs="Times New Roman"/>
      <w:b w:val="0"/>
      <w:bCs w:val="0"/>
      <w:i w:val="0"/>
      <w:noProof/>
      <w:sz w:val="20"/>
      <w:szCs w:val="20"/>
      <w:lang w:val="es-CR"/>
    </w:rPr>
  </w:style>
  <w:style w:type="paragraph" w:styleId="TDC1">
    <w:name w:val="toc 1"/>
    <w:basedOn w:val="Normal"/>
    <w:next w:val="Normal"/>
    <w:autoRedefine/>
    <w:uiPriority w:val="39"/>
    <w:unhideWhenUsed/>
    <w:rsid w:val="00446D48"/>
    <w:pPr>
      <w:tabs>
        <w:tab w:val="right" w:leader="dot" w:pos="9356"/>
      </w:tabs>
      <w:spacing w:before="60" w:after="60"/>
    </w:pPr>
    <w:rPr>
      <w:b/>
      <w:sz w:val="18"/>
    </w:rPr>
  </w:style>
  <w:style w:type="paragraph" w:styleId="TDC2">
    <w:name w:val="toc 2"/>
    <w:basedOn w:val="Normal"/>
    <w:next w:val="Normal"/>
    <w:autoRedefine/>
    <w:uiPriority w:val="39"/>
    <w:unhideWhenUsed/>
    <w:rsid w:val="00446D48"/>
    <w:pPr>
      <w:tabs>
        <w:tab w:val="left" w:pos="426"/>
        <w:tab w:val="right" w:leader="dot" w:pos="9356"/>
      </w:tabs>
      <w:spacing w:before="60" w:after="60"/>
      <w:ind w:left="142"/>
      <w:contextualSpacing/>
    </w:pPr>
    <w:rPr>
      <w:smallCaps/>
      <w:sz w:val="18"/>
    </w:rPr>
  </w:style>
  <w:style w:type="paragraph" w:styleId="TD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DC4">
    <w:name w:val="toc 4"/>
    <w:basedOn w:val="Normal"/>
    <w:next w:val="Normal"/>
    <w:autoRedefine/>
    <w:uiPriority w:val="39"/>
    <w:unhideWhenUsed/>
    <w:rsid w:val="00446D48"/>
    <w:pPr>
      <w:spacing w:before="60" w:after="60"/>
      <w:ind w:left="601"/>
      <w:contextualSpacing/>
    </w:pPr>
    <w:rPr>
      <w:sz w:val="18"/>
    </w:rPr>
  </w:style>
  <w:style w:type="paragraph" w:styleId="TDC5">
    <w:name w:val="toc 5"/>
    <w:basedOn w:val="Normal"/>
    <w:next w:val="Normal"/>
    <w:autoRedefine/>
    <w:uiPriority w:val="39"/>
    <w:unhideWhenUsed/>
    <w:rsid w:val="00446D48"/>
    <w:pPr>
      <w:spacing w:before="60" w:after="60"/>
      <w:ind w:left="799"/>
      <w:contextualSpacing/>
    </w:pPr>
    <w:rPr>
      <w:sz w:val="18"/>
    </w:rPr>
  </w:style>
  <w:style w:type="paragraph" w:customStyle="1" w:styleId="Encabezadodetabladecontenido">
    <w:name w:val="Encabezado de tabla de contenido"/>
    <w:basedOn w:val="Ttulo1"/>
    <w:next w:val="Normal"/>
    <w:uiPriority w:val="39"/>
    <w:semiHidden/>
    <w:unhideWhenUsed/>
    <w:qFormat/>
    <w:rsid w:val="00446D48"/>
    <w:pPr>
      <w:spacing w:before="480" w:after="0" w:line="276" w:lineRule="auto"/>
      <w:jc w:val="left"/>
      <w:outlineLvl w:val="9"/>
    </w:pPr>
    <w:rPr>
      <w:rFonts w:ascii="Cambria" w:hAnsi="Cambria"/>
      <w:caps w:val="0"/>
      <w:snapToGrid/>
      <w:color w:val="365F91"/>
      <w:sz w:val="28"/>
      <w:szCs w:val="28"/>
      <w:lang w:val="en-US" w:eastAsia="en-US"/>
    </w:rPr>
  </w:style>
  <w:style w:type="paragraph" w:styleId="Textodeglobo">
    <w:name w:val="Balloon Text"/>
    <w:basedOn w:val="Normal"/>
    <w:link w:val="TextodegloboCar"/>
    <w:uiPriority w:val="99"/>
    <w:semiHidden/>
    <w:unhideWhenUsed/>
    <w:rsid w:val="00446D48"/>
    <w:rPr>
      <w:rFonts w:ascii="Tahoma" w:hAnsi="Tahoma" w:cs="Times New Roman"/>
      <w:noProof/>
      <w:sz w:val="16"/>
      <w:szCs w:val="16"/>
      <w:lang w:val="es-ES_tradnl" w:eastAsia="x-none"/>
    </w:rPr>
  </w:style>
  <w:style w:type="character" w:customStyle="1" w:styleId="TextodegloboCar">
    <w:name w:val="Texto de globo Car"/>
    <w:link w:val="Textodeglobo"/>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Textonotapie"/>
    <w:link w:val="PrrafodeSentenciaChar"/>
    <w:autoRedefine/>
    <w:qFormat/>
    <w:rsid w:val="00C966F4"/>
    <w:pPr>
      <w:numPr>
        <w:numId w:val="2"/>
      </w:numPr>
      <w:tabs>
        <w:tab w:val="left" w:pos="720"/>
      </w:tabs>
    </w:pPr>
    <w:rPr>
      <w:rFonts w:eastAsia="Times New Roman"/>
      <w:bCs/>
      <w:sz w:val="20"/>
      <w:lang w:eastAsia="es-ES"/>
    </w:rPr>
  </w:style>
  <w:style w:type="paragraph" w:customStyle="1" w:styleId="Estilo2">
    <w:name w:val="Estilo2"/>
    <w:basedOn w:val="Normal"/>
    <w:qFormat/>
    <w:rsid w:val="00446D48"/>
    <w:pPr>
      <w:tabs>
        <w:tab w:val="left" w:pos="567"/>
        <w:tab w:val="left" w:pos="1134"/>
        <w:tab w:val="num" w:pos="4767"/>
      </w:tabs>
      <w:spacing w:after="120"/>
      <w:ind w:firstLine="357"/>
    </w:pPr>
    <w:rPr>
      <w:rFonts w:eastAsia="Calibri" w:cs="Times New Roman"/>
      <w:szCs w:val="20"/>
    </w:rPr>
  </w:style>
  <w:style w:type="table" w:styleId="Cuadrculaclara-nfasis3">
    <w:name w:val="Light Grid Accent 3"/>
    <w:basedOn w:val="Tablanormal"/>
    <w:uiPriority w:val="72"/>
    <w:rsid w:val="00446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446D48"/>
    <w:rPr>
      <w:rFonts w:cs="Times New Roman"/>
    </w:rPr>
  </w:style>
  <w:style w:type="paragraph" w:styleId="Textoindependiente">
    <w:name w:val="Body Text"/>
    <w:basedOn w:val="Normal"/>
    <w:link w:val="TextoindependienteCar"/>
    <w:unhideWhenUsed/>
    <w:rsid w:val="00446D48"/>
    <w:rPr>
      <w:rFonts w:ascii="Garamond" w:eastAsia="Times" w:hAnsi="Garamond" w:cs="Times New Roman"/>
      <w:noProof/>
      <w:szCs w:val="20"/>
      <w:lang w:val="es-ES_tradnl" w:eastAsia="x-none"/>
    </w:rPr>
  </w:style>
  <w:style w:type="character" w:customStyle="1" w:styleId="TextoindependienteCar">
    <w:name w:val="Texto independiente Car"/>
    <w:link w:val="Textoindependiente"/>
    <w:rsid w:val="00446D48"/>
    <w:rPr>
      <w:rFonts w:ascii="Garamond" w:eastAsia="Times" w:hAnsi="Garamond" w:cs="Times New Roman"/>
      <w:noProof/>
      <w:szCs w:val="20"/>
      <w:lang w:val="es-ES_tradnl"/>
    </w:rPr>
  </w:style>
  <w:style w:type="paragraph" w:customStyle="1" w:styleId="MediumShading1-Accent11">
    <w:name w:val="Medium Shading 1 - Accent 11"/>
    <w:uiPriority w:val="1"/>
    <w:qFormat/>
    <w:rsid w:val="00446D48"/>
    <w:rPr>
      <w:sz w:val="22"/>
      <w:szCs w:val="22"/>
    </w:rPr>
  </w:style>
  <w:style w:type="paragraph" w:styleId="Encabezado">
    <w:name w:val="header"/>
    <w:basedOn w:val="Normal"/>
    <w:link w:val="EncabezadoCar"/>
    <w:uiPriority w:val="99"/>
    <w:unhideWhenUsed/>
    <w:rsid w:val="00446D48"/>
    <w:pPr>
      <w:tabs>
        <w:tab w:val="center" w:pos="4419"/>
        <w:tab w:val="right" w:pos="8838"/>
      </w:tabs>
    </w:pPr>
    <w:rPr>
      <w:rFonts w:cs="Times New Roman"/>
      <w:noProof/>
      <w:lang w:val="es-ES_tradnl" w:eastAsia="x-none"/>
    </w:rPr>
  </w:style>
  <w:style w:type="character" w:customStyle="1" w:styleId="EncabezadoCar">
    <w:name w:val="Encabezado Car"/>
    <w:link w:val="Encabezado"/>
    <w:uiPriority w:val="99"/>
    <w:rsid w:val="00446D48"/>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446D48"/>
    <w:pPr>
      <w:tabs>
        <w:tab w:val="center" w:pos="4419"/>
        <w:tab w:val="right" w:pos="8838"/>
      </w:tabs>
    </w:pPr>
    <w:rPr>
      <w:rFonts w:cs="Times New Roman"/>
      <w:noProof/>
      <w:lang w:val="es-ES_tradnl" w:eastAsia="x-none"/>
    </w:rPr>
  </w:style>
  <w:style w:type="character" w:customStyle="1" w:styleId="PiedepginaCar">
    <w:name w:val="Pie de página Car"/>
    <w:link w:val="Piedepgina"/>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noProof/>
      <w:szCs w:val="20"/>
      <w:lang w:val="es-ES_tradnl" w:eastAsia="es-ES"/>
    </w:rPr>
  </w:style>
  <w:style w:type="character" w:customStyle="1" w:styleId="NotasProyectosChar">
    <w:name w:val="Notas Proyectos Char"/>
    <w:link w:val="NotasProyectos"/>
    <w:rsid w:val="00446D48"/>
    <w:rPr>
      <w:rFonts w:ascii="Verdana" w:eastAsia="Times New Roman" w:hAnsi="Verdana" w:cs="Times New Roman"/>
      <w:noProof/>
      <w:sz w:val="20"/>
      <w:szCs w:val="20"/>
      <w:lang w:val="es-ES_tradnl" w:eastAsia="es-ES"/>
    </w:rPr>
  </w:style>
  <w:style w:type="paragraph" w:styleId="Textocomentario">
    <w:name w:val="annotation text"/>
    <w:basedOn w:val="Normal"/>
    <w:link w:val="TextocomentarioCar"/>
    <w:unhideWhenUsed/>
    <w:rsid w:val="00446D48"/>
    <w:pPr>
      <w:jc w:val="left"/>
    </w:pPr>
    <w:rPr>
      <w:rFonts w:ascii="Times New Roman" w:eastAsia="Times New Roman" w:hAnsi="Times New Roman" w:cs="Times New Roman"/>
      <w:noProof/>
      <w:szCs w:val="20"/>
      <w:lang w:val="es-ES_tradnl" w:eastAsia="x-none"/>
    </w:rPr>
  </w:style>
  <w:style w:type="character" w:customStyle="1" w:styleId="TextocomentarioCar">
    <w:name w:val="Texto comentario Car"/>
    <w:link w:val="Textocomentario"/>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446D48"/>
    <w:pPr>
      <w:spacing w:before="120" w:after="120"/>
      <w:ind w:left="1440" w:hanging="360"/>
      <w:contextualSpacing w:val="0"/>
    </w:pPr>
    <w:rPr>
      <w:rFonts w:eastAsia="Times New Roman" w:cs="Univers"/>
      <w:color w:val="000000"/>
      <w:sz w:val="24"/>
    </w:rPr>
  </w:style>
  <w:style w:type="character" w:styleId="Refdecomentario">
    <w:name w:val="annotation reference"/>
    <w:semiHidden/>
    <w:unhideWhenUsed/>
    <w:rsid w:val="00446D48"/>
    <w:rPr>
      <w:sz w:val="16"/>
      <w:szCs w:val="16"/>
    </w:rPr>
  </w:style>
  <w:style w:type="paragraph" w:styleId="Sangradetextonormal">
    <w:name w:val="Body Text Indent"/>
    <w:basedOn w:val="Normal"/>
    <w:link w:val="SangradetextonormalCar"/>
    <w:uiPriority w:val="99"/>
    <w:unhideWhenUsed/>
    <w:rsid w:val="00446D48"/>
    <w:pPr>
      <w:tabs>
        <w:tab w:val="left" w:pos="1276"/>
      </w:tabs>
      <w:spacing w:before="120" w:after="120"/>
      <w:ind w:left="1996" w:firstLine="164"/>
    </w:pPr>
    <w:rPr>
      <w:rFonts w:cs="Times New Roman"/>
      <w:i/>
      <w:noProof/>
      <w:szCs w:val="20"/>
      <w:lang w:val="es-ES_tradnl" w:eastAsia="x-none"/>
    </w:rPr>
  </w:style>
  <w:style w:type="character" w:customStyle="1" w:styleId="SangradetextonormalCar">
    <w:name w:val="Sangría de texto normal Car"/>
    <w:link w:val="Sangradetextonormal"/>
    <w:uiPriority w:val="99"/>
    <w:rsid w:val="00446D48"/>
    <w:rPr>
      <w:rFonts w:ascii="Verdana" w:eastAsia="Batang" w:hAnsi="Verdana" w:cs="Arial"/>
      <w:i/>
      <w:noProof/>
      <w:sz w:val="20"/>
      <w:szCs w:val="20"/>
      <w:lang w:val="es-ES_tradnl"/>
    </w:rPr>
  </w:style>
  <w:style w:type="character" w:styleId="nfasis">
    <w:name w:val="Emphasis"/>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Textonotapie"/>
    <w:link w:val="2FootnotesChar"/>
    <w:autoRedefine/>
    <w:qFormat/>
    <w:rsid w:val="00446D48"/>
    <w:rPr>
      <w:rFonts w:eastAsia="Times New Roman"/>
      <w:iCs/>
      <w:szCs w:val="18"/>
    </w:rPr>
  </w:style>
  <w:style w:type="character" w:customStyle="1" w:styleId="2FootnotesChar">
    <w:name w:val="2. Footnotes Char"/>
    <w:link w:val="2Footnotes"/>
    <w:rsid w:val="00446D48"/>
    <w:rPr>
      <w:rFonts w:ascii="Verdana" w:eastAsia="Times New Roman" w:hAnsi="Verdana" w:cs="Palatino-Italic"/>
      <w:iCs/>
      <w:noProof/>
      <w:sz w:val="16"/>
      <w:szCs w:val="18"/>
      <w:lang w:val="es-ES"/>
    </w:rPr>
  </w:style>
  <w:style w:type="paragraph" w:styleId="Mapadeldocumento">
    <w:name w:val="Document Map"/>
    <w:basedOn w:val="Normal"/>
    <w:link w:val="MapadeldocumentoCar"/>
    <w:uiPriority w:val="99"/>
    <w:semiHidden/>
    <w:unhideWhenUsed/>
    <w:rsid w:val="00446D48"/>
    <w:rPr>
      <w:rFonts w:ascii="Tahoma" w:hAnsi="Tahoma" w:cs="Times New Roman"/>
      <w:noProof/>
      <w:sz w:val="16"/>
      <w:szCs w:val="16"/>
      <w:lang w:val="es-ES_tradnl" w:eastAsia="x-none"/>
    </w:rPr>
  </w:style>
  <w:style w:type="character" w:customStyle="1" w:styleId="MapadeldocumentoCar">
    <w:name w:val="Mapa del documento Car"/>
    <w:link w:val="Mapadeldocumento"/>
    <w:uiPriority w:val="99"/>
    <w:semiHidden/>
    <w:rsid w:val="00446D48"/>
    <w:rPr>
      <w:rFonts w:ascii="Tahoma" w:eastAsia="Batang" w:hAnsi="Tahoma" w:cs="Tahoma"/>
      <w:noProof/>
      <w:sz w:val="16"/>
      <w:szCs w:val="16"/>
      <w:lang w:val="es-ES_tradnl"/>
    </w:rPr>
  </w:style>
  <w:style w:type="paragraph" w:styleId="Textonotaalfinal">
    <w:name w:val="endnote text"/>
    <w:basedOn w:val="Normal"/>
    <w:link w:val="TextonotaalfinalCar"/>
    <w:uiPriority w:val="99"/>
    <w:semiHidden/>
    <w:unhideWhenUsed/>
    <w:rsid w:val="00446D48"/>
    <w:rPr>
      <w:rFonts w:cs="Times New Roman"/>
      <w:noProof/>
      <w:szCs w:val="20"/>
      <w:lang w:val="es-ES_tradnl" w:eastAsia="x-none"/>
    </w:rPr>
  </w:style>
  <w:style w:type="character" w:customStyle="1" w:styleId="TextonotaalfinalCar">
    <w:name w:val="Texto nota al final Car"/>
    <w:link w:val="Textonotaalfinal"/>
    <w:uiPriority w:val="99"/>
    <w:semiHidden/>
    <w:rsid w:val="00446D48"/>
    <w:rPr>
      <w:rFonts w:ascii="Verdana" w:eastAsia="Batang" w:hAnsi="Verdana" w:cs="Times"/>
      <w:noProof/>
      <w:sz w:val="20"/>
      <w:szCs w:val="20"/>
      <w:lang w:val="es-ES_tradnl"/>
    </w:rPr>
  </w:style>
  <w:style w:type="character" w:styleId="Refdenotaalfinal">
    <w:name w:val="endnote reference"/>
    <w:uiPriority w:val="99"/>
    <w:semiHidden/>
    <w:unhideWhenUsed/>
    <w:rsid w:val="00446D48"/>
    <w:rPr>
      <w:vertAlign w:val="superscript"/>
    </w:rPr>
  </w:style>
  <w:style w:type="paragraph" w:customStyle="1" w:styleId="PrrafodeSentencia">
    <w:name w:val="Párrafo de Sentencia"/>
    <w:basedOn w:val="MediumGrid1-Accent21"/>
    <w:autoRedefine/>
    <w:qFormat/>
    <w:rsid w:val="00446D48"/>
    <w:pPr>
      <w:numPr>
        <w:ilvl w:val="4"/>
        <w:numId w:val="6"/>
      </w:numPr>
      <w:tabs>
        <w:tab w:val="num" w:pos="360"/>
      </w:tabs>
      <w:ind w:left="720" w:firstLine="0"/>
    </w:pPr>
    <w:rPr>
      <w:rFonts w:eastAsia="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D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D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D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D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Fuentedeprrafopredeter"/>
    <w:rsid w:val="00446D48"/>
  </w:style>
  <w:style w:type="character" w:customStyle="1" w:styleId="apple-converted-space">
    <w:name w:val="apple-converted-space"/>
    <w:basedOn w:val="Fuentedeprrafopredeter"/>
    <w:rsid w:val="00446D48"/>
  </w:style>
  <w:style w:type="paragraph" w:styleId="NormalWeb">
    <w:name w:val="Normal (Web)"/>
    <w:basedOn w:val="Normal"/>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Nmerodelnea">
    <w:name w:val="line number"/>
    <w:basedOn w:val="Fuentedeprrafopredeter"/>
    <w:uiPriority w:val="99"/>
    <w:semiHidden/>
    <w:unhideWhenUsed/>
    <w:rsid w:val="00446D48"/>
  </w:style>
  <w:style w:type="character" w:customStyle="1" w:styleId="PrrafodeSentenciaChar">
    <w:name w:val="*. Párrafo de Sentencia Char"/>
    <w:link w:val="PrrafodeSentencia0"/>
    <w:rsid w:val="00C966F4"/>
    <w:rPr>
      <w:rFonts w:ascii="Verdana" w:eastAsia="Times New Roman" w:hAnsi="Verdana"/>
      <w:bCs/>
      <w:noProof/>
      <w:lang w:val="es-ES_tradnl" w:eastAsia="es-ES"/>
    </w:rPr>
  </w:style>
  <w:style w:type="character" w:customStyle="1" w:styleId="Caracteresdenotafinal">
    <w:name w:val="Caracteres de nota final"/>
    <w:rsid w:val="00446D48"/>
    <w:rPr>
      <w:vertAlign w:val="superscript"/>
    </w:rPr>
  </w:style>
  <w:style w:type="character" w:customStyle="1" w:styleId="FootnoteRef">
    <w:name w:val="Footnote Ref"/>
    <w:rsid w:val="00446D48"/>
    <w:rPr>
      <w:rFonts w:cs="Times New Roman"/>
      <w:vertAlign w:val="superscript"/>
    </w:rPr>
  </w:style>
  <w:style w:type="paragraph" w:styleId="Textosinformato">
    <w:name w:val="Plain Text"/>
    <w:basedOn w:val="Normal"/>
    <w:link w:val="TextosinformatoCar"/>
    <w:uiPriority w:val="99"/>
    <w:unhideWhenUsed/>
    <w:rsid w:val="00446D48"/>
    <w:pPr>
      <w:jc w:val="left"/>
    </w:pPr>
    <w:rPr>
      <w:rFonts w:ascii="Consolas" w:eastAsia="Calibri" w:hAnsi="Consolas" w:cs="Times New Roman"/>
      <w:noProof/>
      <w:sz w:val="21"/>
      <w:szCs w:val="21"/>
      <w:lang w:val="es-CR" w:eastAsia="es-CR"/>
    </w:rPr>
  </w:style>
  <w:style w:type="character" w:customStyle="1" w:styleId="TextosinformatoCar">
    <w:name w:val="Texto sin formato Car"/>
    <w:link w:val="Textosinformato"/>
    <w:uiPriority w:val="99"/>
    <w:rsid w:val="00446D48"/>
    <w:rPr>
      <w:rFonts w:ascii="Consolas" w:eastAsia="Calibri" w:hAnsi="Consolas" w:cs="Consolas"/>
      <w:noProof/>
      <w:sz w:val="21"/>
      <w:szCs w:val="21"/>
      <w:lang w:val="es-CR" w:eastAsia="es-CR"/>
    </w:rPr>
  </w:style>
  <w:style w:type="paragraph" w:styleId="Asuntodelcomentario">
    <w:name w:val="annotation subject"/>
    <w:basedOn w:val="Textocomentario"/>
    <w:next w:val="Textocomentario"/>
    <w:link w:val="AsuntodelcomentarioCar"/>
    <w:uiPriority w:val="99"/>
    <w:semiHidden/>
    <w:unhideWhenUsed/>
    <w:rsid w:val="00446D48"/>
    <w:pPr>
      <w:jc w:val="both"/>
    </w:pPr>
    <w:rPr>
      <w:rFonts w:ascii="Verdana" w:eastAsia="Batang" w:hAnsi="Verdana"/>
      <w:b/>
      <w:bCs/>
    </w:rPr>
  </w:style>
  <w:style w:type="character" w:customStyle="1" w:styleId="AsuntodelcomentarioCar">
    <w:name w:val="Asunto del comentario Car"/>
    <w:link w:val="Asuntodelcomentario"/>
    <w:uiPriority w:val="99"/>
    <w:semiHidden/>
    <w:rsid w:val="00446D48"/>
    <w:rPr>
      <w:rFonts w:ascii="Verdana" w:eastAsia="Batang" w:hAnsi="Verdana" w:cs="Times"/>
      <w:b/>
      <w:bCs/>
      <w:noProof/>
      <w:sz w:val="20"/>
      <w:szCs w:val="20"/>
      <w:lang w:val="es-ES_tradnl"/>
    </w:rPr>
  </w:style>
  <w:style w:type="character" w:styleId="Hipervnculovisitado">
    <w:name w:val="FollowedHyperlink"/>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rsid w:val="00446D48"/>
    <w:rPr>
      <w:sz w:val="14"/>
      <w:szCs w:val="14"/>
    </w:rPr>
  </w:style>
  <w:style w:type="character" w:customStyle="1" w:styleId="ListParagraphChar1">
    <w:name w:val="List Paragraph Char1"/>
    <w:uiPriority w:val="99"/>
    <w:rsid w:val="00446D48"/>
    <w:rPr>
      <w:rFonts w:ascii="Verdana" w:eastAsia="Times New Roman" w:hAnsi="Verdana"/>
      <w:lang w:val="es-ES_tradnl" w:eastAsia="en-US"/>
    </w:rPr>
  </w:style>
  <w:style w:type="character" w:customStyle="1" w:styleId="apple-style-span">
    <w:name w:val="apple-style-span"/>
    <w:basedOn w:val="Fuentedeprrafopredeter"/>
    <w:rsid w:val="00446D48"/>
  </w:style>
  <w:style w:type="character" w:customStyle="1" w:styleId="Refdenotaalpie2">
    <w:name w:val="Ref. de nota al pie2"/>
    <w:rsid w:val="00446D48"/>
    <w:rPr>
      <w:vertAlign w:val="superscript"/>
    </w:rPr>
  </w:style>
  <w:style w:type="paragraph" w:customStyle="1" w:styleId="MediumList2-Accent21">
    <w:name w:val="Medium List 2 - Accent 21"/>
    <w:hidden/>
    <w:uiPriority w:val="99"/>
    <w:semiHidden/>
    <w:rsid w:val="00446D48"/>
    <w:rPr>
      <w:rFonts w:ascii="Verdana" w:eastAsia="Batang" w:hAnsi="Verdana" w:cs="Times"/>
      <w:noProof/>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CR" w:eastAsia="es-CR"/>
    </w:rPr>
  </w:style>
  <w:style w:type="paragraph" w:styleId="Sangra2detindependiente">
    <w:name w:val="Body Text Indent 2"/>
    <w:basedOn w:val="Normal"/>
    <w:link w:val="Sangra2detindependienteCar"/>
    <w:uiPriority w:val="99"/>
    <w:semiHidden/>
    <w:unhideWhenUsed/>
    <w:rsid w:val="00DD2BA7"/>
    <w:pPr>
      <w:spacing w:after="120" w:line="480" w:lineRule="auto"/>
      <w:ind w:left="283"/>
    </w:pPr>
    <w:rPr>
      <w:rFonts w:cs="Times New Roman"/>
      <w:noProof/>
      <w:lang w:val="es-ES_tradnl" w:eastAsia="x-none"/>
    </w:rPr>
  </w:style>
  <w:style w:type="character" w:customStyle="1" w:styleId="Sangra2detindependienteCar">
    <w:name w:val="Sangría 2 de t. independiente Car"/>
    <w:link w:val="Sangra2detindependiente"/>
    <w:uiPriority w:val="99"/>
    <w:semiHidden/>
    <w:rsid w:val="00DD2BA7"/>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4564D5"/>
    <w:pPr>
      <w:spacing w:before="120"/>
      <w:ind w:left="720"/>
    </w:pPr>
    <w:rPr>
      <w:rFonts w:eastAsia="Times New Roman" w:cs="Times New Roman"/>
      <w:szCs w:val="20"/>
      <w:lang w:val="es-ES_tradnl" w:eastAsia="es-ES"/>
    </w:rPr>
  </w:style>
  <w:style w:type="character" w:customStyle="1" w:styleId="NotasProyectosChar0">
    <w:name w:val="***. Notas Proyectos Char"/>
    <w:link w:val="NotasProyectos0"/>
    <w:rsid w:val="004564D5"/>
    <w:rPr>
      <w:rFonts w:ascii="Verdana" w:eastAsia="Times New Roman" w:hAnsi="Verdana" w:cs="Times New Roman"/>
      <w:sz w:val="20"/>
      <w:szCs w:val="20"/>
      <w:lang w:val="es-ES_tradnl" w:eastAsia="es-ES"/>
    </w:rPr>
  </w:style>
  <w:style w:type="character" w:styleId="Textoennegrita">
    <w:name w:val="Strong"/>
    <w:uiPriority w:val="22"/>
    <w:qFormat/>
    <w:rsid w:val="003E0E76"/>
    <w:rPr>
      <w:b/>
      <w:bCs/>
    </w:rPr>
  </w:style>
  <w:style w:type="character" w:customStyle="1" w:styleId="column01">
    <w:name w:val="column01"/>
    <w:basedOn w:val="Fuentedeprrafopredeter"/>
    <w:rsid w:val="00EC583A"/>
  </w:style>
  <w:style w:type="paragraph" w:customStyle="1" w:styleId="NormalNumbered">
    <w:name w:val="Normal Numbered"/>
    <w:basedOn w:val="Normal"/>
    <w:qFormat/>
    <w:rsid w:val="00B427C0"/>
    <w:rPr>
      <w:rFonts w:eastAsia="Times New Roman" w:cs="Times New Roman"/>
      <w:szCs w:val="20"/>
      <w:lang w:val="x-none" w:eastAsia="x-none"/>
    </w:rPr>
  </w:style>
  <w:style w:type="character" w:customStyle="1" w:styleId="normal--char">
    <w:name w:val="normal--char"/>
    <w:basedOn w:val="Fuentedeprrafopredeter"/>
    <w:uiPriority w:val="99"/>
    <w:rsid w:val="00B427C0"/>
  </w:style>
  <w:style w:type="paragraph" w:customStyle="1" w:styleId="ju-005fpara">
    <w:name w:val="ju-005fpara"/>
    <w:basedOn w:val="Normal"/>
    <w:rsid w:val="00EB2D66"/>
    <w:pPr>
      <w:spacing w:before="100" w:beforeAutospacing="1" w:after="100" w:afterAutospacing="1"/>
      <w:jc w:val="left"/>
    </w:pPr>
    <w:rPr>
      <w:rFonts w:ascii="Times New Roman" w:eastAsia="Times New Roman" w:hAnsi="Times New Roman" w:cs="Times New Roman"/>
      <w:sz w:val="24"/>
      <w:lang w:eastAsia="es-ES"/>
    </w:rPr>
  </w:style>
  <w:style w:type="character" w:customStyle="1" w:styleId="ju-005fpara--char">
    <w:name w:val="ju-005fpara--char"/>
    <w:basedOn w:val="Fuentedeprrafopredeter"/>
    <w:rsid w:val="00EB2D66"/>
  </w:style>
  <w:style w:type="character" w:customStyle="1" w:styleId="sb8d990e2">
    <w:name w:val="sb8d990e2"/>
    <w:rsid w:val="009A759E"/>
  </w:style>
  <w:style w:type="character" w:customStyle="1" w:styleId="s7d2086b4">
    <w:name w:val="s7d2086b4"/>
    <w:rsid w:val="009A759E"/>
  </w:style>
  <w:style w:type="character" w:customStyle="1" w:styleId="s6b621b36">
    <w:name w:val="s6b621b36"/>
    <w:rsid w:val="009A759E"/>
  </w:style>
  <w:style w:type="paragraph" w:customStyle="1" w:styleId="ColorfulList-Accent12">
    <w:name w:val="Colorful List - Accent 12"/>
    <w:basedOn w:val="Normal"/>
    <w:uiPriority w:val="34"/>
    <w:qFormat/>
    <w:rsid w:val="00AB6DD0"/>
    <w:pPr>
      <w:ind w:left="708"/>
    </w:pPr>
  </w:style>
  <w:style w:type="paragraph" w:styleId="Sinespaciado">
    <w:name w:val="No Spacing"/>
    <w:uiPriority w:val="1"/>
    <w:qFormat/>
    <w:rsid w:val="007D7A08"/>
    <w:rPr>
      <w:sz w:val="22"/>
      <w:szCs w:val="22"/>
      <w:lang w:val="es-CR"/>
    </w:rPr>
  </w:style>
  <w:style w:type="paragraph" w:styleId="Prrafodelista">
    <w:name w:val="List Paragraph"/>
    <w:aliases w:val="List Paragraph2,Lista vistosa - Énfasis 11"/>
    <w:basedOn w:val="Normal"/>
    <w:uiPriority w:val="34"/>
    <w:qFormat/>
    <w:rsid w:val="00DC589E"/>
    <w:pPr>
      <w:spacing w:after="200" w:line="276" w:lineRule="auto"/>
      <w:ind w:left="720"/>
      <w:contextualSpacing/>
      <w:jc w:val="left"/>
    </w:pPr>
    <w:rPr>
      <w:rFonts w:eastAsia="Calibri" w:cs="Times New Roman"/>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B0B1E"/>
    <w:rPr>
      <w:rFonts w:ascii="Calibri" w:eastAsia="Calibri" w:hAnsi="Calibri" w:cs="Times New Roman"/>
      <w:szCs w:val="20"/>
      <w:vertAlign w:val="superscript"/>
      <w:lang w:val="en-US"/>
    </w:rPr>
  </w:style>
  <w:style w:type="paragraph" w:styleId="Revisin">
    <w:name w:val="Revision"/>
    <w:hidden/>
    <w:uiPriority w:val="71"/>
    <w:rsid w:val="00735AAD"/>
    <w:rPr>
      <w:rFonts w:ascii="Verdana" w:eastAsia="Batang" w:hAnsi="Verdana" w:cs="Times"/>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393">
      <w:bodyDiv w:val="1"/>
      <w:marLeft w:val="0"/>
      <w:marRight w:val="0"/>
      <w:marTop w:val="0"/>
      <w:marBottom w:val="0"/>
      <w:divBdr>
        <w:top w:val="none" w:sz="0" w:space="0" w:color="auto"/>
        <w:left w:val="none" w:sz="0" w:space="0" w:color="auto"/>
        <w:bottom w:val="none" w:sz="0" w:space="0" w:color="auto"/>
        <w:right w:val="none" w:sz="0" w:space="0" w:color="auto"/>
      </w:divBdr>
    </w:div>
    <w:div w:id="52900014">
      <w:bodyDiv w:val="1"/>
      <w:marLeft w:val="0"/>
      <w:marRight w:val="0"/>
      <w:marTop w:val="0"/>
      <w:marBottom w:val="0"/>
      <w:divBdr>
        <w:top w:val="none" w:sz="0" w:space="0" w:color="auto"/>
        <w:left w:val="none" w:sz="0" w:space="0" w:color="auto"/>
        <w:bottom w:val="none" w:sz="0" w:space="0" w:color="auto"/>
        <w:right w:val="none" w:sz="0" w:space="0" w:color="auto"/>
      </w:divBdr>
    </w:div>
    <w:div w:id="643433444">
      <w:bodyDiv w:val="1"/>
      <w:marLeft w:val="0"/>
      <w:marRight w:val="0"/>
      <w:marTop w:val="0"/>
      <w:marBottom w:val="0"/>
      <w:divBdr>
        <w:top w:val="none" w:sz="0" w:space="0" w:color="auto"/>
        <w:left w:val="none" w:sz="0" w:space="0" w:color="auto"/>
        <w:bottom w:val="none" w:sz="0" w:space="0" w:color="auto"/>
        <w:right w:val="none" w:sz="0" w:space="0" w:color="auto"/>
      </w:divBdr>
    </w:div>
    <w:div w:id="686444923">
      <w:bodyDiv w:val="1"/>
      <w:marLeft w:val="0"/>
      <w:marRight w:val="0"/>
      <w:marTop w:val="0"/>
      <w:marBottom w:val="0"/>
      <w:divBdr>
        <w:top w:val="none" w:sz="0" w:space="0" w:color="auto"/>
        <w:left w:val="none" w:sz="0" w:space="0" w:color="auto"/>
        <w:bottom w:val="none" w:sz="0" w:space="0" w:color="auto"/>
        <w:right w:val="none" w:sz="0" w:space="0" w:color="auto"/>
      </w:divBdr>
    </w:div>
    <w:div w:id="732970822">
      <w:bodyDiv w:val="1"/>
      <w:marLeft w:val="0"/>
      <w:marRight w:val="0"/>
      <w:marTop w:val="0"/>
      <w:marBottom w:val="0"/>
      <w:divBdr>
        <w:top w:val="none" w:sz="0" w:space="0" w:color="auto"/>
        <w:left w:val="none" w:sz="0" w:space="0" w:color="auto"/>
        <w:bottom w:val="none" w:sz="0" w:space="0" w:color="auto"/>
        <w:right w:val="none" w:sz="0" w:space="0" w:color="auto"/>
      </w:divBdr>
    </w:div>
    <w:div w:id="768739010">
      <w:bodyDiv w:val="1"/>
      <w:marLeft w:val="0"/>
      <w:marRight w:val="0"/>
      <w:marTop w:val="0"/>
      <w:marBottom w:val="0"/>
      <w:divBdr>
        <w:top w:val="none" w:sz="0" w:space="0" w:color="auto"/>
        <w:left w:val="none" w:sz="0" w:space="0" w:color="auto"/>
        <w:bottom w:val="none" w:sz="0" w:space="0" w:color="auto"/>
        <w:right w:val="none" w:sz="0" w:space="0" w:color="auto"/>
      </w:divBdr>
    </w:div>
    <w:div w:id="959996723">
      <w:bodyDiv w:val="1"/>
      <w:marLeft w:val="0"/>
      <w:marRight w:val="0"/>
      <w:marTop w:val="0"/>
      <w:marBottom w:val="0"/>
      <w:divBdr>
        <w:top w:val="none" w:sz="0" w:space="0" w:color="auto"/>
        <w:left w:val="none" w:sz="0" w:space="0" w:color="auto"/>
        <w:bottom w:val="none" w:sz="0" w:space="0" w:color="auto"/>
        <w:right w:val="none" w:sz="0" w:space="0" w:color="auto"/>
      </w:divBdr>
    </w:div>
    <w:div w:id="1020005690">
      <w:bodyDiv w:val="1"/>
      <w:marLeft w:val="0"/>
      <w:marRight w:val="0"/>
      <w:marTop w:val="0"/>
      <w:marBottom w:val="0"/>
      <w:divBdr>
        <w:top w:val="none" w:sz="0" w:space="0" w:color="auto"/>
        <w:left w:val="none" w:sz="0" w:space="0" w:color="auto"/>
        <w:bottom w:val="none" w:sz="0" w:space="0" w:color="auto"/>
        <w:right w:val="none" w:sz="0" w:space="0" w:color="auto"/>
      </w:divBdr>
    </w:div>
    <w:div w:id="1067605365">
      <w:bodyDiv w:val="1"/>
      <w:marLeft w:val="0"/>
      <w:marRight w:val="0"/>
      <w:marTop w:val="0"/>
      <w:marBottom w:val="0"/>
      <w:divBdr>
        <w:top w:val="none" w:sz="0" w:space="0" w:color="auto"/>
        <w:left w:val="none" w:sz="0" w:space="0" w:color="auto"/>
        <w:bottom w:val="none" w:sz="0" w:space="0" w:color="auto"/>
        <w:right w:val="none" w:sz="0" w:space="0" w:color="auto"/>
      </w:divBdr>
    </w:div>
    <w:div w:id="1209803921">
      <w:bodyDiv w:val="1"/>
      <w:marLeft w:val="0"/>
      <w:marRight w:val="0"/>
      <w:marTop w:val="0"/>
      <w:marBottom w:val="0"/>
      <w:divBdr>
        <w:top w:val="none" w:sz="0" w:space="0" w:color="auto"/>
        <w:left w:val="none" w:sz="0" w:space="0" w:color="auto"/>
        <w:bottom w:val="none" w:sz="0" w:space="0" w:color="auto"/>
        <w:right w:val="none" w:sz="0" w:space="0" w:color="auto"/>
      </w:divBdr>
    </w:div>
    <w:div w:id="154220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CA2E-8AEA-4D0B-A7A8-A7DAA6AC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11971</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2019-12-12T21:10:00Z</cp:lastPrinted>
  <dcterms:created xsi:type="dcterms:W3CDTF">2019-12-13T17:06:00Z</dcterms:created>
  <dcterms:modified xsi:type="dcterms:W3CDTF">2019-12-13T17:06:00Z</dcterms:modified>
</cp:coreProperties>
</file>