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C2E" w:rsidRDefault="00011C2E" w:rsidP="000615D6">
      <w:pPr>
        <w:spacing w:after="0" w:line="240" w:lineRule="auto"/>
        <w:jc w:val="center"/>
        <w:rPr>
          <w:rFonts w:ascii="Verdana" w:hAnsi="Verdana"/>
          <w:b/>
          <w:sz w:val="20"/>
          <w:szCs w:val="20"/>
          <w:lang w:val="es-CR"/>
        </w:rPr>
      </w:pPr>
    </w:p>
    <w:p w:rsidR="00011C2E" w:rsidRDefault="00011C2E" w:rsidP="000615D6">
      <w:pPr>
        <w:spacing w:after="0" w:line="240" w:lineRule="auto"/>
        <w:jc w:val="center"/>
        <w:rPr>
          <w:rFonts w:ascii="Verdana" w:hAnsi="Verdana"/>
          <w:b/>
          <w:sz w:val="20"/>
          <w:szCs w:val="20"/>
          <w:lang w:val="es-CR"/>
        </w:rPr>
      </w:pPr>
    </w:p>
    <w:p w:rsidR="00011C2E" w:rsidRDefault="00011C2E" w:rsidP="000615D6">
      <w:pPr>
        <w:spacing w:after="0" w:line="240" w:lineRule="auto"/>
        <w:jc w:val="center"/>
        <w:rPr>
          <w:rFonts w:ascii="Verdana" w:hAnsi="Verdana"/>
          <w:b/>
          <w:sz w:val="20"/>
          <w:szCs w:val="20"/>
          <w:lang w:val="es-CR"/>
        </w:rPr>
      </w:pPr>
    </w:p>
    <w:p w:rsidR="00011C2E" w:rsidRDefault="00011C2E" w:rsidP="000615D6">
      <w:pPr>
        <w:spacing w:after="0" w:line="240" w:lineRule="auto"/>
        <w:jc w:val="center"/>
        <w:rPr>
          <w:rFonts w:ascii="Verdana" w:hAnsi="Verdana"/>
          <w:b/>
          <w:sz w:val="20"/>
          <w:szCs w:val="20"/>
          <w:lang w:val="es-CR"/>
        </w:rPr>
      </w:pPr>
    </w:p>
    <w:p w:rsidR="00011C2E" w:rsidRDefault="00011C2E" w:rsidP="000615D6">
      <w:pPr>
        <w:spacing w:after="0" w:line="240" w:lineRule="auto"/>
        <w:jc w:val="center"/>
        <w:rPr>
          <w:rFonts w:ascii="Verdana" w:hAnsi="Verdana"/>
          <w:b/>
          <w:sz w:val="20"/>
          <w:szCs w:val="20"/>
          <w:lang w:val="es-CR"/>
        </w:rPr>
      </w:pPr>
    </w:p>
    <w:p w:rsidR="00011C2E" w:rsidRDefault="00011C2E" w:rsidP="000615D6">
      <w:pPr>
        <w:spacing w:after="0" w:line="240" w:lineRule="auto"/>
        <w:jc w:val="center"/>
        <w:rPr>
          <w:rFonts w:ascii="Verdana" w:hAnsi="Verdana"/>
          <w:b/>
          <w:sz w:val="20"/>
          <w:szCs w:val="20"/>
          <w:lang w:val="es-CR"/>
        </w:rPr>
      </w:pPr>
    </w:p>
    <w:p w:rsidR="00011C2E" w:rsidRDefault="00011C2E" w:rsidP="000615D6">
      <w:pPr>
        <w:spacing w:after="0" w:line="240" w:lineRule="auto"/>
        <w:jc w:val="center"/>
        <w:rPr>
          <w:rFonts w:ascii="Verdana" w:hAnsi="Verdana"/>
          <w:b/>
          <w:sz w:val="20"/>
          <w:szCs w:val="20"/>
          <w:lang w:val="es-CR"/>
        </w:rPr>
      </w:pPr>
    </w:p>
    <w:p w:rsidR="00011C2E" w:rsidRDefault="00011C2E" w:rsidP="000615D6">
      <w:pPr>
        <w:spacing w:after="0" w:line="240" w:lineRule="auto"/>
        <w:jc w:val="center"/>
        <w:rPr>
          <w:rFonts w:ascii="Verdana" w:hAnsi="Verdana"/>
          <w:b/>
          <w:sz w:val="20"/>
          <w:szCs w:val="20"/>
          <w:lang w:val="es-CR"/>
        </w:rPr>
      </w:pPr>
    </w:p>
    <w:p w:rsidR="00DD718C" w:rsidRPr="008E0075" w:rsidRDefault="00DD718C" w:rsidP="000615D6">
      <w:pPr>
        <w:spacing w:after="0" w:line="240" w:lineRule="auto"/>
        <w:jc w:val="center"/>
        <w:rPr>
          <w:rFonts w:ascii="Verdana" w:hAnsi="Verdana"/>
          <w:b/>
          <w:sz w:val="20"/>
          <w:szCs w:val="20"/>
          <w:lang w:val="es-CR"/>
        </w:rPr>
      </w:pPr>
      <w:r w:rsidRPr="008E0075">
        <w:rPr>
          <w:rFonts w:ascii="Verdana" w:hAnsi="Verdana"/>
          <w:b/>
          <w:sz w:val="20"/>
          <w:szCs w:val="20"/>
          <w:lang w:val="es-CR"/>
        </w:rPr>
        <w:t>CORTE INTERAMERICANA DE DERECHOS HUMANOS</w:t>
      </w:r>
      <w:r w:rsidR="007B2762" w:rsidRPr="00EC2F24">
        <w:rPr>
          <w:rStyle w:val="Refdenotaalpie"/>
          <w:rFonts w:ascii="Verdana" w:hAnsi="Verdana"/>
          <w:lang w:val="es-CR"/>
        </w:rPr>
        <w:footnoteReference w:customMarkFollows="1" w:id="1"/>
        <w:sym w:font="Symbol" w:char="F02A"/>
      </w:r>
    </w:p>
    <w:p w:rsidR="002875F4" w:rsidRPr="008E0075" w:rsidRDefault="002875F4" w:rsidP="000615D6">
      <w:pPr>
        <w:spacing w:after="0" w:line="240" w:lineRule="auto"/>
        <w:jc w:val="center"/>
        <w:rPr>
          <w:rFonts w:ascii="Verdana" w:hAnsi="Verdana"/>
          <w:b/>
          <w:sz w:val="20"/>
          <w:szCs w:val="20"/>
          <w:lang w:val="es-CR"/>
        </w:rPr>
      </w:pPr>
    </w:p>
    <w:p w:rsidR="00DD718C" w:rsidRPr="008E0075" w:rsidRDefault="00DD718C" w:rsidP="000615D6">
      <w:pPr>
        <w:spacing w:after="0" w:line="240" w:lineRule="auto"/>
        <w:jc w:val="center"/>
        <w:rPr>
          <w:rFonts w:ascii="Verdana" w:hAnsi="Verdana"/>
          <w:b/>
          <w:sz w:val="20"/>
          <w:szCs w:val="20"/>
          <w:lang w:val="es-CR"/>
        </w:rPr>
      </w:pPr>
      <w:r w:rsidRPr="008E0075">
        <w:rPr>
          <w:rFonts w:ascii="Verdana" w:hAnsi="Verdana"/>
          <w:b/>
          <w:sz w:val="20"/>
          <w:szCs w:val="20"/>
          <w:lang w:val="es-CR"/>
        </w:rPr>
        <w:t xml:space="preserve">CASO </w:t>
      </w:r>
      <w:r w:rsidR="00441C59" w:rsidRPr="008E0075">
        <w:rPr>
          <w:rFonts w:ascii="Verdana" w:hAnsi="Verdana"/>
          <w:b/>
          <w:sz w:val="20"/>
          <w:szCs w:val="20"/>
          <w:lang w:val="es-CR"/>
        </w:rPr>
        <w:t>GIRÓN Y O</w:t>
      </w:r>
      <w:r w:rsidR="0068518D" w:rsidRPr="008E0075">
        <w:rPr>
          <w:rFonts w:ascii="Verdana" w:hAnsi="Verdana"/>
          <w:b/>
          <w:sz w:val="20"/>
          <w:szCs w:val="20"/>
          <w:lang w:val="es-CR"/>
        </w:rPr>
        <w:t>TRO</w:t>
      </w:r>
      <w:r w:rsidRPr="008E0075">
        <w:rPr>
          <w:rFonts w:ascii="Verdana" w:hAnsi="Verdana"/>
          <w:b/>
          <w:sz w:val="20"/>
          <w:szCs w:val="20"/>
          <w:lang w:val="es-CR"/>
        </w:rPr>
        <w:t xml:space="preserve"> </w:t>
      </w:r>
      <w:r w:rsidRPr="00F02941">
        <w:rPr>
          <w:rFonts w:ascii="Verdana" w:hAnsi="Verdana"/>
          <w:b/>
          <w:i/>
          <w:sz w:val="20"/>
          <w:szCs w:val="20"/>
          <w:lang w:val="es-CR"/>
        </w:rPr>
        <w:t>VS.</w:t>
      </w:r>
      <w:r w:rsidRPr="008E0075">
        <w:rPr>
          <w:rFonts w:ascii="Verdana" w:hAnsi="Verdana"/>
          <w:b/>
          <w:sz w:val="20"/>
          <w:szCs w:val="20"/>
          <w:lang w:val="es-CR"/>
        </w:rPr>
        <w:t xml:space="preserve"> GUATEMALA</w:t>
      </w:r>
    </w:p>
    <w:p w:rsidR="002875F4" w:rsidRPr="008E0075" w:rsidRDefault="002875F4" w:rsidP="000615D6">
      <w:pPr>
        <w:spacing w:after="0" w:line="240" w:lineRule="auto"/>
        <w:jc w:val="center"/>
        <w:rPr>
          <w:rFonts w:ascii="Verdana" w:hAnsi="Verdana"/>
          <w:b/>
          <w:sz w:val="20"/>
          <w:szCs w:val="20"/>
          <w:lang w:val="es-CR"/>
        </w:rPr>
      </w:pPr>
    </w:p>
    <w:p w:rsidR="002875F4" w:rsidRPr="008E0075" w:rsidRDefault="00A4277F" w:rsidP="000615D6">
      <w:pPr>
        <w:tabs>
          <w:tab w:val="center" w:pos="4680"/>
          <w:tab w:val="left" w:pos="8167"/>
        </w:tabs>
        <w:spacing w:after="0" w:line="240" w:lineRule="auto"/>
        <w:rPr>
          <w:rFonts w:ascii="Verdana" w:hAnsi="Verdana"/>
          <w:b/>
          <w:sz w:val="20"/>
          <w:szCs w:val="20"/>
          <w:lang w:val="es-CR"/>
        </w:rPr>
      </w:pPr>
      <w:r w:rsidRPr="008E0075">
        <w:rPr>
          <w:rFonts w:ascii="Verdana" w:hAnsi="Verdana"/>
          <w:b/>
          <w:sz w:val="20"/>
          <w:szCs w:val="20"/>
          <w:lang w:val="es-CR"/>
        </w:rPr>
        <w:tab/>
      </w:r>
      <w:r w:rsidR="00633A5F">
        <w:rPr>
          <w:rFonts w:ascii="Verdana" w:hAnsi="Verdana"/>
          <w:b/>
          <w:sz w:val="20"/>
          <w:szCs w:val="20"/>
          <w:lang w:val="es-CR"/>
        </w:rPr>
        <w:t>SENTENCIA DE 15</w:t>
      </w:r>
      <w:r w:rsidR="00DD718C" w:rsidRPr="008E0075">
        <w:rPr>
          <w:rFonts w:ascii="Verdana" w:hAnsi="Verdana"/>
          <w:b/>
          <w:sz w:val="20"/>
          <w:szCs w:val="20"/>
          <w:lang w:val="es-CR"/>
        </w:rPr>
        <w:t xml:space="preserve"> DE </w:t>
      </w:r>
      <w:r w:rsidR="0083447C">
        <w:rPr>
          <w:rFonts w:ascii="Verdana" w:hAnsi="Verdana"/>
          <w:b/>
          <w:sz w:val="20"/>
          <w:szCs w:val="20"/>
          <w:lang w:val="es-CR"/>
        </w:rPr>
        <w:t>OCTUBRE</w:t>
      </w:r>
      <w:r w:rsidR="00350AEB" w:rsidRPr="008E0075">
        <w:rPr>
          <w:rFonts w:ascii="Verdana" w:hAnsi="Verdana"/>
          <w:b/>
          <w:sz w:val="20"/>
          <w:szCs w:val="20"/>
          <w:lang w:val="es-CR"/>
        </w:rPr>
        <w:t xml:space="preserve"> </w:t>
      </w:r>
      <w:r w:rsidR="00DD718C" w:rsidRPr="008E0075">
        <w:rPr>
          <w:rFonts w:ascii="Verdana" w:hAnsi="Verdana"/>
          <w:b/>
          <w:sz w:val="20"/>
          <w:szCs w:val="20"/>
          <w:lang w:val="es-CR"/>
        </w:rPr>
        <w:t>DE 2019</w:t>
      </w:r>
    </w:p>
    <w:p w:rsidR="00DD718C" w:rsidRPr="008E0075" w:rsidRDefault="00A4277F" w:rsidP="005373D9">
      <w:pPr>
        <w:tabs>
          <w:tab w:val="center" w:pos="4680"/>
          <w:tab w:val="right" w:pos="9418"/>
        </w:tabs>
        <w:spacing w:after="0" w:line="240" w:lineRule="auto"/>
        <w:rPr>
          <w:rFonts w:ascii="Verdana" w:hAnsi="Verdana"/>
          <w:b/>
          <w:sz w:val="20"/>
          <w:szCs w:val="20"/>
          <w:lang w:val="es-CR"/>
        </w:rPr>
      </w:pPr>
      <w:r w:rsidRPr="008E0075">
        <w:rPr>
          <w:rFonts w:ascii="Verdana" w:hAnsi="Verdana"/>
          <w:b/>
          <w:sz w:val="20"/>
          <w:szCs w:val="20"/>
          <w:lang w:val="es-CR"/>
        </w:rPr>
        <w:tab/>
      </w:r>
      <w:r w:rsidR="005373D9">
        <w:rPr>
          <w:rFonts w:ascii="Verdana" w:hAnsi="Verdana"/>
          <w:b/>
          <w:sz w:val="20"/>
          <w:szCs w:val="20"/>
          <w:lang w:val="es-CR"/>
        </w:rPr>
        <w:tab/>
      </w:r>
    </w:p>
    <w:p w:rsidR="003D56FF" w:rsidRPr="003D56FF" w:rsidRDefault="00DD718C" w:rsidP="001F67A3">
      <w:pPr>
        <w:spacing w:after="0" w:line="240" w:lineRule="auto"/>
        <w:jc w:val="center"/>
        <w:rPr>
          <w:rFonts w:ascii="Times New Roman" w:eastAsia="Times New Roman" w:hAnsi="Times New Roman" w:cs="Times New Roman"/>
          <w:sz w:val="24"/>
          <w:szCs w:val="24"/>
          <w:lang w:val="es-CR" w:eastAsia="es-ES_tradnl"/>
        </w:rPr>
      </w:pPr>
      <w:r w:rsidRPr="008E0075">
        <w:rPr>
          <w:rFonts w:ascii="Verdana" w:hAnsi="Verdana"/>
          <w:b/>
          <w:i/>
          <w:sz w:val="20"/>
          <w:szCs w:val="20"/>
          <w:lang w:val="es-CR"/>
        </w:rPr>
        <w:t>(</w:t>
      </w:r>
      <w:r w:rsidR="0010159A">
        <w:rPr>
          <w:rFonts w:ascii="Verdana" w:hAnsi="Verdana"/>
          <w:b/>
          <w:i/>
          <w:sz w:val="20"/>
          <w:szCs w:val="20"/>
          <w:lang w:val="es-CR"/>
        </w:rPr>
        <w:t xml:space="preserve">Excepción Preliminar, </w:t>
      </w:r>
      <w:r w:rsidRPr="008E0075">
        <w:rPr>
          <w:rFonts w:ascii="Verdana" w:hAnsi="Verdana"/>
          <w:b/>
          <w:i/>
          <w:sz w:val="20"/>
          <w:szCs w:val="20"/>
          <w:lang w:val="es-CR"/>
        </w:rPr>
        <w:t>Fondo, Reparaciones y Costas)</w:t>
      </w:r>
      <w:bookmarkStart w:id="0" w:name="_GoBack"/>
      <w:bookmarkEnd w:id="0"/>
      <w:r w:rsidR="003D56FF" w:rsidRPr="003D56FF">
        <w:rPr>
          <w:rFonts w:ascii="Times New Roman" w:eastAsia="Times New Roman" w:hAnsi="Times New Roman" w:cs="Times New Roman"/>
          <w:sz w:val="24"/>
          <w:szCs w:val="24"/>
          <w:lang w:val="es-CR" w:eastAsia="es-ES_tradnl"/>
        </w:rPr>
        <w:t xml:space="preserve"> </w:t>
      </w:r>
    </w:p>
    <w:p w:rsidR="003D56FF" w:rsidRPr="008E0075" w:rsidRDefault="003D56FF" w:rsidP="000615D6">
      <w:pPr>
        <w:spacing w:after="0" w:line="240" w:lineRule="auto"/>
        <w:jc w:val="center"/>
        <w:rPr>
          <w:rFonts w:ascii="Verdana" w:hAnsi="Verdana"/>
          <w:b/>
          <w:i/>
          <w:sz w:val="20"/>
          <w:szCs w:val="20"/>
          <w:lang w:val="es-CR"/>
        </w:rPr>
      </w:pPr>
    </w:p>
    <w:p w:rsidR="00DD718C" w:rsidRPr="008E0075" w:rsidRDefault="00DD718C" w:rsidP="000615D6">
      <w:pPr>
        <w:spacing w:after="0" w:line="240" w:lineRule="auto"/>
        <w:rPr>
          <w:rFonts w:ascii="Verdana" w:hAnsi="Verdana"/>
          <w:b/>
          <w:i/>
          <w:sz w:val="18"/>
          <w:szCs w:val="20"/>
          <w:lang w:val="es-CR"/>
        </w:rPr>
      </w:pPr>
    </w:p>
    <w:p w:rsidR="002875F4" w:rsidRPr="008E0075" w:rsidRDefault="002875F4" w:rsidP="000615D6">
      <w:pPr>
        <w:spacing w:after="0" w:line="240" w:lineRule="auto"/>
        <w:rPr>
          <w:rFonts w:ascii="Verdana" w:hAnsi="Verdana"/>
          <w:b/>
          <w:i/>
          <w:sz w:val="18"/>
          <w:szCs w:val="20"/>
          <w:lang w:val="es-CR"/>
        </w:rPr>
      </w:pPr>
    </w:p>
    <w:p w:rsidR="00F9608F" w:rsidRPr="008E0075" w:rsidRDefault="00F9608F" w:rsidP="002875F4">
      <w:pPr>
        <w:spacing w:after="0"/>
        <w:jc w:val="both"/>
        <w:rPr>
          <w:rFonts w:ascii="Verdana" w:hAnsi="Verdana"/>
          <w:sz w:val="20"/>
          <w:lang w:val="es-CR"/>
        </w:rPr>
      </w:pPr>
      <w:r w:rsidRPr="008E0075">
        <w:rPr>
          <w:rFonts w:ascii="Verdana" w:hAnsi="Verdana"/>
          <w:sz w:val="20"/>
          <w:lang w:val="es-CR"/>
        </w:rPr>
        <w:t>En el caso</w:t>
      </w:r>
      <w:r w:rsidR="00F246EE" w:rsidRPr="008E0075">
        <w:rPr>
          <w:rFonts w:ascii="Verdana" w:hAnsi="Verdana"/>
          <w:sz w:val="20"/>
          <w:lang w:val="es-CR"/>
        </w:rPr>
        <w:t xml:space="preserve"> </w:t>
      </w:r>
      <w:r w:rsidR="00F246EE" w:rsidRPr="004F41F1">
        <w:rPr>
          <w:rFonts w:ascii="Verdana" w:hAnsi="Verdana"/>
          <w:i/>
          <w:sz w:val="20"/>
          <w:lang w:val="es-CR"/>
        </w:rPr>
        <w:t>Girón</w:t>
      </w:r>
      <w:r w:rsidRPr="004F41F1">
        <w:rPr>
          <w:rFonts w:ascii="Verdana" w:hAnsi="Verdana"/>
          <w:i/>
          <w:sz w:val="20"/>
          <w:lang w:val="es-CR"/>
        </w:rPr>
        <w:t xml:space="preserve"> </w:t>
      </w:r>
      <w:r w:rsidRPr="008E0075">
        <w:rPr>
          <w:rFonts w:ascii="Verdana" w:hAnsi="Verdana"/>
          <w:i/>
          <w:sz w:val="20"/>
          <w:lang w:val="es-CR"/>
        </w:rPr>
        <w:t>y otro</w:t>
      </w:r>
      <w:r w:rsidR="00A6031C">
        <w:rPr>
          <w:rFonts w:ascii="Verdana" w:hAnsi="Verdana"/>
          <w:i/>
          <w:sz w:val="20"/>
          <w:lang w:val="es-CR"/>
        </w:rPr>
        <w:t xml:space="preserve"> Vs. Guatemala</w:t>
      </w:r>
      <w:r w:rsidRPr="008E0075">
        <w:rPr>
          <w:rFonts w:ascii="Verdana" w:hAnsi="Verdana"/>
          <w:sz w:val="20"/>
          <w:lang w:val="es-CR"/>
        </w:rPr>
        <w:t xml:space="preserve">, </w:t>
      </w:r>
    </w:p>
    <w:p w:rsidR="002875F4" w:rsidRPr="008E0075" w:rsidRDefault="002875F4" w:rsidP="002875F4">
      <w:pPr>
        <w:spacing w:after="0"/>
        <w:jc w:val="both"/>
        <w:rPr>
          <w:rFonts w:ascii="Verdana" w:hAnsi="Verdana"/>
          <w:sz w:val="20"/>
          <w:lang w:val="es-CR"/>
        </w:rPr>
      </w:pPr>
    </w:p>
    <w:p w:rsidR="00F9608F" w:rsidRPr="008E0075" w:rsidRDefault="00F9608F" w:rsidP="002875F4">
      <w:pPr>
        <w:spacing w:after="0"/>
        <w:jc w:val="both"/>
        <w:rPr>
          <w:rFonts w:ascii="Verdana" w:hAnsi="Verdana"/>
          <w:sz w:val="20"/>
          <w:lang w:val="es-CR"/>
        </w:rPr>
      </w:pPr>
      <w:r w:rsidRPr="008E0075">
        <w:rPr>
          <w:rFonts w:ascii="Verdana" w:hAnsi="Verdana"/>
          <w:sz w:val="20"/>
          <w:lang w:val="es-CR"/>
        </w:rPr>
        <w:t xml:space="preserve">la Corte Interamericana de Derechos Humanos (en adelante “la Corte Interamericana”, “la Corte” o “este Tribunal”), integrada por los siguientes Jueces: </w:t>
      </w:r>
    </w:p>
    <w:p w:rsidR="002875F4" w:rsidRPr="008E0075" w:rsidRDefault="002875F4" w:rsidP="002875F4">
      <w:pPr>
        <w:spacing w:after="0"/>
        <w:rPr>
          <w:rFonts w:ascii="Verdana" w:hAnsi="Verdana"/>
          <w:sz w:val="20"/>
          <w:lang w:val="es-CR"/>
        </w:rPr>
      </w:pPr>
    </w:p>
    <w:p w:rsidR="00F9608F" w:rsidRPr="00B10243" w:rsidRDefault="00F9608F" w:rsidP="00B10243">
      <w:pPr>
        <w:spacing w:after="0"/>
        <w:rPr>
          <w:rFonts w:ascii="Verdana" w:hAnsi="Verdana"/>
          <w:sz w:val="20"/>
          <w:lang w:val="es-CR"/>
        </w:rPr>
      </w:pPr>
      <w:r w:rsidRPr="008E0075">
        <w:rPr>
          <w:rFonts w:ascii="Verdana" w:hAnsi="Verdana"/>
          <w:sz w:val="20"/>
          <w:lang w:val="es-CR"/>
        </w:rPr>
        <w:t xml:space="preserve">Eduardo Ferrer Mac-Gregor Poisot, Presidente; </w:t>
      </w:r>
      <w:r w:rsidRPr="008E0075">
        <w:rPr>
          <w:rFonts w:ascii="Verdana" w:hAnsi="Verdana"/>
          <w:sz w:val="20"/>
          <w:lang w:val="es-CR"/>
        </w:rPr>
        <w:br/>
      </w:r>
      <w:r w:rsidR="001C1AB8" w:rsidRPr="008E0075">
        <w:rPr>
          <w:rFonts w:ascii="Verdana" w:hAnsi="Verdana"/>
          <w:sz w:val="20"/>
          <w:lang w:val="es-CR"/>
        </w:rPr>
        <w:t>Eduardo Vio Grossi,</w:t>
      </w:r>
      <w:r w:rsidRPr="008E0075">
        <w:rPr>
          <w:rFonts w:ascii="Verdana" w:hAnsi="Verdana"/>
          <w:sz w:val="20"/>
          <w:lang w:val="es-CR"/>
        </w:rPr>
        <w:t xml:space="preserve"> Vicepresidente; </w:t>
      </w:r>
      <w:r w:rsidRPr="008E0075">
        <w:rPr>
          <w:rFonts w:ascii="Verdana" w:hAnsi="Verdana"/>
          <w:sz w:val="20"/>
          <w:lang w:val="es-CR"/>
        </w:rPr>
        <w:br/>
        <w:t xml:space="preserve">Humberto Antonio Sierra Porto, Juez; </w:t>
      </w:r>
      <w:r w:rsidRPr="008E0075">
        <w:rPr>
          <w:rFonts w:ascii="Verdana" w:hAnsi="Verdana"/>
          <w:sz w:val="20"/>
          <w:lang w:val="es-CR"/>
        </w:rPr>
        <w:br/>
        <w:t>Elizabeth Odio Benito, Jueza;</w:t>
      </w:r>
      <w:r w:rsidRPr="008E0075">
        <w:rPr>
          <w:rFonts w:ascii="Verdana" w:hAnsi="Verdana"/>
          <w:sz w:val="20"/>
          <w:lang w:val="es-CR"/>
        </w:rPr>
        <w:br/>
        <w:t>Patricio Pazmiño Freire, Juez, y</w:t>
      </w:r>
      <w:r w:rsidRPr="008E0075">
        <w:rPr>
          <w:rFonts w:ascii="Verdana" w:hAnsi="Verdana"/>
          <w:sz w:val="20"/>
          <w:lang w:val="es-CR"/>
        </w:rPr>
        <w:br/>
        <w:t>Ricardo Pérez Manrique, Juez.</w:t>
      </w:r>
    </w:p>
    <w:p w:rsidR="002875F4" w:rsidRPr="008E0075" w:rsidRDefault="002875F4" w:rsidP="002875F4">
      <w:pPr>
        <w:spacing w:after="0"/>
        <w:rPr>
          <w:rFonts w:ascii="Verdana" w:hAnsi="Verdana"/>
          <w:sz w:val="20"/>
          <w:lang w:val="es-CR"/>
        </w:rPr>
      </w:pPr>
    </w:p>
    <w:p w:rsidR="00F9608F" w:rsidRPr="008E0075" w:rsidRDefault="00BE42B5" w:rsidP="002875F4">
      <w:pPr>
        <w:spacing w:after="0"/>
        <w:rPr>
          <w:rFonts w:ascii="Verdana" w:hAnsi="Verdana"/>
          <w:sz w:val="20"/>
          <w:lang w:val="es-CR"/>
        </w:rPr>
      </w:pPr>
      <w:r w:rsidRPr="008E0075">
        <w:rPr>
          <w:rFonts w:ascii="Verdana" w:hAnsi="Verdana"/>
          <w:sz w:val="20"/>
          <w:lang w:val="es-CR"/>
        </w:rPr>
        <w:t>Presente</w:t>
      </w:r>
      <w:r w:rsidR="00F9608F" w:rsidRPr="008E0075">
        <w:rPr>
          <w:rFonts w:ascii="Verdana" w:hAnsi="Verdana"/>
          <w:sz w:val="20"/>
          <w:lang w:val="es-CR"/>
        </w:rPr>
        <w:t xml:space="preserve"> además, </w:t>
      </w:r>
    </w:p>
    <w:p w:rsidR="002875F4" w:rsidRPr="008E0075" w:rsidRDefault="002875F4" w:rsidP="002875F4">
      <w:pPr>
        <w:spacing w:after="0"/>
        <w:rPr>
          <w:rFonts w:ascii="Verdana" w:hAnsi="Verdana"/>
          <w:sz w:val="20"/>
          <w:lang w:val="es-CR"/>
        </w:rPr>
      </w:pPr>
    </w:p>
    <w:p w:rsidR="00F9608F" w:rsidRPr="008E0075" w:rsidRDefault="00F9608F" w:rsidP="002875F4">
      <w:pPr>
        <w:spacing w:after="0"/>
        <w:rPr>
          <w:rFonts w:ascii="Verdana" w:hAnsi="Verdana"/>
          <w:sz w:val="20"/>
          <w:lang w:val="es-CR"/>
        </w:rPr>
      </w:pPr>
      <w:r w:rsidRPr="008E0075">
        <w:rPr>
          <w:rFonts w:ascii="Verdana" w:hAnsi="Verdana"/>
          <w:sz w:val="20"/>
          <w:lang w:val="es-CR"/>
        </w:rPr>
        <w:t>Pablo Saavedra Alessandri, Secretario.</w:t>
      </w:r>
    </w:p>
    <w:p w:rsidR="002875F4" w:rsidRPr="008E0075" w:rsidRDefault="002875F4" w:rsidP="002875F4">
      <w:pPr>
        <w:spacing w:after="0"/>
        <w:jc w:val="both"/>
        <w:rPr>
          <w:rFonts w:ascii="Verdana" w:hAnsi="Verdana"/>
          <w:sz w:val="20"/>
          <w:lang w:val="es-CR"/>
        </w:rPr>
      </w:pPr>
    </w:p>
    <w:p w:rsidR="00F9608F" w:rsidRPr="008E0075" w:rsidRDefault="00F9608F" w:rsidP="002875F4">
      <w:pPr>
        <w:spacing w:after="0"/>
        <w:jc w:val="both"/>
        <w:rPr>
          <w:rFonts w:ascii="Verdana" w:hAnsi="Verdana"/>
          <w:sz w:val="20"/>
          <w:lang w:val="es-CR"/>
        </w:rPr>
      </w:pPr>
      <w:r w:rsidRPr="008E0075">
        <w:rPr>
          <w:rFonts w:ascii="Verdana" w:hAnsi="Verdana"/>
          <w:sz w:val="20"/>
          <w:lang w:val="es-CR"/>
        </w:rPr>
        <w:t xml:space="preserve">De conformidad con los artículos 62.3 y 63.1 de la Convención Americana sobre Derechos Humanos (en adelante “la Convención Americana” o “la Convención”) y con los artículos 31, 32, </w:t>
      </w:r>
      <w:r w:rsidR="00A6031C">
        <w:rPr>
          <w:rFonts w:ascii="Verdana" w:hAnsi="Verdana"/>
          <w:sz w:val="20"/>
          <w:lang w:val="es-CR"/>
        </w:rPr>
        <w:t xml:space="preserve">42, </w:t>
      </w:r>
      <w:r w:rsidRPr="008E0075">
        <w:rPr>
          <w:rFonts w:ascii="Verdana" w:hAnsi="Verdana"/>
          <w:sz w:val="20"/>
          <w:lang w:val="es-CR"/>
        </w:rPr>
        <w:t>65 y 67 del Reglamento de la Corte Interamericana (en adelante “Reglamento de la Corte” o “el Reglamento”), dicta la presente Sentencia que se estructura en el siguiente orden:</w:t>
      </w:r>
    </w:p>
    <w:p w:rsidR="00F9608F" w:rsidRDefault="00F9608F" w:rsidP="000615D6">
      <w:pPr>
        <w:spacing w:after="0" w:line="240" w:lineRule="auto"/>
        <w:rPr>
          <w:rFonts w:ascii="Verdana" w:hAnsi="Verdana"/>
          <w:sz w:val="20"/>
          <w:lang w:val="es-CR"/>
        </w:rPr>
      </w:pPr>
      <w:r w:rsidRPr="008E0075">
        <w:rPr>
          <w:rFonts w:ascii="Verdana" w:hAnsi="Verdana"/>
          <w:sz w:val="20"/>
          <w:lang w:val="es-CR"/>
        </w:rPr>
        <w:br w:type="page"/>
      </w:r>
    </w:p>
    <w:p w:rsidR="007224A2" w:rsidRPr="008446A9" w:rsidRDefault="008446A9" w:rsidP="003A1CEF">
      <w:pPr>
        <w:spacing w:after="0" w:line="240" w:lineRule="auto"/>
        <w:jc w:val="center"/>
        <w:rPr>
          <w:rFonts w:ascii="Verdana" w:hAnsi="Verdana"/>
          <w:b/>
          <w:sz w:val="20"/>
          <w:szCs w:val="20"/>
          <w:lang w:val="es-CR"/>
        </w:rPr>
      </w:pPr>
      <w:r>
        <w:rPr>
          <w:rFonts w:ascii="Verdana" w:hAnsi="Verdana"/>
          <w:b/>
          <w:sz w:val="20"/>
          <w:szCs w:val="20"/>
          <w:lang w:val="es-CR"/>
        </w:rPr>
        <w:lastRenderedPageBreak/>
        <w:t>Tabla de contenido</w:t>
      </w:r>
    </w:p>
    <w:p w:rsidR="007224A2" w:rsidRPr="00805D3A" w:rsidRDefault="007224A2" w:rsidP="003A1CEF">
      <w:pPr>
        <w:spacing w:after="0" w:line="240" w:lineRule="auto"/>
        <w:jc w:val="center"/>
        <w:rPr>
          <w:rFonts w:ascii="Verdana" w:hAnsi="Verdana"/>
          <w:b/>
          <w:sz w:val="18"/>
          <w:szCs w:val="18"/>
          <w:lang w:val="es-CR"/>
        </w:rPr>
      </w:pPr>
    </w:p>
    <w:p w:rsidR="00805D3A" w:rsidRPr="00805D3A" w:rsidRDefault="00940CF4">
      <w:pPr>
        <w:pStyle w:val="TDC1"/>
        <w:rPr>
          <w:rFonts w:ascii="Verdana" w:eastAsiaTheme="minorEastAsia" w:hAnsi="Verdana" w:cstheme="minorBidi"/>
          <w:b w:val="0"/>
          <w:bCs w:val="0"/>
          <w:caps w:val="0"/>
          <w:noProof/>
          <w:sz w:val="18"/>
          <w:szCs w:val="18"/>
        </w:rPr>
      </w:pPr>
      <w:r w:rsidRPr="00805D3A">
        <w:rPr>
          <w:rFonts w:ascii="Verdana" w:hAnsi="Verdana"/>
          <w:sz w:val="18"/>
          <w:szCs w:val="18"/>
          <w:lang w:val="es-CR"/>
        </w:rPr>
        <w:fldChar w:fldCharType="begin"/>
      </w:r>
      <w:r w:rsidRPr="00805D3A">
        <w:rPr>
          <w:rFonts w:ascii="Verdana" w:hAnsi="Verdana"/>
          <w:sz w:val="18"/>
          <w:szCs w:val="18"/>
          <w:lang w:val="es-CR"/>
        </w:rPr>
        <w:instrText xml:space="preserve"> TOC \o "1-5" \h \z \u </w:instrText>
      </w:r>
      <w:r w:rsidRPr="00805D3A">
        <w:rPr>
          <w:rFonts w:ascii="Verdana" w:hAnsi="Verdana"/>
          <w:sz w:val="18"/>
          <w:szCs w:val="18"/>
          <w:lang w:val="es-CR"/>
        </w:rPr>
        <w:fldChar w:fldCharType="separate"/>
      </w:r>
      <w:hyperlink w:anchor="_Toc24538816" w:history="1">
        <w:r w:rsidR="00805D3A" w:rsidRPr="00805D3A">
          <w:rPr>
            <w:rStyle w:val="Hipervnculo"/>
            <w:rFonts w:ascii="Verdana" w:hAnsi="Verdana"/>
            <w:noProof/>
            <w:sz w:val="18"/>
            <w:szCs w:val="18"/>
            <w:lang w:val="es-CR"/>
          </w:rPr>
          <w:t>I INTRODUCCIÓN A LA CAUSA Y OBJETO DE LA CONTROVERSIA</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_Toc24538816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3</w:t>
        </w:r>
        <w:r w:rsidR="00805D3A" w:rsidRPr="00805D3A">
          <w:rPr>
            <w:rFonts w:ascii="Verdana" w:hAnsi="Verdana"/>
            <w:noProof/>
            <w:webHidden/>
            <w:sz w:val="18"/>
            <w:szCs w:val="18"/>
          </w:rPr>
          <w:fldChar w:fldCharType="end"/>
        </w:r>
      </w:hyperlink>
    </w:p>
    <w:p w:rsidR="00805D3A" w:rsidRPr="00805D3A" w:rsidRDefault="001C18DD">
      <w:pPr>
        <w:pStyle w:val="TDC1"/>
        <w:rPr>
          <w:rFonts w:ascii="Verdana" w:eastAsiaTheme="minorEastAsia" w:hAnsi="Verdana" w:cstheme="minorBidi"/>
          <w:b w:val="0"/>
          <w:bCs w:val="0"/>
          <w:caps w:val="0"/>
          <w:noProof/>
          <w:sz w:val="18"/>
          <w:szCs w:val="18"/>
        </w:rPr>
      </w:pPr>
      <w:hyperlink w:anchor="_Toc24538817" w:history="1">
        <w:r w:rsidR="00805D3A" w:rsidRPr="00805D3A">
          <w:rPr>
            <w:rStyle w:val="Hipervnculo"/>
            <w:rFonts w:ascii="Verdana" w:hAnsi="Verdana"/>
            <w:noProof/>
            <w:sz w:val="18"/>
            <w:szCs w:val="18"/>
            <w:lang w:val="es-CR"/>
          </w:rPr>
          <w:t>II  PROCEDIMIENTO ANTE LA CORTE</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_Toc24538817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4</w:t>
        </w:r>
        <w:r w:rsidR="00805D3A" w:rsidRPr="00805D3A">
          <w:rPr>
            <w:rFonts w:ascii="Verdana" w:hAnsi="Verdana"/>
            <w:noProof/>
            <w:webHidden/>
            <w:sz w:val="18"/>
            <w:szCs w:val="18"/>
          </w:rPr>
          <w:fldChar w:fldCharType="end"/>
        </w:r>
      </w:hyperlink>
    </w:p>
    <w:p w:rsidR="00805D3A" w:rsidRPr="00805D3A" w:rsidRDefault="001C18DD">
      <w:pPr>
        <w:pStyle w:val="TDC1"/>
        <w:rPr>
          <w:rFonts w:ascii="Verdana" w:eastAsiaTheme="minorEastAsia" w:hAnsi="Verdana" w:cstheme="minorBidi"/>
          <w:b w:val="0"/>
          <w:bCs w:val="0"/>
          <w:caps w:val="0"/>
          <w:noProof/>
          <w:sz w:val="18"/>
          <w:szCs w:val="18"/>
        </w:rPr>
      </w:pPr>
      <w:hyperlink w:anchor="_Toc24538818" w:history="1">
        <w:r w:rsidR="00805D3A" w:rsidRPr="00805D3A">
          <w:rPr>
            <w:rStyle w:val="Hipervnculo"/>
            <w:rFonts w:ascii="Verdana" w:hAnsi="Verdana"/>
            <w:noProof/>
            <w:sz w:val="18"/>
            <w:szCs w:val="18"/>
            <w:lang w:val="es-CR"/>
          </w:rPr>
          <w:t>III COMPETENCIA</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_Toc24538818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6</w:t>
        </w:r>
        <w:r w:rsidR="00805D3A" w:rsidRPr="00805D3A">
          <w:rPr>
            <w:rFonts w:ascii="Verdana" w:hAnsi="Verdana"/>
            <w:noProof/>
            <w:webHidden/>
            <w:sz w:val="18"/>
            <w:szCs w:val="18"/>
          </w:rPr>
          <w:fldChar w:fldCharType="end"/>
        </w:r>
      </w:hyperlink>
    </w:p>
    <w:p w:rsidR="00805D3A" w:rsidRPr="00805D3A" w:rsidRDefault="001C18DD">
      <w:pPr>
        <w:pStyle w:val="TDC1"/>
        <w:rPr>
          <w:rFonts w:ascii="Verdana" w:eastAsiaTheme="minorEastAsia" w:hAnsi="Verdana" w:cstheme="minorBidi"/>
          <w:b w:val="0"/>
          <w:bCs w:val="0"/>
          <w:caps w:val="0"/>
          <w:noProof/>
          <w:sz w:val="18"/>
          <w:szCs w:val="18"/>
        </w:rPr>
      </w:pPr>
      <w:hyperlink w:anchor="_Toc24538819" w:history="1">
        <w:r w:rsidR="00805D3A" w:rsidRPr="00805D3A">
          <w:rPr>
            <w:rStyle w:val="Hipervnculo"/>
            <w:rFonts w:ascii="Verdana" w:hAnsi="Verdana"/>
            <w:noProof/>
            <w:sz w:val="18"/>
            <w:szCs w:val="18"/>
            <w:lang w:val="es-CR"/>
          </w:rPr>
          <w:t>IV EXCEPCIÓN PRELIMINAR</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_Toc24538819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6</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20" w:history="1">
        <w:r w:rsidR="00805D3A" w:rsidRPr="00805D3A">
          <w:rPr>
            <w:rStyle w:val="Hipervnculo"/>
            <w:rFonts w:ascii="Verdana" w:eastAsia="Verdana" w:hAnsi="Verdana" w:cs="Verdana"/>
            <w:b/>
            <w:noProof/>
            <w:sz w:val="18"/>
            <w:szCs w:val="18"/>
            <w:lang w:val="es-CR"/>
          </w:rPr>
          <w:t>A. Excepción preliminar de cosa juzgada</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_Toc24538820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6</w:t>
        </w:r>
        <w:r w:rsidR="00805D3A" w:rsidRPr="00805D3A">
          <w:rPr>
            <w:rFonts w:ascii="Verdana" w:hAnsi="Verdana"/>
            <w:noProof/>
            <w:webHidden/>
            <w:sz w:val="18"/>
            <w:szCs w:val="18"/>
          </w:rPr>
          <w:fldChar w:fldCharType="end"/>
        </w:r>
      </w:hyperlink>
    </w:p>
    <w:p w:rsidR="00805D3A" w:rsidRPr="00805D3A" w:rsidRDefault="001C18DD">
      <w:pPr>
        <w:pStyle w:val="TDC3"/>
        <w:rPr>
          <w:rFonts w:eastAsiaTheme="minorEastAsia" w:cstheme="minorBidi"/>
          <w:i w:val="0"/>
          <w:iCs w:val="0"/>
          <w:sz w:val="18"/>
          <w:szCs w:val="18"/>
          <w:lang w:val="en-US"/>
        </w:rPr>
      </w:pPr>
      <w:hyperlink w:anchor="_Toc24538821" w:history="1">
        <w:r w:rsidR="00805D3A" w:rsidRPr="00805D3A">
          <w:rPr>
            <w:rStyle w:val="Hipervnculo"/>
            <w:rFonts w:ascii="Verdana" w:hAnsi="Verdana"/>
            <w:sz w:val="18"/>
            <w:szCs w:val="18"/>
          </w:rPr>
          <w:t>A.1. Alegatos del Estado, observaciones de las representantes y de la Comisión.</w:t>
        </w:r>
        <w:r w:rsidR="00805D3A" w:rsidRPr="00805D3A">
          <w:rPr>
            <w:webHidden/>
            <w:sz w:val="18"/>
            <w:szCs w:val="18"/>
          </w:rPr>
          <w:tab/>
        </w:r>
        <w:r w:rsidR="00805D3A" w:rsidRPr="00805D3A">
          <w:rPr>
            <w:webHidden/>
            <w:sz w:val="18"/>
            <w:szCs w:val="18"/>
          </w:rPr>
          <w:fldChar w:fldCharType="begin"/>
        </w:r>
        <w:r w:rsidR="00805D3A" w:rsidRPr="00805D3A">
          <w:rPr>
            <w:webHidden/>
            <w:sz w:val="18"/>
            <w:szCs w:val="18"/>
          </w:rPr>
          <w:instrText xml:space="preserve"> PAGEREF _Toc24538821 \h </w:instrText>
        </w:r>
        <w:r w:rsidR="00805D3A" w:rsidRPr="00805D3A">
          <w:rPr>
            <w:webHidden/>
            <w:sz w:val="18"/>
            <w:szCs w:val="18"/>
          </w:rPr>
        </w:r>
        <w:r w:rsidR="00805D3A" w:rsidRPr="00805D3A">
          <w:rPr>
            <w:webHidden/>
            <w:sz w:val="18"/>
            <w:szCs w:val="18"/>
          </w:rPr>
          <w:fldChar w:fldCharType="separate"/>
        </w:r>
        <w:r w:rsidR="00830FDC">
          <w:rPr>
            <w:webHidden/>
            <w:sz w:val="18"/>
            <w:szCs w:val="18"/>
          </w:rPr>
          <w:t>6</w:t>
        </w:r>
        <w:r w:rsidR="00805D3A" w:rsidRPr="00805D3A">
          <w:rPr>
            <w:webHidden/>
            <w:sz w:val="18"/>
            <w:szCs w:val="18"/>
          </w:rPr>
          <w:fldChar w:fldCharType="end"/>
        </w:r>
      </w:hyperlink>
    </w:p>
    <w:p w:rsidR="00805D3A" w:rsidRPr="00805D3A" w:rsidRDefault="001C18DD">
      <w:pPr>
        <w:pStyle w:val="TDC3"/>
        <w:rPr>
          <w:rFonts w:eastAsiaTheme="minorEastAsia" w:cstheme="minorBidi"/>
          <w:i w:val="0"/>
          <w:iCs w:val="0"/>
          <w:sz w:val="18"/>
          <w:szCs w:val="18"/>
          <w:lang w:val="en-US"/>
        </w:rPr>
      </w:pPr>
      <w:hyperlink w:anchor="_Toc24538822" w:history="1">
        <w:r w:rsidR="00805D3A" w:rsidRPr="00805D3A">
          <w:rPr>
            <w:rStyle w:val="Hipervnculo"/>
            <w:rFonts w:ascii="Verdana" w:hAnsi="Verdana"/>
            <w:sz w:val="18"/>
            <w:szCs w:val="18"/>
            <w:lang w:val="es-ES"/>
          </w:rPr>
          <w:t>A.2. Consideraciones de la Corte</w:t>
        </w:r>
        <w:r w:rsidR="00805D3A" w:rsidRPr="00805D3A">
          <w:rPr>
            <w:webHidden/>
            <w:sz w:val="18"/>
            <w:szCs w:val="18"/>
          </w:rPr>
          <w:tab/>
        </w:r>
        <w:r w:rsidR="00805D3A" w:rsidRPr="00805D3A">
          <w:rPr>
            <w:webHidden/>
            <w:sz w:val="18"/>
            <w:szCs w:val="18"/>
          </w:rPr>
          <w:fldChar w:fldCharType="begin"/>
        </w:r>
        <w:r w:rsidR="00805D3A" w:rsidRPr="00805D3A">
          <w:rPr>
            <w:webHidden/>
            <w:sz w:val="18"/>
            <w:szCs w:val="18"/>
          </w:rPr>
          <w:instrText xml:space="preserve"> PAGEREF _Toc24538822 \h </w:instrText>
        </w:r>
        <w:r w:rsidR="00805D3A" w:rsidRPr="00805D3A">
          <w:rPr>
            <w:webHidden/>
            <w:sz w:val="18"/>
            <w:szCs w:val="18"/>
          </w:rPr>
        </w:r>
        <w:r w:rsidR="00805D3A" w:rsidRPr="00805D3A">
          <w:rPr>
            <w:webHidden/>
            <w:sz w:val="18"/>
            <w:szCs w:val="18"/>
          </w:rPr>
          <w:fldChar w:fldCharType="separate"/>
        </w:r>
        <w:r w:rsidR="00830FDC">
          <w:rPr>
            <w:webHidden/>
            <w:sz w:val="18"/>
            <w:szCs w:val="18"/>
          </w:rPr>
          <w:t>6</w:t>
        </w:r>
        <w:r w:rsidR="00805D3A" w:rsidRPr="00805D3A">
          <w:rPr>
            <w:webHidden/>
            <w:sz w:val="18"/>
            <w:szCs w:val="18"/>
          </w:rPr>
          <w:fldChar w:fldCharType="end"/>
        </w:r>
      </w:hyperlink>
    </w:p>
    <w:p w:rsidR="00805D3A" w:rsidRPr="00805D3A" w:rsidRDefault="001C18DD">
      <w:pPr>
        <w:pStyle w:val="TDC1"/>
        <w:rPr>
          <w:rFonts w:ascii="Verdana" w:eastAsiaTheme="minorEastAsia" w:hAnsi="Verdana" w:cstheme="minorBidi"/>
          <w:b w:val="0"/>
          <w:bCs w:val="0"/>
          <w:caps w:val="0"/>
          <w:noProof/>
          <w:sz w:val="18"/>
          <w:szCs w:val="18"/>
        </w:rPr>
      </w:pPr>
      <w:hyperlink w:anchor="_Toc24538823" w:history="1">
        <w:r w:rsidR="00805D3A" w:rsidRPr="00805D3A">
          <w:rPr>
            <w:rStyle w:val="Hipervnculo"/>
            <w:rFonts w:ascii="Verdana" w:eastAsia="Verdana" w:hAnsi="Verdana" w:cs="Verdana"/>
            <w:noProof/>
            <w:sz w:val="18"/>
            <w:szCs w:val="18"/>
            <w:lang w:val="es-CR"/>
          </w:rPr>
          <w:t>V CONSIDERACIONES PREVIAS</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_Toc24538823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7</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24" w:history="1">
        <w:r w:rsidR="00805D3A" w:rsidRPr="00805D3A">
          <w:rPr>
            <w:rStyle w:val="Hipervnculo"/>
            <w:rFonts w:ascii="Verdana" w:eastAsia="Verdana" w:hAnsi="Verdana" w:cs="Verdana"/>
            <w:b/>
            <w:noProof/>
            <w:sz w:val="18"/>
            <w:szCs w:val="18"/>
            <w:lang w:val="es-CR"/>
          </w:rPr>
          <w:t>A. Alegatos de las partes y la Comisión</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_Toc24538824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7</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25" w:history="1">
        <w:r w:rsidR="00805D3A" w:rsidRPr="00805D3A">
          <w:rPr>
            <w:rStyle w:val="Hipervnculo"/>
            <w:rFonts w:ascii="Verdana" w:eastAsia="Verdana" w:hAnsi="Verdana" w:cs="Verdana"/>
            <w:b/>
            <w:noProof/>
            <w:sz w:val="18"/>
            <w:szCs w:val="18"/>
            <w:lang w:val="es-CR"/>
          </w:rPr>
          <w:t>B. Consideraciones de la Corte</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_Toc24538825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7</w:t>
        </w:r>
        <w:r w:rsidR="00805D3A" w:rsidRPr="00805D3A">
          <w:rPr>
            <w:rFonts w:ascii="Verdana" w:hAnsi="Verdana"/>
            <w:noProof/>
            <w:webHidden/>
            <w:sz w:val="18"/>
            <w:szCs w:val="18"/>
          </w:rPr>
          <w:fldChar w:fldCharType="end"/>
        </w:r>
      </w:hyperlink>
    </w:p>
    <w:p w:rsidR="00805D3A" w:rsidRPr="00805D3A" w:rsidRDefault="001C18DD">
      <w:pPr>
        <w:pStyle w:val="TDC1"/>
        <w:rPr>
          <w:rFonts w:ascii="Verdana" w:eastAsiaTheme="minorEastAsia" w:hAnsi="Verdana" w:cstheme="minorBidi"/>
          <w:b w:val="0"/>
          <w:bCs w:val="0"/>
          <w:caps w:val="0"/>
          <w:noProof/>
          <w:sz w:val="18"/>
          <w:szCs w:val="18"/>
        </w:rPr>
      </w:pPr>
      <w:hyperlink w:anchor="_Toc24538826" w:history="1">
        <w:r w:rsidR="00805D3A" w:rsidRPr="00805D3A">
          <w:rPr>
            <w:rStyle w:val="Hipervnculo"/>
            <w:rFonts w:ascii="Verdana" w:eastAsia="Verdana" w:hAnsi="Verdana" w:cs="Verdana"/>
            <w:noProof/>
            <w:sz w:val="18"/>
            <w:szCs w:val="18"/>
            <w:lang w:val="es-CR"/>
          </w:rPr>
          <w:t>VI PRUEBA</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_Toc24538826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8</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27" w:history="1">
        <w:r w:rsidR="00805D3A" w:rsidRPr="00805D3A">
          <w:rPr>
            <w:rStyle w:val="Hipervnculo"/>
            <w:rFonts w:ascii="Verdana" w:eastAsia="Verdana" w:hAnsi="Verdana" w:cs="Verdana"/>
            <w:b/>
            <w:noProof/>
            <w:sz w:val="18"/>
            <w:szCs w:val="18"/>
            <w:lang w:val="es-CR"/>
          </w:rPr>
          <w:t>A. Admisión de prueba documental</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_Toc24538827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8</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28" w:history="1">
        <w:r w:rsidR="00805D3A" w:rsidRPr="00805D3A">
          <w:rPr>
            <w:rStyle w:val="Hipervnculo"/>
            <w:rFonts w:ascii="Verdana" w:eastAsia="Verdana" w:hAnsi="Verdana" w:cs="Verdana"/>
            <w:b/>
            <w:noProof/>
            <w:sz w:val="18"/>
            <w:szCs w:val="18"/>
            <w:lang w:val="es-CR"/>
          </w:rPr>
          <w:t>B. Admisibilidad de la prueba testimonial y pericial</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_Toc24538828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8</w:t>
        </w:r>
        <w:r w:rsidR="00805D3A" w:rsidRPr="00805D3A">
          <w:rPr>
            <w:rFonts w:ascii="Verdana" w:hAnsi="Verdana"/>
            <w:noProof/>
            <w:webHidden/>
            <w:sz w:val="18"/>
            <w:szCs w:val="18"/>
          </w:rPr>
          <w:fldChar w:fldCharType="end"/>
        </w:r>
      </w:hyperlink>
    </w:p>
    <w:p w:rsidR="00805D3A" w:rsidRPr="00805D3A" w:rsidRDefault="001C18DD">
      <w:pPr>
        <w:pStyle w:val="TDC1"/>
        <w:rPr>
          <w:rFonts w:ascii="Verdana" w:eastAsiaTheme="minorEastAsia" w:hAnsi="Verdana" w:cstheme="minorBidi"/>
          <w:b w:val="0"/>
          <w:bCs w:val="0"/>
          <w:caps w:val="0"/>
          <w:noProof/>
          <w:sz w:val="18"/>
          <w:szCs w:val="18"/>
        </w:rPr>
      </w:pPr>
      <w:hyperlink w:anchor="_Toc24538829" w:history="1">
        <w:r w:rsidR="00805D3A" w:rsidRPr="00805D3A">
          <w:rPr>
            <w:rStyle w:val="Hipervnculo"/>
            <w:rFonts w:ascii="Verdana" w:hAnsi="Verdana"/>
            <w:noProof/>
            <w:sz w:val="18"/>
            <w:szCs w:val="18"/>
            <w:lang w:val="es-CR"/>
          </w:rPr>
          <w:t>VII HECHOS</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_Toc24538829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8</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30" w:history="1">
        <w:r w:rsidR="00805D3A" w:rsidRPr="00805D3A">
          <w:rPr>
            <w:rStyle w:val="Hipervnculo"/>
            <w:rFonts w:ascii="Verdana" w:hAnsi="Verdana"/>
            <w:b/>
            <w:noProof/>
            <w:sz w:val="18"/>
            <w:szCs w:val="18"/>
            <w:lang w:val="es-CR"/>
          </w:rPr>
          <w:t>A. Normativa en Guatemala</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_Toc24538830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8</w:t>
        </w:r>
        <w:r w:rsidR="00805D3A" w:rsidRPr="00805D3A">
          <w:rPr>
            <w:rFonts w:ascii="Verdana" w:hAnsi="Verdana"/>
            <w:noProof/>
            <w:webHidden/>
            <w:sz w:val="18"/>
            <w:szCs w:val="18"/>
          </w:rPr>
          <w:fldChar w:fldCharType="end"/>
        </w:r>
      </w:hyperlink>
    </w:p>
    <w:p w:rsidR="00805D3A" w:rsidRPr="00805D3A" w:rsidRDefault="001C18DD">
      <w:pPr>
        <w:pStyle w:val="TDC3"/>
        <w:rPr>
          <w:rFonts w:eastAsiaTheme="minorEastAsia" w:cstheme="minorBidi"/>
          <w:i w:val="0"/>
          <w:iCs w:val="0"/>
          <w:sz w:val="18"/>
          <w:szCs w:val="18"/>
          <w:lang w:val="en-US"/>
        </w:rPr>
      </w:pPr>
      <w:hyperlink w:anchor="_Toc24538831" w:history="1">
        <w:r w:rsidR="00805D3A" w:rsidRPr="00805D3A">
          <w:rPr>
            <w:rStyle w:val="Hipervnculo"/>
            <w:rFonts w:ascii="Verdana" w:hAnsi="Verdana" w:cs="Verdana"/>
            <w:sz w:val="18"/>
            <w:szCs w:val="18"/>
          </w:rPr>
          <w:t>A.1. Normas vigentes en Guatemala al momento de los hechos:</w:t>
        </w:r>
        <w:r w:rsidR="00805D3A" w:rsidRPr="00805D3A">
          <w:rPr>
            <w:webHidden/>
            <w:sz w:val="18"/>
            <w:szCs w:val="18"/>
          </w:rPr>
          <w:tab/>
        </w:r>
        <w:r w:rsidR="00805D3A" w:rsidRPr="00805D3A">
          <w:rPr>
            <w:webHidden/>
            <w:sz w:val="18"/>
            <w:szCs w:val="18"/>
          </w:rPr>
          <w:fldChar w:fldCharType="begin"/>
        </w:r>
        <w:r w:rsidR="00805D3A" w:rsidRPr="00805D3A">
          <w:rPr>
            <w:webHidden/>
            <w:sz w:val="18"/>
            <w:szCs w:val="18"/>
          </w:rPr>
          <w:instrText xml:space="preserve"> PAGEREF _Toc24538831 \h </w:instrText>
        </w:r>
        <w:r w:rsidR="00805D3A" w:rsidRPr="00805D3A">
          <w:rPr>
            <w:webHidden/>
            <w:sz w:val="18"/>
            <w:szCs w:val="18"/>
          </w:rPr>
        </w:r>
        <w:r w:rsidR="00805D3A" w:rsidRPr="00805D3A">
          <w:rPr>
            <w:webHidden/>
            <w:sz w:val="18"/>
            <w:szCs w:val="18"/>
          </w:rPr>
          <w:fldChar w:fldCharType="separate"/>
        </w:r>
        <w:r w:rsidR="00830FDC">
          <w:rPr>
            <w:webHidden/>
            <w:sz w:val="18"/>
            <w:szCs w:val="18"/>
          </w:rPr>
          <w:t>8</w:t>
        </w:r>
        <w:r w:rsidR="00805D3A" w:rsidRPr="00805D3A">
          <w:rPr>
            <w:webHidden/>
            <w:sz w:val="18"/>
            <w:szCs w:val="18"/>
          </w:rPr>
          <w:fldChar w:fldCharType="end"/>
        </w:r>
      </w:hyperlink>
    </w:p>
    <w:p w:rsidR="00805D3A" w:rsidRPr="00805D3A" w:rsidRDefault="001C18DD">
      <w:pPr>
        <w:pStyle w:val="TDC3"/>
        <w:rPr>
          <w:rFonts w:eastAsiaTheme="minorEastAsia" w:cstheme="minorBidi"/>
          <w:i w:val="0"/>
          <w:iCs w:val="0"/>
          <w:sz w:val="18"/>
          <w:szCs w:val="18"/>
          <w:lang w:val="en-US"/>
        </w:rPr>
      </w:pPr>
      <w:hyperlink w:anchor="_Toc24538832" w:history="1">
        <w:r w:rsidR="00805D3A" w:rsidRPr="00805D3A">
          <w:rPr>
            <w:rStyle w:val="Hipervnculo"/>
            <w:rFonts w:ascii="Verdana" w:hAnsi="Verdana" w:cs="Verdana"/>
            <w:sz w:val="18"/>
            <w:szCs w:val="18"/>
          </w:rPr>
          <w:t>A.2. Regulación respecto la designación de defensa</w:t>
        </w:r>
        <w:r w:rsidR="00805D3A" w:rsidRPr="00805D3A">
          <w:rPr>
            <w:webHidden/>
            <w:sz w:val="18"/>
            <w:szCs w:val="18"/>
          </w:rPr>
          <w:tab/>
        </w:r>
        <w:r w:rsidR="00805D3A" w:rsidRPr="00805D3A">
          <w:rPr>
            <w:webHidden/>
            <w:sz w:val="18"/>
            <w:szCs w:val="18"/>
          </w:rPr>
          <w:fldChar w:fldCharType="begin"/>
        </w:r>
        <w:r w:rsidR="00805D3A" w:rsidRPr="00805D3A">
          <w:rPr>
            <w:webHidden/>
            <w:sz w:val="18"/>
            <w:szCs w:val="18"/>
          </w:rPr>
          <w:instrText xml:space="preserve"> PAGEREF _Toc24538832 \h </w:instrText>
        </w:r>
        <w:r w:rsidR="00805D3A" w:rsidRPr="00805D3A">
          <w:rPr>
            <w:webHidden/>
            <w:sz w:val="18"/>
            <w:szCs w:val="18"/>
          </w:rPr>
        </w:r>
        <w:r w:rsidR="00805D3A" w:rsidRPr="00805D3A">
          <w:rPr>
            <w:webHidden/>
            <w:sz w:val="18"/>
            <w:szCs w:val="18"/>
          </w:rPr>
          <w:fldChar w:fldCharType="separate"/>
        </w:r>
        <w:r w:rsidR="00830FDC">
          <w:rPr>
            <w:webHidden/>
            <w:sz w:val="18"/>
            <w:szCs w:val="18"/>
          </w:rPr>
          <w:t>10</w:t>
        </w:r>
        <w:r w:rsidR="00805D3A" w:rsidRPr="00805D3A">
          <w:rPr>
            <w:webHidden/>
            <w:sz w:val="18"/>
            <w:szCs w:val="18"/>
          </w:rPr>
          <w:fldChar w:fldCharType="end"/>
        </w:r>
      </w:hyperlink>
    </w:p>
    <w:p w:rsidR="00805D3A" w:rsidRPr="00805D3A" w:rsidRDefault="001C18DD">
      <w:pPr>
        <w:pStyle w:val="TDC3"/>
        <w:rPr>
          <w:rFonts w:eastAsiaTheme="minorEastAsia" w:cstheme="minorBidi"/>
          <w:i w:val="0"/>
          <w:iCs w:val="0"/>
          <w:sz w:val="18"/>
          <w:szCs w:val="18"/>
          <w:lang w:val="en-US"/>
        </w:rPr>
      </w:pPr>
      <w:hyperlink w:anchor="_Toc24538833" w:history="1">
        <w:r w:rsidR="00805D3A" w:rsidRPr="00805D3A">
          <w:rPr>
            <w:rStyle w:val="Hipervnculo"/>
            <w:rFonts w:ascii="Verdana" w:hAnsi="Verdana" w:cs="Verdana"/>
            <w:sz w:val="18"/>
            <w:szCs w:val="18"/>
          </w:rPr>
          <w:t>A.3. Modificaciones en la regulación de la pena de muerte en Guatemala</w:t>
        </w:r>
        <w:r w:rsidR="00805D3A" w:rsidRPr="00805D3A">
          <w:rPr>
            <w:webHidden/>
            <w:sz w:val="18"/>
            <w:szCs w:val="18"/>
          </w:rPr>
          <w:tab/>
        </w:r>
        <w:r w:rsidR="00805D3A" w:rsidRPr="00805D3A">
          <w:rPr>
            <w:webHidden/>
            <w:sz w:val="18"/>
            <w:szCs w:val="18"/>
          </w:rPr>
          <w:fldChar w:fldCharType="begin"/>
        </w:r>
        <w:r w:rsidR="00805D3A" w:rsidRPr="00805D3A">
          <w:rPr>
            <w:webHidden/>
            <w:sz w:val="18"/>
            <w:szCs w:val="18"/>
          </w:rPr>
          <w:instrText xml:space="preserve"> PAGEREF _Toc24538833 \h </w:instrText>
        </w:r>
        <w:r w:rsidR="00805D3A" w:rsidRPr="00805D3A">
          <w:rPr>
            <w:webHidden/>
            <w:sz w:val="18"/>
            <w:szCs w:val="18"/>
          </w:rPr>
        </w:r>
        <w:r w:rsidR="00805D3A" w:rsidRPr="00805D3A">
          <w:rPr>
            <w:webHidden/>
            <w:sz w:val="18"/>
            <w:szCs w:val="18"/>
          </w:rPr>
          <w:fldChar w:fldCharType="separate"/>
        </w:r>
        <w:r w:rsidR="00830FDC">
          <w:rPr>
            <w:webHidden/>
            <w:sz w:val="18"/>
            <w:szCs w:val="18"/>
          </w:rPr>
          <w:t>10</w:t>
        </w:r>
        <w:r w:rsidR="00805D3A" w:rsidRPr="00805D3A">
          <w:rPr>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34" w:history="1">
        <w:r w:rsidR="00805D3A" w:rsidRPr="00805D3A">
          <w:rPr>
            <w:rStyle w:val="Hipervnculo"/>
            <w:rFonts w:ascii="Verdana" w:hAnsi="Verdana"/>
            <w:b/>
            <w:noProof/>
            <w:sz w:val="18"/>
            <w:szCs w:val="18"/>
            <w:lang w:val="es-CR"/>
          </w:rPr>
          <w:t>B. Proceso penal y ejecución de los señores Roberto Girón y Pedro Castillo</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_Toc24538834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11</w:t>
        </w:r>
        <w:r w:rsidR="00805D3A" w:rsidRPr="00805D3A">
          <w:rPr>
            <w:rFonts w:ascii="Verdana" w:hAnsi="Verdana"/>
            <w:noProof/>
            <w:webHidden/>
            <w:sz w:val="18"/>
            <w:szCs w:val="18"/>
          </w:rPr>
          <w:fldChar w:fldCharType="end"/>
        </w:r>
      </w:hyperlink>
    </w:p>
    <w:p w:rsidR="00805D3A" w:rsidRPr="00805D3A" w:rsidRDefault="001C18DD">
      <w:pPr>
        <w:pStyle w:val="TDC3"/>
        <w:rPr>
          <w:rFonts w:eastAsiaTheme="minorEastAsia" w:cstheme="minorBidi"/>
          <w:i w:val="0"/>
          <w:iCs w:val="0"/>
          <w:sz w:val="18"/>
          <w:szCs w:val="18"/>
          <w:lang w:val="en-US"/>
        </w:rPr>
      </w:pPr>
      <w:hyperlink w:anchor="_Toc24538835" w:history="1">
        <w:r w:rsidR="00805D3A" w:rsidRPr="00805D3A">
          <w:rPr>
            <w:rStyle w:val="Hipervnculo"/>
            <w:rFonts w:ascii="Verdana" w:hAnsi="Verdana"/>
            <w:sz w:val="18"/>
            <w:szCs w:val="18"/>
          </w:rPr>
          <w:t>B.1.  Hechos respecto al proceso penal y la ejecución de los señores Girón y Castillo</w:t>
        </w:r>
        <w:r w:rsidR="00805D3A" w:rsidRPr="00805D3A">
          <w:rPr>
            <w:webHidden/>
            <w:sz w:val="18"/>
            <w:szCs w:val="18"/>
          </w:rPr>
          <w:tab/>
        </w:r>
        <w:r w:rsidR="00805D3A" w:rsidRPr="00805D3A">
          <w:rPr>
            <w:webHidden/>
            <w:sz w:val="18"/>
            <w:szCs w:val="18"/>
          </w:rPr>
          <w:fldChar w:fldCharType="begin"/>
        </w:r>
        <w:r w:rsidR="00805D3A" w:rsidRPr="00805D3A">
          <w:rPr>
            <w:webHidden/>
            <w:sz w:val="18"/>
            <w:szCs w:val="18"/>
          </w:rPr>
          <w:instrText xml:space="preserve"> PAGEREF _Toc24538835 \h </w:instrText>
        </w:r>
        <w:r w:rsidR="00805D3A" w:rsidRPr="00805D3A">
          <w:rPr>
            <w:webHidden/>
            <w:sz w:val="18"/>
            <w:szCs w:val="18"/>
          </w:rPr>
        </w:r>
        <w:r w:rsidR="00805D3A" w:rsidRPr="00805D3A">
          <w:rPr>
            <w:webHidden/>
            <w:sz w:val="18"/>
            <w:szCs w:val="18"/>
          </w:rPr>
          <w:fldChar w:fldCharType="separate"/>
        </w:r>
        <w:r w:rsidR="00830FDC">
          <w:rPr>
            <w:webHidden/>
            <w:sz w:val="18"/>
            <w:szCs w:val="18"/>
          </w:rPr>
          <w:t>11</w:t>
        </w:r>
        <w:r w:rsidR="00805D3A" w:rsidRPr="00805D3A">
          <w:rPr>
            <w:webHidden/>
            <w:sz w:val="18"/>
            <w:szCs w:val="18"/>
          </w:rPr>
          <w:fldChar w:fldCharType="end"/>
        </w:r>
      </w:hyperlink>
    </w:p>
    <w:p w:rsidR="00805D3A" w:rsidRPr="00805D3A" w:rsidRDefault="001C18DD">
      <w:pPr>
        <w:pStyle w:val="TDC1"/>
        <w:rPr>
          <w:rFonts w:ascii="Verdana" w:eastAsiaTheme="minorEastAsia" w:hAnsi="Verdana" w:cstheme="minorBidi"/>
          <w:b w:val="0"/>
          <w:bCs w:val="0"/>
          <w:caps w:val="0"/>
          <w:noProof/>
          <w:sz w:val="18"/>
          <w:szCs w:val="18"/>
        </w:rPr>
      </w:pPr>
      <w:hyperlink w:anchor="_Toc24538836" w:history="1">
        <w:r w:rsidR="00805D3A" w:rsidRPr="00805D3A">
          <w:rPr>
            <w:rStyle w:val="Hipervnculo"/>
            <w:rFonts w:ascii="Verdana" w:hAnsi="Verdana"/>
            <w:noProof/>
            <w:sz w:val="18"/>
            <w:szCs w:val="18"/>
            <w:lang w:val="es-CR"/>
          </w:rPr>
          <w:t>VIII FONDO</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_Toc24538836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15</w:t>
        </w:r>
        <w:r w:rsidR="00805D3A" w:rsidRPr="00805D3A">
          <w:rPr>
            <w:rFonts w:ascii="Verdana" w:hAnsi="Verdana"/>
            <w:noProof/>
            <w:webHidden/>
            <w:sz w:val="18"/>
            <w:szCs w:val="18"/>
          </w:rPr>
          <w:fldChar w:fldCharType="end"/>
        </w:r>
      </w:hyperlink>
    </w:p>
    <w:p w:rsidR="00805D3A" w:rsidRPr="00805D3A" w:rsidRDefault="001C18DD">
      <w:pPr>
        <w:pStyle w:val="TDC1"/>
        <w:rPr>
          <w:rFonts w:ascii="Verdana" w:eastAsiaTheme="minorEastAsia" w:hAnsi="Verdana" w:cstheme="minorBidi"/>
          <w:b w:val="0"/>
          <w:bCs w:val="0"/>
          <w:caps w:val="0"/>
          <w:noProof/>
          <w:sz w:val="18"/>
          <w:szCs w:val="18"/>
        </w:rPr>
      </w:pPr>
      <w:hyperlink w:anchor="_Toc24538837" w:history="1">
        <w:r w:rsidR="00805D3A" w:rsidRPr="00805D3A">
          <w:rPr>
            <w:rStyle w:val="Hipervnculo"/>
            <w:rFonts w:ascii="Verdana" w:eastAsia="Verdana" w:hAnsi="Verdana" w:cs="Verdana"/>
            <w:noProof/>
            <w:sz w:val="18"/>
            <w:szCs w:val="18"/>
            <w:lang w:val="es-CR"/>
          </w:rPr>
          <w:t xml:space="preserve">VIII-1  </w:t>
        </w:r>
        <w:r w:rsidR="00805D3A" w:rsidRPr="00805D3A">
          <w:rPr>
            <w:rStyle w:val="Hipervnculo"/>
            <w:rFonts w:ascii="Verdana" w:hAnsi="Verdana"/>
            <w:noProof/>
            <w:sz w:val="18"/>
            <w:szCs w:val="18"/>
            <w:lang w:val="es-CR"/>
          </w:rPr>
          <w:t>DERECHO A LA VIDA</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_Toc24538837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16</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38" w:history="1">
        <w:r w:rsidR="00805D3A" w:rsidRPr="00805D3A">
          <w:rPr>
            <w:rStyle w:val="Hipervnculo"/>
            <w:rFonts w:ascii="Verdana" w:eastAsia="Verdana" w:hAnsi="Verdana" w:cs="Verdana"/>
            <w:b/>
            <w:noProof/>
            <w:sz w:val="18"/>
            <w:szCs w:val="18"/>
            <w:lang w:val="es-CR"/>
          </w:rPr>
          <w:t>A. Alegatos de la Comisión y las partes</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_Toc24538838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16</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39" w:history="1">
        <w:r w:rsidR="00805D3A" w:rsidRPr="00805D3A">
          <w:rPr>
            <w:rStyle w:val="Hipervnculo"/>
            <w:rFonts w:ascii="Verdana" w:eastAsia="Verdana" w:hAnsi="Verdana" w:cs="Verdana"/>
            <w:b/>
            <w:noProof/>
            <w:sz w:val="18"/>
            <w:szCs w:val="18"/>
            <w:lang w:val="es-CR"/>
          </w:rPr>
          <w:t>B. Consideraciones de la Corte</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_Toc24538839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16</w:t>
        </w:r>
        <w:r w:rsidR="00805D3A" w:rsidRPr="00805D3A">
          <w:rPr>
            <w:rFonts w:ascii="Verdana" w:hAnsi="Verdana"/>
            <w:noProof/>
            <w:webHidden/>
            <w:sz w:val="18"/>
            <w:szCs w:val="18"/>
          </w:rPr>
          <w:fldChar w:fldCharType="end"/>
        </w:r>
      </w:hyperlink>
    </w:p>
    <w:p w:rsidR="00805D3A" w:rsidRPr="00805D3A" w:rsidRDefault="001C18DD">
      <w:pPr>
        <w:pStyle w:val="TDC3"/>
        <w:rPr>
          <w:rFonts w:eastAsiaTheme="minorEastAsia" w:cstheme="minorBidi"/>
          <w:i w:val="0"/>
          <w:iCs w:val="0"/>
          <w:sz w:val="18"/>
          <w:szCs w:val="18"/>
          <w:lang w:val="en-US"/>
        </w:rPr>
      </w:pPr>
      <w:hyperlink w:anchor="_Toc24538840" w:history="1">
        <w:r w:rsidR="00805D3A" w:rsidRPr="00805D3A">
          <w:rPr>
            <w:rStyle w:val="Hipervnculo"/>
            <w:rFonts w:ascii="Verdana" w:hAnsi="Verdana"/>
            <w:sz w:val="18"/>
            <w:szCs w:val="18"/>
          </w:rPr>
          <w:t xml:space="preserve">B.1. Imposición obligatoria de la pena de muerte establecida en el artículo 175 </w:t>
        </w:r>
        <w:r w:rsidR="00805D3A" w:rsidRPr="00805D3A">
          <w:rPr>
            <w:rStyle w:val="Hipervnculo"/>
            <w:rFonts w:ascii="Verdana" w:hAnsi="Verdana" w:cs="Verdana"/>
            <w:sz w:val="18"/>
            <w:szCs w:val="18"/>
          </w:rPr>
          <w:t>(Decreto 17-73)</w:t>
        </w:r>
        <w:r w:rsidR="00805D3A" w:rsidRPr="00805D3A">
          <w:rPr>
            <w:rStyle w:val="Hipervnculo"/>
            <w:rFonts w:ascii="Verdana" w:hAnsi="Verdana"/>
            <w:sz w:val="18"/>
            <w:szCs w:val="18"/>
          </w:rPr>
          <w:t xml:space="preserve"> del Código Penal de la República de Guatemala.</w:t>
        </w:r>
        <w:r w:rsidR="00805D3A" w:rsidRPr="00805D3A">
          <w:rPr>
            <w:webHidden/>
            <w:sz w:val="18"/>
            <w:szCs w:val="18"/>
          </w:rPr>
          <w:tab/>
        </w:r>
        <w:r w:rsidR="00805D3A" w:rsidRPr="00805D3A">
          <w:rPr>
            <w:webHidden/>
            <w:sz w:val="18"/>
            <w:szCs w:val="18"/>
          </w:rPr>
          <w:fldChar w:fldCharType="begin"/>
        </w:r>
        <w:r w:rsidR="00805D3A" w:rsidRPr="00805D3A">
          <w:rPr>
            <w:webHidden/>
            <w:sz w:val="18"/>
            <w:szCs w:val="18"/>
          </w:rPr>
          <w:instrText xml:space="preserve"> PAGEREF _Toc24538840 \h </w:instrText>
        </w:r>
        <w:r w:rsidR="00805D3A" w:rsidRPr="00805D3A">
          <w:rPr>
            <w:webHidden/>
            <w:sz w:val="18"/>
            <w:szCs w:val="18"/>
          </w:rPr>
        </w:r>
        <w:r w:rsidR="00805D3A" w:rsidRPr="00805D3A">
          <w:rPr>
            <w:webHidden/>
            <w:sz w:val="18"/>
            <w:szCs w:val="18"/>
          </w:rPr>
          <w:fldChar w:fldCharType="separate"/>
        </w:r>
        <w:r w:rsidR="00830FDC">
          <w:rPr>
            <w:webHidden/>
            <w:sz w:val="18"/>
            <w:szCs w:val="18"/>
          </w:rPr>
          <w:t>17</w:t>
        </w:r>
        <w:r w:rsidR="00805D3A" w:rsidRPr="00805D3A">
          <w:rPr>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41" w:history="1">
        <w:r w:rsidR="00805D3A" w:rsidRPr="00805D3A">
          <w:rPr>
            <w:rStyle w:val="Hipervnculo"/>
            <w:rFonts w:ascii="Verdana" w:eastAsia="Verdana" w:hAnsi="Verdana" w:cs="Verdana"/>
            <w:b/>
            <w:noProof/>
            <w:sz w:val="18"/>
            <w:szCs w:val="18"/>
          </w:rPr>
          <w:t>C. Conclusión</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_Toc24538841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19</w:t>
        </w:r>
        <w:r w:rsidR="00805D3A" w:rsidRPr="00805D3A">
          <w:rPr>
            <w:rFonts w:ascii="Verdana" w:hAnsi="Verdana"/>
            <w:noProof/>
            <w:webHidden/>
            <w:sz w:val="18"/>
            <w:szCs w:val="18"/>
          </w:rPr>
          <w:fldChar w:fldCharType="end"/>
        </w:r>
      </w:hyperlink>
    </w:p>
    <w:p w:rsidR="00805D3A" w:rsidRPr="00805D3A" w:rsidRDefault="001C18DD">
      <w:pPr>
        <w:pStyle w:val="TDC1"/>
        <w:rPr>
          <w:rFonts w:ascii="Verdana" w:eastAsiaTheme="minorEastAsia" w:hAnsi="Verdana" w:cstheme="minorBidi"/>
          <w:b w:val="0"/>
          <w:bCs w:val="0"/>
          <w:caps w:val="0"/>
          <w:noProof/>
          <w:sz w:val="18"/>
          <w:szCs w:val="18"/>
        </w:rPr>
      </w:pPr>
      <w:hyperlink w:anchor="_Toc24538842" w:history="1">
        <w:r w:rsidR="00805D3A" w:rsidRPr="00805D3A">
          <w:rPr>
            <w:rStyle w:val="Hipervnculo"/>
            <w:rFonts w:ascii="Verdana" w:hAnsi="Verdana"/>
            <w:noProof/>
            <w:sz w:val="18"/>
            <w:szCs w:val="18"/>
            <w:lang w:val="es-CR"/>
          </w:rPr>
          <w:t>VIII-2  INTEGRIDAD PERSONAL</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_Toc24538842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19</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43" w:history="1">
        <w:r w:rsidR="00805D3A" w:rsidRPr="00805D3A">
          <w:rPr>
            <w:rStyle w:val="Hipervnculo"/>
            <w:rFonts w:ascii="Verdana" w:eastAsia="Verdana" w:hAnsi="Verdana" w:cs="Verdana"/>
            <w:b/>
            <w:noProof/>
            <w:sz w:val="18"/>
            <w:szCs w:val="18"/>
            <w:lang w:val="es-CR"/>
          </w:rPr>
          <w:t>A. Alegatos de la Comisión y las partes</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_Toc24538843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19</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44" w:history="1">
        <w:r w:rsidR="00805D3A" w:rsidRPr="00805D3A">
          <w:rPr>
            <w:rStyle w:val="Hipervnculo"/>
            <w:rFonts w:ascii="Verdana" w:eastAsia="Verdana" w:hAnsi="Verdana" w:cs="Verdana"/>
            <w:b/>
            <w:noProof/>
            <w:sz w:val="18"/>
            <w:szCs w:val="18"/>
          </w:rPr>
          <w:t>B. Consideraciones de la Corte</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_Toc24538844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20</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45" w:history="1">
        <w:r w:rsidR="00805D3A" w:rsidRPr="00805D3A">
          <w:rPr>
            <w:rStyle w:val="Hipervnculo"/>
            <w:rFonts w:ascii="Verdana" w:hAnsi="Verdana"/>
            <w:b/>
            <w:noProof/>
            <w:sz w:val="18"/>
            <w:szCs w:val="18"/>
            <w:lang w:val="es-CR"/>
          </w:rPr>
          <w:t>C. Conclusión</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_Toc24538845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23</w:t>
        </w:r>
        <w:r w:rsidR="00805D3A" w:rsidRPr="00805D3A">
          <w:rPr>
            <w:rFonts w:ascii="Verdana" w:hAnsi="Verdana"/>
            <w:noProof/>
            <w:webHidden/>
            <w:sz w:val="18"/>
            <w:szCs w:val="18"/>
          </w:rPr>
          <w:fldChar w:fldCharType="end"/>
        </w:r>
      </w:hyperlink>
    </w:p>
    <w:p w:rsidR="00805D3A" w:rsidRPr="00805D3A" w:rsidRDefault="001C18DD">
      <w:pPr>
        <w:pStyle w:val="TDC1"/>
        <w:rPr>
          <w:rFonts w:ascii="Verdana" w:eastAsiaTheme="minorEastAsia" w:hAnsi="Verdana" w:cstheme="minorBidi"/>
          <w:b w:val="0"/>
          <w:bCs w:val="0"/>
          <w:caps w:val="0"/>
          <w:noProof/>
          <w:sz w:val="18"/>
          <w:szCs w:val="18"/>
        </w:rPr>
      </w:pPr>
      <w:hyperlink w:anchor="_Toc24538846" w:history="1">
        <w:r w:rsidR="00805D3A" w:rsidRPr="00805D3A">
          <w:rPr>
            <w:rStyle w:val="Hipervnculo"/>
            <w:rFonts w:ascii="Verdana" w:eastAsia="Verdana" w:hAnsi="Verdana" w:cs="Verdana"/>
            <w:noProof/>
            <w:sz w:val="18"/>
            <w:szCs w:val="18"/>
            <w:lang w:val="es-CR"/>
          </w:rPr>
          <w:t xml:space="preserve">VIII-3 </w:t>
        </w:r>
        <w:r w:rsidR="00805D3A" w:rsidRPr="00805D3A">
          <w:rPr>
            <w:rStyle w:val="Hipervnculo"/>
            <w:rFonts w:ascii="Verdana" w:hAnsi="Verdana"/>
            <w:noProof/>
            <w:sz w:val="18"/>
            <w:szCs w:val="18"/>
            <w:lang w:val="es-CR"/>
          </w:rPr>
          <w:t>DERECHO A LAS GARANTÍAS JUDICIALES</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_Toc24538846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24</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47" w:history="1">
        <w:r w:rsidR="00805D3A" w:rsidRPr="00805D3A">
          <w:rPr>
            <w:rStyle w:val="Hipervnculo"/>
            <w:rFonts w:ascii="Verdana" w:eastAsia="Verdana" w:hAnsi="Verdana" w:cs="Verdana"/>
            <w:b/>
            <w:noProof/>
            <w:sz w:val="18"/>
            <w:szCs w:val="18"/>
            <w:lang w:val="es-CR"/>
          </w:rPr>
          <w:t>A. Alegatos de la Comisión y las partes</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_Toc24538847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24</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48" w:history="1">
        <w:r w:rsidR="00805D3A" w:rsidRPr="00805D3A">
          <w:rPr>
            <w:rStyle w:val="Hipervnculo"/>
            <w:rFonts w:ascii="Verdana" w:eastAsia="Verdana" w:hAnsi="Verdana" w:cs="Verdana"/>
            <w:b/>
            <w:noProof/>
            <w:sz w:val="18"/>
            <w:szCs w:val="18"/>
            <w:lang w:val="es-CR"/>
          </w:rPr>
          <w:t>B. Consideraciones de la Corte</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_Toc24538848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25</w:t>
        </w:r>
        <w:r w:rsidR="00805D3A" w:rsidRPr="00805D3A">
          <w:rPr>
            <w:rFonts w:ascii="Verdana" w:hAnsi="Verdana"/>
            <w:noProof/>
            <w:webHidden/>
            <w:sz w:val="18"/>
            <w:szCs w:val="18"/>
          </w:rPr>
          <w:fldChar w:fldCharType="end"/>
        </w:r>
      </w:hyperlink>
    </w:p>
    <w:p w:rsidR="00805D3A" w:rsidRPr="00805D3A" w:rsidRDefault="001C18DD">
      <w:pPr>
        <w:pStyle w:val="TDC3"/>
        <w:rPr>
          <w:rFonts w:eastAsiaTheme="minorEastAsia" w:cstheme="minorBidi"/>
          <w:i w:val="0"/>
          <w:iCs w:val="0"/>
          <w:sz w:val="18"/>
          <w:szCs w:val="18"/>
          <w:lang w:val="en-US"/>
        </w:rPr>
      </w:pPr>
      <w:hyperlink w:anchor="_Toc24538849" w:history="1">
        <w:r w:rsidR="00805D3A" w:rsidRPr="00805D3A">
          <w:rPr>
            <w:rStyle w:val="Hipervnculo"/>
            <w:rFonts w:ascii="Verdana" w:eastAsia="Batang" w:hAnsi="Verdana" w:cs="Times"/>
            <w:sz w:val="18"/>
            <w:szCs w:val="18"/>
            <w:lang w:val="es-MX"/>
          </w:rPr>
          <w:t>B.1. La ausencia de defensa técnica de los procesados</w:t>
        </w:r>
        <w:r w:rsidR="00805D3A" w:rsidRPr="00805D3A">
          <w:rPr>
            <w:webHidden/>
            <w:sz w:val="18"/>
            <w:szCs w:val="18"/>
          </w:rPr>
          <w:tab/>
        </w:r>
        <w:r w:rsidR="00805D3A" w:rsidRPr="00805D3A">
          <w:rPr>
            <w:webHidden/>
            <w:sz w:val="18"/>
            <w:szCs w:val="18"/>
          </w:rPr>
          <w:fldChar w:fldCharType="begin"/>
        </w:r>
        <w:r w:rsidR="00805D3A" w:rsidRPr="00805D3A">
          <w:rPr>
            <w:webHidden/>
            <w:sz w:val="18"/>
            <w:szCs w:val="18"/>
          </w:rPr>
          <w:instrText xml:space="preserve"> PAGEREF _Toc24538849 \h </w:instrText>
        </w:r>
        <w:r w:rsidR="00805D3A" w:rsidRPr="00805D3A">
          <w:rPr>
            <w:webHidden/>
            <w:sz w:val="18"/>
            <w:szCs w:val="18"/>
          </w:rPr>
        </w:r>
        <w:r w:rsidR="00805D3A" w:rsidRPr="00805D3A">
          <w:rPr>
            <w:webHidden/>
            <w:sz w:val="18"/>
            <w:szCs w:val="18"/>
          </w:rPr>
          <w:fldChar w:fldCharType="separate"/>
        </w:r>
        <w:r w:rsidR="00830FDC">
          <w:rPr>
            <w:webHidden/>
            <w:sz w:val="18"/>
            <w:szCs w:val="18"/>
          </w:rPr>
          <w:t>26</w:t>
        </w:r>
        <w:r w:rsidR="00805D3A" w:rsidRPr="00805D3A">
          <w:rPr>
            <w:webHidden/>
            <w:sz w:val="18"/>
            <w:szCs w:val="18"/>
          </w:rPr>
          <w:fldChar w:fldCharType="end"/>
        </w:r>
      </w:hyperlink>
    </w:p>
    <w:p w:rsidR="00805D3A" w:rsidRPr="00805D3A" w:rsidRDefault="001C18DD">
      <w:pPr>
        <w:pStyle w:val="TDC3"/>
        <w:rPr>
          <w:rFonts w:eastAsiaTheme="minorEastAsia" w:cstheme="minorBidi"/>
          <w:i w:val="0"/>
          <w:iCs w:val="0"/>
          <w:sz w:val="18"/>
          <w:szCs w:val="18"/>
          <w:lang w:val="en-US"/>
        </w:rPr>
      </w:pPr>
      <w:hyperlink w:anchor="_Toc24538850" w:history="1">
        <w:r w:rsidR="00805D3A" w:rsidRPr="00805D3A">
          <w:rPr>
            <w:rStyle w:val="Hipervnculo"/>
            <w:rFonts w:ascii="Verdana" w:eastAsia="Batang" w:hAnsi="Verdana" w:cs="Times"/>
            <w:sz w:val="18"/>
            <w:szCs w:val="18"/>
            <w:lang w:val="es-MX"/>
          </w:rPr>
          <w:t>B.2. Derecho a recurrir la sentencia condenatoria contra las presuntas víctimas</w:t>
        </w:r>
        <w:r w:rsidR="00805D3A" w:rsidRPr="00805D3A">
          <w:rPr>
            <w:webHidden/>
            <w:sz w:val="18"/>
            <w:szCs w:val="18"/>
          </w:rPr>
          <w:tab/>
        </w:r>
        <w:r w:rsidR="00805D3A" w:rsidRPr="00805D3A">
          <w:rPr>
            <w:webHidden/>
            <w:sz w:val="18"/>
            <w:szCs w:val="18"/>
          </w:rPr>
          <w:fldChar w:fldCharType="begin"/>
        </w:r>
        <w:r w:rsidR="00805D3A" w:rsidRPr="00805D3A">
          <w:rPr>
            <w:webHidden/>
            <w:sz w:val="18"/>
            <w:szCs w:val="18"/>
          </w:rPr>
          <w:instrText xml:space="preserve"> PAGEREF _Toc24538850 \h </w:instrText>
        </w:r>
        <w:r w:rsidR="00805D3A" w:rsidRPr="00805D3A">
          <w:rPr>
            <w:webHidden/>
            <w:sz w:val="18"/>
            <w:szCs w:val="18"/>
          </w:rPr>
        </w:r>
        <w:r w:rsidR="00805D3A" w:rsidRPr="00805D3A">
          <w:rPr>
            <w:webHidden/>
            <w:sz w:val="18"/>
            <w:szCs w:val="18"/>
          </w:rPr>
          <w:fldChar w:fldCharType="separate"/>
        </w:r>
        <w:r w:rsidR="00830FDC">
          <w:rPr>
            <w:webHidden/>
            <w:sz w:val="18"/>
            <w:szCs w:val="18"/>
          </w:rPr>
          <w:t>30</w:t>
        </w:r>
        <w:r w:rsidR="00805D3A" w:rsidRPr="00805D3A">
          <w:rPr>
            <w:webHidden/>
            <w:sz w:val="18"/>
            <w:szCs w:val="18"/>
          </w:rPr>
          <w:fldChar w:fldCharType="end"/>
        </w:r>
      </w:hyperlink>
    </w:p>
    <w:p w:rsidR="00805D3A" w:rsidRPr="00805D3A" w:rsidRDefault="001C18DD">
      <w:pPr>
        <w:pStyle w:val="TDC3"/>
        <w:rPr>
          <w:rFonts w:eastAsiaTheme="minorEastAsia" w:cstheme="minorBidi"/>
          <w:i w:val="0"/>
          <w:iCs w:val="0"/>
          <w:sz w:val="18"/>
          <w:szCs w:val="18"/>
          <w:lang w:val="en-US"/>
        </w:rPr>
      </w:pPr>
      <w:hyperlink w:anchor="_Toc24538851" w:history="1">
        <w:r w:rsidR="00805D3A" w:rsidRPr="00805D3A">
          <w:rPr>
            <w:rStyle w:val="Hipervnculo"/>
            <w:rFonts w:ascii="Verdana" w:hAnsi="Verdana"/>
            <w:sz w:val="18"/>
            <w:szCs w:val="18"/>
          </w:rPr>
          <w:t>B.3. Publicidad del proceso penal</w:t>
        </w:r>
        <w:r w:rsidR="00805D3A" w:rsidRPr="00805D3A">
          <w:rPr>
            <w:webHidden/>
            <w:sz w:val="18"/>
            <w:szCs w:val="18"/>
          </w:rPr>
          <w:tab/>
        </w:r>
        <w:r w:rsidR="00805D3A" w:rsidRPr="00805D3A">
          <w:rPr>
            <w:webHidden/>
            <w:sz w:val="18"/>
            <w:szCs w:val="18"/>
          </w:rPr>
          <w:fldChar w:fldCharType="begin"/>
        </w:r>
        <w:r w:rsidR="00805D3A" w:rsidRPr="00805D3A">
          <w:rPr>
            <w:webHidden/>
            <w:sz w:val="18"/>
            <w:szCs w:val="18"/>
          </w:rPr>
          <w:instrText xml:space="preserve"> PAGEREF _Toc24538851 \h </w:instrText>
        </w:r>
        <w:r w:rsidR="00805D3A" w:rsidRPr="00805D3A">
          <w:rPr>
            <w:webHidden/>
            <w:sz w:val="18"/>
            <w:szCs w:val="18"/>
          </w:rPr>
        </w:r>
        <w:r w:rsidR="00805D3A" w:rsidRPr="00805D3A">
          <w:rPr>
            <w:webHidden/>
            <w:sz w:val="18"/>
            <w:szCs w:val="18"/>
          </w:rPr>
          <w:fldChar w:fldCharType="separate"/>
        </w:r>
        <w:r w:rsidR="00830FDC">
          <w:rPr>
            <w:webHidden/>
            <w:sz w:val="18"/>
            <w:szCs w:val="18"/>
          </w:rPr>
          <w:t>31</w:t>
        </w:r>
        <w:r w:rsidR="00805D3A" w:rsidRPr="00805D3A">
          <w:rPr>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52" w:history="1">
        <w:r w:rsidR="00805D3A" w:rsidRPr="00805D3A">
          <w:rPr>
            <w:rStyle w:val="Hipervnculo"/>
            <w:rFonts w:ascii="Verdana" w:hAnsi="Verdana"/>
            <w:b/>
            <w:noProof/>
            <w:sz w:val="18"/>
            <w:szCs w:val="18"/>
            <w:lang w:val="es-CR"/>
          </w:rPr>
          <w:t>C. Conclusión</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_Toc24538852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33</w:t>
        </w:r>
        <w:r w:rsidR="00805D3A" w:rsidRPr="00805D3A">
          <w:rPr>
            <w:rFonts w:ascii="Verdana" w:hAnsi="Verdana"/>
            <w:noProof/>
            <w:webHidden/>
            <w:sz w:val="18"/>
            <w:szCs w:val="18"/>
          </w:rPr>
          <w:fldChar w:fldCharType="end"/>
        </w:r>
      </w:hyperlink>
    </w:p>
    <w:p w:rsidR="00805D3A" w:rsidRPr="00805D3A" w:rsidRDefault="001C18DD">
      <w:pPr>
        <w:pStyle w:val="TDC1"/>
        <w:rPr>
          <w:rFonts w:ascii="Verdana" w:eastAsiaTheme="minorEastAsia" w:hAnsi="Verdana" w:cstheme="minorBidi"/>
          <w:b w:val="0"/>
          <w:bCs w:val="0"/>
          <w:caps w:val="0"/>
          <w:noProof/>
          <w:sz w:val="18"/>
          <w:szCs w:val="18"/>
        </w:rPr>
      </w:pPr>
      <w:hyperlink w:anchor="_Toc24538853" w:history="1">
        <w:r w:rsidR="00805D3A" w:rsidRPr="00805D3A">
          <w:rPr>
            <w:rStyle w:val="Hipervnculo"/>
            <w:rFonts w:ascii="Verdana" w:hAnsi="Verdana"/>
            <w:noProof/>
            <w:sz w:val="18"/>
            <w:szCs w:val="18"/>
            <w:lang w:val="es-PE"/>
          </w:rPr>
          <w:t xml:space="preserve">IX </w:t>
        </w:r>
        <w:r w:rsidR="00805D3A" w:rsidRPr="00805D3A">
          <w:rPr>
            <w:rStyle w:val="Hipervnculo"/>
            <w:rFonts w:ascii="Verdana" w:eastAsia="Verdana" w:hAnsi="Verdana" w:cs="Verdana"/>
            <w:noProof/>
            <w:sz w:val="18"/>
            <w:szCs w:val="18"/>
            <w:lang w:val="es-CR"/>
          </w:rPr>
          <w:t xml:space="preserve"> </w:t>
        </w:r>
        <w:r w:rsidR="00805D3A" w:rsidRPr="00805D3A">
          <w:rPr>
            <w:rStyle w:val="Hipervnculo"/>
            <w:rFonts w:ascii="Verdana" w:hAnsi="Verdana"/>
            <w:noProof/>
            <w:sz w:val="18"/>
            <w:szCs w:val="18"/>
            <w:lang w:val="es-PE"/>
          </w:rPr>
          <w:t>REPARACIONES</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_Toc24538853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33</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54" w:history="1">
        <w:r w:rsidR="00805D3A" w:rsidRPr="00805D3A">
          <w:rPr>
            <w:rStyle w:val="Hipervnculo"/>
            <w:rFonts w:ascii="Verdana" w:hAnsi="Verdana"/>
            <w:b/>
            <w:noProof/>
            <w:sz w:val="18"/>
            <w:szCs w:val="18"/>
            <w:lang w:val="es-PE"/>
          </w:rPr>
          <w:t>A. Parte Lesionada</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_Toc24538854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34</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55" w:history="1">
        <w:r w:rsidR="00805D3A" w:rsidRPr="00805D3A">
          <w:rPr>
            <w:rStyle w:val="Hipervnculo"/>
            <w:rFonts w:ascii="Verdana" w:hAnsi="Verdana"/>
            <w:b/>
            <w:noProof/>
            <w:sz w:val="18"/>
            <w:szCs w:val="18"/>
            <w:lang w:val="es-PE"/>
          </w:rPr>
          <w:t>B. Medidas de satisfacción</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_Toc24538855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34</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56" w:history="1">
        <w:r w:rsidR="00805D3A" w:rsidRPr="00805D3A">
          <w:rPr>
            <w:rStyle w:val="Hipervnculo"/>
            <w:rFonts w:ascii="Verdana" w:hAnsi="Verdana"/>
            <w:b/>
            <w:noProof/>
            <w:sz w:val="18"/>
            <w:szCs w:val="18"/>
            <w:lang w:val="es-PE"/>
          </w:rPr>
          <w:t>C. Otras medidas solicitadas</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_Toc24538856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35</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57" w:history="1">
        <w:r w:rsidR="00805D3A" w:rsidRPr="00805D3A">
          <w:rPr>
            <w:rStyle w:val="Hipervnculo"/>
            <w:rFonts w:ascii="Verdana" w:hAnsi="Verdana"/>
            <w:b/>
            <w:noProof/>
            <w:sz w:val="18"/>
            <w:szCs w:val="18"/>
            <w:lang w:val="es-PE"/>
          </w:rPr>
          <w:t>D. Indemnización compensatoria</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_Toc24538857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37</w:t>
        </w:r>
        <w:r w:rsidR="00805D3A" w:rsidRPr="00805D3A">
          <w:rPr>
            <w:rFonts w:ascii="Verdana" w:hAnsi="Verdana"/>
            <w:noProof/>
            <w:webHidden/>
            <w:sz w:val="18"/>
            <w:szCs w:val="18"/>
          </w:rPr>
          <w:fldChar w:fldCharType="end"/>
        </w:r>
      </w:hyperlink>
    </w:p>
    <w:p w:rsidR="00805D3A" w:rsidRPr="00805D3A" w:rsidRDefault="001C18DD">
      <w:pPr>
        <w:pStyle w:val="TDC3"/>
        <w:rPr>
          <w:rFonts w:eastAsiaTheme="minorEastAsia" w:cstheme="minorBidi"/>
          <w:i w:val="0"/>
          <w:iCs w:val="0"/>
          <w:sz w:val="18"/>
          <w:szCs w:val="18"/>
          <w:lang w:val="en-US"/>
        </w:rPr>
      </w:pPr>
      <w:hyperlink w:anchor="_Toc24538858" w:history="1">
        <w:r w:rsidR="00805D3A" w:rsidRPr="00805D3A">
          <w:rPr>
            <w:rStyle w:val="Hipervnculo"/>
            <w:rFonts w:ascii="Verdana" w:hAnsi="Verdana"/>
            <w:sz w:val="18"/>
            <w:szCs w:val="18"/>
            <w:lang w:val="es-PE"/>
          </w:rPr>
          <w:t>D.1 Daño Inmaterial</w:t>
        </w:r>
        <w:r w:rsidR="00805D3A" w:rsidRPr="00805D3A">
          <w:rPr>
            <w:webHidden/>
            <w:sz w:val="18"/>
            <w:szCs w:val="18"/>
          </w:rPr>
          <w:tab/>
        </w:r>
        <w:r w:rsidR="00805D3A" w:rsidRPr="00805D3A">
          <w:rPr>
            <w:webHidden/>
            <w:sz w:val="18"/>
            <w:szCs w:val="18"/>
          </w:rPr>
          <w:fldChar w:fldCharType="begin"/>
        </w:r>
        <w:r w:rsidR="00805D3A" w:rsidRPr="00805D3A">
          <w:rPr>
            <w:webHidden/>
            <w:sz w:val="18"/>
            <w:szCs w:val="18"/>
          </w:rPr>
          <w:instrText xml:space="preserve"> PAGEREF _Toc24538858 \h </w:instrText>
        </w:r>
        <w:r w:rsidR="00805D3A" w:rsidRPr="00805D3A">
          <w:rPr>
            <w:webHidden/>
            <w:sz w:val="18"/>
            <w:szCs w:val="18"/>
          </w:rPr>
        </w:r>
        <w:r w:rsidR="00805D3A" w:rsidRPr="00805D3A">
          <w:rPr>
            <w:webHidden/>
            <w:sz w:val="18"/>
            <w:szCs w:val="18"/>
          </w:rPr>
          <w:fldChar w:fldCharType="separate"/>
        </w:r>
        <w:r w:rsidR="00830FDC">
          <w:rPr>
            <w:webHidden/>
            <w:sz w:val="18"/>
            <w:szCs w:val="18"/>
          </w:rPr>
          <w:t>37</w:t>
        </w:r>
        <w:r w:rsidR="00805D3A" w:rsidRPr="00805D3A">
          <w:rPr>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59" w:history="1">
        <w:r w:rsidR="00805D3A" w:rsidRPr="00805D3A">
          <w:rPr>
            <w:rStyle w:val="Hipervnculo"/>
            <w:rFonts w:ascii="Verdana" w:hAnsi="Verdana"/>
            <w:b/>
            <w:noProof/>
            <w:sz w:val="18"/>
            <w:szCs w:val="18"/>
            <w:lang w:val="es-PE"/>
          </w:rPr>
          <w:t>E. Reintegro de los gastos al Fondo de Asistencia Legal de Víctimas</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_Toc24538859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38</w:t>
        </w:r>
        <w:r w:rsidR="00805D3A" w:rsidRPr="00805D3A">
          <w:rPr>
            <w:rFonts w:ascii="Verdana" w:hAnsi="Verdana"/>
            <w:noProof/>
            <w:webHidden/>
            <w:sz w:val="18"/>
            <w:szCs w:val="18"/>
          </w:rPr>
          <w:fldChar w:fldCharType="end"/>
        </w:r>
      </w:hyperlink>
    </w:p>
    <w:p w:rsidR="00805D3A" w:rsidRPr="00805D3A" w:rsidRDefault="001C18DD">
      <w:pPr>
        <w:pStyle w:val="TDC2"/>
        <w:tabs>
          <w:tab w:val="right" w:leader="dot" w:pos="9408"/>
        </w:tabs>
        <w:rPr>
          <w:rFonts w:ascii="Verdana" w:eastAsiaTheme="minorEastAsia" w:hAnsi="Verdana" w:cstheme="minorBidi"/>
          <w:smallCaps w:val="0"/>
          <w:noProof/>
          <w:sz w:val="18"/>
          <w:szCs w:val="18"/>
        </w:rPr>
      </w:pPr>
      <w:hyperlink w:anchor="_Toc24538860" w:history="1">
        <w:r w:rsidR="00805D3A" w:rsidRPr="00805D3A">
          <w:rPr>
            <w:rStyle w:val="Hipervnculo"/>
            <w:rFonts w:ascii="Verdana" w:hAnsi="Verdana"/>
            <w:b/>
            <w:noProof/>
            <w:sz w:val="18"/>
            <w:szCs w:val="18"/>
            <w:lang w:val="es-PE"/>
          </w:rPr>
          <w:t>F. Modalidad de cumplimiento de los pagos ordenados</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_Toc24538860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39</w:t>
        </w:r>
        <w:r w:rsidR="00805D3A" w:rsidRPr="00805D3A">
          <w:rPr>
            <w:rFonts w:ascii="Verdana" w:hAnsi="Verdana"/>
            <w:noProof/>
            <w:webHidden/>
            <w:sz w:val="18"/>
            <w:szCs w:val="18"/>
          </w:rPr>
          <w:fldChar w:fldCharType="end"/>
        </w:r>
      </w:hyperlink>
    </w:p>
    <w:p w:rsidR="00805D3A" w:rsidRPr="00805D3A" w:rsidRDefault="001C18DD">
      <w:pPr>
        <w:pStyle w:val="TDC1"/>
        <w:rPr>
          <w:rFonts w:ascii="Verdana" w:eastAsiaTheme="minorEastAsia" w:hAnsi="Verdana" w:cstheme="minorBidi"/>
          <w:b w:val="0"/>
          <w:bCs w:val="0"/>
          <w:caps w:val="0"/>
          <w:noProof/>
          <w:sz w:val="18"/>
          <w:szCs w:val="18"/>
        </w:rPr>
      </w:pPr>
      <w:hyperlink w:anchor="_Toc24538861" w:history="1">
        <w:r w:rsidR="00805D3A" w:rsidRPr="00805D3A">
          <w:rPr>
            <w:rStyle w:val="Hipervnculo"/>
            <w:rFonts w:ascii="Verdana" w:hAnsi="Verdana"/>
            <w:noProof/>
            <w:sz w:val="18"/>
            <w:szCs w:val="18"/>
          </w:rPr>
          <w:t>X PUNTOS RESOLUTIVOS</w:t>
        </w:r>
        <w:r w:rsidR="00805D3A" w:rsidRPr="00805D3A">
          <w:rPr>
            <w:rFonts w:ascii="Verdana" w:hAnsi="Verdana"/>
            <w:noProof/>
            <w:webHidden/>
            <w:sz w:val="18"/>
            <w:szCs w:val="18"/>
          </w:rPr>
          <w:tab/>
        </w:r>
        <w:r w:rsidR="00805D3A" w:rsidRPr="00805D3A">
          <w:rPr>
            <w:rFonts w:ascii="Verdana" w:hAnsi="Verdana"/>
            <w:noProof/>
            <w:webHidden/>
            <w:sz w:val="18"/>
            <w:szCs w:val="18"/>
          </w:rPr>
          <w:fldChar w:fldCharType="begin"/>
        </w:r>
        <w:r w:rsidR="00805D3A" w:rsidRPr="00805D3A">
          <w:rPr>
            <w:rFonts w:ascii="Verdana" w:hAnsi="Verdana"/>
            <w:noProof/>
            <w:webHidden/>
            <w:sz w:val="18"/>
            <w:szCs w:val="18"/>
          </w:rPr>
          <w:instrText xml:space="preserve"> PAGEREF _Toc24538861 \h </w:instrText>
        </w:r>
        <w:r w:rsidR="00805D3A" w:rsidRPr="00805D3A">
          <w:rPr>
            <w:rFonts w:ascii="Verdana" w:hAnsi="Verdana"/>
            <w:noProof/>
            <w:webHidden/>
            <w:sz w:val="18"/>
            <w:szCs w:val="18"/>
          </w:rPr>
        </w:r>
        <w:r w:rsidR="00805D3A" w:rsidRPr="00805D3A">
          <w:rPr>
            <w:rFonts w:ascii="Verdana" w:hAnsi="Verdana"/>
            <w:noProof/>
            <w:webHidden/>
            <w:sz w:val="18"/>
            <w:szCs w:val="18"/>
          </w:rPr>
          <w:fldChar w:fldCharType="separate"/>
        </w:r>
        <w:r w:rsidR="00830FDC">
          <w:rPr>
            <w:rFonts w:ascii="Verdana" w:hAnsi="Verdana"/>
            <w:noProof/>
            <w:webHidden/>
            <w:sz w:val="18"/>
            <w:szCs w:val="18"/>
          </w:rPr>
          <w:t>40</w:t>
        </w:r>
        <w:r w:rsidR="00805D3A" w:rsidRPr="00805D3A">
          <w:rPr>
            <w:rFonts w:ascii="Verdana" w:hAnsi="Verdana"/>
            <w:noProof/>
            <w:webHidden/>
            <w:sz w:val="18"/>
            <w:szCs w:val="18"/>
          </w:rPr>
          <w:fldChar w:fldCharType="end"/>
        </w:r>
      </w:hyperlink>
    </w:p>
    <w:p w:rsidR="003A1CEF" w:rsidRPr="008446A9" w:rsidRDefault="00940CF4" w:rsidP="003A1CEF">
      <w:pPr>
        <w:spacing w:after="0" w:line="240" w:lineRule="auto"/>
        <w:jc w:val="both"/>
        <w:rPr>
          <w:rFonts w:ascii="Verdana" w:hAnsi="Verdana"/>
          <w:sz w:val="16"/>
          <w:szCs w:val="20"/>
          <w:lang w:val="es-CR"/>
        </w:rPr>
      </w:pPr>
      <w:r w:rsidRPr="00805D3A">
        <w:rPr>
          <w:rFonts w:ascii="Verdana" w:hAnsi="Verdana"/>
          <w:sz w:val="18"/>
          <w:szCs w:val="18"/>
          <w:lang w:val="es-CR"/>
        </w:rPr>
        <w:fldChar w:fldCharType="end"/>
      </w:r>
    </w:p>
    <w:p w:rsidR="004A1345" w:rsidRDefault="004A1345" w:rsidP="000615D6">
      <w:pPr>
        <w:pStyle w:val="Ttulo1"/>
        <w:spacing w:before="0" w:line="240" w:lineRule="auto"/>
        <w:jc w:val="center"/>
        <w:rPr>
          <w:rFonts w:ascii="Verdana" w:hAnsi="Verdana"/>
          <w:color w:val="auto"/>
          <w:sz w:val="20"/>
          <w:szCs w:val="20"/>
          <w:lang w:val="es-CR"/>
        </w:rPr>
      </w:pPr>
    </w:p>
    <w:p w:rsidR="00F9608F" w:rsidRPr="008E0075" w:rsidRDefault="00F9608F" w:rsidP="000615D6">
      <w:pPr>
        <w:pStyle w:val="Ttulo1"/>
        <w:spacing w:before="0" w:line="240" w:lineRule="auto"/>
        <w:jc w:val="center"/>
        <w:rPr>
          <w:rFonts w:ascii="Verdana" w:hAnsi="Verdana"/>
          <w:color w:val="auto"/>
          <w:sz w:val="20"/>
          <w:lang w:val="es-CR"/>
        </w:rPr>
      </w:pPr>
      <w:bookmarkStart w:id="1" w:name="_Toc24538816"/>
      <w:r w:rsidRPr="008E0075">
        <w:rPr>
          <w:rFonts w:ascii="Verdana" w:hAnsi="Verdana"/>
          <w:color w:val="auto"/>
          <w:sz w:val="20"/>
          <w:szCs w:val="20"/>
          <w:lang w:val="es-CR"/>
        </w:rPr>
        <w:t>I</w:t>
      </w:r>
      <w:bookmarkStart w:id="2" w:name="_Toc12350831"/>
      <w:r w:rsidR="00EA6C99" w:rsidRPr="008E0075">
        <w:rPr>
          <w:rFonts w:ascii="Verdana" w:hAnsi="Verdana"/>
          <w:color w:val="auto"/>
          <w:sz w:val="20"/>
          <w:lang w:val="es-CR"/>
        </w:rPr>
        <w:br/>
      </w:r>
      <w:r w:rsidRPr="008E0075">
        <w:rPr>
          <w:rFonts w:ascii="Verdana" w:hAnsi="Verdana"/>
          <w:color w:val="auto"/>
          <w:sz w:val="20"/>
          <w:szCs w:val="20"/>
          <w:lang w:val="es-CR"/>
        </w:rPr>
        <w:t>INTRODUCCIÓN A LA CAUSA Y OBJETO DE LA CONTROVERSIA</w:t>
      </w:r>
      <w:bookmarkEnd w:id="1"/>
      <w:bookmarkEnd w:id="2"/>
    </w:p>
    <w:p w:rsidR="00EA6C99" w:rsidRPr="008E0075" w:rsidRDefault="00EA6C99" w:rsidP="006073F4">
      <w:pPr>
        <w:spacing w:after="0" w:line="240" w:lineRule="auto"/>
        <w:jc w:val="right"/>
        <w:rPr>
          <w:rFonts w:ascii="Verdana" w:hAnsi="Verdana"/>
          <w:sz w:val="20"/>
          <w:szCs w:val="20"/>
          <w:lang w:val="es-CR"/>
        </w:rPr>
      </w:pPr>
    </w:p>
    <w:p w:rsidR="00DA749F"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E3473B">
        <w:rPr>
          <w:rFonts w:ascii="Verdana" w:eastAsia="Verdana" w:hAnsi="Verdana" w:cs="Verdana"/>
          <w:i/>
          <w:sz w:val="20"/>
          <w:szCs w:val="20"/>
          <w:lang w:val="es-CR"/>
        </w:rPr>
        <w:t>El caso sometido a la Corte</w:t>
      </w:r>
      <w:r w:rsidRPr="008E0075">
        <w:rPr>
          <w:rFonts w:ascii="Verdana" w:eastAsia="Verdana" w:hAnsi="Verdana" w:cs="Verdana"/>
          <w:sz w:val="20"/>
          <w:szCs w:val="20"/>
          <w:lang w:val="es-CR"/>
        </w:rPr>
        <w:t xml:space="preserve">.- El 30 de noviembre de 2017 la Comisión Interamericana de Derechos Humanos (en adelante también </w:t>
      </w:r>
      <w:r w:rsidR="004F41F1" w:rsidRPr="008E0075">
        <w:rPr>
          <w:rFonts w:ascii="Verdana" w:eastAsia="Verdana" w:hAnsi="Verdana" w:cs="Verdana"/>
          <w:sz w:val="20"/>
          <w:szCs w:val="20"/>
          <w:lang w:val="es-CR"/>
        </w:rPr>
        <w:t>“la C</w:t>
      </w:r>
      <w:r w:rsidR="004F41F1">
        <w:rPr>
          <w:rFonts w:ascii="Verdana" w:eastAsia="Verdana" w:hAnsi="Verdana" w:cs="Verdana"/>
          <w:sz w:val="20"/>
          <w:szCs w:val="20"/>
          <w:lang w:val="es-CR"/>
        </w:rPr>
        <w:t>omisión Interamericana” o</w:t>
      </w:r>
      <w:r w:rsidR="004F41F1" w:rsidRPr="008E0075">
        <w:rPr>
          <w:rFonts w:ascii="Verdana" w:eastAsia="Verdana" w:hAnsi="Verdana" w:cs="Verdana"/>
          <w:sz w:val="20"/>
          <w:szCs w:val="20"/>
          <w:lang w:val="es-CR"/>
        </w:rPr>
        <w:t xml:space="preserve"> </w:t>
      </w:r>
      <w:r w:rsidR="004F41F1">
        <w:rPr>
          <w:rFonts w:ascii="Verdana" w:eastAsia="Verdana" w:hAnsi="Verdana" w:cs="Verdana"/>
          <w:sz w:val="20"/>
          <w:szCs w:val="20"/>
          <w:lang w:val="es-CR"/>
        </w:rPr>
        <w:t>“la Comisión”</w:t>
      </w:r>
      <w:r w:rsidRPr="008E0075">
        <w:rPr>
          <w:rFonts w:ascii="Verdana" w:eastAsia="Verdana" w:hAnsi="Verdana" w:cs="Verdana"/>
          <w:sz w:val="20"/>
          <w:szCs w:val="20"/>
          <w:lang w:val="es-CR"/>
        </w:rPr>
        <w:t xml:space="preserve">), </w:t>
      </w:r>
      <w:r w:rsidR="00716B37" w:rsidRPr="008E0075">
        <w:rPr>
          <w:rFonts w:ascii="Verdana" w:eastAsia="Verdana" w:hAnsi="Verdana" w:cs="Verdana"/>
          <w:sz w:val="20"/>
          <w:szCs w:val="20"/>
          <w:lang w:val="es-ES"/>
        </w:rPr>
        <w:t xml:space="preserve">de conformidad con lo dispuesto en los artículos 51 y 61 de la Convención Americana y el artículo 35 del Reglamento, sometió a la jurisdicción de la Corte Interamericana </w:t>
      </w:r>
      <w:r w:rsidRPr="008E0075">
        <w:rPr>
          <w:rFonts w:ascii="Verdana" w:eastAsia="Verdana" w:hAnsi="Verdana" w:cs="Verdana"/>
          <w:sz w:val="20"/>
          <w:szCs w:val="20"/>
          <w:lang w:val="es-CR"/>
        </w:rPr>
        <w:t xml:space="preserve">el caso </w:t>
      </w:r>
      <w:r w:rsidRPr="008E0075">
        <w:rPr>
          <w:rFonts w:ascii="Verdana" w:eastAsia="Verdana" w:hAnsi="Verdana" w:cs="Verdana"/>
          <w:i/>
          <w:sz w:val="20"/>
          <w:szCs w:val="20"/>
          <w:lang w:val="es-CR"/>
        </w:rPr>
        <w:t xml:space="preserve">Girón y otro </w:t>
      </w:r>
      <w:r w:rsidRPr="008E0075">
        <w:rPr>
          <w:rFonts w:ascii="Verdana" w:eastAsia="Verdana" w:hAnsi="Verdana" w:cs="Verdana"/>
          <w:sz w:val="20"/>
          <w:szCs w:val="20"/>
          <w:lang w:val="es-CR"/>
        </w:rPr>
        <w:t>contra la República de Guatemala</w:t>
      </w:r>
      <w:r w:rsidRPr="008E0075">
        <w:rPr>
          <w:rFonts w:ascii="Verdana" w:eastAsia="Verdana" w:hAnsi="Verdana" w:cs="Verdana"/>
          <w:i/>
          <w:sz w:val="20"/>
          <w:szCs w:val="20"/>
          <w:lang w:val="es-CR"/>
        </w:rPr>
        <w:t xml:space="preserve"> </w:t>
      </w:r>
      <w:r w:rsidRPr="008E0075">
        <w:rPr>
          <w:rFonts w:ascii="Verdana" w:eastAsia="Verdana" w:hAnsi="Verdana" w:cs="Verdana"/>
          <w:sz w:val="20"/>
          <w:szCs w:val="20"/>
          <w:lang w:val="es-CR"/>
        </w:rPr>
        <w:t xml:space="preserve">(en adelante también “el Estado” o “Guatemala”). </w:t>
      </w:r>
      <w:r w:rsidRPr="008E0075">
        <w:rPr>
          <w:rFonts w:ascii="Verdana" w:hAnsi="Verdana"/>
          <w:sz w:val="20"/>
          <w:szCs w:val="20"/>
          <w:lang w:val="es-CR"/>
        </w:rPr>
        <w:t>La Comisión</w:t>
      </w:r>
      <w:r w:rsidR="00716B37" w:rsidRPr="008E0075">
        <w:rPr>
          <w:rFonts w:ascii="Verdana" w:hAnsi="Verdana"/>
          <w:sz w:val="20"/>
          <w:szCs w:val="20"/>
          <w:lang w:val="es-CR"/>
        </w:rPr>
        <w:t xml:space="preserve"> indicó que el caso se relaciona </w:t>
      </w:r>
      <w:r w:rsidR="00CC5D9A" w:rsidRPr="008E0075">
        <w:rPr>
          <w:rFonts w:ascii="Verdana" w:hAnsi="Verdana"/>
          <w:sz w:val="20"/>
          <w:szCs w:val="20"/>
          <w:lang w:val="es-CR"/>
        </w:rPr>
        <w:t xml:space="preserve">con una serie de violaciones </w:t>
      </w:r>
      <w:r w:rsidR="00BC060F" w:rsidRPr="008E0075">
        <w:rPr>
          <w:rFonts w:ascii="Verdana" w:hAnsi="Verdana"/>
          <w:sz w:val="20"/>
          <w:szCs w:val="20"/>
          <w:lang w:val="es-CR"/>
        </w:rPr>
        <w:t>en el marco del proces</w:t>
      </w:r>
      <w:r w:rsidR="00CC5D9A" w:rsidRPr="008E0075">
        <w:rPr>
          <w:rFonts w:ascii="Verdana" w:hAnsi="Verdana"/>
          <w:sz w:val="20"/>
          <w:szCs w:val="20"/>
          <w:lang w:val="es-CR"/>
        </w:rPr>
        <w:t xml:space="preserve">o penal contra Roberto Girón y Pedro Castillo Mendoza </w:t>
      </w:r>
      <w:r w:rsidR="005B0B40">
        <w:rPr>
          <w:rFonts w:ascii="Verdana" w:hAnsi="Verdana"/>
          <w:sz w:val="20"/>
          <w:szCs w:val="20"/>
          <w:lang w:val="es-CR"/>
        </w:rPr>
        <w:t>(en adelante también</w:t>
      </w:r>
      <w:r w:rsidR="000F0A6E">
        <w:rPr>
          <w:rFonts w:ascii="Verdana" w:hAnsi="Verdana"/>
          <w:sz w:val="20"/>
          <w:szCs w:val="20"/>
          <w:lang w:val="es-CR"/>
        </w:rPr>
        <w:t xml:space="preserve"> “señores Girón y Castillo” o</w:t>
      </w:r>
      <w:r w:rsidR="005B0B40">
        <w:rPr>
          <w:rFonts w:ascii="Verdana" w:hAnsi="Verdana"/>
          <w:sz w:val="20"/>
          <w:szCs w:val="20"/>
          <w:lang w:val="es-CR"/>
        </w:rPr>
        <w:t xml:space="preserve"> “presuntas víctimas”) </w:t>
      </w:r>
      <w:r w:rsidR="00CC5D9A" w:rsidRPr="008E0075">
        <w:rPr>
          <w:rFonts w:ascii="Verdana" w:hAnsi="Verdana"/>
          <w:sz w:val="20"/>
          <w:szCs w:val="20"/>
          <w:lang w:val="es-CR"/>
        </w:rPr>
        <w:t>por los delitos de violación calificada y asesinato</w:t>
      </w:r>
      <w:r w:rsidR="00716B37" w:rsidRPr="008E0075">
        <w:rPr>
          <w:rFonts w:ascii="Verdana" w:hAnsi="Verdana"/>
          <w:sz w:val="20"/>
          <w:szCs w:val="20"/>
          <w:lang w:val="es-CR"/>
        </w:rPr>
        <w:t>,</w:t>
      </w:r>
      <w:r w:rsidR="00CC5D9A" w:rsidRPr="008E0075">
        <w:rPr>
          <w:rFonts w:ascii="Verdana" w:hAnsi="Verdana"/>
          <w:sz w:val="20"/>
          <w:szCs w:val="20"/>
          <w:lang w:val="es-CR"/>
        </w:rPr>
        <w:t xml:space="preserve"> que culminó con la </w:t>
      </w:r>
      <w:r w:rsidRPr="008E0075">
        <w:rPr>
          <w:rFonts w:ascii="Verdana" w:hAnsi="Verdana"/>
          <w:sz w:val="20"/>
          <w:szCs w:val="20"/>
          <w:lang w:val="es-CR"/>
        </w:rPr>
        <w:t>imposición de la pena de muerte</w:t>
      </w:r>
      <w:r w:rsidR="00CC5D9A" w:rsidRPr="008E0075">
        <w:rPr>
          <w:rFonts w:ascii="Verdana" w:hAnsi="Verdana"/>
          <w:sz w:val="20"/>
          <w:szCs w:val="20"/>
          <w:lang w:val="es-CR"/>
        </w:rPr>
        <w:t>, y su</w:t>
      </w:r>
      <w:r w:rsidR="000E49B3" w:rsidRPr="008E0075">
        <w:rPr>
          <w:rFonts w:ascii="Verdana" w:hAnsi="Verdana"/>
          <w:sz w:val="20"/>
          <w:szCs w:val="20"/>
          <w:lang w:val="es-CR"/>
        </w:rPr>
        <w:t>s</w:t>
      </w:r>
      <w:r w:rsidR="00CC5D9A" w:rsidRPr="008E0075">
        <w:rPr>
          <w:rFonts w:ascii="Verdana" w:hAnsi="Verdana"/>
          <w:sz w:val="20"/>
          <w:szCs w:val="20"/>
          <w:lang w:val="es-CR"/>
        </w:rPr>
        <w:t xml:space="preserve"> ej</w:t>
      </w:r>
      <w:r w:rsidR="00716B37" w:rsidRPr="008E0075">
        <w:rPr>
          <w:rFonts w:ascii="Verdana" w:hAnsi="Verdana"/>
          <w:sz w:val="20"/>
          <w:szCs w:val="20"/>
          <w:lang w:val="es-CR"/>
        </w:rPr>
        <w:t>e</w:t>
      </w:r>
      <w:r w:rsidR="00CC5D9A" w:rsidRPr="008E0075">
        <w:rPr>
          <w:rFonts w:ascii="Verdana" w:hAnsi="Verdana"/>
          <w:sz w:val="20"/>
          <w:szCs w:val="20"/>
          <w:lang w:val="es-CR"/>
        </w:rPr>
        <w:t>cuciones por medio de un pelotón de fusilamiento</w:t>
      </w:r>
      <w:r w:rsidRPr="008E0075">
        <w:rPr>
          <w:rFonts w:ascii="Verdana" w:hAnsi="Verdana"/>
          <w:sz w:val="20"/>
          <w:szCs w:val="20"/>
          <w:lang w:val="es-CR"/>
        </w:rPr>
        <w:t xml:space="preserve">. Según la Comisión el Estado habría violado los derechos de las presuntas víctimas por no haber contado con el tiempo y los medios adecuados para la defensa y a </w:t>
      </w:r>
      <w:r w:rsidR="00F10091">
        <w:rPr>
          <w:rFonts w:ascii="Verdana" w:hAnsi="Verdana"/>
          <w:sz w:val="20"/>
          <w:szCs w:val="20"/>
          <w:lang w:val="es-CR"/>
        </w:rPr>
        <w:t xml:space="preserve">no </w:t>
      </w:r>
      <w:r w:rsidRPr="008E0075">
        <w:rPr>
          <w:rFonts w:ascii="Verdana" w:hAnsi="Verdana"/>
          <w:sz w:val="20"/>
          <w:szCs w:val="20"/>
          <w:lang w:val="es-CR"/>
        </w:rPr>
        <w:t>ser asistidos por defensor</w:t>
      </w:r>
      <w:r w:rsidR="00F10091">
        <w:rPr>
          <w:rFonts w:ascii="Verdana" w:hAnsi="Verdana"/>
          <w:sz w:val="20"/>
          <w:szCs w:val="20"/>
          <w:lang w:val="es-CR"/>
        </w:rPr>
        <w:t>es</w:t>
      </w:r>
      <w:r w:rsidRPr="008E0075">
        <w:rPr>
          <w:rFonts w:ascii="Verdana" w:hAnsi="Verdana"/>
          <w:sz w:val="20"/>
          <w:szCs w:val="20"/>
          <w:lang w:val="es-CR"/>
        </w:rPr>
        <w:t xml:space="preserve"> proporcionado</w:t>
      </w:r>
      <w:r w:rsidR="00787AB5">
        <w:rPr>
          <w:rFonts w:ascii="Verdana" w:hAnsi="Verdana"/>
          <w:sz w:val="20"/>
          <w:szCs w:val="20"/>
          <w:lang w:val="es-CR"/>
        </w:rPr>
        <w:t>s</w:t>
      </w:r>
      <w:r w:rsidRPr="008E0075">
        <w:rPr>
          <w:rFonts w:ascii="Verdana" w:hAnsi="Verdana"/>
          <w:sz w:val="20"/>
          <w:szCs w:val="20"/>
          <w:lang w:val="es-CR"/>
        </w:rPr>
        <w:t xml:space="preserve"> por el Estado al momento de rendir sus confesiones. </w:t>
      </w:r>
      <w:r w:rsidR="00E34E09">
        <w:rPr>
          <w:rFonts w:ascii="Verdana" w:hAnsi="Verdana"/>
          <w:sz w:val="20"/>
          <w:szCs w:val="20"/>
          <w:lang w:val="es-CR"/>
        </w:rPr>
        <w:t xml:space="preserve">Sostuvo también que </w:t>
      </w:r>
      <w:r w:rsidRPr="008E0075">
        <w:rPr>
          <w:rFonts w:ascii="Verdana" w:hAnsi="Verdana"/>
          <w:sz w:val="20"/>
          <w:szCs w:val="20"/>
          <w:lang w:val="es-CR"/>
        </w:rPr>
        <w:t>los defensores de oficio designados eran estudiantes de derecho</w:t>
      </w:r>
      <w:r w:rsidR="00DA2D5B">
        <w:rPr>
          <w:rFonts w:ascii="Verdana" w:hAnsi="Verdana"/>
          <w:sz w:val="20"/>
          <w:szCs w:val="20"/>
          <w:lang w:val="es-CR"/>
        </w:rPr>
        <w:t>, quienes carecían de la experiencia y capacitación técnica necesaria para ejercer una defensa adecuada en el marco de un proceso penal</w:t>
      </w:r>
      <w:r w:rsidR="002A2546" w:rsidRPr="008E0075">
        <w:rPr>
          <w:rFonts w:ascii="Verdana" w:hAnsi="Verdana"/>
          <w:sz w:val="20"/>
          <w:szCs w:val="20"/>
          <w:lang w:val="es-CR"/>
        </w:rPr>
        <w:t xml:space="preserve">. </w:t>
      </w:r>
    </w:p>
    <w:p w:rsidR="00DA749F" w:rsidRPr="008E0075" w:rsidRDefault="00DA749F" w:rsidP="000615D6">
      <w:pPr>
        <w:pStyle w:val="Prrafodelista"/>
        <w:spacing w:after="0" w:line="240" w:lineRule="auto"/>
        <w:ind w:left="0"/>
        <w:jc w:val="both"/>
        <w:rPr>
          <w:rFonts w:ascii="Verdana" w:eastAsia="Verdana" w:hAnsi="Verdana" w:cs="Verdana"/>
          <w:sz w:val="20"/>
          <w:szCs w:val="20"/>
          <w:lang w:val="es-CR"/>
        </w:rPr>
      </w:pPr>
    </w:p>
    <w:p w:rsidR="00E36301"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i/>
          <w:sz w:val="20"/>
          <w:szCs w:val="20"/>
          <w:lang w:val="es-CR"/>
        </w:rPr>
        <w:t xml:space="preserve">Trámite ante la Comisión.- </w:t>
      </w:r>
      <w:r w:rsidRPr="008E0075">
        <w:rPr>
          <w:rFonts w:ascii="Verdana" w:hAnsi="Verdana"/>
          <w:sz w:val="20"/>
          <w:szCs w:val="20"/>
          <w:lang w:val="es-CR"/>
        </w:rPr>
        <w:t>El trámite ante la Comisión fue el siguiente:</w:t>
      </w:r>
    </w:p>
    <w:p w:rsidR="00E36301" w:rsidRPr="008E0075" w:rsidRDefault="00C35C49" w:rsidP="000615D6">
      <w:pPr>
        <w:pStyle w:val="Prrafodelista"/>
        <w:tabs>
          <w:tab w:val="left" w:pos="3075"/>
        </w:tabs>
        <w:spacing w:after="0" w:line="240" w:lineRule="auto"/>
        <w:rPr>
          <w:rFonts w:ascii="Verdana" w:eastAsia="Verdana" w:hAnsi="Verdana" w:cs="Verdana"/>
          <w:i/>
          <w:sz w:val="20"/>
          <w:szCs w:val="20"/>
          <w:lang w:val="es-CR"/>
        </w:rPr>
      </w:pPr>
      <w:r w:rsidRPr="008E0075">
        <w:rPr>
          <w:rFonts w:ascii="Verdana" w:eastAsia="Verdana" w:hAnsi="Verdana" w:cs="Verdana"/>
          <w:i/>
          <w:sz w:val="20"/>
          <w:szCs w:val="20"/>
          <w:lang w:val="es-CR"/>
        </w:rPr>
        <w:tab/>
      </w:r>
    </w:p>
    <w:p w:rsidR="00E36301" w:rsidRPr="008E0075" w:rsidRDefault="00F9608F" w:rsidP="000615D6">
      <w:pPr>
        <w:pStyle w:val="Prrafodelista"/>
        <w:numPr>
          <w:ilvl w:val="1"/>
          <w:numId w:val="3"/>
        </w:numPr>
        <w:spacing w:after="0" w:line="240" w:lineRule="auto"/>
        <w:ind w:left="806" w:firstLine="0"/>
        <w:jc w:val="both"/>
        <w:rPr>
          <w:rFonts w:ascii="Verdana" w:eastAsia="Verdana" w:hAnsi="Verdana" w:cs="Verdana"/>
          <w:b/>
          <w:sz w:val="20"/>
          <w:szCs w:val="20"/>
          <w:lang w:val="es-CR"/>
        </w:rPr>
      </w:pPr>
      <w:r w:rsidRPr="008E0075">
        <w:rPr>
          <w:rFonts w:ascii="Verdana" w:eastAsia="Verdana" w:hAnsi="Verdana" w:cs="Verdana"/>
          <w:i/>
          <w:sz w:val="20"/>
          <w:szCs w:val="20"/>
          <w:lang w:val="es-CR"/>
        </w:rPr>
        <w:t>Petición.</w:t>
      </w:r>
      <w:r w:rsidR="00296004" w:rsidRPr="008E0075">
        <w:rPr>
          <w:rFonts w:ascii="Verdana" w:eastAsia="Verdana" w:hAnsi="Verdana" w:cs="Verdana"/>
          <w:sz w:val="20"/>
          <w:szCs w:val="20"/>
          <w:lang w:val="es-CR"/>
        </w:rPr>
        <w:t xml:space="preserve"> – Los días</w:t>
      </w:r>
      <w:r w:rsidRPr="008E0075">
        <w:rPr>
          <w:rFonts w:ascii="Verdana" w:eastAsia="Verdana" w:hAnsi="Verdana" w:cs="Verdana"/>
          <w:sz w:val="20"/>
          <w:szCs w:val="20"/>
          <w:lang w:val="es-CR"/>
        </w:rPr>
        <w:t xml:space="preserve"> 11 de julio y 14 de agosto de 1996 la Comisión </w:t>
      </w:r>
      <w:r w:rsidRPr="008E0075">
        <w:rPr>
          <w:rFonts w:ascii="Verdana" w:hAnsi="Verdana"/>
          <w:sz w:val="20"/>
          <w:szCs w:val="20"/>
          <w:lang w:val="es-CR"/>
        </w:rPr>
        <w:t xml:space="preserve">recibió dos peticiones presentadas respectivamente por </w:t>
      </w:r>
      <w:r w:rsidRPr="008E0075">
        <w:rPr>
          <w:rFonts w:ascii="Verdana" w:hAnsi="Verdana"/>
          <w:i/>
          <w:iCs/>
          <w:sz w:val="20"/>
          <w:szCs w:val="20"/>
          <w:lang w:val="es-CR"/>
        </w:rPr>
        <w:t>The Magnus F. Hirschfeld Centre for Human Rights</w:t>
      </w:r>
      <w:r w:rsidRPr="008E0075">
        <w:rPr>
          <w:rFonts w:ascii="Verdana" w:hAnsi="Verdana"/>
          <w:iCs/>
          <w:sz w:val="20"/>
          <w:szCs w:val="20"/>
          <w:lang w:val="es-CR"/>
        </w:rPr>
        <w:t xml:space="preserve"> </w:t>
      </w:r>
      <w:r w:rsidRPr="008E0075">
        <w:rPr>
          <w:rFonts w:ascii="Verdana" w:hAnsi="Verdana"/>
          <w:sz w:val="20"/>
          <w:szCs w:val="20"/>
          <w:lang w:val="es-CR"/>
        </w:rPr>
        <w:t xml:space="preserve">y el Instituto de Estudios Comparados en Ciencias Penales de Guatemala (en adelante también “IECCP”) conjuntamente con el Centro </w:t>
      </w:r>
      <w:r w:rsidR="000C13AD">
        <w:rPr>
          <w:rFonts w:ascii="Verdana" w:hAnsi="Verdana"/>
          <w:sz w:val="20"/>
          <w:szCs w:val="20"/>
          <w:lang w:val="es-CR"/>
        </w:rPr>
        <w:t xml:space="preserve">de </w:t>
      </w:r>
      <w:r w:rsidRPr="008E0075">
        <w:rPr>
          <w:rFonts w:ascii="Verdana" w:hAnsi="Verdana"/>
          <w:sz w:val="20"/>
          <w:szCs w:val="20"/>
          <w:lang w:val="es-CR"/>
        </w:rPr>
        <w:t xml:space="preserve">Acción Legal en Derechos Humanos (en adelante también “CALDH”) a favor de Roberto Girón </w:t>
      </w:r>
      <w:r w:rsidR="005B0B40">
        <w:rPr>
          <w:rFonts w:ascii="Verdana" w:hAnsi="Verdana"/>
          <w:sz w:val="20"/>
          <w:szCs w:val="20"/>
          <w:lang w:val="es-CR"/>
        </w:rPr>
        <w:t xml:space="preserve">(en adelante también “señor Girón”) </w:t>
      </w:r>
      <w:r w:rsidRPr="008E0075">
        <w:rPr>
          <w:rFonts w:ascii="Verdana" w:hAnsi="Verdana"/>
          <w:sz w:val="20"/>
          <w:szCs w:val="20"/>
          <w:lang w:val="es-CR"/>
        </w:rPr>
        <w:t xml:space="preserve">y </w:t>
      </w:r>
      <w:r w:rsidR="0008274A" w:rsidRPr="008E0075">
        <w:rPr>
          <w:rFonts w:ascii="Verdana" w:hAnsi="Verdana"/>
          <w:sz w:val="20"/>
          <w:szCs w:val="20"/>
          <w:lang w:val="es-CR"/>
        </w:rPr>
        <w:t>Pedro Castillo Mendoza</w:t>
      </w:r>
      <w:r w:rsidR="00CB7868">
        <w:rPr>
          <w:rFonts w:ascii="Verdana" w:hAnsi="Verdana"/>
          <w:sz w:val="20"/>
          <w:szCs w:val="20"/>
          <w:lang w:val="es-CR"/>
        </w:rPr>
        <w:t xml:space="preserve"> (en adelante también “Pedro Castillo” o “</w:t>
      </w:r>
      <w:r w:rsidR="005B0B40">
        <w:rPr>
          <w:rFonts w:ascii="Verdana" w:hAnsi="Verdana"/>
          <w:sz w:val="20"/>
          <w:szCs w:val="20"/>
          <w:lang w:val="es-CR"/>
        </w:rPr>
        <w:t>señor Castillo”)</w:t>
      </w:r>
      <w:r w:rsidRPr="008E0075">
        <w:rPr>
          <w:rFonts w:ascii="Verdana" w:eastAsia="Verdana" w:hAnsi="Verdana" w:cs="Verdana"/>
          <w:sz w:val="20"/>
          <w:szCs w:val="20"/>
          <w:lang w:val="es-CR"/>
        </w:rPr>
        <w:t xml:space="preserve">. </w:t>
      </w:r>
    </w:p>
    <w:p w:rsidR="00E36301" w:rsidRPr="008E0075" w:rsidRDefault="00E36301" w:rsidP="000615D6">
      <w:pPr>
        <w:spacing w:after="0" w:line="240" w:lineRule="auto"/>
        <w:ind w:left="806"/>
        <w:jc w:val="both"/>
        <w:rPr>
          <w:rFonts w:ascii="Verdana" w:eastAsia="Verdana" w:hAnsi="Verdana" w:cs="Verdana"/>
          <w:sz w:val="20"/>
          <w:szCs w:val="20"/>
          <w:lang w:val="es-CR"/>
        </w:rPr>
      </w:pPr>
    </w:p>
    <w:p w:rsidR="00E36301" w:rsidRPr="008E0075" w:rsidRDefault="00F9608F" w:rsidP="000615D6">
      <w:pPr>
        <w:pStyle w:val="Prrafodelista"/>
        <w:numPr>
          <w:ilvl w:val="1"/>
          <w:numId w:val="3"/>
        </w:numPr>
        <w:spacing w:after="0" w:line="240" w:lineRule="auto"/>
        <w:ind w:left="806" w:firstLine="0"/>
        <w:jc w:val="both"/>
        <w:rPr>
          <w:rFonts w:ascii="Verdana" w:eastAsia="Verdana" w:hAnsi="Verdana" w:cs="Verdana"/>
          <w:sz w:val="20"/>
          <w:szCs w:val="20"/>
          <w:lang w:val="es-CR"/>
        </w:rPr>
      </w:pPr>
      <w:r w:rsidRPr="008E0075">
        <w:rPr>
          <w:rFonts w:ascii="Verdana" w:eastAsia="Verdana" w:hAnsi="Verdana" w:cs="Verdana"/>
          <w:i/>
          <w:sz w:val="20"/>
          <w:szCs w:val="20"/>
          <w:lang w:val="es-CR"/>
        </w:rPr>
        <w:t>Medidas Cautelares.</w:t>
      </w:r>
      <w:r w:rsidRPr="008E0075">
        <w:rPr>
          <w:rFonts w:ascii="Verdana" w:eastAsia="Verdana" w:hAnsi="Verdana" w:cs="Verdana"/>
          <w:sz w:val="20"/>
          <w:szCs w:val="20"/>
          <w:lang w:val="es-CR"/>
        </w:rPr>
        <w:t xml:space="preserve"> –</w:t>
      </w:r>
      <w:r w:rsidR="004F41F1">
        <w:rPr>
          <w:rFonts w:ascii="Verdana" w:eastAsia="Verdana" w:hAnsi="Verdana" w:cs="Verdana"/>
          <w:sz w:val="20"/>
          <w:szCs w:val="20"/>
          <w:lang w:val="es-CR"/>
        </w:rPr>
        <w:t xml:space="preserve"> </w:t>
      </w:r>
      <w:r w:rsidRPr="008E0075">
        <w:rPr>
          <w:rFonts w:ascii="Verdana" w:eastAsia="Verdana" w:hAnsi="Verdana" w:cs="Verdana"/>
          <w:sz w:val="20"/>
          <w:szCs w:val="20"/>
          <w:lang w:val="es-CR"/>
        </w:rPr>
        <w:t>El 9 de septiembre de 1996 la Comisión solicitó que el Estado adoptara las medidas cautelares para suspender la ejecución de</w:t>
      </w:r>
      <w:r w:rsidR="006F62C1">
        <w:rPr>
          <w:rFonts w:ascii="Verdana" w:eastAsia="Verdana" w:hAnsi="Verdana" w:cs="Verdana"/>
          <w:sz w:val="20"/>
          <w:szCs w:val="20"/>
          <w:lang w:val="es-CR"/>
        </w:rPr>
        <w:t xml:space="preserve"> los señores</w:t>
      </w:r>
      <w:r w:rsidRPr="008E0075">
        <w:rPr>
          <w:rFonts w:ascii="Verdana" w:eastAsia="Verdana" w:hAnsi="Verdana" w:cs="Verdana"/>
          <w:sz w:val="20"/>
          <w:szCs w:val="20"/>
          <w:lang w:val="es-CR"/>
        </w:rPr>
        <w:t xml:space="preserve"> Roberto Girón y Pedro Castillo Mendoza.</w:t>
      </w:r>
      <w:r w:rsidR="00854EAF" w:rsidRPr="008E0075">
        <w:rPr>
          <w:rFonts w:ascii="Verdana" w:eastAsia="Verdana" w:hAnsi="Verdana" w:cs="Verdana"/>
          <w:sz w:val="20"/>
          <w:szCs w:val="20"/>
          <w:lang w:val="es-CR"/>
        </w:rPr>
        <w:t xml:space="preserve"> El 11 de septiembre de 1996</w:t>
      </w:r>
      <w:r w:rsidRPr="008E0075">
        <w:rPr>
          <w:rFonts w:ascii="Verdana" w:eastAsia="Verdana" w:hAnsi="Verdana" w:cs="Verdana"/>
          <w:sz w:val="20"/>
          <w:szCs w:val="20"/>
          <w:lang w:val="es-CR"/>
        </w:rPr>
        <w:t xml:space="preserve"> el Estado comunicó a la Comisión que, a criterio de </w:t>
      </w:r>
      <w:r w:rsidR="00B953D0" w:rsidRPr="008E0075">
        <w:rPr>
          <w:rFonts w:ascii="Verdana" w:eastAsia="Verdana" w:hAnsi="Verdana" w:cs="Verdana"/>
          <w:sz w:val="20"/>
          <w:szCs w:val="20"/>
          <w:lang w:val="es-CR"/>
        </w:rPr>
        <w:t xml:space="preserve">la </w:t>
      </w:r>
      <w:r w:rsidRPr="008E0075">
        <w:rPr>
          <w:rFonts w:ascii="Verdana" w:eastAsia="Verdana" w:hAnsi="Verdana" w:cs="Verdana"/>
          <w:sz w:val="20"/>
          <w:szCs w:val="20"/>
          <w:lang w:val="es-CR"/>
        </w:rPr>
        <w:t>Corte Suprema de Justicia, no p</w:t>
      </w:r>
      <w:r w:rsidR="00ED60A6" w:rsidRPr="008E0075">
        <w:rPr>
          <w:rFonts w:ascii="Verdana" w:eastAsia="Verdana" w:hAnsi="Verdana" w:cs="Verdana"/>
          <w:sz w:val="20"/>
          <w:szCs w:val="20"/>
          <w:lang w:val="es-CR"/>
        </w:rPr>
        <w:t>odía</w:t>
      </w:r>
      <w:r w:rsidRPr="008E0075">
        <w:rPr>
          <w:rFonts w:ascii="Verdana" w:eastAsia="Verdana" w:hAnsi="Verdana" w:cs="Verdana"/>
          <w:sz w:val="20"/>
          <w:szCs w:val="20"/>
          <w:lang w:val="es-CR"/>
        </w:rPr>
        <w:t xml:space="preserve"> dar curso a la solicitud de medidas cautelares toda vez que no se enc</w:t>
      </w:r>
      <w:r w:rsidR="00ED60A6" w:rsidRPr="008E0075">
        <w:rPr>
          <w:rFonts w:ascii="Verdana" w:eastAsia="Verdana" w:hAnsi="Verdana" w:cs="Verdana"/>
          <w:sz w:val="20"/>
          <w:szCs w:val="20"/>
          <w:lang w:val="es-CR"/>
        </w:rPr>
        <w:t>o</w:t>
      </w:r>
      <w:r w:rsidRPr="008E0075">
        <w:rPr>
          <w:rFonts w:ascii="Verdana" w:eastAsia="Verdana" w:hAnsi="Verdana" w:cs="Verdana"/>
          <w:sz w:val="20"/>
          <w:szCs w:val="20"/>
          <w:lang w:val="es-CR"/>
        </w:rPr>
        <w:t>ntra</w:t>
      </w:r>
      <w:r w:rsidR="00ED60A6" w:rsidRPr="008E0075">
        <w:rPr>
          <w:rFonts w:ascii="Verdana" w:eastAsia="Verdana" w:hAnsi="Verdana" w:cs="Verdana"/>
          <w:sz w:val="20"/>
          <w:szCs w:val="20"/>
          <w:lang w:val="es-CR"/>
        </w:rPr>
        <w:t>ba</w:t>
      </w:r>
      <w:r w:rsidRPr="008E0075">
        <w:rPr>
          <w:rFonts w:ascii="Verdana" w:eastAsia="Verdana" w:hAnsi="Verdana" w:cs="Verdana"/>
          <w:sz w:val="20"/>
          <w:szCs w:val="20"/>
          <w:lang w:val="es-CR"/>
        </w:rPr>
        <w:t xml:space="preserve"> prevista aquella facultad, menos aún en el término procesal en que se encontraba la causa. </w:t>
      </w:r>
      <w:r w:rsidR="00B371C8" w:rsidRPr="008E0075">
        <w:rPr>
          <w:rFonts w:ascii="Verdana" w:hAnsi="Verdana" w:cs="Arial"/>
          <w:sz w:val="20"/>
          <w:szCs w:val="20"/>
          <w:lang w:val="es-CR"/>
        </w:rPr>
        <w:t xml:space="preserve">El 13 de septiembre de 1996 las presuntas víctimas fueron ejecutadas mediante un pelotón </w:t>
      </w:r>
      <w:r w:rsidR="00B953D0" w:rsidRPr="008E0075">
        <w:rPr>
          <w:rFonts w:ascii="Verdana" w:hAnsi="Verdana" w:cs="Arial"/>
          <w:sz w:val="20"/>
          <w:szCs w:val="20"/>
          <w:lang w:val="es-CR"/>
        </w:rPr>
        <w:t xml:space="preserve">de </w:t>
      </w:r>
      <w:r w:rsidR="00B371C8" w:rsidRPr="008E0075">
        <w:rPr>
          <w:rFonts w:ascii="Verdana" w:hAnsi="Verdana" w:cs="Arial"/>
          <w:sz w:val="20"/>
          <w:szCs w:val="20"/>
          <w:lang w:val="es-CR"/>
        </w:rPr>
        <w:t>fusilamiento</w:t>
      </w:r>
      <w:r w:rsidR="00296004" w:rsidRPr="008E0075">
        <w:rPr>
          <w:rFonts w:ascii="Verdana" w:hAnsi="Verdana" w:cs="Arial"/>
          <w:sz w:val="20"/>
          <w:szCs w:val="20"/>
          <w:lang w:val="es-CR"/>
        </w:rPr>
        <w:t>.</w:t>
      </w:r>
      <w:r w:rsidR="00B371C8" w:rsidRPr="008E0075">
        <w:rPr>
          <w:rFonts w:ascii="Verdana" w:hAnsi="Verdana" w:cs="Arial"/>
          <w:b/>
          <w:sz w:val="20"/>
          <w:szCs w:val="20"/>
          <w:lang w:val="es-CR"/>
        </w:rPr>
        <w:t xml:space="preserve"> </w:t>
      </w:r>
    </w:p>
    <w:p w:rsidR="00E36301" w:rsidRPr="008E0075" w:rsidRDefault="00E36301" w:rsidP="000615D6">
      <w:pPr>
        <w:pStyle w:val="Prrafodelista"/>
        <w:spacing w:after="0" w:line="240" w:lineRule="auto"/>
        <w:ind w:left="810"/>
        <w:jc w:val="both"/>
        <w:rPr>
          <w:rFonts w:ascii="Verdana" w:eastAsia="Verdana" w:hAnsi="Verdana" w:cs="Verdana"/>
          <w:sz w:val="20"/>
          <w:szCs w:val="20"/>
          <w:lang w:val="es-CR"/>
        </w:rPr>
      </w:pPr>
    </w:p>
    <w:p w:rsidR="00E36301" w:rsidRPr="008E0075" w:rsidRDefault="00F9608F" w:rsidP="000615D6">
      <w:pPr>
        <w:pStyle w:val="Prrafodelista"/>
        <w:numPr>
          <w:ilvl w:val="1"/>
          <w:numId w:val="3"/>
        </w:numPr>
        <w:spacing w:after="0" w:line="240" w:lineRule="auto"/>
        <w:ind w:left="810" w:firstLine="0"/>
        <w:jc w:val="both"/>
        <w:rPr>
          <w:rFonts w:ascii="Verdana" w:eastAsia="Verdana" w:hAnsi="Verdana" w:cs="Verdana"/>
          <w:sz w:val="20"/>
          <w:szCs w:val="20"/>
          <w:lang w:val="es-CR"/>
        </w:rPr>
      </w:pPr>
      <w:r w:rsidRPr="008E0075">
        <w:rPr>
          <w:rFonts w:ascii="Verdana" w:eastAsia="Verdana" w:hAnsi="Verdana" w:cs="Verdana"/>
          <w:i/>
          <w:sz w:val="20"/>
          <w:szCs w:val="20"/>
          <w:lang w:val="es-CR"/>
        </w:rPr>
        <w:t>Informe de Admisibilidad y Fondo.</w:t>
      </w:r>
      <w:r w:rsidRPr="008E0075">
        <w:rPr>
          <w:rFonts w:ascii="Verdana" w:eastAsia="Verdana" w:hAnsi="Verdana" w:cs="Verdana"/>
          <w:sz w:val="20"/>
          <w:szCs w:val="20"/>
          <w:lang w:val="es-CR"/>
        </w:rPr>
        <w:t xml:space="preserve"> – El </w:t>
      </w:r>
      <w:r w:rsidRPr="008E0075">
        <w:rPr>
          <w:rFonts w:ascii="Verdana" w:hAnsi="Verdana"/>
          <w:sz w:val="20"/>
          <w:szCs w:val="20"/>
          <w:lang w:val="es-CR"/>
        </w:rPr>
        <w:t>5 de julio de 2017 la Comisión emitió, de conformidad con los artículos 35 y 50 del Reglamento, el Informe de Admisibilidad y Fondo No. 76/17 (en adelante también “Informe de Admisibilidad y Fondo” o “Informe No.</w:t>
      </w:r>
      <w:r w:rsidR="004C4CF3">
        <w:rPr>
          <w:rFonts w:ascii="Verdana" w:hAnsi="Verdana"/>
          <w:sz w:val="20"/>
          <w:szCs w:val="20"/>
          <w:lang w:val="es-CR"/>
        </w:rPr>
        <w:t xml:space="preserve"> </w:t>
      </w:r>
      <w:r w:rsidRPr="008E0075">
        <w:rPr>
          <w:rFonts w:ascii="Verdana" w:hAnsi="Verdana"/>
          <w:sz w:val="20"/>
          <w:szCs w:val="20"/>
          <w:lang w:val="es-CR"/>
        </w:rPr>
        <w:t>76/17” o “Informe”), en el cual llegó a una serie de conclusiones</w:t>
      </w:r>
      <w:r w:rsidR="00DA2D5B">
        <w:rPr>
          <w:rStyle w:val="Refdenotaalpie"/>
          <w:rFonts w:ascii="Verdana" w:hAnsi="Verdana"/>
          <w:sz w:val="20"/>
          <w:szCs w:val="20"/>
          <w:lang w:val="es-CR"/>
        </w:rPr>
        <w:footnoteReference w:id="2"/>
      </w:r>
      <w:r w:rsidRPr="008E0075">
        <w:rPr>
          <w:rFonts w:ascii="Verdana" w:hAnsi="Verdana"/>
          <w:sz w:val="20"/>
          <w:szCs w:val="20"/>
          <w:lang w:val="es-CR"/>
        </w:rPr>
        <w:t xml:space="preserve">, y formuló varias recomendaciones al Estado. </w:t>
      </w:r>
    </w:p>
    <w:p w:rsidR="00ED60A6" w:rsidRPr="008E0075" w:rsidRDefault="00ED60A6" w:rsidP="000615D6">
      <w:pPr>
        <w:pStyle w:val="Prrafodelista"/>
        <w:spacing w:after="0" w:line="240" w:lineRule="auto"/>
        <w:jc w:val="both"/>
        <w:rPr>
          <w:rFonts w:ascii="Verdana" w:eastAsia="Verdana" w:hAnsi="Verdana" w:cs="Verdana"/>
          <w:sz w:val="20"/>
          <w:szCs w:val="20"/>
          <w:lang w:val="es-CR"/>
        </w:rPr>
      </w:pPr>
    </w:p>
    <w:p w:rsidR="00646189" w:rsidRPr="008E0075" w:rsidRDefault="00ED60A6" w:rsidP="000615D6">
      <w:pPr>
        <w:pStyle w:val="Prrafodelista"/>
        <w:numPr>
          <w:ilvl w:val="1"/>
          <w:numId w:val="3"/>
        </w:numPr>
        <w:spacing w:after="0" w:line="240" w:lineRule="auto"/>
        <w:ind w:left="810" w:firstLine="0"/>
        <w:jc w:val="both"/>
        <w:rPr>
          <w:lang w:val="es-CR"/>
        </w:rPr>
      </w:pPr>
      <w:r w:rsidRPr="008E0075">
        <w:rPr>
          <w:rFonts w:ascii="Verdana" w:eastAsia="Verdana" w:hAnsi="Verdana" w:cs="Verdana"/>
          <w:i/>
          <w:sz w:val="20"/>
          <w:szCs w:val="20"/>
          <w:lang w:val="es-CR"/>
        </w:rPr>
        <w:t>N</w:t>
      </w:r>
      <w:r w:rsidR="00F9608F" w:rsidRPr="008E0075">
        <w:rPr>
          <w:rFonts w:ascii="Verdana" w:eastAsia="Verdana" w:hAnsi="Verdana" w:cs="Verdana"/>
          <w:i/>
          <w:sz w:val="20"/>
          <w:szCs w:val="20"/>
          <w:lang w:val="es-CR"/>
        </w:rPr>
        <w:t>otificación al Estado</w:t>
      </w:r>
      <w:r w:rsidR="00F9608F" w:rsidRPr="008E0075">
        <w:rPr>
          <w:rFonts w:ascii="Verdana" w:eastAsia="Verdana" w:hAnsi="Verdana" w:cs="Verdana"/>
          <w:sz w:val="20"/>
          <w:szCs w:val="20"/>
          <w:lang w:val="es-CR"/>
        </w:rPr>
        <w:t xml:space="preserve">. - La Comisión notificó al Estado el Informe mediante comunicación de 30 de agosto de 2017, otorgándole un plazo de dos meses para </w:t>
      </w:r>
      <w:r w:rsidR="00F9608F" w:rsidRPr="008E0075">
        <w:rPr>
          <w:rFonts w:ascii="Verdana" w:eastAsia="Verdana" w:hAnsi="Verdana" w:cs="Verdana"/>
          <w:sz w:val="20"/>
          <w:szCs w:val="20"/>
          <w:lang w:val="es-CR"/>
        </w:rPr>
        <w:lastRenderedPageBreak/>
        <w:t>informar sobre el cumplimiento de las recomendaciones. El Estado no presentó respuesta en el plazo indicado por la Comisión</w:t>
      </w:r>
      <w:r w:rsidR="007C0781" w:rsidRPr="008E0075">
        <w:rPr>
          <w:rFonts w:ascii="Verdana" w:eastAsia="Verdana" w:hAnsi="Verdana" w:cs="Verdana"/>
          <w:sz w:val="20"/>
          <w:szCs w:val="20"/>
          <w:lang w:val="es-CR"/>
        </w:rPr>
        <w:t>.</w:t>
      </w:r>
      <w:r w:rsidR="00F9608F" w:rsidRPr="008E0075">
        <w:rPr>
          <w:rFonts w:ascii="Verdana" w:eastAsia="Verdana" w:hAnsi="Verdana" w:cs="Verdana"/>
          <w:sz w:val="20"/>
          <w:szCs w:val="20"/>
          <w:lang w:val="es-CR"/>
        </w:rPr>
        <w:t xml:space="preserve"> </w:t>
      </w:r>
    </w:p>
    <w:p w:rsidR="002A2546" w:rsidRPr="008E0075" w:rsidRDefault="002A2546" w:rsidP="000615D6">
      <w:pPr>
        <w:pStyle w:val="Prrafodelista"/>
        <w:spacing w:after="0" w:line="240" w:lineRule="auto"/>
        <w:ind w:left="0"/>
        <w:jc w:val="both"/>
        <w:rPr>
          <w:rFonts w:ascii="Verdana" w:eastAsia="Verdana" w:hAnsi="Verdana" w:cs="Verdana"/>
          <w:sz w:val="20"/>
          <w:szCs w:val="20"/>
          <w:lang w:val="es-CR"/>
        </w:rPr>
      </w:pPr>
    </w:p>
    <w:p w:rsidR="00DA749F"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i/>
          <w:sz w:val="20"/>
          <w:szCs w:val="20"/>
          <w:lang w:val="es-CR"/>
        </w:rPr>
        <w:t xml:space="preserve">Sometimiento del caso ante la Corte. - </w:t>
      </w:r>
      <w:r w:rsidRPr="008E0075">
        <w:rPr>
          <w:rFonts w:ascii="Verdana" w:hAnsi="Verdana"/>
          <w:sz w:val="20"/>
          <w:szCs w:val="20"/>
          <w:lang w:val="es-CR"/>
        </w:rPr>
        <w:t>El 30 de noviembre de 2017 la Comisión sometió a la Corte la totalidad de los hechos y alegadas violaciones de derechos humanos descritos en el Informe</w:t>
      </w:r>
      <w:r w:rsidRPr="008E0075">
        <w:rPr>
          <w:rFonts w:ascii="Verdana" w:eastAsia="Verdana" w:hAnsi="Verdana" w:cs="Verdana"/>
          <w:sz w:val="20"/>
          <w:szCs w:val="20"/>
          <w:lang w:val="es-CR"/>
        </w:rPr>
        <w:t xml:space="preserve"> de Admisibilidad y Fondo. </w:t>
      </w:r>
    </w:p>
    <w:p w:rsidR="00DA749F" w:rsidRPr="008E0075" w:rsidRDefault="00DA749F" w:rsidP="000615D6">
      <w:pPr>
        <w:pStyle w:val="Prrafodelista"/>
        <w:spacing w:after="0" w:line="240" w:lineRule="auto"/>
        <w:ind w:left="0"/>
        <w:jc w:val="both"/>
        <w:rPr>
          <w:rFonts w:ascii="Verdana" w:eastAsia="Verdana" w:hAnsi="Verdana" w:cs="Verdana"/>
          <w:sz w:val="20"/>
          <w:szCs w:val="20"/>
          <w:lang w:val="es-CR"/>
        </w:rPr>
      </w:pPr>
    </w:p>
    <w:p w:rsidR="00DA749F"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eastAsia="Verdana" w:hAnsi="Verdana" w:cs="Verdana"/>
          <w:i/>
          <w:sz w:val="20"/>
          <w:szCs w:val="20"/>
          <w:lang w:val="es-CR"/>
        </w:rPr>
        <w:t xml:space="preserve">Solicitud de la Comisión Interamericana. – </w:t>
      </w:r>
      <w:r w:rsidRPr="008E0075">
        <w:rPr>
          <w:rFonts w:ascii="Verdana" w:eastAsia="Verdana" w:hAnsi="Verdana" w:cs="Verdana"/>
          <w:sz w:val="20"/>
          <w:szCs w:val="20"/>
          <w:lang w:val="es-CR"/>
        </w:rPr>
        <w:t xml:space="preserve">Con base en lo anterior, la Comisión solicitó a la Corte que concluya y declare la responsabilidad internacional de Guatemala por la alegada violación de los derechos </w:t>
      </w:r>
      <w:r w:rsidR="00ED60A6" w:rsidRPr="008E0075">
        <w:rPr>
          <w:rFonts w:ascii="Verdana" w:eastAsia="Verdana" w:hAnsi="Verdana" w:cs="Verdana"/>
          <w:sz w:val="20"/>
          <w:szCs w:val="20"/>
          <w:lang w:val="es-CR"/>
        </w:rPr>
        <w:t xml:space="preserve">señalados </w:t>
      </w:r>
      <w:r w:rsidRPr="008E0075">
        <w:rPr>
          <w:rFonts w:ascii="Verdana" w:eastAsia="Verdana" w:hAnsi="Verdana" w:cs="Verdana"/>
          <w:sz w:val="20"/>
          <w:szCs w:val="20"/>
          <w:lang w:val="es-CR"/>
        </w:rPr>
        <w:t>en las conclusiones del Informe de Admisibilidad y Fondo. Adicionalmente, la Comisión solicitó a la Corte que ordene al Estado determinadas medidas de reparación, que se detallarán y analizarán en el capítulo correspondiente.</w:t>
      </w:r>
    </w:p>
    <w:p w:rsidR="00DA749F" w:rsidRPr="008E0075" w:rsidRDefault="00DA749F" w:rsidP="000615D6">
      <w:pPr>
        <w:pStyle w:val="Prrafodelista"/>
        <w:spacing w:after="0" w:line="240" w:lineRule="auto"/>
        <w:ind w:left="0"/>
        <w:jc w:val="both"/>
        <w:rPr>
          <w:rFonts w:ascii="Verdana" w:eastAsia="Verdana" w:hAnsi="Verdana" w:cs="Verdana"/>
          <w:i/>
          <w:sz w:val="20"/>
          <w:szCs w:val="20"/>
          <w:lang w:val="es-CR"/>
        </w:rPr>
      </w:pPr>
    </w:p>
    <w:p w:rsidR="00DA749F" w:rsidRPr="008E0075" w:rsidRDefault="00DA749F" w:rsidP="000615D6">
      <w:pPr>
        <w:pStyle w:val="Ttulo1"/>
        <w:spacing w:before="0" w:line="240" w:lineRule="auto"/>
        <w:jc w:val="center"/>
        <w:rPr>
          <w:rFonts w:ascii="Verdana" w:hAnsi="Verdana"/>
          <w:color w:val="auto"/>
          <w:sz w:val="20"/>
          <w:szCs w:val="20"/>
          <w:lang w:val="es-CR"/>
        </w:rPr>
      </w:pPr>
      <w:bookmarkStart w:id="3" w:name="_Toc24538817"/>
      <w:r w:rsidRPr="008E0075">
        <w:rPr>
          <w:rFonts w:ascii="Verdana" w:hAnsi="Verdana"/>
          <w:color w:val="auto"/>
          <w:sz w:val="20"/>
          <w:szCs w:val="20"/>
          <w:lang w:val="es-CR"/>
        </w:rPr>
        <w:t xml:space="preserve">II </w:t>
      </w:r>
      <w:r w:rsidRPr="008E0075">
        <w:rPr>
          <w:rFonts w:ascii="Verdana" w:hAnsi="Verdana"/>
          <w:color w:val="auto"/>
          <w:sz w:val="20"/>
          <w:szCs w:val="20"/>
          <w:lang w:val="es-CR"/>
        </w:rPr>
        <w:br/>
        <w:t>PROCEDIMIENTO ANTE LA CORTE</w:t>
      </w:r>
      <w:bookmarkEnd w:id="3"/>
    </w:p>
    <w:p w:rsidR="00DA749F" w:rsidRPr="008E0075" w:rsidRDefault="00DA749F" w:rsidP="000615D6">
      <w:pPr>
        <w:pStyle w:val="Prrafodelista"/>
        <w:spacing w:after="0" w:line="240" w:lineRule="auto"/>
        <w:ind w:left="0"/>
        <w:jc w:val="both"/>
        <w:rPr>
          <w:rFonts w:ascii="Verdana" w:eastAsia="Verdana" w:hAnsi="Verdana" w:cs="Verdana"/>
          <w:sz w:val="20"/>
          <w:szCs w:val="20"/>
          <w:lang w:val="es-CR"/>
        </w:rPr>
      </w:pPr>
    </w:p>
    <w:p w:rsidR="00F94C48"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eastAsia="Verdana" w:hAnsi="Verdana" w:cs="Verdana"/>
          <w:i/>
          <w:sz w:val="20"/>
          <w:szCs w:val="20"/>
          <w:lang w:val="es-CR"/>
        </w:rPr>
        <w:t xml:space="preserve">Designación de Defensores Públicos Interamericanos. – </w:t>
      </w:r>
      <w:r w:rsidR="007C0781" w:rsidRPr="008E0075">
        <w:rPr>
          <w:rFonts w:ascii="Verdana" w:eastAsia="Verdana" w:hAnsi="Verdana" w:cs="Verdana"/>
          <w:sz w:val="20"/>
          <w:szCs w:val="20"/>
          <w:lang w:val="es-CR"/>
        </w:rPr>
        <w:t xml:space="preserve">En el escrito de sometimiento del caso, la Comisión indicó que el Centro </w:t>
      </w:r>
      <w:r w:rsidR="000C13AD">
        <w:rPr>
          <w:rFonts w:ascii="Verdana" w:eastAsia="Verdana" w:hAnsi="Verdana" w:cs="Verdana"/>
          <w:sz w:val="20"/>
          <w:szCs w:val="20"/>
          <w:lang w:val="es-CR"/>
        </w:rPr>
        <w:t xml:space="preserve">de </w:t>
      </w:r>
      <w:r w:rsidR="007C0781" w:rsidRPr="008E0075">
        <w:rPr>
          <w:rFonts w:ascii="Verdana" w:eastAsia="Verdana" w:hAnsi="Verdana" w:cs="Verdana"/>
          <w:sz w:val="20"/>
          <w:szCs w:val="20"/>
          <w:lang w:val="es-CR"/>
        </w:rPr>
        <w:t xml:space="preserve">Acción Legal en Derechos Humanos actuó como representante del peticionario, pero no fue presentado algún </w:t>
      </w:r>
      <w:r w:rsidR="004F41F1">
        <w:rPr>
          <w:rFonts w:ascii="Verdana" w:eastAsia="Verdana" w:hAnsi="Verdana" w:cs="Verdana"/>
          <w:sz w:val="20"/>
          <w:szCs w:val="20"/>
          <w:lang w:val="es-CR"/>
        </w:rPr>
        <w:t>poder de representación.</w:t>
      </w:r>
      <w:r w:rsidR="007C0781" w:rsidRPr="008E0075">
        <w:rPr>
          <w:rFonts w:ascii="Verdana" w:eastAsia="Verdana" w:hAnsi="Verdana" w:cs="Verdana"/>
          <w:sz w:val="20"/>
          <w:szCs w:val="20"/>
          <w:lang w:val="es-CR"/>
        </w:rPr>
        <w:t xml:space="preserve"> </w:t>
      </w:r>
      <w:r w:rsidRPr="008E0075">
        <w:rPr>
          <w:rFonts w:ascii="Verdana" w:eastAsia="Verdana" w:hAnsi="Verdana" w:cs="Verdana"/>
          <w:sz w:val="20"/>
          <w:szCs w:val="20"/>
          <w:lang w:val="es-CR"/>
        </w:rPr>
        <w:t>La Corte en dos comunicac</w:t>
      </w:r>
      <w:r w:rsidR="0053598D">
        <w:rPr>
          <w:rFonts w:ascii="Verdana" w:eastAsia="Verdana" w:hAnsi="Verdana" w:cs="Verdana"/>
          <w:sz w:val="20"/>
          <w:szCs w:val="20"/>
          <w:lang w:val="es-CR"/>
        </w:rPr>
        <w:t>iones de 8 y 19 de enero de 2018</w:t>
      </w:r>
      <w:r w:rsidRPr="008E0075">
        <w:rPr>
          <w:rFonts w:ascii="Verdana" w:eastAsia="Verdana" w:hAnsi="Verdana" w:cs="Verdana"/>
          <w:sz w:val="20"/>
          <w:szCs w:val="20"/>
          <w:lang w:val="es-CR"/>
        </w:rPr>
        <w:t xml:space="preserve"> dirigidas</w:t>
      </w:r>
      <w:r w:rsidR="007C0781" w:rsidRPr="008E0075">
        <w:rPr>
          <w:rFonts w:ascii="Verdana" w:eastAsia="Verdana" w:hAnsi="Verdana" w:cs="Verdana"/>
          <w:sz w:val="20"/>
          <w:szCs w:val="20"/>
          <w:lang w:val="es-CR"/>
        </w:rPr>
        <w:t xml:space="preserve"> a</w:t>
      </w:r>
      <w:r w:rsidRPr="008E0075">
        <w:rPr>
          <w:rFonts w:ascii="Verdana" w:eastAsia="Verdana" w:hAnsi="Verdana" w:cs="Verdana"/>
          <w:sz w:val="20"/>
          <w:szCs w:val="20"/>
          <w:lang w:val="es-CR"/>
        </w:rPr>
        <w:t xml:space="preserve"> </w:t>
      </w:r>
      <w:r w:rsidR="007C0781" w:rsidRPr="008E0075">
        <w:rPr>
          <w:rFonts w:ascii="Verdana" w:eastAsia="Verdana" w:hAnsi="Verdana" w:cs="Verdana"/>
          <w:sz w:val="20"/>
          <w:szCs w:val="20"/>
          <w:lang w:val="es-CR"/>
        </w:rPr>
        <w:t xml:space="preserve">CALDH </w:t>
      </w:r>
      <w:r w:rsidRPr="008E0075">
        <w:rPr>
          <w:rFonts w:ascii="Verdana" w:eastAsia="Verdana" w:hAnsi="Verdana" w:cs="Verdana"/>
          <w:sz w:val="20"/>
          <w:szCs w:val="20"/>
          <w:lang w:val="es-CR"/>
        </w:rPr>
        <w:t>solicitó que confirmara</w:t>
      </w:r>
      <w:r w:rsidRPr="008E0075">
        <w:rPr>
          <w:rFonts w:ascii="Verdana" w:hAnsi="Verdana"/>
          <w:snapToGrid w:val="0"/>
          <w:sz w:val="20"/>
          <w:szCs w:val="20"/>
          <w:lang w:val="es-CR"/>
        </w:rPr>
        <w:t xml:space="preserve"> su representación de las presuntas víctimas. </w:t>
      </w:r>
      <w:r w:rsidR="00914C89">
        <w:rPr>
          <w:rFonts w:ascii="Verdana" w:hAnsi="Verdana"/>
          <w:snapToGrid w:val="0"/>
          <w:sz w:val="20"/>
          <w:szCs w:val="20"/>
          <w:lang w:val="es-CR"/>
        </w:rPr>
        <w:t>Sin embargo, el 24 de enero de 2</w:t>
      </w:r>
      <w:r w:rsidRPr="008E0075">
        <w:rPr>
          <w:rFonts w:ascii="Verdana" w:hAnsi="Verdana"/>
          <w:snapToGrid w:val="0"/>
          <w:sz w:val="20"/>
          <w:szCs w:val="20"/>
          <w:lang w:val="es-CR"/>
        </w:rPr>
        <w:t xml:space="preserve">018 el CALDH informó que no logró establecer comunicación alguna con las familias de las presuntas víctimas, que por tanto como política institucional no era posible continuar con la representación ante la Corte. </w:t>
      </w:r>
      <w:r w:rsidR="0053598D">
        <w:rPr>
          <w:rFonts w:ascii="Verdana" w:hAnsi="Verdana"/>
          <w:sz w:val="20"/>
          <w:szCs w:val="20"/>
          <w:lang w:val="es-CR"/>
        </w:rPr>
        <w:t xml:space="preserve">Luego de las </w:t>
      </w:r>
      <w:r w:rsidRPr="008E0075">
        <w:rPr>
          <w:rFonts w:ascii="Verdana" w:hAnsi="Verdana"/>
          <w:sz w:val="20"/>
          <w:szCs w:val="20"/>
          <w:lang w:val="es-CR"/>
        </w:rPr>
        <w:t>comunicaciones con la Asociación Interamericana de Defensorías Públicas (AIDEF)</w:t>
      </w:r>
      <w:r w:rsidRPr="008E0075">
        <w:rPr>
          <w:rStyle w:val="Refdenotaalpie"/>
          <w:rFonts w:ascii="Verdana" w:hAnsi="Verdana"/>
          <w:sz w:val="20"/>
          <w:szCs w:val="20"/>
        </w:rPr>
        <w:footnoteReference w:id="3"/>
      </w:r>
      <w:r w:rsidRPr="008E0075">
        <w:rPr>
          <w:rFonts w:ascii="Verdana" w:hAnsi="Verdana"/>
          <w:sz w:val="20"/>
          <w:szCs w:val="20"/>
          <w:lang w:val="es-CR"/>
        </w:rPr>
        <w:t xml:space="preserve">, el 27 de febrero de 2018 el Coordinador General de dicha Asociación comunicó a la Corte que las señoras Lorena Padován y Johanny Castillo Sabari </w:t>
      </w:r>
      <w:r w:rsidR="00ED60A6" w:rsidRPr="008E0075">
        <w:rPr>
          <w:rFonts w:ascii="Verdana" w:hAnsi="Verdana"/>
          <w:sz w:val="20"/>
          <w:szCs w:val="20"/>
          <w:lang w:val="es-CR"/>
        </w:rPr>
        <w:t xml:space="preserve">(en adelante “las representantes”) </w:t>
      </w:r>
      <w:r w:rsidRPr="008E0075">
        <w:rPr>
          <w:rFonts w:ascii="Verdana" w:hAnsi="Verdana"/>
          <w:sz w:val="20"/>
          <w:szCs w:val="20"/>
          <w:lang w:val="es-CR"/>
        </w:rPr>
        <w:t xml:space="preserve">habían sido designadas como defensoras públicas interamericanas para ejercer la representación legal </w:t>
      </w:r>
      <w:r w:rsidRPr="008E0075">
        <w:rPr>
          <w:rFonts w:ascii="Verdana" w:hAnsi="Verdana"/>
          <w:snapToGrid w:val="0"/>
          <w:sz w:val="20"/>
          <w:szCs w:val="20"/>
          <w:lang w:val="es-CR"/>
        </w:rPr>
        <w:t>de los señores Girón y Castillo</w:t>
      </w:r>
      <w:r w:rsidRPr="008E0075">
        <w:rPr>
          <w:rFonts w:ascii="Verdana" w:hAnsi="Verdana"/>
          <w:sz w:val="20"/>
          <w:szCs w:val="20"/>
          <w:lang w:val="es-CR"/>
        </w:rPr>
        <w:t>.</w:t>
      </w:r>
    </w:p>
    <w:p w:rsidR="00F94C48" w:rsidRPr="008E0075" w:rsidRDefault="00F94C48" w:rsidP="000615D6">
      <w:pPr>
        <w:pStyle w:val="Prrafodelista"/>
        <w:spacing w:after="0" w:line="240" w:lineRule="auto"/>
        <w:ind w:left="0"/>
        <w:jc w:val="both"/>
        <w:rPr>
          <w:rFonts w:ascii="Verdana" w:eastAsia="Verdana" w:hAnsi="Verdana" w:cs="Verdana"/>
          <w:sz w:val="20"/>
          <w:szCs w:val="20"/>
          <w:lang w:val="es-CR"/>
        </w:rPr>
      </w:pPr>
    </w:p>
    <w:p w:rsidR="00F94C48"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i/>
          <w:sz w:val="20"/>
          <w:szCs w:val="20"/>
          <w:lang w:val="es-CR"/>
        </w:rPr>
        <w:t>Notificación del caso al Estado y a l</w:t>
      </w:r>
      <w:r w:rsidR="00F84863">
        <w:rPr>
          <w:rFonts w:ascii="Verdana" w:hAnsi="Verdana"/>
          <w:i/>
          <w:sz w:val="20"/>
          <w:szCs w:val="20"/>
          <w:lang w:val="es-CR"/>
        </w:rPr>
        <w:t>a</w:t>
      </w:r>
      <w:r w:rsidRPr="008E0075">
        <w:rPr>
          <w:rFonts w:ascii="Verdana" w:hAnsi="Verdana"/>
          <w:i/>
          <w:sz w:val="20"/>
          <w:szCs w:val="20"/>
          <w:lang w:val="es-CR"/>
        </w:rPr>
        <w:t>s representantes</w:t>
      </w:r>
      <w:r w:rsidRPr="008E0075">
        <w:rPr>
          <w:rFonts w:ascii="Verdana" w:eastAsia="Verdana" w:hAnsi="Verdana" w:cs="Verdana"/>
          <w:i/>
          <w:sz w:val="20"/>
          <w:szCs w:val="20"/>
          <w:lang w:val="es-CR"/>
        </w:rPr>
        <w:t xml:space="preserve">. – </w:t>
      </w:r>
      <w:r w:rsidRPr="008E0075">
        <w:rPr>
          <w:rFonts w:ascii="Verdana" w:eastAsia="Verdana" w:hAnsi="Verdana" w:cs="Verdana"/>
          <w:sz w:val="20"/>
          <w:szCs w:val="20"/>
          <w:lang w:val="es-CR"/>
        </w:rPr>
        <w:t>El sometimiento del caso por parte de la Comisión fue notificado por la Corte al Estado y a l</w:t>
      </w:r>
      <w:r w:rsidR="00F84863">
        <w:rPr>
          <w:rFonts w:ascii="Verdana" w:eastAsia="Verdana" w:hAnsi="Verdana" w:cs="Verdana"/>
          <w:sz w:val="20"/>
          <w:szCs w:val="20"/>
          <w:lang w:val="es-CR"/>
        </w:rPr>
        <w:t>a</w:t>
      </w:r>
      <w:r w:rsidRPr="008E0075">
        <w:rPr>
          <w:rFonts w:ascii="Verdana" w:eastAsia="Verdana" w:hAnsi="Verdana" w:cs="Verdana"/>
          <w:sz w:val="20"/>
          <w:szCs w:val="20"/>
          <w:lang w:val="es-CR"/>
        </w:rPr>
        <w:t>s representantes los días 5 y 6 de marzo de 2018, respectivamente.</w:t>
      </w:r>
    </w:p>
    <w:p w:rsidR="00F94C48" w:rsidRPr="008E0075" w:rsidRDefault="00F94C48" w:rsidP="000615D6">
      <w:pPr>
        <w:pStyle w:val="Prrafodelista"/>
        <w:spacing w:after="0" w:line="240" w:lineRule="auto"/>
        <w:ind w:left="0"/>
        <w:jc w:val="both"/>
        <w:rPr>
          <w:rFonts w:ascii="Verdana" w:eastAsia="Verdana" w:hAnsi="Verdana" w:cs="Verdana"/>
          <w:sz w:val="20"/>
          <w:szCs w:val="20"/>
          <w:lang w:val="es-CR"/>
        </w:rPr>
      </w:pPr>
    </w:p>
    <w:p w:rsidR="00F94C48"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eastAsia="Verdana" w:hAnsi="Verdana" w:cs="Verdana"/>
          <w:i/>
          <w:sz w:val="20"/>
          <w:szCs w:val="20"/>
          <w:lang w:val="es-CR"/>
        </w:rPr>
        <w:t>Escrito de solic</w:t>
      </w:r>
      <w:r w:rsidR="004F41F1">
        <w:rPr>
          <w:rFonts w:ascii="Verdana" w:eastAsia="Verdana" w:hAnsi="Verdana" w:cs="Verdana"/>
          <w:i/>
          <w:sz w:val="20"/>
          <w:szCs w:val="20"/>
          <w:lang w:val="es-CR"/>
        </w:rPr>
        <w:t xml:space="preserve">itudes, argumentos y pruebas. – </w:t>
      </w:r>
      <w:r w:rsidRPr="008E0075">
        <w:rPr>
          <w:rFonts w:ascii="Verdana" w:eastAsia="Verdana" w:hAnsi="Verdana" w:cs="Verdana"/>
          <w:sz w:val="20"/>
          <w:szCs w:val="20"/>
          <w:lang w:val="es-CR"/>
        </w:rPr>
        <w:t>El 4 de mayo de 2018 las representantes presentaron su escrito de solicitudes, argumentos y pruebas (en adelante también “escrito de solicitudes y argumentos” o “ESAP”) y sus anexos</w:t>
      </w:r>
      <w:r w:rsidR="008B1037" w:rsidRPr="008E0075">
        <w:rPr>
          <w:rFonts w:ascii="Verdana" w:eastAsia="Verdana" w:hAnsi="Verdana" w:cs="Verdana"/>
          <w:sz w:val="20"/>
          <w:szCs w:val="20"/>
          <w:lang w:val="es-CR"/>
        </w:rPr>
        <w:t>.</w:t>
      </w:r>
      <w:r w:rsidRPr="008E0075">
        <w:rPr>
          <w:rFonts w:ascii="Verdana" w:eastAsia="Verdana" w:hAnsi="Verdana" w:cs="Verdana"/>
          <w:sz w:val="20"/>
          <w:szCs w:val="20"/>
          <w:lang w:val="es-CR"/>
        </w:rPr>
        <w:t xml:space="preserve"> Las representantes coincidieron sustancialmente con los argumentos y conclusiones de la Comisión</w:t>
      </w:r>
      <w:r w:rsidR="008B1037" w:rsidRPr="008E0075">
        <w:rPr>
          <w:rFonts w:ascii="Verdana" w:eastAsia="Verdana" w:hAnsi="Verdana" w:cs="Verdana"/>
          <w:sz w:val="20"/>
          <w:szCs w:val="20"/>
          <w:lang w:val="es-CR"/>
        </w:rPr>
        <w:t>, además</w:t>
      </w:r>
      <w:r w:rsidRPr="008E0075">
        <w:rPr>
          <w:rFonts w:ascii="Verdana" w:eastAsia="Verdana" w:hAnsi="Verdana" w:cs="Verdana"/>
          <w:sz w:val="20"/>
          <w:szCs w:val="20"/>
          <w:lang w:val="es-CR"/>
        </w:rPr>
        <w:t xml:space="preserve">, </w:t>
      </w:r>
      <w:r w:rsidR="008B1037" w:rsidRPr="008E0075">
        <w:rPr>
          <w:rFonts w:ascii="Verdana" w:eastAsia="Verdana" w:hAnsi="Verdana" w:cs="Verdana"/>
          <w:sz w:val="20"/>
          <w:szCs w:val="20"/>
          <w:lang w:val="es-CR"/>
        </w:rPr>
        <w:t xml:space="preserve">alegaron la violación de los </w:t>
      </w:r>
      <w:r w:rsidRPr="008E0075">
        <w:rPr>
          <w:rFonts w:ascii="Verdana" w:eastAsia="Verdana" w:hAnsi="Verdana" w:cs="Verdana"/>
          <w:sz w:val="20"/>
          <w:szCs w:val="20"/>
          <w:lang w:val="es-CR"/>
        </w:rPr>
        <w:t>artículo</w:t>
      </w:r>
      <w:r w:rsidR="008B1037" w:rsidRPr="008E0075">
        <w:rPr>
          <w:rFonts w:ascii="Verdana" w:eastAsia="Verdana" w:hAnsi="Verdana" w:cs="Verdana"/>
          <w:sz w:val="20"/>
          <w:szCs w:val="20"/>
          <w:lang w:val="es-CR"/>
        </w:rPr>
        <w:t>s 8.1,</w:t>
      </w:r>
      <w:r w:rsidR="004F41F1">
        <w:rPr>
          <w:rFonts w:ascii="Verdana" w:eastAsia="Verdana" w:hAnsi="Verdana" w:cs="Verdana"/>
          <w:sz w:val="20"/>
          <w:szCs w:val="20"/>
          <w:lang w:val="es-CR"/>
        </w:rPr>
        <w:t xml:space="preserve"> 8.2</w:t>
      </w:r>
      <w:r w:rsidRPr="008E0075">
        <w:rPr>
          <w:rFonts w:ascii="Verdana" w:eastAsia="Verdana" w:hAnsi="Verdana" w:cs="Verdana"/>
          <w:sz w:val="20"/>
          <w:szCs w:val="20"/>
          <w:lang w:val="es-CR"/>
        </w:rPr>
        <w:t xml:space="preserve"> incisos d), f), g) y h), 8.3 </w:t>
      </w:r>
      <w:r w:rsidR="008B1037" w:rsidRPr="008E0075">
        <w:rPr>
          <w:rFonts w:ascii="Verdana" w:eastAsia="Verdana" w:hAnsi="Verdana" w:cs="Verdana"/>
          <w:sz w:val="20"/>
          <w:szCs w:val="20"/>
          <w:lang w:val="es-CR"/>
        </w:rPr>
        <w:t xml:space="preserve">y 8.5 </w:t>
      </w:r>
      <w:r w:rsidRPr="008E0075">
        <w:rPr>
          <w:rFonts w:ascii="Verdana" w:eastAsia="Verdana" w:hAnsi="Verdana" w:cs="Verdana"/>
          <w:sz w:val="20"/>
          <w:szCs w:val="20"/>
          <w:lang w:val="es-CR"/>
        </w:rPr>
        <w:t>de la Convención Americana</w:t>
      </w:r>
      <w:r w:rsidR="008B1037" w:rsidRPr="008E0075">
        <w:rPr>
          <w:rFonts w:ascii="Verdana" w:eastAsia="Verdana" w:hAnsi="Verdana" w:cs="Verdana"/>
          <w:sz w:val="20"/>
          <w:szCs w:val="20"/>
          <w:lang w:val="es-CR"/>
        </w:rPr>
        <w:t>, en perjuicio de las presuntas víctimas</w:t>
      </w:r>
      <w:r w:rsidRPr="008E0075">
        <w:rPr>
          <w:rFonts w:ascii="Verdana" w:eastAsia="Verdana" w:hAnsi="Verdana" w:cs="Verdana"/>
          <w:sz w:val="20"/>
          <w:szCs w:val="20"/>
          <w:lang w:val="es-CR"/>
        </w:rPr>
        <w:t xml:space="preserve">. </w:t>
      </w:r>
      <w:r w:rsidR="008B1037" w:rsidRPr="008E0075">
        <w:rPr>
          <w:rFonts w:ascii="Verdana" w:eastAsia="Verdana" w:hAnsi="Verdana" w:cs="Verdana"/>
          <w:sz w:val="20"/>
          <w:szCs w:val="20"/>
          <w:lang w:val="es-CR"/>
        </w:rPr>
        <w:t>Agre</w:t>
      </w:r>
      <w:r w:rsidR="00296004" w:rsidRPr="008E0075">
        <w:rPr>
          <w:rFonts w:ascii="Verdana" w:eastAsia="Verdana" w:hAnsi="Verdana" w:cs="Verdana"/>
          <w:sz w:val="20"/>
          <w:szCs w:val="20"/>
          <w:lang w:val="es-CR"/>
        </w:rPr>
        <w:t>g</w:t>
      </w:r>
      <w:r w:rsidR="008B1037" w:rsidRPr="008E0075">
        <w:rPr>
          <w:rFonts w:ascii="Verdana" w:eastAsia="Verdana" w:hAnsi="Verdana" w:cs="Verdana"/>
          <w:sz w:val="20"/>
          <w:szCs w:val="20"/>
          <w:lang w:val="es-CR"/>
        </w:rPr>
        <w:t xml:space="preserve">aron que el Estado es responsable por la violación de los artículos 5.1 y 5.2 de la Convención Americana, en relación con los artículos 8.1, 1.1 y 2 de la Convención, en perjucio de sus familiares. </w:t>
      </w:r>
      <w:r w:rsidRPr="008E0075">
        <w:rPr>
          <w:rFonts w:ascii="Verdana" w:eastAsia="Verdana" w:hAnsi="Verdana" w:cs="Verdana"/>
          <w:sz w:val="20"/>
          <w:szCs w:val="20"/>
          <w:lang w:val="es-CR"/>
        </w:rPr>
        <w:t xml:space="preserve">Finalmente, solicitaron que se ordenara al Estado adoptar diversas medidas de reparación y el reintegro de determinados costas y gastos.  </w:t>
      </w:r>
    </w:p>
    <w:p w:rsidR="003E4D62" w:rsidRPr="00E745EC" w:rsidRDefault="003E4D62" w:rsidP="003E4D62">
      <w:pPr>
        <w:pStyle w:val="Prrafodelista"/>
        <w:spacing w:after="0" w:line="240" w:lineRule="auto"/>
        <w:ind w:left="0"/>
        <w:jc w:val="both"/>
        <w:rPr>
          <w:rFonts w:ascii="Verdana" w:eastAsia="Verdana" w:hAnsi="Verdana" w:cs="Verdana"/>
          <w:sz w:val="20"/>
          <w:szCs w:val="20"/>
          <w:lang w:val="es-CR"/>
        </w:rPr>
      </w:pPr>
    </w:p>
    <w:p w:rsidR="00F94C48"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eastAsia="Verdana" w:hAnsi="Verdana" w:cs="Verdana"/>
          <w:i/>
          <w:sz w:val="20"/>
          <w:szCs w:val="20"/>
          <w:lang w:val="es-CR"/>
        </w:rPr>
        <w:t xml:space="preserve">Escrito de contestación. – </w:t>
      </w:r>
      <w:r w:rsidRPr="008E0075">
        <w:rPr>
          <w:rFonts w:ascii="Verdana" w:eastAsia="Verdana" w:hAnsi="Verdana" w:cs="Verdana"/>
          <w:sz w:val="20"/>
          <w:szCs w:val="20"/>
          <w:lang w:val="es-CR"/>
        </w:rPr>
        <w:t xml:space="preserve">El 7 de agosto de 2018 </w:t>
      </w:r>
      <w:r w:rsidR="00296004" w:rsidRPr="008E0075">
        <w:rPr>
          <w:rFonts w:ascii="Verdana" w:eastAsia="Verdana" w:hAnsi="Verdana" w:cs="Verdana"/>
          <w:sz w:val="20"/>
          <w:szCs w:val="20"/>
          <w:lang w:val="es-CR"/>
        </w:rPr>
        <w:t xml:space="preserve">el Estado </w:t>
      </w:r>
      <w:r w:rsidRPr="008E0075">
        <w:rPr>
          <w:rFonts w:ascii="Verdana" w:eastAsia="Verdana" w:hAnsi="Verdana" w:cs="Verdana"/>
          <w:sz w:val="20"/>
          <w:szCs w:val="20"/>
          <w:lang w:val="es-CR"/>
        </w:rPr>
        <w:t xml:space="preserve">presentó ante la Corte su escrito de contestación al sometimiento del caso por parte de la Comisión y de observaciones </w:t>
      </w:r>
      <w:r w:rsidRPr="008E0075">
        <w:rPr>
          <w:rFonts w:ascii="Verdana" w:eastAsia="Verdana" w:hAnsi="Verdana" w:cs="Verdana"/>
          <w:sz w:val="20"/>
          <w:szCs w:val="20"/>
          <w:lang w:val="es-CR"/>
        </w:rPr>
        <w:lastRenderedPageBreak/>
        <w:t>al escrito de solicitudes y argumentos (en adelante “escrito de contestación”)</w:t>
      </w:r>
      <w:r w:rsidRPr="008E0075">
        <w:rPr>
          <w:rStyle w:val="Refdenotaalpie"/>
          <w:rFonts w:ascii="Verdana" w:eastAsia="Verdana" w:hAnsi="Verdana" w:cs="Verdana"/>
          <w:sz w:val="20"/>
          <w:szCs w:val="20"/>
        </w:rPr>
        <w:footnoteReference w:id="4"/>
      </w:r>
      <w:r w:rsidRPr="008E0075">
        <w:rPr>
          <w:rFonts w:ascii="Verdana" w:eastAsia="Verdana" w:hAnsi="Verdana" w:cs="Verdana"/>
          <w:sz w:val="20"/>
          <w:szCs w:val="20"/>
          <w:lang w:val="es-CR"/>
        </w:rPr>
        <w:t xml:space="preserve"> </w:t>
      </w:r>
      <w:r w:rsidR="00A33281" w:rsidRPr="008E0075">
        <w:rPr>
          <w:rFonts w:ascii="Verdana" w:eastAsia="Verdana" w:hAnsi="Verdana" w:cs="Verdana"/>
          <w:sz w:val="20"/>
          <w:szCs w:val="20"/>
          <w:lang w:val="es-CR"/>
        </w:rPr>
        <w:t>y sus anexos</w:t>
      </w:r>
      <w:r w:rsidRPr="008E0075">
        <w:rPr>
          <w:rFonts w:ascii="Verdana" w:eastAsia="Verdana" w:hAnsi="Verdana" w:cs="Verdana"/>
          <w:sz w:val="20"/>
          <w:szCs w:val="20"/>
          <w:lang w:val="es-CR"/>
        </w:rPr>
        <w:t>. En dicho escrito, el Estado se opuso a las violaciones alegadas y presentó una excep</w:t>
      </w:r>
      <w:r w:rsidR="00A33281" w:rsidRPr="008E0075">
        <w:rPr>
          <w:rFonts w:ascii="Verdana" w:eastAsia="Verdana" w:hAnsi="Verdana" w:cs="Verdana"/>
          <w:sz w:val="20"/>
          <w:szCs w:val="20"/>
          <w:lang w:val="es-CR"/>
        </w:rPr>
        <w:t>ción preliminar de cosa juzgada</w:t>
      </w:r>
      <w:r w:rsidRPr="008E0075">
        <w:rPr>
          <w:rFonts w:ascii="Verdana" w:eastAsia="Verdana" w:hAnsi="Verdana" w:cs="Verdana"/>
          <w:sz w:val="20"/>
          <w:szCs w:val="20"/>
          <w:lang w:val="es-CR"/>
        </w:rPr>
        <w:t xml:space="preserve">. </w:t>
      </w:r>
    </w:p>
    <w:p w:rsidR="00F94C48" w:rsidRPr="008E0075" w:rsidRDefault="00F94C48" w:rsidP="000615D6">
      <w:pPr>
        <w:pStyle w:val="Prrafodelista"/>
        <w:spacing w:after="0" w:line="240" w:lineRule="auto"/>
        <w:ind w:left="0"/>
        <w:jc w:val="both"/>
        <w:rPr>
          <w:rFonts w:ascii="Verdana" w:eastAsia="Verdana" w:hAnsi="Verdana" w:cs="Verdana"/>
          <w:sz w:val="20"/>
          <w:szCs w:val="20"/>
          <w:lang w:val="es-CR"/>
        </w:rPr>
      </w:pPr>
    </w:p>
    <w:p w:rsidR="00F94C48"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eastAsia="Verdana" w:hAnsi="Verdana" w:cs="Verdana"/>
          <w:i/>
          <w:sz w:val="20"/>
          <w:szCs w:val="20"/>
          <w:lang w:val="es-CR"/>
        </w:rPr>
        <w:t xml:space="preserve">Observaciones a la excepción preliminar. – </w:t>
      </w:r>
      <w:r w:rsidRPr="008E0075">
        <w:rPr>
          <w:rFonts w:ascii="Verdana" w:eastAsia="Verdana" w:hAnsi="Verdana" w:cs="Verdana"/>
          <w:sz w:val="20"/>
          <w:szCs w:val="20"/>
          <w:lang w:val="es-CR"/>
        </w:rPr>
        <w:t xml:space="preserve">Los días 4 y 16 de octubre </w:t>
      </w:r>
      <w:r w:rsidR="00632DBA">
        <w:rPr>
          <w:rFonts w:ascii="Verdana" w:eastAsia="Verdana" w:hAnsi="Verdana" w:cs="Verdana"/>
          <w:sz w:val="20"/>
          <w:szCs w:val="20"/>
          <w:lang w:val="es-CR"/>
        </w:rPr>
        <w:t xml:space="preserve">de 2018 </w:t>
      </w:r>
      <w:r w:rsidRPr="008E0075">
        <w:rPr>
          <w:rFonts w:ascii="Verdana" w:eastAsia="Verdana" w:hAnsi="Verdana" w:cs="Verdana"/>
          <w:sz w:val="20"/>
          <w:szCs w:val="20"/>
          <w:lang w:val="es-CR"/>
        </w:rPr>
        <w:t>la Comisión y las representantes remitieron</w:t>
      </w:r>
      <w:r w:rsidR="00296004" w:rsidRPr="008E0075">
        <w:rPr>
          <w:rFonts w:ascii="Verdana" w:eastAsia="Verdana" w:hAnsi="Verdana" w:cs="Verdana"/>
          <w:sz w:val="20"/>
          <w:szCs w:val="20"/>
          <w:lang w:val="es-CR"/>
        </w:rPr>
        <w:t>,</w:t>
      </w:r>
      <w:r w:rsidRPr="008E0075">
        <w:rPr>
          <w:rFonts w:ascii="Verdana" w:eastAsia="Verdana" w:hAnsi="Verdana" w:cs="Verdana"/>
          <w:sz w:val="20"/>
          <w:szCs w:val="20"/>
          <w:lang w:val="es-CR"/>
        </w:rPr>
        <w:t xml:space="preserve"> </w:t>
      </w:r>
      <w:r w:rsidR="00296004" w:rsidRPr="008E0075">
        <w:rPr>
          <w:rFonts w:ascii="Verdana" w:eastAsia="Verdana" w:hAnsi="Verdana" w:cs="Verdana"/>
          <w:sz w:val="20"/>
          <w:szCs w:val="20"/>
          <w:lang w:val="es-CR"/>
        </w:rPr>
        <w:t xml:space="preserve">respectivamente, </w:t>
      </w:r>
      <w:r w:rsidRPr="008E0075">
        <w:rPr>
          <w:rFonts w:ascii="Verdana" w:eastAsia="Verdana" w:hAnsi="Verdana" w:cs="Verdana"/>
          <w:sz w:val="20"/>
          <w:szCs w:val="20"/>
          <w:lang w:val="es-CR"/>
        </w:rPr>
        <w:t>sus observaciones a la excepción preliminar presentada por</w:t>
      </w:r>
      <w:r w:rsidR="00937812" w:rsidRPr="008E0075">
        <w:rPr>
          <w:rFonts w:ascii="Verdana" w:eastAsia="Verdana" w:hAnsi="Verdana" w:cs="Verdana"/>
          <w:sz w:val="20"/>
          <w:szCs w:val="20"/>
          <w:lang w:val="es-CR"/>
        </w:rPr>
        <w:t xml:space="preserve"> </w:t>
      </w:r>
      <w:r w:rsidRPr="008E0075">
        <w:rPr>
          <w:rFonts w:ascii="Verdana" w:eastAsia="Verdana" w:hAnsi="Verdana" w:cs="Verdana"/>
          <w:sz w:val="20"/>
          <w:szCs w:val="20"/>
          <w:lang w:val="es-CR"/>
        </w:rPr>
        <w:t>e</w:t>
      </w:r>
      <w:r w:rsidR="00937812" w:rsidRPr="008E0075">
        <w:rPr>
          <w:rFonts w:ascii="Verdana" w:eastAsia="Verdana" w:hAnsi="Verdana" w:cs="Verdana"/>
          <w:sz w:val="20"/>
          <w:szCs w:val="20"/>
          <w:lang w:val="es-CR"/>
        </w:rPr>
        <w:t>l</w:t>
      </w:r>
      <w:r w:rsidRPr="008E0075">
        <w:rPr>
          <w:rFonts w:ascii="Verdana" w:eastAsia="Verdana" w:hAnsi="Verdana" w:cs="Verdana"/>
          <w:sz w:val="20"/>
          <w:szCs w:val="20"/>
          <w:lang w:val="es-CR"/>
        </w:rPr>
        <w:t xml:space="preserve"> Estado, y solicitaron que se inadmita. </w:t>
      </w:r>
    </w:p>
    <w:p w:rsidR="00F94C48" w:rsidRPr="008E0075" w:rsidRDefault="00F94C48" w:rsidP="000615D6">
      <w:pPr>
        <w:pStyle w:val="Prrafodelista"/>
        <w:spacing w:after="0" w:line="240" w:lineRule="auto"/>
        <w:ind w:left="0"/>
        <w:jc w:val="both"/>
        <w:rPr>
          <w:rFonts w:ascii="Verdana" w:eastAsia="Verdana" w:hAnsi="Verdana" w:cs="Verdana"/>
          <w:sz w:val="20"/>
          <w:szCs w:val="20"/>
          <w:lang w:val="es-CR"/>
        </w:rPr>
      </w:pPr>
    </w:p>
    <w:p w:rsidR="00F94C48"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i/>
          <w:sz w:val="20"/>
          <w:szCs w:val="20"/>
          <w:lang w:val="es-CR"/>
        </w:rPr>
        <w:t>Procedimiento final escrito</w:t>
      </w:r>
      <w:r w:rsidRPr="008E0075">
        <w:rPr>
          <w:rFonts w:ascii="Verdana" w:hAnsi="Verdana"/>
          <w:sz w:val="20"/>
          <w:szCs w:val="20"/>
          <w:lang w:val="es-CR"/>
        </w:rPr>
        <w:t>. – Tras evaluar los escritos principales presentados por la Comisión y por las partes, y a la luz de lo dispuesto en los artículos 15, 45 y 50.1 del Reglamento de la Corte, el</w:t>
      </w:r>
      <w:r w:rsidR="00296004" w:rsidRPr="008E0075">
        <w:rPr>
          <w:rFonts w:ascii="Verdana" w:hAnsi="Verdana"/>
          <w:sz w:val="20"/>
          <w:szCs w:val="20"/>
          <w:lang w:val="es-CR"/>
        </w:rPr>
        <w:t xml:space="preserve"> Presidente en consulta con el P</w:t>
      </w:r>
      <w:r w:rsidRPr="008E0075">
        <w:rPr>
          <w:rFonts w:ascii="Verdana" w:hAnsi="Verdana"/>
          <w:sz w:val="20"/>
          <w:szCs w:val="20"/>
          <w:lang w:val="es-CR"/>
        </w:rPr>
        <w:t xml:space="preserve">leno de la Corte decidió que no era necesario convocar una audiencia pública </w:t>
      </w:r>
      <w:r w:rsidR="00BC060F" w:rsidRPr="008E0075">
        <w:rPr>
          <w:rFonts w:ascii="Verdana" w:hAnsi="Verdana"/>
          <w:sz w:val="20"/>
          <w:szCs w:val="20"/>
          <w:lang w:val="es-CR"/>
        </w:rPr>
        <w:t>en consideración de la</w:t>
      </w:r>
      <w:r w:rsidR="00787AB5">
        <w:rPr>
          <w:rFonts w:ascii="Verdana" w:hAnsi="Verdana"/>
          <w:sz w:val="20"/>
          <w:szCs w:val="20"/>
          <w:lang w:val="es-CR"/>
        </w:rPr>
        <w:t>s</w:t>
      </w:r>
      <w:r w:rsidR="00BC060F" w:rsidRPr="008E0075">
        <w:rPr>
          <w:rFonts w:ascii="Verdana" w:hAnsi="Verdana"/>
          <w:sz w:val="20"/>
          <w:szCs w:val="20"/>
          <w:lang w:val="es-CR"/>
        </w:rPr>
        <w:t xml:space="preserve"> </w:t>
      </w:r>
      <w:r w:rsidR="00E34E09">
        <w:rPr>
          <w:rFonts w:ascii="Verdana" w:hAnsi="Verdana"/>
          <w:sz w:val="20"/>
          <w:szCs w:val="20"/>
          <w:lang w:val="es-CR"/>
        </w:rPr>
        <w:t xml:space="preserve">circunstancias </w:t>
      </w:r>
      <w:r w:rsidR="00BC060F" w:rsidRPr="008E0075">
        <w:rPr>
          <w:rFonts w:ascii="Verdana" w:hAnsi="Verdana"/>
          <w:sz w:val="20"/>
          <w:szCs w:val="20"/>
          <w:lang w:val="es-CR"/>
        </w:rPr>
        <w:t xml:space="preserve">del caso y </w:t>
      </w:r>
      <w:r w:rsidR="00E34E09">
        <w:rPr>
          <w:rFonts w:ascii="Verdana" w:hAnsi="Verdana"/>
          <w:sz w:val="20"/>
          <w:szCs w:val="20"/>
          <w:lang w:val="es-CR"/>
        </w:rPr>
        <w:t xml:space="preserve">ante </w:t>
      </w:r>
      <w:r w:rsidR="00BC060F" w:rsidRPr="008E0075">
        <w:rPr>
          <w:rFonts w:ascii="Verdana" w:hAnsi="Verdana"/>
          <w:sz w:val="20"/>
          <w:szCs w:val="20"/>
          <w:lang w:val="es-CR"/>
        </w:rPr>
        <w:t>una ausencia de controversia fáctica</w:t>
      </w:r>
      <w:r w:rsidRPr="008E0075">
        <w:rPr>
          <w:rFonts w:ascii="Verdana" w:hAnsi="Verdana" w:cs="Verdana"/>
          <w:sz w:val="20"/>
          <w:szCs w:val="20"/>
          <w:lang w:val="es-CR"/>
        </w:rPr>
        <w:t xml:space="preserve">. </w:t>
      </w:r>
      <w:r w:rsidRPr="008E0075">
        <w:rPr>
          <w:rFonts w:ascii="Verdana" w:hAnsi="Verdana"/>
          <w:sz w:val="20"/>
          <w:szCs w:val="20"/>
          <w:lang w:val="es-CR"/>
        </w:rPr>
        <w:t>La decisión fue comunicada mediante Resolución del Presidente de 14 de febrero de 2019</w:t>
      </w:r>
      <w:r w:rsidRPr="008E0075">
        <w:rPr>
          <w:rStyle w:val="Refdenotaalpie"/>
          <w:rFonts w:ascii="Verdana" w:hAnsi="Verdana"/>
          <w:sz w:val="20"/>
          <w:szCs w:val="20"/>
        </w:rPr>
        <w:footnoteReference w:id="5"/>
      </w:r>
      <w:r w:rsidRPr="008E0075">
        <w:rPr>
          <w:rFonts w:ascii="Verdana" w:hAnsi="Verdana"/>
          <w:sz w:val="20"/>
          <w:szCs w:val="20"/>
          <w:lang w:val="es-CR"/>
        </w:rPr>
        <w:t>. Asimismo, mediante dicha Resolución el Presidente ordenó recibir por medio de declaración rendida ante fedatario público (</w:t>
      </w:r>
      <w:r w:rsidRPr="008E0075">
        <w:rPr>
          <w:rFonts w:ascii="Verdana" w:hAnsi="Verdana"/>
          <w:i/>
          <w:sz w:val="20"/>
          <w:szCs w:val="20"/>
          <w:lang w:val="es-CR"/>
        </w:rPr>
        <w:t>afidávit</w:t>
      </w:r>
      <w:r w:rsidRPr="008E0075">
        <w:rPr>
          <w:rFonts w:ascii="Verdana" w:hAnsi="Verdana"/>
          <w:sz w:val="20"/>
          <w:szCs w:val="20"/>
          <w:lang w:val="es-CR"/>
        </w:rPr>
        <w:t>) a dos declarantes, un testigo y cuatro peritajes ofrecidos por las representantes, así como un peritaje conjunto propuesto por la Comisión y l</w:t>
      </w:r>
      <w:r w:rsidR="001F7EDB">
        <w:rPr>
          <w:rFonts w:ascii="Verdana" w:hAnsi="Verdana"/>
          <w:sz w:val="20"/>
          <w:szCs w:val="20"/>
          <w:lang w:val="es-CR"/>
        </w:rPr>
        <w:t>a</w:t>
      </w:r>
      <w:r w:rsidRPr="008E0075">
        <w:rPr>
          <w:rFonts w:ascii="Verdana" w:hAnsi="Verdana"/>
          <w:sz w:val="20"/>
          <w:szCs w:val="20"/>
          <w:lang w:val="es-CR"/>
        </w:rPr>
        <w:t>s representantes</w:t>
      </w:r>
      <w:r w:rsidRPr="008E0075">
        <w:rPr>
          <w:rStyle w:val="Refdenotaalpie"/>
          <w:rFonts w:ascii="Verdana" w:hAnsi="Verdana"/>
          <w:sz w:val="20"/>
          <w:szCs w:val="20"/>
        </w:rPr>
        <w:footnoteReference w:id="6"/>
      </w:r>
      <w:r w:rsidRPr="008E0075">
        <w:rPr>
          <w:rFonts w:ascii="Verdana" w:hAnsi="Verdana" w:cs="Arial"/>
          <w:sz w:val="20"/>
          <w:szCs w:val="20"/>
          <w:lang w:val="es-CR"/>
        </w:rPr>
        <w:t xml:space="preserve">. </w:t>
      </w:r>
      <w:r w:rsidR="00F10091">
        <w:rPr>
          <w:rFonts w:ascii="Verdana" w:hAnsi="Verdana" w:cs="Verdana"/>
          <w:sz w:val="20"/>
          <w:szCs w:val="20"/>
          <w:lang w:val="es-CR"/>
        </w:rPr>
        <w:t>Además</w:t>
      </w:r>
      <w:r w:rsidRPr="008E0075">
        <w:rPr>
          <w:rFonts w:ascii="Verdana" w:hAnsi="Verdana" w:cs="Verdana"/>
          <w:sz w:val="20"/>
          <w:szCs w:val="20"/>
          <w:lang w:val="es-CR"/>
        </w:rPr>
        <w:t xml:space="preserve">, se dispuso la asistencia económica que sería brindada a través </w:t>
      </w:r>
      <w:r w:rsidRPr="008E0075">
        <w:rPr>
          <w:rFonts w:ascii="Verdana" w:hAnsi="Verdana"/>
          <w:sz w:val="20"/>
          <w:szCs w:val="20"/>
          <w:lang w:val="es-CR"/>
        </w:rPr>
        <w:t xml:space="preserve">del Fondo de Asistencia de la Corte. </w:t>
      </w:r>
      <w:r w:rsidRPr="008E0075">
        <w:rPr>
          <w:rFonts w:ascii="Verdana" w:eastAsia="Verdana" w:hAnsi="Verdana" w:cs="Verdana"/>
          <w:position w:val="-1"/>
          <w:sz w:val="20"/>
          <w:szCs w:val="20"/>
          <w:lang w:val="es-ES"/>
        </w:rPr>
        <w:t>Las declaraciones ante fedatario público</w:t>
      </w:r>
      <w:r w:rsidR="00AB29C2" w:rsidRPr="008E0075">
        <w:rPr>
          <w:rFonts w:ascii="Verdana" w:eastAsia="Verdana" w:hAnsi="Verdana" w:cs="Verdana"/>
          <w:position w:val="-1"/>
          <w:sz w:val="20"/>
          <w:szCs w:val="20"/>
          <w:lang w:val="es-ES"/>
        </w:rPr>
        <w:t>, luego de una prórroga solicitada por las representantes,</w:t>
      </w:r>
      <w:r w:rsidRPr="008E0075">
        <w:rPr>
          <w:rFonts w:ascii="Verdana" w:eastAsia="Verdana" w:hAnsi="Verdana" w:cs="Verdana"/>
          <w:position w:val="-1"/>
          <w:sz w:val="20"/>
          <w:szCs w:val="20"/>
          <w:lang w:val="es-ES"/>
        </w:rPr>
        <w:t xml:space="preserve"> fueron recibidas los días </w:t>
      </w:r>
      <w:r w:rsidR="00AB29C2" w:rsidRPr="008E0075">
        <w:rPr>
          <w:rFonts w:ascii="Verdana" w:eastAsia="Verdana" w:hAnsi="Verdana" w:cs="Verdana"/>
          <w:position w:val="-1"/>
          <w:sz w:val="20"/>
          <w:szCs w:val="20"/>
          <w:lang w:val="es-ES"/>
        </w:rPr>
        <w:t>6, 7 y 11 de marzo</w:t>
      </w:r>
      <w:r w:rsidRPr="008E0075">
        <w:rPr>
          <w:rFonts w:ascii="Verdana" w:eastAsia="Verdana" w:hAnsi="Verdana" w:cs="Verdana"/>
          <w:position w:val="-1"/>
          <w:sz w:val="20"/>
          <w:szCs w:val="20"/>
          <w:lang w:val="es-ES"/>
        </w:rPr>
        <w:t xml:space="preserve"> de 2019. </w:t>
      </w:r>
      <w:r w:rsidR="00914C89">
        <w:rPr>
          <w:rFonts w:ascii="Verdana" w:eastAsia="Verdana" w:hAnsi="Verdana" w:cs="Verdana"/>
          <w:position w:val="-1"/>
          <w:sz w:val="20"/>
          <w:szCs w:val="20"/>
          <w:lang w:val="es-ES"/>
        </w:rPr>
        <w:t xml:space="preserve">El 18 de marzo </w:t>
      </w:r>
      <w:r w:rsidR="00AB29C2" w:rsidRPr="008E0075">
        <w:rPr>
          <w:rFonts w:ascii="Verdana" w:eastAsia="Verdana" w:hAnsi="Verdana" w:cs="Verdana"/>
          <w:position w:val="-1"/>
          <w:sz w:val="20"/>
          <w:szCs w:val="20"/>
          <w:lang w:val="es-ES"/>
        </w:rPr>
        <w:t xml:space="preserve">de 2019 </w:t>
      </w:r>
      <w:r w:rsidR="0055589F" w:rsidRPr="008E0075">
        <w:rPr>
          <w:rFonts w:ascii="Verdana" w:eastAsia="Verdana" w:hAnsi="Verdana" w:cs="Verdana"/>
          <w:position w:val="-1"/>
          <w:sz w:val="20"/>
          <w:szCs w:val="20"/>
          <w:lang w:val="es-ES"/>
        </w:rPr>
        <w:t xml:space="preserve">se recibió </w:t>
      </w:r>
      <w:r w:rsidR="00AB29C2" w:rsidRPr="008E0075">
        <w:rPr>
          <w:rFonts w:ascii="Verdana" w:eastAsia="Verdana" w:hAnsi="Verdana" w:cs="Verdana"/>
          <w:position w:val="-1"/>
          <w:sz w:val="20"/>
          <w:szCs w:val="20"/>
          <w:lang w:val="es-ES"/>
        </w:rPr>
        <w:t>e</w:t>
      </w:r>
      <w:r w:rsidR="00BE1AD1">
        <w:rPr>
          <w:rFonts w:ascii="Verdana" w:eastAsia="Verdana" w:hAnsi="Verdana" w:cs="Verdana"/>
          <w:position w:val="-1"/>
          <w:sz w:val="20"/>
          <w:szCs w:val="20"/>
          <w:lang w:val="es-ES"/>
        </w:rPr>
        <w:t>l peritaje conjunto mediante af</w:t>
      </w:r>
      <w:r w:rsidR="00AB29C2" w:rsidRPr="008E0075">
        <w:rPr>
          <w:rFonts w:ascii="Verdana" w:eastAsia="Verdana" w:hAnsi="Verdana" w:cs="Verdana"/>
          <w:position w:val="-1"/>
          <w:sz w:val="20"/>
          <w:szCs w:val="20"/>
          <w:lang w:val="es-ES"/>
        </w:rPr>
        <w:t>id</w:t>
      </w:r>
      <w:r w:rsidR="00787AB5">
        <w:rPr>
          <w:rFonts w:ascii="Verdana" w:eastAsia="Verdana" w:hAnsi="Verdana" w:cs="Verdana"/>
          <w:position w:val="-1"/>
          <w:sz w:val="20"/>
          <w:szCs w:val="20"/>
          <w:lang w:val="es-ES"/>
        </w:rPr>
        <w:t>á</w:t>
      </w:r>
      <w:r w:rsidR="00AB29C2" w:rsidRPr="008E0075">
        <w:rPr>
          <w:rFonts w:ascii="Verdana" w:eastAsia="Verdana" w:hAnsi="Verdana" w:cs="Verdana"/>
          <w:position w:val="-1"/>
          <w:sz w:val="20"/>
          <w:szCs w:val="20"/>
          <w:lang w:val="es-ES"/>
        </w:rPr>
        <w:t xml:space="preserve">vit ofrecido por la Comisión. </w:t>
      </w:r>
    </w:p>
    <w:p w:rsidR="00F94C48" w:rsidRPr="008E0075" w:rsidRDefault="00F94C48" w:rsidP="000615D6">
      <w:pPr>
        <w:pStyle w:val="Prrafodelista"/>
        <w:spacing w:after="0" w:line="240" w:lineRule="auto"/>
        <w:ind w:left="0"/>
        <w:jc w:val="both"/>
        <w:rPr>
          <w:rFonts w:ascii="Verdana" w:eastAsia="Verdana" w:hAnsi="Verdana" w:cs="Verdana"/>
          <w:sz w:val="20"/>
          <w:szCs w:val="20"/>
          <w:lang w:val="es-CR"/>
        </w:rPr>
      </w:pPr>
    </w:p>
    <w:p w:rsidR="00F94C48"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i/>
          <w:sz w:val="20"/>
          <w:szCs w:val="20"/>
          <w:lang w:val="es-CR"/>
        </w:rPr>
        <w:t>Alegatos y observaciones finales escritas.</w:t>
      </w:r>
      <w:r w:rsidRPr="008E0075">
        <w:rPr>
          <w:rFonts w:ascii="Verdana" w:hAnsi="Verdana"/>
          <w:sz w:val="20"/>
          <w:szCs w:val="20"/>
          <w:lang w:val="es-CR"/>
        </w:rPr>
        <w:t xml:space="preserve"> – El </w:t>
      </w:r>
      <w:r w:rsidR="004B2F99" w:rsidRPr="008E0075">
        <w:rPr>
          <w:rFonts w:ascii="Verdana" w:hAnsi="Verdana"/>
          <w:sz w:val="20"/>
          <w:szCs w:val="20"/>
          <w:lang w:val="es-CR"/>
        </w:rPr>
        <w:t>8</w:t>
      </w:r>
      <w:r w:rsidRPr="008E0075">
        <w:rPr>
          <w:rFonts w:ascii="Verdana" w:hAnsi="Verdana"/>
          <w:sz w:val="20"/>
          <w:szCs w:val="20"/>
          <w:lang w:val="es-CR"/>
        </w:rPr>
        <w:t xml:space="preserve"> de abril de 2019 </w:t>
      </w:r>
      <w:r w:rsidR="004B2F99" w:rsidRPr="008E0075">
        <w:rPr>
          <w:rFonts w:ascii="Verdana" w:hAnsi="Verdana"/>
          <w:sz w:val="20"/>
          <w:szCs w:val="20"/>
          <w:lang w:val="es-CR"/>
        </w:rPr>
        <w:t xml:space="preserve">la Comisión presentó sus observaciones finales escritas, y el 12 de abril de 2019 </w:t>
      </w:r>
      <w:r w:rsidRPr="008E0075">
        <w:rPr>
          <w:rFonts w:ascii="Verdana" w:hAnsi="Verdana"/>
          <w:sz w:val="20"/>
          <w:szCs w:val="20"/>
          <w:lang w:val="es-CR"/>
        </w:rPr>
        <w:t>las representantes y el Estado remitieron sus respecti</w:t>
      </w:r>
      <w:r w:rsidR="004B2F99" w:rsidRPr="008E0075">
        <w:rPr>
          <w:rFonts w:ascii="Verdana" w:hAnsi="Verdana"/>
          <w:sz w:val="20"/>
          <w:szCs w:val="20"/>
          <w:lang w:val="es-CR"/>
        </w:rPr>
        <w:t>vos alegatos finales escritos.</w:t>
      </w:r>
      <w:r w:rsidR="00206FFA" w:rsidRPr="008E0075">
        <w:rPr>
          <w:rFonts w:ascii="Verdana" w:hAnsi="Verdana"/>
          <w:sz w:val="20"/>
          <w:szCs w:val="20"/>
          <w:lang w:val="es-CR"/>
        </w:rPr>
        <w:t xml:space="preserve"> </w:t>
      </w:r>
    </w:p>
    <w:p w:rsidR="00F94C48" w:rsidRPr="008E0075" w:rsidRDefault="00F94C48" w:rsidP="000615D6">
      <w:pPr>
        <w:pStyle w:val="Prrafodelista"/>
        <w:spacing w:after="0" w:line="240" w:lineRule="auto"/>
        <w:ind w:left="0"/>
        <w:jc w:val="both"/>
        <w:rPr>
          <w:rFonts w:ascii="Verdana" w:eastAsia="Verdana" w:hAnsi="Verdana" w:cs="Verdana"/>
          <w:sz w:val="20"/>
          <w:szCs w:val="20"/>
          <w:lang w:val="es-CR"/>
        </w:rPr>
      </w:pPr>
    </w:p>
    <w:p w:rsidR="00F94C48" w:rsidRPr="00BC036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i/>
          <w:sz w:val="20"/>
          <w:szCs w:val="20"/>
          <w:lang w:val="es-CR"/>
        </w:rPr>
        <w:t>Erogaciones en aplicación del Fondo de Asistencia.</w:t>
      </w:r>
      <w:r w:rsidR="00C11549" w:rsidRPr="008E0075">
        <w:rPr>
          <w:rFonts w:ascii="Verdana" w:hAnsi="Verdana"/>
          <w:i/>
          <w:sz w:val="20"/>
          <w:szCs w:val="20"/>
          <w:lang w:val="es-CR"/>
        </w:rPr>
        <w:t xml:space="preserve"> </w:t>
      </w:r>
      <w:r w:rsidR="00C11549" w:rsidRPr="008E0075">
        <w:rPr>
          <w:rFonts w:ascii="Verdana" w:hAnsi="Verdana"/>
          <w:sz w:val="20"/>
          <w:szCs w:val="20"/>
          <w:lang w:val="es-CR"/>
        </w:rPr>
        <w:t xml:space="preserve">– </w:t>
      </w:r>
      <w:r w:rsidR="000F1041">
        <w:rPr>
          <w:rFonts w:ascii="Verdana" w:hAnsi="Verdana"/>
          <w:sz w:val="20"/>
          <w:szCs w:val="20"/>
          <w:lang w:val="es-CR"/>
        </w:rPr>
        <w:t>El 23 de agosto</w:t>
      </w:r>
      <w:r w:rsidR="00C11549" w:rsidRPr="008E0075">
        <w:rPr>
          <w:rFonts w:ascii="Verdana" w:hAnsi="Verdana"/>
          <w:sz w:val="20"/>
          <w:szCs w:val="20"/>
          <w:lang w:val="es-CR"/>
        </w:rPr>
        <w:t xml:space="preserve"> de 2019 la Secretaría de la Corte Interamericana, siguiendo instrucciones del Presidente de la Corte, remitió información al Estado sobre las erogaciones efectuadas en aplicación del Fondo</w:t>
      </w:r>
      <w:r w:rsidR="004B2F99" w:rsidRPr="008E0075">
        <w:rPr>
          <w:rFonts w:ascii="Verdana" w:hAnsi="Verdana"/>
          <w:sz w:val="20"/>
          <w:szCs w:val="20"/>
          <w:lang w:val="es-CR"/>
        </w:rPr>
        <w:t xml:space="preserve"> en el presente caso, y según lo dispuesto en el artículo 5 del Reglamento de la Corte Interamericana de Derechos Humanos sobre el Funcionamiento del Fond</w:t>
      </w:r>
      <w:r w:rsidR="00914C89">
        <w:rPr>
          <w:rFonts w:ascii="Verdana" w:hAnsi="Verdana"/>
          <w:sz w:val="20"/>
          <w:szCs w:val="20"/>
          <w:lang w:val="es-CR"/>
        </w:rPr>
        <w:t xml:space="preserve">o de Asistencia, le otorgó un </w:t>
      </w:r>
      <w:r w:rsidR="004B2F99" w:rsidRPr="008E0075">
        <w:rPr>
          <w:rFonts w:ascii="Verdana" w:hAnsi="Verdana"/>
          <w:sz w:val="20"/>
          <w:szCs w:val="20"/>
          <w:lang w:val="es-CR"/>
        </w:rPr>
        <w:t>plazo para presentar las observaciones que estimara pertinentes. El Estado present</w:t>
      </w:r>
      <w:r w:rsidR="000F1041">
        <w:rPr>
          <w:rFonts w:ascii="Verdana" w:hAnsi="Verdana"/>
          <w:sz w:val="20"/>
          <w:szCs w:val="20"/>
          <w:lang w:val="es-CR"/>
        </w:rPr>
        <w:t>ó sus observaciones el 2 de septiembre</w:t>
      </w:r>
      <w:r w:rsidR="004B2F99" w:rsidRPr="008E0075">
        <w:rPr>
          <w:rFonts w:ascii="Verdana" w:hAnsi="Verdana"/>
          <w:sz w:val="20"/>
          <w:szCs w:val="20"/>
          <w:lang w:val="es-CR"/>
        </w:rPr>
        <w:t xml:space="preserve"> de 2019.</w:t>
      </w:r>
    </w:p>
    <w:p w:rsidR="00D94CE6" w:rsidRPr="00E745EC" w:rsidRDefault="00D94CE6" w:rsidP="00BC0365">
      <w:pPr>
        <w:pStyle w:val="Prrafodelista"/>
        <w:spacing w:after="0" w:line="240" w:lineRule="auto"/>
        <w:ind w:left="0"/>
        <w:jc w:val="both"/>
        <w:rPr>
          <w:rFonts w:ascii="Verdana" w:eastAsia="Verdana" w:hAnsi="Verdana" w:cs="Verdana"/>
          <w:sz w:val="20"/>
          <w:szCs w:val="20"/>
          <w:lang w:val="es-CR"/>
        </w:rPr>
      </w:pPr>
    </w:p>
    <w:p w:rsidR="00F94C48"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eastAsia="Verdana" w:hAnsi="Verdana" w:cs="Verdana"/>
          <w:i/>
          <w:sz w:val="20"/>
          <w:szCs w:val="20"/>
          <w:lang w:val="es-CR"/>
        </w:rPr>
        <w:t xml:space="preserve">Deliberación del presente caso. – </w:t>
      </w:r>
      <w:r w:rsidRPr="008E0075">
        <w:rPr>
          <w:rFonts w:ascii="Verdana" w:eastAsia="Verdana" w:hAnsi="Verdana" w:cs="Verdana"/>
          <w:sz w:val="20"/>
          <w:szCs w:val="20"/>
          <w:lang w:val="es-CR"/>
        </w:rPr>
        <w:t>La Corte inició la deliberación de l</w:t>
      </w:r>
      <w:r w:rsidR="001C66BE">
        <w:rPr>
          <w:rFonts w:ascii="Verdana" w:eastAsia="Verdana" w:hAnsi="Verdana" w:cs="Verdana"/>
          <w:sz w:val="20"/>
          <w:szCs w:val="20"/>
          <w:lang w:val="es-CR"/>
        </w:rPr>
        <w:t>a presente Sentencia el 15</w:t>
      </w:r>
      <w:r w:rsidR="000F1041">
        <w:rPr>
          <w:rFonts w:ascii="Verdana" w:eastAsia="Verdana" w:hAnsi="Verdana" w:cs="Verdana"/>
          <w:sz w:val="20"/>
          <w:szCs w:val="20"/>
          <w:lang w:val="es-CR"/>
        </w:rPr>
        <w:t xml:space="preserve"> de octubre</w:t>
      </w:r>
      <w:r w:rsidRPr="008E0075">
        <w:rPr>
          <w:rFonts w:ascii="Verdana" w:eastAsia="Verdana" w:hAnsi="Verdana" w:cs="Verdana"/>
          <w:sz w:val="20"/>
          <w:szCs w:val="20"/>
          <w:lang w:val="es-CR"/>
        </w:rPr>
        <w:t xml:space="preserve"> de 2019.</w:t>
      </w:r>
    </w:p>
    <w:p w:rsidR="008042F7" w:rsidRPr="008042F7" w:rsidRDefault="008042F7" w:rsidP="008042F7">
      <w:pPr>
        <w:pStyle w:val="Prrafodelista"/>
        <w:rPr>
          <w:rFonts w:ascii="Verdana" w:eastAsia="Verdana" w:hAnsi="Verdana" w:cs="Verdana"/>
          <w:sz w:val="20"/>
          <w:szCs w:val="20"/>
          <w:lang w:val="es-CR"/>
        </w:rPr>
      </w:pPr>
    </w:p>
    <w:p w:rsidR="008042F7" w:rsidRDefault="008042F7" w:rsidP="008042F7">
      <w:pPr>
        <w:pStyle w:val="Prrafodelista"/>
        <w:spacing w:after="0" w:line="240" w:lineRule="auto"/>
        <w:ind w:left="0"/>
        <w:jc w:val="both"/>
        <w:rPr>
          <w:rFonts w:ascii="Verdana" w:eastAsia="Verdana" w:hAnsi="Verdana" w:cs="Verdana"/>
          <w:sz w:val="20"/>
          <w:szCs w:val="20"/>
          <w:lang w:val="es-CR"/>
        </w:rPr>
      </w:pPr>
    </w:p>
    <w:p w:rsidR="00724AE2" w:rsidRPr="008E0075" w:rsidRDefault="00724AE2" w:rsidP="008042F7">
      <w:pPr>
        <w:pStyle w:val="Prrafodelista"/>
        <w:spacing w:after="0" w:line="240" w:lineRule="auto"/>
        <w:ind w:left="0"/>
        <w:jc w:val="both"/>
        <w:rPr>
          <w:rFonts w:ascii="Verdana" w:eastAsia="Verdana" w:hAnsi="Verdana" w:cs="Verdana"/>
          <w:sz w:val="20"/>
          <w:szCs w:val="20"/>
          <w:lang w:val="es-CR"/>
        </w:rPr>
      </w:pPr>
    </w:p>
    <w:p w:rsidR="00F94C48" w:rsidRPr="008E0075" w:rsidRDefault="00F94C48" w:rsidP="000615D6">
      <w:pPr>
        <w:pStyle w:val="Prrafodelista"/>
        <w:spacing w:after="0" w:line="240" w:lineRule="auto"/>
        <w:ind w:left="0"/>
        <w:jc w:val="both"/>
        <w:rPr>
          <w:rFonts w:ascii="Verdana" w:eastAsia="Verdana" w:hAnsi="Verdana" w:cs="Verdana"/>
          <w:i/>
          <w:sz w:val="20"/>
          <w:szCs w:val="20"/>
          <w:lang w:val="es-CR"/>
        </w:rPr>
      </w:pPr>
    </w:p>
    <w:p w:rsidR="00F94C48" w:rsidRPr="008E0075" w:rsidRDefault="00F94C48" w:rsidP="000615D6">
      <w:pPr>
        <w:pStyle w:val="Ttulo1"/>
        <w:spacing w:before="0" w:line="240" w:lineRule="auto"/>
        <w:jc w:val="center"/>
        <w:rPr>
          <w:rFonts w:ascii="Verdana" w:hAnsi="Verdana"/>
          <w:color w:val="auto"/>
          <w:sz w:val="20"/>
          <w:szCs w:val="20"/>
          <w:lang w:val="es-CR"/>
        </w:rPr>
      </w:pPr>
      <w:bookmarkStart w:id="4" w:name="_Toc24538818"/>
      <w:r w:rsidRPr="008E0075">
        <w:rPr>
          <w:rFonts w:ascii="Verdana" w:hAnsi="Verdana"/>
          <w:color w:val="auto"/>
          <w:sz w:val="20"/>
          <w:szCs w:val="20"/>
          <w:lang w:val="es-CR"/>
        </w:rPr>
        <w:lastRenderedPageBreak/>
        <w:t>III</w:t>
      </w:r>
      <w:r w:rsidRPr="008E0075">
        <w:rPr>
          <w:rFonts w:ascii="Verdana" w:hAnsi="Verdana"/>
          <w:color w:val="auto"/>
          <w:sz w:val="20"/>
          <w:szCs w:val="20"/>
          <w:lang w:val="es-CR"/>
        </w:rPr>
        <w:br/>
        <w:t>COMPETENCIA</w:t>
      </w:r>
      <w:bookmarkEnd w:id="4"/>
    </w:p>
    <w:p w:rsidR="00F94C48" w:rsidRPr="008E0075" w:rsidRDefault="00F94C48" w:rsidP="000615D6">
      <w:pPr>
        <w:pStyle w:val="Prrafodelista"/>
        <w:spacing w:after="0" w:line="240" w:lineRule="auto"/>
        <w:ind w:left="0"/>
        <w:jc w:val="both"/>
        <w:rPr>
          <w:rFonts w:ascii="Verdana" w:hAnsi="Verdana"/>
          <w:i/>
          <w:sz w:val="20"/>
          <w:szCs w:val="20"/>
          <w:lang w:val="es-CR"/>
        </w:rPr>
      </w:pPr>
    </w:p>
    <w:p w:rsidR="00F94C48" w:rsidRPr="007C73F2"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sz w:val="20"/>
          <w:szCs w:val="20"/>
          <w:lang w:val="es-CR"/>
        </w:rPr>
        <w:t xml:space="preserve">La Corte Interamericana es competente para conocer del presente caso, en los términos del artículo 62.3 de la Convención Americana, debido a que Guatemala es Estado Parte de la Convención Americana desde el 25 de mayo de 1978 y reconoció la competencia contenciosa de la Corte el 9 de marzo de 1987. </w:t>
      </w:r>
      <w:bookmarkStart w:id="5" w:name="_Toc505939116"/>
      <w:bookmarkStart w:id="6" w:name="_Toc506496097"/>
      <w:bookmarkStart w:id="7" w:name="_Toc506984076"/>
      <w:bookmarkStart w:id="8" w:name="_Toc12350833"/>
    </w:p>
    <w:p w:rsidR="00E34E09" w:rsidRPr="008E0075" w:rsidRDefault="00E34E09" w:rsidP="007C73F2">
      <w:pPr>
        <w:pStyle w:val="Prrafodelista"/>
        <w:spacing w:after="0" w:line="240" w:lineRule="auto"/>
        <w:ind w:left="0"/>
        <w:jc w:val="both"/>
        <w:rPr>
          <w:rFonts w:ascii="Verdana" w:eastAsia="Verdana" w:hAnsi="Verdana" w:cs="Verdana"/>
          <w:sz w:val="20"/>
          <w:szCs w:val="20"/>
          <w:lang w:val="es-CR"/>
        </w:rPr>
      </w:pPr>
    </w:p>
    <w:p w:rsidR="00F94C48" w:rsidRPr="00B84999" w:rsidRDefault="005362DC" w:rsidP="00B84999">
      <w:pPr>
        <w:pStyle w:val="Ttulo1"/>
        <w:spacing w:before="0" w:line="240" w:lineRule="auto"/>
        <w:jc w:val="center"/>
        <w:rPr>
          <w:rFonts w:ascii="Verdana" w:hAnsi="Verdana"/>
          <w:color w:val="auto"/>
          <w:sz w:val="20"/>
          <w:szCs w:val="20"/>
          <w:lang w:val="es-CR"/>
        </w:rPr>
      </w:pPr>
      <w:bookmarkStart w:id="9" w:name="_Toc24538819"/>
      <w:r>
        <w:rPr>
          <w:rFonts w:ascii="Verdana" w:hAnsi="Verdana"/>
          <w:color w:val="auto"/>
          <w:sz w:val="20"/>
          <w:szCs w:val="20"/>
          <w:lang w:val="es-CR"/>
        </w:rPr>
        <w:t>IV</w:t>
      </w:r>
      <w:r w:rsidR="00E34E09" w:rsidRPr="008E0075">
        <w:rPr>
          <w:rFonts w:ascii="Verdana" w:hAnsi="Verdana"/>
          <w:color w:val="auto"/>
          <w:sz w:val="20"/>
          <w:szCs w:val="20"/>
          <w:lang w:val="es-CR"/>
        </w:rPr>
        <w:br/>
      </w:r>
      <w:r w:rsidR="00914C89">
        <w:rPr>
          <w:rFonts w:ascii="Verdana" w:hAnsi="Verdana"/>
          <w:color w:val="auto"/>
          <w:sz w:val="20"/>
          <w:szCs w:val="20"/>
          <w:lang w:val="es-CR"/>
        </w:rPr>
        <w:t>EXCEPCIÓ</w:t>
      </w:r>
      <w:r w:rsidR="00E34E09">
        <w:rPr>
          <w:rFonts w:ascii="Verdana" w:hAnsi="Verdana"/>
          <w:color w:val="auto"/>
          <w:sz w:val="20"/>
          <w:szCs w:val="20"/>
          <w:lang w:val="es-CR"/>
        </w:rPr>
        <w:t>N PRELIMINAR</w:t>
      </w:r>
      <w:bookmarkEnd w:id="5"/>
      <w:bookmarkEnd w:id="6"/>
      <w:bookmarkEnd w:id="7"/>
      <w:bookmarkEnd w:id="8"/>
      <w:bookmarkEnd w:id="9"/>
    </w:p>
    <w:p w:rsidR="00F94C48" w:rsidRPr="008E0075" w:rsidRDefault="00F94C48" w:rsidP="000615D6">
      <w:pPr>
        <w:pStyle w:val="Prrafodelista"/>
        <w:spacing w:after="0" w:line="240" w:lineRule="auto"/>
        <w:ind w:left="0"/>
        <w:jc w:val="center"/>
        <w:outlineLvl w:val="0"/>
        <w:rPr>
          <w:rFonts w:ascii="Verdana" w:eastAsia="Verdana" w:hAnsi="Verdana" w:cs="Verdana"/>
          <w:b/>
          <w:i/>
          <w:sz w:val="20"/>
          <w:szCs w:val="20"/>
          <w:lang w:val="es-CR"/>
        </w:rPr>
      </w:pPr>
    </w:p>
    <w:p w:rsidR="00F94C48" w:rsidRPr="00A644AB" w:rsidRDefault="0046480D" w:rsidP="0046480D">
      <w:pPr>
        <w:pStyle w:val="Ttulo2"/>
        <w:spacing w:before="0" w:line="240" w:lineRule="auto"/>
        <w:rPr>
          <w:rFonts w:ascii="Verdana" w:hAnsi="Verdana"/>
          <w:b/>
          <w:color w:val="auto"/>
          <w:sz w:val="20"/>
          <w:szCs w:val="20"/>
          <w:lang w:val="es-CR" w:eastAsia="es-CR"/>
        </w:rPr>
      </w:pPr>
      <w:bookmarkStart w:id="10" w:name="_Toc12350832"/>
      <w:bookmarkStart w:id="11" w:name="_Toc24538820"/>
      <w:r w:rsidRPr="00A644AB">
        <w:rPr>
          <w:rFonts w:ascii="Verdana" w:eastAsia="Verdana" w:hAnsi="Verdana" w:cs="Verdana"/>
          <w:b/>
          <w:color w:val="auto"/>
          <w:sz w:val="20"/>
          <w:szCs w:val="20"/>
          <w:lang w:val="es-CR"/>
        </w:rPr>
        <w:t>A. Excepción preliminar de cosa juzgada</w:t>
      </w:r>
      <w:bookmarkEnd w:id="10"/>
      <w:bookmarkEnd w:id="11"/>
      <w:r w:rsidR="00AE423D" w:rsidRPr="00A644AB">
        <w:rPr>
          <w:rFonts w:ascii="Verdana" w:eastAsia="Verdana" w:hAnsi="Verdana" w:cs="Verdana"/>
          <w:color w:val="auto"/>
          <w:sz w:val="20"/>
          <w:szCs w:val="20"/>
          <w:lang w:val="es-CR"/>
        </w:rPr>
        <w:t xml:space="preserve"> </w:t>
      </w:r>
    </w:p>
    <w:p w:rsidR="00F94C48" w:rsidRPr="008E0075" w:rsidRDefault="00F94C48" w:rsidP="000615D6">
      <w:pPr>
        <w:pStyle w:val="Prrafodelista"/>
        <w:spacing w:after="0" w:line="240" w:lineRule="auto"/>
        <w:ind w:left="360"/>
        <w:rPr>
          <w:rFonts w:ascii="Verdana" w:hAnsi="Verdana"/>
          <w:b/>
          <w:sz w:val="20"/>
          <w:szCs w:val="20"/>
          <w:lang w:val="es-CR" w:eastAsia="es-CR"/>
        </w:rPr>
      </w:pPr>
    </w:p>
    <w:p w:rsidR="00F94C48" w:rsidRPr="008E0075" w:rsidRDefault="00F94C48" w:rsidP="000615D6">
      <w:pPr>
        <w:pStyle w:val="Prrafodelista"/>
        <w:spacing w:after="0" w:line="240" w:lineRule="auto"/>
        <w:outlineLvl w:val="2"/>
        <w:rPr>
          <w:rFonts w:ascii="Verdana" w:hAnsi="Verdana"/>
          <w:i/>
          <w:sz w:val="20"/>
          <w:szCs w:val="20"/>
          <w:lang w:val="es-CR" w:eastAsia="es-CR"/>
        </w:rPr>
      </w:pPr>
      <w:bookmarkStart w:id="12" w:name="_Toc24538821"/>
      <w:r w:rsidRPr="008E0075">
        <w:rPr>
          <w:rFonts w:ascii="Verdana" w:hAnsi="Verdana"/>
          <w:i/>
          <w:sz w:val="20"/>
          <w:szCs w:val="20"/>
          <w:lang w:val="es-CR"/>
        </w:rPr>
        <w:t>A.1. Alegatos del Estado, observaciones de l</w:t>
      </w:r>
      <w:r w:rsidR="001F7EDB">
        <w:rPr>
          <w:rFonts w:ascii="Verdana" w:hAnsi="Verdana"/>
          <w:i/>
          <w:sz w:val="20"/>
          <w:szCs w:val="20"/>
          <w:lang w:val="es-CR"/>
        </w:rPr>
        <w:t>a</w:t>
      </w:r>
      <w:r w:rsidRPr="008E0075">
        <w:rPr>
          <w:rFonts w:ascii="Verdana" w:hAnsi="Verdana"/>
          <w:i/>
          <w:sz w:val="20"/>
          <w:szCs w:val="20"/>
          <w:lang w:val="es-CR"/>
        </w:rPr>
        <w:t>s representantes y de la Comisión.</w:t>
      </w:r>
      <w:bookmarkEnd w:id="12"/>
    </w:p>
    <w:p w:rsidR="00F94C48" w:rsidRPr="008E0075" w:rsidRDefault="00F94C48" w:rsidP="000615D6">
      <w:pPr>
        <w:spacing w:after="0" w:line="240" w:lineRule="auto"/>
        <w:jc w:val="both"/>
        <w:rPr>
          <w:rFonts w:ascii="Verdana" w:eastAsia="Verdana" w:hAnsi="Verdana" w:cs="Verdana"/>
          <w:sz w:val="20"/>
          <w:szCs w:val="20"/>
          <w:lang w:val="es-CR"/>
        </w:rPr>
      </w:pPr>
    </w:p>
    <w:p w:rsidR="00F94C48" w:rsidRPr="008E0075" w:rsidRDefault="001F0513"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sz w:val="20"/>
          <w:szCs w:val="20"/>
          <w:lang w:val="es-CR"/>
        </w:rPr>
        <w:t xml:space="preserve">El </w:t>
      </w:r>
      <w:r w:rsidRPr="008E0075">
        <w:rPr>
          <w:rFonts w:ascii="Verdana" w:hAnsi="Verdana"/>
          <w:b/>
          <w:i/>
          <w:sz w:val="20"/>
          <w:szCs w:val="20"/>
          <w:lang w:val="es-CR"/>
        </w:rPr>
        <w:t>Estado</w:t>
      </w:r>
      <w:r w:rsidR="003D77E0">
        <w:rPr>
          <w:rFonts w:ascii="Verdana" w:hAnsi="Verdana"/>
          <w:sz w:val="20"/>
          <w:szCs w:val="20"/>
          <w:lang w:val="es-CR"/>
        </w:rPr>
        <w:t xml:space="preserve"> opuso la excepción preliminar de</w:t>
      </w:r>
      <w:r w:rsidR="00FF09B4" w:rsidRPr="008E0075">
        <w:rPr>
          <w:rFonts w:ascii="Verdana" w:hAnsi="Verdana"/>
          <w:sz w:val="20"/>
          <w:szCs w:val="20"/>
          <w:lang w:val="es-CR"/>
        </w:rPr>
        <w:t xml:space="preserve"> “Cosa J</w:t>
      </w:r>
      <w:r w:rsidRPr="008E0075">
        <w:rPr>
          <w:rFonts w:ascii="Verdana" w:hAnsi="Verdana"/>
          <w:sz w:val="20"/>
          <w:szCs w:val="20"/>
          <w:lang w:val="es-CR"/>
        </w:rPr>
        <w:t>uzgada”</w:t>
      </w:r>
      <w:r w:rsidR="006F5C55" w:rsidRPr="008E0075">
        <w:rPr>
          <w:rFonts w:ascii="Verdana" w:hAnsi="Verdana"/>
          <w:sz w:val="20"/>
          <w:szCs w:val="20"/>
          <w:lang w:val="es-CR"/>
        </w:rPr>
        <w:t>,</w:t>
      </w:r>
      <w:r w:rsidRPr="008E0075">
        <w:rPr>
          <w:rFonts w:ascii="Verdana" w:hAnsi="Verdana"/>
          <w:sz w:val="20"/>
          <w:szCs w:val="20"/>
          <w:lang w:val="es-CR"/>
        </w:rPr>
        <w:t xml:space="preserve"> pues considera que “las c</w:t>
      </w:r>
      <w:r w:rsidR="006D680C" w:rsidRPr="008E0075">
        <w:rPr>
          <w:rFonts w:ascii="Verdana" w:hAnsi="Verdana"/>
          <w:sz w:val="20"/>
          <w:szCs w:val="20"/>
          <w:lang w:val="es-CR"/>
        </w:rPr>
        <w:t>ircunstancias procesales” del caso</w:t>
      </w:r>
      <w:r w:rsidRPr="008E0075">
        <w:rPr>
          <w:rFonts w:ascii="Verdana" w:hAnsi="Verdana"/>
          <w:sz w:val="20"/>
          <w:szCs w:val="20"/>
          <w:lang w:val="es-CR"/>
        </w:rPr>
        <w:t xml:space="preserve"> de las presuntas víctimas “se apegaron en todo momento al </w:t>
      </w:r>
      <w:r w:rsidRPr="008E0075">
        <w:rPr>
          <w:rFonts w:ascii="Verdana" w:hAnsi="Verdana"/>
          <w:i/>
          <w:sz w:val="20"/>
          <w:szCs w:val="20"/>
          <w:lang w:val="es-CR"/>
        </w:rPr>
        <w:t>corpus iuris</w:t>
      </w:r>
      <w:r w:rsidR="006D680C" w:rsidRPr="008E0075">
        <w:rPr>
          <w:rFonts w:ascii="Verdana" w:hAnsi="Verdana"/>
          <w:sz w:val="20"/>
          <w:szCs w:val="20"/>
          <w:lang w:val="es-CR"/>
        </w:rPr>
        <w:t xml:space="preserve"> vigente en Guatemala. E</w:t>
      </w:r>
      <w:r w:rsidRPr="008E0075">
        <w:rPr>
          <w:rFonts w:ascii="Verdana" w:hAnsi="Verdana"/>
          <w:sz w:val="20"/>
          <w:szCs w:val="20"/>
          <w:lang w:val="es-CR"/>
        </w:rPr>
        <w:t>s decir, que se cumplió con el debido proceso previsto en la legislación procesal penal nacional, se emitió sentencia judicial condenatoria firme, se dieron por agotados los recursos de defensa interpuestos por los encartados y, finalmente, se dio cumplimiento a la sentencia condenatoria firme dictada por el órgano judicial que conoció del caso</w:t>
      </w:r>
      <w:r w:rsidR="006D680C" w:rsidRPr="008E0075">
        <w:rPr>
          <w:rFonts w:ascii="Verdana" w:hAnsi="Verdana"/>
          <w:sz w:val="20"/>
          <w:szCs w:val="20"/>
          <w:lang w:val="es-CR"/>
        </w:rPr>
        <w:t>”</w:t>
      </w:r>
      <w:r w:rsidRPr="008E0075">
        <w:rPr>
          <w:rFonts w:ascii="Verdana" w:hAnsi="Verdana"/>
          <w:sz w:val="20"/>
          <w:szCs w:val="20"/>
          <w:lang w:val="es-CR"/>
        </w:rPr>
        <w:t>.</w:t>
      </w:r>
      <w:r w:rsidR="005409BD" w:rsidRPr="008E0075">
        <w:rPr>
          <w:rFonts w:ascii="Verdana" w:hAnsi="Verdana"/>
          <w:sz w:val="20"/>
          <w:szCs w:val="20"/>
          <w:lang w:val="es-CR"/>
        </w:rPr>
        <w:t xml:space="preserve"> </w:t>
      </w:r>
      <w:r w:rsidR="006D680C" w:rsidRPr="008E0075">
        <w:rPr>
          <w:rFonts w:ascii="Verdana" w:hAnsi="Verdana"/>
          <w:sz w:val="20"/>
          <w:szCs w:val="20"/>
          <w:lang w:val="es-CR"/>
        </w:rPr>
        <w:t>Además</w:t>
      </w:r>
      <w:r w:rsidR="006F5C55" w:rsidRPr="008E0075">
        <w:rPr>
          <w:rFonts w:ascii="Verdana" w:hAnsi="Verdana"/>
          <w:sz w:val="20"/>
          <w:szCs w:val="20"/>
          <w:lang w:val="es-CR"/>
        </w:rPr>
        <w:t>,</w:t>
      </w:r>
      <w:r w:rsidR="006D680C" w:rsidRPr="008E0075">
        <w:rPr>
          <w:rFonts w:ascii="Verdana" w:hAnsi="Verdana"/>
          <w:sz w:val="20"/>
          <w:szCs w:val="20"/>
          <w:lang w:val="es-CR"/>
        </w:rPr>
        <w:t xml:space="preserve"> adujo que Guatemala </w:t>
      </w:r>
      <w:r w:rsidRPr="008E0075">
        <w:rPr>
          <w:rFonts w:ascii="Verdana" w:hAnsi="Verdana"/>
          <w:sz w:val="20"/>
          <w:szCs w:val="20"/>
          <w:lang w:val="es-CR"/>
        </w:rPr>
        <w:t xml:space="preserve">está próximo a alcanzar dos décadas sin aplicar la pena de muerte. </w:t>
      </w:r>
      <w:r w:rsidR="006D680C" w:rsidRPr="008E0075">
        <w:rPr>
          <w:rFonts w:ascii="Verdana" w:hAnsi="Verdana"/>
          <w:sz w:val="20"/>
          <w:szCs w:val="20"/>
          <w:lang w:val="es-CR"/>
        </w:rPr>
        <w:t xml:space="preserve">Por lo expuesto, solicitó </w:t>
      </w:r>
      <w:r w:rsidRPr="008E0075">
        <w:rPr>
          <w:rFonts w:ascii="Verdana" w:hAnsi="Verdana"/>
          <w:sz w:val="20"/>
          <w:szCs w:val="20"/>
          <w:lang w:val="es-CR"/>
        </w:rPr>
        <w:t xml:space="preserve">que declare con lugar la </w:t>
      </w:r>
      <w:r w:rsidR="006D680C" w:rsidRPr="008E0075">
        <w:rPr>
          <w:rFonts w:ascii="Verdana" w:hAnsi="Verdana"/>
          <w:sz w:val="20"/>
          <w:szCs w:val="20"/>
          <w:lang w:val="es-CR"/>
        </w:rPr>
        <w:t>e</w:t>
      </w:r>
      <w:r w:rsidRPr="008E0075">
        <w:rPr>
          <w:rFonts w:ascii="Verdana" w:hAnsi="Verdana"/>
          <w:sz w:val="20"/>
          <w:szCs w:val="20"/>
          <w:lang w:val="es-CR"/>
        </w:rPr>
        <w:t>xcepción</w:t>
      </w:r>
      <w:r w:rsidR="007E32D9">
        <w:rPr>
          <w:rFonts w:ascii="Verdana" w:hAnsi="Verdana"/>
          <w:sz w:val="20"/>
          <w:szCs w:val="20"/>
          <w:lang w:val="es-CR"/>
        </w:rPr>
        <w:t>.</w:t>
      </w:r>
    </w:p>
    <w:p w:rsidR="00F94C48" w:rsidRPr="008E0075" w:rsidRDefault="00F94C48" w:rsidP="000615D6">
      <w:pPr>
        <w:pStyle w:val="Prrafodelista"/>
        <w:spacing w:after="0" w:line="240" w:lineRule="auto"/>
        <w:ind w:left="0"/>
        <w:jc w:val="both"/>
        <w:rPr>
          <w:rFonts w:ascii="Verdana" w:eastAsia="Verdana" w:hAnsi="Verdana" w:cs="Verdana"/>
          <w:sz w:val="20"/>
          <w:szCs w:val="20"/>
          <w:lang w:val="es-CR"/>
        </w:rPr>
      </w:pPr>
    </w:p>
    <w:p w:rsidR="00F94C48" w:rsidRPr="008E0075" w:rsidRDefault="001F0513"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sz w:val="20"/>
          <w:szCs w:val="20"/>
          <w:lang w:val="es-CR"/>
        </w:rPr>
        <w:t xml:space="preserve">Las </w:t>
      </w:r>
      <w:r w:rsidRPr="008E0075">
        <w:rPr>
          <w:rFonts w:ascii="Verdana" w:hAnsi="Verdana"/>
          <w:b/>
          <w:i/>
          <w:sz w:val="20"/>
          <w:szCs w:val="20"/>
          <w:lang w:val="es-CR"/>
        </w:rPr>
        <w:t>representantes</w:t>
      </w:r>
      <w:r w:rsidRPr="008E0075">
        <w:rPr>
          <w:rFonts w:ascii="Verdana" w:hAnsi="Verdana"/>
          <w:sz w:val="20"/>
          <w:szCs w:val="20"/>
          <w:lang w:val="es-CR"/>
        </w:rPr>
        <w:t xml:space="preserve"> en sus observaciones alegaron que </w:t>
      </w:r>
      <w:r w:rsidR="001D0492" w:rsidRPr="008E0075">
        <w:rPr>
          <w:rFonts w:ascii="Verdana" w:hAnsi="Verdana"/>
          <w:sz w:val="20"/>
          <w:szCs w:val="20"/>
          <w:lang w:val="es-CR"/>
        </w:rPr>
        <w:t>el Estado al presentar la excepción n</w:t>
      </w:r>
      <w:r w:rsidRPr="008E0075">
        <w:rPr>
          <w:rFonts w:ascii="Verdana" w:hAnsi="Verdana"/>
          <w:sz w:val="20"/>
          <w:szCs w:val="20"/>
          <w:lang w:val="es-CR"/>
        </w:rPr>
        <w:t xml:space="preserve">o cumple con los requisitos establecidos en el artículo 42.2 del Reglamento de la Corte, </w:t>
      </w:r>
      <w:r w:rsidR="00954533" w:rsidRPr="008E0075">
        <w:rPr>
          <w:rFonts w:ascii="Verdana" w:hAnsi="Verdana"/>
          <w:sz w:val="20"/>
          <w:szCs w:val="20"/>
          <w:lang w:val="es-CR"/>
        </w:rPr>
        <w:t>ya que</w:t>
      </w:r>
      <w:r w:rsidRPr="008E0075">
        <w:rPr>
          <w:rFonts w:ascii="Verdana" w:hAnsi="Verdana"/>
          <w:sz w:val="20"/>
          <w:szCs w:val="20"/>
          <w:lang w:val="es-CR"/>
        </w:rPr>
        <w:t xml:space="preserve"> omitió indicar los fundamentos de derecho en los que basaba su solicitud, no presentó pruebas para apoyar la misma, limitándose a indicar que todo lo actuado a nivel interno en el proceso penal seguido en contra de las presuntas víctimas directas, fue realizado con apego al debido proceso.</w:t>
      </w:r>
      <w:r w:rsidRPr="008E0075">
        <w:rPr>
          <w:rFonts w:ascii="Verdana" w:hAnsi="Verdana"/>
          <w:b/>
          <w:sz w:val="20"/>
          <w:szCs w:val="20"/>
          <w:lang w:val="es-CR"/>
        </w:rPr>
        <w:t xml:space="preserve"> </w:t>
      </w:r>
      <w:r w:rsidR="00954533" w:rsidRPr="008E0075">
        <w:rPr>
          <w:rFonts w:ascii="Verdana" w:hAnsi="Verdana"/>
          <w:sz w:val="20"/>
          <w:szCs w:val="20"/>
          <w:lang w:val="es-CR"/>
        </w:rPr>
        <w:t xml:space="preserve">Agregaron que el Estado no justificó lo </w:t>
      </w:r>
      <w:r w:rsidRPr="008E0075">
        <w:rPr>
          <w:rFonts w:ascii="Verdana" w:hAnsi="Verdana"/>
          <w:sz w:val="20"/>
          <w:szCs w:val="20"/>
          <w:lang w:val="es-CR"/>
        </w:rPr>
        <w:t>establecido en el artículo 47.d) de la Convención Americana</w:t>
      </w:r>
      <w:r w:rsidR="00954533" w:rsidRPr="008E0075">
        <w:rPr>
          <w:rFonts w:ascii="Verdana" w:hAnsi="Verdana"/>
          <w:sz w:val="20"/>
          <w:szCs w:val="20"/>
          <w:lang w:val="es-CR"/>
        </w:rPr>
        <w:t>. En consecuencia, solicitaron que se declare</w:t>
      </w:r>
      <w:r w:rsidR="001D0492" w:rsidRPr="008E0075">
        <w:rPr>
          <w:rFonts w:ascii="Verdana" w:hAnsi="Verdana"/>
          <w:sz w:val="20"/>
          <w:szCs w:val="20"/>
          <w:lang w:val="es-CR"/>
        </w:rPr>
        <w:t xml:space="preserve"> inadmisible dicha excepción</w:t>
      </w:r>
      <w:r w:rsidR="00954533" w:rsidRPr="008E0075">
        <w:rPr>
          <w:rFonts w:ascii="Verdana" w:hAnsi="Verdana"/>
          <w:sz w:val="20"/>
          <w:szCs w:val="20"/>
          <w:lang w:val="es-CR"/>
        </w:rPr>
        <w:t xml:space="preserve">. </w:t>
      </w:r>
    </w:p>
    <w:p w:rsidR="00F94C48" w:rsidRPr="008E0075" w:rsidRDefault="00F94C48" w:rsidP="000615D6">
      <w:pPr>
        <w:pStyle w:val="Prrafodelista"/>
        <w:spacing w:after="0" w:line="240" w:lineRule="auto"/>
        <w:ind w:left="0"/>
        <w:jc w:val="both"/>
        <w:rPr>
          <w:rFonts w:ascii="Verdana" w:eastAsia="Verdana" w:hAnsi="Verdana" w:cs="Verdana"/>
          <w:sz w:val="20"/>
          <w:szCs w:val="20"/>
          <w:lang w:val="es-CR"/>
        </w:rPr>
      </w:pPr>
    </w:p>
    <w:p w:rsidR="0025269E" w:rsidRPr="00E745EC" w:rsidRDefault="001F0513" w:rsidP="0025269E">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sz w:val="20"/>
          <w:szCs w:val="20"/>
          <w:lang w:val="es-CR"/>
        </w:rPr>
        <w:t xml:space="preserve">La </w:t>
      </w:r>
      <w:r w:rsidRPr="008E0075">
        <w:rPr>
          <w:rFonts w:ascii="Verdana" w:hAnsi="Verdana"/>
          <w:b/>
          <w:i/>
          <w:sz w:val="20"/>
          <w:szCs w:val="20"/>
          <w:lang w:val="es-CR"/>
        </w:rPr>
        <w:t>Comisión</w:t>
      </w:r>
      <w:r w:rsidRPr="008E0075">
        <w:rPr>
          <w:rFonts w:ascii="Verdana" w:hAnsi="Verdana"/>
          <w:b/>
          <w:sz w:val="20"/>
          <w:szCs w:val="20"/>
          <w:lang w:val="es-CR"/>
        </w:rPr>
        <w:t xml:space="preserve"> </w:t>
      </w:r>
      <w:r w:rsidR="001D0492" w:rsidRPr="008E0075">
        <w:rPr>
          <w:rFonts w:ascii="Verdana" w:hAnsi="Verdana"/>
          <w:sz w:val="20"/>
          <w:szCs w:val="20"/>
          <w:lang w:val="es-CR"/>
        </w:rPr>
        <w:t>sostuvo que el</w:t>
      </w:r>
      <w:r w:rsidRPr="008E0075">
        <w:rPr>
          <w:rFonts w:ascii="Verdana" w:hAnsi="Verdana"/>
          <w:sz w:val="20"/>
          <w:szCs w:val="20"/>
          <w:lang w:val="es-CR"/>
        </w:rPr>
        <w:t xml:space="preserve"> planteamiento del Estado no constituye una excepción preliminar, sino que se trata de una cuestión que corresponde funda</w:t>
      </w:r>
      <w:r w:rsidR="006D680C" w:rsidRPr="008E0075">
        <w:rPr>
          <w:rFonts w:ascii="Verdana" w:hAnsi="Verdana"/>
          <w:sz w:val="20"/>
          <w:szCs w:val="20"/>
          <w:lang w:val="es-CR"/>
        </w:rPr>
        <w:t>mentalmente al fondo del asunto.</w:t>
      </w:r>
      <w:r w:rsidRPr="008E0075">
        <w:rPr>
          <w:rFonts w:ascii="Verdana" w:hAnsi="Verdana"/>
          <w:sz w:val="20"/>
          <w:szCs w:val="20"/>
          <w:lang w:val="es-CR"/>
        </w:rPr>
        <w:t xml:space="preserve"> </w:t>
      </w:r>
      <w:r w:rsidR="001D0492" w:rsidRPr="008E0075">
        <w:rPr>
          <w:rFonts w:ascii="Verdana" w:hAnsi="Verdana"/>
          <w:sz w:val="20"/>
          <w:szCs w:val="20"/>
          <w:lang w:val="es-CR"/>
        </w:rPr>
        <w:t xml:space="preserve">En razón de lo anterior, solicitó a la </w:t>
      </w:r>
      <w:r w:rsidRPr="008E0075">
        <w:rPr>
          <w:rFonts w:ascii="Verdana" w:hAnsi="Verdana"/>
          <w:w w:val="104"/>
          <w:sz w:val="20"/>
          <w:szCs w:val="20"/>
          <w:lang w:val="es-CR"/>
        </w:rPr>
        <w:t xml:space="preserve">Corte </w:t>
      </w:r>
      <w:r w:rsidRPr="008E0075">
        <w:rPr>
          <w:rFonts w:ascii="Verdana" w:hAnsi="Verdana"/>
          <w:sz w:val="20"/>
          <w:szCs w:val="20"/>
          <w:lang w:val="es-CR"/>
        </w:rPr>
        <w:t>que</w:t>
      </w:r>
      <w:r w:rsidRPr="008E0075">
        <w:rPr>
          <w:rFonts w:ascii="Verdana" w:hAnsi="Verdana"/>
          <w:spacing w:val="23"/>
          <w:sz w:val="20"/>
          <w:szCs w:val="20"/>
          <w:lang w:val="es-CR"/>
        </w:rPr>
        <w:t xml:space="preserve"> </w:t>
      </w:r>
      <w:r w:rsidR="001D0492" w:rsidRPr="008E0075">
        <w:rPr>
          <w:rFonts w:ascii="Verdana" w:hAnsi="Verdana"/>
          <w:spacing w:val="23"/>
          <w:sz w:val="20"/>
          <w:szCs w:val="20"/>
          <w:lang w:val="es-CR"/>
        </w:rPr>
        <w:t>“</w:t>
      </w:r>
      <w:r w:rsidRPr="008E0075">
        <w:rPr>
          <w:rFonts w:ascii="Verdana" w:hAnsi="Verdana"/>
          <w:sz w:val="20"/>
          <w:szCs w:val="20"/>
          <w:lang w:val="es-CR"/>
        </w:rPr>
        <w:t>deseche la llamada</w:t>
      </w:r>
      <w:r w:rsidRPr="008E0075">
        <w:rPr>
          <w:rFonts w:ascii="Verdana" w:hAnsi="Verdana"/>
          <w:spacing w:val="50"/>
          <w:sz w:val="20"/>
          <w:szCs w:val="20"/>
          <w:lang w:val="es-CR"/>
        </w:rPr>
        <w:t xml:space="preserve"> </w:t>
      </w:r>
      <w:r w:rsidRPr="008E0075">
        <w:rPr>
          <w:rFonts w:ascii="Verdana" w:hAnsi="Verdana"/>
          <w:sz w:val="20"/>
          <w:szCs w:val="20"/>
          <w:lang w:val="es-CR"/>
        </w:rPr>
        <w:t>excepción</w:t>
      </w:r>
      <w:r w:rsidRPr="008E0075">
        <w:rPr>
          <w:rFonts w:ascii="Verdana" w:hAnsi="Verdana"/>
          <w:spacing w:val="37"/>
          <w:sz w:val="20"/>
          <w:szCs w:val="20"/>
          <w:lang w:val="es-CR"/>
        </w:rPr>
        <w:t xml:space="preserve"> </w:t>
      </w:r>
      <w:r w:rsidRPr="008E0075">
        <w:rPr>
          <w:rFonts w:ascii="Verdana" w:hAnsi="Verdana"/>
          <w:sz w:val="20"/>
          <w:szCs w:val="20"/>
          <w:lang w:val="es-CR"/>
        </w:rPr>
        <w:t>de</w:t>
      </w:r>
      <w:r w:rsidRPr="008E0075">
        <w:rPr>
          <w:rFonts w:ascii="Verdana" w:hAnsi="Verdana"/>
          <w:spacing w:val="8"/>
          <w:sz w:val="20"/>
          <w:szCs w:val="20"/>
          <w:lang w:val="es-CR"/>
        </w:rPr>
        <w:t xml:space="preserve"> </w:t>
      </w:r>
      <w:r w:rsidRPr="008E0075">
        <w:rPr>
          <w:rFonts w:ascii="Verdana" w:hAnsi="Verdana"/>
          <w:sz w:val="20"/>
          <w:szCs w:val="20"/>
          <w:lang w:val="es-CR"/>
        </w:rPr>
        <w:t>co</w:t>
      </w:r>
      <w:r w:rsidRPr="008E0075">
        <w:rPr>
          <w:rFonts w:ascii="Verdana" w:hAnsi="Verdana"/>
          <w:spacing w:val="-5"/>
          <w:sz w:val="20"/>
          <w:szCs w:val="20"/>
          <w:lang w:val="es-CR"/>
        </w:rPr>
        <w:t>s</w:t>
      </w:r>
      <w:r w:rsidRPr="008E0075">
        <w:rPr>
          <w:rFonts w:ascii="Verdana" w:hAnsi="Verdana"/>
          <w:sz w:val="20"/>
          <w:szCs w:val="20"/>
          <w:lang w:val="es-CR"/>
        </w:rPr>
        <w:t>a</w:t>
      </w:r>
      <w:r w:rsidRPr="008E0075">
        <w:rPr>
          <w:rFonts w:ascii="Verdana" w:hAnsi="Verdana"/>
          <w:spacing w:val="36"/>
          <w:sz w:val="20"/>
          <w:szCs w:val="20"/>
          <w:lang w:val="es-CR"/>
        </w:rPr>
        <w:t xml:space="preserve"> </w:t>
      </w:r>
      <w:r w:rsidRPr="008E0075">
        <w:rPr>
          <w:rFonts w:ascii="Verdana" w:hAnsi="Verdana"/>
          <w:sz w:val="20"/>
          <w:szCs w:val="20"/>
          <w:lang w:val="es-CR"/>
        </w:rPr>
        <w:t>juzgada</w:t>
      </w:r>
      <w:r w:rsidRPr="008E0075">
        <w:rPr>
          <w:rFonts w:ascii="Verdana" w:hAnsi="Verdana"/>
          <w:spacing w:val="9"/>
          <w:sz w:val="20"/>
          <w:szCs w:val="20"/>
          <w:lang w:val="es-CR"/>
        </w:rPr>
        <w:t xml:space="preserve"> </w:t>
      </w:r>
      <w:r w:rsidRPr="008E0075">
        <w:rPr>
          <w:rFonts w:ascii="Verdana" w:hAnsi="Verdana"/>
          <w:w w:val="111"/>
          <w:sz w:val="20"/>
          <w:szCs w:val="20"/>
          <w:lang w:val="es-CR"/>
        </w:rPr>
        <w:t>interpuesta</w:t>
      </w:r>
      <w:r w:rsidRPr="008E0075">
        <w:rPr>
          <w:rFonts w:ascii="Verdana" w:hAnsi="Verdana"/>
          <w:spacing w:val="-4"/>
          <w:w w:val="111"/>
          <w:sz w:val="20"/>
          <w:szCs w:val="20"/>
          <w:lang w:val="es-CR"/>
        </w:rPr>
        <w:t xml:space="preserve"> </w:t>
      </w:r>
      <w:r w:rsidRPr="008E0075">
        <w:rPr>
          <w:rFonts w:ascii="Verdana" w:hAnsi="Verdana"/>
          <w:sz w:val="20"/>
          <w:szCs w:val="20"/>
          <w:lang w:val="es-CR"/>
        </w:rPr>
        <w:t>por</w:t>
      </w:r>
      <w:r w:rsidRPr="008E0075">
        <w:rPr>
          <w:rFonts w:ascii="Verdana" w:hAnsi="Verdana"/>
          <w:spacing w:val="22"/>
          <w:sz w:val="20"/>
          <w:szCs w:val="20"/>
          <w:lang w:val="es-CR"/>
        </w:rPr>
        <w:t xml:space="preserve"> </w:t>
      </w:r>
      <w:r w:rsidRPr="008E0075">
        <w:rPr>
          <w:rFonts w:ascii="Verdana" w:hAnsi="Verdana"/>
          <w:sz w:val="20"/>
          <w:szCs w:val="20"/>
          <w:lang w:val="es-CR"/>
        </w:rPr>
        <w:t>el</w:t>
      </w:r>
      <w:r w:rsidRPr="008E0075">
        <w:rPr>
          <w:rFonts w:ascii="Verdana" w:hAnsi="Verdana"/>
          <w:spacing w:val="3"/>
          <w:sz w:val="20"/>
          <w:szCs w:val="20"/>
          <w:lang w:val="es-CR"/>
        </w:rPr>
        <w:t xml:space="preserve"> </w:t>
      </w:r>
      <w:r w:rsidR="001D0492" w:rsidRPr="008E0075">
        <w:rPr>
          <w:rFonts w:ascii="Verdana" w:hAnsi="Verdana"/>
          <w:sz w:val="20"/>
          <w:szCs w:val="20"/>
          <w:lang w:val="es-CR"/>
        </w:rPr>
        <w:t>Estado”</w:t>
      </w:r>
      <w:r w:rsidRPr="008E0075">
        <w:rPr>
          <w:rFonts w:ascii="Verdana" w:hAnsi="Verdana"/>
          <w:w w:val="121"/>
          <w:sz w:val="20"/>
          <w:szCs w:val="20"/>
          <w:lang w:val="es-CR"/>
        </w:rPr>
        <w:t>.</w:t>
      </w:r>
      <w:r w:rsidRPr="008E0075">
        <w:rPr>
          <w:rFonts w:ascii="Verdana" w:hAnsi="Verdana"/>
          <w:b/>
          <w:sz w:val="20"/>
          <w:szCs w:val="20"/>
          <w:lang w:val="es-CR"/>
        </w:rPr>
        <w:t xml:space="preserve"> </w:t>
      </w:r>
      <w:bookmarkStart w:id="13" w:name="_Ref532986864"/>
    </w:p>
    <w:p w:rsidR="00F94C48" w:rsidRPr="008E0075" w:rsidRDefault="00F94C48" w:rsidP="000615D6">
      <w:pPr>
        <w:pStyle w:val="Prrafodelista"/>
        <w:spacing w:after="0" w:line="240" w:lineRule="auto"/>
        <w:ind w:left="0"/>
        <w:jc w:val="both"/>
        <w:rPr>
          <w:rFonts w:ascii="Verdana" w:hAnsi="Verdana"/>
          <w:b/>
          <w:sz w:val="16"/>
          <w:szCs w:val="16"/>
          <w:lang w:val="es-CR"/>
        </w:rPr>
      </w:pPr>
    </w:p>
    <w:p w:rsidR="00B64229" w:rsidRDefault="00F94C48" w:rsidP="00E745EC">
      <w:pPr>
        <w:pStyle w:val="Ttulo3"/>
        <w:rPr>
          <w:b w:val="0"/>
          <w:szCs w:val="20"/>
          <w:lang w:val="es-ES"/>
        </w:rPr>
      </w:pPr>
      <w:bookmarkStart w:id="14" w:name="_Toc24538822"/>
      <w:r w:rsidRPr="008E0075">
        <w:rPr>
          <w:b w:val="0"/>
          <w:szCs w:val="20"/>
          <w:lang w:val="es-ES"/>
        </w:rPr>
        <w:t>A.2. Consideraciones de la Corte</w:t>
      </w:r>
      <w:bookmarkEnd w:id="13"/>
      <w:bookmarkEnd w:id="14"/>
    </w:p>
    <w:p w:rsidR="00B64229" w:rsidRPr="00B64229" w:rsidRDefault="00B64229" w:rsidP="00E745EC">
      <w:pPr>
        <w:spacing w:after="0"/>
        <w:rPr>
          <w:lang w:val="es-ES"/>
        </w:rPr>
      </w:pPr>
    </w:p>
    <w:p w:rsidR="0079755F" w:rsidRPr="0079755F" w:rsidRDefault="0079755F" w:rsidP="00BC0365">
      <w:pPr>
        <w:pStyle w:val="Prrafodelista"/>
        <w:numPr>
          <w:ilvl w:val="0"/>
          <w:numId w:val="3"/>
        </w:numPr>
        <w:spacing w:after="0" w:line="240" w:lineRule="auto"/>
        <w:ind w:left="0" w:firstLine="0"/>
        <w:jc w:val="both"/>
        <w:rPr>
          <w:rFonts w:ascii="Verdana" w:eastAsia="Verdana" w:hAnsi="Verdana" w:cs="Verdana"/>
          <w:sz w:val="20"/>
          <w:szCs w:val="20"/>
          <w:lang w:val="es-CR"/>
        </w:rPr>
      </w:pPr>
      <w:r w:rsidRPr="0079755F">
        <w:rPr>
          <w:rFonts w:ascii="Verdana" w:hAnsi="Verdana" w:cs="Arial"/>
          <w:sz w:val="20"/>
          <w:szCs w:val="20"/>
          <w:lang w:val="es-CR"/>
        </w:rPr>
        <w:t>La Corte recuerda que las excepciones preliminares son actos mediante los cuales un Estado busca, de manera previa, impedir el análisis del fondo de un asunto cuestionado, para lo cual puede plantear la objeción de la admisibilidad de un caso o de la competencia del Tribunal para conocer de un determinado caso o de alguno de sus aspectos, ya sea en razón de la persona, materia, tiempo o lugar, siempre y cuando dichos planteamientos tengan el carácter de preliminares</w:t>
      </w:r>
      <w:r w:rsidRPr="0079755F">
        <w:rPr>
          <w:rStyle w:val="Refdenotaalpie"/>
          <w:rFonts w:ascii="Verdana" w:hAnsi="Verdana" w:cs="Arial"/>
          <w:sz w:val="20"/>
          <w:szCs w:val="20"/>
        </w:rPr>
        <w:footnoteReference w:id="7"/>
      </w:r>
      <w:r w:rsidRPr="0079755F">
        <w:rPr>
          <w:rFonts w:ascii="Verdana" w:hAnsi="Verdana" w:cs="Arial"/>
          <w:sz w:val="20"/>
          <w:szCs w:val="20"/>
          <w:lang w:val="es-CR"/>
        </w:rPr>
        <w:t>. Si estos planteamientos no pudieran ser considerados sin entrar a analizar previamente el fondo de un caso, no pueden ser analizados mediante una excepción preliminar</w:t>
      </w:r>
      <w:r w:rsidRPr="0079755F">
        <w:rPr>
          <w:rStyle w:val="Refdenotaalpie"/>
          <w:rFonts w:ascii="Verdana" w:hAnsi="Verdana" w:cs="Arial"/>
          <w:sz w:val="20"/>
          <w:szCs w:val="20"/>
        </w:rPr>
        <w:footnoteReference w:id="8"/>
      </w:r>
      <w:r w:rsidRPr="0079755F">
        <w:rPr>
          <w:rFonts w:ascii="Verdana" w:hAnsi="Verdana" w:cs="Arial"/>
          <w:sz w:val="20"/>
          <w:szCs w:val="20"/>
          <w:lang w:val="es-CR"/>
        </w:rPr>
        <w:t>.</w:t>
      </w:r>
    </w:p>
    <w:p w:rsidR="000F4132" w:rsidRPr="007A6C1B" w:rsidRDefault="000F4132" w:rsidP="000F4132">
      <w:pPr>
        <w:pStyle w:val="Prrafodelista"/>
        <w:ind w:left="0"/>
        <w:jc w:val="both"/>
        <w:rPr>
          <w:rFonts w:ascii="Verdana" w:hAnsi="Verdana"/>
          <w:sz w:val="20"/>
          <w:szCs w:val="20"/>
          <w:lang w:val="es-CR"/>
        </w:rPr>
      </w:pPr>
    </w:p>
    <w:p w:rsidR="0079755F" w:rsidRPr="006D4A4C" w:rsidRDefault="00E71B67" w:rsidP="006D4A4C">
      <w:pPr>
        <w:pStyle w:val="Prrafodelista"/>
        <w:numPr>
          <w:ilvl w:val="0"/>
          <w:numId w:val="3"/>
        </w:numPr>
        <w:spacing w:after="0" w:line="240" w:lineRule="auto"/>
        <w:ind w:left="0" w:firstLine="0"/>
        <w:jc w:val="both"/>
        <w:rPr>
          <w:rFonts w:ascii="Verdana" w:hAnsi="Verdana" w:cs="Arial"/>
          <w:sz w:val="20"/>
          <w:szCs w:val="20"/>
          <w:lang w:val="es-CR"/>
        </w:rPr>
      </w:pPr>
      <w:r w:rsidRPr="00BC0365">
        <w:rPr>
          <w:rFonts w:ascii="Verdana" w:hAnsi="Verdana" w:cs="Verdana"/>
          <w:sz w:val="20"/>
          <w:szCs w:val="20"/>
          <w:lang w:val="es-ES"/>
        </w:rPr>
        <w:t xml:space="preserve">El </w:t>
      </w:r>
      <w:r w:rsidR="000F4132" w:rsidRPr="00BC0365">
        <w:rPr>
          <w:rFonts w:ascii="Verdana" w:hAnsi="Verdana" w:cs="Verdana"/>
          <w:sz w:val="20"/>
          <w:szCs w:val="20"/>
          <w:lang w:val="es-ES"/>
        </w:rPr>
        <w:t xml:space="preserve">Estado alegó la </w:t>
      </w:r>
      <w:r w:rsidR="006D4A4C" w:rsidRPr="00BC0365">
        <w:rPr>
          <w:rFonts w:ascii="Verdana" w:hAnsi="Verdana" w:cs="Verdana"/>
          <w:sz w:val="20"/>
          <w:szCs w:val="20"/>
          <w:lang w:val="es-ES"/>
        </w:rPr>
        <w:t>“</w:t>
      </w:r>
      <w:r w:rsidR="000F4132" w:rsidRPr="00BC0365">
        <w:rPr>
          <w:rFonts w:ascii="Verdana" w:hAnsi="Verdana" w:cs="Verdana"/>
          <w:sz w:val="20"/>
          <w:szCs w:val="20"/>
          <w:lang w:val="es-ES"/>
        </w:rPr>
        <w:t>excepción de cosa juzgada</w:t>
      </w:r>
      <w:r w:rsidR="006D4A4C" w:rsidRPr="00BC0365">
        <w:rPr>
          <w:rFonts w:ascii="Verdana" w:hAnsi="Verdana" w:cs="Verdana"/>
          <w:sz w:val="20"/>
          <w:szCs w:val="20"/>
          <w:lang w:val="es-ES"/>
        </w:rPr>
        <w:t>”</w:t>
      </w:r>
      <w:r w:rsidR="000F4132" w:rsidRPr="00BC0365">
        <w:rPr>
          <w:rFonts w:ascii="Verdana" w:hAnsi="Verdana" w:cs="Verdana"/>
          <w:sz w:val="20"/>
          <w:szCs w:val="20"/>
          <w:lang w:val="es-ES"/>
        </w:rPr>
        <w:t xml:space="preserve">, </w:t>
      </w:r>
      <w:r w:rsidR="006D4A4C" w:rsidRPr="00BC0365">
        <w:rPr>
          <w:rFonts w:ascii="Verdana" w:hAnsi="Verdana" w:cs="Verdana"/>
          <w:sz w:val="20"/>
          <w:szCs w:val="20"/>
          <w:lang w:val="es-ES"/>
        </w:rPr>
        <w:t>en tanto que</w:t>
      </w:r>
      <w:r w:rsidR="000F4132" w:rsidRPr="00BC0365">
        <w:rPr>
          <w:rFonts w:ascii="Verdana" w:hAnsi="Verdana" w:cs="Verdana"/>
          <w:sz w:val="20"/>
          <w:szCs w:val="20"/>
          <w:lang w:val="es-ES"/>
        </w:rPr>
        <w:t xml:space="preserve"> supone que </w:t>
      </w:r>
      <w:r w:rsidR="006D4A4C" w:rsidRPr="00BC0365">
        <w:rPr>
          <w:rFonts w:ascii="Verdana" w:hAnsi="Verdana" w:cs="Verdana"/>
          <w:sz w:val="20"/>
          <w:szCs w:val="20"/>
          <w:lang w:val="es-ES"/>
        </w:rPr>
        <w:t>no ha existido ninguna violación de derechos humanos en el presente caso, por lo que la Corte</w:t>
      </w:r>
      <w:r w:rsidR="000F4132" w:rsidRPr="00BC0365">
        <w:rPr>
          <w:rFonts w:ascii="Verdana" w:hAnsi="Verdana" w:cs="Verdana"/>
          <w:sz w:val="20"/>
          <w:szCs w:val="20"/>
          <w:lang w:val="es-ES"/>
        </w:rPr>
        <w:t xml:space="preserve"> no tendría competencia para examinar violaciones</w:t>
      </w:r>
      <w:r w:rsidR="006D4A4C" w:rsidRPr="00BC0365">
        <w:rPr>
          <w:rFonts w:ascii="Verdana" w:hAnsi="Verdana" w:cs="Verdana"/>
          <w:sz w:val="20"/>
          <w:szCs w:val="20"/>
          <w:lang w:val="es-ES"/>
        </w:rPr>
        <w:t xml:space="preserve"> en el marco de un proceso penal. Sin embargo, </w:t>
      </w:r>
      <w:r w:rsidR="000F4132" w:rsidRPr="00BC0365">
        <w:rPr>
          <w:rFonts w:ascii="Verdana" w:hAnsi="Verdana" w:cs="Verdana"/>
          <w:sz w:val="20"/>
          <w:szCs w:val="20"/>
          <w:lang w:val="es-ES"/>
        </w:rPr>
        <w:t xml:space="preserve">es precisamente ello lo que se debatirá en el fondo del asunto. Al valorar el mérito del caso, la Corte determinará si los procedimientos internos respondieron al ejercicio y </w:t>
      </w:r>
      <w:r w:rsidR="000F4132" w:rsidRPr="00BC0365">
        <w:rPr>
          <w:rFonts w:ascii="Verdana" w:hAnsi="Verdana"/>
          <w:sz w:val="20"/>
          <w:szCs w:val="20"/>
          <w:lang w:val="es-CR"/>
        </w:rPr>
        <w:t>respeto de las obligaciones internacionales del Estado.</w:t>
      </w:r>
      <w:r w:rsidR="000F4132" w:rsidRPr="0001156D">
        <w:rPr>
          <w:rFonts w:ascii="Verdana" w:hAnsi="Verdana"/>
          <w:sz w:val="20"/>
          <w:szCs w:val="20"/>
          <w:lang w:val="es-CR"/>
        </w:rPr>
        <w:t xml:space="preserve"> </w:t>
      </w:r>
      <w:r w:rsidR="006D4A4C">
        <w:rPr>
          <w:rFonts w:ascii="Verdana" w:hAnsi="Verdana"/>
          <w:sz w:val="20"/>
          <w:szCs w:val="20"/>
          <w:lang w:val="es-CR"/>
        </w:rPr>
        <w:t xml:space="preserve">En razón de lo anterior, </w:t>
      </w:r>
      <w:r w:rsidR="006D4A4C">
        <w:rPr>
          <w:rFonts w:ascii="Verdana" w:hAnsi="Verdana" w:cs="Arial"/>
          <w:sz w:val="20"/>
          <w:szCs w:val="20"/>
          <w:lang w:val="es-CR"/>
        </w:rPr>
        <w:t>este Tribunal</w:t>
      </w:r>
      <w:r w:rsidR="0079755F" w:rsidRPr="006D4A4C">
        <w:rPr>
          <w:rFonts w:ascii="Verdana" w:hAnsi="Verdana" w:cs="Arial"/>
          <w:sz w:val="20"/>
          <w:szCs w:val="20"/>
          <w:lang w:val="es-CR"/>
        </w:rPr>
        <w:t xml:space="preserve"> considera que el alegato presentado no configura una excepción preliminar</w:t>
      </w:r>
      <w:r w:rsidR="006D4A4C">
        <w:rPr>
          <w:rFonts w:ascii="Verdana" w:hAnsi="Verdana" w:cs="Arial"/>
          <w:sz w:val="20"/>
          <w:szCs w:val="20"/>
          <w:lang w:val="es-CR"/>
        </w:rPr>
        <w:t>,</w:t>
      </w:r>
      <w:r w:rsidR="0079755F" w:rsidRPr="006D4A4C">
        <w:rPr>
          <w:rFonts w:ascii="Verdana" w:hAnsi="Verdana" w:cs="Arial"/>
          <w:sz w:val="20"/>
          <w:szCs w:val="20"/>
          <w:lang w:val="es-CR"/>
        </w:rPr>
        <w:t xml:space="preserve"> pues no expone razones por las cuales el caso sometido sería inadmisible o la Corte sería incompetente para conocerlo. </w:t>
      </w:r>
      <w:r w:rsidR="006D4A4C">
        <w:rPr>
          <w:rFonts w:ascii="Verdana" w:hAnsi="Verdana" w:cs="Arial"/>
          <w:sz w:val="20"/>
          <w:szCs w:val="20"/>
          <w:lang w:val="es-CR"/>
        </w:rPr>
        <w:t xml:space="preserve">En consecuencia, la Corte </w:t>
      </w:r>
      <w:r w:rsidR="0079755F" w:rsidRPr="006D4A4C">
        <w:rPr>
          <w:rFonts w:ascii="Verdana" w:hAnsi="Verdana" w:cs="Arial"/>
          <w:sz w:val="20"/>
          <w:szCs w:val="20"/>
          <w:lang w:val="es-CR"/>
        </w:rPr>
        <w:t>declara sin lugar la excepción preliminar presentada por el Estado.</w:t>
      </w:r>
    </w:p>
    <w:p w:rsidR="0041591A" w:rsidRPr="008E0075" w:rsidRDefault="0041591A" w:rsidP="000615D6">
      <w:pPr>
        <w:pStyle w:val="Prrafodelista"/>
        <w:spacing w:after="0" w:line="240" w:lineRule="auto"/>
        <w:ind w:left="0"/>
        <w:jc w:val="both"/>
        <w:rPr>
          <w:rFonts w:ascii="Verdana" w:hAnsi="Verdana"/>
          <w:sz w:val="20"/>
          <w:szCs w:val="20"/>
          <w:lang w:val="es-CR"/>
        </w:rPr>
      </w:pPr>
    </w:p>
    <w:p w:rsidR="0041591A" w:rsidRPr="008E0075" w:rsidRDefault="0041591A" w:rsidP="000615D6">
      <w:pPr>
        <w:pStyle w:val="Ttulo1"/>
        <w:spacing w:before="0" w:line="240" w:lineRule="auto"/>
        <w:jc w:val="center"/>
        <w:rPr>
          <w:rFonts w:ascii="Verdana" w:eastAsia="Verdana" w:hAnsi="Verdana" w:cs="Verdana"/>
          <w:color w:val="auto"/>
          <w:sz w:val="20"/>
          <w:szCs w:val="20"/>
          <w:lang w:val="es-CR"/>
        </w:rPr>
      </w:pPr>
      <w:bookmarkStart w:id="15" w:name="_Toc24538823"/>
      <w:r w:rsidRPr="008E0075">
        <w:rPr>
          <w:rFonts w:ascii="Verdana" w:eastAsia="Verdana" w:hAnsi="Verdana" w:cs="Verdana"/>
          <w:color w:val="auto"/>
          <w:sz w:val="20"/>
          <w:szCs w:val="20"/>
          <w:lang w:val="es-CR"/>
        </w:rPr>
        <w:t>V</w:t>
      </w:r>
      <w:r w:rsidRPr="008E0075">
        <w:rPr>
          <w:rFonts w:ascii="Verdana" w:eastAsia="Verdana" w:hAnsi="Verdana" w:cs="Verdana"/>
          <w:color w:val="auto"/>
          <w:sz w:val="20"/>
          <w:szCs w:val="20"/>
          <w:lang w:val="es-CR"/>
        </w:rPr>
        <w:br/>
        <w:t>CONSIDERACIONES PREVIAS</w:t>
      </w:r>
      <w:bookmarkEnd w:id="15"/>
    </w:p>
    <w:p w:rsidR="0041591A" w:rsidRPr="008E0075" w:rsidRDefault="0041591A" w:rsidP="000615D6">
      <w:pPr>
        <w:spacing w:after="0" w:line="240" w:lineRule="auto"/>
        <w:jc w:val="both"/>
        <w:rPr>
          <w:rFonts w:ascii="Verdana" w:eastAsia="Verdana" w:hAnsi="Verdana" w:cs="Verdana"/>
          <w:sz w:val="20"/>
          <w:szCs w:val="20"/>
          <w:lang w:val="es-CR"/>
        </w:rPr>
      </w:pPr>
    </w:p>
    <w:p w:rsidR="0041591A" w:rsidRPr="00A644AB" w:rsidRDefault="0041591A" w:rsidP="000615D6">
      <w:pPr>
        <w:pStyle w:val="Ttulo2"/>
        <w:spacing w:before="0" w:line="240" w:lineRule="auto"/>
        <w:rPr>
          <w:rFonts w:ascii="Verdana" w:eastAsia="Verdana" w:hAnsi="Verdana" w:cs="Verdana"/>
          <w:b/>
          <w:color w:val="auto"/>
          <w:sz w:val="20"/>
          <w:szCs w:val="20"/>
          <w:lang w:val="es-CR"/>
        </w:rPr>
      </w:pPr>
      <w:bookmarkStart w:id="16" w:name="_Toc24538824"/>
      <w:r w:rsidRPr="00A644AB">
        <w:rPr>
          <w:rFonts w:ascii="Verdana" w:eastAsia="Verdana" w:hAnsi="Verdana" w:cs="Verdana"/>
          <w:b/>
          <w:color w:val="auto"/>
          <w:sz w:val="20"/>
          <w:szCs w:val="20"/>
          <w:lang w:val="es-CR"/>
        </w:rPr>
        <w:t>A. Alegatos de las partes y la Comisión</w:t>
      </w:r>
      <w:bookmarkEnd w:id="16"/>
      <w:r w:rsidRPr="00A644AB">
        <w:rPr>
          <w:rFonts w:ascii="Verdana" w:eastAsia="Verdana" w:hAnsi="Verdana" w:cs="Verdana"/>
          <w:b/>
          <w:color w:val="auto"/>
          <w:sz w:val="20"/>
          <w:szCs w:val="20"/>
          <w:lang w:val="es-CR"/>
        </w:rPr>
        <w:t xml:space="preserve"> </w:t>
      </w:r>
    </w:p>
    <w:p w:rsidR="0041591A" w:rsidRPr="008E0075" w:rsidRDefault="0041591A" w:rsidP="000615D6">
      <w:pPr>
        <w:pStyle w:val="Prrafodelista"/>
        <w:spacing w:after="0" w:line="240" w:lineRule="auto"/>
        <w:ind w:left="0"/>
        <w:jc w:val="both"/>
        <w:rPr>
          <w:rFonts w:ascii="Verdana" w:eastAsia="Verdana" w:hAnsi="Verdana" w:cs="Verdana"/>
          <w:sz w:val="20"/>
          <w:szCs w:val="20"/>
          <w:lang w:val="es-CR"/>
        </w:rPr>
      </w:pPr>
      <w:bookmarkStart w:id="17" w:name="_of4bjgl7fjs" w:colFirst="0" w:colLast="0"/>
      <w:bookmarkEnd w:id="17"/>
    </w:p>
    <w:p w:rsidR="0041591A"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sz w:val="20"/>
          <w:szCs w:val="20"/>
          <w:lang w:val="es-CR"/>
        </w:rPr>
        <w:t xml:space="preserve">Con respecto a la determinación de las víctimas, la </w:t>
      </w:r>
      <w:r w:rsidRPr="008E0075">
        <w:rPr>
          <w:rFonts w:ascii="Verdana" w:hAnsi="Verdana"/>
          <w:b/>
          <w:i/>
          <w:sz w:val="20"/>
          <w:szCs w:val="20"/>
          <w:lang w:val="es-CR"/>
        </w:rPr>
        <w:t>Comisión</w:t>
      </w:r>
      <w:r w:rsidRPr="008E0075">
        <w:rPr>
          <w:rFonts w:ascii="Verdana" w:hAnsi="Verdana"/>
          <w:b/>
          <w:sz w:val="20"/>
          <w:szCs w:val="20"/>
          <w:lang w:val="es-CR"/>
        </w:rPr>
        <w:t xml:space="preserve"> </w:t>
      </w:r>
      <w:r w:rsidRPr="008E0075">
        <w:rPr>
          <w:rFonts w:ascii="Verdana" w:hAnsi="Verdana"/>
          <w:sz w:val="20"/>
          <w:szCs w:val="20"/>
          <w:lang w:val="es-CR"/>
        </w:rPr>
        <w:t xml:space="preserve">señaló en el Informe No. </w:t>
      </w:r>
      <w:r w:rsidRPr="008E0075">
        <w:rPr>
          <w:rFonts w:ascii="Verdana" w:eastAsia="Verdana" w:hAnsi="Verdana" w:cs="Verdana"/>
          <w:sz w:val="20"/>
          <w:szCs w:val="20"/>
          <w:lang w:val="es-CR"/>
        </w:rPr>
        <w:t xml:space="preserve">76/17 </w:t>
      </w:r>
      <w:r w:rsidRPr="008E0075">
        <w:rPr>
          <w:rFonts w:ascii="Verdana" w:hAnsi="Verdana"/>
          <w:sz w:val="20"/>
          <w:szCs w:val="20"/>
          <w:lang w:val="es-CR"/>
        </w:rPr>
        <w:t xml:space="preserve">que las presuntas víctimas son Roberto Girón y Pedro Castillo Mendoza. </w:t>
      </w:r>
    </w:p>
    <w:p w:rsidR="0041591A" w:rsidRPr="008E0075" w:rsidRDefault="0041591A" w:rsidP="000615D6">
      <w:pPr>
        <w:pStyle w:val="Prrafodelista"/>
        <w:spacing w:after="0" w:line="240" w:lineRule="auto"/>
        <w:ind w:left="0"/>
        <w:jc w:val="both"/>
        <w:rPr>
          <w:rFonts w:ascii="Verdana" w:eastAsia="Verdana" w:hAnsi="Verdana" w:cs="Verdana"/>
          <w:sz w:val="20"/>
          <w:szCs w:val="20"/>
          <w:lang w:val="es-CR"/>
        </w:rPr>
      </w:pPr>
    </w:p>
    <w:p w:rsidR="0041591A"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eastAsia="Verdana" w:hAnsi="Verdana" w:cs="Verdana"/>
          <w:sz w:val="20"/>
          <w:szCs w:val="20"/>
          <w:lang w:val="es-CR"/>
        </w:rPr>
        <w:t xml:space="preserve">Las </w:t>
      </w:r>
      <w:r w:rsidRPr="008E0075">
        <w:rPr>
          <w:rFonts w:ascii="Verdana" w:eastAsia="Verdana" w:hAnsi="Verdana" w:cs="Verdana"/>
          <w:b/>
          <w:i/>
          <w:sz w:val="20"/>
          <w:szCs w:val="20"/>
          <w:lang w:val="es-CR"/>
        </w:rPr>
        <w:t>representantes</w:t>
      </w:r>
      <w:r w:rsidR="004F41F1">
        <w:rPr>
          <w:rFonts w:ascii="Verdana" w:eastAsia="Verdana" w:hAnsi="Verdana" w:cs="Verdana"/>
          <w:sz w:val="20"/>
          <w:szCs w:val="20"/>
          <w:lang w:val="es-CR"/>
        </w:rPr>
        <w:t xml:space="preserve"> en el escrito de solicitudes y argumentos </w:t>
      </w:r>
      <w:r w:rsidRPr="008E0075">
        <w:rPr>
          <w:rFonts w:ascii="Verdana" w:eastAsia="Verdana" w:hAnsi="Verdana" w:cs="Verdana"/>
          <w:sz w:val="20"/>
          <w:szCs w:val="20"/>
          <w:lang w:val="es-CR"/>
        </w:rPr>
        <w:t xml:space="preserve">indicaron que además de los señores </w:t>
      </w:r>
      <w:r w:rsidRPr="008E0075">
        <w:rPr>
          <w:rFonts w:ascii="Verdana" w:hAnsi="Verdana"/>
          <w:bCs/>
          <w:iCs/>
          <w:sz w:val="20"/>
          <w:szCs w:val="20"/>
          <w:lang w:val="es-CR"/>
        </w:rPr>
        <w:t xml:space="preserve">Roberto Girón y Pedro Castillo Mendoza, sean reconocidas otras presuntas víctimas que son los familiares del señor Castillo Mendoza, a saber: Emilio Castillo Gómez </w:t>
      </w:r>
      <w:r w:rsidR="00914C89">
        <w:rPr>
          <w:rFonts w:ascii="Verdana" w:hAnsi="Verdana"/>
          <w:bCs/>
          <w:iCs/>
          <w:sz w:val="20"/>
          <w:szCs w:val="20"/>
          <w:lang w:val="es-CR"/>
        </w:rPr>
        <w:t>(padre</w:t>
      </w:r>
      <w:r w:rsidRPr="008E0075">
        <w:rPr>
          <w:rFonts w:ascii="Verdana" w:hAnsi="Verdana"/>
          <w:bCs/>
          <w:iCs/>
          <w:sz w:val="20"/>
          <w:szCs w:val="20"/>
          <w:lang w:val="es-CR"/>
        </w:rPr>
        <w:t xml:space="preserve"> fallecido), Blanca Delia Castillo Mendoza (hermana fallecida), Dora Alicia Castillo Mendoza (hermana), Berta Lidia Mendoza (hermana) y Oscar Castillo Mendoza (hermano). </w:t>
      </w:r>
      <w:bookmarkStart w:id="18" w:name="_uo9ehdfqs552" w:colFirst="0" w:colLast="0"/>
      <w:bookmarkStart w:id="19" w:name="_aa3tfm7gx39q" w:colFirst="0" w:colLast="0"/>
      <w:bookmarkStart w:id="20" w:name="_ixn3hnozx8iv" w:colFirst="0" w:colLast="0"/>
      <w:bookmarkEnd w:id="18"/>
      <w:bookmarkEnd w:id="19"/>
      <w:bookmarkEnd w:id="20"/>
      <w:r w:rsidRPr="00AB468B">
        <w:rPr>
          <w:rFonts w:ascii="Verdana" w:hAnsi="Verdana"/>
          <w:bCs/>
          <w:iCs/>
          <w:sz w:val="20"/>
          <w:szCs w:val="20"/>
          <w:lang w:val="es-CR"/>
        </w:rPr>
        <w:t xml:space="preserve">Agregaron que al momento de </w:t>
      </w:r>
      <w:r w:rsidR="004F41F1">
        <w:rPr>
          <w:rFonts w:ascii="Verdana" w:hAnsi="Verdana"/>
          <w:bCs/>
          <w:iCs/>
          <w:sz w:val="20"/>
          <w:szCs w:val="20"/>
          <w:lang w:val="es-CR"/>
        </w:rPr>
        <w:t>presentación del escrito de solicitudes y argumentos</w:t>
      </w:r>
      <w:r w:rsidRPr="00AB468B">
        <w:rPr>
          <w:rFonts w:ascii="Verdana" w:hAnsi="Verdana"/>
          <w:bCs/>
          <w:iCs/>
          <w:sz w:val="20"/>
          <w:szCs w:val="20"/>
          <w:lang w:val="es-CR"/>
        </w:rPr>
        <w:t xml:space="preserve"> no han podido localizar a ningún familiar del señor Roberto Girón</w:t>
      </w:r>
      <w:r w:rsidR="00AB468B">
        <w:rPr>
          <w:rFonts w:ascii="Verdana" w:hAnsi="Verdana"/>
          <w:bCs/>
          <w:iCs/>
          <w:sz w:val="20"/>
          <w:szCs w:val="20"/>
          <w:lang w:val="es-CR"/>
        </w:rPr>
        <w:t xml:space="preserve"> (</w:t>
      </w:r>
      <w:r w:rsidR="00AB468B" w:rsidRPr="00AB468B">
        <w:rPr>
          <w:rFonts w:ascii="Verdana" w:hAnsi="Verdana"/>
          <w:bCs/>
          <w:i/>
          <w:iCs/>
          <w:sz w:val="20"/>
          <w:szCs w:val="20"/>
          <w:lang w:val="es-CR"/>
        </w:rPr>
        <w:t xml:space="preserve">infra </w:t>
      </w:r>
      <w:r w:rsidR="00400BCB">
        <w:rPr>
          <w:rFonts w:ascii="Verdana" w:hAnsi="Verdana"/>
          <w:bCs/>
          <w:iCs/>
          <w:sz w:val="20"/>
          <w:szCs w:val="20"/>
          <w:lang w:val="es-CR"/>
        </w:rPr>
        <w:t>cita a pie de pá</w:t>
      </w:r>
      <w:r w:rsidR="00F34071">
        <w:rPr>
          <w:rFonts w:ascii="Verdana" w:hAnsi="Verdana"/>
          <w:bCs/>
          <w:iCs/>
          <w:sz w:val="20"/>
          <w:szCs w:val="20"/>
          <w:lang w:val="es-CR"/>
        </w:rPr>
        <w:t>gi</w:t>
      </w:r>
      <w:r w:rsidR="004F1B79">
        <w:rPr>
          <w:rFonts w:ascii="Verdana" w:hAnsi="Verdana"/>
          <w:bCs/>
          <w:iCs/>
          <w:sz w:val="20"/>
          <w:szCs w:val="20"/>
          <w:lang w:val="es-CR"/>
        </w:rPr>
        <w:t>na 131</w:t>
      </w:r>
      <w:r w:rsidR="00AB468B">
        <w:rPr>
          <w:rFonts w:ascii="Verdana" w:hAnsi="Verdana"/>
          <w:bCs/>
          <w:iCs/>
          <w:sz w:val="20"/>
          <w:szCs w:val="20"/>
          <w:lang w:val="es-CR"/>
        </w:rPr>
        <w:t>)</w:t>
      </w:r>
      <w:r w:rsidRPr="00AB468B">
        <w:rPr>
          <w:rFonts w:ascii="Verdana" w:hAnsi="Verdana"/>
          <w:bCs/>
          <w:iCs/>
          <w:sz w:val="20"/>
          <w:szCs w:val="20"/>
          <w:lang w:val="es-CR"/>
        </w:rPr>
        <w:t>.</w:t>
      </w:r>
      <w:r w:rsidRPr="008E0075">
        <w:rPr>
          <w:rFonts w:ascii="Verdana" w:hAnsi="Verdana"/>
          <w:bCs/>
          <w:iCs/>
          <w:sz w:val="20"/>
          <w:szCs w:val="20"/>
          <w:lang w:val="es-CR"/>
        </w:rPr>
        <w:t xml:space="preserve"> </w:t>
      </w:r>
    </w:p>
    <w:p w:rsidR="0041591A" w:rsidRPr="008E0075" w:rsidRDefault="0041591A" w:rsidP="000615D6">
      <w:pPr>
        <w:pStyle w:val="Prrafodelista"/>
        <w:spacing w:after="0" w:line="240" w:lineRule="auto"/>
        <w:ind w:left="0"/>
        <w:jc w:val="both"/>
        <w:rPr>
          <w:rFonts w:ascii="Verdana" w:eastAsia="Verdana" w:hAnsi="Verdana" w:cs="Verdana"/>
          <w:sz w:val="20"/>
          <w:szCs w:val="20"/>
          <w:lang w:val="es-CR"/>
        </w:rPr>
      </w:pPr>
    </w:p>
    <w:p w:rsidR="0041591A" w:rsidRPr="00F02941" w:rsidRDefault="00662A09"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F02941">
        <w:rPr>
          <w:rFonts w:ascii="Verdana" w:hAnsi="Verdana"/>
          <w:sz w:val="20"/>
          <w:szCs w:val="20"/>
          <w:lang w:val="es-ES"/>
        </w:rPr>
        <w:t xml:space="preserve">El </w:t>
      </w:r>
      <w:r w:rsidRPr="00F02941">
        <w:rPr>
          <w:rFonts w:ascii="Verdana" w:hAnsi="Verdana"/>
          <w:b/>
          <w:i/>
          <w:sz w:val="20"/>
          <w:szCs w:val="20"/>
          <w:lang w:val="es-ES"/>
        </w:rPr>
        <w:t>Estado</w:t>
      </w:r>
      <w:r w:rsidR="008B7E32" w:rsidRPr="00F02941">
        <w:rPr>
          <w:rFonts w:ascii="Verdana" w:hAnsi="Verdana"/>
          <w:b/>
          <w:i/>
          <w:sz w:val="20"/>
          <w:szCs w:val="20"/>
          <w:lang w:val="es-ES"/>
        </w:rPr>
        <w:t xml:space="preserve"> </w:t>
      </w:r>
      <w:r w:rsidR="00222203" w:rsidRPr="00F02941">
        <w:rPr>
          <w:rFonts w:ascii="Verdana" w:hAnsi="Verdana"/>
          <w:sz w:val="20"/>
          <w:szCs w:val="20"/>
          <w:lang w:val="es-ES"/>
        </w:rPr>
        <w:t>manifestó que “no pone en entredicho la facultad de que gozan los peticionarios de pedir que sean consideradas como presuntas víctimas los familiares de los señores Girón y Castillo Mendoza [pero considera que si la] Corte se pronunciara por resarcir económicamente a los familiares de los autores de un crimen que consternó a la sociedad guatemalteca, se estaría favoreciendo el surgimiento de un nuevo debate sobre si es o no procedente la aplicación de la pena de muerte en el país”</w:t>
      </w:r>
      <w:r w:rsidR="008B7E32" w:rsidRPr="00F02941">
        <w:rPr>
          <w:rFonts w:ascii="Verdana" w:hAnsi="Verdana"/>
          <w:sz w:val="20"/>
          <w:szCs w:val="20"/>
          <w:lang w:val="es-ES"/>
        </w:rPr>
        <w:t>.</w:t>
      </w:r>
      <w:r w:rsidR="00222203" w:rsidRPr="00F02941">
        <w:rPr>
          <w:rFonts w:ascii="Verdana" w:hAnsi="Verdana"/>
          <w:sz w:val="20"/>
          <w:szCs w:val="20"/>
          <w:lang w:val="es-ES"/>
        </w:rPr>
        <w:t xml:space="preserve"> </w:t>
      </w:r>
    </w:p>
    <w:p w:rsidR="0041591A" w:rsidRPr="008E0075" w:rsidRDefault="0041591A" w:rsidP="000615D6">
      <w:pPr>
        <w:pStyle w:val="Prrafodelista"/>
        <w:spacing w:after="0" w:line="240" w:lineRule="auto"/>
        <w:ind w:left="0"/>
        <w:jc w:val="both"/>
        <w:rPr>
          <w:rFonts w:ascii="Verdana" w:eastAsia="Verdana" w:hAnsi="Verdana" w:cs="Verdana"/>
          <w:sz w:val="20"/>
          <w:szCs w:val="20"/>
          <w:lang w:val="es-CR"/>
        </w:rPr>
      </w:pPr>
    </w:p>
    <w:p w:rsidR="0041591A" w:rsidRPr="00A644AB" w:rsidRDefault="0041591A" w:rsidP="000615D6">
      <w:pPr>
        <w:pStyle w:val="Ttulo2"/>
        <w:spacing w:line="240" w:lineRule="auto"/>
        <w:rPr>
          <w:rFonts w:ascii="Verdana" w:eastAsia="Verdana" w:hAnsi="Verdana" w:cs="Verdana"/>
          <w:b/>
          <w:color w:val="auto"/>
          <w:sz w:val="20"/>
          <w:szCs w:val="20"/>
          <w:lang w:val="es-CR"/>
        </w:rPr>
      </w:pPr>
      <w:bookmarkStart w:id="21" w:name="_Toc472608896"/>
      <w:bookmarkStart w:id="22" w:name="_Toc469404451"/>
      <w:bookmarkStart w:id="23" w:name="_Toc468910212"/>
      <w:bookmarkStart w:id="24" w:name="_Toc468909986"/>
      <w:bookmarkStart w:id="25" w:name="_Toc462751043"/>
      <w:bookmarkStart w:id="26" w:name="_Toc462750719"/>
      <w:bookmarkStart w:id="27" w:name="_Toc460441899"/>
      <w:bookmarkStart w:id="28" w:name="_Toc460432968"/>
      <w:bookmarkStart w:id="29" w:name="_Toc12350835"/>
      <w:bookmarkStart w:id="30" w:name="_Toc24538825"/>
      <w:r w:rsidRPr="00A644AB">
        <w:rPr>
          <w:rFonts w:ascii="Verdana" w:eastAsia="Verdana" w:hAnsi="Verdana" w:cs="Verdana"/>
          <w:b/>
          <w:color w:val="auto"/>
          <w:sz w:val="20"/>
          <w:szCs w:val="20"/>
          <w:lang w:val="es-CR"/>
        </w:rPr>
        <w:t>B. Consideraciones de la Corte</w:t>
      </w:r>
      <w:bookmarkEnd w:id="21"/>
      <w:bookmarkEnd w:id="22"/>
      <w:bookmarkEnd w:id="23"/>
      <w:bookmarkEnd w:id="24"/>
      <w:bookmarkEnd w:id="25"/>
      <w:bookmarkEnd w:id="26"/>
      <w:bookmarkEnd w:id="27"/>
      <w:bookmarkEnd w:id="28"/>
      <w:bookmarkEnd w:id="29"/>
      <w:bookmarkEnd w:id="30"/>
    </w:p>
    <w:p w:rsidR="0041591A" w:rsidRPr="008E0075" w:rsidRDefault="0041591A" w:rsidP="000615D6">
      <w:pPr>
        <w:pStyle w:val="Prrafodelista"/>
        <w:spacing w:after="0" w:line="240" w:lineRule="auto"/>
        <w:ind w:left="0"/>
        <w:jc w:val="both"/>
        <w:rPr>
          <w:rFonts w:ascii="Verdana" w:eastAsia="Verdana" w:hAnsi="Verdana" w:cs="Verdana"/>
          <w:sz w:val="20"/>
          <w:szCs w:val="20"/>
          <w:lang w:val="es-CR"/>
        </w:rPr>
      </w:pPr>
    </w:p>
    <w:p w:rsidR="000615D6"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eastAsia="Verdana" w:hAnsi="Verdana" w:cs="Verdana"/>
          <w:sz w:val="20"/>
          <w:szCs w:val="20"/>
          <w:lang w:val="es-CR"/>
        </w:rPr>
        <w:t>Con relación a la identificación de las presuntas víctimas, la Corte recuerda que el artículo 35.1 del Reglamento de la Corte dispone que el caso le será sometido mediante la presentación del Informe de Fondo, que deberá contener la identificación de las presuntas víctimas. Corresponde pues a la Comisión identificar con precisión y en la debida oportunidad procesal a las presuntas víctimas en un caso ante la Corte</w:t>
      </w:r>
      <w:r w:rsidRPr="008E0075">
        <w:rPr>
          <w:rStyle w:val="Refdenotaalpie"/>
          <w:rFonts w:ascii="Verdana" w:eastAsia="Verdana" w:hAnsi="Verdana" w:cs="Verdana"/>
          <w:sz w:val="20"/>
          <w:szCs w:val="20"/>
        </w:rPr>
        <w:footnoteReference w:id="9"/>
      </w:r>
      <w:r w:rsidRPr="008E0075">
        <w:rPr>
          <w:rFonts w:ascii="Verdana" w:eastAsia="Verdana" w:hAnsi="Verdana" w:cs="Verdana"/>
          <w:sz w:val="20"/>
          <w:szCs w:val="20"/>
          <w:lang w:val="es-CR"/>
        </w:rPr>
        <w:t>, salvo en las circunstancias excepcionales contempladas en el artículo 35.2 del Reglamento de la Corte, de conformidad con el cual, cuando se justifique que no fue posible identificarlas, por tratarse de casos de violaciones masivas o colectivas, el Tribunal decidirá en su oportunidad si las considera víctimas de acuerdo con la naturaleza de la violación</w:t>
      </w:r>
      <w:r w:rsidRPr="008E0075">
        <w:rPr>
          <w:rStyle w:val="Refdenotaalpie"/>
          <w:rFonts w:ascii="Verdana" w:eastAsia="Verdana" w:hAnsi="Verdana" w:cs="Verdana"/>
          <w:sz w:val="20"/>
          <w:szCs w:val="20"/>
        </w:rPr>
        <w:footnoteReference w:id="10"/>
      </w:r>
      <w:r w:rsidRPr="008E0075">
        <w:rPr>
          <w:rFonts w:ascii="Verdana" w:eastAsia="Verdana" w:hAnsi="Verdana" w:cs="Verdana"/>
          <w:sz w:val="20"/>
          <w:szCs w:val="20"/>
          <w:lang w:val="es-CR"/>
        </w:rPr>
        <w:t xml:space="preserve">. </w:t>
      </w:r>
    </w:p>
    <w:p w:rsidR="000615D6" w:rsidRPr="008E0075" w:rsidRDefault="000615D6" w:rsidP="000615D6">
      <w:pPr>
        <w:pStyle w:val="Prrafodelista"/>
        <w:spacing w:after="0" w:line="240" w:lineRule="auto"/>
        <w:ind w:left="0"/>
        <w:jc w:val="both"/>
        <w:rPr>
          <w:rFonts w:ascii="Verdana" w:eastAsia="Verdana" w:hAnsi="Verdana" w:cs="Verdana"/>
          <w:sz w:val="20"/>
          <w:szCs w:val="20"/>
          <w:lang w:val="es-CR"/>
        </w:rPr>
      </w:pPr>
    </w:p>
    <w:p w:rsidR="00F02941" w:rsidRPr="008042F7" w:rsidRDefault="001637DD" w:rsidP="00F02941">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eastAsia="Verdana" w:hAnsi="Verdana" w:cs="Verdana"/>
          <w:sz w:val="20"/>
          <w:szCs w:val="20"/>
          <w:lang w:val="es-CR"/>
        </w:rPr>
        <w:t xml:space="preserve">En el presente caso no se presenta alguna de las excepciones previstas en el artículo </w:t>
      </w:r>
      <w:r w:rsidR="00F75A71">
        <w:rPr>
          <w:rFonts w:ascii="Verdana" w:eastAsia="Verdana" w:hAnsi="Verdana" w:cs="Verdana"/>
          <w:sz w:val="20"/>
          <w:szCs w:val="20"/>
          <w:lang w:val="es-CR"/>
        </w:rPr>
        <w:t xml:space="preserve"> </w:t>
      </w:r>
      <w:r w:rsidRPr="008E0075">
        <w:rPr>
          <w:rFonts w:ascii="Verdana" w:eastAsia="Verdana" w:hAnsi="Verdana" w:cs="Verdana"/>
          <w:sz w:val="20"/>
          <w:szCs w:val="20"/>
          <w:lang w:val="es-CR"/>
        </w:rPr>
        <w:t>35.2 del Reglamento de la Corte. Por lo que, en razón de las normas dispuestas en el artículo</w:t>
      </w:r>
      <w:r w:rsidR="00F9608F" w:rsidRPr="008E0075">
        <w:rPr>
          <w:rFonts w:ascii="Verdana" w:eastAsia="Verdana" w:hAnsi="Verdana" w:cs="Verdana"/>
          <w:sz w:val="20"/>
          <w:szCs w:val="20"/>
          <w:lang w:val="es-CR"/>
        </w:rPr>
        <w:t xml:space="preserve"> </w:t>
      </w:r>
      <w:r w:rsidR="00F9608F" w:rsidRPr="008E0075">
        <w:rPr>
          <w:rFonts w:ascii="Verdana" w:eastAsia="Verdana" w:hAnsi="Verdana" w:cs="Verdana"/>
          <w:sz w:val="20"/>
          <w:szCs w:val="20"/>
          <w:lang w:val="es-CR"/>
        </w:rPr>
        <w:lastRenderedPageBreak/>
        <w:t xml:space="preserve">35.1 del Reglamento </w:t>
      </w:r>
      <w:r w:rsidRPr="008E0075">
        <w:rPr>
          <w:rFonts w:ascii="Verdana" w:eastAsia="Verdana" w:hAnsi="Verdana" w:cs="Verdana"/>
          <w:sz w:val="20"/>
          <w:szCs w:val="20"/>
          <w:lang w:val="es-CR"/>
        </w:rPr>
        <w:t xml:space="preserve">y los precedentes sobre los que este Tribunal </w:t>
      </w:r>
      <w:r w:rsidR="00F9608F" w:rsidRPr="008E0075">
        <w:rPr>
          <w:rFonts w:ascii="Verdana" w:eastAsia="Verdana" w:hAnsi="Verdana" w:cs="Verdana"/>
          <w:sz w:val="20"/>
          <w:szCs w:val="20"/>
          <w:lang w:val="es-CR"/>
        </w:rPr>
        <w:t xml:space="preserve">se </w:t>
      </w:r>
      <w:r w:rsidRPr="008E0075">
        <w:rPr>
          <w:rFonts w:ascii="Verdana" w:eastAsia="Verdana" w:hAnsi="Verdana" w:cs="Verdana"/>
          <w:sz w:val="20"/>
          <w:szCs w:val="20"/>
          <w:lang w:val="es-CR"/>
        </w:rPr>
        <w:t>ha pronunciado al respec</w:t>
      </w:r>
      <w:r w:rsidR="00F00B74" w:rsidRPr="008E0075">
        <w:rPr>
          <w:rFonts w:ascii="Verdana" w:eastAsia="Verdana" w:hAnsi="Verdana" w:cs="Verdana"/>
          <w:sz w:val="20"/>
          <w:szCs w:val="20"/>
          <w:lang w:val="es-CR"/>
        </w:rPr>
        <w:t>t</w:t>
      </w:r>
      <w:r w:rsidRPr="008E0075">
        <w:rPr>
          <w:rFonts w:ascii="Verdana" w:eastAsia="Verdana" w:hAnsi="Verdana" w:cs="Verdana"/>
          <w:sz w:val="20"/>
          <w:szCs w:val="20"/>
          <w:lang w:val="es-CR"/>
        </w:rPr>
        <w:t xml:space="preserve">o, la Corte </w:t>
      </w:r>
      <w:r w:rsidR="00F9608F" w:rsidRPr="008E0075">
        <w:rPr>
          <w:rFonts w:ascii="Verdana" w:eastAsia="Verdana" w:hAnsi="Verdana" w:cs="Verdana"/>
          <w:sz w:val="20"/>
          <w:szCs w:val="20"/>
          <w:lang w:val="es-CR"/>
        </w:rPr>
        <w:t>concluye que no corresponde considerar a los familiares del señor Pedro Castillo Mendoza</w:t>
      </w:r>
      <w:r w:rsidR="00F00B74" w:rsidRPr="008E0075">
        <w:rPr>
          <w:rFonts w:ascii="Verdana" w:eastAsia="Verdana" w:hAnsi="Verdana" w:cs="Verdana"/>
          <w:sz w:val="20"/>
          <w:szCs w:val="20"/>
          <w:lang w:val="es-CR"/>
        </w:rPr>
        <w:t xml:space="preserve">, ni del señor Roberto Girón </w:t>
      </w:r>
      <w:r w:rsidR="00E34E09">
        <w:rPr>
          <w:rFonts w:ascii="Verdana" w:eastAsia="Verdana" w:hAnsi="Verdana" w:cs="Verdana"/>
          <w:sz w:val="20"/>
          <w:szCs w:val="20"/>
          <w:lang w:val="es-CR"/>
        </w:rPr>
        <w:t>como presuntas víctimas.</w:t>
      </w:r>
    </w:p>
    <w:p w:rsidR="000615D6" w:rsidRPr="008E0075" w:rsidRDefault="000615D6" w:rsidP="000615D6">
      <w:pPr>
        <w:spacing w:after="0" w:line="240" w:lineRule="auto"/>
        <w:jc w:val="both"/>
        <w:rPr>
          <w:rFonts w:ascii="Verdana" w:eastAsia="Verdana" w:hAnsi="Verdana" w:cs="Verdana"/>
          <w:sz w:val="20"/>
          <w:szCs w:val="20"/>
          <w:lang w:val="es-CR"/>
        </w:rPr>
      </w:pPr>
    </w:p>
    <w:p w:rsidR="000615D6" w:rsidRPr="008E0075" w:rsidRDefault="000615D6" w:rsidP="00A61525">
      <w:pPr>
        <w:pStyle w:val="Prrafodelista"/>
        <w:spacing w:after="0" w:line="240" w:lineRule="auto"/>
        <w:ind w:left="0"/>
        <w:jc w:val="center"/>
        <w:outlineLvl w:val="0"/>
        <w:rPr>
          <w:rFonts w:ascii="Verdana" w:eastAsia="Verdana" w:hAnsi="Verdana" w:cs="Verdana"/>
          <w:b/>
          <w:sz w:val="20"/>
          <w:szCs w:val="20"/>
          <w:lang w:val="es-CR"/>
        </w:rPr>
      </w:pPr>
      <w:bookmarkStart w:id="31" w:name="_Toc24538826"/>
      <w:r w:rsidRPr="008E0075">
        <w:rPr>
          <w:rFonts w:ascii="Verdana" w:eastAsia="Verdana" w:hAnsi="Verdana" w:cs="Verdana"/>
          <w:b/>
          <w:sz w:val="20"/>
          <w:szCs w:val="20"/>
          <w:lang w:val="es-CR"/>
        </w:rPr>
        <w:t>VI</w:t>
      </w:r>
      <w:r w:rsidRPr="008E0075">
        <w:rPr>
          <w:rFonts w:ascii="Verdana" w:eastAsia="Verdana" w:hAnsi="Verdana" w:cs="Verdana"/>
          <w:b/>
          <w:sz w:val="20"/>
          <w:szCs w:val="20"/>
          <w:lang w:val="es-CR"/>
        </w:rPr>
        <w:br/>
        <w:t>PRUEBA</w:t>
      </w:r>
      <w:bookmarkEnd w:id="31"/>
    </w:p>
    <w:p w:rsidR="000615D6" w:rsidRPr="008E0075" w:rsidRDefault="000615D6" w:rsidP="000615D6">
      <w:pPr>
        <w:pStyle w:val="Prrafodelista"/>
        <w:spacing w:after="0" w:line="240" w:lineRule="auto"/>
        <w:ind w:left="0"/>
        <w:rPr>
          <w:rFonts w:ascii="Verdana" w:eastAsia="Verdana" w:hAnsi="Verdana" w:cs="Verdana"/>
          <w:b/>
          <w:sz w:val="20"/>
          <w:szCs w:val="20"/>
          <w:lang w:val="es-CR"/>
        </w:rPr>
      </w:pPr>
    </w:p>
    <w:p w:rsidR="000615D6" w:rsidRPr="00A61525" w:rsidRDefault="000615D6" w:rsidP="000615D6">
      <w:pPr>
        <w:pStyle w:val="Ttulo2"/>
        <w:spacing w:before="0" w:line="240" w:lineRule="auto"/>
        <w:rPr>
          <w:rFonts w:ascii="Verdana" w:eastAsia="Verdana" w:hAnsi="Verdana" w:cs="Verdana"/>
          <w:b/>
          <w:color w:val="auto"/>
          <w:sz w:val="20"/>
          <w:szCs w:val="20"/>
          <w:lang w:val="es-CR"/>
        </w:rPr>
      </w:pPr>
      <w:bookmarkStart w:id="32" w:name="_Toc24538827"/>
      <w:r w:rsidRPr="00A61525">
        <w:rPr>
          <w:rFonts w:ascii="Verdana" w:eastAsia="Verdana" w:hAnsi="Verdana" w:cs="Verdana"/>
          <w:b/>
          <w:color w:val="auto"/>
          <w:sz w:val="20"/>
          <w:szCs w:val="20"/>
          <w:lang w:val="es-CR"/>
        </w:rPr>
        <w:t>A. Admisión de prueba documental</w:t>
      </w:r>
      <w:bookmarkEnd w:id="32"/>
    </w:p>
    <w:p w:rsidR="000615D6" w:rsidRPr="008E0075" w:rsidRDefault="000615D6" w:rsidP="000615D6">
      <w:pPr>
        <w:spacing w:after="0" w:line="240" w:lineRule="auto"/>
        <w:jc w:val="both"/>
        <w:rPr>
          <w:rFonts w:ascii="Verdana" w:eastAsia="Verdana" w:hAnsi="Verdana" w:cs="Verdana"/>
          <w:sz w:val="20"/>
          <w:szCs w:val="20"/>
          <w:lang w:val="es-CR"/>
        </w:rPr>
      </w:pPr>
    </w:p>
    <w:p w:rsidR="000615D6"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eastAsia="Verdana" w:hAnsi="Verdana" w:cs="Verdana"/>
          <w:sz w:val="20"/>
          <w:szCs w:val="20"/>
          <w:lang w:val="es-CR"/>
        </w:rPr>
        <w:t xml:space="preserve">En </w:t>
      </w:r>
      <w:r w:rsidR="00C15795" w:rsidRPr="008E0075">
        <w:rPr>
          <w:rFonts w:ascii="Verdana" w:eastAsia="Verdana" w:hAnsi="Verdana" w:cs="Verdana"/>
          <w:sz w:val="20"/>
          <w:szCs w:val="20"/>
          <w:lang w:val="es-CR"/>
        </w:rPr>
        <w:t>el presente caso, como en otros</w:t>
      </w:r>
      <w:r w:rsidR="00C15795" w:rsidRPr="008E0075">
        <w:rPr>
          <w:rStyle w:val="Refdenotaalpie"/>
          <w:rFonts w:ascii="Verdana" w:eastAsia="Verdana" w:hAnsi="Verdana" w:cs="Verdana"/>
          <w:sz w:val="20"/>
          <w:szCs w:val="20"/>
        </w:rPr>
        <w:footnoteReference w:id="11"/>
      </w:r>
      <w:r w:rsidR="00C15795" w:rsidRPr="008E0075">
        <w:rPr>
          <w:rFonts w:ascii="Verdana" w:eastAsia="Verdana" w:hAnsi="Verdana" w:cs="Verdana"/>
          <w:sz w:val="20"/>
          <w:szCs w:val="20"/>
          <w:lang w:val="es-CR"/>
        </w:rPr>
        <w:t>,</w:t>
      </w:r>
      <w:r w:rsidRPr="008E0075">
        <w:rPr>
          <w:rFonts w:ascii="Verdana" w:eastAsia="Verdana" w:hAnsi="Verdana" w:cs="Verdana"/>
          <w:sz w:val="20"/>
          <w:szCs w:val="20"/>
          <w:lang w:val="es-CR"/>
        </w:rPr>
        <w:t xml:space="preserve"> el Tribunal admite el valor probatorio de aquellos documentos presentados por las partes y por la Comisión en la debida oportunidad procesal</w:t>
      </w:r>
      <w:r w:rsidR="00A50C6D">
        <w:rPr>
          <w:rFonts w:ascii="Verdana" w:eastAsia="Verdana" w:hAnsi="Verdana" w:cs="Verdana"/>
          <w:sz w:val="20"/>
          <w:szCs w:val="20"/>
          <w:lang w:val="es-CR"/>
        </w:rPr>
        <w:t xml:space="preserve"> </w:t>
      </w:r>
      <w:r w:rsidR="00A50C6D" w:rsidRPr="008E0075">
        <w:rPr>
          <w:rFonts w:ascii="Verdana" w:eastAsia="Verdana" w:hAnsi="Verdana" w:cs="Verdana"/>
          <w:sz w:val="20"/>
          <w:szCs w:val="20"/>
          <w:lang w:val="es-CR"/>
        </w:rPr>
        <w:t>(</w:t>
      </w:r>
      <w:r w:rsidR="00A50C6D" w:rsidRPr="008E0075">
        <w:rPr>
          <w:rFonts w:ascii="Verdana" w:eastAsia="Verdana" w:hAnsi="Verdana" w:cs="Verdana"/>
          <w:i/>
          <w:sz w:val="20"/>
          <w:szCs w:val="20"/>
          <w:lang w:val="es-CR"/>
        </w:rPr>
        <w:t>supra</w:t>
      </w:r>
      <w:r w:rsidR="00A50C6D" w:rsidRPr="008E0075">
        <w:rPr>
          <w:rFonts w:ascii="Verdana" w:eastAsia="Verdana" w:hAnsi="Verdana" w:cs="Verdana"/>
          <w:sz w:val="20"/>
          <w:szCs w:val="20"/>
          <w:lang w:val="es-CR"/>
        </w:rPr>
        <w:t xml:space="preserve"> párrs. </w:t>
      </w:r>
      <w:r w:rsidR="00A50C6D">
        <w:rPr>
          <w:rFonts w:ascii="Verdana" w:eastAsia="Verdana" w:hAnsi="Verdana" w:cs="Verdana"/>
          <w:sz w:val="20"/>
          <w:szCs w:val="20"/>
          <w:lang w:val="es-CR"/>
        </w:rPr>
        <w:t>1, 7 y 8</w:t>
      </w:r>
      <w:r w:rsidR="00A50C6D" w:rsidRPr="008E0075">
        <w:rPr>
          <w:rFonts w:ascii="Verdana" w:eastAsia="Verdana" w:hAnsi="Verdana" w:cs="Verdana"/>
          <w:sz w:val="20"/>
          <w:szCs w:val="20"/>
          <w:lang w:val="es-CR"/>
        </w:rPr>
        <w:t>)</w:t>
      </w:r>
      <w:r w:rsidRPr="008E0075">
        <w:rPr>
          <w:rFonts w:ascii="Verdana" w:eastAsia="Verdana" w:hAnsi="Verdana" w:cs="Verdana"/>
          <w:sz w:val="20"/>
          <w:szCs w:val="20"/>
          <w:lang w:val="es-CR"/>
        </w:rPr>
        <w:t>, que no fueron controvertidos ni objetados, y cuya autenticidad no fue puesta en duda</w:t>
      </w:r>
      <w:r w:rsidR="00D609BA" w:rsidRPr="008E0075">
        <w:rPr>
          <w:rFonts w:ascii="Verdana" w:eastAsia="Verdana" w:hAnsi="Verdana" w:cs="Verdana"/>
          <w:sz w:val="20"/>
          <w:szCs w:val="20"/>
          <w:lang w:val="es-CR"/>
        </w:rPr>
        <w:t>, así como la prueba para mejor resolver presentada por el Estado y las representantes</w:t>
      </w:r>
      <w:r w:rsidR="00A50C6D">
        <w:rPr>
          <w:rStyle w:val="Refdenotaalpie"/>
          <w:rFonts w:ascii="Verdana" w:eastAsia="Verdana" w:hAnsi="Verdana" w:cs="Verdana"/>
          <w:sz w:val="20"/>
          <w:szCs w:val="20"/>
          <w:lang w:val="es-CR"/>
        </w:rPr>
        <w:footnoteReference w:id="12"/>
      </w:r>
      <w:r w:rsidRPr="008E0075">
        <w:rPr>
          <w:rFonts w:ascii="Verdana" w:eastAsia="Verdana" w:hAnsi="Verdana" w:cs="Verdana"/>
          <w:sz w:val="20"/>
          <w:szCs w:val="20"/>
          <w:lang w:val="es-CR"/>
        </w:rPr>
        <w:t>.</w:t>
      </w:r>
    </w:p>
    <w:p w:rsidR="000615D6" w:rsidRPr="004A1345" w:rsidRDefault="000615D6" w:rsidP="000615D6">
      <w:pPr>
        <w:spacing w:after="0" w:line="240" w:lineRule="auto"/>
        <w:jc w:val="both"/>
        <w:rPr>
          <w:rFonts w:ascii="Verdana" w:eastAsia="Verdana" w:hAnsi="Verdana" w:cs="Verdana"/>
          <w:b/>
          <w:sz w:val="20"/>
          <w:szCs w:val="20"/>
          <w:lang w:val="es-CR"/>
        </w:rPr>
      </w:pPr>
    </w:p>
    <w:p w:rsidR="000615D6" w:rsidRPr="004A1345" w:rsidRDefault="000615D6" w:rsidP="004A1345">
      <w:pPr>
        <w:pStyle w:val="Ttulo2"/>
        <w:rPr>
          <w:rFonts w:ascii="Verdana" w:eastAsia="Verdana" w:hAnsi="Verdana" w:cs="Verdana"/>
          <w:b/>
          <w:color w:val="auto"/>
          <w:sz w:val="20"/>
          <w:szCs w:val="20"/>
          <w:lang w:val="es-CR"/>
        </w:rPr>
      </w:pPr>
      <w:bookmarkStart w:id="33" w:name="_Toc24538828"/>
      <w:r w:rsidRPr="004A1345">
        <w:rPr>
          <w:rFonts w:ascii="Verdana" w:eastAsia="Verdana" w:hAnsi="Verdana" w:cs="Verdana"/>
          <w:b/>
          <w:color w:val="auto"/>
          <w:sz w:val="20"/>
          <w:szCs w:val="20"/>
          <w:lang w:val="es-CR"/>
        </w:rPr>
        <w:t>B. Admisibilidad de la prueba testimonial y pericial</w:t>
      </w:r>
      <w:bookmarkEnd w:id="33"/>
    </w:p>
    <w:p w:rsidR="000615D6" w:rsidRPr="008E0075" w:rsidRDefault="000615D6" w:rsidP="000615D6">
      <w:pPr>
        <w:spacing w:after="0" w:line="240" w:lineRule="auto"/>
        <w:jc w:val="both"/>
        <w:rPr>
          <w:rFonts w:ascii="Verdana" w:eastAsia="Verdana" w:hAnsi="Verdana" w:cs="Verdana"/>
          <w:sz w:val="20"/>
          <w:szCs w:val="20"/>
          <w:lang w:val="es-CR"/>
        </w:rPr>
      </w:pPr>
    </w:p>
    <w:p w:rsidR="000615D6" w:rsidRPr="008E0075" w:rsidRDefault="00F9608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sz w:val="20"/>
          <w:szCs w:val="20"/>
          <w:lang w:val="es-CR"/>
        </w:rPr>
        <w:t>La Corte estima pertinente admitir</w:t>
      </w:r>
      <w:r w:rsidR="00D962F9">
        <w:rPr>
          <w:rFonts w:ascii="Verdana" w:hAnsi="Verdana"/>
          <w:sz w:val="20"/>
          <w:szCs w:val="20"/>
          <w:lang w:val="es-CR"/>
        </w:rPr>
        <w:t xml:space="preserve"> las declaraciones y los dictámenes </w:t>
      </w:r>
      <w:r w:rsidRPr="008E0075">
        <w:rPr>
          <w:rFonts w:ascii="Verdana" w:hAnsi="Verdana"/>
          <w:sz w:val="20"/>
          <w:szCs w:val="20"/>
          <w:lang w:val="es-CR"/>
        </w:rPr>
        <w:t>pericial</w:t>
      </w:r>
      <w:r w:rsidR="00D962F9">
        <w:rPr>
          <w:rFonts w:ascii="Verdana" w:hAnsi="Verdana"/>
          <w:sz w:val="20"/>
          <w:szCs w:val="20"/>
          <w:lang w:val="es-CR"/>
        </w:rPr>
        <w:t>es</w:t>
      </w:r>
      <w:r w:rsidRPr="008E0075">
        <w:rPr>
          <w:rFonts w:ascii="Verdana" w:hAnsi="Verdana"/>
          <w:sz w:val="20"/>
          <w:szCs w:val="20"/>
          <w:lang w:val="es-CR"/>
        </w:rPr>
        <w:t xml:space="preserve"> conjunto rendidos ante fedatario público</w:t>
      </w:r>
      <w:r w:rsidRPr="008E0075">
        <w:rPr>
          <w:rStyle w:val="Refdenotaalpie"/>
          <w:rFonts w:ascii="Verdana" w:hAnsi="Verdana"/>
          <w:sz w:val="20"/>
          <w:szCs w:val="20"/>
        </w:rPr>
        <w:footnoteReference w:id="13"/>
      </w:r>
      <w:r w:rsidRPr="008E0075">
        <w:rPr>
          <w:rFonts w:ascii="Verdana" w:hAnsi="Verdana"/>
          <w:sz w:val="20"/>
          <w:szCs w:val="20"/>
          <w:lang w:val="es-CR"/>
        </w:rPr>
        <w:t>, en lo que se ajusten al objeto que fue definido por la Presidencia en la Resolución mediante la cual se ordenó recibirlos y al objeto del presente caso.</w:t>
      </w:r>
    </w:p>
    <w:p w:rsidR="000615D6" w:rsidRPr="008E0075" w:rsidRDefault="000615D6" w:rsidP="000615D6">
      <w:pPr>
        <w:pStyle w:val="Prrafodelista"/>
        <w:spacing w:after="0" w:line="240" w:lineRule="auto"/>
        <w:ind w:left="0"/>
        <w:jc w:val="both"/>
        <w:rPr>
          <w:rFonts w:ascii="Verdana" w:hAnsi="Verdana"/>
          <w:sz w:val="20"/>
          <w:szCs w:val="20"/>
          <w:lang w:val="es-CR"/>
        </w:rPr>
      </w:pPr>
    </w:p>
    <w:p w:rsidR="000615D6" w:rsidRPr="008E0075" w:rsidRDefault="000615D6" w:rsidP="000615D6">
      <w:pPr>
        <w:pStyle w:val="Prrafodelista"/>
        <w:spacing w:after="0" w:line="240" w:lineRule="auto"/>
        <w:ind w:left="0"/>
        <w:jc w:val="center"/>
        <w:outlineLvl w:val="0"/>
        <w:rPr>
          <w:rFonts w:ascii="Verdana" w:eastAsia="Verdana" w:hAnsi="Verdana" w:cs="Verdana"/>
          <w:b/>
          <w:sz w:val="20"/>
          <w:szCs w:val="20"/>
          <w:lang w:val="es-CR"/>
        </w:rPr>
      </w:pPr>
      <w:bookmarkStart w:id="34" w:name="_Toc24538829"/>
      <w:r w:rsidRPr="008E0075">
        <w:rPr>
          <w:rFonts w:ascii="Verdana" w:hAnsi="Verdana"/>
          <w:b/>
          <w:sz w:val="20"/>
          <w:szCs w:val="20"/>
          <w:lang w:val="es-CR"/>
        </w:rPr>
        <w:t>VII</w:t>
      </w:r>
      <w:r w:rsidRPr="008E0075">
        <w:rPr>
          <w:rFonts w:ascii="Verdana" w:hAnsi="Verdana"/>
          <w:b/>
          <w:sz w:val="20"/>
          <w:szCs w:val="20"/>
          <w:lang w:val="es-CR"/>
        </w:rPr>
        <w:br/>
        <w:t>HECHOS</w:t>
      </w:r>
      <w:bookmarkEnd w:id="34"/>
    </w:p>
    <w:p w:rsidR="000615D6" w:rsidRPr="008E0075" w:rsidRDefault="000615D6" w:rsidP="000615D6">
      <w:pPr>
        <w:pStyle w:val="Prrafodelista"/>
        <w:spacing w:after="0" w:line="240" w:lineRule="auto"/>
        <w:ind w:left="0"/>
        <w:jc w:val="both"/>
        <w:rPr>
          <w:rFonts w:ascii="Verdana" w:hAnsi="Verdana"/>
          <w:sz w:val="20"/>
          <w:szCs w:val="20"/>
          <w:lang w:val="es-CR"/>
        </w:rPr>
      </w:pPr>
    </w:p>
    <w:p w:rsidR="000615D6" w:rsidRPr="008042F7" w:rsidRDefault="0013597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sz w:val="20"/>
          <w:szCs w:val="20"/>
          <w:lang w:val="es-CR"/>
        </w:rPr>
        <w:t>En este capítulo se establecerán los hechos del presente caso con base en el marco fáctico sometido al conocimiento de la Corte por la Comisión, tomando en consideración, que no existe controversia fáctica entre lo alegado por la Comisión, las representantes y el Estado</w:t>
      </w:r>
      <w:r w:rsidRPr="008E0075">
        <w:rPr>
          <w:rFonts w:ascii="Verdana" w:eastAsia="Verdana" w:hAnsi="Verdana" w:cs="Verdana"/>
          <w:sz w:val="20"/>
          <w:szCs w:val="20"/>
          <w:lang w:val="es-CR"/>
        </w:rPr>
        <w:t>. L</w:t>
      </w:r>
      <w:r w:rsidRPr="008E0075">
        <w:rPr>
          <w:rFonts w:ascii="Verdana" w:hAnsi="Verdana"/>
          <w:sz w:val="20"/>
          <w:szCs w:val="20"/>
          <w:lang w:val="es-CR"/>
        </w:rPr>
        <w:t xml:space="preserve">os mismos serán expuestos en el siguiente orden: A) </w:t>
      </w:r>
      <w:r w:rsidR="0025269E">
        <w:rPr>
          <w:rFonts w:ascii="Verdana" w:hAnsi="Verdana"/>
          <w:sz w:val="20"/>
          <w:szCs w:val="20"/>
          <w:lang w:val="es-CR"/>
        </w:rPr>
        <w:t>N</w:t>
      </w:r>
      <w:r w:rsidRPr="008E0075">
        <w:rPr>
          <w:rFonts w:ascii="Verdana" w:hAnsi="Verdana"/>
          <w:sz w:val="20"/>
          <w:szCs w:val="20"/>
          <w:lang w:val="es-CR"/>
        </w:rPr>
        <w:t>ormativa en Guatemala</w:t>
      </w:r>
      <w:r w:rsidR="0001156D">
        <w:rPr>
          <w:rFonts w:ascii="Verdana" w:hAnsi="Verdana"/>
          <w:sz w:val="20"/>
          <w:szCs w:val="20"/>
          <w:lang w:val="es-CR"/>
        </w:rPr>
        <w:t>,</w:t>
      </w:r>
      <w:r w:rsidRPr="008E0075">
        <w:rPr>
          <w:rFonts w:ascii="Verdana" w:hAnsi="Verdana"/>
          <w:sz w:val="20"/>
          <w:szCs w:val="20"/>
          <w:lang w:val="es-CR"/>
        </w:rPr>
        <w:t xml:space="preserve"> y B) </w:t>
      </w:r>
      <w:r w:rsidR="0025269E">
        <w:rPr>
          <w:rFonts w:ascii="Verdana" w:hAnsi="Verdana"/>
          <w:sz w:val="20"/>
          <w:szCs w:val="20"/>
          <w:lang w:val="es-CR"/>
        </w:rPr>
        <w:t>Proceso penal y ejecución</w:t>
      </w:r>
      <w:r w:rsidRPr="008E0075">
        <w:rPr>
          <w:rFonts w:ascii="Verdana" w:hAnsi="Verdana"/>
          <w:sz w:val="20"/>
          <w:szCs w:val="20"/>
          <w:lang w:val="es-CR"/>
        </w:rPr>
        <w:t xml:space="preserve"> de los señores Roberto Girón y Pedro Castillo.</w:t>
      </w:r>
    </w:p>
    <w:p w:rsidR="000615D6" w:rsidRPr="008E0075" w:rsidRDefault="000615D6" w:rsidP="000615D6">
      <w:pPr>
        <w:spacing w:after="0" w:line="240" w:lineRule="auto"/>
        <w:jc w:val="both"/>
        <w:rPr>
          <w:rFonts w:ascii="Verdana" w:eastAsia="Verdana" w:hAnsi="Verdana" w:cs="Verdana"/>
          <w:sz w:val="20"/>
          <w:szCs w:val="20"/>
          <w:lang w:val="es-CR"/>
        </w:rPr>
      </w:pPr>
    </w:p>
    <w:p w:rsidR="000615D6" w:rsidRPr="00A61525" w:rsidRDefault="000615D6" w:rsidP="000615D6">
      <w:pPr>
        <w:pStyle w:val="Ttulo2"/>
        <w:spacing w:before="0" w:line="240" w:lineRule="auto"/>
        <w:rPr>
          <w:rFonts w:ascii="Verdana" w:hAnsi="Verdana"/>
          <w:b/>
          <w:color w:val="auto"/>
          <w:sz w:val="20"/>
          <w:szCs w:val="20"/>
          <w:lang w:val="es-CR"/>
        </w:rPr>
      </w:pPr>
      <w:bookmarkStart w:id="35" w:name="_Toc24538830"/>
      <w:r w:rsidRPr="00A61525">
        <w:rPr>
          <w:rFonts w:ascii="Verdana" w:hAnsi="Verdana"/>
          <w:b/>
          <w:color w:val="auto"/>
          <w:sz w:val="20"/>
          <w:szCs w:val="20"/>
          <w:lang w:val="es-CR"/>
        </w:rPr>
        <w:t>A. Normativa en Guatemala</w:t>
      </w:r>
      <w:bookmarkEnd w:id="35"/>
    </w:p>
    <w:p w:rsidR="000615D6" w:rsidRPr="008E0075" w:rsidRDefault="000615D6" w:rsidP="000615D6">
      <w:pPr>
        <w:spacing w:after="0" w:line="240" w:lineRule="auto"/>
        <w:rPr>
          <w:lang w:val="es-CR"/>
        </w:rPr>
      </w:pPr>
    </w:p>
    <w:p w:rsidR="000615D6" w:rsidRPr="008E0075" w:rsidRDefault="000615D6" w:rsidP="000615D6">
      <w:pPr>
        <w:pStyle w:val="Prrafodelista"/>
        <w:spacing w:after="0" w:line="240" w:lineRule="auto"/>
        <w:ind w:left="990"/>
        <w:outlineLvl w:val="2"/>
        <w:rPr>
          <w:rFonts w:ascii="Verdana" w:eastAsia="Verdana" w:hAnsi="Verdana" w:cs="Verdana"/>
          <w:i/>
          <w:sz w:val="20"/>
          <w:szCs w:val="20"/>
          <w:lang w:val="es-CR"/>
        </w:rPr>
      </w:pPr>
      <w:bookmarkStart w:id="36" w:name="_Toc24538831"/>
      <w:r w:rsidRPr="008E0075">
        <w:rPr>
          <w:rFonts w:ascii="Verdana" w:eastAsia="Verdana" w:hAnsi="Verdana" w:cs="Verdana"/>
          <w:i/>
          <w:sz w:val="20"/>
          <w:szCs w:val="20"/>
          <w:lang w:val="es-CR"/>
        </w:rPr>
        <w:t>A.1. Normas vigentes en Guatemala al momento de los hechos:</w:t>
      </w:r>
      <w:bookmarkEnd w:id="36"/>
    </w:p>
    <w:p w:rsidR="000615D6" w:rsidRPr="008E0075" w:rsidRDefault="000615D6" w:rsidP="000615D6">
      <w:pPr>
        <w:spacing w:after="0" w:line="240" w:lineRule="auto"/>
        <w:jc w:val="both"/>
        <w:rPr>
          <w:rFonts w:ascii="Verdana" w:eastAsia="Verdana" w:hAnsi="Verdana" w:cs="Verdana"/>
          <w:sz w:val="20"/>
          <w:szCs w:val="20"/>
          <w:lang w:val="es-CR"/>
        </w:rPr>
      </w:pPr>
    </w:p>
    <w:p w:rsidR="00633E99" w:rsidRPr="008E0075" w:rsidRDefault="0013597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hAnsi="Verdana"/>
          <w:sz w:val="20"/>
          <w:szCs w:val="20"/>
          <w:lang w:val="es-CR"/>
        </w:rPr>
        <w:t>El artículo 18 de la Constitución de Guatemala reconoce la posibilidad de que se aplique la pena de muerte</w:t>
      </w:r>
      <w:r w:rsidRPr="008E0075">
        <w:rPr>
          <w:rStyle w:val="Refdenotaalpie"/>
          <w:rFonts w:ascii="Verdana" w:hAnsi="Verdana"/>
          <w:sz w:val="20"/>
          <w:szCs w:val="20"/>
        </w:rPr>
        <w:footnoteReference w:id="14"/>
      </w:r>
      <w:r w:rsidRPr="008E0075">
        <w:rPr>
          <w:rFonts w:ascii="Verdana" w:hAnsi="Verdana"/>
          <w:sz w:val="20"/>
          <w:szCs w:val="20"/>
          <w:lang w:val="es-CR"/>
        </w:rPr>
        <w:t>. El artículo 43 del</w:t>
      </w:r>
      <w:r w:rsidR="001F3CA3">
        <w:rPr>
          <w:rFonts w:ascii="Verdana" w:hAnsi="Verdana"/>
          <w:sz w:val="20"/>
          <w:szCs w:val="20"/>
          <w:lang w:val="es-CR"/>
        </w:rPr>
        <w:t xml:space="preserve"> </w:t>
      </w:r>
      <w:r w:rsidR="001F3CA3" w:rsidRPr="008B7E32">
        <w:rPr>
          <w:rFonts w:ascii="Verdana" w:hAnsi="Verdana"/>
          <w:w w:val="106"/>
          <w:sz w:val="20"/>
          <w:szCs w:val="20"/>
          <w:lang w:val="es-MX"/>
        </w:rPr>
        <w:t>(Decreto No. 17-73)</w:t>
      </w:r>
      <w:r w:rsidR="001F3CA3">
        <w:rPr>
          <w:rFonts w:ascii="Verdana" w:hAnsi="Verdana"/>
          <w:w w:val="106"/>
          <w:sz w:val="20"/>
          <w:szCs w:val="20"/>
          <w:lang w:val="es-MX"/>
        </w:rPr>
        <w:t xml:space="preserve"> </w:t>
      </w:r>
      <w:r w:rsidRPr="008E0075">
        <w:rPr>
          <w:rFonts w:ascii="Verdana" w:hAnsi="Verdana"/>
          <w:sz w:val="20"/>
          <w:szCs w:val="20"/>
          <w:lang w:val="es-CR"/>
        </w:rPr>
        <w:t xml:space="preserve">Código Penal </w:t>
      </w:r>
      <w:r w:rsidR="001F3CA3">
        <w:rPr>
          <w:rFonts w:ascii="Verdana" w:hAnsi="Verdana"/>
          <w:sz w:val="20"/>
          <w:szCs w:val="20"/>
          <w:lang w:val="es-CR"/>
        </w:rPr>
        <w:t xml:space="preserve">de la República de </w:t>
      </w:r>
      <w:r w:rsidR="001F3CA3">
        <w:rPr>
          <w:rFonts w:ascii="Verdana" w:hAnsi="Verdana"/>
          <w:sz w:val="20"/>
          <w:szCs w:val="20"/>
          <w:lang w:val="es-CR"/>
        </w:rPr>
        <w:lastRenderedPageBreak/>
        <w:t xml:space="preserve">Guatemala (en adelante Código Penal) </w:t>
      </w:r>
      <w:r w:rsidRPr="008E0075">
        <w:rPr>
          <w:rFonts w:ascii="Verdana" w:hAnsi="Verdana"/>
          <w:sz w:val="20"/>
          <w:szCs w:val="20"/>
          <w:lang w:val="es-CR"/>
        </w:rPr>
        <w:t>establece que la pena de muerte “tiene carácter extraordinario y solo podrá aplicarse en los casos expresamente consignados en la ley y no se ejecutará, sino después de agotarse todos los recursos legales”</w:t>
      </w:r>
      <w:r w:rsidRPr="008E0075">
        <w:rPr>
          <w:rStyle w:val="Refdenotaalpie"/>
          <w:rFonts w:ascii="Verdana" w:hAnsi="Verdana"/>
          <w:sz w:val="20"/>
          <w:szCs w:val="20"/>
        </w:rPr>
        <w:footnoteReference w:id="15"/>
      </w:r>
      <w:r w:rsidRPr="008E0075">
        <w:rPr>
          <w:rFonts w:ascii="Verdana" w:hAnsi="Verdana"/>
          <w:sz w:val="20"/>
          <w:szCs w:val="20"/>
          <w:lang w:val="es-CR"/>
        </w:rPr>
        <w:t>.</w:t>
      </w:r>
      <w:r w:rsidRPr="008E0075">
        <w:rPr>
          <w:rFonts w:ascii="Verdana" w:eastAsia="Verdana" w:hAnsi="Verdana" w:cs="Verdana"/>
          <w:b/>
          <w:sz w:val="20"/>
          <w:szCs w:val="20"/>
          <w:lang w:val="es-CR"/>
        </w:rPr>
        <w:t xml:space="preserve">  </w:t>
      </w:r>
    </w:p>
    <w:p w:rsidR="00633E99" w:rsidRPr="008E0075" w:rsidRDefault="00633E99" w:rsidP="000615D6">
      <w:pPr>
        <w:pStyle w:val="Prrafodelista"/>
        <w:spacing w:after="0" w:line="240" w:lineRule="auto"/>
        <w:ind w:left="0"/>
        <w:jc w:val="both"/>
        <w:rPr>
          <w:rFonts w:ascii="Verdana" w:eastAsia="Verdana" w:hAnsi="Verdana" w:cs="Verdana"/>
          <w:sz w:val="20"/>
          <w:szCs w:val="20"/>
          <w:lang w:val="es-CR"/>
        </w:rPr>
      </w:pPr>
    </w:p>
    <w:p w:rsidR="00633E99" w:rsidRPr="008E0075" w:rsidRDefault="0013597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eastAsia="Verdana" w:hAnsi="Verdana" w:cs="Verdana"/>
          <w:sz w:val="20"/>
          <w:szCs w:val="20"/>
          <w:lang w:val="es-CR"/>
        </w:rPr>
        <w:t>El artículo 175 del Código Penal vigente en 1993 tipificaba el delito de violación calificada en los siguientes términos:</w:t>
      </w:r>
    </w:p>
    <w:p w:rsidR="00633E99" w:rsidRPr="008E0075" w:rsidRDefault="00633E99" w:rsidP="000615D6">
      <w:pPr>
        <w:pStyle w:val="Prrafodelista"/>
        <w:spacing w:after="0" w:line="240" w:lineRule="auto"/>
        <w:rPr>
          <w:rFonts w:ascii="Verdana" w:hAnsi="Verdana" w:cs="Times New Roman"/>
          <w:sz w:val="20"/>
          <w:szCs w:val="20"/>
          <w:lang w:val="es-CR"/>
        </w:rPr>
      </w:pPr>
    </w:p>
    <w:p w:rsidR="00633E99" w:rsidRPr="008E0075" w:rsidRDefault="0013597F" w:rsidP="000615D6">
      <w:pPr>
        <w:pStyle w:val="Prrafodelista"/>
        <w:spacing w:after="0" w:line="240" w:lineRule="auto"/>
        <w:ind w:right="720"/>
        <w:jc w:val="both"/>
        <w:rPr>
          <w:rFonts w:ascii="Verdana" w:eastAsia="Verdana" w:hAnsi="Verdana" w:cs="Verdana"/>
          <w:b/>
          <w:sz w:val="16"/>
          <w:szCs w:val="20"/>
          <w:lang w:val="es-CR"/>
        </w:rPr>
      </w:pPr>
      <w:r w:rsidRPr="008E0075">
        <w:rPr>
          <w:rFonts w:ascii="Verdana" w:hAnsi="Verdana" w:cs="Times New Roman"/>
          <w:sz w:val="16"/>
          <w:szCs w:val="20"/>
          <w:lang w:val="es-CR"/>
        </w:rPr>
        <w:t>Si con motivo o a consecuencia de la violación, resultare la mue</w:t>
      </w:r>
      <w:r w:rsidR="00633E99" w:rsidRPr="008E0075">
        <w:rPr>
          <w:rFonts w:ascii="Verdana" w:hAnsi="Verdana" w:cs="Times New Roman"/>
          <w:sz w:val="16"/>
          <w:szCs w:val="20"/>
          <w:lang w:val="es-CR"/>
        </w:rPr>
        <w:t xml:space="preserve">rte de la ofendida, se impondrá </w:t>
      </w:r>
      <w:r w:rsidRPr="008E0075">
        <w:rPr>
          <w:rFonts w:ascii="Verdana" w:hAnsi="Verdana" w:cs="Times New Roman"/>
          <w:sz w:val="16"/>
          <w:szCs w:val="20"/>
          <w:lang w:val="es-CR"/>
        </w:rPr>
        <w:t xml:space="preserve">prisión de veinte a treinta años. Se impondrá la pena de muerte, si la víctima </w:t>
      </w:r>
      <w:r w:rsidR="00633E99" w:rsidRPr="008E0075">
        <w:rPr>
          <w:rFonts w:ascii="Verdana" w:hAnsi="Verdana" w:cs="Times New Roman"/>
          <w:sz w:val="16"/>
          <w:szCs w:val="20"/>
          <w:lang w:val="es-CR"/>
        </w:rPr>
        <w:t xml:space="preserve">no hubiere cumplido </w:t>
      </w:r>
      <w:r w:rsidRPr="008E0075">
        <w:rPr>
          <w:rFonts w:ascii="Verdana" w:hAnsi="Verdana" w:cs="Times New Roman"/>
          <w:sz w:val="16"/>
          <w:szCs w:val="20"/>
          <w:lang w:val="es-CR"/>
        </w:rPr>
        <w:t>diez años de edad</w:t>
      </w:r>
      <w:r w:rsidRPr="008E0075">
        <w:rPr>
          <w:rStyle w:val="Refdenotaalpie"/>
          <w:rFonts w:ascii="Verdana" w:hAnsi="Verdana" w:cs="Times New Roman"/>
          <w:sz w:val="16"/>
          <w:szCs w:val="20"/>
          <w:lang w:val="es-CR"/>
        </w:rPr>
        <w:footnoteReference w:id="16"/>
      </w:r>
      <w:r w:rsidRPr="008E0075">
        <w:rPr>
          <w:rFonts w:ascii="Verdana" w:hAnsi="Verdana" w:cs="Times New Roman"/>
          <w:sz w:val="16"/>
          <w:szCs w:val="20"/>
          <w:lang w:val="es-CR"/>
        </w:rPr>
        <w:t>.</w:t>
      </w:r>
      <w:r w:rsidRPr="008E0075">
        <w:rPr>
          <w:rFonts w:ascii="Verdana" w:eastAsia="Verdana" w:hAnsi="Verdana" w:cs="Verdana"/>
          <w:i/>
          <w:sz w:val="16"/>
          <w:szCs w:val="20"/>
          <w:lang w:val="es-CR"/>
        </w:rPr>
        <w:t xml:space="preserve"> </w:t>
      </w:r>
    </w:p>
    <w:p w:rsidR="00633E99" w:rsidRPr="008E0075" w:rsidRDefault="00633E99" w:rsidP="000615D6">
      <w:pPr>
        <w:pStyle w:val="Prrafodelista"/>
        <w:spacing w:after="0" w:line="240" w:lineRule="auto"/>
        <w:jc w:val="both"/>
        <w:rPr>
          <w:rFonts w:ascii="Verdana" w:eastAsia="Verdana" w:hAnsi="Verdana" w:cs="Verdana"/>
          <w:b/>
          <w:sz w:val="20"/>
          <w:szCs w:val="20"/>
          <w:lang w:val="es-CR"/>
        </w:rPr>
      </w:pPr>
    </w:p>
    <w:p w:rsidR="00633E99" w:rsidRPr="008E0075" w:rsidRDefault="0013597F" w:rsidP="000615D6">
      <w:pPr>
        <w:pStyle w:val="Prrafodelista"/>
        <w:numPr>
          <w:ilvl w:val="0"/>
          <w:numId w:val="3"/>
        </w:numPr>
        <w:spacing w:after="0" w:line="240" w:lineRule="auto"/>
        <w:ind w:left="0" w:firstLine="0"/>
        <w:jc w:val="both"/>
        <w:rPr>
          <w:rFonts w:ascii="Verdana" w:eastAsia="Verdana" w:hAnsi="Verdana" w:cs="Verdana"/>
          <w:sz w:val="20"/>
          <w:szCs w:val="20"/>
          <w:lang w:val="es-CR"/>
        </w:rPr>
      </w:pPr>
      <w:r w:rsidRPr="008E0075">
        <w:rPr>
          <w:rFonts w:ascii="Verdana" w:eastAsia="Verdana" w:hAnsi="Verdana" w:cs="Verdana"/>
          <w:sz w:val="20"/>
          <w:szCs w:val="20"/>
          <w:lang w:val="es-CR"/>
        </w:rPr>
        <w:t>Por medio del Decreto No. 20-96, el cual cobró vigencia en mayo de 1996, se modificó dicho tipo penal en los siguientes términos:</w:t>
      </w:r>
    </w:p>
    <w:p w:rsidR="00633E99" w:rsidRPr="008E0075" w:rsidRDefault="00633E99" w:rsidP="000615D6">
      <w:pPr>
        <w:pStyle w:val="Prrafodelista"/>
        <w:spacing w:after="0" w:line="240" w:lineRule="auto"/>
        <w:ind w:left="0" w:right="720"/>
        <w:jc w:val="both"/>
        <w:rPr>
          <w:rFonts w:ascii="Verdana" w:eastAsia="Verdana" w:hAnsi="Verdana" w:cs="Verdana"/>
          <w:sz w:val="20"/>
          <w:szCs w:val="20"/>
          <w:lang w:val="es-CR"/>
        </w:rPr>
      </w:pPr>
    </w:p>
    <w:p w:rsidR="00B64229" w:rsidRDefault="0013597F" w:rsidP="000615D6">
      <w:pPr>
        <w:pStyle w:val="Prrafodelista"/>
        <w:spacing w:after="0" w:line="240" w:lineRule="auto"/>
        <w:ind w:right="720"/>
        <w:jc w:val="both"/>
        <w:rPr>
          <w:rFonts w:ascii="Verdana" w:eastAsia="Verdana" w:hAnsi="Verdana" w:cs="Verdana"/>
          <w:sz w:val="16"/>
          <w:szCs w:val="20"/>
          <w:lang w:val="es-CR"/>
        </w:rPr>
      </w:pPr>
      <w:r w:rsidRPr="008E0075">
        <w:rPr>
          <w:rFonts w:ascii="Verdana" w:eastAsia="Verdana" w:hAnsi="Verdana" w:cs="Verdana"/>
          <w:sz w:val="16"/>
          <w:szCs w:val="20"/>
          <w:lang w:val="es-CR"/>
        </w:rPr>
        <w:t>Si con motivo o a consecuencia de la violación, resultare la muerte de la ofendida, se impondrá prisión de 30 a 50 años.</w:t>
      </w:r>
    </w:p>
    <w:p w:rsidR="0013597F" w:rsidRPr="008E0075" w:rsidRDefault="0013597F" w:rsidP="000615D6">
      <w:pPr>
        <w:pStyle w:val="Prrafodelista"/>
        <w:spacing w:after="0" w:line="240" w:lineRule="auto"/>
        <w:ind w:right="720"/>
        <w:jc w:val="both"/>
        <w:rPr>
          <w:rFonts w:ascii="Verdana" w:eastAsia="Verdana" w:hAnsi="Verdana" w:cs="Verdana"/>
          <w:sz w:val="16"/>
          <w:szCs w:val="20"/>
          <w:lang w:val="es-CR"/>
        </w:rPr>
      </w:pPr>
      <w:r w:rsidRPr="008E0075">
        <w:rPr>
          <w:rFonts w:ascii="Verdana" w:eastAsia="Verdana" w:hAnsi="Verdana" w:cs="Verdana"/>
          <w:sz w:val="16"/>
          <w:szCs w:val="20"/>
          <w:lang w:val="es-CR"/>
        </w:rPr>
        <w:t>Se impondrá la pena de muerte, si la víctima no hubie</w:t>
      </w:r>
      <w:r w:rsidR="003367EB" w:rsidRPr="008E0075">
        <w:rPr>
          <w:rFonts w:ascii="Verdana" w:eastAsia="Verdana" w:hAnsi="Verdana" w:cs="Verdana"/>
          <w:sz w:val="16"/>
          <w:szCs w:val="20"/>
          <w:lang w:val="es-CR"/>
        </w:rPr>
        <w:t>ra cumplido los 10 años de edad</w:t>
      </w:r>
      <w:r w:rsidRPr="008E0075">
        <w:rPr>
          <w:rStyle w:val="Refdenotaalpie"/>
          <w:rFonts w:ascii="Verdana" w:eastAsia="Verdana" w:hAnsi="Verdana" w:cs="Verdana"/>
          <w:sz w:val="16"/>
          <w:szCs w:val="20"/>
        </w:rPr>
        <w:footnoteReference w:id="17"/>
      </w:r>
      <w:r w:rsidR="003367EB" w:rsidRPr="008E0075">
        <w:rPr>
          <w:rFonts w:ascii="Verdana" w:eastAsia="Verdana" w:hAnsi="Verdana" w:cs="Verdana"/>
          <w:sz w:val="16"/>
          <w:szCs w:val="20"/>
          <w:lang w:val="es-CR"/>
        </w:rPr>
        <w:t>.</w:t>
      </w:r>
    </w:p>
    <w:p w:rsidR="00633E99" w:rsidRPr="008E0075" w:rsidRDefault="00633E99" w:rsidP="000615D6">
      <w:pPr>
        <w:spacing w:after="0" w:line="240" w:lineRule="auto"/>
        <w:jc w:val="both"/>
        <w:rPr>
          <w:rFonts w:ascii="Verdana" w:hAnsi="Verdana"/>
          <w:sz w:val="20"/>
          <w:szCs w:val="20"/>
          <w:lang w:val="es-CR"/>
        </w:rPr>
      </w:pPr>
    </w:p>
    <w:p w:rsidR="0001156D" w:rsidRPr="0001156D" w:rsidRDefault="0013597F" w:rsidP="00BC036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hAnsi="Verdana"/>
          <w:sz w:val="20"/>
          <w:szCs w:val="20"/>
        </w:rPr>
        <w:t>La pena de muerte en Guatemala era aplicada ocasionalmente hasta la década de los noventa. Sin embargo, a partir de 1996</w:t>
      </w:r>
      <w:r w:rsidRPr="008E0075">
        <w:rPr>
          <w:rStyle w:val="Refdenotaalpie"/>
          <w:rFonts w:ascii="Verdana" w:hAnsi="Verdana"/>
          <w:sz w:val="20"/>
          <w:szCs w:val="20"/>
        </w:rPr>
        <w:footnoteReference w:id="18"/>
      </w:r>
      <w:r w:rsidRPr="008E0075">
        <w:rPr>
          <w:rFonts w:ascii="Verdana" w:hAnsi="Verdana"/>
          <w:sz w:val="20"/>
          <w:szCs w:val="20"/>
        </w:rPr>
        <w:t xml:space="preserve"> el Estado volvió a aplicarla primero por medio de fusilamiento, conforme al Decreto No. 234 del Congreso de la República</w:t>
      </w:r>
      <w:r w:rsidRPr="008E0075">
        <w:rPr>
          <w:rStyle w:val="Refdenotaalpie"/>
          <w:rFonts w:ascii="Verdana" w:hAnsi="Verdana"/>
          <w:sz w:val="20"/>
          <w:szCs w:val="20"/>
        </w:rPr>
        <w:footnoteReference w:id="19"/>
      </w:r>
      <w:r w:rsidRPr="008E0075">
        <w:rPr>
          <w:rFonts w:ascii="Verdana" w:hAnsi="Verdana"/>
          <w:sz w:val="20"/>
          <w:szCs w:val="20"/>
        </w:rPr>
        <w:t>, y luego a través de inyección letal, después que el Decreto No. 234 fue derogado por el Decreto No. 100-96 de noviembre de 1996, mediante el cual se estableció este nuevo método de ejecución</w:t>
      </w:r>
      <w:r w:rsidRPr="008E0075">
        <w:rPr>
          <w:rStyle w:val="Refdenotaalpie"/>
          <w:rFonts w:ascii="Verdana" w:hAnsi="Verdana"/>
          <w:sz w:val="20"/>
          <w:szCs w:val="20"/>
        </w:rPr>
        <w:footnoteReference w:id="20"/>
      </w:r>
      <w:r w:rsidRPr="008E0075">
        <w:rPr>
          <w:rFonts w:ascii="Verdana" w:hAnsi="Verdana"/>
          <w:sz w:val="20"/>
          <w:szCs w:val="20"/>
        </w:rPr>
        <w:t xml:space="preserve">.  </w:t>
      </w:r>
    </w:p>
    <w:p w:rsidR="0001156D" w:rsidRPr="0001156D" w:rsidRDefault="0001156D" w:rsidP="0001156D">
      <w:pPr>
        <w:pStyle w:val="Normal1"/>
        <w:widowControl/>
        <w:tabs>
          <w:tab w:val="left" w:pos="0"/>
        </w:tabs>
        <w:contextualSpacing/>
        <w:jc w:val="both"/>
        <w:rPr>
          <w:rFonts w:ascii="Verdana" w:eastAsia="Verdana" w:hAnsi="Verdana" w:cs="Verdana"/>
          <w:sz w:val="20"/>
          <w:szCs w:val="20"/>
        </w:rPr>
      </w:pPr>
    </w:p>
    <w:p w:rsidR="002077F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eastAsia="Verdana" w:hAnsi="Verdana" w:cs="Verdana"/>
          <w:sz w:val="20"/>
          <w:szCs w:val="20"/>
        </w:rPr>
        <w:t xml:space="preserve">El Decreto No. 159 de 19 de abril de 1892 de la Asamblea Nacional Legislativa contemplaba el recurso de gracia, como último recurso disponible en la legislación guatemalteca para conceder indulto o conmutación de la pena y reglamentaba el procedimiento para hacerlos efectivos. El 1 de junio de 2000 el referido Decreto No. 159 fue </w:t>
      </w:r>
      <w:r w:rsidRPr="008E0075">
        <w:rPr>
          <w:rFonts w:ascii="Verdana" w:eastAsia="Verdana" w:hAnsi="Verdana" w:cs="Verdana"/>
          <w:sz w:val="20"/>
          <w:szCs w:val="20"/>
        </w:rPr>
        <w:lastRenderedPageBreak/>
        <w:t>derogado por el Congreso de la República de Guatemala mediante el Decreto Legislativo No. 32-2000</w:t>
      </w:r>
      <w:r w:rsidRPr="008E0075">
        <w:rPr>
          <w:rStyle w:val="Refdenotaalpie"/>
          <w:rFonts w:ascii="Verdana" w:eastAsia="Verdana" w:hAnsi="Verdana" w:cs="Verdana"/>
          <w:sz w:val="20"/>
          <w:szCs w:val="20"/>
        </w:rPr>
        <w:footnoteReference w:id="21"/>
      </w:r>
      <w:r w:rsidRPr="008E0075">
        <w:rPr>
          <w:rFonts w:ascii="Verdana" w:eastAsia="Verdana" w:hAnsi="Verdana" w:cs="Verdana"/>
          <w:sz w:val="20"/>
          <w:szCs w:val="20"/>
        </w:rPr>
        <w:t xml:space="preserve">. </w:t>
      </w:r>
    </w:p>
    <w:p w:rsidR="002077F5" w:rsidRPr="008E0075" w:rsidRDefault="002077F5" w:rsidP="002077F5">
      <w:pPr>
        <w:pStyle w:val="Normal1"/>
        <w:widowControl/>
        <w:tabs>
          <w:tab w:val="left" w:pos="0"/>
        </w:tabs>
        <w:contextualSpacing/>
        <w:jc w:val="both"/>
        <w:rPr>
          <w:rFonts w:ascii="Verdana" w:eastAsia="Verdana" w:hAnsi="Verdana" w:cs="Verdana"/>
          <w:b/>
          <w:sz w:val="16"/>
          <w:szCs w:val="16"/>
        </w:rPr>
      </w:pPr>
    </w:p>
    <w:p w:rsidR="002077F5" w:rsidRPr="008E0075" w:rsidRDefault="002077F5" w:rsidP="002077F5">
      <w:pPr>
        <w:pStyle w:val="Ttulo3"/>
        <w:ind w:firstLine="191"/>
        <w:rPr>
          <w:rFonts w:eastAsia="Verdana" w:cs="Verdana"/>
          <w:b w:val="0"/>
          <w:szCs w:val="20"/>
          <w:lang w:val="es-CR"/>
        </w:rPr>
      </w:pPr>
      <w:bookmarkStart w:id="37" w:name="_Toc24538832"/>
      <w:r w:rsidRPr="008E0075">
        <w:rPr>
          <w:rFonts w:eastAsia="Verdana" w:cs="Verdana"/>
          <w:b w:val="0"/>
          <w:szCs w:val="20"/>
          <w:lang w:val="es-CR"/>
        </w:rPr>
        <w:t>A.2. Regulación respecto la designación de defensa</w:t>
      </w:r>
      <w:bookmarkEnd w:id="37"/>
    </w:p>
    <w:p w:rsidR="002077F5" w:rsidRPr="008E0075" w:rsidRDefault="002077F5" w:rsidP="002077F5">
      <w:pPr>
        <w:pStyle w:val="Normal1"/>
        <w:widowControl/>
        <w:tabs>
          <w:tab w:val="left" w:pos="0"/>
        </w:tabs>
        <w:contextualSpacing/>
        <w:jc w:val="both"/>
        <w:rPr>
          <w:rFonts w:ascii="Verdana" w:eastAsia="Verdana" w:hAnsi="Verdana" w:cs="Verdana"/>
          <w:sz w:val="20"/>
          <w:szCs w:val="20"/>
        </w:rPr>
      </w:pPr>
    </w:p>
    <w:p w:rsidR="00443956" w:rsidRPr="008E0075" w:rsidRDefault="007E32D9"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Pr>
          <w:rFonts w:ascii="Verdana" w:hAnsi="Verdana"/>
          <w:sz w:val="20"/>
          <w:szCs w:val="20"/>
        </w:rPr>
        <w:t xml:space="preserve">Con </w:t>
      </w:r>
      <w:r w:rsidR="0013597F" w:rsidRPr="008E0075">
        <w:rPr>
          <w:rFonts w:ascii="Verdana" w:hAnsi="Verdana"/>
          <w:sz w:val="20"/>
          <w:szCs w:val="20"/>
        </w:rPr>
        <w:t xml:space="preserve">relación </w:t>
      </w:r>
      <w:r>
        <w:rPr>
          <w:rFonts w:ascii="Verdana" w:hAnsi="Verdana"/>
          <w:sz w:val="20"/>
          <w:szCs w:val="20"/>
        </w:rPr>
        <w:t>en</w:t>
      </w:r>
      <w:r w:rsidR="0013597F" w:rsidRPr="008E0075">
        <w:rPr>
          <w:rFonts w:ascii="Verdana" w:hAnsi="Verdana"/>
          <w:sz w:val="20"/>
          <w:szCs w:val="20"/>
        </w:rPr>
        <w:t xml:space="preserve"> la posibilidad del imputado de contar con un abogado defensor, el artículo 144 del Código Procesal Penal</w:t>
      </w:r>
      <w:r w:rsidR="00A75B0F" w:rsidRPr="008E0075">
        <w:rPr>
          <w:rFonts w:ascii="Verdana" w:hAnsi="Verdana"/>
          <w:sz w:val="20"/>
          <w:szCs w:val="20"/>
        </w:rPr>
        <w:t xml:space="preserve"> </w:t>
      </w:r>
      <w:r w:rsidR="00A75B0F" w:rsidRPr="00C62653">
        <w:rPr>
          <w:rFonts w:ascii="Verdana" w:hAnsi="Verdana"/>
          <w:sz w:val="20"/>
          <w:szCs w:val="20"/>
        </w:rPr>
        <w:t>establecía</w:t>
      </w:r>
      <w:r w:rsidR="00A75B0F" w:rsidRPr="008E0075">
        <w:rPr>
          <w:rFonts w:ascii="Verdana" w:hAnsi="Verdana"/>
          <w:sz w:val="20"/>
          <w:szCs w:val="20"/>
        </w:rPr>
        <w:t xml:space="preserve"> lo siguiente</w:t>
      </w:r>
      <w:r w:rsidR="0013597F" w:rsidRPr="008E0075">
        <w:rPr>
          <w:rFonts w:ascii="Verdana" w:hAnsi="Verdana"/>
          <w:sz w:val="20"/>
          <w:szCs w:val="20"/>
        </w:rPr>
        <w:t>:</w:t>
      </w:r>
    </w:p>
    <w:p w:rsidR="00443956" w:rsidRPr="008E0075" w:rsidRDefault="00443956" w:rsidP="000615D6">
      <w:pPr>
        <w:pStyle w:val="Normal1"/>
        <w:widowControl/>
        <w:tabs>
          <w:tab w:val="left" w:pos="0"/>
        </w:tabs>
        <w:contextualSpacing/>
        <w:jc w:val="both"/>
        <w:rPr>
          <w:rFonts w:ascii="Verdana" w:eastAsia="Verdana" w:hAnsi="Verdana" w:cs="Verdana"/>
          <w:sz w:val="20"/>
          <w:szCs w:val="20"/>
        </w:rPr>
      </w:pPr>
    </w:p>
    <w:p w:rsidR="00443956" w:rsidRPr="008E0075" w:rsidRDefault="0013597F" w:rsidP="000615D6">
      <w:pPr>
        <w:pStyle w:val="Normal1"/>
        <w:widowControl/>
        <w:tabs>
          <w:tab w:val="left" w:pos="0"/>
        </w:tabs>
        <w:ind w:left="720" w:right="720"/>
        <w:contextualSpacing/>
        <w:jc w:val="both"/>
        <w:rPr>
          <w:rFonts w:ascii="Verdana" w:hAnsi="Verdana"/>
          <w:b/>
          <w:sz w:val="16"/>
          <w:szCs w:val="20"/>
        </w:rPr>
      </w:pPr>
      <w:r w:rsidRPr="008E0075">
        <w:rPr>
          <w:rFonts w:ascii="Verdana" w:hAnsi="Verdana"/>
          <w:sz w:val="16"/>
          <w:szCs w:val="20"/>
        </w:rPr>
        <w:t>El procesado puede asistirse de abogado desde el momento en que preste declaración indagatoria. E</w:t>
      </w:r>
      <w:r w:rsidR="00914C89">
        <w:rPr>
          <w:rFonts w:ascii="Verdana" w:hAnsi="Verdana"/>
          <w:sz w:val="16"/>
          <w:szCs w:val="20"/>
        </w:rPr>
        <w:t>n esta diligencia deberá propon</w:t>
      </w:r>
      <w:r w:rsidRPr="008E0075">
        <w:rPr>
          <w:rFonts w:ascii="Verdana" w:hAnsi="Verdana"/>
          <w:sz w:val="16"/>
          <w:szCs w:val="20"/>
        </w:rPr>
        <w:t>er defensor y, si no lo hiciera, será advertido de que, dentro de los cinco días siguientes, deberá hacerlo […]</w:t>
      </w:r>
      <w:r w:rsidRPr="008E0075">
        <w:rPr>
          <w:rStyle w:val="Refdenotaalpie"/>
          <w:rFonts w:ascii="Verdana" w:hAnsi="Verdana"/>
          <w:sz w:val="16"/>
          <w:szCs w:val="20"/>
        </w:rPr>
        <w:footnoteReference w:id="22"/>
      </w:r>
      <w:r w:rsidR="003367EB" w:rsidRPr="008E0075">
        <w:rPr>
          <w:rFonts w:ascii="Verdana" w:hAnsi="Verdana"/>
          <w:sz w:val="16"/>
          <w:szCs w:val="20"/>
        </w:rPr>
        <w:t xml:space="preserve">. </w:t>
      </w:r>
    </w:p>
    <w:p w:rsidR="00443956" w:rsidRPr="008E0075" w:rsidRDefault="00443956" w:rsidP="000615D6">
      <w:pPr>
        <w:pStyle w:val="Normal1"/>
        <w:widowControl/>
        <w:tabs>
          <w:tab w:val="left" w:pos="0"/>
        </w:tabs>
        <w:ind w:left="720"/>
        <w:contextualSpacing/>
        <w:jc w:val="both"/>
        <w:rPr>
          <w:rFonts w:ascii="Verdana" w:hAnsi="Verdana"/>
          <w:b/>
          <w:sz w:val="16"/>
          <w:szCs w:val="20"/>
        </w:rPr>
      </w:pPr>
    </w:p>
    <w:p w:rsidR="00443956" w:rsidRPr="008E0075" w:rsidRDefault="0013597F" w:rsidP="000615D6">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eastAsia="Verdana" w:hAnsi="Verdana" w:cs="Verdana"/>
          <w:sz w:val="20"/>
          <w:szCs w:val="20"/>
        </w:rPr>
        <w:t>El artículo 154 del Código Procesal Penal con respecto a este punto establecía lo siguiente:</w:t>
      </w:r>
    </w:p>
    <w:p w:rsidR="00443956" w:rsidRPr="008E0075" w:rsidRDefault="00443956" w:rsidP="000615D6">
      <w:pPr>
        <w:pStyle w:val="Normal1"/>
        <w:widowControl/>
        <w:tabs>
          <w:tab w:val="left" w:pos="0"/>
        </w:tabs>
        <w:contextualSpacing/>
        <w:jc w:val="both"/>
        <w:rPr>
          <w:rFonts w:ascii="Verdana" w:eastAsia="Verdana" w:hAnsi="Verdana" w:cs="Verdana"/>
          <w:sz w:val="20"/>
          <w:szCs w:val="20"/>
        </w:rPr>
      </w:pPr>
    </w:p>
    <w:p w:rsidR="0013597F" w:rsidRPr="008E0075" w:rsidRDefault="00914C89" w:rsidP="000615D6">
      <w:pPr>
        <w:pStyle w:val="Normal1"/>
        <w:widowControl/>
        <w:tabs>
          <w:tab w:val="left" w:pos="0"/>
        </w:tabs>
        <w:ind w:left="720" w:right="720"/>
        <w:contextualSpacing/>
        <w:jc w:val="both"/>
        <w:rPr>
          <w:rFonts w:ascii="Verdana" w:eastAsia="Verdana" w:hAnsi="Verdana" w:cs="Verdana"/>
          <w:sz w:val="20"/>
          <w:szCs w:val="20"/>
        </w:rPr>
      </w:pPr>
      <w:r>
        <w:rPr>
          <w:rFonts w:ascii="Verdana" w:eastAsia="Verdana" w:hAnsi="Verdana" w:cs="Verdana"/>
          <w:sz w:val="16"/>
          <w:szCs w:val="20"/>
        </w:rPr>
        <w:t>P</w:t>
      </w:r>
      <w:r w:rsidR="0013597F" w:rsidRPr="008E0075">
        <w:rPr>
          <w:rFonts w:ascii="Verdana" w:eastAsia="Verdana" w:hAnsi="Verdana" w:cs="Verdana"/>
          <w:sz w:val="16"/>
          <w:szCs w:val="20"/>
        </w:rPr>
        <w:t>odrá el juez también designar como defensores a pasantes de bufetes o estudios jurídicos de las universidades del país, bufetes o estudios que, para ese efecto, enviarán listas a la Presidencia</w:t>
      </w:r>
      <w:r w:rsidR="00A55831">
        <w:rPr>
          <w:rFonts w:ascii="Verdana" w:eastAsia="Verdana" w:hAnsi="Verdana" w:cs="Verdana"/>
          <w:sz w:val="16"/>
          <w:szCs w:val="20"/>
        </w:rPr>
        <w:t xml:space="preserve"> del Organismo Judicial. Estas l</w:t>
      </w:r>
      <w:r w:rsidR="0013597F" w:rsidRPr="008E0075">
        <w:rPr>
          <w:rFonts w:ascii="Verdana" w:eastAsia="Verdana" w:hAnsi="Verdana" w:cs="Verdana"/>
          <w:sz w:val="16"/>
          <w:szCs w:val="20"/>
        </w:rPr>
        <w:t>istas se actualizarán anualmente</w:t>
      </w:r>
      <w:r w:rsidR="0013597F" w:rsidRPr="008E0075">
        <w:rPr>
          <w:rStyle w:val="Refdenotaalpie"/>
          <w:rFonts w:ascii="Verdana" w:eastAsia="Verdana" w:hAnsi="Verdana" w:cs="Verdana"/>
          <w:sz w:val="16"/>
          <w:szCs w:val="20"/>
        </w:rPr>
        <w:footnoteReference w:id="23"/>
      </w:r>
      <w:r w:rsidR="0013597F" w:rsidRPr="008E0075">
        <w:rPr>
          <w:rFonts w:ascii="Verdana" w:eastAsia="Verdana" w:hAnsi="Verdana" w:cs="Verdana"/>
          <w:sz w:val="16"/>
          <w:szCs w:val="20"/>
        </w:rPr>
        <w:t xml:space="preserve">. </w:t>
      </w:r>
    </w:p>
    <w:p w:rsidR="0013597F" w:rsidRPr="008E0075" w:rsidRDefault="0013597F" w:rsidP="000615D6">
      <w:pPr>
        <w:spacing w:after="0" w:line="240" w:lineRule="auto"/>
        <w:jc w:val="both"/>
        <w:rPr>
          <w:rFonts w:ascii="Verdana" w:eastAsia="Verdana" w:hAnsi="Verdana" w:cs="Verdana"/>
          <w:sz w:val="20"/>
          <w:szCs w:val="20"/>
          <w:lang w:val="es-CR"/>
        </w:rPr>
      </w:pPr>
    </w:p>
    <w:p w:rsidR="0013597F" w:rsidRPr="008E0075" w:rsidRDefault="0013597F" w:rsidP="000615D6">
      <w:pPr>
        <w:pStyle w:val="Ttulo3"/>
        <w:ind w:firstLine="191"/>
        <w:rPr>
          <w:rFonts w:eastAsia="Verdana" w:cs="Verdana"/>
          <w:b w:val="0"/>
          <w:szCs w:val="20"/>
          <w:lang w:val="es-CR"/>
        </w:rPr>
      </w:pPr>
      <w:bookmarkStart w:id="38" w:name="_Toc12350836"/>
      <w:bookmarkStart w:id="39" w:name="_Toc24538833"/>
      <w:r w:rsidRPr="008E0075">
        <w:rPr>
          <w:rFonts w:eastAsia="Verdana" w:cs="Verdana"/>
          <w:b w:val="0"/>
          <w:szCs w:val="20"/>
          <w:lang w:val="es-CR"/>
        </w:rPr>
        <w:t>A.3. Modificaciones en la regulación de la pena de muerte en Guatemala</w:t>
      </w:r>
      <w:bookmarkEnd w:id="38"/>
      <w:bookmarkEnd w:id="39"/>
    </w:p>
    <w:p w:rsidR="0013597F" w:rsidRPr="008E0075" w:rsidRDefault="0013597F" w:rsidP="000615D6">
      <w:pPr>
        <w:spacing w:after="0" w:line="240" w:lineRule="auto"/>
        <w:jc w:val="both"/>
        <w:rPr>
          <w:rFonts w:ascii="Verdana" w:eastAsia="Verdana" w:hAnsi="Verdana" w:cs="Verdana"/>
          <w:sz w:val="20"/>
          <w:szCs w:val="20"/>
          <w:lang w:val="es-CR"/>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hAnsi="Verdana"/>
          <w:sz w:val="20"/>
          <w:szCs w:val="20"/>
        </w:rPr>
        <w:t>E</w:t>
      </w:r>
      <w:r w:rsidRPr="008E0075">
        <w:rPr>
          <w:rFonts w:ascii="Verdana" w:hAnsi="Verdana"/>
          <w:sz w:val="20"/>
          <w:szCs w:val="20"/>
          <w:lang w:val="es-ES_tradnl"/>
        </w:rPr>
        <w:t>n el año 2009 se promulgó el Decreto No. 09-2009, en el que se dispuso la derogación del artículo 175 del Código Penal por el cual se contemplaba la pena de muerte en ciertos casos de violación</w:t>
      </w:r>
      <w:r w:rsidRPr="008E0075">
        <w:rPr>
          <w:rStyle w:val="Refdenotaalpie"/>
          <w:rFonts w:ascii="Verdana" w:hAnsi="Verdana"/>
          <w:sz w:val="20"/>
          <w:szCs w:val="20"/>
          <w:lang w:val="es-ES_tradnl"/>
        </w:rPr>
        <w:footnoteReference w:id="24"/>
      </w:r>
      <w:r w:rsidRPr="008E0075">
        <w:rPr>
          <w:rFonts w:ascii="Verdana" w:hAnsi="Verdana"/>
          <w:sz w:val="20"/>
          <w:szCs w:val="20"/>
          <w:lang w:val="es-ES_tradnl"/>
        </w:rPr>
        <w:t>.</w:t>
      </w:r>
    </w:p>
    <w:p w:rsidR="002077F5" w:rsidRPr="008E0075" w:rsidRDefault="002077F5" w:rsidP="002077F5">
      <w:pPr>
        <w:pStyle w:val="Normal1"/>
        <w:widowControl/>
        <w:tabs>
          <w:tab w:val="left" w:pos="0"/>
        </w:tabs>
        <w:contextualSpacing/>
        <w:jc w:val="both"/>
        <w:rPr>
          <w:rFonts w:ascii="Verdana" w:eastAsia="Verdana" w:hAnsi="Verdana" w:cs="Verdana"/>
          <w:sz w:val="20"/>
          <w:szCs w:val="20"/>
        </w:rPr>
      </w:pPr>
    </w:p>
    <w:p w:rsidR="00443956" w:rsidRPr="008D7D36" w:rsidRDefault="0013597F" w:rsidP="000615D6">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hAnsi="Verdana"/>
          <w:sz w:val="20"/>
          <w:szCs w:val="20"/>
          <w:lang w:val="es-ES_tradnl"/>
        </w:rPr>
        <w:t xml:space="preserve">El 11 de febrero de 2016 la Corte de Constitucionalidad de Guatemala declaró inconstitucional </w:t>
      </w:r>
      <w:r w:rsidRPr="008E0075">
        <w:rPr>
          <w:rFonts w:ascii="Verdana" w:hAnsi="Verdana"/>
          <w:sz w:val="20"/>
          <w:szCs w:val="20"/>
        </w:rPr>
        <w:t xml:space="preserve">el segundo párrafo </w:t>
      </w:r>
      <w:r w:rsidRPr="008E0075">
        <w:rPr>
          <w:rFonts w:ascii="Verdana" w:hAnsi="Verdana"/>
          <w:sz w:val="20"/>
          <w:szCs w:val="20"/>
          <w:lang w:val="es-ES_tradnl"/>
        </w:rPr>
        <w:t>del artícul</w:t>
      </w:r>
      <w:r w:rsidR="00914C89">
        <w:rPr>
          <w:rFonts w:ascii="Verdana" w:hAnsi="Verdana"/>
          <w:sz w:val="20"/>
          <w:szCs w:val="20"/>
          <w:lang w:val="es-ES_tradnl"/>
        </w:rPr>
        <w:t>o 132 del Código Penal, relativo</w:t>
      </w:r>
      <w:r w:rsidRPr="008E0075">
        <w:rPr>
          <w:rFonts w:ascii="Verdana" w:hAnsi="Verdana"/>
          <w:sz w:val="20"/>
          <w:szCs w:val="20"/>
          <w:lang w:val="es-ES_tradnl"/>
        </w:rPr>
        <w:t xml:space="preserve"> a la peligrosidad del agente como criterio para aplicar la pena de muerte, </w:t>
      </w:r>
      <w:r w:rsidRPr="008E0075">
        <w:rPr>
          <w:rFonts w:ascii="Verdana" w:hAnsi="Verdana"/>
          <w:sz w:val="20"/>
          <w:szCs w:val="20"/>
        </w:rPr>
        <w:t>así como también se indicó que tiene efectos “generales”</w:t>
      </w:r>
      <w:r w:rsidRPr="008E0075">
        <w:rPr>
          <w:rStyle w:val="Refdenotaalpie"/>
          <w:rFonts w:ascii="Verdana" w:hAnsi="Verdana"/>
          <w:sz w:val="20"/>
          <w:szCs w:val="20"/>
          <w:lang w:val="es-ES_tradnl"/>
        </w:rPr>
        <w:footnoteReference w:id="25"/>
      </w:r>
      <w:r w:rsidRPr="008E0075">
        <w:rPr>
          <w:rFonts w:ascii="Verdana" w:hAnsi="Verdana"/>
          <w:sz w:val="20"/>
          <w:szCs w:val="20"/>
          <w:lang w:val="es-ES_tradnl"/>
        </w:rPr>
        <w:t>.</w:t>
      </w:r>
    </w:p>
    <w:p w:rsidR="008D7D36" w:rsidRPr="0025269E" w:rsidRDefault="008D7D36" w:rsidP="008D7D36">
      <w:pPr>
        <w:pStyle w:val="Normal1"/>
        <w:widowControl/>
        <w:tabs>
          <w:tab w:val="left" w:pos="0"/>
        </w:tabs>
        <w:contextualSpacing/>
        <w:jc w:val="both"/>
        <w:rPr>
          <w:rFonts w:ascii="Verdana" w:eastAsia="Verdana" w:hAnsi="Verdana" w:cs="Verdana"/>
          <w:sz w:val="20"/>
          <w:szCs w:val="20"/>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hAnsi="Verdana"/>
          <w:sz w:val="20"/>
          <w:szCs w:val="20"/>
          <w:lang w:val="es-PE"/>
        </w:rPr>
        <w:lastRenderedPageBreak/>
        <w:t xml:space="preserve">En la Sentencia de la Corte dictada el 20 de junio de 2005 sobre Fondo, Reparaciones y Costas en el Caso </w:t>
      </w:r>
      <w:r w:rsidRPr="008E0075">
        <w:rPr>
          <w:rFonts w:ascii="Verdana" w:hAnsi="Verdana"/>
          <w:i/>
          <w:sz w:val="20"/>
          <w:szCs w:val="20"/>
          <w:lang w:val="es-PE"/>
        </w:rPr>
        <w:t>Fermín Ramírez Vs. Guatemala</w:t>
      </w:r>
      <w:r w:rsidRPr="008E0075">
        <w:rPr>
          <w:rFonts w:ascii="Verdana" w:hAnsi="Verdana"/>
          <w:sz w:val="20"/>
          <w:szCs w:val="20"/>
          <w:lang w:val="es-PE"/>
        </w:rPr>
        <w:t>, este Tribunal determinó que “la introducción en el texto penal de la peligrosidad del agente como criterio para la calificación típica de los hechos y la aplicación de ciertas sanciones, es incompatible con el principio de legalidad criminal y, por ende, contrario a la Convención</w:t>
      </w:r>
      <w:r w:rsidR="00914C89">
        <w:rPr>
          <w:rFonts w:ascii="Verdana" w:hAnsi="Verdana"/>
          <w:sz w:val="20"/>
          <w:szCs w:val="20"/>
          <w:lang w:val="es-PE"/>
        </w:rPr>
        <w:t xml:space="preserve"> […]</w:t>
      </w:r>
      <w:r w:rsidRPr="008E0075">
        <w:rPr>
          <w:rFonts w:ascii="Verdana" w:hAnsi="Verdana"/>
          <w:sz w:val="20"/>
          <w:szCs w:val="20"/>
          <w:lang w:val="es-PE"/>
        </w:rPr>
        <w:t>”. En consecuencia, concluyó que el Estado violó “el artículo 9 de la Convención, en relación con el artículo 2 de la misma, por haber mantenido vigente la parte del artículo 132 del Código Penal que se refiere a la peligrosidad del agente, una vez ratificada la Convención por parte de Guatemala”</w:t>
      </w:r>
      <w:r w:rsidR="003D1430" w:rsidRPr="003D1430">
        <w:rPr>
          <w:rStyle w:val="Refdenotaalpie"/>
          <w:rFonts w:ascii="Verdana" w:hAnsi="Verdana"/>
          <w:sz w:val="20"/>
          <w:szCs w:val="20"/>
          <w:lang w:val="es-PE"/>
        </w:rPr>
        <w:t xml:space="preserve"> </w:t>
      </w:r>
      <w:r w:rsidR="003D1430">
        <w:rPr>
          <w:rStyle w:val="Refdenotaalpie"/>
          <w:rFonts w:ascii="Verdana" w:hAnsi="Verdana"/>
          <w:sz w:val="20"/>
          <w:szCs w:val="20"/>
          <w:lang w:val="es-PE"/>
        </w:rPr>
        <w:footnoteReference w:id="26"/>
      </w:r>
      <w:r w:rsidRPr="008E0075">
        <w:rPr>
          <w:rFonts w:ascii="Verdana" w:hAnsi="Verdana"/>
          <w:sz w:val="20"/>
          <w:szCs w:val="20"/>
          <w:lang w:val="es-PE"/>
        </w:rPr>
        <w:t>.</w:t>
      </w:r>
    </w:p>
    <w:p w:rsidR="002077F5" w:rsidRPr="008E0075" w:rsidRDefault="002077F5" w:rsidP="002077F5">
      <w:pPr>
        <w:pStyle w:val="Normal1"/>
        <w:widowControl/>
        <w:tabs>
          <w:tab w:val="left" w:pos="0"/>
        </w:tabs>
        <w:contextualSpacing/>
        <w:jc w:val="both"/>
        <w:rPr>
          <w:rFonts w:ascii="Verdana" w:eastAsia="Verdana" w:hAnsi="Verdana" w:cs="Verdana"/>
          <w:sz w:val="20"/>
          <w:szCs w:val="20"/>
        </w:rPr>
      </w:pPr>
    </w:p>
    <w:p w:rsidR="0013597F" w:rsidRPr="008E007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hAnsi="Verdana"/>
          <w:sz w:val="20"/>
          <w:szCs w:val="20"/>
          <w:lang w:val="es-PE"/>
        </w:rPr>
        <w:t>Posteriormente, en la Resolución de la Corte Interamericana de 6 de febrero de 2019 de Supervisión de Cumplimiento de la Sentencia</w:t>
      </w:r>
      <w:r w:rsidRPr="008E0075">
        <w:rPr>
          <w:rFonts w:ascii="Verdana" w:hAnsi="Verdana"/>
          <w:i/>
          <w:sz w:val="20"/>
          <w:szCs w:val="20"/>
          <w:lang w:val="es-PE"/>
        </w:rPr>
        <w:t xml:space="preserve"> </w:t>
      </w:r>
      <w:r w:rsidRPr="00BC0365">
        <w:rPr>
          <w:rFonts w:ascii="Verdana" w:hAnsi="Verdana"/>
          <w:sz w:val="20"/>
          <w:szCs w:val="20"/>
          <w:lang w:val="es-PE"/>
        </w:rPr>
        <w:t>del</w:t>
      </w:r>
      <w:r w:rsidRPr="008E0075">
        <w:rPr>
          <w:rFonts w:ascii="Verdana" w:hAnsi="Verdana"/>
          <w:i/>
          <w:sz w:val="20"/>
          <w:szCs w:val="20"/>
          <w:lang w:val="es-PE"/>
        </w:rPr>
        <w:t xml:space="preserve"> Caso Fermín Ramírez Vs. Guatemala, </w:t>
      </w:r>
      <w:r w:rsidRPr="008E0075">
        <w:rPr>
          <w:rFonts w:ascii="Verdana" w:hAnsi="Verdana"/>
          <w:sz w:val="20"/>
          <w:szCs w:val="20"/>
          <w:lang w:val="es-ES_tradnl"/>
        </w:rPr>
        <w:t>este Tribunal refiriéndose a</w:t>
      </w:r>
      <w:r w:rsidRPr="008E0075">
        <w:rPr>
          <w:rFonts w:ascii="Verdana" w:hAnsi="Verdana"/>
          <w:sz w:val="20"/>
          <w:szCs w:val="20"/>
        </w:rPr>
        <w:t xml:space="preserve"> la sentencia de la Corte de Constitucionalidad de 11 de febrero de 2016 señaló que:</w:t>
      </w:r>
    </w:p>
    <w:p w:rsidR="0013597F" w:rsidRPr="008E0075" w:rsidRDefault="0013597F" w:rsidP="000615D6">
      <w:pPr>
        <w:spacing w:after="0" w:line="240" w:lineRule="auto"/>
        <w:jc w:val="both"/>
        <w:rPr>
          <w:rFonts w:ascii="Verdana" w:hAnsi="Verdana"/>
          <w:sz w:val="20"/>
          <w:szCs w:val="20"/>
          <w:lang w:val="es-ES_tradnl"/>
        </w:rPr>
      </w:pPr>
    </w:p>
    <w:p w:rsidR="00443956" w:rsidRPr="008E0075" w:rsidRDefault="00A55831" w:rsidP="000615D6">
      <w:pPr>
        <w:spacing w:after="0" w:line="240" w:lineRule="auto"/>
        <w:ind w:left="720" w:right="720"/>
        <w:jc w:val="both"/>
        <w:rPr>
          <w:rFonts w:ascii="Verdana" w:hAnsi="Verdana"/>
          <w:sz w:val="16"/>
          <w:szCs w:val="20"/>
          <w:lang w:val="es-ES_tradnl"/>
        </w:rPr>
      </w:pPr>
      <w:r>
        <w:rPr>
          <w:rFonts w:ascii="Verdana" w:hAnsi="Verdana"/>
          <w:sz w:val="16"/>
          <w:szCs w:val="20"/>
          <w:lang w:val="es-ES_tradnl"/>
        </w:rPr>
        <w:t>[</w:t>
      </w:r>
      <w:r w:rsidR="0077300B">
        <w:rPr>
          <w:rFonts w:ascii="Verdana" w:hAnsi="Verdana"/>
          <w:sz w:val="16"/>
          <w:szCs w:val="20"/>
          <w:lang w:val="es-ES_tradnl"/>
        </w:rPr>
        <w:t>P</w:t>
      </w:r>
      <w:r>
        <w:rPr>
          <w:rFonts w:ascii="Verdana" w:hAnsi="Verdana"/>
          <w:sz w:val="16"/>
          <w:szCs w:val="20"/>
          <w:lang w:val="es-ES_tradnl"/>
        </w:rPr>
        <w:t>]</w:t>
      </w:r>
      <w:r w:rsidR="0013597F" w:rsidRPr="008E0075">
        <w:rPr>
          <w:rFonts w:ascii="Verdana" w:hAnsi="Verdana"/>
          <w:sz w:val="16"/>
          <w:szCs w:val="20"/>
          <w:lang w:val="es-ES_tradnl"/>
        </w:rPr>
        <w:t xml:space="preserve">areciera que dicha sentencia de la Corte de Constitucionalidad declaró la inconstitucionalidad de la única frase del artículo 132 del Código Penal que preveía la posibilidad de aplicar la pena de muerte por el delito de asesinato. No se desprende con claridad de la referida sentencia que haya eliminado del todo la posibilidad de aplicar la pena de muerte en Guatemala por el delito de asesinato, o si solo se limitaba a eliminar lo concerniente a la posibilidad de aplicarla con base en la peligrosidad del agente. No obstante, del alegato de los representantes respecto a que existe un nuevo proyecto legislativo para volver a aplicar la pena de muerte eliminando la frase del tipo penal […], pareciera que se eliminó del ordenamiento jurídico la posibilidad de aplicar la pena de muerte por dicho delito. </w:t>
      </w:r>
      <w:r w:rsidR="0013597F" w:rsidRPr="008E0075">
        <w:rPr>
          <w:rFonts w:ascii="Verdana" w:hAnsi="Verdana"/>
          <w:sz w:val="16"/>
          <w:szCs w:val="20"/>
          <w:lang w:val="es-CR"/>
        </w:rPr>
        <w:t xml:space="preserve">En ese sentido, en el supuesto de que conforme al ordenamiento jurídico guatemalteco se entienda derogada la pena de muerte para el delito de asesinato, la Corte estima necesario recordar que el artículo 4 de la Convención Americana recoge un </w:t>
      </w:r>
      <w:r w:rsidR="0013597F" w:rsidRPr="008E0075">
        <w:rPr>
          <w:rFonts w:ascii="Verdana" w:hAnsi="Verdana" w:cs="Verdana"/>
          <w:sz w:val="16"/>
          <w:szCs w:val="20"/>
          <w:lang w:val="es-CR"/>
        </w:rPr>
        <w:t>“proceso progresivo e irreversible” que “prohíbe de modo absoluto el restablecimiento de la pena capital para todo tipo de delito, de tal manera que la decisión de un Estado Parte en la Convención, cualquiera sea el tiempo en que la haya adoptado, en el sentido de abolir la pena de muerte se convierte, ipso jure, en una resolución definitiva e irrevocable”. La Convención “expresa una clara nota de progresividad, consistente en que, sin llegar a decidir la abolición de la pena de muerte, adopta las disposiciones requeridas para limitar definitivamente su aplicación y su ámbito, de modo que éste se vaya reduciendo hasta su supresión final”.</w:t>
      </w:r>
      <w:r w:rsidR="0013597F" w:rsidRPr="008E0075">
        <w:rPr>
          <w:rFonts w:ascii="Verdana" w:hAnsi="Verdana"/>
          <w:sz w:val="16"/>
          <w:szCs w:val="20"/>
          <w:lang w:val="es-ES_tradnl"/>
        </w:rPr>
        <w:t xml:space="preserve"> De esa forma, si la pena de muerte fue eliminada del ordenamiento jurídico para el delito de asesinato, la misma no podría ser reinstaurada para ese delito</w:t>
      </w:r>
      <w:r w:rsidR="0013597F" w:rsidRPr="008E0075">
        <w:rPr>
          <w:rStyle w:val="Textoennegrita"/>
          <w:rFonts w:ascii="Verdana" w:hAnsi="Verdana"/>
          <w:b w:val="0"/>
          <w:sz w:val="16"/>
          <w:szCs w:val="20"/>
          <w:vertAlign w:val="superscript"/>
          <w:lang w:val="es-MX"/>
        </w:rPr>
        <w:footnoteReference w:id="27"/>
      </w:r>
      <w:r w:rsidR="0013597F" w:rsidRPr="008E0075">
        <w:rPr>
          <w:rFonts w:ascii="Verdana" w:hAnsi="Verdana"/>
          <w:sz w:val="16"/>
          <w:szCs w:val="20"/>
          <w:lang w:val="es-ES_tradnl"/>
        </w:rPr>
        <w:t xml:space="preserve">. </w:t>
      </w:r>
    </w:p>
    <w:p w:rsidR="001823AE" w:rsidRPr="008E0075" w:rsidRDefault="001823AE" w:rsidP="000615D6">
      <w:pPr>
        <w:spacing w:after="0" w:line="240" w:lineRule="auto"/>
        <w:ind w:left="720" w:right="720"/>
        <w:jc w:val="both"/>
        <w:rPr>
          <w:rFonts w:ascii="Verdana" w:hAnsi="Verdana"/>
          <w:sz w:val="16"/>
          <w:szCs w:val="20"/>
          <w:lang w:val="es-ES_tradnl"/>
        </w:rPr>
      </w:pPr>
    </w:p>
    <w:p w:rsidR="0013597F" w:rsidRPr="008E0075" w:rsidRDefault="0013597F" w:rsidP="000615D6">
      <w:pPr>
        <w:pStyle w:val="Normal1"/>
        <w:widowControl/>
        <w:numPr>
          <w:ilvl w:val="0"/>
          <w:numId w:val="3"/>
        </w:numPr>
        <w:tabs>
          <w:tab w:val="left" w:pos="0"/>
        </w:tabs>
        <w:ind w:left="0" w:firstLine="0"/>
        <w:contextualSpacing/>
        <w:jc w:val="both"/>
        <w:rPr>
          <w:rFonts w:ascii="Verdana" w:eastAsiaTheme="minorHAnsi" w:hAnsi="Verdana" w:cstheme="minorBidi"/>
          <w:sz w:val="16"/>
          <w:szCs w:val="20"/>
          <w:lang w:val="es-ES_tradnl"/>
        </w:rPr>
      </w:pPr>
      <w:r w:rsidRPr="008E0075">
        <w:rPr>
          <w:rFonts w:ascii="Verdana" w:hAnsi="Verdana"/>
          <w:sz w:val="20"/>
          <w:szCs w:val="20"/>
        </w:rPr>
        <w:t>Además, en dicha</w:t>
      </w:r>
      <w:r w:rsidRPr="008E0075">
        <w:rPr>
          <w:rFonts w:ascii="Verdana" w:hAnsi="Verdana"/>
          <w:sz w:val="20"/>
          <w:szCs w:val="20"/>
          <w:lang w:val="es-PE"/>
        </w:rPr>
        <w:t xml:space="preserve"> Resolución, este Tribunal constató </w:t>
      </w:r>
      <w:r w:rsidRPr="008E0075">
        <w:rPr>
          <w:rFonts w:ascii="Verdana" w:hAnsi="Verdana"/>
          <w:sz w:val="20"/>
          <w:szCs w:val="20"/>
          <w:lang w:val="es-MX"/>
        </w:rPr>
        <w:t xml:space="preserve">que a la fecha </w:t>
      </w:r>
      <w:r w:rsidRPr="008E0075">
        <w:rPr>
          <w:rFonts w:ascii="Verdana" w:hAnsi="Verdana"/>
          <w:sz w:val="20"/>
          <w:szCs w:val="20"/>
        </w:rPr>
        <w:t xml:space="preserve">del último informe </w:t>
      </w:r>
      <w:r w:rsidR="00C564DA" w:rsidRPr="008E0075">
        <w:rPr>
          <w:rFonts w:ascii="Verdana" w:hAnsi="Verdana"/>
          <w:sz w:val="20"/>
          <w:szCs w:val="20"/>
          <w:lang w:val="es-MX"/>
        </w:rPr>
        <w:t xml:space="preserve">estatal </w:t>
      </w:r>
      <w:r w:rsidRPr="008E0075">
        <w:rPr>
          <w:rFonts w:ascii="Verdana" w:hAnsi="Verdana"/>
          <w:sz w:val="20"/>
          <w:szCs w:val="20"/>
          <w:lang w:val="es-MX"/>
        </w:rPr>
        <w:t>“no ha[bían] personas condenadas a la pena de muerte [en Guatemala], y que la misma no se ha aplicado desde el año 2002 […] [, y ha] toma[do] nota […] [de la] suspensión general a la aplicación de dicha pena, vinculada con el cumplimiento de la medida de reparación [dictada en la Sentencia de dicho caso] relacionada al deber de regular el indulto en [su] jurisdicción”</w:t>
      </w:r>
      <w:r w:rsidRPr="008E0075">
        <w:rPr>
          <w:rStyle w:val="Refdenotaalpie"/>
          <w:rFonts w:ascii="Verdana" w:hAnsi="Verdana"/>
          <w:sz w:val="20"/>
          <w:szCs w:val="20"/>
          <w:lang w:val="es-MX"/>
        </w:rPr>
        <w:footnoteReference w:id="28"/>
      </w:r>
      <w:r w:rsidRPr="008E0075">
        <w:rPr>
          <w:rFonts w:ascii="Verdana" w:hAnsi="Verdana"/>
          <w:sz w:val="20"/>
          <w:szCs w:val="20"/>
          <w:lang w:val="es-MX"/>
        </w:rPr>
        <w:t>.</w:t>
      </w:r>
      <w:r w:rsidR="001047BB">
        <w:rPr>
          <w:rFonts w:ascii="Verdana" w:hAnsi="Verdana"/>
          <w:sz w:val="20"/>
          <w:szCs w:val="20"/>
          <w:lang w:val="es-MX"/>
        </w:rPr>
        <w:t xml:space="preserve">                                                                                                                                                                                                                                                                                                                                                                                                                </w:t>
      </w:r>
    </w:p>
    <w:p w:rsidR="00443956" w:rsidRPr="008E0075" w:rsidRDefault="00443956" w:rsidP="000615D6">
      <w:pPr>
        <w:spacing w:after="0" w:line="240" w:lineRule="auto"/>
        <w:rPr>
          <w:rFonts w:ascii="Verdana" w:hAnsi="Verdana"/>
          <w:b/>
          <w:sz w:val="20"/>
          <w:szCs w:val="20"/>
          <w:lang w:val="es-CR"/>
        </w:rPr>
      </w:pPr>
    </w:p>
    <w:p w:rsidR="0013597F" w:rsidRPr="00A61525" w:rsidRDefault="008E0075" w:rsidP="008E0075">
      <w:pPr>
        <w:pStyle w:val="Ttulo2"/>
        <w:spacing w:before="0" w:line="240" w:lineRule="auto"/>
        <w:rPr>
          <w:rFonts w:ascii="Verdana" w:hAnsi="Verdana"/>
          <w:b/>
          <w:color w:val="auto"/>
          <w:sz w:val="20"/>
          <w:szCs w:val="20"/>
          <w:lang w:val="es-CR"/>
        </w:rPr>
      </w:pPr>
      <w:bookmarkStart w:id="40" w:name="_Toc24538834"/>
      <w:r w:rsidRPr="00A61525">
        <w:rPr>
          <w:rFonts w:ascii="Verdana" w:hAnsi="Verdana"/>
          <w:b/>
          <w:color w:val="auto"/>
          <w:sz w:val="20"/>
          <w:szCs w:val="20"/>
          <w:lang w:val="es-CR"/>
        </w:rPr>
        <w:t xml:space="preserve">B. </w:t>
      </w:r>
      <w:r w:rsidR="00646189" w:rsidRPr="00A61525">
        <w:rPr>
          <w:rFonts w:ascii="Verdana" w:hAnsi="Verdana"/>
          <w:b/>
          <w:color w:val="auto"/>
          <w:sz w:val="20"/>
          <w:szCs w:val="20"/>
          <w:lang w:val="es-CR"/>
        </w:rPr>
        <w:t xml:space="preserve">Proceso penal y ejecución de </w:t>
      </w:r>
      <w:r w:rsidR="0013597F" w:rsidRPr="00A61525">
        <w:rPr>
          <w:rFonts w:ascii="Verdana" w:hAnsi="Verdana"/>
          <w:b/>
          <w:color w:val="auto"/>
          <w:sz w:val="20"/>
          <w:szCs w:val="20"/>
          <w:lang w:val="es-CR"/>
        </w:rPr>
        <w:t xml:space="preserve">los señores </w:t>
      </w:r>
      <w:r w:rsidR="0025269E" w:rsidRPr="00A61525">
        <w:rPr>
          <w:rFonts w:ascii="Verdana" w:hAnsi="Verdana"/>
          <w:b/>
          <w:color w:val="auto"/>
          <w:sz w:val="20"/>
          <w:szCs w:val="20"/>
          <w:lang w:val="es-CR"/>
        </w:rPr>
        <w:t xml:space="preserve">Roberto </w:t>
      </w:r>
      <w:r w:rsidR="0013597F" w:rsidRPr="00A61525">
        <w:rPr>
          <w:rFonts w:ascii="Verdana" w:hAnsi="Verdana"/>
          <w:b/>
          <w:color w:val="auto"/>
          <w:sz w:val="20"/>
          <w:szCs w:val="20"/>
          <w:lang w:val="es-CR"/>
        </w:rPr>
        <w:t xml:space="preserve">Girón y </w:t>
      </w:r>
      <w:r w:rsidR="0025269E" w:rsidRPr="00A61525">
        <w:rPr>
          <w:rFonts w:ascii="Verdana" w:hAnsi="Verdana"/>
          <w:b/>
          <w:color w:val="auto"/>
          <w:sz w:val="20"/>
          <w:szCs w:val="20"/>
          <w:lang w:val="es-CR"/>
        </w:rPr>
        <w:t xml:space="preserve">Pedro </w:t>
      </w:r>
      <w:r w:rsidR="0013597F" w:rsidRPr="00A61525">
        <w:rPr>
          <w:rFonts w:ascii="Verdana" w:hAnsi="Verdana"/>
          <w:b/>
          <w:color w:val="auto"/>
          <w:sz w:val="20"/>
          <w:szCs w:val="20"/>
          <w:lang w:val="es-CR"/>
        </w:rPr>
        <w:t>Castillo</w:t>
      </w:r>
      <w:bookmarkEnd w:id="40"/>
    </w:p>
    <w:p w:rsidR="0013597F" w:rsidRPr="008E0075" w:rsidRDefault="0013597F" w:rsidP="000615D6">
      <w:pPr>
        <w:spacing w:after="0" w:line="240" w:lineRule="auto"/>
        <w:jc w:val="both"/>
        <w:rPr>
          <w:rFonts w:ascii="Verdana" w:hAnsi="Verdana"/>
          <w:b/>
          <w:i/>
          <w:sz w:val="20"/>
          <w:szCs w:val="20"/>
          <w:lang w:val="es-CR"/>
        </w:rPr>
      </w:pPr>
      <w:r w:rsidRPr="008E0075">
        <w:rPr>
          <w:rFonts w:ascii="Verdana" w:hAnsi="Verdana"/>
          <w:b/>
          <w:i/>
          <w:sz w:val="20"/>
          <w:szCs w:val="20"/>
          <w:lang w:val="es-CR"/>
        </w:rPr>
        <w:t xml:space="preserve"> </w:t>
      </w:r>
      <w:r w:rsidRPr="008E0075">
        <w:rPr>
          <w:rFonts w:ascii="Verdana" w:hAnsi="Verdana"/>
          <w:b/>
          <w:i/>
          <w:sz w:val="20"/>
          <w:szCs w:val="20"/>
          <w:lang w:val="es-CR"/>
        </w:rPr>
        <w:tab/>
      </w:r>
    </w:p>
    <w:p w:rsidR="0013597F" w:rsidRPr="008E0075" w:rsidRDefault="0013597F" w:rsidP="000615D6">
      <w:pPr>
        <w:pStyle w:val="Ttulo3"/>
        <w:rPr>
          <w:b w:val="0"/>
          <w:szCs w:val="20"/>
        </w:rPr>
      </w:pPr>
      <w:r w:rsidRPr="008E0075">
        <w:rPr>
          <w:b w:val="0"/>
          <w:szCs w:val="20"/>
          <w:lang w:val="es-CR"/>
        </w:rPr>
        <w:tab/>
      </w:r>
      <w:bookmarkStart w:id="41" w:name="_Toc24538835"/>
      <w:r w:rsidRPr="008E0075">
        <w:rPr>
          <w:b w:val="0"/>
          <w:szCs w:val="20"/>
        </w:rPr>
        <w:t>B.</w:t>
      </w:r>
      <w:r w:rsidR="00D84A54" w:rsidRPr="008E0075">
        <w:rPr>
          <w:b w:val="0"/>
          <w:szCs w:val="20"/>
        </w:rPr>
        <w:t>1</w:t>
      </w:r>
      <w:r w:rsidR="00331D70">
        <w:rPr>
          <w:b w:val="0"/>
          <w:szCs w:val="20"/>
        </w:rPr>
        <w:t>.</w:t>
      </w:r>
      <w:r w:rsidRPr="008E0075">
        <w:rPr>
          <w:b w:val="0"/>
          <w:szCs w:val="20"/>
        </w:rPr>
        <w:t xml:space="preserve">  Hechos respecto al proceso penal y la </w:t>
      </w:r>
      <w:r w:rsidR="0025269E">
        <w:rPr>
          <w:b w:val="0"/>
          <w:szCs w:val="20"/>
        </w:rPr>
        <w:t>ejecución de los señores Girón</w:t>
      </w:r>
      <w:r w:rsidRPr="008E0075">
        <w:rPr>
          <w:b w:val="0"/>
          <w:szCs w:val="20"/>
        </w:rPr>
        <w:t xml:space="preserve"> y Castillo</w:t>
      </w:r>
      <w:bookmarkEnd w:id="41"/>
    </w:p>
    <w:p w:rsidR="0013597F" w:rsidRPr="008E0075" w:rsidRDefault="0013597F" w:rsidP="000615D6">
      <w:pPr>
        <w:spacing w:after="0" w:line="240" w:lineRule="auto"/>
        <w:jc w:val="both"/>
        <w:rPr>
          <w:rFonts w:ascii="Verdana" w:eastAsia="Verdana" w:hAnsi="Verdana" w:cs="Verdana"/>
          <w:sz w:val="20"/>
          <w:szCs w:val="20"/>
          <w:lang w:val="es-MX"/>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eastAsia="Verdana" w:hAnsi="Verdana" w:cs="Verdana"/>
          <w:sz w:val="20"/>
          <w:szCs w:val="20"/>
        </w:rPr>
        <w:t xml:space="preserve">Roberto Girón y Pedro Castillo fueron acusados por el delito de violación calificada de </w:t>
      </w:r>
      <w:r w:rsidR="008D7D36">
        <w:rPr>
          <w:rFonts w:ascii="Verdana" w:eastAsia="Verdana" w:hAnsi="Verdana" w:cs="Verdana"/>
          <w:sz w:val="20"/>
          <w:szCs w:val="20"/>
        </w:rPr>
        <w:t>una</w:t>
      </w:r>
      <w:r w:rsidR="00E34E09">
        <w:rPr>
          <w:rFonts w:ascii="Verdana" w:eastAsia="Verdana" w:hAnsi="Verdana" w:cs="Verdana"/>
          <w:sz w:val="20"/>
          <w:szCs w:val="20"/>
        </w:rPr>
        <w:t xml:space="preserve"> niña</w:t>
      </w:r>
      <w:r w:rsidRPr="008E0075">
        <w:rPr>
          <w:rFonts w:ascii="Verdana" w:eastAsia="Verdana" w:hAnsi="Verdana" w:cs="Verdana"/>
          <w:sz w:val="20"/>
          <w:szCs w:val="20"/>
        </w:rPr>
        <w:t xml:space="preserve"> de cuatro años de edad, hechos ocurridos el 18 de abril de 1993. </w:t>
      </w:r>
    </w:p>
    <w:p w:rsidR="002077F5" w:rsidRPr="008E0075" w:rsidRDefault="002077F5" w:rsidP="002077F5">
      <w:pPr>
        <w:pStyle w:val="Normal1"/>
        <w:widowControl/>
        <w:tabs>
          <w:tab w:val="left" w:pos="0"/>
        </w:tabs>
        <w:contextualSpacing/>
        <w:jc w:val="both"/>
        <w:rPr>
          <w:rFonts w:ascii="Verdana" w:eastAsia="Verdana" w:hAnsi="Verdana" w:cs="Verdana"/>
          <w:sz w:val="20"/>
          <w:szCs w:val="20"/>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eastAsia="Verdana" w:hAnsi="Verdana" w:cs="Verdana"/>
          <w:sz w:val="20"/>
          <w:szCs w:val="20"/>
        </w:rPr>
        <w:t>El 1</w:t>
      </w:r>
      <w:r w:rsidRPr="008E0075">
        <w:rPr>
          <w:rFonts w:ascii="Verdana" w:hAnsi="Verdana"/>
          <w:sz w:val="20"/>
          <w:szCs w:val="20"/>
        </w:rPr>
        <w:t>9 de abril de 1993 Roberto Girón prestó su declaración indagatoria ante el Juez Primero de Paz. El juez le indicó que podía proponer abogado defensor y que tenía cinco días para hacerlo o se le designaría de oficio por parte del juzgado, a lo que el señor Girón expresó que lo designaría posteriormente. En dicha declaración, la presunta víctima manifestó que fue detenido el 18 de abril de 1993 y no le hicieron saber el motivo de su detención. Se le preguntó a la presunta víctima ¿cuál fue la actividad en la comisión del delito del señor Pedro Castillo Mendoza?, a lo que contestó “yo no he sido, posiblemente haya sido él con otras personas”</w:t>
      </w:r>
      <w:r w:rsidRPr="008E0075">
        <w:rPr>
          <w:rStyle w:val="Refdenotaalpie"/>
          <w:rFonts w:ascii="Verdana" w:hAnsi="Verdana"/>
          <w:sz w:val="20"/>
          <w:szCs w:val="20"/>
        </w:rPr>
        <w:footnoteReference w:id="29"/>
      </w:r>
      <w:r w:rsidR="003A367C">
        <w:rPr>
          <w:rFonts w:ascii="Verdana" w:hAnsi="Verdana"/>
          <w:sz w:val="20"/>
          <w:szCs w:val="20"/>
        </w:rPr>
        <w:t>.</w:t>
      </w:r>
      <w:r w:rsidRPr="008E0075">
        <w:rPr>
          <w:rFonts w:ascii="Verdana" w:hAnsi="Verdana"/>
          <w:b/>
          <w:sz w:val="16"/>
          <w:szCs w:val="16"/>
        </w:rPr>
        <w:t xml:space="preserve"> </w:t>
      </w:r>
    </w:p>
    <w:p w:rsidR="002077F5" w:rsidRPr="008E0075" w:rsidRDefault="002077F5" w:rsidP="002077F5">
      <w:pPr>
        <w:pStyle w:val="Normal1"/>
        <w:widowControl/>
        <w:tabs>
          <w:tab w:val="left" w:pos="0"/>
        </w:tabs>
        <w:contextualSpacing/>
        <w:jc w:val="both"/>
        <w:rPr>
          <w:rFonts w:ascii="Verdana" w:eastAsia="Verdana" w:hAnsi="Verdana" w:cs="Verdana"/>
          <w:sz w:val="20"/>
          <w:szCs w:val="20"/>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eastAsia="Verdana" w:hAnsi="Verdana" w:cs="Verdana"/>
          <w:sz w:val="20"/>
          <w:szCs w:val="20"/>
        </w:rPr>
        <w:t xml:space="preserve">En </w:t>
      </w:r>
      <w:r w:rsidRPr="008E0075">
        <w:rPr>
          <w:rFonts w:ascii="Verdana" w:hAnsi="Verdana"/>
          <w:sz w:val="20"/>
          <w:szCs w:val="20"/>
        </w:rPr>
        <w:t xml:space="preserve">la misma fecha, el </w:t>
      </w:r>
      <w:r w:rsidRPr="008E0075">
        <w:rPr>
          <w:rFonts w:ascii="Verdana" w:eastAsia="Verdana" w:hAnsi="Verdana" w:cs="Verdana"/>
          <w:sz w:val="20"/>
          <w:szCs w:val="20"/>
        </w:rPr>
        <w:t>1</w:t>
      </w:r>
      <w:r w:rsidRPr="008E0075">
        <w:rPr>
          <w:rFonts w:ascii="Verdana" w:hAnsi="Verdana"/>
          <w:sz w:val="20"/>
          <w:szCs w:val="20"/>
        </w:rPr>
        <w:t>9 de abril de 1993 y ante la misma autoridad, Pedro Castillo Mendoza prestó su declaración indagatoria. En el acta respectiva se señala que se indicó a la presunta víctima que “se enc</w:t>
      </w:r>
      <w:r w:rsidR="00A55831">
        <w:rPr>
          <w:rFonts w:ascii="Verdana" w:hAnsi="Verdana"/>
          <w:sz w:val="20"/>
          <w:szCs w:val="20"/>
        </w:rPr>
        <w:t>[</w:t>
      </w:r>
      <w:r w:rsidRPr="008E0075">
        <w:rPr>
          <w:rFonts w:ascii="Verdana" w:hAnsi="Verdana"/>
          <w:sz w:val="20"/>
          <w:szCs w:val="20"/>
        </w:rPr>
        <w:t>ontraba</w:t>
      </w:r>
      <w:r w:rsidR="00A55831">
        <w:rPr>
          <w:rFonts w:ascii="Verdana" w:hAnsi="Verdana"/>
          <w:sz w:val="20"/>
          <w:szCs w:val="20"/>
        </w:rPr>
        <w:t>] detenido</w:t>
      </w:r>
      <w:r w:rsidRPr="008E0075">
        <w:rPr>
          <w:rFonts w:ascii="Verdana" w:hAnsi="Verdana"/>
          <w:sz w:val="20"/>
          <w:szCs w:val="20"/>
        </w:rPr>
        <w:t xml:space="preserve"> por el delito de violación calificada </w:t>
      </w:r>
      <w:r w:rsidR="001B726A">
        <w:rPr>
          <w:rFonts w:ascii="Verdana" w:hAnsi="Verdana"/>
          <w:sz w:val="20"/>
          <w:szCs w:val="20"/>
        </w:rPr>
        <w:t xml:space="preserve">[… </w:t>
      </w:r>
      <w:r w:rsidRPr="008E0075">
        <w:rPr>
          <w:rFonts w:ascii="Verdana" w:hAnsi="Verdana"/>
          <w:sz w:val="20"/>
          <w:szCs w:val="20"/>
        </w:rPr>
        <w:t>y</w:t>
      </w:r>
      <w:r w:rsidR="00F31AEB">
        <w:rPr>
          <w:rFonts w:ascii="Verdana" w:hAnsi="Verdana"/>
          <w:sz w:val="20"/>
          <w:szCs w:val="20"/>
        </w:rPr>
        <w:t>]</w:t>
      </w:r>
      <w:r w:rsidRPr="008E0075">
        <w:rPr>
          <w:rFonts w:ascii="Verdana" w:hAnsi="Verdana"/>
          <w:sz w:val="20"/>
          <w:szCs w:val="20"/>
        </w:rPr>
        <w:t xml:space="preserve"> que </w:t>
      </w:r>
      <w:r w:rsidR="001B726A">
        <w:rPr>
          <w:rFonts w:ascii="Verdana" w:hAnsi="Verdana"/>
          <w:sz w:val="20"/>
          <w:szCs w:val="20"/>
        </w:rPr>
        <w:t xml:space="preserve"> </w:t>
      </w:r>
      <w:r w:rsidR="00F31AEB">
        <w:rPr>
          <w:rFonts w:ascii="Verdana" w:hAnsi="Verdana"/>
          <w:sz w:val="20"/>
          <w:szCs w:val="20"/>
        </w:rPr>
        <w:t>[</w:t>
      </w:r>
      <w:r w:rsidRPr="008E0075">
        <w:rPr>
          <w:rFonts w:ascii="Verdana" w:hAnsi="Verdana"/>
          <w:sz w:val="20"/>
          <w:szCs w:val="20"/>
        </w:rPr>
        <w:t>podía] proponer a su abogado defensor quién [podía] estar presente en [la] diligencia, y [que tenía] el término de cinco días para hacerlo, en caso contrario se le designa[ría] de oficio por parte del tribunal, indicando el declarente que posteriormente lo har[ía]”. En</w:t>
      </w:r>
      <w:r w:rsidR="00A55831">
        <w:rPr>
          <w:rFonts w:ascii="Verdana" w:hAnsi="Verdana"/>
          <w:sz w:val="20"/>
          <w:szCs w:val="20"/>
        </w:rPr>
        <w:t xml:space="preserve"> la</w:t>
      </w:r>
      <w:r w:rsidRPr="008E0075">
        <w:rPr>
          <w:rFonts w:ascii="Verdana" w:hAnsi="Verdana"/>
          <w:sz w:val="20"/>
          <w:szCs w:val="20"/>
        </w:rPr>
        <w:t xml:space="preserve"> referida declaración, el juez le preguntó si estaba bajo la influencia de drogas, licor, fármacos o estupefacientes durante el delito. A lo cual contestó que se encontraba en su sano juicio y Roberto Girón también. Además, el juez preguntó por el motivo de violar y causar la muerte de la niña, a lo que contestó</w:t>
      </w:r>
      <w:r w:rsidR="00A55831">
        <w:rPr>
          <w:rFonts w:ascii="Verdana" w:hAnsi="Verdana"/>
          <w:sz w:val="20"/>
          <w:szCs w:val="20"/>
        </w:rPr>
        <w:t>: “No sé qué nos pasó, saber qué</w:t>
      </w:r>
      <w:r w:rsidRPr="008E0075">
        <w:rPr>
          <w:rFonts w:ascii="Verdana" w:hAnsi="Verdana"/>
          <w:sz w:val="20"/>
          <w:szCs w:val="20"/>
        </w:rPr>
        <w:t xml:space="preserve"> estábamos pensando” y luego agregó “que yo nunca había cometido ningún delito, y es primera vez que lo hice, pero no sé qué nos sucedió con mi compañero de trabajo Roberto Girón, y no me recuerdo de quién fue la idea de los dos de actuar de esa manera […]”</w:t>
      </w:r>
      <w:r w:rsidRPr="008E0075">
        <w:rPr>
          <w:rStyle w:val="Refdenotaalpie"/>
          <w:rFonts w:ascii="Verdana" w:hAnsi="Verdana"/>
          <w:sz w:val="20"/>
          <w:szCs w:val="20"/>
        </w:rPr>
        <w:footnoteReference w:id="30"/>
      </w:r>
      <w:r w:rsidRPr="008E0075">
        <w:rPr>
          <w:rFonts w:ascii="Verdana" w:hAnsi="Verdana"/>
          <w:sz w:val="20"/>
          <w:szCs w:val="20"/>
        </w:rPr>
        <w:t xml:space="preserve">. </w:t>
      </w:r>
    </w:p>
    <w:p w:rsidR="002077F5" w:rsidRPr="008E0075" w:rsidRDefault="002077F5" w:rsidP="002077F5">
      <w:pPr>
        <w:pStyle w:val="Normal1"/>
        <w:widowControl/>
        <w:tabs>
          <w:tab w:val="left" w:pos="0"/>
        </w:tabs>
        <w:contextualSpacing/>
        <w:jc w:val="both"/>
        <w:rPr>
          <w:rFonts w:ascii="Verdana" w:eastAsia="Verdana" w:hAnsi="Verdana" w:cs="Verdana"/>
          <w:sz w:val="20"/>
          <w:szCs w:val="20"/>
        </w:rPr>
      </w:pPr>
    </w:p>
    <w:p w:rsidR="002A13C8" w:rsidRPr="008E007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hAnsi="Verdana"/>
          <w:sz w:val="20"/>
          <w:szCs w:val="20"/>
        </w:rPr>
        <w:t xml:space="preserve">El 22 de abril de 1993 el Juzgado Segundo de Primera Instancia decretó prisión provisional en contra de Roberto Girón y Pedro Castillo Mendoza, indicando que </w:t>
      </w:r>
      <w:r w:rsidR="00D73872" w:rsidRPr="008E0075">
        <w:rPr>
          <w:rFonts w:ascii="Verdana" w:hAnsi="Verdana"/>
          <w:sz w:val="20"/>
          <w:szCs w:val="20"/>
        </w:rPr>
        <w:t>“</w:t>
      </w:r>
      <w:r w:rsidRPr="008E0075">
        <w:rPr>
          <w:rFonts w:ascii="Verdana" w:hAnsi="Verdana"/>
          <w:sz w:val="20"/>
          <w:szCs w:val="20"/>
        </w:rPr>
        <w:t xml:space="preserve">para decretar el auto de prisión provisional será necesario: i) que proceda información de haberse cometido un delito; ii) Que concurran motivos </w:t>
      </w:r>
      <w:r w:rsidR="00A55831">
        <w:rPr>
          <w:rFonts w:ascii="Verdana" w:hAnsi="Verdana"/>
          <w:sz w:val="20"/>
          <w:szCs w:val="20"/>
        </w:rPr>
        <w:t xml:space="preserve">suficientes </w:t>
      </w:r>
      <w:r w:rsidRPr="008E0075">
        <w:rPr>
          <w:rFonts w:ascii="Verdana" w:hAnsi="Verdana"/>
          <w:sz w:val="20"/>
          <w:szCs w:val="20"/>
        </w:rPr>
        <w:t>racionales par</w:t>
      </w:r>
      <w:r w:rsidR="008637D1" w:rsidRPr="008E0075">
        <w:rPr>
          <w:rFonts w:ascii="Verdana" w:hAnsi="Verdana"/>
          <w:sz w:val="20"/>
          <w:szCs w:val="20"/>
        </w:rPr>
        <w:t>a creer que la persona detenida</w:t>
      </w:r>
      <w:r w:rsidRPr="008E0075">
        <w:rPr>
          <w:rFonts w:ascii="Verdana" w:hAnsi="Verdana"/>
          <w:sz w:val="20"/>
          <w:szCs w:val="20"/>
        </w:rPr>
        <w:t xml:space="preserve"> lo ha cometido o participado en él. Del estudio de autos se desprende que dentro del presente proceso e</w:t>
      </w:r>
      <w:r w:rsidR="00A55831">
        <w:rPr>
          <w:rFonts w:ascii="Verdana" w:hAnsi="Verdana"/>
          <w:sz w:val="20"/>
          <w:szCs w:val="20"/>
        </w:rPr>
        <w:t>xiste mérito para decretarse la medida</w:t>
      </w:r>
      <w:r w:rsidRPr="008E0075">
        <w:rPr>
          <w:rFonts w:ascii="Verdana" w:hAnsi="Verdana"/>
          <w:sz w:val="20"/>
          <w:szCs w:val="20"/>
        </w:rPr>
        <w:t xml:space="preserve"> de prisión provisional en contra de los encartados ya identificados</w:t>
      </w:r>
      <w:r w:rsidR="00F31AEB">
        <w:rPr>
          <w:rFonts w:ascii="Verdana" w:hAnsi="Verdana"/>
          <w:sz w:val="20"/>
          <w:szCs w:val="20"/>
        </w:rPr>
        <w:t xml:space="preserve"> […]</w:t>
      </w:r>
      <w:r w:rsidRPr="008E0075">
        <w:rPr>
          <w:rFonts w:ascii="Verdana" w:hAnsi="Verdana"/>
          <w:sz w:val="20"/>
          <w:szCs w:val="20"/>
        </w:rPr>
        <w:t>, por lo que se debe de resolver lo que en derecho corresponda</w:t>
      </w:r>
      <w:r w:rsidR="00D73872" w:rsidRPr="008E0075">
        <w:rPr>
          <w:rFonts w:ascii="Verdana" w:hAnsi="Verdana"/>
          <w:sz w:val="20"/>
          <w:szCs w:val="20"/>
        </w:rPr>
        <w:t>”</w:t>
      </w:r>
      <w:r w:rsidRPr="008E0075">
        <w:rPr>
          <w:rStyle w:val="Refdenotaalpie"/>
          <w:rFonts w:ascii="Verdana" w:hAnsi="Verdana"/>
          <w:sz w:val="20"/>
          <w:szCs w:val="20"/>
        </w:rPr>
        <w:footnoteReference w:id="31"/>
      </w:r>
      <w:r w:rsidRPr="008E0075">
        <w:rPr>
          <w:rFonts w:ascii="Verdana" w:hAnsi="Verdana"/>
          <w:sz w:val="20"/>
          <w:szCs w:val="20"/>
        </w:rPr>
        <w:t xml:space="preserve">. </w:t>
      </w:r>
    </w:p>
    <w:p w:rsidR="002A13C8" w:rsidRPr="00A55831" w:rsidRDefault="002A13C8" w:rsidP="000615D6">
      <w:pPr>
        <w:pStyle w:val="Prrafodelista"/>
        <w:spacing w:after="0" w:line="240" w:lineRule="auto"/>
        <w:rPr>
          <w:rFonts w:ascii="Verdana" w:eastAsia="Verdana" w:hAnsi="Verdana" w:cs="Verdana"/>
          <w:sz w:val="20"/>
          <w:szCs w:val="20"/>
          <w:lang w:val="es-CR"/>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eastAsia="Verdana" w:hAnsi="Verdana" w:cs="Verdana"/>
          <w:sz w:val="20"/>
          <w:szCs w:val="20"/>
        </w:rPr>
        <w:t xml:space="preserve">El </w:t>
      </w:r>
      <w:r w:rsidR="00BC0365">
        <w:rPr>
          <w:rFonts w:ascii="Verdana" w:hAnsi="Verdana"/>
          <w:sz w:val="20"/>
          <w:szCs w:val="20"/>
        </w:rPr>
        <w:t>27 de abril de 1993 LC</w:t>
      </w:r>
      <w:r w:rsidRPr="008E0075">
        <w:rPr>
          <w:rFonts w:ascii="Verdana" w:hAnsi="Verdana"/>
          <w:sz w:val="20"/>
          <w:szCs w:val="20"/>
        </w:rPr>
        <w:t>C fue nombrado como defensor de oficio de Roberto Girón</w:t>
      </w:r>
      <w:r w:rsidRPr="008E0075">
        <w:rPr>
          <w:rStyle w:val="Refdenotaalpie"/>
          <w:rFonts w:ascii="Verdana" w:hAnsi="Verdana"/>
          <w:sz w:val="20"/>
          <w:szCs w:val="20"/>
        </w:rPr>
        <w:footnoteReference w:id="32"/>
      </w:r>
      <w:r w:rsidR="00A55831">
        <w:rPr>
          <w:rFonts w:ascii="Verdana" w:hAnsi="Verdana"/>
          <w:sz w:val="20"/>
          <w:szCs w:val="20"/>
        </w:rPr>
        <w:t>. También</w:t>
      </w:r>
      <w:r w:rsidR="00BC0365">
        <w:rPr>
          <w:rFonts w:ascii="Verdana" w:hAnsi="Verdana"/>
          <w:sz w:val="20"/>
          <w:szCs w:val="20"/>
        </w:rPr>
        <w:t xml:space="preserve"> </w:t>
      </w:r>
      <w:proofErr w:type="spellStart"/>
      <w:r w:rsidR="007B79F8" w:rsidRPr="003451D7">
        <w:rPr>
          <w:rFonts w:ascii="Verdana" w:hAnsi="Verdana"/>
          <w:sz w:val="20"/>
          <w:szCs w:val="20"/>
          <w:lang w:val="es-ES"/>
        </w:rPr>
        <w:t>Edy</w:t>
      </w:r>
      <w:proofErr w:type="spellEnd"/>
      <w:r w:rsidR="007B79F8" w:rsidRPr="003451D7">
        <w:rPr>
          <w:rFonts w:ascii="Verdana" w:hAnsi="Verdana"/>
          <w:sz w:val="20"/>
          <w:szCs w:val="20"/>
          <w:lang w:val="es-ES"/>
        </w:rPr>
        <w:t xml:space="preserve"> Iván Bocanegra Conde</w:t>
      </w:r>
      <w:r w:rsidR="007B79F8" w:rsidDel="007B79F8">
        <w:rPr>
          <w:rFonts w:ascii="Verdana" w:hAnsi="Verdana"/>
          <w:sz w:val="20"/>
          <w:szCs w:val="20"/>
        </w:rPr>
        <w:t xml:space="preserve"> </w:t>
      </w:r>
      <w:r w:rsidR="00F31AEB">
        <w:rPr>
          <w:rFonts w:ascii="Verdana" w:hAnsi="Verdana"/>
          <w:sz w:val="20"/>
          <w:szCs w:val="20"/>
        </w:rPr>
        <w:t>fue</w:t>
      </w:r>
      <w:r w:rsidR="001C5AFC">
        <w:rPr>
          <w:rFonts w:ascii="Verdana" w:hAnsi="Verdana"/>
          <w:sz w:val="20"/>
          <w:szCs w:val="20"/>
        </w:rPr>
        <w:t xml:space="preserve"> nombrado </w:t>
      </w:r>
      <w:r w:rsidRPr="008E0075">
        <w:rPr>
          <w:rFonts w:ascii="Verdana" w:hAnsi="Verdana"/>
          <w:sz w:val="20"/>
          <w:szCs w:val="20"/>
        </w:rPr>
        <w:t>como defensor de oficio de Pedro Castillo Mendoza. Ambos eran estudiantes de derecho y no abogados en ejercicio</w:t>
      </w:r>
      <w:r w:rsidRPr="008E0075">
        <w:rPr>
          <w:rStyle w:val="Refdenotaalpie"/>
          <w:rFonts w:ascii="Verdana" w:hAnsi="Verdana"/>
          <w:sz w:val="20"/>
          <w:szCs w:val="20"/>
        </w:rPr>
        <w:footnoteReference w:id="33"/>
      </w:r>
      <w:r w:rsidRPr="008E0075">
        <w:rPr>
          <w:rFonts w:ascii="Verdana" w:hAnsi="Verdana"/>
          <w:sz w:val="20"/>
          <w:szCs w:val="20"/>
        </w:rPr>
        <w:t xml:space="preserve">. </w:t>
      </w:r>
    </w:p>
    <w:p w:rsidR="002077F5" w:rsidRPr="008E0075" w:rsidRDefault="002077F5" w:rsidP="002077F5">
      <w:pPr>
        <w:pStyle w:val="Normal1"/>
        <w:widowControl/>
        <w:tabs>
          <w:tab w:val="left" w:pos="0"/>
        </w:tabs>
        <w:contextualSpacing/>
        <w:jc w:val="both"/>
        <w:rPr>
          <w:rFonts w:ascii="Verdana" w:eastAsia="Verdana" w:hAnsi="Verdana" w:cs="Verdana"/>
          <w:sz w:val="20"/>
          <w:szCs w:val="20"/>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hAnsi="Verdana"/>
          <w:sz w:val="20"/>
          <w:szCs w:val="20"/>
        </w:rPr>
        <w:t xml:space="preserve">El 5 de mayo de 1993 el Juez </w:t>
      </w:r>
      <w:r w:rsidR="00D73872" w:rsidRPr="008E0075">
        <w:rPr>
          <w:rFonts w:ascii="Verdana" w:hAnsi="Verdana"/>
          <w:sz w:val="20"/>
          <w:szCs w:val="20"/>
        </w:rPr>
        <w:t xml:space="preserve">Segundo de Primera Instancia </w:t>
      </w:r>
      <w:r w:rsidRPr="008E0075">
        <w:rPr>
          <w:rFonts w:ascii="Verdana" w:hAnsi="Verdana"/>
          <w:sz w:val="20"/>
          <w:szCs w:val="20"/>
        </w:rPr>
        <w:t>realizó un careo entre los procesados. En el acta correspondiente se indicó que en la práctica de la diligencia solo e</w:t>
      </w:r>
      <w:r w:rsidR="00F10091">
        <w:rPr>
          <w:rFonts w:ascii="Verdana" w:hAnsi="Verdana"/>
          <w:sz w:val="20"/>
          <w:szCs w:val="20"/>
        </w:rPr>
        <w:t xml:space="preserve">staban presentes los procesados, </w:t>
      </w:r>
      <w:r w:rsidRPr="008E0075">
        <w:rPr>
          <w:rFonts w:ascii="Verdana" w:hAnsi="Verdana"/>
          <w:sz w:val="20"/>
          <w:szCs w:val="20"/>
        </w:rPr>
        <w:t>no así sus correspondientes defensores</w:t>
      </w:r>
      <w:r w:rsidR="00F10091">
        <w:rPr>
          <w:rFonts w:ascii="Verdana" w:hAnsi="Verdana"/>
          <w:sz w:val="20"/>
          <w:szCs w:val="20"/>
        </w:rPr>
        <w:t>,</w:t>
      </w:r>
      <w:r w:rsidRPr="008E0075">
        <w:rPr>
          <w:rFonts w:ascii="Verdana" w:hAnsi="Verdana"/>
          <w:sz w:val="20"/>
          <w:szCs w:val="20"/>
        </w:rPr>
        <w:t xml:space="preserve"> y que no se pusieron de acuerdo en cuanto “a cada uno de los aspectos” relacionados con lo</w:t>
      </w:r>
      <w:r w:rsidR="00B953D0" w:rsidRPr="008E0075">
        <w:rPr>
          <w:rFonts w:ascii="Verdana" w:hAnsi="Verdana"/>
          <w:sz w:val="20"/>
          <w:szCs w:val="20"/>
        </w:rPr>
        <w:t>s</w:t>
      </w:r>
      <w:r w:rsidRPr="008E0075">
        <w:rPr>
          <w:rFonts w:ascii="Verdana" w:hAnsi="Verdana"/>
          <w:sz w:val="20"/>
          <w:szCs w:val="20"/>
        </w:rPr>
        <w:t xml:space="preserve"> hechos</w:t>
      </w:r>
      <w:r w:rsidRPr="008E0075">
        <w:rPr>
          <w:rStyle w:val="Refdenotaalpie"/>
          <w:rFonts w:ascii="Verdana" w:hAnsi="Verdana"/>
          <w:sz w:val="20"/>
          <w:szCs w:val="20"/>
        </w:rPr>
        <w:footnoteReference w:id="34"/>
      </w:r>
      <w:r w:rsidRPr="008E0075">
        <w:rPr>
          <w:rFonts w:ascii="Verdana" w:hAnsi="Verdana"/>
          <w:sz w:val="20"/>
          <w:szCs w:val="20"/>
        </w:rPr>
        <w:t xml:space="preserve">. </w:t>
      </w:r>
    </w:p>
    <w:p w:rsidR="002077F5" w:rsidRPr="008E0075" w:rsidRDefault="002077F5" w:rsidP="002077F5">
      <w:pPr>
        <w:pStyle w:val="Normal1"/>
        <w:widowControl/>
        <w:tabs>
          <w:tab w:val="left" w:pos="0"/>
        </w:tabs>
        <w:contextualSpacing/>
        <w:jc w:val="both"/>
        <w:rPr>
          <w:rFonts w:ascii="Verdana" w:eastAsia="Verdana" w:hAnsi="Verdana" w:cs="Verdana"/>
          <w:sz w:val="20"/>
          <w:szCs w:val="20"/>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hAnsi="Verdana"/>
          <w:sz w:val="20"/>
          <w:szCs w:val="20"/>
        </w:rPr>
        <w:lastRenderedPageBreak/>
        <w:t xml:space="preserve">El 12 de mayo de 1993 </w:t>
      </w:r>
      <w:r w:rsidR="00EE4E6A" w:rsidRPr="008E0075">
        <w:rPr>
          <w:rFonts w:ascii="Verdana" w:hAnsi="Verdana"/>
          <w:sz w:val="20"/>
          <w:szCs w:val="20"/>
        </w:rPr>
        <w:t xml:space="preserve">el </w:t>
      </w:r>
      <w:r w:rsidR="00EE4E6A" w:rsidRPr="008E0075">
        <w:rPr>
          <w:rFonts w:ascii="Verdana" w:hAnsi="Verdana" w:cs="Arial"/>
          <w:sz w:val="20"/>
          <w:szCs w:val="20"/>
        </w:rPr>
        <w:t>Juzgado Primero de Primera Instancia Penal del Departamento de Escuintla</w:t>
      </w:r>
      <w:r w:rsidR="00EE4E6A" w:rsidRPr="008E0075">
        <w:rPr>
          <w:rFonts w:ascii="Verdana" w:hAnsi="Verdana" w:cs="Arial"/>
          <w:sz w:val="16"/>
          <w:szCs w:val="16"/>
        </w:rPr>
        <w:t xml:space="preserve"> </w:t>
      </w:r>
      <w:r w:rsidR="00EE4E6A" w:rsidRPr="008E0075">
        <w:rPr>
          <w:rFonts w:ascii="Verdana" w:hAnsi="Verdana"/>
          <w:sz w:val="20"/>
          <w:szCs w:val="20"/>
        </w:rPr>
        <w:t xml:space="preserve">decidió abrir </w:t>
      </w:r>
      <w:r w:rsidRPr="008E0075">
        <w:rPr>
          <w:rFonts w:ascii="Verdana" w:hAnsi="Verdana"/>
          <w:sz w:val="20"/>
          <w:szCs w:val="20"/>
        </w:rPr>
        <w:t>juicio penal contra Roberto Girón y Pedro Castillo Mendoza por el delito de violación calificada</w:t>
      </w:r>
      <w:r w:rsidRPr="008E0075">
        <w:rPr>
          <w:rStyle w:val="Refdenotaalpie"/>
          <w:rFonts w:ascii="Verdana" w:hAnsi="Verdana"/>
          <w:sz w:val="20"/>
          <w:szCs w:val="20"/>
        </w:rPr>
        <w:footnoteReference w:id="35"/>
      </w:r>
      <w:r w:rsidRPr="008E0075">
        <w:rPr>
          <w:rFonts w:ascii="Verdana" w:hAnsi="Verdana"/>
          <w:sz w:val="20"/>
          <w:szCs w:val="20"/>
        </w:rPr>
        <w:t>. Los días 2</w:t>
      </w:r>
      <w:r w:rsidRPr="008E0075">
        <w:rPr>
          <w:rStyle w:val="Refdenotaalpie"/>
          <w:rFonts w:ascii="Verdana" w:hAnsi="Verdana"/>
          <w:sz w:val="20"/>
          <w:szCs w:val="20"/>
        </w:rPr>
        <w:footnoteReference w:id="36"/>
      </w:r>
      <w:r w:rsidRPr="008E0075">
        <w:rPr>
          <w:rFonts w:ascii="Verdana" w:hAnsi="Verdana"/>
          <w:sz w:val="20"/>
          <w:szCs w:val="20"/>
        </w:rPr>
        <w:t xml:space="preserve"> y 14 de junio</w:t>
      </w:r>
      <w:r w:rsidRPr="008E0075">
        <w:rPr>
          <w:rStyle w:val="Refdenotaalpie"/>
          <w:rFonts w:ascii="Verdana" w:hAnsi="Verdana"/>
          <w:sz w:val="20"/>
          <w:szCs w:val="20"/>
        </w:rPr>
        <w:footnoteReference w:id="37"/>
      </w:r>
      <w:r w:rsidRPr="008E0075">
        <w:rPr>
          <w:rFonts w:ascii="Verdana" w:hAnsi="Verdana"/>
          <w:sz w:val="20"/>
          <w:szCs w:val="20"/>
        </w:rPr>
        <w:t xml:space="preserve"> de 1993 los respectivos defensores presentaron sus alegatos.</w:t>
      </w:r>
      <w:r w:rsidRPr="008E0075">
        <w:rPr>
          <w:rFonts w:ascii="Verdana" w:hAnsi="Verdana"/>
          <w:b/>
          <w:sz w:val="20"/>
          <w:szCs w:val="20"/>
        </w:rPr>
        <w:t xml:space="preserve"> </w:t>
      </w:r>
    </w:p>
    <w:p w:rsidR="002077F5" w:rsidRPr="008E0075" w:rsidRDefault="002077F5" w:rsidP="002077F5">
      <w:pPr>
        <w:pStyle w:val="Normal1"/>
        <w:widowControl/>
        <w:tabs>
          <w:tab w:val="left" w:pos="0"/>
        </w:tabs>
        <w:contextualSpacing/>
        <w:jc w:val="both"/>
        <w:rPr>
          <w:rFonts w:ascii="Verdana" w:eastAsia="Verdana" w:hAnsi="Verdana" w:cs="Verdana"/>
          <w:sz w:val="20"/>
          <w:szCs w:val="20"/>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hAnsi="Verdana"/>
          <w:sz w:val="20"/>
          <w:szCs w:val="20"/>
        </w:rPr>
        <w:t>El 18 de junio de 1993 el Juzgado Primero de Primera Instancia Penal de Sentencia de Escuintla resolvió abrir a prueba el proceso, y señaló vista públ</w:t>
      </w:r>
      <w:r w:rsidR="00B87054" w:rsidRPr="008E0075">
        <w:rPr>
          <w:rFonts w:ascii="Verdana" w:hAnsi="Verdana"/>
          <w:sz w:val="20"/>
          <w:szCs w:val="20"/>
        </w:rPr>
        <w:t xml:space="preserve">ica para el 29 de julio de 1993 y </w:t>
      </w:r>
      <w:r w:rsidRPr="008E0075">
        <w:rPr>
          <w:rFonts w:ascii="Verdana" w:hAnsi="Verdana"/>
          <w:sz w:val="20"/>
          <w:szCs w:val="20"/>
        </w:rPr>
        <w:t>se programó la diligencia para recibir las declaraciones de CECL</w:t>
      </w:r>
      <w:r w:rsidR="00B87054" w:rsidRPr="008E0075">
        <w:rPr>
          <w:rFonts w:ascii="Verdana" w:hAnsi="Verdana"/>
          <w:sz w:val="20"/>
          <w:szCs w:val="20"/>
        </w:rPr>
        <w:t>, JECT</w:t>
      </w:r>
      <w:r w:rsidR="008D7D36">
        <w:rPr>
          <w:rFonts w:ascii="Verdana" w:hAnsi="Verdana"/>
          <w:sz w:val="20"/>
          <w:szCs w:val="20"/>
        </w:rPr>
        <w:t>,</w:t>
      </w:r>
      <w:r w:rsidRPr="008E0075">
        <w:rPr>
          <w:rFonts w:ascii="Verdana" w:hAnsi="Verdana"/>
          <w:sz w:val="20"/>
          <w:szCs w:val="20"/>
        </w:rPr>
        <w:t xml:space="preserve"> PJR y </w:t>
      </w:r>
      <w:r w:rsidR="00B87054" w:rsidRPr="008E0075">
        <w:rPr>
          <w:rFonts w:ascii="Verdana" w:hAnsi="Verdana"/>
          <w:sz w:val="20"/>
          <w:szCs w:val="20"/>
        </w:rPr>
        <w:t>JCME</w:t>
      </w:r>
      <w:r w:rsidRPr="008E0075">
        <w:rPr>
          <w:rFonts w:ascii="Verdana" w:hAnsi="Verdana"/>
          <w:sz w:val="20"/>
          <w:szCs w:val="20"/>
        </w:rPr>
        <w:t>. Sin embargo, la misma no se llevó a cabo porque el interrogatorio “presentad[o] por el defensor de[l señor Girón] […] al ser abiert[o] y calificad[o] por el Juez, no se enc[ontraba] firmad[o] ni t[enía] la fecha respectiva”</w:t>
      </w:r>
      <w:r w:rsidR="007C1952" w:rsidRPr="007C1952">
        <w:rPr>
          <w:rStyle w:val="Refdenotaalpie"/>
          <w:rFonts w:ascii="Verdana" w:hAnsi="Verdana"/>
          <w:sz w:val="20"/>
          <w:szCs w:val="20"/>
        </w:rPr>
        <w:t xml:space="preserve"> </w:t>
      </w:r>
      <w:r w:rsidR="007C1952" w:rsidRPr="008E0075">
        <w:rPr>
          <w:rStyle w:val="Refdenotaalpie"/>
          <w:rFonts w:ascii="Verdana" w:hAnsi="Verdana"/>
          <w:sz w:val="20"/>
          <w:szCs w:val="20"/>
        </w:rPr>
        <w:footnoteReference w:id="38"/>
      </w:r>
      <w:r w:rsidRPr="008E0075">
        <w:rPr>
          <w:rFonts w:ascii="Verdana" w:hAnsi="Verdana"/>
          <w:sz w:val="20"/>
          <w:szCs w:val="20"/>
        </w:rPr>
        <w:t xml:space="preserve">. </w:t>
      </w:r>
    </w:p>
    <w:p w:rsidR="002077F5" w:rsidRPr="008E0075" w:rsidRDefault="002077F5" w:rsidP="002077F5">
      <w:pPr>
        <w:pStyle w:val="Normal1"/>
        <w:widowControl/>
        <w:tabs>
          <w:tab w:val="left" w:pos="0"/>
        </w:tabs>
        <w:contextualSpacing/>
        <w:jc w:val="both"/>
        <w:rPr>
          <w:rFonts w:ascii="Verdana" w:eastAsia="Verdana" w:hAnsi="Verdana" w:cs="Verdana"/>
          <w:sz w:val="20"/>
          <w:szCs w:val="20"/>
        </w:rPr>
      </w:pPr>
    </w:p>
    <w:p w:rsidR="0013597F" w:rsidRPr="008E0075" w:rsidRDefault="0013597F" w:rsidP="002077F5">
      <w:pPr>
        <w:pStyle w:val="Normal1"/>
        <w:widowControl/>
        <w:numPr>
          <w:ilvl w:val="0"/>
          <w:numId w:val="3"/>
        </w:numPr>
        <w:tabs>
          <w:tab w:val="left" w:pos="0"/>
        </w:tabs>
        <w:ind w:left="0" w:firstLine="0"/>
        <w:contextualSpacing/>
        <w:jc w:val="both"/>
        <w:rPr>
          <w:rFonts w:ascii="Verdana" w:eastAsia="Verdana" w:hAnsi="Verdana" w:cs="Verdana"/>
          <w:sz w:val="20"/>
          <w:szCs w:val="20"/>
        </w:rPr>
      </w:pPr>
      <w:r w:rsidRPr="008E0075">
        <w:rPr>
          <w:rFonts w:ascii="Verdana" w:hAnsi="Verdana"/>
          <w:sz w:val="20"/>
          <w:szCs w:val="20"/>
        </w:rPr>
        <w:t xml:space="preserve">El 4 de octubre de 1993 el Juzgado Primero de Primera Instancia Penal de Sentencia de Escuintla </w:t>
      </w:r>
      <w:r w:rsidR="00A409FC">
        <w:rPr>
          <w:rFonts w:ascii="Verdana" w:hAnsi="Verdana"/>
          <w:sz w:val="20"/>
          <w:szCs w:val="20"/>
        </w:rPr>
        <w:t xml:space="preserve">(en adelante también “Juzgado Primero de Primera Intancia”) </w:t>
      </w:r>
      <w:r w:rsidRPr="008E0075">
        <w:rPr>
          <w:rFonts w:ascii="Verdana" w:hAnsi="Verdana"/>
          <w:sz w:val="20"/>
          <w:szCs w:val="20"/>
        </w:rPr>
        <w:t xml:space="preserve">dictó sentencia condenatoria, en los términos siguientes: </w:t>
      </w:r>
    </w:p>
    <w:p w:rsidR="00FE567C" w:rsidRPr="008E0075" w:rsidRDefault="00FE567C" w:rsidP="000615D6">
      <w:pPr>
        <w:spacing w:after="0" w:line="240" w:lineRule="auto"/>
        <w:ind w:left="720" w:right="720"/>
        <w:jc w:val="both"/>
        <w:rPr>
          <w:rFonts w:ascii="Verdana" w:hAnsi="Verdana"/>
          <w:sz w:val="20"/>
          <w:szCs w:val="20"/>
          <w:lang w:val="es-CR"/>
        </w:rPr>
      </w:pPr>
    </w:p>
    <w:p w:rsidR="00FE567C" w:rsidRPr="008E0075" w:rsidRDefault="00A55831" w:rsidP="000615D6">
      <w:pPr>
        <w:spacing w:after="0" w:line="240" w:lineRule="auto"/>
        <w:ind w:left="720" w:right="720"/>
        <w:jc w:val="both"/>
        <w:rPr>
          <w:rFonts w:ascii="Verdana" w:hAnsi="Verdana"/>
          <w:sz w:val="16"/>
          <w:szCs w:val="20"/>
          <w:lang w:val="es-CR"/>
        </w:rPr>
      </w:pPr>
      <w:r>
        <w:rPr>
          <w:rFonts w:ascii="Verdana" w:hAnsi="Verdana"/>
          <w:sz w:val="16"/>
          <w:szCs w:val="20"/>
          <w:lang w:val="es-CR"/>
        </w:rPr>
        <w:t>a</w:t>
      </w:r>
      <w:r w:rsidR="00FE567C" w:rsidRPr="008E0075">
        <w:rPr>
          <w:rFonts w:ascii="Verdana" w:hAnsi="Verdana"/>
          <w:sz w:val="16"/>
          <w:szCs w:val="20"/>
          <w:lang w:val="es-CR"/>
        </w:rPr>
        <w:t xml:space="preserve">) </w:t>
      </w:r>
      <w:r w:rsidR="0013597F" w:rsidRPr="008E0075">
        <w:rPr>
          <w:rFonts w:ascii="Verdana" w:hAnsi="Verdana"/>
          <w:sz w:val="16"/>
          <w:szCs w:val="20"/>
          <w:lang w:val="es-CR"/>
        </w:rPr>
        <w:t>se concede valor probatorio a la declaración indagatoria prestada por el procesado Roberto Girón, […], ya que constituye una confesión impropia, aceptando hechos que le perjud</w:t>
      </w:r>
      <w:r>
        <w:rPr>
          <w:rFonts w:ascii="Verdana" w:hAnsi="Verdana"/>
          <w:sz w:val="16"/>
          <w:szCs w:val="20"/>
          <w:lang w:val="es-CR"/>
        </w:rPr>
        <w:t>ican, como […] que le encontraron</w:t>
      </w:r>
      <w:r w:rsidR="008B7E0D">
        <w:rPr>
          <w:rFonts w:ascii="Verdana" w:hAnsi="Verdana"/>
          <w:sz w:val="16"/>
          <w:szCs w:val="20"/>
          <w:lang w:val="es-CR"/>
        </w:rPr>
        <w:t xml:space="preserve"> </w:t>
      </w:r>
      <w:r w:rsidR="0013597F" w:rsidRPr="008E0075">
        <w:rPr>
          <w:rFonts w:ascii="Verdana" w:hAnsi="Verdana"/>
          <w:sz w:val="16"/>
          <w:szCs w:val="20"/>
          <w:lang w:val="es-CR"/>
        </w:rPr>
        <w:t xml:space="preserve">un machete que tenía sangre; </w:t>
      </w:r>
    </w:p>
    <w:p w:rsidR="00092103" w:rsidRPr="008E0075" w:rsidRDefault="00092103" w:rsidP="000615D6">
      <w:pPr>
        <w:spacing w:after="0" w:line="240" w:lineRule="auto"/>
        <w:ind w:left="720" w:right="720"/>
        <w:jc w:val="both"/>
        <w:rPr>
          <w:rFonts w:ascii="Verdana" w:hAnsi="Verdana"/>
          <w:sz w:val="16"/>
          <w:szCs w:val="20"/>
          <w:lang w:val="es-CR"/>
        </w:rPr>
      </w:pPr>
    </w:p>
    <w:p w:rsidR="0013597F" w:rsidRPr="008E0075" w:rsidRDefault="00A55831" w:rsidP="000615D6">
      <w:pPr>
        <w:spacing w:after="0" w:line="240" w:lineRule="auto"/>
        <w:ind w:left="720" w:right="720"/>
        <w:jc w:val="both"/>
        <w:rPr>
          <w:rFonts w:ascii="Verdana" w:hAnsi="Verdana"/>
          <w:b/>
          <w:sz w:val="16"/>
          <w:szCs w:val="16"/>
          <w:lang w:val="es-CR"/>
        </w:rPr>
      </w:pPr>
      <w:r>
        <w:rPr>
          <w:rFonts w:ascii="Verdana" w:hAnsi="Verdana"/>
          <w:sz w:val="16"/>
          <w:szCs w:val="16"/>
          <w:lang w:val="es-CR"/>
        </w:rPr>
        <w:t>b</w:t>
      </w:r>
      <w:r w:rsidR="0013597F" w:rsidRPr="008E0075">
        <w:rPr>
          <w:rFonts w:ascii="Verdana" w:hAnsi="Verdana"/>
          <w:sz w:val="16"/>
          <w:szCs w:val="16"/>
          <w:lang w:val="es-CR"/>
        </w:rPr>
        <w:t>) se concede valor probatorio a la declaración indagatoria prestada por Pedro Castillo Mendoza, [la cual…] constituye confesión calificada, [</w:t>
      </w:r>
      <w:r>
        <w:rPr>
          <w:rFonts w:ascii="Verdana" w:hAnsi="Verdana"/>
          <w:sz w:val="16"/>
          <w:szCs w:val="16"/>
          <w:lang w:val="es-CR"/>
        </w:rPr>
        <w:t xml:space="preserve">en la que] indic[a] que el que </w:t>
      </w:r>
      <w:r w:rsidR="008B7E0D">
        <w:rPr>
          <w:rFonts w:ascii="Verdana" w:hAnsi="Verdana"/>
          <w:sz w:val="16"/>
          <w:szCs w:val="16"/>
          <w:lang w:val="es-CR"/>
        </w:rPr>
        <w:t xml:space="preserve">cargaba </w:t>
      </w:r>
      <w:r w:rsidR="0013597F" w:rsidRPr="008E0075">
        <w:rPr>
          <w:rFonts w:ascii="Verdana" w:hAnsi="Verdana"/>
          <w:sz w:val="16"/>
          <w:szCs w:val="16"/>
          <w:lang w:val="es-CR"/>
        </w:rPr>
        <w:t xml:space="preserve">el machete era Roberto Girón y no él; además […], manifestó que era la primera vez que cometía un delito, además de aceptar que no se acordaba de quién había sido la </w:t>
      </w:r>
      <w:r w:rsidR="001823AE" w:rsidRPr="008E0075">
        <w:rPr>
          <w:rFonts w:ascii="Verdana" w:hAnsi="Verdana"/>
          <w:sz w:val="16"/>
          <w:szCs w:val="16"/>
          <w:lang w:val="es-CR"/>
        </w:rPr>
        <w:t xml:space="preserve">idea de cometer el delito </w:t>
      </w:r>
      <w:r w:rsidR="0013597F" w:rsidRPr="008E0075">
        <w:rPr>
          <w:rFonts w:ascii="Verdana" w:hAnsi="Verdana"/>
          <w:sz w:val="16"/>
          <w:szCs w:val="16"/>
          <w:lang w:val="es-CR"/>
        </w:rPr>
        <w:t>investigado y especialmente de actuar de esa manera, porque acepta hechos que le perjudican</w:t>
      </w:r>
      <w:r w:rsidR="0013597F" w:rsidRPr="008E0075">
        <w:rPr>
          <w:rStyle w:val="Refdenotaalpie"/>
          <w:rFonts w:ascii="Verdana" w:hAnsi="Verdana"/>
          <w:sz w:val="16"/>
          <w:szCs w:val="16"/>
          <w:lang w:val="es-CR"/>
        </w:rPr>
        <w:footnoteReference w:id="39"/>
      </w:r>
      <w:r w:rsidR="0013597F" w:rsidRPr="008E0075">
        <w:rPr>
          <w:rFonts w:ascii="Verdana" w:hAnsi="Verdana"/>
          <w:sz w:val="16"/>
          <w:szCs w:val="16"/>
          <w:lang w:val="es-CR"/>
        </w:rPr>
        <w:t xml:space="preserve">. </w:t>
      </w:r>
    </w:p>
    <w:p w:rsidR="002077F5" w:rsidRPr="008E0075" w:rsidRDefault="002077F5" w:rsidP="000615D6">
      <w:pPr>
        <w:spacing w:after="0" w:line="240" w:lineRule="auto"/>
        <w:ind w:left="720" w:right="720"/>
        <w:jc w:val="both"/>
        <w:rPr>
          <w:rFonts w:ascii="Verdana" w:hAnsi="Verdana"/>
          <w:sz w:val="16"/>
          <w:szCs w:val="16"/>
          <w:lang w:val="es-CR"/>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hAnsi="Verdana"/>
          <w:sz w:val="20"/>
          <w:szCs w:val="20"/>
        </w:rPr>
      </w:pPr>
      <w:r w:rsidRPr="008E0075">
        <w:rPr>
          <w:rFonts w:ascii="Verdana" w:hAnsi="Verdana"/>
          <w:sz w:val="20"/>
          <w:szCs w:val="20"/>
        </w:rPr>
        <w:t>Dicho juzgado concluyó que “ROBERTO GIRON, único apellido y PEDRO CASTILLO MENDOZA, son responsables del delito de VIOLACION CALIFICADA, [d]esprendiéndose de la declaración indagatoria de los mismos, donde aceptan los hechos que les perjudican”.  En cuanto a la pena el tribunal expresó que “[p]rescribe nuestra ley adjedit</w:t>
      </w:r>
      <w:r w:rsidR="004F41F1">
        <w:rPr>
          <w:rFonts w:ascii="Verdana" w:hAnsi="Verdana"/>
          <w:sz w:val="20"/>
          <w:szCs w:val="20"/>
        </w:rPr>
        <w:t>i</w:t>
      </w:r>
      <w:r w:rsidRPr="008E0075">
        <w:rPr>
          <w:rFonts w:ascii="Verdana" w:hAnsi="Verdana"/>
          <w:sz w:val="20"/>
          <w:szCs w:val="20"/>
        </w:rPr>
        <w:t>va penal que será sancionado con PENA DE MUERTE, la persona que violare y posteriorme</w:t>
      </w:r>
      <w:r w:rsidR="00D84A54" w:rsidRPr="008E0075">
        <w:rPr>
          <w:rFonts w:ascii="Verdana" w:hAnsi="Verdana"/>
          <w:sz w:val="20"/>
          <w:szCs w:val="20"/>
        </w:rPr>
        <w:t>n</w:t>
      </w:r>
      <w:r w:rsidRPr="008E0075">
        <w:rPr>
          <w:rFonts w:ascii="Verdana" w:hAnsi="Verdana"/>
          <w:sz w:val="20"/>
          <w:szCs w:val="20"/>
        </w:rPr>
        <w:t>te diera muerte a otra que no hubiera cumplido diez años de edad” y que el delito cometido “tiene como única sanción la pena mencionada [en el] Código Penal”</w:t>
      </w:r>
      <w:r w:rsidRPr="008E0075">
        <w:rPr>
          <w:rStyle w:val="Refdenotaalpie"/>
          <w:rFonts w:ascii="Verdana" w:hAnsi="Verdana"/>
          <w:sz w:val="20"/>
          <w:szCs w:val="20"/>
        </w:rPr>
        <w:t xml:space="preserve"> </w:t>
      </w:r>
      <w:r w:rsidRPr="008E0075">
        <w:rPr>
          <w:rStyle w:val="Refdenotaalpie"/>
          <w:rFonts w:ascii="Verdana" w:hAnsi="Verdana"/>
          <w:sz w:val="20"/>
          <w:szCs w:val="20"/>
        </w:rPr>
        <w:footnoteReference w:id="40"/>
      </w:r>
      <w:r w:rsidR="00092103" w:rsidRPr="008E0075">
        <w:rPr>
          <w:rFonts w:ascii="Verdana" w:hAnsi="Verdana"/>
          <w:sz w:val="20"/>
          <w:szCs w:val="20"/>
        </w:rPr>
        <w:t xml:space="preserve"> (mayúsculas del original)</w:t>
      </w:r>
      <w:r w:rsidRPr="008E0075">
        <w:rPr>
          <w:rFonts w:ascii="Verdana" w:hAnsi="Verdana"/>
          <w:sz w:val="20"/>
          <w:szCs w:val="20"/>
        </w:rPr>
        <w:t>.</w:t>
      </w:r>
    </w:p>
    <w:p w:rsidR="002077F5" w:rsidRPr="008E0075" w:rsidRDefault="002077F5" w:rsidP="002077F5">
      <w:pPr>
        <w:pStyle w:val="Normal1"/>
        <w:widowControl/>
        <w:tabs>
          <w:tab w:val="left" w:pos="0"/>
        </w:tabs>
        <w:contextualSpacing/>
        <w:jc w:val="both"/>
        <w:rPr>
          <w:rFonts w:ascii="Verdana" w:hAnsi="Verdana"/>
          <w:sz w:val="20"/>
          <w:szCs w:val="20"/>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hAnsi="Verdana"/>
          <w:sz w:val="20"/>
          <w:szCs w:val="20"/>
        </w:rPr>
      </w:pPr>
      <w:r w:rsidRPr="008E0075">
        <w:rPr>
          <w:rFonts w:ascii="Verdana" w:hAnsi="Verdana"/>
          <w:sz w:val="20"/>
          <w:szCs w:val="20"/>
        </w:rPr>
        <w:t xml:space="preserve">Las presuntas víctimas </w:t>
      </w:r>
      <w:r w:rsidR="008A57C2" w:rsidRPr="00F02941">
        <w:rPr>
          <w:rFonts w:ascii="Verdana" w:hAnsi="Verdana"/>
          <w:sz w:val="20"/>
          <w:szCs w:val="20"/>
        </w:rPr>
        <w:t>y sus representantes al momento de practicarse la notificación interpusieron recursos de apelación de forma oral</w:t>
      </w:r>
      <w:r w:rsidR="008A57C2">
        <w:rPr>
          <w:rFonts w:ascii="Verdana" w:hAnsi="Verdana"/>
          <w:sz w:val="20"/>
          <w:szCs w:val="20"/>
        </w:rPr>
        <w:t xml:space="preserve"> </w:t>
      </w:r>
      <w:r w:rsidRPr="008E0075">
        <w:rPr>
          <w:rFonts w:ascii="Verdana" w:hAnsi="Verdana"/>
          <w:sz w:val="20"/>
          <w:szCs w:val="20"/>
        </w:rPr>
        <w:t xml:space="preserve">contra la sentencia condenatoria. </w:t>
      </w:r>
      <w:r w:rsidRPr="008A57C2">
        <w:rPr>
          <w:rFonts w:ascii="Verdana" w:hAnsi="Verdana"/>
          <w:sz w:val="20"/>
          <w:szCs w:val="20"/>
        </w:rPr>
        <w:t>El 1 de diciembre de 1993 la Sala Duodécima de la Corte de Apelaciones</w:t>
      </w:r>
      <w:r w:rsidR="007A5225" w:rsidRPr="00DD4C57">
        <w:rPr>
          <w:rFonts w:ascii="Verdana" w:hAnsi="Verdana"/>
          <w:sz w:val="20"/>
          <w:szCs w:val="20"/>
        </w:rPr>
        <w:t xml:space="preserve"> (en adelante también “la Sala”)</w:t>
      </w:r>
      <w:r w:rsidRPr="00DD4C57">
        <w:rPr>
          <w:rFonts w:ascii="Verdana" w:hAnsi="Verdana"/>
          <w:sz w:val="20"/>
          <w:szCs w:val="20"/>
        </w:rPr>
        <w:t xml:space="preserve"> denegó los recursos al compartir el criterio dado por el juez de primera instancia, en </w:t>
      </w:r>
      <w:r w:rsidRPr="00DD4C57">
        <w:rPr>
          <w:rFonts w:ascii="Verdana" w:hAnsi="Verdana"/>
          <w:sz w:val="20"/>
          <w:szCs w:val="20"/>
        </w:rPr>
        <w:lastRenderedPageBreak/>
        <w:t>cuanto a la participación en calidad de autores y concurrencia de los requisitos del tipo penal de la violación calificada, y en cuanto a los medios de pruebas existentes le otorga el mismo valor probatorio reproduciendo la sentencia de primera instancia y sustituyéndola en lo relativo a la responsabilidad civil</w:t>
      </w:r>
      <w:r w:rsidRPr="008A57C2">
        <w:rPr>
          <w:rStyle w:val="Refdenotaalpie"/>
          <w:rFonts w:ascii="Verdana" w:hAnsi="Verdana"/>
          <w:sz w:val="20"/>
          <w:szCs w:val="20"/>
        </w:rPr>
        <w:footnoteReference w:id="41"/>
      </w:r>
      <w:r w:rsidRPr="008A57C2">
        <w:rPr>
          <w:rFonts w:ascii="Verdana" w:hAnsi="Verdana"/>
          <w:sz w:val="20"/>
          <w:szCs w:val="20"/>
        </w:rPr>
        <w:t>.</w:t>
      </w:r>
      <w:r w:rsidRPr="008E0075">
        <w:rPr>
          <w:rFonts w:ascii="Verdana" w:hAnsi="Verdana"/>
          <w:sz w:val="20"/>
          <w:szCs w:val="20"/>
        </w:rPr>
        <w:t xml:space="preserve"> </w:t>
      </w:r>
    </w:p>
    <w:p w:rsidR="002077F5" w:rsidRPr="008E0075" w:rsidRDefault="002077F5" w:rsidP="002077F5">
      <w:pPr>
        <w:pStyle w:val="Normal1"/>
        <w:widowControl/>
        <w:tabs>
          <w:tab w:val="left" w:pos="0"/>
        </w:tabs>
        <w:contextualSpacing/>
        <w:jc w:val="both"/>
        <w:rPr>
          <w:rFonts w:ascii="Verdana" w:hAnsi="Verdana"/>
          <w:sz w:val="20"/>
          <w:szCs w:val="20"/>
        </w:rPr>
      </w:pPr>
    </w:p>
    <w:p w:rsidR="002077F5" w:rsidRPr="007C73F2" w:rsidRDefault="0013597F" w:rsidP="002077F5">
      <w:pPr>
        <w:pStyle w:val="Normal1"/>
        <w:widowControl/>
        <w:numPr>
          <w:ilvl w:val="0"/>
          <w:numId w:val="3"/>
        </w:numPr>
        <w:tabs>
          <w:tab w:val="left" w:pos="0"/>
        </w:tabs>
        <w:ind w:left="0" w:firstLine="0"/>
        <w:contextualSpacing/>
        <w:jc w:val="both"/>
        <w:rPr>
          <w:rFonts w:ascii="Verdana" w:hAnsi="Verdana"/>
          <w:sz w:val="20"/>
          <w:szCs w:val="20"/>
        </w:rPr>
      </w:pPr>
      <w:r w:rsidRPr="008E0075">
        <w:rPr>
          <w:rFonts w:ascii="Verdana" w:hAnsi="Verdana"/>
          <w:sz w:val="20"/>
          <w:szCs w:val="20"/>
        </w:rPr>
        <w:t>En contra de esa decisión las presuntas víctimas interpusieron recursos de casación ante la Corte Suprema de Justicia. El defensor de Pedro Castillo Mendoza alegó que: i) la Sala no tomó en cuenta los elementos atenuantes a favor de su defendido como lo son la confesión durante la declaración indagatoria y no tener ningún antecedente penal anterior; ii) la niña murió por las heridas en el cuello y no por violación y su patrocinado no portaba machete ni se le vio con este, de lo cual se deduce que su defendido no fue quien dio muerte a la ofendida, sino que únicamente tuvo participación en la violación</w:t>
      </w:r>
      <w:r w:rsidRPr="008E0075">
        <w:rPr>
          <w:rStyle w:val="Refdenotaalpie"/>
          <w:rFonts w:ascii="Verdana" w:hAnsi="Verdana"/>
          <w:sz w:val="20"/>
          <w:szCs w:val="20"/>
        </w:rPr>
        <w:footnoteReference w:id="42"/>
      </w:r>
      <w:r w:rsidRPr="008E0075">
        <w:rPr>
          <w:rFonts w:ascii="Verdana" w:hAnsi="Verdana"/>
          <w:sz w:val="20"/>
          <w:szCs w:val="20"/>
        </w:rPr>
        <w:t>. El defensor de Roberto Girón argumentó que la Sala incurrió en error en la imposición de la pena de muerte</w:t>
      </w:r>
      <w:r w:rsidR="00A67FE1">
        <w:rPr>
          <w:rFonts w:ascii="Verdana" w:hAnsi="Verdana"/>
          <w:sz w:val="20"/>
          <w:szCs w:val="20"/>
        </w:rPr>
        <w:t>,</w:t>
      </w:r>
      <w:r w:rsidRPr="008E0075">
        <w:rPr>
          <w:rFonts w:ascii="Verdana" w:hAnsi="Verdana"/>
          <w:sz w:val="20"/>
          <w:szCs w:val="20"/>
        </w:rPr>
        <w:t xml:space="preserve"> porque no relacionó cada uno de los medios de prueba con los restantes ni consta el razonamiento sobre los motivos que pudiera tener para estimar o desestimar los medios de prueba y llegar a conclusiones con certeza jurídica</w:t>
      </w:r>
      <w:r w:rsidRPr="008E0075">
        <w:rPr>
          <w:rStyle w:val="Refdenotaalpie"/>
          <w:rFonts w:ascii="Verdana" w:hAnsi="Verdana"/>
          <w:sz w:val="20"/>
          <w:szCs w:val="20"/>
        </w:rPr>
        <w:footnoteReference w:id="43"/>
      </w:r>
      <w:r w:rsidRPr="008E0075">
        <w:rPr>
          <w:rFonts w:ascii="Verdana" w:hAnsi="Verdana"/>
          <w:sz w:val="20"/>
          <w:szCs w:val="20"/>
        </w:rPr>
        <w:t xml:space="preserve">. </w:t>
      </w:r>
    </w:p>
    <w:p w:rsidR="00E34E09" w:rsidRPr="008E0075" w:rsidRDefault="00E34E09" w:rsidP="007C73F2">
      <w:pPr>
        <w:pStyle w:val="Normal1"/>
        <w:widowControl/>
        <w:tabs>
          <w:tab w:val="left" w:pos="0"/>
        </w:tabs>
        <w:contextualSpacing/>
        <w:jc w:val="both"/>
        <w:rPr>
          <w:rFonts w:ascii="Verdana" w:hAnsi="Verdana"/>
          <w:sz w:val="20"/>
          <w:szCs w:val="20"/>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hAnsi="Verdana"/>
          <w:sz w:val="20"/>
          <w:szCs w:val="20"/>
        </w:rPr>
      </w:pPr>
      <w:r w:rsidRPr="008E0075">
        <w:rPr>
          <w:rFonts w:ascii="Verdana" w:hAnsi="Verdana"/>
          <w:sz w:val="20"/>
          <w:szCs w:val="20"/>
        </w:rPr>
        <w:t xml:space="preserve">El 27 de septiembre de 1994 la Corte Suprema de Justicia </w:t>
      </w:r>
      <w:r w:rsidR="007A5225">
        <w:rPr>
          <w:rFonts w:ascii="Verdana" w:hAnsi="Verdana"/>
          <w:sz w:val="20"/>
          <w:szCs w:val="20"/>
        </w:rPr>
        <w:t xml:space="preserve">(en adelante también “la Corte Suprema”) </w:t>
      </w:r>
      <w:r w:rsidRPr="008E0075">
        <w:rPr>
          <w:rFonts w:ascii="Verdana" w:hAnsi="Verdana"/>
          <w:sz w:val="20"/>
          <w:szCs w:val="20"/>
        </w:rPr>
        <w:t>denegó los recursos de casación interpuestos. El funda</w:t>
      </w:r>
      <w:r w:rsidR="00B87054" w:rsidRPr="008E0075">
        <w:rPr>
          <w:rFonts w:ascii="Verdana" w:hAnsi="Verdana"/>
          <w:sz w:val="20"/>
          <w:szCs w:val="20"/>
        </w:rPr>
        <w:t>mento utilizado por la Corte Su</w:t>
      </w:r>
      <w:r w:rsidRPr="008E0075">
        <w:rPr>
          <w:rFonts w:ascii="Verdana" w:hAnsi="Verdana"/>
          <w:sz w:val="20"/>
          <w:szCs w:val="20"/>
        </w:rPr>
        <w:t>prema fue que los recurrentes no lograron cumplir con los requisitos que se contempla</w:t>
      </w:r>
      <w:r w:rsidR="00A55831">
        <w:rPr>
          <w:rFonts w:ascii="Verdana" w:hAnsi="Verdana"/>
          <w:sz w:val="20"/>
          <w:szCs w:val="20"/>
        </w:rPr>
        <w:t>n</w:t>
      </w:r>
      <w:r w:rsidRPr="008E0075">
        <w:rPr>
          <w:rFonts w:ascii="Verdana" w:hAnsi="Verdana"/>
          <w:sz w:val="20"/>
          <w:szCs w:val="20"/>
        </w:rPr>
        <w:t xml:space="preserve"> para el recurso de casación. </w:t>
      </w:r>
      <w:r w:rsidR="00605AFC">
        <w:rPr>
          <w:rFonts w:ascii="Verdana" w:hAnsi="Verdana"/>
          <w:sz w:val="20"/>
          <w:szCs w:val="20"/>
        </w:rPr>
        <w:t>L</w:t>
      </w:r>
      <w:r w:rsidRPr="008E0075">
        <w:rPr>
          <w:rFonts w:ascii="Verdana" w:hAnsi="Verdana"/>
          <w:sz w:val="20"/>
          <w:szCs w:val="20"/>
        </w:rPr>
        <w:t>a Corte Suprema señaló que no</w:t>
      </w:r>
      <w:r w:rsidR="00A55831">
        <w:rPr>
          <w:rFonts w:ascii="Verdana" w:hAnsi="Verdana"/>
          <w:sz w:val="20"/>
          <w:szCs w:val="20"/>
        </w:rPr>
        <w:t xml:space="preserve"> se expuso tesis alguna ni citó los</w:t>
      </w:r>
      <w:r w:rsidRPr="008E0075">
        <w:rPr>
          <w:rFonts w:ascii="Verdana" w:hAnsi="Verdana"/>
          <w:sz w:val="20"/>
          <w:szCs w:val="20"/>
        </w:rPr>
        <w:t xml:space="preserve"> artículos de ley que pudieron ser infringidos en la sentencia de segunda </w:t>
      </w:r>
      <w:r w:rsidR="00F55229">
        <w:rPr>
          <w:rFonts w:ascii="Verdana" w:hAnsi="Verdana"/>
          <w:sz w:val="20"/>
          <w:szCs w:val="20"/>
        </w:rPr>
        <w:t>i</w:t>
      </w:r>
      <w:r w:rsidRPr="008E0075">
        <w:rPr>
          <w:rFonts w:ascii="Verdana" w:hAnsi="Verdana"/>
          <w:sz w:val="20"/>
          <w:szCs w:val="20"/>
        </w:rPr>
        <w:t xml:space="preserve">nstancia. En cuanto al error de derecho en la apreciación de la prueba, </w:t>
      </w:r>
      <w:r w:rsidR="001047BB">
        <w:rPr>
          <w:rFonts w:ascii="Verdana" w:hAnsi="Verdana"/>
          <w:sz w:val="20"/>
          <w:szCs w:val="20"/>
        </w:rPr>
        <w:t xml:space="preserve">indicó que </w:t>
      </w:r>
      <w:r w:rsidRPr="008E0075">
        <w:rPr>
          <w:rFonts w:ascii="Verdana" w:hAnsi="Verdana"/>
          <w:sz w:val="20"/>
          <w:szCs w:val="20"/>
        </w:rPr>
        <w:t xml:space="preserve">tampoco </w:t>
      </w:r>
      <w:r w:rsidR="001047BB">
        <w:rPr>
          <w:rFonts w:ascii="Verdana" w:hAnsi="Verdana"/>
          <w:sz w:val="20"/>
          <w:szCs w:val="20"/>
        </w:rPr>
        <w:t xml:space="preserve">se </w:t>
      </w:r>
      <w:r w:rsidR="006C64FB">
        <w:rPr>
          <w:rFonts w:ascii="Verdana" w:hAnsi="Verdana"/>
          <w:sz w:val="20"/>
          <w:szCs w:val="20"/>
        </w:rPr>
        <w:t>señalaron</w:t>
      </w:r>
      <w:r w:rsidR="006C64FB" w:rsidRPr="008E0075">
        <w:rPr>
          <w:rFonts w:ascii="Verdana" w:hAnsi="Verdana"/>
          <w:sz w:val="20"/>
          <w:szCs w:val="20"/>
        </w:rPr>
        <w:t xml:space="preserve"> </w:t>
      </w:r>
      <w:r w:rsidRPr="008E0075">
        <w:rPr>
          <w:rFonts w:ascii="Verdana" w:hAnsi="Verdana"/>
          <w:sz w:val="20"/>
          <w:szCs w:val="20"/>
        </w:rPr>
        <w:t>como violados artículos de ley que comprend</w:t>
      </w:r>
      <w:r w:rsidR="001047BB">
        <w:rPr>
          <w:rFonts w:ascii="Verdana" w:hAnsi="Verdana"/>
          <w:sz w:val="20"/>
          <w:szCs w:val="20"/>
        </w:rPr>
        <w:t>i</w:t>
      </w:r>
      <w:r w:rsidRPr="008E0075">
        <w:rPr>
          <w:rFonts w:ascii="Verdana" w:hAnsi="Verdana"/>
          <w:sz w:val="20"/>
          <w:szCs w:val="20"/>
        </w:rPr>
        <w:t>e</w:t>
      </w:r>
      <w:r w:rsidR="001047BB">
        <w:rPr>
          <w:rFonts w:ascii="Verdana" w:hAnsi="Verdana"/>
          <w:sz w:val="20"/>
          <w:szCs w:val="20"/>
        </w:rPr>
        <w:t>ra</w:t>
      </w:r>
      <w:r w:rsidRPr="008E0075">
        <w:rPr>
          <w:rFonts w:ascii="Verdana" w:hAnsi="Verdana"/>
          <w:sz w:val="20"/>
          <w:szCs w:val="20"/>
        </w:rPr>
        <w:t>n reglas de estimativa probatoria relacionadas con las pruebas cuya valoración se impugnó</w:t>
      </w:r>
      <w:r w:rsidRPr="008E0075">
        <w:rPr>
          <w:rStyle w:val="Refdenotaalpie"/>
          <w:rFonts w:ascii="Verdana" w:hAnsi="Verdana"/>
          <w:sz w:val="20"/>
          <w:szCs w:val="20"/>
        </w:rPr>
        <w:footnoteReference w:id="44"/>
      </w:r>
      <w:r w:rsidR="00B87054" w:rsidRPr="008E0075">
        <w:rPr>
          <w:rFonts w:ascii="Verdana" w:hAnsi="Verdana"/>
          <w:sz w:val="20"/>
          <w:szCs w:val="20"/>
        </w:rPr>
        <w:t xml:space="preserve">. Es un hecho no controvertido que los señores Girón y Castillo </w:t>
      </w:r>
      <w:r w:rsidRPr="008E0075">
        <w:rPr>
          <w:rFonts w:ascii="Verdana" w:hAnsi="Verdana"/>
          <w:sz w:val="20"/>
          <w:szCs w:val="20"/>
        </w:rPr>
        <w:t xml:space="preserve">interpusieron un recurso de amparo ante la Corte de Constitucionalidad, y el 7 de noviembre de 1995 fue declarado sin lugar.  </w:t>
      </w:r>
    </w:p>
    <w:p w:rsidR="002077F5" w:rsidRPr="008E0075" w:rsidRDefault="002077F5" w:rsidP="002077F5">
      <w:pPr>
        <w:pStyle w:val="Normal1"/>
        <w:widowControl/>
        <w:tabs>
          <w:tab w:val="left" w:pos="0"/>
        </w:tabs>
        <w:contextualSpacing/>
        <w:jc w:val="both"/>
        <w:rPr>
          <w:rFonts w:ascii="Verdana" w:hAnsi="Verdana"/>
          <w:sz w:val="20"/>
          <w:szCs w:val="20"/>
        </w:rPr>
      </w:pPr>
    </w:p>
    <w:p w:rsidR="0013597F" w:rsidRPr="008E0075" w:rsidRDefault="0013597F" w:rsidP="002077F5">
      <w:pPr>
        <w:pStyle w:val="Normal1"/>
        <w:widowControl/>
        <w:numPr>
          <w:ilvl w:val="0"/>
          <w:numId w:val="3"/>
        </w:numPr>
        <w:tabs>
          <w:tab w:val="left" w:pos="0"/>
        </w:tabs>
        <w:ind w:left="0" w:firstLine="0"/>
        <w:contextualSpacing/>
        <w:jc w:val="both"/>
        <w:rPr>
          <w:rFonts w:ascii="Verdana" w:hAnsi="Verdana"/>
          <w:sz w:val="20"/>
          <w:szCs w:val="20"/>
        </w:rPr>
      </w:pPr>
      <w:r w:rsidRPr="008E0075">
        <w:rPr>
          <w:rFonts w:ascii="Verdana" w:hAnsi="Verdana"/>
          <w:sz w:val="20"/>
          <w:szCs w:val="20"/>
        </w:rPr>
        <w:t>El 12 de julio de 1996 Pedro Castillo Mendoza y Roberto Girón presentaron un recurso de gracia ante el Presiden</w:t>
      </w:r>
      <w:r w:rsidR="004D04D6" w:rsidRPr="008E0075">
        <w:rPr>
          <w:rFonts w:ascii="Verdana" w:hAnsi="Verdana"/>
          <w:sz w:val="20"/>
          <w:szCs w:val="20"/>
        </w:rPr>
        <w:t>te de la República, en el cual argumentaron</w:t>
      </w:r>
      <w:r w:rsidRPr="008E0075">
        <w:rPr>
          <w:rFonts w:ascii="Verdana" w:hAnsi="Verdana"/>
          <w:sz w:val="20"/>
          <w:szCs w:val="20"/>
        </w:rPr>
        <w:t xml:space="preserve"> que en las diferentes instancias del proceso no se hizo un profundo análisis sobre las pruebas producidas en el mismo, ni sobre las violaciones cometidas a la ley y que se emitieron fallos políticos más que jurídicos, por lo que solicitaron la conmutación de la pena de muerte por la máxima de prisión</w:t>
      </w:r>
      <w:r w:rsidRPr="008E0075">
        <w:rPr>
          <w:rStyle w:val="Refdenotaalpie"/>
          <w:rFonts w:ascii="Verdana" w:hAnsi="Verdana"/>
          <w:sz w:val="20"/>
          <w:szCs w:val="20"/>
        </w:rPr>
        <w:footnoteReference w:id="45"/>
      </w:r>
      <w:r w:rsidRPr="008E0075">
        <w:rPr>
          <w:rFonts w:ascii="Verdana" w:hAnsi="Verdana"/>
          <w:sz w:val="20"/>
          <w:szCs w:val="20"/>
        </w:rPr>
        <w:t>. Dicho recurso fue denegado el 17 de julio de 1996 en los siguientes términos:</w:t>
      </w:r>
      <w:r w:rsidRPr="008E0075">
        <w:rPr>
          <w:rFonts w:ascii="Verdana" w:hAnsi="Verdana"/>
          <w:b/>
          <w:sz w:val="20"/>
          <w:szCs w:val="20"/>
        </w:rPr>
        <w:t xml:space="preserve"> </w:t>
      </w:r>
    </w:p>
    <w:p w:rsidR="0013597F" w:rsidRPr="008E0075" w:rsidRDefault="0013597F" w:rsidP="000615D6">
      <w:pPr>
        <w:spacing w:after="0" w:line="240" w:lineRule="auto"/>
        <w:jc w:val="both"/>
        <w:rPr>
          <w:rFonts w:ascii="Verdana" w:hAnsi="Verdana"/>
          <w:sz w:val="20"/>
          <w:szCs w:val="20"/>
          <w:lang w:val="es-CR"/>
        </w:rPr>
      </w:pPr>
    </w:p>
    <w:p w:rsidR="00FE567C" w:rsidRPr="008E0075" w:rsidRDefault="0013597F" w:rsidP="000615D6">
      <w:pPr>
        <w:spacing w:after="0" w:line="240" w:lineRule="auto"/>
        <w:ind w:left="720" w:right="720"/>
        <w:jc w:val="both"/>
        <w:rPr>
          <w:rFonts w:ascii="Verdana" w:hAnsi="Verdana"/>
          <w:sz w:val="16"/>
          <w:szCs w:val="20"/>
          <w:lang w:val="es-CR"/>
        </w:rPr>
      </w:pPr>
      <w:r w:rsidRPr="008E0075">
        <w:rPr>
          <w:rFonts w:ascii="Verdana" w:hAnsi="Verdana"/>
          <w:sz w:val="16"/>
          <w:szCs w:val="20"/>
          <w:lang w:val="es-CR"/>
        </w:rPr>
        <w:t>Que el Organismo Ejecutivo debe actuar respetando el mandato constitucional de la no subordinación entre los poderes del Estado. Que en lo que respecta a la Administración de Justicia, es función y potestad que compete con exclusividad a los tribunales instruidos para juzgar y promover la ejecución de lo juzgado, cuyo ejercicio debe ser respetado por los demás Poderes del Estado, acatando los fallos judiciales, máxime si se han observado las garantías constitucionales del debido proceso y se ha ejercido el derecho de defensa</w:t>
      </w:r>
      <w:r w:rsidRPr="008E0075">
        <w:rPr>
          <w:rStyle w:val="Refdenotaalpie"/>
          <w:rFonts w:ascii="Verdana" w:hAnsi="Verdana"/>
          <w:sz w:val="16"/>
          <w:szCs w:val="20"/>
          <w:lang w:val="es-CR"/>
        </w:rPr>
        <w:footnoteReference w:id="46"/>
      </w:r>
      <w:r w:rsidRPr="008E0075">
        <w:rPr>
          <w:rFonts w:ascii="Verdana" w:hAnsi="Verdana"/>
          <w:sz w:val="16"/>
          <w:szCs w:val="20"/>
          <w:lang w:val="es-CR"/>
        </w:rPr>
        <w:t>.</w:t>
      </w:r>
    </w:p>
    <w:p w:rsidR="00FE567C" w:rsidRPr="008E0075" w:rsidRDefault="00FE567C" w:rsidP="000615D6">
      <w:pPr>
        <w:pStyle w:val="Normal1"/>
        <w:widowControl/>
        <w:tabs>
          <w:tab w:val="left" w:pos="0"/>
        </w:tabs>
        <w:contextualSpacing/>
        <w:jc w:val="both"/>
        <w:rPr>
          <w:rFonts w:ascii="Verdana" w:hAnsi="Verdana"/>
          <w:sz w:val="20"/>
          <w:szCs w:val="20"/>
        </w:rPr>
      </w:pPr>
    </w:p>
    <w:p w:rsidR="0013597F" w:rsidRPr="008E0075" w:rsidRDefault="0013597F" w:rsidP="002077F5">
      <w:pPr>
        <w:pStyle w:val="Normal1"/>
        <w:widowControl/>
        <w:numPr>
          <w:ilvl w:val="0"/>
          <w:numId w:val="3"/>
        </w:numPr>
        <w:tabs>
          <w:tab w:val="left" w:pos="0"/>
        </w:tabs>
        <w:ind w:left="0" w:firstLine="0"/>
        <w:contextualSpacing/>
        <w:jc w:val="both"/>
        <w:rPr>
          <w:rFonts w:ascii="Verdana" w:hAnsi="Verdana"/>
          <w:sz w:val="20"/>
          <w:szCs w:val="20"/>
        </w:rPr>
      </w:pPr>
      <w:r w:rsidRPr="008E0075">
        <w:rPr>
          <w:rFonts w:ascii="Verdana" w:hAnsi="Verdana"/>
          <w:sz w:val="20"/>
          <w:szCs w:val="20"/>
        </w:rPr>
        <w:lastRenderedPageBreak/>
        <w:t xml:space="preserve">El 20 de julio de 1996 las presuntas víctimas presentaron un recurso de amparo en contra </w:t>
      </w:r>
      <w:r w:rsidR="00B953D0" w:rsidRPr="008E0075">
        <w:rPr>
          <w:rFonts w:ascii="Verdana" w:hAnsi="Verdana"/>
          <w:sz w:val="20"/>
          <w:szCs w:val="20"/>
        </w:rPr>
        <w:t xml:space="preserve">de </w:t>
      </w:r>
      <w:r w:rsidRPr="008E0075">
        <w:rPr>
          <w:rFonts w:ascii="Verdana" w:hAnsi="Verdana"/>
          <w:sz w:val="20"/>
          <w:szCs w:val="20"/>
        </w:rPr>
        <w:t>la decisión del Presidente ante la Corte de Constitucionalidad. El 9 de agosto de 1996 fue denegado el recurso</w:t>
      </w:r>
      <w:r w:rsidR="00E34E09">
        <w:rPr>
          <w:rFonts w:ascii="Verdana" w:hAnsi="Verdana"/>
          <w:sz w:val="20"/>
          <w:szCs w:val="20"/>
        </w:rPr>
        <w:t>.</w:t>
      </w:r>
      <w:r w:rsidRPr="008E0075">
        <w:rPr>
          <w:rFonts w:ascii="Verdana" w:hAnsi="Verdana"/>
          <w:sz w:val="20"/>
          <w:szCs w:val="20"/>
        </w:rPr>
        <w:t xml:space="preserve"> </w:t>
      </w:r>
    </w:p>
    <w:p w:rsidR="002077F5" w:rsidRPr="008E0075" w:rsidRDefault="002077F5" w:rsidP="0025269E">
      <w:pPr>
        <w:spacing w:after="0" w:line="240" w:lineRule="auto"/>
        <w:ind w:right="720"/>
        <w:jc w:val="both"/>
        <w:rPr>
          <w:rFonts w:ascii="Verdana" w:hAnsi="Verdana"/>
          <w:sz w:val="16"/>
          <w:szCs w:val="20"/>
          <w:lang w:val="es-CR"/>
        </w:rPr>
      </w:pPr>
    </w:p>
    <w:p w:rsidR="002077F5" w:rsidRPr="008E0075" w:rsidRDefault="0013597F" w:rsidP="002077F5">
      <w:pPr>
        <w:pStyle w:val="Normal1"/>
        <w:widowControl/>
        <w:numPr>
          <w:ilvl w:val="0"/>
          <w:numId w:val="3"/>
        </w:numPr>
        <w:tabs>
          <w:tab w:val="left" w:pos="0"/>
        </w:tabs>
        <w:ind w:left="0" w:firstLine="0"/>
        <w:contextualSpacing/>
        <w:jc w:val="both"/>
        <w:rPr>
          <w:rFonts w:ascii="Verdana" w:hAnsi="Verdana"/>
          <w:sz w:val="20"/>
          <w:szCs w:val="20"/>
        </w:rPr>
      </w:pPr>
      <w:r w:rsidRPr="008E0075">
        <w:rPr>
          <w:rFonts w:ascii="Verdana" w:hAnsi="Verdana"/>
          <w:sz w:val="20"/>
          <w:szCs w:val="20"/>
        </w:rPr>
        <w:t xml:space="preserve">El 23 de agosto de 1996 </w:t>
      </w:r>
      <w:r w:rsidR="00F10091">
        <w:rPr>
          <w:rFonts w:ascii="Verdana" w:hAnsi="Verdana"/>
          <w:sz w:val="20"/>
          <w:szCs w:val="20"/>
        </w:rPr>
        <w:t xml:space="preserve">las presuntas víctimas </w:t>
      </w:r>
      <w:r w:rsidRPr="008E0075">
        <w:rPr>
          <w:rFonts w:ascii="Verdana" w:hAnsi="Verdana"/>
          <w:sz w:val="20"/>
          <w:szCs w:val="20"/>
        </w:rPr>
        <w:t xml:space="preserve">interpusieron un recurso de revisión, a través de sus abogados JSR y ASS. El 29 de agosto de 1996 la Cámara Penal de la Corte Suprema de Justicia </w:t>
      </w:r>
      <w:r w:rsidR="00A55831">
        <w:rPr>
          <w:rFonts w:ascii="Verdana" w:hAnsi="Verdana"/>
          <w:sz w:val="20"/>
          <w:szCs w:val="20"/>
        </w:rPr>
        <w:t xml:space="preserve">rechazó de plano el recurso </w:t>
      </w:r>
      <w:r w:rsidRPr="008E0075">
        <w:rPr>
          <w:rFonts w:ascii="Verdana" w:hAnsi="Verdana"/>
          <w:sz w:val="20"/>
          <w:szCs w:val="20"/>
        </w:rPr>
        <w:t xml:space="preserve">con base en que “el artículo 547 del </w:t>
      </w:r>
      <w:r w:rsidR="00B953D0" w:rsidRPr="008E0075">
        <w:rPr>
          <w:rFonts w:ascii="Verdana" w:hAnsi="Verdana"/>
          <w:sz w:val="20"/>
          <w:szCs w:val="20"/>
        </w:rPr>
        <w:t>Código Procesal Penal</w:t>
      </w:r>
      <w:r w:rsidRPr="008E0075">
        <w:rPr>
          <w:rFonts w:ascii="Verdana" w:hAnsi="Verdana"/>
          <w:sz w:val="20"/>
          <w:szCs w:val="20"/>
        </w:rPr>
        <w:t xml:space="preserve"> (Decreto 51-92 del Congreso  de la República), </w:t>
      </w:r>
      <w:r w:rsidRPr="008B7E32">
        <w:rPr>
          <w:rFonts w:ascii="Verdana" w:hAnsi="Verdana"/>
          <w:sz w:val="20"/>
          <w:szCs w:val="20"/>
        </w:rPr>
        <w:t xml:space="preserve">vigente, </w:t>
      </w:r>
      <w:r w:rsidR="00CC4AB1" w:rsidRPr="008B7E32">
        <w:rPr>
          <w:rFonts w:ascii="Verdana" w:hAnsi="Verdana"/>
          <w:sz w:val="20"/>
          <w:szCs w:val="20"/>
        </w:rPr>
        <w:t xml:space="preserve">[que </w:t>
      </w:r>
      <w:r w:rsidRPr="008B7E32">
        <w:rPr>
          <w:rFonts w:ascii="Verdana" w:hAnsi="Verdana"/>
          <w:sz w:val="20"/>
          <w:szCs w:val="20"/>
        </w:rPr>
        <w:t>establece</w:t>
      </w:r>
      <w:r w:rsidR="00CC4AB1" w:rsidRPr="008B7E32">
        <w:rPr>
          <w:rFonts w:ascii="Verdana" w:hAnsi="Verdana"/>
          <w:sz w:val="20"/>
          <w:szCs w:val="20"/>
        </w:rPr>
        <w:t>]</w:t>
      </w:r>
      <w:r w:rsidRPr="008E0075">
        <w:rPr>
          <w:rFonts w:ascii="Verdana" w:hAnsi="Verdana"/>
          <w:sz w:val="20"/>
          <w:szCs w:val="20"/>
        </w:rPr>
        <w:t xml:space="preserve"> que se aplicarán las normas del Código Procesal Penal (Decreto […] 52-73 del Congreso de la República) derogado, a todos aquellos casos en los cuales se hubiera dictado Auto de Apertura a Juicio, como ocurrió en el presente proceso, que se dictó el 12 de mayo de 1993, época en la cual estaba</w:t>
      </w:r>
      <w:r w:rsidR="00705F40" w:rsidRPr="008E0075">
        <w:rPr>
          <w:rFonts w:ascii="Verdana" w:hAnsi="Verdana"/>
          <w:sz w:val="20"/>
          <w:szCs w:val="20"/>
        </w:rPr>
        <w:t xml:space="preserve"> vigente el Código deroga</w:t>
      </w:r>
      <w:r w:rsidR="00D84A54" w:rsidRPr="008E0075">
        <w:rPr>
          <w:rFonts w:ascii="Verdana" w:hAnsi="Verdana"/>
          <w:sz w:val="20"/>
          <w:szCs w:val="20"/>
        </w:rPr>
        <w:t>d</w:t>
      </w:r>
      <w:r w:rsidR="00705F40" w:rsidRPr="008E0075">
        <w:rPr>
          <w:rFonts w:ascii="Verdana" w:hAnsi="Verdana"/>
          <w:sz w:val="20"/>
          <w:szCs w:val="20"/>
        </w:rPr>
        <w:t>o</w:t>
      </w:r>
      <w:r w:rsidR="00D84A54" w:rsidRPr="008E0075">
        <w:rPr>
          <w:rFonts w:ascii="Verdana" w:hAnsi="Verdana"/>
          <w:sz w:val="20"/>
          <w:szCs w:val="20"/>
        </w:rPr>
        <w:t>”</w:t>
      </w:r>
      <w:r w:rsidRPr="008E0075">
        <w:rPr>
          <w:rStyle w:val="Refdenotaalpie"/>
          <w:rFonts w:ascii="Verdana" w:hAnsi="Verdana"/>
          <w:sz w:val="20"/>
          <w:szCs w:val="20"/>
        </w:rPr>
        <w:footnoteReference w:id="47"/>
      </w:r>
      <w:r w:rsidR="00605AFC">
        <w:rPr>
          <w:rFonts w:ascii="Verdana" w:hAnsi="Verdana"/>
          <w:sz w:val="20"/>
          <w:szCs w:val="20"/>
        </w:rPr>
        <w:t>.</w:t>
      </w:r>
      <w:r w:rsidRPr="008E0075">
        <w:rPr>
          <w:rFonts w:ascii="Verdana" w:hAnsi="Verdana"/>
          <w:sz w:val="20"/>
          <w:szCs w:val="20"/>
        </w:rPr>
        <w:t xml:space="preserve"> </w:t>
      </w:r>
    </w:p>
    <w:p w:rsidR="002077F5" w:rsidRPr="008E0075" w:rsidRDefault="002077F5" w:rsidP="002077F5">
      <w:pPr>
        <w:pStyle w:val="Normal1"/>
        <w:widowControl/>
        <w:tabs>
          <w:tab w:val="left" w:pos="0"/>
        </w:tabs>
        <w:contextualSpacing/>
        <w:jc w:val="both"/>
        <w:rPr>
          <w:rFonts w:ascii="Verdana" w:hAnsi="Verdana"/>
          <w:sz w:val="20"/>
          <w:szCs w:val="20"/>
        </w:rPr>
      </w:pPr>
    </w:p>
    <w:p w:rsidR="002077F5" w:rsidRPr="008E0075" w:rsidRDefault="009468B2" w:rsidP="002077F5">
      <w:pPr>
        <w:pStyle w:val="Normal1"/>
        <w:widowControl/>
        <w:numPr>
          <w:ilvl w:val="0"/>
          <w:numId w:val="3"/>
        </w:numPr>
        <w:tabs>
          <w:tab w:val="left" w:pos="0"/>
        </w:tabs>
        <w:ind w:left="0" w:firstLine="0"/>
        <w:contextualSpacing/>
        <w:jc w:val="both"/>
        <w:rPr>
          <w:rFonts w:ascii="Verdana" w:hAnsi="Verdana"/>
          <w:sz w:val="20"/>
          <w:szCs w:val="20"/>
        </w:rPr>
      </w:pPr>
      <w:r w:rsidRPr="008E0075">
        <w:rPr>
          <w:rFonts w:ascii="Verdana" w:hAnsi="Verdana" w:cs="Arial"/>
          <w:sz w:val="20"/>
          <w:szCs w:val="20"/>
        </w:rPr>
        <w:t xml:space="preserve">El 20 de julio de 1996 los abogados </w:t>
      </w:r>
      <w:r w:rsidR="0000517A">
        <w:rPr>
          <w:rFonts w:ascii="Verdana" w:hAnsi="Verdana" w:cs="Arial"/>
          <w:sz w:val="20"/>
          <w:szCs w:val="20"/>
        </w:rPr>
        <w:t>C</w:t>
      </w:r>
      <w:r w:rsidR="00254165" w:rsidRPr="008E0075">
        <w:rPr>
          <w:rFonts w:ascii="Verdana" w:hAnsi="Verdana" w:cs="Arial"/>
          <w:sz w:val="20"/>
          <w:szCs w:val="20"/>
        </w:rPr>
        <w:t xml:space="preserve">PL </w:t>
      </w:r>
      <w:r w:rsidRPr="008E0075">
        <w:rPr>
          <w:rFonts w:ascii="Verdana" w:hAnsi="Verdana" w:cs="Arial"/>
          <w:sz w:val="20"/>
          <w:szCs w:val="20"/>
        </w:rPr>
        <w:t xml:space="preserve">y </w:t>
      </w:r>
      <w:r w:rsidR="00D3251E" w:rsidRPr="00D3251E">
        <w:rPr>
          <w:rFonts w:ascii="Verdana" w:hAnsi="Verdana" w:cs="Arial"/>
          <w:sz w:val="20"/>
          <w:szCs w:val="20"/>
        </w:rPr>
        <w:t>V</w:t>
      </w:r>
      <w:r w:rsidR="00254165" w:rsidRPr="00D3251E">
        <w:rPr>
          <w:rFonts w:ascii="Verdana" w:hAnsi="Verdana" w:cs="Arial"/>
          <w:sz w:val="20"/>
          <w:szCs w:val="20"/>
        </w:rPr>
        <w:t>RC</w:t>
      </w:r>
      <w:r w:rsidRPr="00D3251E">
        <w:rPr>
          <w:rFonts w:ascii="Verdana" w:hAnsi="Verdana" w:cs="Arial"/>
          <w:sz w:val="20"/>
          <w:szCs w:val="20"/>
        </w:rPr>
        <w:t>, interpusieron</w:t>
      </w:r>
      <w:r w:rsidRPr="008E0075">
        <w:rPr>
          <w:rFonts w:ascii="Verdana" w:hAnsi="Verdana" w:cs="Arial"/>
          <w:sz w:val="20"/>
          <w:szCs w:val="20"/>
        </w:rPr>
        <w:t xml:space="preserve"> un recurso de amparo ante la Corte de Constitucionalidad en contra del Juez Primero de Ejecución Penal, por haber notificado la ejecución de las presunta</w:t>
      </w:r>
      <w:r w:rsidR="00254165" w:rsidRPr="008E0075">
        <w:rPr>
          <w:rFonts w:ascii="Verdana" w:hAnsi="Verdana" w:cs="Arial"/>
          <w:sz w:val="20"/>
          <w:szCs w:val="20"/>
        </w:rPr>
        <w:t>s víctimas el 23 de julio de 199</w:t>
      </w:r>
      <w:r w:rsidRPr="008E0075">
        <w:rPr>
          <w:rFonts w:ascii="Verdana" w:hAnsi="Verdana" w:cs="Arial"/>
          <w:sz w:val="20"/>
          <w:szCs w:val="20"/>
        </w:rPr>
        <w:t>6 a las 8:00 horas, en la Granja Modelo de Rehabilitación Canadá, del departamento de Escuintla. La Corte de Constitucionalidad admitió el recurso para su trámite</w:t>
      </w:r>
      <w:r w:rsidR="009B540B" w:rsidRPr="008E0075">
        <w:rPr>
          <w:rFonts w:ascii="Verdana" w:hAnsi="Verdana" w:cs="Arial"/>
          <w:sz w:val="20"/>
          <w:szCs w:val="20"/>
        </w:rPr>
        <w:t>,</w:t>
      </w:r>
      <w:r w:rsidRPr="008E0075">
        <w:rPr>
          <w:rFonts w:ascii="Verdana" w:hAnsi="Verdana" w:cs="Arial"/>
          <w:sz w:val="20"/>
          <w:szCs w:val="20"/>
        </w:rPr>
        <w:t xml:space="preserve"> decretó el </w:t>
      </w:r>
      <w:r w:rsidR="007E6175" w:rsidRPr="008E0075">
        <w:rPr>
          <w:rFonts w:ascii="Verdana" w:hAnsi="Verdana" w:cs="Arial"/>
          <w:sz w:val="20"/>
          <w:szCs w:val="20"/>
        </w:rPr>
        <w:t>a</w:t>
      </w:r>
      <w:r w:rsidRPr="008E0075">
        <w:rPr>
          <w:rFonts w:ascii="Verdana" w:hAnsi="Verdana" w:cs="Arial"/>
          <w:sz w:val="20"/>
          <w:szCs w:val="20"/>
        </w:rPr>
        <w:t xml:space="preserve">mparo </w:t>
      </w:r>
      <w:r w:rsidR="007E6175" w:rsidRPr="008E0075">
        <w:rPr>
          <w:rFonts w:ascii="Verdana" w:hAnsi="Verdana" w:cs="Arial"/>
          <w:sz w:val="20"/>
          <w:szCs w:val="20"/>
        </w:rPr>
        <w:t>p</w:t>
      </w:r>
      <w:r w:rsidRPr="008E0075">
        <w:rPr>
          <w:rFonts w:ascii="Verdana" w:hAnsi="Verdana" w:cs="Arial"/>
          <w:sz w:val="20"/>
          <w:szCs w:val="20"/>
        </w:rPr>
        <w:t>rovisional</w:t>
      </w:r>
      <w:r w:rsidR="00FF47F8" w:rsidRPr="008E0075">
        <w:rPr>
          <w:rFonts w:ascii="Verdana" w:hAnsi="Verdana" w:cs="Arial"/>
          <w:sz w:val="20"/>
          <w:szCs w:val="20"/>
        </w:rPr>
        <w:t xml:space="preserve"> y</w:t>
      </w:r>
      <w:r w:rsidR="00890541" w:rsidRPr="008E0075">
        <w:rPr>
          <w:rFonts w:ascii="Verdana" w:hAnsi="Verdana" w:cs="Arial"/>
          <w:sz w:val="20"/>
          <w:szCs w:val="20"/>
        </w:rPr>
        <w:t xml:space="preserve"> </w:t>
      </w:r>
      <w:r w:rsidRPr="008E0075">
        <w:rPr>
          <w:rFonts w:ascii="Verdana" w:hAnsi="Verdana" w:cs="Arial"/>
          <w:sz w:val="20"/>
          <w:szCs w:val="20"/>
        </w:rPr>
        <w:t>trasladó el expediente a la Sala Cuarta de la Corte de Apelaciones</w:t>
      </w:r>
      <w:r w:rsidR="00FF47F8" w:rsidRPr="008E0075">
        <w:rPr>
          <w:rFonts w:ascii="Verdana" w:hAnsi="Verdana" w:cs="Arial"/>
          <w:sz w:val="20"/>
          <w:szCs w:val="20"/>
        </w:rPr>
        <w:t>, al ser este el órgano competente</w:t>
      </w:r>
      <w:r w:rsidRPr="008E0075">
        <w:rPr>
          <w:rFonts w:ascii="Verdana" w:hAnsi="Verdana" w:cs="Arial"/>
          <w:sz w:val="20"/>
          <w:szCs w:val="20"/>
        </w:rPr>
        <w:t>. El 11 de agosto de 1996 la Sala Cuarta de la Corte de Apelaciones confirmó el Amparo Provisional a favor de los sindicados, dejando en suspenso la ejecución de la pena de muerte.</w:t>
      </w:r>
      <w:r w:rsidR="00FF47F8" w:rsidRPr="008E0075">
        <w:rPr>
          <w:rFonts w:ascii="Verdana" w:hAnsi="Verdana"/>
          <w:b/>
          <w:sz w:val="20"/>
          <w:szCs w:val="20"/>
        </w:rPr>
        <w:t xml:space="preserve"> </w:t>
      </w:r>
      <w:r w:rsidR="00FF47F8" w:rsidRPr="008E0075">
        <w:rPr>
          <w:rFonts w:ascii="Verdana" w:hAnsi="Verdana"/>
          <w:sz w:val="20"/>
          <w:szCs w:val="20"/>
        </w:rPr>
        <w:t xml:space="preserve">El 20 de agosto de 1996 la Sala </w:t>
      </w:r>
      <w:r w:rsidR="00FF47F8" w:rsidRPr="008E0075">
        <w:rPr>
          <w:rFonts w:ascii="Verdana" w:hAnsi="Verdana" w:cs="Arial"/>
          <w:sz w:val="20"/>
          <w:szCs w:val="20"/>
        </w:rPr>
        <w:t>Cuarta de la Corte de Apelaciones</w:t>
      </w:r>
      <w:r w:rsidR="00FF47F8" w:rsidRPr="008E0075" w:rsidDel="00FF47F8">
        <w:rPr>
          <w:rFonts w:ascii="Verdana" w:hAnsi="Verdana" w:cs="Arial"/>
          <w:sz w:val="20"/>
          <w:szCs w:val="20"/>
        </w:rPr>
        <w:t xml:space="preserve"> </w:t>
      </w:r>
      <w:r w:rsidR="00FF47F8" w:rsidRPr="008E0075">
        <w:rPr>
          <w:rFonts w:ascii="Verdana" w:hAnsi="Verdana" w:cs="Arial"/>
          <w:sz w:val="20"/>
          <w:szCs w:val="20"/>
        </w:rPr>
        <w:t xml:space="preserve">resolvió, entre otras cosas, denegar la acción de amparo </w:t>
      </w:r>
      <w:r w:rsidR="009B540B" w:rsidRPr="008E0075">
        <w:rPr>
          <w:rFonts w:ascii="Verdana" w:hAnsi="Verdana" w:cs="Arial"/>
          <w:sz w:val="20"/>
          <w:szCs w:val="20"/>
        </w:rPr>
        <w:t>bajo el argumento de ser notor</w:t>
      </w:r>
      <w:r w:rsidR="00FF47F8" w:rsidRPr="008E0075">
        <w:rPr>
          <w:rFonts w:ascii="Verdana" w:hAnsi="Verdana" w:cs="Arial"/>
          <w:sz w:val="20"/>
          <w:szCs w:val="20"/>
        </w:rPr>
        <w:t xml:space="preserve">iamente improcedente y revocar el </w:t>
      </w:r>
      <w:r w:rsidR="007E6175" w:rsidRPr="008E0075">
        <w:rPr>
          <w:rFonts w:ascii="Verdana" w:hAnsi="Verdana" w:cs="Arial"/>
          <w:sz w:val="20"/>
          <w:szCs w:val="20"/>
        </w:rPr>
        <w:t>a</w:t>
      </w:r>
      <w:r w:rsidR="00FF47F8" w:rsidRPr="008E0075">
        <w:rPr>
          <w:rFonts w:ascii="Verdana" w:hAnsi="Verdana" w:cs="Arial"/>
          <w:sz w:val="20"/>
          <w:szCs w:val="20"/>
        </w:rPr>
        <w:t xml:space="preserve">mparo </w:t>
      </w:r>
      <w:r w:rsidR="007E6175" w:rsidRPr="008E0075">
        <w:rPr>
          <w:rFonts w:ascii="Verdana" w:hAnsi="Verdana" w:cs="Arial"/>
          <w:sz w:val="20"/>
          <w:szCs w:val="20"/>
        </w:rPr>
        <w:t>p</w:t>
      </w:r>
      <w:r w:rsidR="00FF47F8" w:rsidRPr="008E0075">
        <w:rPr>
          <w:rFonts w:ascii="Verdana" w:hAnsi="Verdana" w:cs="Arial"/>
          <w:sz w:val="20"/>
          <w:szCs w:val="20"/>
        </w:rPr>
        <w:t>rovisional otorgado el 11 de agosto de 1996</w:t>
      </w:r>
      <w:r w:rsidR="00FF47F8" w:rsidRPr="008E0075">
        <w:rPr>
          <w:rStyle w:val="Refdenotaalpie"/>
          <w:rFonts w:ascii="Verdana" w:hAnsi="Verdana"/>
          <w:sz w:val="20"/>
          <w:szCs w:val="20"/>
        </w:rPr>
        <w:footnoteReference w:id="48"/>
      </w:r>
      <w:r w:rsidRPr="008E0075">
        <w:rPr>
          <w:rFonts w:ascii="Verdana" w:hAnsi="Verdana" w:cs="Arial"/>
          <w:sz w:val="20"/>
          <w:szCs w:val="20"/>
        </w:rPr>
        <w:t xml:space="preserve">. </w:t>
      </w:r>
    </w:p>
    <w:p w:rsidR="002077F5" w:rsidRPr="008E0075" w:rsidRDefault="002077F5" w:rsidP="002077F5">
      <w:pPr>
        <w:pStyle w:val="Normal1"/>
        <w:widowControl/>
        <w:tabs>
          <w:tab w:val="left" w:pos="0"/>
        </w:tabs>
        <w:contextualSpacing/>
        <w:jc w:val="both"/>
        <w:rPr>
          <w:rFonts w:ascii="Verdana" w:hAnsi="Verdana"/>
          <w:sz w:val="20"/>
          <w:szCs w:val="20"/>
        </w:rPr>
      </w:pPr>
    </w:p>
    <w:p w:rsidR="0013597F" w:rsidRPr="008E0075" w:rsidRDefault="0013597F" w:rsidP="002077F5">
      <w:pPr>
        <w:pStyle w:val="Normal1"/>
        <w:widowControl/>
        <w:numPr>
          <w:ilvl w:val="0"/>
          <w:numId w:val="3"/>
        </w:numPr>
        <w:tabs>
          <w:tab w:val="left" w:pos="0"/>
        </w:tabs>
        <w:ind w:left="0" w:firstLine="0"/>
        <w:contextualSpacing/>
        <w:jc w:val="both"/>
        <w:rPr>
          <w:rFonts w:ascii="Verdana" w:hAnsi="Verdana"/>
          <w:sz w:val="20"/>
          <w:szCs w:val="20"/>
        </w:rPr>
      </w:pPr>
      <w:r w:rsidRPr="008E0075">
        <w:rPr>
          <w:rFonts w:ascii="Verdana" w:hAnsi="Verdana"/>
          <w:sz w:val="20"/>
          <w:szCs w:val="20"/>
        </w:rPr>
        <w:t xml:space="preserve">El 13 de septiembre de 1996 </w:t>
      </w:r>
      <w:r w:rsidR="008F5F02" w:rsidRPr="008E0075">
        <w:rPr>
          <w:rFonts w:ascii="Verdana" w:hAnsi="Verdana"/>
          <w:sz w:val="20"/>
          <w:szCs w:val="20"/>
        </w:rPr>
        <w:t xml:space="preserve">los señores </w:t>
      </w:r>
      <w:r w:rsidRPr="008E0075">
        <w:rPr>
          <w:rFonts w:ascii="Verdana" w:eastAsia="Verdana" w:hAnsi="Verdana" w:cs="Verdana"/>
          <w:sz w:val="20"/>
          <w:szCs w:val="20"/>
        </w:rPr>
        <w:t>Roberto Girón y Pedro Castillo Mendoza fueron ejecutados</w:t>
      </w:r>
      <w:r w:rsidR="004D04D6" w:rsidRPr="008E0075">
        <w:rPr>
          <w:rFonts w:ascii="Verdana" w:eastAsia="Verdana" w:hAnsi="Verdana" w:cs="Verdana"/>
          <w:sz w:val="20"/>
          <w:szCs w:val="20"/>
        </w:rPr>
        <w:t>,</w:t>
      </w:r>
      <w:r w:rsidRPr="008E0075">
        <w:rPr>
          <w:rFonts w:ascii="Verdana" w:eastAsia="Verdana" w:hAnsi="Verdana" w:cs="Verdana"/>
          <w:sz w:val="20"/>
          <w:szCs w:val="20"/>
        </w:rPr>
        <w:t xml:space="preserve"> mediante </w:t>
      </w:r>
      <w:r w:rsidR="008F5F02" w:rsidRPr="008E0075">
        <w:rPr>
          <w:rFonts w:ascii="Verdana" w:hAnsi="Verdana"/>
          <w:sz w:val="20"/>
          <w:szCs w:val="20"/>
        </w:rPr>
        <w:t>un pelotón de fusilamiento</w:t>
      </w:r>
      <w:r w:rsidR="003451D7" w:rsidRPr="003451D7">
        <w:rPr>
          <w:rFonts w:ascii="Verdana" w:hAnsi="Verdana"/>
          <w:sz w:val="20"/>
          <w:szCs w:val="20"/>
        </w:rPr>
        <w:t>.</w:t>
      </w:r>
      <w:r w:rsidRPr="003451D7">
        <w:rPr>
          <w:rFonts w:ascii="Verdana" w:hAnsi="Verdana"/>
          <w:sz w:val="20"/>
          <w:szCs w:val="20"/>
        </w:rPr>
        <w:t xml:space="preserve"> </w:t>
      </w:r>
      <w:r w:rsidR="00023C42">
        <w:rPr>
          <w:rFonts w:ascii="Verdana" w:hAnsi="Verdana"/>
          <w:sz w:val="20"/>
          <w:szCs w:val="20"/>
        </w:rPr>
        <w:t xml:space="preserve">La ejecución fue televisada. </w:t>
      </w:r>
    </w:p>
    <w:p w:rsidR="00246F20" w:rsidRPr="008E0075" w:rsidRDefault="00246F20" w:rsidP="000615D6">
      <w:pPr>
        <w:spacing w:after="0" w:line="240" w:lineRule="auto"/>
        <w:jc w:val="both"/>
        <w:rPr>
          <w:rFonts w:ascii="Verdana" w:eastAsia="Verdana" w:hAnsi="Verdana" w:cs="Verdana"/>
          <w:sz w:val="20"/>
          <w:szCs w:val="20"/>
          <w:lang w:val="es-CR"/>
        </w:rPr>
      </w:pPr>
    </w:p>
    <w:p w:rsidR="00FE567C" w:rsidRPr="008E0075" w:rsidRDefault="00FE567C" w:rsidP="000615D6">
      <w:pPr>
        <w:pStyle w:val="Ttulo1"/>
        <w:spacing w:before="0" w:line="240" w:lineRule="auto"/>
        <w:jc w:val="center"/>
        <w:rPr>
          <w:rFonts w:ascii="Verdana" w:hAnsi="Verdana"/>
          <w:color w:val="auto"/>
          <w:sz w:val="20"/>
          <w:szCs w:val="20"/>
          <w:lang w:val="es-CR"/>
        </w:rPr>
      </w:pPr>
      <w:bookmarkStart w:id="42" w:name="_Toc24538836"/>
      <w:r w:rsidRPr="008E0075">
        <w:rPr>
          <w:rFonts w:ascii="Verdana" w:hAnsi="Verdana"/>
          <w:color w:val="auto"/>
          <w:sz w:val="20"/>
          <w:szCs w:val="20"/>
          <w:lang w:val="es-CR"/>
        </w:rPr>
        <w:t>VIII</w:t>
      </w:r>
      <w:r w:rsidRPr="008E0075">
        <w:rPr>
          <w:rFonts w:ascii="Verdana" w:hAnsi="Verdana"/>
          <w:color w:val="auto"/>
          <w:sz w:val="20"/>
          <w:szCs w:val="20"/>
          <w:lang w:val="es-CR"/>
        </w:rPr>
        <w:br/>
        <w:t>FONDO</w:t>
      </w:r>
      <w:bookmarkEnd w:id="42"/>
    </w:p>
    <w:p w:rsidR="00FE567C" w:rsidRPr="008E0075" w:rsidRDefault="00FE567C" w:rsidP="000615D6">
      <w:pPr>
        <w:spacing w:after="0" w:line="240" w:lineRule="auto"/>
        <w:jc w:val="both"/>
        <w:rPr>
          <w:rFonts w:ascii="Verdana" w:hAnsi="Verdana"/>
          <w:b/>
          <w:sz w:val="20"/>
          <w:szCs w:val="20"/>
          <w:lang w:val="es-CR"/>
        </w:rPr>
      </w:pPr>
    </w:p>
    <w:p w:rsidR="0030560F" w:rsidRPr="00AD6B0C" w:rsidRDefault="0013597F" w:rsidP="00125B1D">
      <w:pPr>
        <w:pStyle w:val="Prrafodelista"/>
        <w:numPr>
          <w:ilvl w:val="0"/>
          <w:numId w:val="3"/>
        </w:numPr>
        <w:autoSpaceDE w:val="0"/>
        <w:autoSpaceDN w:val="0"/>
        <w:adjustRightInd w:val="0"/>
        <w:spacing w:after="0" w:line="240" w:lineRule="auto"/>
        <w:ind w:left="0" w:firstLine="0"/>
        <w:jc w:val="both"/>
        <w:rPr>
          <w:rFonts w:ascii="Verdana" w:hAnsi="Verdana"/>
          <w:sz w:val="20"/>
          <w:szCs w:val="20"/>
          <w:lang w:val="es-CR"/>
        </w:rPr>
      </w:pPr>
      <w:r w:rsidRPr="0030560F">
        <w:rPr>
          <w:rFonts w:ascii="Verdana" w:hAnsi="Verdana"/>
          <w:sz w:val="20"/>
          <w:szCs w:val="20"/>
          <w:lang w:val="es-CR"/>
        </w:rPr>
        <w:t>El presente caso versa sobre la alegada responsabilidad internacional del Estado por la imposición de la pena de muerte</w:t>
      </w:r>
      <w:r w:rsidR="00FD48CC" w:rsidRPr="0030560F">
        <w:rPr>
          <w:rFonts w:ascii="Verdana" w:hAnsi="Verdana"/>
          <w:sz w:val="20"/>
          <w:szCs w:val="20"/>
          <w:lang w:val="es-CR"/>
        </w:rPr>
        <w:t xml:space="preserve"> y la ejecución</w:t>
      </w:r>
      <w:r w:rsidR="00023C42" w:rsidRPr="0030560F">
        <w:rPr>
          <w:rFonts w:ascii="Verdana" w:hAnsi="Verdana"/>
          <w:sz w:val="20"/>
          <w:szCs w:val="20"/>
          <w:lang w:val="es-CR"/>
        </w:rPr>
        <w:t xml:space="preserve"> televisada</w:t>
      </w:r>
      <w:r w:rsidR="00FD48CC" w:rsidRPr="0030560F">
        <w:rPr>
          <w:rFonts w:ascii="Verdana" w:hAnsi="Verdana"/>
          <w:sz w:val="20"/>
          <w:szCs w:val="20"/>
          <w:lang w:val="es-CR"/>
        </w:rPr>
        <w:t xml:space="preserve"> por un pelotón de fusilamiento de los señores Roberto Girón y Pedro Castillo Mendoza</w:t>
      </w:r>
      <w:r w:rsidR="00705F40" w:rsidRPr="0030560F">
        <w:rPr>
          <w:rFonts w:ascii="Verdana" w:hAnsi="Verdana"/>
          <w:sz w:val="20"/>
          <w:szCs w:val="20"/>
          <w:lang w:val="es-CR"/>
        </w:rPr>
        <w:t>,</w:t>
      </w:r>
      <w:r w:rsidRPr="0030560F">
        <w:rPr>
          <w:rFonts w:ascii="Verdana" w:hAnsi="Verdana"/>
          <w:sz w:val="20"/>
          <w:szCs w:val="20"/>
          <w:lang w:val="es-CR"/>
        </w:rPr>
        <w:t xml:space="preserve"> con base en un tipo penal que preveía la pena de muerte en fo</w:t>
      </w:r>
      <w:r w:rsidR="008F5F02" w:rsidRPr="0030560F">
        <w:rPr>
          <w:rFonts w:ascii="Verdana" w:hAnsi="Verdana"/>
          <w:sz w:val="20"/>
          <w:szCs w:val="20"/>
          <w:lang w:val="es-CR"/>
        </w:rPr>
        <w:t>rma obligatoria en caso de una violación calificada</w:t>
      </w:r>
      <w:r w:rsidR="00705F40" w:rsidRPr="0030560F">
        <w:rPr>
          <w:rFonts w:ascii="Verdana" w:hAnsi="Verdana"/>
          <w:sz w:val="20"/>
          <w:szCs w:val="20"/>
          <w:lang w:val="es-CR"/>
        </w:rPr>
        <w:t>,</w:t>
      </w:r>
      <w:r w:rsidRPr="0030560F">
        <w:rPr>
          <w:rFonts w:ascii="Verdana" w:hAnsi="Verdana"/>
          <w:sz w:val="20"/>
          <w:szCs w:val="20"/>
          <w:lang w:val="es-CR"/>
        </w:rPr>
        <w:t xml:space="preserve"> </w:t>
      </w:r>
      <w:r w:rsidR="00FD48CC" w:rsidRPr="0030560F">
        <w:rPr>
          <w:rFonts w:ascii="Verdana" w:hAnsi="Verdana"/>
          <w:sz w:val="20"/>
          <w:szCs w:val="20"/>
          <w:lang w:val="es-CR"/>
        </w:rPr>
        <w:t>al igual que</w:t>
      </w:r>
      <w:r w:rsidRPr="0030560F">
        <w:rPr>
          <w:rFonts w:ascii="Verdana" w:hAnsi="Verdana"/>
          <w:sz w:val="20"/>
          <w:szCs w:val="20"/>
          <w:lang w:val="es-CR"/>
        </w:rPr>
        <w:t xml:space="preserve"> por las alegadas violaciones </w:t>
      </w:r>
      <w:r w:rsidR="008F5F02" w:rsidRPr="0030560F">
        <w:rPr>
          <w:rFonts w:ascii="Verdana" w:eastAsia="Verdana" w:hAnsi="Verdana" w:cs="Verdana"/>
          <w:sz w:val="20"/>
          <w:szCs w:val="20"/>
          <w:lang w:val="es-CR"/>
        </w:rPr>
        <w:t xml:space="preserve">a las garantías mínimas del </w:t>
      </w:r>
      <w:r w:rsidR="005C64F1" w:rsidRPr="0030560F">
        <w:rPr>
          <w:rFonts w:ascii="Verdana" w:eastAsia="Verdana" w:hAnsi="Verdana" w:cs="Verdana"/>
          <w:sz w:val="20"/>
          <w:szCs w:val="20"/>
          <w:lang w:val="es-CR"/>
        </w:rPr>
        <w:t xml:space="preserve">debido </w:t>
      </w:r>
      <w:r w:rsidR="008F5F02" w:rsidRPr="0030560F">
        <w:rPr>
          <w:rFonts w:ascii="Verdana" w:eastAsia="Verdana" w:hAnsi="Verdana" w:cs="Verdana"/>
          <w:sz w:val="20"/>
          <w:szCs w:val="20"/>
          <w:lang w:val="es-CR"/>
        </w:rPr>
        <w:t xml:space="preserve">proceso </w:t>
      </w:r>
      <w:r w:rsidRPr="0030560F">
        <w:rPr>
          <w:rFonts w:ascii="Verdana" w:eastAsia="Verdana" w:hAnsi="Verdana" w:cs="Verdana"/>
          <w:sz w:val="20"/>
          <w:szCs w:val="20"/>
          <w:lang w:val="es-CR"/>
        </w:rPr>
        <w:t xml:space="preserve">cometidas en el marco del proceso penal </w:t>
      </w:r>
      <w:r w:rsidR="00C17BE7" w:rsidRPr="0030560F">
        <w:rPr>
          <w:rFonts w:ascii="Verdana" w:eastAsia="Verdana" w:hAnsi="Verdana" w:cs="Verdana"/>
          <w:sz w:val="20"/>
          <w:szCs w:val="20"/>
          <w:lang w:val="es-CR"/>
        </w:rPr>
        <w:t xml:space="preserve">seguido </w:t>
      </w:r>
      <w:r w:rsidR="00FD48CC" w:rsidRPr="0030560F">
        <w:rPr>
          <w:rFonts w:ascii="Verdana" w:eastAsia="Verdana" w:hAnsi="Verdana" w:cs="Verdana"/>
          <w:sz w:val="20"/>
          <w:szCs w:val="20"/>
          <w:lang w:val="es-CR"/>
        </w:rPr>
        <w:t xml:space="preserve">en su </w:t>
      </w:r>
      <w:r w:rsidRPr="0030560F">
        <w:rPr>
          <w:rFonts w:ascii="Verdana" w:eastAsia="Verdana" w:hAnsi="Verdana" w:cs="Verdana"/>
          <w:sz w:val="20"/>
          <w:szCs w:val="20"/>
          <w:lang w:val="es-CR"/>
        </w:rPr>
        <w:t>contra</w:t>
      </w:r>
      <w:r w:rsidR="00FD48CC" w:rsidRPr="0030560F">
        <w:rPr>
          <w:rFonts w:ascii="Verdana" w:eastAsia="Verdana" w:hAnsi="Verdana" w:cs="Verdana"/>
          <w:sz w:val="20"/>
          <w:szCs w:val="20"/>
          <w:lang w:val="es-CR"/>
        </w:rPr>
        <w:t>.</w:t>
      </w:r>
      <w:r w:rsidRPr="0030560F">
        <w:rPr>
          <w:rFonts w:ascii="Verdana" w:hAnsi="Verdana"/>
          <w:sz w:val="20"/>
          <w:szCs w:val="20"/>
          <w:lang w:val="es-CR"/>
        </w:rPr>
        <w:t xml:space="preserve"> </w:t>
      </w:r>
      <w:r w:rsidR="0030560F" w:rsidRPr="0000517A">
        <w:rPr>
          <w:rFonts w:ascii="Verdana" w:eastAsia="Verdana" w:hAnsi="Verdana" w:cs="Verdana"/>
          <w:color w:val="000000"/>
          <w:sz w:val="20"/>
          <w:szCs w:val="20"/>
          <w:lang w:val="es-CR"/>
        </w:rPr>
        <w:t xml:space="preserve">A continuación este Tribunal pasa a considerar y resolver el fondo de la controversia. Para ello, analizará: 1) la imposición obligatoria </w:t>
      </w:r>
      <w:r w:rsidR="00932C14" w:rsidRPr="0000517A">
        <w:rPr>
          <w:rFonts w:ascii="Verdana" w:eastAsia="Verdana" w:hAnsi="Verdana" w:cs="Verdana"/>
          <w:color w:val="000000"/>
          <w:sz w:val="20"/>
          <w:szCs w:val="20"/>
          <w:lang w:val="es-CR"/>
        </w:rPr>
        <w:t>de</w:t>
      </w:r>
      <w:r w:rsidR="0030560F" w:rsidRPr="0000517A">
        <w:rPr>
          <w:rFonts w:ascii="Verdana" w:eastAsia="Verdana" w:hAnsi="Verdana" w:cs="Verdana"/>
          <w:color w:val="000000"/>
          <w:sz w:val="20"/>
          <w:szCs w:val="20"/>
          <w:lang w:val="es-CR"/>
        </w:rPr>
        <w:t xml:space="preserve"> </w:t>
      </w:r>
      <w:r w:rsidR="00932C14" w:rsidRPr="0000517A">
        <w:rPr>
          <w:rFonts w:ascii="Verdana" w:eastAsia="Verdana" w:hAnsi="Verdana" w:cs="Verdana"/>
          <w:color w:val="000000"/>
          <w:sz w:val="20"/>
          <w:szCs w:val="20"/>
          <w:lang w:val="es-CR"/>
        </w:rPr>
        <w:t xml:space="preserve">la </w:t>
      </w:r>
      <w:r w:rsidR="0030560F" w:rsidRPr="0000517A">
        <w:rPr>
          <w:rFonts w:ascii="Verdana" w:eastAsia="Verdana" w:hAnsi="Verdana" w:cs="Verdana"/>
          <w:color w:val="000000"/>
          <w:sz w:val="20"/>
          <w:szCs w:val="20"/>
          <w:lang w:val="es-CR"/>
        </w:rPr>
        <w:t xml:space="preserve">pena </w:t>
      </w:r>
      <w:r w:rsidR="00932C14" w:rsidRPr="0000517A">
        <w:rPr>
          <w:rFonts w:ascii="Verdana" w:eastAsia="Verdana" w:hAnsi="Verdana" w:cs="Verdana"/>
          <w:color w:val="000000"/>
          <w:sz w:val="20"/>
          <w:szCs w:val="20"/>
          <w:lang w:val="es-CR"/>
        </w:rPr>
        <w:t>de</w:t>
      </w:r>
      <w:r w:rsidR="0030560F" w:rsidRPr="0000517A">
        <w:rPr>
          <w:rFonts w:ascii="Verdana" w:eastAsia="Verdana" w:hAnsi="Verdana" w:cs="Verdana"/>
          <w:color w:val="000000"/>
          <w:sz w:val="20"/>
          <w:szCs w:val="20"/>
          <w:lang w:val="es-CR"/>
        </w:rPr>
        <w:t xml:space="preserve"> muerte </w:t>
      </w:r>
      <w:r w:rsidR="00E96DC1" w:rsidRPr="0000517A">
        <w:rPr>
          <w:rFonts w:ascii="Verdana" w:eastAsia="Verdana" w:hAnsi="Verdana" w:cs="Verdana"/>
          <w:color w:val="000000"/>
          <w:sz w:val="20"/>
          <w:szCs w:val="20"/>
          <w:lang w:val="es-CR"/>
        </w:rPr>
        <w:t xml:space="preserve">de </w:t>
      </w:r>
      <w:r w:rsidR="001C66BE" w:rsidRPr="0000517A">
        <w:rPr>
          <w:rFonts w:ascii="Verdana" w:hAnsi="Verdana"/>
          <w:sz w:val="20"/>
          <w:szCs w:val="20"/>
          <w:lang w:val="es-CR"/>
        </w:rPr>
        <w:t>los señores Roberto Girón y Pedro Castillo Mendoza</w:t>
      </w:r>
      <w:r w:rsidR="0030560F" w:rsidRPr="0000517A">
        <w:rPr>
          <w:rFonts w:ascii="Verdana" w:eastAsia="Verdana" w:hAnsi="Verdana" w:cs="Verdana"/>
          <w:color w:val="000000"/>
          <w:sz w:val="20"/>
          <w:szCs w:val="20"/>
          <w:lang w:val="es-CR"/>
        </w:rPr>
        <w:t>, 2)</w:t>
      </w:r>
      <w:r w:rsidR="00932C14" w:rsidRPr="0000517A">
        <w:rPr>
          <w:rFonts w:ascii="Verdana" w:eastAsia="Verdana" w:hAnsi="Verdana" w:cs="Verdana"/>
          <w:color w:val="000000"/>
          <w:sz w:val="20"/>
          <w:szCs w:val="20"/>
          <w:lang w:val="es-CR"/>
        </w:rPr>
        <w:t xml:space="preserve"> la alegada</w:t>
      </w:r>
      <w:r w:rsidR="0030560F" w:rsidRPr="0000517A">
        <w:rPr>
          <w:rFonts w:ascii="Verdana" w:eastAsia="Verdana" w:hAnsi="Verdana" w:cs="Verdana"/>
          <w:color w:val="000000"/>
          <w:sz w:val="20"/>
          <w:szCs w:val="20"/>
          <w:lang w:val="es-CR"/>
        </w:rPr>
        <w:t xml:space="preserve"> </w:t>
      </w:r>
      <w:r w:rsidR="00932C14" w:rsidRPr="0000517A">
        <w:rPr>
          <w:rFonts w:ascii="Verdana" w:eastAsia="Verdana" w:hAnsi="Verdana" w:cs="Verdana"/>
          <w:color w:val="000000"/>
          <w:sz w:val="20"/>
          <w:szCs w:val="20"/>
          <w:lang w:val="es-CR"/>
        </w:rPr>
        <w:t>violación a la integridad persona</w:t>
      </w:r>
      <w:r w:rsidR="001C66BE" w:rsidRPr="0000517A">
        <w:rPr>
          <w:rFonts w:ascii="Verdana" w:eastAsia="Verdana" w:hAnsi="Verdana" w:cs="Verdana"/>
          <w:color w:val="000000"/>
          <w:sz w:val="20"/>
          <w:szCs w:val="20"/>
          <w:lang w:val="es-CR"/>
        </w:rPr>
        <w:t>l de</w:t>
      </w:r>
      <w:r w:rsidR="00932C14" w:rsidRPr="0000517A">
        <w:rPr>
          <w:rFonts w:ascii="Verdana" w:eastAsia="Verdana" w:hAnsi="Verdana" w:cs="Verdana"/>
          <w:color w:val="000000"/>
          <w:sz w:val="20"/>
          <w:szCs w:val="20"/>
          <w:lang w:val="es-CR"/>
        </w:rPr>
        <w:t xml:space="preserve"> </w:t>
      </w:r>
      <w:r w:rsidR="001C66BE" w:rsidRPr="0000517A">
        <w:rPr>
          <w:rFonts w:ascii="Verdana" w:hAnsi="Verdana"/>
          <w:sz w:val="20"/>
          <w:szCs w:val="20"/>
          <w:lang w:val="es-CR"/>
        </w:rPr>
        <w:t>los señores Girón y Castillo</w:t>
      </w:r>
      <w:r w:rsidR="001C5AFC">
        <w:rPr>
          <w:rFonts w:ascii="Verdana" w:hAnsi="Verdana"/>
          <w:sz w:val="20"/>
          <w:szCs w:val="20"/>
          <w:lang w:val="es-CR"/>
        </w:rPr>
        <w:t>,</w:t>
      </w:r>
      <w:r w:rsidR="001C66BE" w:rsidRPr="0000517A">
        <w:rPr>
          <w:rFonts w:ascii="Verdana" w:hAnsi="Verdana"/>
          <w:sz w:val="20"/>
          <w:szCs w:val="20"/>
          <w:lang w:val="es-CR"/>
        </w:rPr>
        <w:t xml:space="preserve"> </w:t>
      </w:r>
      <w:r w:rsidR="00932C14" w:rsidRPr="0000517A">
        <w:rPr>
          <w:rFonts w:ascii="Verdana" w:eastAsia="Verdana" w:hAnsi="Verdana" w:cs="Verdana"/>
          <w:color w:val="000000"/>
          <w:sz w:val="20"/>
          <w:szCs w:val="20"/>
          <w:lang w:val="es-CR"/>
        </w:rPr>
        <w:t>y 3</w:t>
      </w:r>
      <w:r w:rsidR="0030560F" w:rsidRPr="0000517A">
        <w:rPr>
          <w:rFonts w:ascii="Verdana" w:eastAsia="Verdana" w:hAnsi="Verdana" w:cs="Verdana"/>
          <w:color w:val="000000"/>
          <w:sz w:val="20"/>
          <w:szCs w:val="20"/>
          <w:lang w:val="es-CR"/>
        </w:rPr>
        <w:t xml:space="preserve">) la presunta vulneración a las garantías </w:t>
      </w:r>
      <w:r w:rsidR="00932C14" w:rsidRPr="0000517A">
        <w:rPr>
          <w:rFonts w:ascii="Verdana" w:eastAsia="Verdana" w:hAnsi="Verdana" w:cs="Verdana"/>
          <w:color w:val="000000"/>
          <w:sz w:val="20"/>
          <w:szCs w:val="20"/>
          <w:lang w:val="es-CR"/>
        </w:rPr>
        <w:t>judiciales.</w:t>
      </w:r>
    </w:p>
    <w:p w:rsidR="00125B1D" w:rsidRPr="00DD4C57" w:rsidRDefault="00125B1D" w:rsidP="00125B1D">
      <w:pPr>
        <w:pStyle w:val="Prrafodelista"/>
        <w:autoSpaceDE w:val="0"/>
        <w:autoSpaceDN w:val="0"/>
        <w:adjustRightInd w:val="0"/>
        <w:spacing w:after="0" w:line="240" w:lineRule="auto"/>
        <w:ind w:left="0"/>
        <w:jc w:val="both"/>
        <w:rPr>
          <w:rFonts w:ascii="Verdana" w:hAnsi="Verdana"/>
          <w:sz w:val="20"/>
          <w:szCs w:val="20"/>
          <w:lang w:val="es-CR"/>
        </w:rPr>
      </w:pPr>
    </w:p>
    <w:p w:rsidR="00914EAC" w:rsidRPr="008042F7" w:rsidRDefault="005A2EC3" w:rsidP="00914EAC">
      <w:pPr>
        <w:pStyle w:val="Prrafodelista"/>
        <w:numPr>
          <w:ilvl w:val="0"/>
          <w:numId w:val="3"/>
        </w:numPr>
        <w:tabs>
          <w:tab w:val="left" w:pos="0"/>
        </w:tabs>
        <w:autoSpaceDE w:val="0"/>
        <w:autoSpaceDN w:val="0"/>
        <w:adjustRightInd w:val="0"/>
        <w:spacing w:after="0" w:line="240" w:lineRule="auto"/>
        <w:ind w:left="0" w:firstLine="0"/>
        <w:jc w:val="both"/>
        <w:rPr>
          <w:rFonts w:ascii="Verdana" w:hAnsi="Verdana"/>
          <w:sz w:val="20"/>
          <w:szCs w:val="20"/>
          <w:lang w:val="es-CR"/>
        </w:rPr>
      </w:pPr>
      <w:r w:rsidRPr="0000517A">
        <w:rPr>
          <w:rFonts w:ascii="Verdana" w:hAnsi="Verdana"/>
          <w:sz w:val="20"/>
          <w:szCs w:val="20"/>
          <w:lang w:val="es-CR"/>
        </w:rPr>
        <w:t>E</w:t>
      </w:r>
      <w:r w:rsidR="00125B1D" w:rsidRPr="0000517A">
        <w:rPr>
          <w:rFonts w:ascii="Verdana" w:hAnsi="Verdana"/>
          <w:sz w:val="20"/>
          <w:szCs w:val="20"/>
          <w:lang w:val="es-CR"/>
        </w:rPr>
        <w:t xml:space="preserve">ste Tribunal advierte que si bien en el presente caso la conducta </w:t>
      </w:r>
      <w:r w:rsidR="008103B3" w:rsidRPr="0000517A">
        <w:rPr>
          <w:rFonts w:ascii="Verdana" w:hAnsi="Verdana"/>
          <w:sz w:val="20"/>
          <w:szCs w:val="20"/>
          <w:lang w:val="es-CR"/>
        </w:rPr>
        <w:t xml:space="preserve">reprochable </w:t>
      </w:r>
      <w:r w:rsidR="00125B1D" w:rsidRPr="0000517A">
        <w:rPr>
          <w:rFonts w:ascii="Verdana" w:hAnsi="Verdana"/>
          <w:sz w:val="20"/>
          <w:szCs w:val="20"/>
          <w:lang w:val="es-CR"/>
        </w:rPr>
        <w:t xml:space="preserve">de las presuntas víctimas </w:t>
      </w:r>
      <w:r w:rsidR="008103B3" w:rsidRPr="0000517A">
        <w:rPr>
          <w:rFonts w:ascii="Verdana" w:hAnsi="Verdana"/>
          <w:sz w:val="20"/>
          <w:szCs w:val="20"/>
          <w:lang w:val="es-CR"/>
        </w:rPr>
        <w:t xml:space="preserve">devino en una responsabilidad penal por la comisión de </w:t>
      </w:r>
      <w:r w:rsidR="00545642" w:rsidRPr="0000517A">
        <w:rPr>
          <w:rFonts w:ascii="Verdana" w:hAnsi="Verdana"/>
          <w:sz w:val="20"/>
          <w:szCs w:val="20"/>
          <w:lang w:val="es-CR"/>
        </w:rPr>
        <w:t xml:space="preserve">los </w:t>
      </w:r>
      <w:r w:rsidR="008103B3" w:rsidRPr="0000517A">
        <w:rPr>
          <w:rFonts w:ascii="Verdana" w:hAnsi="Verdana"/>
          <w:sz w:val="20"/>
          <w:szCs w:val="20"/>
          <w:lang w:val="es-CR"/>
        </w:rPr>
        <w:t>delitos</w:t>
      </w:r>
      <w:r w:rsidR="00545642" w:rsidRPr="0000517A">
        <w:rPr>
          <w:rFonts w:ascii="Verdana" w:hAnsi="Verdana"/>
          <w:sz w:val="20"/>
          <w:szCs w:val="20"/>
          <w:lang w:val="es-CR"/>
        </w:rPr>
        <w:t xml:space="preserve"> ya indicados</w:t>
      </w:r>
      <w:r w:rsidR="00914EAC" w:rsidRPr="0000517A">
        <w:rPr>
          <w:rFonts w:ascii="Verdana" w:hAnsi="Verdana"/>
          <w:sz w:val="20"/>
          <w:szCs w:val="20"/>
          <w:lang w:val="es-CR"/>
        </w:rPr>
        <w:t xml:space="preserve"> (</w:t>
      </w:r>
      <w:r w:rsidR="00914EAC" w:rsidRPr="0000517A">
        <w:rPr>
          <w:rFonts w:ascii="Verdana" w:hAnsi="Verdana"/>
          <w:i/>
          <w:sz w:val="20"/>
          <w:szCs w:val="20"/>
          <w:lang w:val="es-CR"/>
        </w:rPr>
        <w:t xml:space="preserve">supra </w:t>
      </w:r>
      <w:r w:rsidR="00D3251E">
        <w:rPr>
          <w:rFonts w:ascii="Verdana" w:hAnsi="Verdana"/>
          <w:sz w:val="20"/>
          <w:szCs w:val="20"/>
          <w:lang w:val="es-CR"/>
        </w:rPr>
        <w:t>párr. 1</w:t>
      </w:r>
      <w:r w:rsidR="00914EAC" w:rsidRPr="0000517A">
        <w:rPr>
          <w:rFonts w:ascii="Verdana" w:hAnsi="Verdana"/>
          <w:sz w:val="20"/>
          <w:szCs w:val="20"/>
          <w:lang w:val="es-CR"/>
        </w:rPr>
        <w:t>)</w:t>
      </w:r>
      <w:r w:rsidR="00545642" w:rsidRPr="0000517A">
        <w:rPr>
          <w:rFonts w:ascii="Verdana" w:hAnsi="Verdana"/>
          <w:sz w:val="20"/>
          <w:szCs w:val="20"/>
          <w:lang w:val="es-CR"/>
        </w:rPr>
        <w:t>,</w:t>
      </w:r>
      <w:r w:rsidR="008103B3" w:rsidRPr="0000517A">
        <w:rPr>
          <w:rFonts w:ascii="Verdana" w:hAnsi="Verdana"/>
          <w:sz w:val="20"/>
          <w:szCs w:val="20"/>
          <w:lang w:val="es-CR"/>
        </w:rPr>
        <w:t xml:space="preserve"> </w:t>
      </w:r>
      <w:r w:rsidR="00125B1D" w:rsidRPr="0000517A">
        <w:rPr>
          <w:rFonts w:ascii="Verdana" w:hAnsi="Verdana"/>
          <w:sz w:val="20"/>
          <w:szCs w:val="20"/>
          <w:lang w:val="es-CR"/>
        </w:rPr>
        <w:t xml:space="preserve">es necesario enfatizar que el reconocimiento de los derechos humanos y el deber de garantía a que está obligado el Estado </w:t>
      </w:r>
      <w:r w:rsidR="00A22EF0" w:rsidRPr="0000517A">
        <w:rPr>
          <w:rFonts w:ascii="Verdana" w:hAnsi="Verdana"/>
          <w:sz w:val="20"/>
          <w:szCs w:val="20"/>
          <w:lang w:val="es-CR"/>
        </w:rPr>
        <w:t>concierne</w:t>
      </w:r>
      <w:r w:rsidR="00A568FC" w:rsidRPr="0000517A">
        <w:rPr>
          <w:rFonts w:ascii="Verdana" w:hAnsi="Verdana"/>
          <w:sz w:val="20"/>
          <w:szCs w:val="20"/>
          <w:lang w:val="es-CR"/>
        </w:rPr>
        <w:t>n</w:t>
      </w:r>
      <w:r w:rsidR="00A22EF0" w:rsidRPr="0000517A">
        <w:rPr>
          <w:rFonts w:ascii="Verdana" w:hAnsi="Verdana"/>
          <w:sz w:val="20"/>
          <w:szCs w:val="20"/>
          <w:lang w:val="es-CR"/>
        </w:rPr>
        <w:t xml:space="preserve"> a todos los casos en que se encuentre involucrada una persona y por ende, le corresponde asegurar sus </w:t>
      </w:r>
      <w:r w:rsidR="00125B1D" w:rsidRPr="0000517A">
        <w:rPr>
          <w:rFonts w:ascii="Verdana" w:hAnsi="Verdana"/>
          <w:sz w:val="20"/>
          <w:szCs w:val="20"/>
          <w:lang w:val="es-CR"/>
        </w:rPr>
        <w:t xml:space="preserve">derechos. </w:t>
      </w:r>
      <w:r w:rsidR="00125B1D" w:rsidRPr="00011C2E">
        <w:rPr>
          <w:rFonts w:ascii="Verdana" w:hAnsi="Verdana"/>
          <w:sz w:val="20"/>
          <w:szCs w:val="20"/>
          <w:lang w:val="es-CR"/>
        </w:rPr>
        <w:lastRenderedPageBreak/>
        <w:t>Por lo cual,</w:t>
      </w:r>
      <w:r w:rsidR="00125B1D" w:rsidRPr="0000517A">
        <w:rPr>
          <w:rFonts w:ascii="Verdana" w:hAnsi="Verdana"/>
          <w:sz w:val="20"/>
          <w:szCs w:val="20"/>
          <w:lang w:val="es-CR"/>
        </w:rPr>
        <w:t xml:space="preserve"> esta Corte reafirma la obligación de los Estados </w:t>
      </w:r>
      <w:r w:rsidR="00BC2465" w:rsidRPr="0000517A">
        <w:rPr>
          <w:rFonts w:ascii="Verdana" w:hAnsi="Verdana"/>
          <w:sz w:val="20"/>
          <w:szCs w:val="20"/>
          <w:lang w:val="es-CR"/>
        </w:rPr>
        <w:t xml:space="preserve">de </w:t>
      </w:r>
      <w:r w:rsidR="00125B1D" w:rsidRPr="0000517A">
        <w:rPr>
          <w:rFonts w:ascii="Verdana" w:hAnsi="Verdana"/>
          <w:sz w:val="20"/>
          <w:szCs w:val="20"/>
          <w:lang w:val="es-CR"/>
        </w:rPr>
        <w:t>respetar y garantizar los derechos de toda persona sujeta a su jurisdicción</w:t>
      </w:r>
      <w:r w:rsidR="00F322EA" w:rsidRPr="0000517A">
        <w:rPr>
          <w:rFonts w:ascii="Verdana" w:hAnsi="Verdana"/>
          <w:sz w:val="20"/>
          <w:szCs w:val="20"/>
          <w:lang w:val="es-CR"/>
        </w:rPr>
        <w:t>,</w:t>
      </w:r>
      <w:r w:rsidR="00125B1D" w:rsidRPr="0000517A">
        <w:rPr>
          <w:rFonts w:ascii="Verdana" w:hAnsi="Verdana"/>
          <w:sz w:val="20"/>
          <w:szCs w:val="20"/>
          <w:lang w:val="es-CR"/>
        </w:rPr>
        <w:t xml:space="preserve"> sin discriminación alguna</w:t>
      </w:r>
      <w:r w:rsidR="00D33333" w:rsidRPr="0000517A">
        <w:rPr>
          <w:rStyle w:val="Refdenotaalpie"/>
          <w:rFonts w:ascii="Verdana" w:hAnsi="Verdana"/>
          <w:sz w:val="20"/>
          <w:szCs w:val="20"/>
          <w:lang w:val="es-CR"/>
        </w:rPr>
        <w:footnoteReference w:id="49"/>
      </w:r>
      <w:r w:rsidR="00125B1D" w:rsidRPr="0000517A">
        <w:rPr>
          <w:rFonts w:ascii="Verdana" w:hAnsi="Verdana"/>
          <w:sz w:val="20"/>
          <w:szCs w:val="20"/>
          <w:lang w:val="es-CR"/>
        </w:rPr>
        <w:t>.</w:t>
      </w:r>
      <w:r w:rsidR="00545642" w:rsidRPr="0000517A">
        <w:rPr>
          <w:rFonts w:ascii="Verdana" w:hAnsi="Verdana"/>
          <w:sz w:val="20"/>
          <w:szCs w:val="20"/>
          <w:lang w:val="es-CR"/>
        </w:rPr>
        <w:t xml:space="preserve"> </w:t>
      </w:r>
    </w:p>
    <w:p w:rsidR="00755476" w:rsidRPr="0011393D" w:rsidRDefault="00755476" w:rsidP="0011393D">
      <w:pPr>
        <w:pStyle w:val="Prrafodelista"/>
        <w:tabs>
          <w:tab w:val="left" w:pos="0"/>
        </w:tabs>
        <w:autoSpaceDE w:val="0"/>
        <w:autoSpaceDN w:val="0"/>
        <w:adjustRightInd w:val="0"/>
        <w:spacing w:after="0" w:line="240" w:lineRule="auto"/>
        <w:ind w:left="0"/>
        <w:jc w:val="both"/>
        <w:rPr>
          <w:rFonts w:ascii="Verdana" w:eastAsia="Verdana" w:hAnsi="Verdana" w:cs="Verdana"/>
          <w:sz w:val="20"/>
          <w:szCs w:val="20"/>
          <w:lang w:val="es-CR"/>
        </w:rPr>
      </w:pPr>
    </w:p>
    <w:p w:rsidR="0079580E" w:rsidRPr="00451DB9" w:rsidRDefault="0021715A" w:rsidP="00451DB9">
      <w:pPr>
        <w:pStyle w:val="Ttulo1"/>
        <w:spacing w:before="0" w:line="240" w:lineRule="auto"/>
        <w:jc w:val="center"/>
        <w:rPr>
          <w:rFonts w:ascii="Verdana" w:hAnsi="Verdana"/>
          <w:color w:val="auto"/>
          <w:sz w:val="20"/>
          <w:szCs w:val="20"/>
          <w:lang w:val="es-CR"/>
        </w:rPr>
      </w:pPr>
      <w:bookmarkStart w:id="43" w:name="_Toc11234043"/>
      <w:bookmarkStart w:id="44" w:name="_Toc11161084"/>
      <w:bookmarkStart w:id="45" w:name="_Toc12350839"/>
      <w:bookmarkStart w:id="46" w:name="_Toc24538837"/>
      <w:bookmarkStart w:id="47" w:name="_Toc11234533"/>
      <w:r>
        <w:rPr>
          <w:rFonts w:ascii="Verdana" w:eastAsia="Verdana" w:hAnsi="Verdana" w:cs="Verdana"/>
          <w:color w:val="auto"/>
          <w:sz w:val="20"/>
          <w:szCs w:val="20"/>
          <w:lang w:val="es-CR"/>
        </w:rPr>
        <w:t>VIII-</w:t>
      </w:r>
      <w:r w:rsidR="00A326C2">
        <w:rPr>
          <w:rFonts w:ascii="Verdana" w:eastAsia="Verdana" w:hAnsi="Verdana" w:cs="Verdana"/>
          <w:color w:val="auto"/>
          <w:sz w:val="20"/>
          <w:szCs w:val="20"/>
          <w:lang w:val="es-CR"/>
        </w:rPr>
        <w:t>1</w:t>
      </w:r>
      <w:r w:rsidR="0079580E" w:rsidRPr="008E0075">
        <w:rPr>
          <w:rFonts w:ascii="Verdana" w:eastAsia="Verdana" w:hAnsi="Verdana" w:cs="Verdana"/>
          <w:color w:val="auto"/>
          <w:sz w:val="20"/>
          <w:szCs w:val="20"/>
          <w:lang w:val="es-CR"/>
        </w:rPr>
        <w:t xml:space="preserve"> </w:t>
      </w:r>
      <w:r w:rsidR="00451DB9">
        <w:rPr>
          <w:rFonts w:ascii="Verdana" w:eastAsia="Verdana" w:hAnsi="Verdana" w:cs="Verdana"/>
          <w:color w:val="auto"/>
          <w:sz w:val="20"/>
          <w:szCs w:val="20"/>
          <w:lang w:val="es-CR"/>
        </w:rPr>
        <w:br/>
      </w:r>
      <w:r w:rsidR="0079580E" w:rsidRPr="008E0075">
        <w:rPr>
          <w:rFonts w:ascii="Verdana" w:hAnsi="Verdana"/>
          <w:color w:val="auto"/>
          <w:sz w:val="20"/>
          <w:szCs w:val="20"/>
          <w:lang w:val="es-CR"/>
        </w:rPr>
        <w:t>DERECHO A LA VIDA</w:t>
      </w:r>
      <w:bookmarkStart w:id="48" w:name="_Toc12350840"/>
      <w:bookmarkStart w:id="49" w:name="_Toc11234044"/>
      <w:bookmarkStart w:id="50" w:name="_Toc11161085"/>
      <w:bookmarkEnd w:id="43"/>
      <w:bookmarkEnd w:id="44"/>
      <w:bookmarkEnd w:id="45"/>
      <w:r w:rsidR="00A36771">
        <w:rPr>
          <w:rStyle w:val="Refdenotaalpie"/>
          <w:rFonts w:ascii="Verdana" w:hAnsi="Verdana"/>
          <w:color w:val="auto"/>
          <w:sz w:val="20"/>
          <w:szCs w:val="20"/>
          <w:lang w:val="es-CR"/>
        </w:rPr>
        <w:footnoteReference w:id="50"/>
      </w:r>
      <w:bookmarkEnd w:id="46"/>
      <w:r w:rsidR="00AA4C90">
        <w:rPr>
          <w:rFonts w:ascii="Verdana" w:hAnsi="Verdana"/>
          <w:color w:val="auto"/>
          <w:sz w:val="20"/>
          <w:szCs w:val="20"/>
          <w:lang w:val="es-CR"/>
        </w:rPr>
        <w:t xml:space="preserve"> </w:t>
      </w:r>
      <w:bookmarkEnd w:id="48"/>
      <w:bookmarkEnd w:id="49"/>
      <w:bookmarkEnd w:id="50"/>
    </w:p>
    <w:p w:rsidR="00323102" w:rsidRPr="008E0075" w:rsidRDefault="00323102" w:rsidP="000615D6">
      <w:pPr>
        <w:spacing w:after="0" w:line="240" w:lineRule="auto"/>
        <w:rPr>
          <w:lang w:val="es-CR"/>
        </w:rPr>
      </w:pPr>
    </w:p>
    <w:p w:rsidR="0079580E" w:rsidRPr="00A61525" w:rsidRDefault="002E2503" w:rsidP="002E2503">
      <w:pPr>
        <w:spacing w:after="0" w:line="240" w:lineRule="auto"/>
        <w:jc w:val="both"/>
        <w:outlineLvl w:val="1"/>
        <w:rPr>
          <w:rFonts w:ascii="Verdana" w:eastAsia="Verdana" w:hAnsi="Verdana" w:cs="Verdana"/>
          <w:b/>
          <w:sz w:val="20"/>
          <w:szCs w:val="20"/>
          <w:lang w:val="es-CR"/>
        </w:rPr>
      </w:pPr>
      <w:bookmarkStart w:id="51" w:name="_Toc11234045"/>
      <w:bookmarkStart w:id="52" w:name="_Toc11161086"/>
      <w:bookmarkStart w:id="53" w:name="_Toc12350842"/>
      <w:bookmarkStart w:id="54" w:name="_Toc24538838"/>
      <w:r w:rsidRPr="00A61525">
        <w:rPr>
          <w:rFonts w:ascii="Verdana" w:eastAsia="Verdana" w:hAnsi="Verdana" w:cs="Verdana"/>
          <w:b/>
          <w:sz w:val="20"/>
          <w:szCs w:val="20"/>
          <w:lang w:val="es-CR"/>
        </w:rPr>
        <w:t xml:space="preserve">A. </w:t>
      </w:r>
      <w:r w:rsidR="0079580E" w:rsidRPr="00A61525">
        <w:rPr>
          <w:rFonts w:ascii="Verdana" w:eastAsia="Verdana" w:hAnsi="Verdana" w:cs="Verdana"/>
          <w:b/>
          <w:sz w:val="20"/>
          <w:szCs w:val="20"/>
          <w:lang w:val="es-CR"/>
        </w:rPr>
        <w:t>Alegatos de la Comisión y las partes</w:t>
      </w:r>
      <w:bookmarkEnd w:id="51"/>
      <w:bookmarkEnd w:id="52"/>
      <w:bookmarkEnd w:id="53"/>
      <w:bookmarkEnd w:id="54"/>
    </w:p>
    <w:p w:rsidR="00323102" w:rsidRPr="008E0075" w:rsidRDefault="00323102" w:rsidP="000615D6">
      <w:pPr>
        <w:pStyle w:val="Normal1"/>
        <w:widowControl/>
        <w:tabs>
          <w:tab w:val="left" w:pos="0"/>
        </w:tabs>
        <w:contextualSpacing/>
        <w:jc w:val="both"/>
        <w:rPr>
          <w:rFonts w:ascii="Verdana" w:hAnsi="Verdana"/>
          <w:sz w:val="20"/>
          <w:szCs w:val="20"/>
        </w:rPr>
      </w:pPr>
    </w:p>
    <w:p w:rsidR="002E2503" w:rsidRPr="002E2503" w:rsidRDefault="00323102" w:rsidP="00011C2E">
      <w:pPr>
        <w:pStyle w:val="Normal1"/>
        <w:widowControl/>
        <w:numPr>
          <w:ilvl w:val="0"/>
          <w:numId w:val="33"/>
        </w:numPr>
        <w:ind w:left="0" w:firstLine="0"/>
        <w:contextualSpacing/>
        <w:jc w:val="both"/>
        <w:rPr>
          <w:rFonts w:ascii="Verdana" w:hAnsi="Verdana"/>
          <w:sz w:val="20"/>
          <w:szCs w:val="20"/>
        </w:rPr>
      </w:pPr>
      <w:r w:rsidRPr="008E0075">
        <w:rPr>
          <w:rFonts w:ascii="Verdana" w:eastAsia="Verdana" w:hAnsi="Verdana" w:cs="Verdana"/>
          <w:sz w:val="20"/>
          <w:szCs w:val="20"/>
        </w:rPr>
        <w:t>L</w:t>
      </w:r>
      <w:r w:rsidR="00344321" w:rsidRPr="008E0075">
        <w:rPr>
          <w:rFonts w:ascii="Verdana" w:eastAsia="Verdana" w:hAnsi="Verdana" w:cs="Verdana"/>
          <w:sz w:val="20"/>
          <w:szCs w:val="20"/>
        </w:rPr>
        <w:t xml:space="preserve">a </w:t>
      </w:r>
      <w:r w:rsidR="00344321" w:rsidRPr="008E0075">
        <w:rPr>
          <w:rFonts w:ascii="Verdana" w:eastAsia="Verdana" w:hAnsi="Verdana" w:cs="Verdana"/>
          <w:b/>
          <w:i/>
          <w:sz w:val="20"/>
          <w:szCs w:val="20"/>
        </w:rPr>
        <w:t>Comisión</w:t>
      </w:r>
      <w:r w:rsidR="00344321" w:rsidRPr="008E0075">
        <w:rPr>
          <w:rFonts w:ascii="Verdana" w:eastAsia="Verdana" w:hAnsi="Verdana" w:cs="Verdana"/>
          <w:sz w:val="20"/>
          <w:szCs w:val="20"/>
        </w:rPr>
        <w:t xml:space="preserve"> </w:t>
      </w:r>
      <w:r w:rsidR="00344321" w:rsidRPr="008E0075">
        <w:rPr>
          <w:rFonts w:ascii="Verdana" w:hAnsi="Verdana" w:cs="Tahoma"/>
          <w:sz w:val="20"/>
          <w:szCs w:val="20"/>
        </w:rPr>
        <w:t xml:space="preserve">concluyó que la imposición y ejecución de la pena de muerte en perjuicio de </w:t>
      </w:r>
      <w:r w:rsidR="00344321" w:rsidRPr="008E0075">
        <w:rPr>
          <w:rFonts w:ascii="Verdana" w:hAnsi="Verdana"/>
          <w:sz w:val="20"/>
          <w:szCs w:val="20"/>
        </w:rPr>
        <w:t>Roberto Girón y Pedro Castillo</w:t>
      </w:r>
      <w:r w:rsidR="00344321" w:rsidRPr="008E0075">
        <w:rPr>
          <w:rFonts w:ascii="Verdana" w:hAnsi="Verdana" w:cs="Tahoma"/>
          <w:sz w:val="20"/>
          <w:szCs w:val="20"/>
        </w:rPr>
        <w:t xml:space="preserve"> constituye una privación arbitraria </w:t>
      </w:r>
      <w:r w:rsidR="00885B10">
        <w:rPr>
          <w:rFonts w:ascii="Verdana" w:hAnsi="Verdana" w:cs="Tahoma"/>
          <w:sz w:val="20"/>
          <w:szCs w:val="20"/>
        </w:rPr>
        <w:t>de</w:t>
      </w:r>
      <w:r w:rsidR="00344321" w:rsidRPr="008E0075">
        <w:rPr>
          <w:rFonts w:ascii="Verdana" w:hAnsi="Verdana" w:cs="Tahoma"/>
          <w:sz w:val="20"/>
          <w:szCs w:val="20"/>
        </w:rPr>
        <w:t xml:space="preserve"> la vida, por consiguiente Guatemala ha vulnerado el artículo 4.1 y 4.2 de la Convención, en relación con las obligaciones de los artículos 1.1 y 2 del mismo instrumento</w:t>
      </w:r>
      <w:r w:rsidR="00344321" w:rsidRPr="008E0075">
        <w:rPr>
          <w:rFonts w:ascii="Verdana" w:hAnsi="Verdana"/>
          <w:sz w:val="20"/>
          <w:szCs w:val="20"/>
        </w:rPr>
        <w:t>, debido a que esta medida surgió de un proceso penal sin el estricto cumplimiento de las garantías judiciales.</w:t>
      </w:r>
    </w:p>
    <w:p w:rsidR="002E2503" w:rsidRDefault="002E2503" w:rsidP="002E2503">
      <w:pPr>
        <w:pStyle w:val="Normal1"/>
        <w:widowControl/>
        <w:tabs>
          <w:tab w:val="left" w:pos="0"/>
        </w:tabs>
        <w:contextualSpacing/>
        <w:jc w:val="both"/>
        <w:rPr>
          <w:rFonts w:ascii="Verdana" w:hAnsi="Verdana"/>
          <w:sz w:val="20"/>
          <w:szCs w:val="20"/>
        </w:rPr>
      </w:pPr>
    </w:p>
    <w:p w:rsidR="002E2503" w:rsidRPr="002E2503" w:rsidRDefault="00344321" w:rsidP="00FE0342">
      <w:pPr>
        <w:pStyle w:val="Normal1"/>
        <w:widowControl/>
        <w:numPr>
          <w:ilvl w:val="0"/>
          <w:numId w:val="33"/>
        </w:numPr>
        <w:tabs>
          <w:tab w:val="left" w:pos="0"/>
        </w:tabs>
        <w:ind w:left="0" w:firstLine="0"/>
        <w:contextualSpacing/>
        <w:jc w:val="both"/>
        <w:rPr>
          <w:rFonts w:ascii="Verdana" w:hAnsi="Verdana"/>
          <w:sz w:val="20"/>
          <w:szCs w:val="20"/>
        </w:rPr>
      </w:pPr>
      <w:r w:rsidRPr="002E2503">
        <w:rPr>
          <w:rFonts w:ascii="Verdana" w:eastAsia="Verdana" w:hAnsi="Verdana" w:cs="Verdana"/>
          <w:sz w:val="20"/>
          <w:szCs w:val="20"/>
        </w:rPr>
        <w:t xml:space="preserve">Las </w:t>
      </w:r>
      <w:r w:rsidRPr="002E2503">
        <w:rPr>
          <w:rFonts w:ascii="Verdana" w:eastAsia="Verdana" w:hAnsi="Verdana" w:cs="Verdana"/>
          <w:b/>
          <w:i/>
          <w:sz w:val="20"/>
          <w:szCs w:val="20"/>
        </w:rPr>
        <w:t>representantes</w:t>
      </w:r>
      <w:r w:rsidRPr="002E2503">
        <w:rPr>
          <w:rFonts w:ascii="Verdana" w:eastAsia="Verdana" w:hAnsi="Verdana" w:cs="Verdana"/>
          <w:sz w:val="20"/>
          <w:szCs w:val="20"/>
        </w:rPr>
        <w:t xml:space="preserve"> alegaron que existe una </w:t>
      </w:r>
      <w:r w:rsidR="00885B10">
        <w:rPr>
          <w:rFonts w:ascii="Verdana" w:eastAsia="Verdana" w:hAnsi="Verdana" w:cs="Verdana"/>
          <w:sz w:val="20"/>
          <w:szCs w:val="20"/>
        </w:rPr>
        <w:t>privación arbitraria de</w:t>
      </w:r>
      <w:r w:rsidRPr="002E2503">
        <w:rPr>
          <w:rFonts w:ascii="Verdana" w:eastAsia="Verdana" w:hAnsi="Verdana" w:cs="Verdana"/>
          <w:sz w:val="20"/>
          <w:szCs w:val="20"/>
        </w:rPr>
        <w:t xml:space="preserve"> la vida por desconocer las garantías mínimas del debido proceso de los señores Roberto Girón y Pedro Castillo Mendoza. Asimismo, señalaron que el Juzgado de Primera Instancia Penal de Sentencia de Escuintla el 4 de octubre de 1993 tuvo a bien imponer la sanción a pena de muerte por el delito de violación calificada, contemplad</w:t>
      </w:r>
      <w:r w:rsidR="000C21B4">
        <w:rPr>
          <w:rFonts w:ascii="Verdana" w:eastAsia="Verdana" w:hAnsi="Verdana" w:cs="Verdana"/>
          <w:sz w:val="20"/>
          <w:szCs w:val="20"/>
        </w:rPr>
        <w:t>a</w:t>
      </w:r>
      <w:r w:rsidRPr="002E2503">
        <w:rPr>
          <w:rFonts w:ascii="Verdana" w:eastAsia="Verdana" w:hAnsi="Verdana" w:cs="Verdana"/>
          <w:sz w:val="20"/>
          <w:szCs w:val="20"/>
        </w:rPr>
        <w:t xml:space="preserve"> en el artículo 175 del Código Penal, de manera obligatoria, sin tomar en consideración las circunstancias personales de ninguno de los dos procesados, que hubiera podido determinar en atención a favor de los mismos circunstancias atenuantes o agravantes. En consecuencia, solicitaron </w:t>
      </w:r>
      <w:r w:rsidRPr="002E2503">
        <w:rPr>
          <w:rFonts w:ascii="Verdana" w:hAnsi="Verdana"/>
          <w:sz w:val="20"/>
          <w:szCs w:val="20"/>
        </w:rPr>
        <w:t xml:space="preserve">que la Corte debe declarar responsable al </w:t>
      </w:r>
      <w:r w:rsidRPr="002E2503">
        <w:rPr>
          <w:rFonts w:ascii="Verdana" w:hAnsi="Verdana"/>
          <w:bCs/>
          <w:iCs/>
          <w:sz w:val="20"/>
          <w:szCs w:val="20"/>
        </w:rPr>
        <w:t>Estado por la violación de los artículos 4.1 y 4.2 de la</w:t>
      </w:r>
      <w:r w:rsidR="00AF7BD5" w:rsidRPr="002E2503">
        <w:rPr>
          <w:rFonts w:ascii="Verdana" w:hAnsi="Verdana"/>
          <w:sz w:val="20"/>
          <w:szCs w:val="20"/>
        </w:rPr>
        <w:t xml:space="preserve"> </w:t>
      </w:r>
      <w:r w:rsidRPr="002E2503">
        <w:rPr>
          <w:rFonts w:ascii="Verdana" w:hAnsi="Verdana"/>
          <w:bCs/>
          <w:iCs/>
          <w:sz w:val="20"/>
          <w:szCs w:val="20"/>
        </w:rPr>
        <w:t xml:space="preserve">Convención Americana, por haber privado arbitrariamente la vida de los señores Roberto Girón y Pedro Castillo Mendoza, incumpliendo las disposiciones contenidas en los artículos 1.1 y 2 del indicado instrumento. </w:t>
      </w:r>
    </w:p>
    <w:p w:rsidR="002E2503" w:rsidRDefault="002E2503" w:rsidP="002E2503">
      <w:pPr>
        <w:pStyle w:val="Normal1"/>
        <w:widowControl/>
        <w:tabs>
          <w:tab w:val="left" w:pos="0"/>
        </w:tabs>
        <w:contextualSpacing/>
        <w:jc w:val="both"/>
        <w:rPr>
          <w:rFonts w:ascii="Verdana" w:hAnsi="Verdana"/>
          <w:sz w:val="20"/>
          <w:szCs w:val="20"/>
        </w:rPr>
      </w:pPr>
    </w:p>
    <w:p w:rsidR="008042F7" w:rsidRPr="00724AE2" w:rsidRDefault="00344321" w:rsidP="008042F7">
      <w:pPr>
        <w:pStyle w:val="Normal1"/>
        <w:widowControl/>
        <w:numPr>
          <w:ilvl w:val="0"/>
          <w:numId w:val="33"/>
        </w:numPr>
        <w:tabs>
          <w:tab w:val="left" w:pos="0"/>
        </w:tabs>
        <w:ind w:left="0" w:firstLine="0"/>
        <w:contextualSpacing/>
        <w:jc w:val="both"/>
        <w:rPr>
          <w:rFonts w:ascii="Verdana" w:hAnsi="Verdana"/>
          <w:sz w:val="20"/>
          <w:szCs w:val="20"/>
        </w:rPr>
      </w:pPr>
      <w:r w:rsidRPr="002E2503">
        <w:rPr>
          <w:rFonts w:ascii="Verdana" w:eastAsia="Verdana" w:hAnsi="Verdana" w:cs="Verdana"/>
          <w:sz w:val="20"/>
          <w:szCs w:val="20"/>
        </w:rPr>
        <w:t xml:space="preserve">El </w:t>
      </w:r>
      <w:r w:rsidRPr="002E2503">
        <w:rPr>
          <w:rFonts w:ascii="Verdana" w:eastAsia="Verdana" w:hAnsi="Verdana" w:cs="Verdana"/>
          <w:b/>
          <w:i/>
          <w:sz w:val="20"/>
          <w:szCs w:val="20"/>
        </w:rPr>
        <w:t>Estado</w:t>
      </w:r>
      <w:r w:rsidRPr="002E2503">
        <w:rPr>
          <w:rFonts w:ascii="Verdana" w:eastAsia="Verdana" w:hAnsi="Verdana" w:cs="Verdana"/>
          <w:sz w:val="20"/>
          <w:szCs w:val="20"/>
        </w:rPr>
        <w:t xml:space="preserve"> alegó </w:t>
      </w:r>
      <w:r w:rsidRPr="002E2503">
        <w:rPr>
          <w:rFonts w:ascii="Verdana" w:hAnsi="Verdana"/>
          <w:sz w:val="20"/>
          <w:szCs w:val="20"/>
        </w:rPr>
        <w:t>que el hecho de que la sentencia fuera adversa a los</w:t>
      </w:r>
      <w:r w:rsidR="009B13B4">
        <w:rPr>
          <w:rFonts w:ascii="Verdana" w:hAnsi="Verdana"/>
          <w:sz w:val="20"/>
          <w:szCs w:val="20"/>
        </w:rPr>
        <w:t xml:space="preserve"> procesados</w:t>
      </w:r>
      <w:r w:rsidRPr="002E2503">
        <w:rPr>
          <w:rFonts w:ascii="Verdana" w:hAnsi="Verdana"/>
          <w:sz w:val="20"/>
          <w:szCs w:val="20"/>
        </w:rPr>
        <w:t>, lo mismo que los recursos  interpuestos a favor de ellos, incluyendo la solicitud del recurso de gracia, no permite dar cabida a afirmar que el Estado actuó "arbitrariamente" y que a raíz de ello murieran por fusilamiento los señores Roberto Girón y Pedro Castillo Mendoza</w:t>
      </w:r>
      <w:r w:rsidRPr="002E2503">
        <w:rPr>
          <w:rFonts w:ascii="Verdana" w:hAnsi="Verdana"/>
          <w:w w:val="106"/>
          <w:sz w:val="20"/>
          <w:szCs w:val="20"/>
        </w:rPr>
        <w:t xml:space="preserve">. Además, adujo que cumplió con el debido proceso </w:t>
      </w:r>
      <w:r w:rsidRPr="002E2503">
        <w:rPr>
          <w:rFonts w:ascii="Verdana" w:hAnsi="Verdana"/>
          <w:iCs/>
          <w:w w:val="106"/>
          <w:sz w:val="20"/>
          <w:szCs w:val="20"/>
        </w:rPr>
        <w:t xml:space="preserve">y </w:t>
      </w:r>
      <w:r w:rsidR="00755476">
        <w:rPr>
          <w:rFonts w:ascii="Verdana" w:hAnsi="Verdana"/>
          <w:iCs/>
          <w:w w:val="106"/>
          <w:sz w:val="20"/>
          <w:szCs w:val="20"/>
        </w:rPr>
        <w:t>que</w:t>
      </w:r>
      <w:r w:rsidR="00AA4C90">
        <w:rPr>
          <w:rFonts w:ascii="Verdana" w:hAnsi="Verdana"/>
          <w:iCs/>
          <w:w w:val="106"/>
          <w:sz w:val="20"/>
          <w:szCs w:val="20"/>
        </w:rPr>
        <w:t>,</w:t>
      </w:r>
      <w:r w:rsidRPr="002E2503">
        <w:rPr>
          <w:rFonts w:ascii="Verdana" w:hAnsi="Verdana"/>
          <w:w w:val="106"/>
          <w:sz w:val="20"/>
          <w:szCs w:val="20"/>
        </w:rPr>
        <w:t xml:space="preserve"> en la práctica los aspectos medulares del proceso fueron motivo de honda auscultación por los medios de comunicación social, situación muy contraria a la que se desprende de las apreciaciones de la Comisión y las representantes.</w:t>
      </w:r>
    </w:p>
    <w:p w:rsidR="00E745EC" w:rsidRPr="00562D6A" w:rsidRDefault="00E745EC" w:rsidP="00E745EC">
      <w:pPr>
        <w:pStyle w:val="Normal1"/>
        <w:widowControl/>
        <w:tabs>
          <w:tab w:val="left" w:pos="0"/>
        </w:tabs>
        <w:contextualSpacing/>
        <w:jc w:val="both"/>
        <w:rPr>
          <w:rFonts w:ascii="Verdana" w:hAnsi="Verdana"/>
          <w:sz w:val="20"/>
          <w:szCs w:val="20"/>
        </w:rPr>
      </w:pPr>
    </w:p>
    <w:p w:rsidR="002A665A" w:rsidRPr="00A61525" w:rsidRDefault="002A665A" w:rsidP="002A665A">
      <w:pPr>
        <w:spacing w:after="0" w:line="240" w:lineRule="auto"/>
        <w:jc w:val="both"/>
        <w:outlineLvl w:val="1"/>
        <w:rPr>
          <w:rFonts w:ascii="Verdana" w:eastAsia="Verdana" w:hAnsi="Verdana" w:cs="Verdana"/>
          <w:b/>
          <w:sz w:val="20"/>
          <w:szCs w:val="20"/>
          <w:lang w:val="es-CR"/>
        </w:rPr>
      </w:pPr>
      <w:bookmarkStart w:id="55" w:name="_Toc12350843"/>
      <w:bookmarkStart w:id="56" w:name="_Toc24538839"/>
      <w:r w:rsidRPr="00A61525">
        <w:rPr>
          <w:rFonts w:ascii="Verdana" w:eastAsia="Verdana" w:hAnsi="Verdana" w:cs="Verdana"/>
          <w:b/>
          <w:sz w:val="20"/>
          <w:szCs w:val="20"/>
          <w:lang w:val="es-CR"/>
        </w:rPr>
        <w:t>B. Consideraciones de la Corte</w:t>
      </w:r>
      <w:bookmarkEnd w:id="55"/>
      <w:bookmarkEnd w:id="56"/>
    </w:p>
    <w:p w:rsidR="002A665A" w:rsidRDefault="002A665A" w:rsidP="002A665A">
      <w:pPr>
        <w:pStyle w:val="Normal1"/>
        <w:widowControl/>
        <w:tabs>
          <w:tab w:val="left" w:pos="0"/>
        </w:tabs>
        <w:contextualSpacing/>
        <w:jc w:val="both"/>
        <w:rPr>
          <w:rFonts w:ascii="Verdana" w:hAnsi="Verdana"/>
          <w:sz w:val="20"/>
          <w:szCs w:val="20"/>
        </w:rPr>
      </w:pPr>
    </w:p>
    <w:p w:rsidR="00DD4C57" w:rsidRPr="00C62653" w:rsidRDefault="00344321" w:rsidP="00FE0342">
      <w:pPr>
        <w:pStyle w:val="Prrafodelista"/>
        <w:numPr>
          <w:ilvl w:val="0"/>
          <w:numId w:val="33"/>
        </w:numPr>
        <w:tabs>
          <w:tab w:val="left" w:pos="0"/>
        </w:tabs>
        <w:spacing w:after="0" w:line="240" w:lineRule="auto"/>
        <w:ind w:left="0" w:firstLine="0"/>
        <w:jc w:val="both"/>
        <w:rPr>
          <w:rFonts w:ascii="Verdana" w:hAnsi="Verdana"/>
          <w:b/>
          <w:sz w:val="20"/>
          <w:szCs w:val="20"/>
          <w:lang w:val="es-CR"/>
        </w:rPr>
      </w:pPr>
      <w:r w:rsidRPr="0000517A">
        <w:rPr>
          <w:rFonts w:ascii="Verdana" w:hAnsi="Verdana"/>
          <w:sz w:val="20"/>
          <w:szCs w:val="20"/>
          <w:lang w:val="es-CR"/>
        </w:rPr>
        <w:t>Para efectos de examinar la alegada violación del derecho a la vida d</w:t>
      </w:r>
      <w:r w:rsidR="00006FF7" w:rsidRPr="0000517A">
        <w:rPr>
          <w:rFonts w:ascii="Verdana" w:hAnsi="Verdana"/>
          <w:sz w:val="20"/>
          <w:szCs w:val="20"/>
          <w:lang w:val="es-CR"/>
        </w:rPr>
        <w:t>e los señores</w:t>
      </w:r>
      <w:r w:rsidRPr="0000517A">
        <w:rPr>
          <w:rFonts w:ascii="Verdana" w:hAnsi="Verdana"/>
          <w:sz w:val="20"/>
          <w:szCs w:val="20"/>
          <w:lang w:val="es-CR"/>
        </w:rPr>
        <w:t xml:space="preserve"> Roberto Girón y Pedro Castillo,</w:t>
      </w:r>
      <w:r w:rsidRPr="00AB468B">
        <w:rPr>
          <w:rFonts w:ascii="Verdana" w:hAnsi="Verdana"/>
          <w:sz w:val="20"/>
          <w:szCs w:val="20"/>
          <w:lang w:val="es-CR"/>
        </w:rPr>
        <w:t xml:space="preserve"> </w:t>
      </w:r>
      <w:r w:rsidR="00DD4C57" w:rsidRPr="00AB468B">
        <w:rPr>
          <w:rFonts w:ascii="Verdana" w:hAnsi="Verdana"/>
          <w:sz w:val="20"/>
          <w:szCs w:val="20"/>
          <w:lang w:val="es-CR"/>
        </w:rPr>
        <w:t xml:space="preserve">cabe recordar que la Corte ha destacado recientemente en el caso </w:t>
      </w:r>
      <w:r w:rsidR="00DD4C57" w:rsidRPr="00AB468B">
        <w:rPr>
          <w:rFonts w:ascii="Verdana" w:hAnsi="Verdana"/>
          <w:i/>
          <w:sz w:val="20"/>
          <w:szCs w:val="20"/>
          <w:lang w:val="es-CR"/>
        </w:rPr>
        <w:t>Martínez Coronado Vs. Guatemala</w:t>
      </w:r>
      <w:r w:rsidR="00DD4C57" w:rsidRPr="00AB468B">
        <w:rPr>
          <w:rStyle w:val="Refdenotaalpie"/>
          <w:rFonts w:ascii="Verdana" w:hAnsi="Verdana"/>
          <w:sz w:val="20"/>
          <w:szCs w:val="20"/>
          <w:lang w:val="es-CR"/>
        </w:rPr>
        <w:footnoteReference w:id="51"/>
      </w:r>
      <w:r w:rsidR="00DD4C57" w:rsidRPr="00AB468B">
        <w:rPr>
          <w:rFonts w:ascii="Verdana" w:hAnsi="Verdana"/>
          <w:i/>
          <w:sz w:val="20"/>
          <w:szCs w:val="20"/>
          <w:lang w:val="es-CR"/>
        </w:rPr>
        <w:t xml:space="preserve"> </w:t>
      </w:r>
      <w:r w:rsidR="00DD4C57" w:rsidRPr="00AB468B">
        <w:rPr>
          <w:rFonts w:ascii="Verdana" w:hAnsi="Verdana"/>
          <w:sz w:val="20"/>
          <w:szCs w:val="20"/>
          <w:lang w:val="es-CR"/>
        </w:rPr>
        <w:t xml:space="preserve">que en los casos excepcionales en los cuáles está permitido a los Estados la aplicación de la pena de muerte, tal posibilidad está sujeta a un conjunto de rigurosas limitaciones. Por una parte, se dispone que la pena de muerte no podrá imponerse sino para los delitos más graves (artículo 4.2) y por la otra, se excluye de modo absoluto su aplicación por delitos políticos o por delitos comunes conexos con los políticos (artículo 4.4). La circunstancia de que la Convención Americana reduzca el ámbito posible de aplicación de la pena de muerte a los delitos comunes más graves y no conexos, es reveladora del propósito de considerar dicha pena aplicable sólo en condiciones excepcionales. </w:t>
      </w:r>
    </w:p>
    <w:p w:rsidR="009028E0" w:rsidRDefault="009028E0" w:rsidP="009028E0">
      <w:pPr>
        <w:pStyle w:val="Normal1"/>
        <w:widowControl/>
        <w:tabs>
          <w:tab w:val="left" w:pos="0"/>
        </w:tabs>
        <w:contextualSpacing/>
        <w:jc w:val="both"/>
        <w:rPr>
          <w:rFonts w:ascii="Verdana" w:hAnsi="Verdana"/>
          <w:sz w:val="20"/>
          <w:szCs w:val="20"/>
        </w:rPr>
      </w:pPr>
    </w:p>
    <w:p w:rsidR="009028E0" w:rsidRPr="00AB468B" w:rsidRDefault="008B20A0" w:rsidP="00FE0342">
      <w:pPr>
        <w:pStyle w:val="Normal1"/>
        <w:widowControl/>
        <w:numPr>
          <w:ilvl w:val="0"/>
          <w:numId w:val="33"/>
        </w:numPr>
        <w:tabs>
          <w:tab w:val="left" w:pos="0"/>
        </w:tabs>
        <w:ind w:left="0" w:firstLine="0"/>
        <w:contextualSpacing/>
        <w:jc w:val="both"/>
        <w:rPr>
          <w:rFonts w:ascii="Verdana" w:hAnsi="Verdana"/>
          <w:sz w:val="20"/>
          <w:szCs w:val="20"/>
        </w:rPr>
      </w:pPr>
      <w:r w:rsidRPr="00AB468B">
        <w:rPr>
          <w:rFonts w:ascii="Verdana" w:hAnsi="Verdana"/>
          <w:w w:val="106"/>
          <w:sz w:val="20"/>
          <w:szCs w:val="20"/>
        </w:rPr>
        <w:lastRenderedPageBreak/>
        <w:t>Además, e</w:t>
      </w:r>
      <w:r w:rsidR="00344321" w:rsidRPr="00AB468B">
        <w:rPr>
          <w:rFonts w:ascii="Verdana" w:hAnsi="Verdana"/>
          <w:w w:val="106"/>
          <w:sz w:val="20"/>
          <w:szCs w:val="20"/>
        </w:rPr>
        <w:t>ste Tribunal destaca el deber que tienen los Estados de protege</w:t>
      </w:r>
      <w:r w:rsidR="006A19B1">
        <w:rPr>
          <w:rFonts w:ascii="Verdana" w:hAnsi="Verdana"/>
          <w:w w:val="106"/>
          <w:sz w:val="20"/>
          <w:szCs w:val="20"/>
        </w:rPr>
        <w:t>r a todas las personas</w:t>
      </w:r>
      <w:r w:rsidR="00982A8C">
        <w:rPr>
          <w:rFonts w:ascii="Verdana" w:hAnsi="Verdana"/>
          <w:w w:val="106"/>
          <w:sz w:val="20"/>
          <w:szCs w:val="20"/>
        </w:rPr>
        <w:t xml:space="preserve"> </w:t>
      </w:r>
      <w:r w:rsidR="006A19B1">
        <w:rPr>
          <w:rFonts w:ascii="Verdana" w:hAnsi="Verdana"/>
          <w:w w:val="106"/>
          <w:sz w:val="20"/>
          <w:szCs w:val="20"/>
        </w:rPr>
        <w:t>al evitar</w:t>
      </w:r>
      <w:r w:rsidR="00982A8C">
        <w:rPr>
          <w:rFonts w:ascii="Verdana" w:hAnsi="Verdana"/>
          <w:w w:val="106"/>
          <w:sz w:val="20"/>
          <w:szCs w:val="20"/>
        </w:rPr>
        <w:t xml:space="preserve"> delitos, sancionar </w:t>
      </w:r>
      <w:r w:rsidR="00344321" w:rsidRPr="00AB468B">
        <w:rPr>
          <w:rFonts w:ascii="Verdana" w:hAnsi="Verdana"/>
          <w:w w:val="106"/>
          <w:sz w:val="20"/>
          <w:szCs w:val="20"/>
        </w:rPr>
        <w:t>a los responsables y mante</w:t>
      </w:r>
      <w:r w:rsidR="00982A8C">
        <w:rPr>
          <w:rFonts w:ascii="Verdana" w:hAnsi="Verdana"/>
          <w:w w:val="106"/>
          <w:sz w:val="20"/>
          <w:szCs w:val="20"/>
        </w:rPr>
        <w:t>ner</w:t>
      </w:r>
      <w:r w:rsidR="00344321" w:rsidRPr="00AB468B">
        <w:rPr>
          <w:rFonts w:ascii="Verdana" w:hAnsi="Verdana"/>
          <w:w w:val="106"/>
          <w:sz w:val="20"/>
          <w:szCs w:val="20"/>
        </w:rPr>
        <w:t xml:space="preserve"> el orden público, particularmente cuando se trata de hechos como los que dieron origen al proceso penal seguido contra de los señores Girón y Castillo Mendoza, en </w:t>
      </w:r>
      <w:r w:rsidR="008C1638">
        <w:rPr>
          <w:rFonts w:ascii="Verdana" w:hAnsi="Verdana"/>
          <w:w w:val="106"/>
          <w:sz w:val="20"/>
          <w:szCs w:val="20"/>
        </w:rPr>
        <w:t>el sentido</w:t>
      </w:r>
      <w:r w:rsidR="00101EB7">
        <w:rPr>
          <w:rFonts w:ascii="Verdana" w:hAnsi="Verdana"/>
          <w:w w:val="106"/>
          <w:sz w:val="20"/>
          <w:szCs w:val="20"/>
        </w:rPr>
        <w:t xml:space="preserve"> </w:t>
      </w:r>
      <w:r w:rsidR="00344321" w:rsidRPr="00AB468B">
        <w:rPr>
          <w:rFonts w:ascii="Verdana" w:hAnsi="Verdana"/>
          <w:w w:val="106"/>
          <w:sz w:val="20"/>
          <w:szCs w:val="20"/>
        </w:rPr>
        <w:t>de que la lucha de los Estados contra el crimen debe desarrollarse dentro de los límites y conforme a los procedimientos que permitan preservar tanto la seguridad pública como el pleno respeto a los derechos humanos</w:t>
      </w:r>
      <w:r w:rsidR="00344321" w:rsidRPr="00AB468B">
        <w:rPr>
          <w:rFonts w:ascii="Verdana" w:hAnsi="Verdana"/>
          <w:w w:val="106"/>
          <w:sz w:val="20"/>
          <w:szCs w:val="20"/>
          <w:vertAlign w:val="superscript"/>
        </w:rPr>
        <w:footnoteReference w:id="52"/>
      </w:r>
      <w:r w:rsidR="00344321" w:rsidRPr="00AB468B">
        <w:rPr>
          <w:rFonts w:ascii="Verdana" w:hAnsi="Verdana"/>
          <w:w w:val="106"/>
          <w:sz w:val="20"/>
          <w:szCs w:val="20"/>
        </w:rPr>
        <w:t>.</w:t>
      </w:r>
    </w:p>
    <w:p w:rsidR="009028E0" w:rsidRPr="00AB468B" w:rsidRDefault="009028E0" w:rsidP="009028E0">
      <w:pPr>
        <w:pStyle w:val="Normal1"/>
        <w:widowControl/>
        <w:tabs>
          <w:tab w:val="left" w:pos="0"/>
        </w:tabs>
        <w:contextualSpacing/>
        <w:jc w:val="both"/>
        <w:rPr>
          <w:rFonts w:ascii="Verdana" w:hAnsi="Verdana"/>
          <w:sz w:val="20"/>
          <w:szCs w:val="20"/>
        </w:rPr>
      </w:pPr>
    </w:p>
    <w:p w:rsidR="009028E0" w:rsidRPr="009028E0" w:rsidRDefault="008B20A0" w:rsidP="00FE0342">
      <w:pPr>
        <w:pStyle w:val="Normal1"/>
        <w:widowControl/>
        <w:numPr>
          <w:ilvl w:val="0"/>
          <w:numId w:val="33"/>
        </w:numPr>
        <w:tabs>
          <w:tab w:val="left" w:pos="0"/>
        </w:tabs>
        <w:ind w:left="0" w:firstLine="0"/>
        <w:contextualSpacing/>
        <w:jc w:val="both"/>
        <w:rPr>
          <w:rFonts w:ascii="Verdana" w:hAnsi="Verdana"/>
          <w:sz w:val="20"/>
          <w:szCs w:val="20"/>
        </w:rPr>
      </w:pPr>
      <w:r w:rsidRPr="00AB468B">
        <w:rPr>
          <w:rFonts w:ascii="Verdana" w:hAnsi="Verdana"/>
          <w:w w:val="106"/>
          <w:sz w:val="20"/>
          <w:szCs w:val="20"/>
        </w:rPr>
        <w:t>Ahora bien, l</w:t>
      </w:r>
      <w:r w:rsidR="009028E0" w:rsidRPr="00AB468B">
        <w:rPr>
          <w:rFonts w:ascii="Verdana" w:hAnsi="Verdana"/>
          <w:w w:val="106"/>
          <w:sz w:val="20"/>
          <w:szCs w:val="20"/>
        </w:rPr>
        <w:t>a</w:t>
      </w:r>
      <w:r w:rsidR="009028E0" w:rsidRPr="009028E0">
        <w:rPr>
          <w:rFonts w:ascii="Verdana" w:hAnsi="Verdana"/>
          <w:w w:val="106"/>
          <w:sz w:val="20"/>
          <w:szCs w:val="20"/>
        </w:rPr>
        <w:t xml:space="preserve"> Comisión y las representantes alegaron la violación arbitraria del derecho a la vida por la imposición obligatoria de la pena de muerte contemplad</w:t>
      </w:r>
      <w:r w:rsidR="00C174CC">
        <w:rPr>
          <w:rFonts w:ascii="Verdana" w:hAnsi="Verdana"/>
          <w:w w:val="106"/>
          <w:sz w:val="20"/>
          <w:szCs w:val="20"/>
        </w:rPr>
        <w:t>a</w:t>
      </w:r>
      <w:r w:rsidR="009028E0" w:rsidRPr="009028E0">
        <w:rPr>
          <w:rFonts w:ascii="Verdana" w:hAnsi="Verdana"/>
          <w:w w:val="106"/>
          <w:sz w:val="20"/>
          <w:szCs w:val="20"/>
        </w:rPr>
        <w:t xml:space="preserve"> en el artículo 175  del Código Penal. En atención a las alegaciones señaladas por las partes, la Corte considera que corresponde analizar la alegada vulneración del artículo 4.1 y 4.2 de la Convención Americana por la imposición obligatoria de la pena de muerte </w:t>
      </w:r>
      <w:r w:rsidR="00BE4739">
        <w:rPr>
          <w:rFonts w:ascii="Verdana" w:hAnsi="Verdana"/>
          <w:w w:val="106"/>
          <w:sz w:val="20"/>
          <w:szCs w:val="20"/>
        </w:rPr>
        <w:t xml:space="preserve">prevista por </w:t>
      </w:r>
      <w:r w:rsidR="009028E0" w:rsidRPr="009028E0">
        <w:rPr>
          <w:rFonts w:ascii="Verdana" w:hAnsi="Verdana"/>
          <w:w w:val="106"/>
          <w:sz w:val="20"/>
          <w:szCs w:val="20"/>
        </w:rPr>
        <w:t>el artículo 175 del Código Penal.</w:t>
      </w:r>
    </w:p>
    <w:p w:rsidR="009028E0" w:rsidRPr="008E0075" w:rsidRDefault="009028E0" w:rsidP="009028E0">
      <w:pPr>
        <w:spacing w:after="0" w:line="240" w:lineRule="auto"/>
        <w:jc w:val="both"/>
        <w:rPr>
          <w:rFonts w:ascii="Verdana" w:eastAsia="Verdana" w:hAnsi="Verdana" w:cs="Verdana"/>
          <w:b/>
          <w:sz w:val="20"/>
          <w:szCs w:val="20"/>
          <w:lang w:val="es-CR"/>
        </w:rPr>
      </w:pPr>
    </w:p>
    <w:p w:rsidR="009028E0" w:rsidRPr="008E0075" w:rsidRDefault="009028E0" w:rsidP="00EB146B">
      <w:pPr>
        <w:pStyle w:val="Ttulo3"/>
        <w:ind w:left="720"/>
        <w:rPr>
          <w:b w:val="0"/>
          <w:szCs w:val="20"/>
          <w:lang w:val="es-CR"/>
        </w:rPr>
      </w:pPr>
      <w:bookmarkStart w:id="57" w:name="_Toc11161089"/>
      <w:bookmarkStart w:id="58" w:name="_Toc11234048"/>
      <w:bookmarkStart w:id="59" w:name="_Toc12350845"/>
      <w:bookmarkStart w:id="60" w:name="_Toc24538840"/>
      <w:r w:rsidRPr="008E0075">
        <w:rPr>
          <w:b w:val="0"/>
          <w:szCs w:val="20"/>
          <w:lang w:val="es-CR"/>
        </w:rPr>
        <w:t xml:space="preserve">B.1. Imposición obligatoria de la pena de muerte establecida en el artículo 175 </w:t>
      </w:r>
      <w:r w:rsidRPr="008E0075">
        <w:rPr>
          <w:rFonts w:eastAsia="Verdana" w:cs="Verdana"/>
          <w:b w:val="0"/>
          <w:szCs w:val="20"/>
          <w:lang w:val="es-CR"/>
        </w:rPr>
        <w:t>(Decreto 17-73)</w:t>
      </w:r>
      <w:r w:rsidRPr="008E0075">
        <w:rPr>
          <w:b w:val="0"/>
          <w:szCs w:val="20"/>
          <w:lang w:val="es-CR"/>
        </w:rPr>
        <w:t xml:space="preserve"> del Código Penal de la República de Guatemala</w:t>
      </w:r>
      <w:bookmarkEnd w:id="57"/>
      <w:bookmarkEnd w:id="58"/>
      <w:r w:rsidRPr="008E0075">
        <w:rPr>
          <w:b w:val="0"/>
          <w:szCs w:val="20"/>
          <w:lang w:val="es-CR"/>
        </w:rPr>
        <w:t>.</w:t>
      </w:r>
      <w:bookmarkEnd w:id="59"/>
      <w:bookmarkEnd w:id="60"/>
    </w:p>
    <w:p w:rsidR="009028E0" w:rsidRDefault="009028E0" w:rsidP="009028E0">
      <w:pPr>
        <w:pStyle w:val="Normal1"/>
        <w:widowControl/>
        <w:tabs>
          <w:tab w:val="left" w:pos="0"/>
        </w:tabs>
        <w:contextualSpacing/>
        <w:jc w:val="both"/>
        <w:rPr>
          <w:rFonts w:ascii="Verdana" w:hAnsi="Verdana"/>
          <w:sz w:val="20"/>
          <w:szCs w:val="20"/>
        </w:rPr>
      </w:pPr>
    </w:p>
    <w:p w:rsidR="00343198" w:rsidRPr="00343198" w:rsidRDefault="00344321" w:rsidP="00FE0342">
      <w:pPr>
        <w:pStyle w:val="Normal1"/>
        <w:widowControl/>
        <w:numPr>
          <w:ilvl w:val="0"/>
          <w:numId w:val="33"/>
        </w:numPr>
        <w:tabs>
          <w:tab w:val="left" w:pos="0"/>
        </w:tabs>
        <w:ind w:left="0" w:firstLine="0"/>
        <w:contextualSpacing/>
        <w:jc w:val="both"/>
        <w:rPr>
          <w:rFonts w:ascii="Verdana" w:hAnsi="Verdana"/>
          <w:sz w:val="20"/>
          <w:szCs w:val="20"/>
        </w:rPr>
      </w:pPr>
      <w:r w:rsidRPr="009028E0">
        <w:rPr>
          <w:rFonts w:ascii="Verdana" w:hAnsi="Verdana"/>
          <w:sz w:val="20"/>
          <w:szCs w:val="20"/>
        </w:rPr>
        <w:t xml:space="preserve">Las </w:t>
      </w:r>
      <w:r w:rsidRPr="009028E0">
        <w:rPr>
          <w:rFonts w:ascii="Verdana" w:hAnsi="Verdana"/>
          <w:b/>
          <w:i/>
          <w:sz w:val="20"/>
          <w:szCs w:val="20"/>
        </w:rPr>
        <w:t>representantes</w:t>
      </w:r>
      <w:r w:rsidRPr="009028E0">
        <w:rPr>
          <w:rFonts w:ascii="Verdana" w:hAnsi="Verdana"/>
          <w:sz w:val="20"/>
          <w:szCs w:val="20"/>
        </w:rPr>
        <w:t xml:space="preserve"> alegaron </w:t>
      </w:r>
      <w:r w:rsidRPr="009028E0">
        <w:rPr>
          <w:rFonts w:ascii="Verdana" w:eastAsia="Verdana" w:hAnsi="Verdana" w:cs="Verdana"/>
          <w:sz w:val="20"/>
          <w:szCs w:val="20"/>
        </w:rPr>
        <w:t>que existe una privación arbitraria a la vida de los señores Girón y Castillo por</w:t>
      </w:r>
      <w:r w:rsidR="00AA4C90">
        <w:rPr>
          <w:rFonts w:ascii="Verdana" w:eastAsia="Verdana" w:hAnsi="Verdana" w:cs="Verdana"/>
          <w:sz w:val="20"/>
          <w:szCs w:val="20"/>
        </w:rPr>
        <w:t xml:space="preserve"> la condena a muerte establecida</w:t>
      </w:r>
      <w:r w:rsidRPr="009028E0">
        <w:rPr>
          <w:rFonts w:ascii="Verdana" w:eastAsia="Verdana" w:hAnsi="Verdana" w:cs="Verdana"/>
          <w:sz w:val="20"/>
          <w:szCs w:val="20"/>
        </w:rPr>
        <w:t xml:space="preserve"> en el artículo 175 del Código Penal, que contemplaba la sanción de manera obligatoria, sin tomar en cuenta </w:t>
      </w:r>
      <w:r w:rsidRPr="009028E0">
        <w:rPr>
          <w:rFonts w:ascii="Verdana" w:hAnsi="Verdana"/>
          <w:sz w:val="20"/>
          <w:szCs w:val="20"/>
        </w:rPr>
        <w:t>las circunstancias personales ni las circunstancias particulares del delito, tal como dispone el artículo 65 del Código Penal</w:t>
      </w:r>
      <w:r w:rsidRPr="008E0075">
        <w:rPr>
          <w:rStyle w:val="Refdenotaalpie"/>
          <w:rFonts w:ascii="Verdana" w:hAnsi="Verdana"/>
          <w:sz w:val="20"/>
          <w:szCs w:val="20"/>
        </w:rPr>
        <w:footnoteReference w:id="53"/>
      </w:r>
      <w:r w:rsidRPr="009028E0">
        <w:rPr>
          <w:rFonts w:ascii="Verdana" w:hAnsi="Verdana"/>
          <w:sz w:val="20"/>
          <w:szCs w:val="20"/>
        </w:rPr>
        <w:t xml:space="preserve">. </w:t>
      </w:r>
    </w:p>
    <w:p w:rsidR="00343198" w:rsidRDefault="00343198" w:rsidP="00343198">
      <w:pPr>
        <w:pStyle w:val="Normal1"/>
        <w:widowControl/>
        <w:tabs>
          <w:tab w:val="left" w:pos="0"/>
        </w:tabs>
        <w:contextualSpacing/>
        <w:jc w:val="both"/>
        <w:rPr>
          <w:rFonts w:ascii="Verdana" w:hAnsi="Verdana"/>
          <w:sz w:val="20"/>
          <w:szCs w:val="20"/>
        </w:rPr>
      </w:pPr>
    </w:p>
    <w:p w:rsidR="00343198" w:rsidRPr="00343198" w:rsidRDefault="00344321" w:rsidP="00FE0342">
      <w:pPr>
        <w:pStyle w:val="Normal1"/>
        <w:widowControl/>
        <w:numPr>
          <w:ilvl w:val="0"/>
          <w:numId w:val="33"/>
        </w:numPr>
        <w:tabs>
          <w:tab w:val="left" w:pos="0"/>
        </w:tabs>
        <w:ind w:left="0" w:firstLine="0"/>
        <w:contextualSpacing/>
        <w:jc w:val="both"/>
        <w:rPr>
          <w:rFonts w:ascii="Verdana" w:hAnsi="Verdana"/>
          <w:sz w:val="20"/>
          <w:szCs w:val="20"/>
        </w:rPr>
      </w:pPr>
      <w:r w:rsidRPr="00343198">
        <w:rPr>
          <w:rFonts w:ascii="Verdana" w:eastAsia="Verdana" w:hAnsi="Verdana" w:cs="Verdana"/>
          <w:sz w:val="20"/>
          <w:szCs w:val="20"/>
        </w:rPr>
        <w:t>En razón de lo anterior, corresponde a la Corte determinar si la condena de pena de muerte impuesta a las presuntas víctimas, en aplicación del referido artículo 175 del Código Penal vigente a la fecha de la sentencia, es conforme al artículo 4 de la Convención Americana.</w:t>
      </w:r>
    </w:p>
    <w:p w:rsidR="00343198" w:rsidRDefault="00343198" w:rsidP="00343198">
      <w:pPr>
        <w:pStyle w:val="Normal1"/>
        <w:widowControl/>
        <w:tabs>
          <w:tab w:val="left" w:pos="0"/>
        </w:tabs>
        <w:contextualSpacing/>
        <w:jc w:val="both"/>
        <w:rPr>
          <w:rFonts w:ascii="Verdana" w:hAnsi="Verdana"/>
          <w:sz w:val="20"/>
          <w:szCs w:val="20"/>
        </w:rPr>
      </w:pPr>
    </w:p>
    <w:p w:rsidR="00343198" w:rsidRPr="00765D20" w:rsidRDefault="00344321" w:rsidP="00FE0342">
      <w:pPr>
        <w:pStyle w:val="Normal1"/>
        <w:widowControl/>
        <w:numPr>
          <w:ilvl w:val="0"/>
          <w:numId w:val="33"/>
        </w:numPr>
        <w:tabs>
          <w:tab w:val="left" w:pos="0"/>
        </w:tabs>
        <w:ind w:left="0" w:firstLine="0"/>
        <w:contextualSpacing/>
        <w:jc w:val="both"/>
        <w:rPr>
          <w:rFonts w:ascii="Verdana" w:hAnsi="Verdana" w:cs="TimesNewRoman"/>
          <w:sz w:val="20"/>
          <w:szCs w:val="20"/>
        </w:rPr>
      </w:pPr>
      <w:r w:rsidRPr="00343198">
        <w:rPr>
          <w:rFonts w:ascii="Verdana" w:eastAsia="Verdana" w:hAnsi="Verdana" w:cs="Verdana"/>
          <w:sz w:val="20"/>
          <w:szCs w:val="20"/>
        </w:rPr>
        <w:t>El artículo 175 del Código Penal vigente en 1993 tipificaba el delito de violación calificada</w:t>
      </w:r>
      <w:r w:rsidR="00765D20">
        <w:rPr>
          <w:rFonts w:ascii="Verdana" w:eastAsia="Verdana" w:hAnsi="Verdana" w:cs="Verdana"/>
          <w:sz w:val="20"/>
          <w:szCs w:val="20"/>
        </w:rPr>
        <w:t xml:space="preserve"> (</w:t>
      </w:r>
      <w:r w:rsidR="00765D20" w:rsidRPr="00765D20">
        <w:rPr>
          <w:rFonts w:ascii="Verdana" w:eastAsia="Verdana" w:hAnsi="Verdana" w:cs="Verdana"/>
          <w:i/>
          <w:sz w:val="20"/>
          <w:szCs w:val="20"/>
        </w:rPr>
        <w:t>supra</w:t>
      </w:r>
      <w:r w:rsidR="00765D20">
        <w:rPr>
          <w:rFonts w:ascii="Verdana" w:eastAsia="Verdana" w:hAnsi="Verdana" w:cs="Verdana"/>
          <w:sz w:val="20"/>
          <w:szCs w:val="20"/>
        </w:rPr>
        <w:t xml:space="preserve"> párr. 29)</w:t>
      </w:r>
      <w:r w:rsidRPr="00343198">
        <w:rPr>
          <w:rFonts w:ascii="Verdana" w:eastAsia="Verdana" w:hAnsi="Verdana" w:cs="Verdana"/>
          <w:sz w:val="20"/>
          <w:szCs w:val="20"/>
        </w:rPr>
        <w:t xml:space="preserve">, </w:t>
      </w:r>
      <w:r w:rsidR="00765D20">
        <w:rPr>
          <w:rFonts w:ascii="Verdana" w:hAnsi="Verdana"/>
          <w:sz w:val="20"/>
          <w:szCs w:val="20"/>
          <w:lang w:val="es-ES_tradnl"/>
        </w:rPr>
        <w:t>s</w:t>
      </w:r>
      <w:r w:rsidRPr="00765D20">
        <w:rPr>
          <w:rFonts w:ascii="Verdana" w:hAnsi="Verdana"/>
          <w:sz w:val="20"/>
          <w:szCs w:val="20"/>
          <w:lang w:val="es-ES_tradnl"/>
        </w:rPr>
        <w:t>i bien, después en mayo de 1996 dicha norma fue reformada</w:t>
      </w:r>
      <w:r w:rsidR="00006FF7" w:rsidRPr="00765D20">
        <w:rPr>
          <w:rFonts w:ascii="Verdana" w:hAnsi="Verdana"/>
          <w:sz w:val="20"/>
          <w:szCs w:val="20"/>
          <w:lang w:val="es-ES_tradnl"/>
        </w:rPr>
        <w:t xml:space="preserve"> (</w:t>
      </w:r>
      <w:r w:rsidR="00006FF7" w:rsidRPr="00765D20">
        <w:rPr>
          <w:rFonts w:ascii="Verdana" w:hAnsi="Verdana"/>
          <w:i/>
          <w:sz w:val="20"/>
          <w:szCs w:val="20"/>
          <w:lang w:val="es-ES_tradnl"/>
        </w:rPr>
        <w:t>supra</w:t>
      </w:r>
      <w:r w:rsidR="00006FF7" w:rsidRPr="00765D20">
        <w:rPr>
          <w:rFonts w:ascii="Verdana" w:hAnsi="Verdana"/>
          <w:sz w:val="20"/>
          <w:szCs w:val="20"/>
          <w:lang w:val="es-ES_tradnl"/>
        </w:rPr>
        <w:t xml:space="preserve"> párr. </w:t>
      </w:r>
      <w:r w:rsidR="00765D20">
        <w:rPr>
          <w:rFonts w:ascii="Verdana" w:hAnsi="Verdana"/>
          <w:sz w:val="20"/>
          <w:szCs w:val="20"/>
          <w:lang w:val="es-ES_tradnl"/>
        </w:rPr>
        <w:t>30</w:t>
      </w:r>
      <w:r w:rsidR="00006FF7" w:rsidRPr="00765D20">
        <w:rPr>
          <w:rFonts w:ascii="Verdana" w:hAnsi="Verdana"/>
          <w:sz w:val="20"/>
          <w:szCs w:val="20"/>
          <w:lang w:val="es-ES_tradnl"/>
        </w:rPr>
        <w:t>)</w:t>
      </w:r>
      <w:r w:rsidRPr="00765D20">
        <w:rPr>
          <w:rFonts w:ascii="Verdana" w:hAnsi="Verdana"/>
          <w:sz w:val="20"/>
          <w:szCs w:val="20"/>
          <w:lang w:val="es-ES_tradnl"/>
        </w:rPr>
        <w:t xml:space="preserve">, </w:t>
      </w:r>
      <w:r w:rsidRPr="00661B2E">
        <w:rPr>
          <w:rFonts w:ascii="Verdana" w:hAnsi="Verdana"/>
          <w:sz w:val="20"/>
          <w:szCs w:val="20"/>
          <w:lang w:val="es-ES_tradnl"/>
        </w:rPr>
        <w:t>y posteriormente, derogada</w:t>
      </w:r>
      <w:r w:rsidR="0093058D" w:rsidRPr="00661B2E">
        <w:rPr>
          <w:rFonts w:ascii="Verdana" w:hAnsi="Verdana"/>
          <w:sz w:val="20"/>
          <w:szCs w:val="20"/>
          <w:lang w:val="es-ES_tradnl"/>
        </w:rPr>
        <w:t xml:space="preserve"> (</w:t>
      </w:r>
      <w:r w:rsidR="0093058D" w:rsidRPr="00661B2E">
        <w:rPr>
          <w:rFonts w:ascii="Verdana" w:hAnsi="Verdana"/>
          <w:i/>
          <w:sz w:val="20"/>
          <w:szCs w:val="20"/>
          <w:lang w:val="es-ES_tradnl"/>
        </w:rPr>
        <w:t>supra</w:t>
      </w:r>
      <w:r w:rsidR="00765D20" w:rsidRPr="00661B2E">
        <w:rPr>
          <w:rFonts w:ascii="Verdana" w:hAnsi="Verdana"/>
          <w:sz w:val="20"/>
          <w:szCs w:val="20"/>
          <w:lang w:val="es-ES_tradnl"/>
        </w:rPr>
        <w:t xml:space="preserve"> párr. </w:t>
      </w:r>
      <w:r w:rsidR="00661B2E" w:rsidRPr="00661B2E">
        <w:rPr>
          <w:rFonts w:ascii="Verdana" w:hAnsi="Verdana"/>
          <w:sz w:val="20"/>
          <w:szCs w:val="20"/>
          <w:lang w:val="es-ES_tradnl"/>
        </w:rPr>
        <w:t>35</w:t>
      </w:r>
      <w:r w:rsidR="0093058D" w:rsidRPr="00661B2E">
        <w:rPr>
          <w:rFonts w:ascii="Verdana" w:hAnsi="Verdana"/>
          <w:sz w:val="20"/>
          <w:szCs w:val="20"/>
          <w:lang w:val="es-ES_tradnl"/>
        </w:rPr>
        <w:t>)</w:t>
      </w:r>
      <w:r w:rsidRPr="00661B2E">
        <w:rPr>
          <w:rFonts w:ascii="Verdana" w:hAnsi="Verdana"/>
          <w:sz w:val="20"/>
          <w:szCs w:val="20"/>
          <w:lang w:val="es-ES_tradnl"/>
        </w:rPr>
        <w:t>, al</w:t>
      </w:r>
      <w:r w:rsidRPr="00765D20">
        <w:rPr>
          <w:rFonts w:ascii="Verdana" w:hAnsi="Verdana"/>
          <w:sz w:val="20"/>
          <w:szCs w:val="20"/>
          <w:lang w:val="es-ES_tradnl"/>
        </w:rPr>
        <w:t xml:space="preserve"> momento de la senten</w:t>
      </w:r>
      <w:r w:rsidR="00C77690">
        <w:rPr>
          <w:rFonts w:ascii="Verdana" w:hAnsi="Verdana"/>
          <w:sz w:val="20"/>
          <w:szCs w:val="20"/>
          <w:lang w:val="es-ES_tradnl"/>
        </w:rPr>
        <w:t>cia condenatoria estaba vigente</w:t>
      </w:r>
      <w:r w:rsidRPr="00765D20">
        <w:rPr>
          <w:rFonts w:ascii="Verdana" w:hAnsi="Verdana"/>
          <w:sz w:val="20"/>
          <w:szCs w:val="20"/>
        </w:rPr>
        <w:t>.</w:t>
      </w:r>
    </w:p>
    <w:p w:rsidR="00B06930" w:rsidRPr="00EB146B" w:rsidRDefault="00B06930" w:rsidP="00B06930">
      <w:pPr>
        <w:pStyle w:val="Normal1"/>
        <w:widowControl/>
        <w:tabs>
          <w:tab w:val="left" w:pos="0"/>
        </w:tabs>
        <w:contextualSpacing/>
        <w:jc w:val="both"/>
        <w:rPr>
          <w:rFonts w:ascii="Verdana" w:hAnsi="Verdana"/>
          <w:i/>
          <w:sz w:val="20"/>
          <w:szCs w:val="20"/>
        </w:rPr>
      </w:pPr>
    </w:p>
    <w:p w:rsidR="00344321" w:rsidRPr="00343198" w:rsidRDefault="00344321" w:rsidP="00FE0342">
      <w:pPr>
        <w:pStyle w:val="Normal1"/>
        <w:widowControl/>
        <w:numPr>
          <w:ilvl w:val="0"/>
          <w:numId w:val="33"/>
        </w:numPr>
        <w:tabs>
          <w:tab w:val="left" w:pos="0"/>
        </w:tabs>
        <w:ind w:left="0" w:firstLine="0"/>
        <w:contextualSpacing/>
        <w:jc w:val="both"/>
        <w:rPr>
          <w:rFonts w:ascii="Verdana" w:hAnsi="Verdana"/>
          <w:i/>
          <w:sz w:val="20"/>
          <w:szCs w:val="20"/>
        </w:rPr>
      </w:pPr>
      <w:r w:rsidRPr="00343198">
        <w:rPr>
          <w:rFonts w:ascii="Verdana" w:eastAsia="Verdana" w:hAnsi="Verdana" w:cs="Verdana"/>
          <w:sz w:val="20"/>
        </w:rPr>
        <w:t>En la sentencia de 4 de octubre de 1993 el Juzgado de Primera Instancia Penal de Sentencia de Escuintla</w:t>
      </w:r>
      <w:r w:rsidR="0077126F">
        <w:rPr>
          <w:rFonts w:ascii="Verdana" w:eastAsia="Verdana" w:hAnsi="Verdana" w:cs="Verdana"/>
          <w:sz w:val="20"/>
        </w:rPr>
        <w:t xml:space="preserve"> (</w:t>
      </w:r>
      <w:r w:rsidR="0077126F" w:rsidRPr="0077126F">
        <w:rPr>
          <w:rFonts w:ascii="Verdana" w:eastAsia="Verdana" w:hAnsi="Verdana" w:cs="Verdana"/>
          <w:i/>
          <w:sz w:val="20"/>
        </w:rPr>
        <w:t>supra</w:t>
      </w:r>
      <w:r w:rsidR="0077126F">
        <w:rPr>
          <w:rFonts w:ascii="Verdana" w:eastAsia="Verdana" w:hAnsi="Verdana" w:cs="Verdana"/>
          <w:sz w:val="20"/>
        </w:rPr>
        <w:t xml:space="preserve"> párr. 48</w:t>
      </w:r>
      <w:r w:rsidR="00765D20">
        <w:rPr>
          <w:rFonts w:ascii="Verdana" w:eastAsia="Verdana" w:hAnsi="Verdana" w:cs="Verdana"/>
          <w:sz w:val="20"/>
          <w:szCs w:val="20"/>
        </w:rPr>
        <w:t>)</w:t>
      </w:r>
      <w:r w:rsidRPr="00343198">
        <w:rPr>
          <w:rFonts w:ascii="Verdana" w:eastAsia="Verdana" w:hAnsi="Verdana" w:cs="Verdana"/>
          <w:sz w:val="20"/>
        </w:rPr>
        <w:t>, se estableció lo siguiente:</w:t>
      </w:r>
    </w:p>
    <w:p w:rsidR="00344321" w:rsidRPr="008E0075" w:rsidRDefault="00344321" w:rsidP="000615D6">
      <w:pPr>
        <w:spacing w:after="0" w:line="240" w:lineRule="auto"/>
        <w:jc w:val="both"/>
        <w:rPr>
          <w:rFonts w:ascii="Verdana" w:eastAsia="Verdana" w:hAnsi="Verdana" w:cs="Verdana"/>
          <w:sz w:val="20"/>
          <w:szCs w:val="20"/>
          <w:lang w:val="es-CR"/>
        </w:rPr>
      </w:pPr>
    </w:p>
    <w:p w:rsidR="004D1D2F" w:rsidRPr="008E0075" w:rsidRDefault="004D1D2F" w:rsidP="000615D6">
      <w:pPr>
        <w:spacing w:after="0" w:line="240" w:lineRule="auto"/>
        <w:ind w:left="720" w:right="720"/>
        <w:jc w:val="both"/>
        <w:rPr>
          <w:rFonts w:ascii="Verdana" w:hAnsi="Verdana"/>
          <w:sz w:val="16"/>
          <w:szCs w:val="20"/>
          <w:lang w:val="es-CR"/>
        </w:rPr>
      </w:pPr>
      <w:r w:rsidRPr="008E0075">
        <w:rPr>
          <w:rFonts w:ascii="Verdana" w:hAnsi="Verdana"/>
          <w:sz w:val="16"/>
          <w:szCs w:val="20"/>
          <w:lang w:val="es-CR"/>
        </w:rPr>
        <w:t xml:space="preserve">[…] </w:t>
      </w:r>
      <w:r w:rsidR="00344321" w:rsidRPr="008E0075">
        <w:rPr>
          <w:rFonts w:ascii="Verdana" w:hAnsi="Verdana"/>
          <w:sz w:val="16"/>
          <w:szCs w:val="20"/>
          <w:lang w:val="es-CR"/>
        </w:rPr>
        <w:t>Como se encuentra probado en el presente proceso, los sindicados ROBERTO GIRON, único apellido y PEDRO CASTILLO MENDOZA, son los autores responsables del delito imputado de VIOLACIÓN CALIFICADA, de conformidad con el artículo 175 del Código Penal Vigente</w:t>
      </w:r>
      <w:r w:rsidR="0031210F">
        <w:rPr>
          <w:rFonts w:ascii="Verdana" w:hAnsi="Verdana"/>
          <w:sz w:val="16"/>
          <w:szCs w:val="20"/>
          <w:lang w:val="es-CR"/>
        </w:rPr>
        <w:t xml:space="preserve"> </w:t>
      </w:r>
      <w:r w:rsidR="00344321" w:rsidRPr="008E0075">
        <w:rPr>
          <w:rFonts w:ascii="Verdana" w:hAnsi="Verdana"/>
          <w:sz w:val="16"/>
          <w:szCs w:val="20"/>
          <w:lang w:val="es-CR"/>
        </w:rPr>
        <w:t>[…]</w:t>
      </w:r>
      <w:r w:rsidR="0031210F">
        <w:rPr>
          <w:rFonts w:ascii="Verdana" w:hAnsi="Verdana"/>
          <w:sz w:val="16"/>
          <w:szCs w:val="20"/>
          <w:lang w:val="es-CR"/>
        </w:rPr>
        <w:t>.</w:t>
      </w:r>
      <w:r w:rsidR="00344321" w:rsidRPr="008E0075">
        <w:rPr>
          <w:rFonts w:ascii="Verdana" w:hAnsi="Verdana"/>
          <w:sz w:val="16"/>
          <w:szCs w:val="20"/>
          <w:lang w:val="es-CR"/>
        </w:rPr>
        <w:t xml:space="preserve"> Estando establecido en autos la responsabilidad criminal de</w:t>
      </w:r>
      <w:r w:rsidR="00371625" w:rsidRPr="008E0075">
        <w:rPr>
          <w:rFonts w:ascii="Verdana" w:hAnsi="Verdana"/>
          <w:sz w:val="16"/>
          <w:szCs w:val="20"/>
          <w:lang w:val="es-CR"/>
        </w:rPr>
        <w:t xml:space="preserve"> </w:t>
      </w:r>
      <w:r w:rsidR="00344321" w:rsidRPr="008E0075">
        <w:rPr>
          <w:rFonts w:ascii="Verdana" w:hAnsi="Verdana"/>
          <w:sz w:val="16"/>
          <w:szCs w:val="20"/>
          <w:lang w:val="es-CR"/>
        </w:rPr>
        <w:t xml:space="preserve">los procesados ROBERTO GIRÓN, único apellido y PEDRO CASTILLO MENDOZA, corresponde al Juzgador conforme la ley, sancionarlos con LA PENA DE MUERTE. Las actuales corrientes doctrinales sobre esta pena, algunas están en desacuerdo con su aplicación, aunque el Juzgador propugna por la </w:t>
      </w:r>
      <w:r w:rsidR="00AA4C90">
        <w:rPr>
          <w:rFonts w:ascii="Verdana" w:hAnsi="Verdana"/>
          <w:sz w:val="16"/>
          <w:szCs w:val="20"/>
          <w:lang w:val="es-CR"/>
        </w:rPr>
        <w:t xml:space="preserve">no </w:t>
      </w:r>
      <w:r w:rsidR="00344321" w:rsidRPr="008E0075">
        <w:rPr>
          <w:rFonts w:ascii="Verdana" w:hAnsi="Verdana"/>
          <w:sz w:val="16"/>
          <w:szCs w:val="20"/>
          <w:lang w:val="es-CR"/>
        </w:rPr>
        <w:t>aplicación de dicha pena, sin entrar en detalles, debe y tiene que respetar las Leyes a las que están sujetos y por dicha razón a los procesados mencionados anteriormente se les condena a sufrir la pena capital indicada</w:t>
      </w:r>
      <w:r w:rsidR="00AA4C90">
        <w:rPr>
          <w:rFonts w:ascii="Verdana" w:hAnsi="Verdana"/>
          <w:sz w:val="16"/>
          <w:szCs w:val="20"/>
          <w:lang w:val="es-CR"/>
        </w:rPr>
        <w:t>[, …]</w:t>
      </w:r>
      <w:r w:rsidR="0031210F">
        <w:rPr>
          <w:rFonts w:ascii="Verdana" w:hAnsi="Verdana"/>
          <w:sz w:val="16"/>
          <w:szCs w:val="20"/>
          <w:lang w:val="es-CR"/>
        </w:rPr>
        <w:t>.</w:t>
      </w:r>
    </w:p>
    <w:p w:rsidR="00344321" w:rsidRDefault="00344321" w:rsidP="000615D6">
      <w:pPr>
        <w:spacing w:after="0" w:line="240" w:lineRule="auto"/>
        <w:ind w:left="720" w:right="720"/>
        <w:jc w:val="both"/>
        <w:rPr>
          <w:rFonts w:ascii="Verdana" w:hAnsi="Verdana"/>
          <w:sz w:val="16"/>
          <w:szCs w:val="20"/>
          <w:lang w:val="es-CR"/>
        </w:rPr>
      </w:pPr>
      <w:r w:rsidRPr="008E0075">
        <w:rPr>
          <w:rFonts w:ascii="Verdana" w:hAnsi="Verdana"/>
          <w:sz w:val="16"/>
          <w:szCs w:val="20"/>
          <w:lang w:val="es-CR"/>
        </w:rPr>
        <w:lastRenderedPageBreak/>
        <w:t>POR TANTO: Est</w:t>
      </w:r>
      <w:r w:rsidR="00AA4C90">
        <w:rPr>
          <w:rFonts w:ascii="Verdana" w:hAnsi="Verdana"/>
          <w:sz w:val="16"/>
          <w:szCs w:val="20"/>
          <w:lang w:val="es-CR"/>
        </w:rPr>
        <w:t>e tribunal […] DECLARA que: I) Q</w:t>
      </w:r>
      <w:r w:rsidRPr="008E0075">
        <w:rPr>
          <w:rFonts w:ascii="Verdana" w:hAnsi="Verdana"/>
          <w:sz w:val="16"/>
          <w:szCs w:val="20"/>
          <w:lang w:val="es-CR"/>
        </w:rPr>
        <w:t xml:space="preserve">ue los procesados ROBERTO GIRÓN, único apellido y PEDRO CASTILLO MENDOZA, son autores responsables del delito de VIOLACIÓN CALIFICADA  por cuya infracción a la ley penal se les impone a cada uno LA PENA DE MUERTE. </w:t>
      </w:r>
    </w:p>
    <w:p w:rsidR="00343198" w:rsidRPr="0000517A" w:rsidRDefault="00343198" w:rsidP="000615D6">
      <w:pPr>
        <w:spacing w:after="0" w:line="240" w:lineRule="auto"/>
        <w:ind w:left="720" w:right="720"/>
        <w:jc w:val="both"/>
        <w:rPr>
          <w:rFonts w:ascii="Verdana" w:hAnsi="Verdana"/>
          <w:sz w:val="20"/>
          <w:szCs w:val="20"/>
          <w:lang w:val="es-CR"/>
        </w:rPr>
      </w:pPr>
    </w:p>
    <w:p w:rsidR="00343198" w:rsidRDefault="00344321" w:rsidP="00011C2E">
      <w:pPr>
        <w:pStyle w:val="Normal1"/>
        <w:widowControl/>
        <w:numPr>
          <w:ilvl w:val="0"/>
          <w:numId w:val="33"/>
        </w:numPr>
        <w:tabs>
          <w:tab w:val="left" w:pos="851"/>
        </w:tabs>
        <w:ind w:left="0" w:firstLine="0"/>
        <w:contextualSpacing/>
        <w:jc w:val="both"/>
        <w:rPr>
          <w:rFonts w:ascii="Verdana" w:eastAsia="Verdana" w:hAnsi="Verdana" w:cs="Verdana"/>
          <w:sz w:val="20"/>
          <w:szCs w:val="20"/>
        </w:rPr>
      </w:pPr>
      <w:r w:rsidRPr="008E0075">
        <w:rPr>
          <w:rFonts w:ascii="Verdana" w:eastAsia="Verdana" w:hAnsi="Verdana" w:cs="Verdana"/>
          <w:sz w:val="20"/>
          <w:szCs w:val="20"/>
        </w:rPr>
        <w:t xml:space="preserve">La Corte nota que en la sentencia del Juzgado de Primera Instancia, el juzgador </w:t>
      </w:r>
      <w:r w:rsidR="00371625" w:rsidRPr="008E0075">
        <w:rPr>
          <w:rFonts w:ascii="Verdana" w:eastAsia="Verdana" w:hAnsi="Verdana" w:cs="Verdana"/>
          <w:sz w:val="20"/>
          <w:szCs w:val="20"/>
        </w:rPr>
        <w:t xml:space="preserve">impuso </w:t>
      </w:r>
      <w:r w:rsidRPr="008E0075">
        <w:rPr>
          <w:rFonts w:ascii="Verdana" w:eastAsia="Verdana" w:hAnsi="Verdana" w:cs="Verdana"/>
          <w:sz w:val="20"/>
          <w:szCs w:val="20"/>
        </w:rPr>
        <w:t xml:space="preserve">dicha sanción, pena de muerte, de manera obligatoria, como lo establecía el artículo 175 del Código Penal, sin tomar en consideración </w:t>
      </w:r>
      <w:r w:rsidR="007117C2" w:rsidRPr="008E0075">
        <w:rPr>
          <w:rFonts w:ascii="Verdana" w:eastAsia="Verdana" w:hAnsi="Verdana" w:cs="Verdana"/>
          <w:sz w:val="20"/>
          <w:szCs w:val="20"/>
        </w:rPr>
        <w:t xml:space="preserve">las circunstancias </w:t>
      </w:r>
      <w:r w:rsidRPr="008E0075">
        <w:rPr>
          <w:rFonts w:ascii="Verdana" w:eastAsia="Verdana" w:hAnsi="Verdana" w:cs="Verdana"/>
          <w:sz w:val="20"/>
          <w:szCs w:val="20"/>
        </w:rPr>
        <w:t xml:space="preserve">atenuantes o agravantes. La Corte recuerda lo señalado en el caso </w:t>
      </w:r>
      <w:r w:rsidRPr="008E0075">
        <w:rPr>
          <w:rFonts w:ascii="Verdana" w:eastAsia="Verdana" w:hAnsi="Verdana" w:cs="Verdana"/>
          <w:i/>
          <w:sz w:val="20"/>
          <w:szCs w:val="20"/>
        </w:rPr>
        <w:t>Raxcacó Reyes Vs. Guatemala</w:t>
      </w:r>
      <w:r w:rsidRPr="008E0075">
        <w:rPr>
          <w:rStyle w:val="Refdenotaalpie"/>
          <w:rFonts w:ascii="Verdana" w:eastAsia="Verdana" w:hAnsi="Verdana" w:cs="Verdana"/>
          <w:sz w:val="20"/>
          <w:szCs w:val="20"/>
        </w:rPr>
        <w:footnoteReference w:id="54"/>
      </w:r>
      <w:r w:rsidRPr="008E0075">
        <w:rPr>
          <w:rFonts w:ascii="Verdana" w:eastAsia="Verdana" w:hAnsi="Verdana" w:cs="Verdana"/>
          <w:sz w:val="20"/>
          <w:szCs w:val="20"/>
        </w:rPr>
        <w:t>, remitiéndose al Comité de Derechos Humanos de Naciones Unidas, que consideró “que la obligatoriedad de la pena capital con la que se priva al sujeto de su derecho a la vida, impide considerar si, en las circunstancias particulares del caso, esta forma excepcional de castigo es compatible con las disposiciones del Pacto Internacional de</w:t>
      </w:r>
      <w:r w:rsidR="00A641D0" w:rsidRPr="008E0075">
        <w:rPr>
          <w:rFonts w:ascii="Verdana" w:eastAsia="Verdana" w:hAnsi="Verdana" w:cs="Verdana"/>
          <w:sz w:val="20"/>
          <w:szCs w:val="20"/>
        </w:rPr>
        <w:t xml:space="preserve"> Derechos Civiles y Políticos”, así como lo señalado por este Tribunal </w:t>
      </w:r>
      <w:r w:rsidRPr="008E0075">
        <w:rPr>
          <w:rFonts w:ascii="Verdana" w:eastAsia="Verdana" w:hAnsi="Verdana" w:cs="Verdana"/>
          <w:sz w:val="20"/>
          <w:szCs w:val="20"/>
        </w:rPr>
        <w:t xml:space="preserve">en el caso </w:t>
      </w:r>
      <w:r w:rsidRPr="008E0075">
        <w:rPr>
          <w:rFonts w:ascii="Verdana" w:eastAsia="Verdana" w:hAnsi="Verdana" w:cs="Verdana"/>
          <w:i/>
          <w:sz w:val="20"/>
          <w:szCs w:val="20"/>
        </w:rPr>
        <w:t>Hila</w:t>
      </w:r>
      <w:r w:rsidR="00BE2EF5">
        <w:rPr>
          <w:rFonts w:ascii="Verdana" w:eastAsia="Verdana" w:hAnsi="Verdana" w:cs="Verdana"/>
          <w:i/>
          <w:sz w:val="20"/>
          <w:szCs w:val="20"/>
        </w:rPr>
        <w:t>i</w:t>
      </w:r>
      <w:r w:rsidRPr="008E0075">
        <w:rPr>
          <w:rFonts w:ascii="Verdana" w:eastAsia="Verdana" w:hAnsi="Verdana" w:cs="Verdana"/>
          <w:i/>
          <w:sz w:val="20"/>
          <w:szCs w:val="20"/>
        </w:rPr>
        <w:t>re, Constantine y Benjamín y otros Vs</w:t>
      </w:r>
      <w:r w:rsidR="00316287">
        <w:rPr>
          <w:rFonts w:ascii="Verdana" w:eastAsia="Verdana" w:hAnsi="Verdana" w:cs="Verdana"/>
          <w:i/>
          <w:sz w:val="20"/>
          <w:szCs w:val="20"/>
        </w:rPr>
        <w:t>.</w:t>
      </w:r>
      <w:r w:rsidRPr="008E0075">
        <w:rPr>
          <w:rFonts w:ascii="Verdana" w:eastAsia="Verdana" w:hAnsi="Verdana" w:cs="Verdana"/>
          <w:i/>
          <w:sz w:val="20"/>
          <w:szCs w:val="20"/>
        </w:rPr>
        <w:t xml:space="preserve"> </w:t>
      </w:r>
      <w:r w:rsidR="00D4771D">
        <w:rPr>
          <w:rFonts w:ascii="Verdana" w:eastAsia="Verdana" w:hAnsi="Verdana" w:cs="Verdana"/>
          <w:i/>
          <w:sz w:val="20"/>
          <w:szCs w:val="20"/>
        </w:rPr>
        <w:t>Trinidad y Tobago</w:t>
      </w:r>
      <w:r w:rsidR="006361DF" w:rsidRPr="00C62653">
        <w:rPr>
          <w:rStyle w:val="Refdenotaalpie"/>
          <w:rFonts w:ascii="Verdana" w:eastAsia="Verdana" w:hAnsi="Verdana" w:cs="Verdana"/>
          <w:sz w:val="20"/>
          <w:szCs w:val="20"/>
        </w:rPr>
        <w:footnoteReference w:id="55"/>
      </w:r>
      <w:r w:rsidR="00A641D0" w:rsidRPr="008E0075">
        <w:rPr>
          <w:rFonts w:ascii="Verdana" w:eastAsia="Verdana" w:hAnsi="Verdana" w:cs="Verdana"/>
          <w:i/>
          <w:sz w:val="20"/>
          <w:szCs w:val="20"/>
        </w:rPr>
        <w:t xml:space="preserve"> </w:t>
      </w:r>
      <w:r w:rsidR="00A641D0" w:rsidRPr="008E0075">
        <w:rPr>
          <w:rFonts w:ascii="Verdana" w:eastAsia="Verdana" w:hAnsi="Verdana" w:cs="Verdana"/>
          <w:sz w:val="20"/>
          <w:szCs w:val="20"/>
        </w:rPr>
        <w:t>respecto de cómo se trataba a los acusados en</w:t>
      </w:r>
      <w:r w:rsidR="00A641D0" w:rsidRPr="008E0075">
        <w:rPr>
          <w:rFonts w:ascii="Verdana" w:eastAsia="Verdana" w:hAnsi="Verdana" w:cs="Verdana"/>
          <w:i/>
          <w:sz w:val="20"/>
          <w:szCs w:val="20"/>
        </w:rPr>
        <w:t xml:space="preserve"> </w:t>
      </w:r>
      <w:r w:rsidRPr="008E0075">
        <w:rPr>
          <w:rFonts w:ascii="Verdana" w:eastAsia="Verdana" w:hAnsi="Verdana" w:cs="Verdana"/>
          <w:sz w:val="20"/>
          <w:szCs w:val="20"/>
        </w:rPr>
        <w:t>aplicación de la pena de muerte obligatoria.</w:t>
      </w:r>
    </w:p>
    <w:p w:rsidR="00343198" w:rsidRDefault="00343198" w:rsidP="00343198">
      <w:pPr>
        <w:pStyle w:val="Normal1"/>
        <w:widowControl/>
        <w:contextualSpacing/>
        <w:jc w:val="both"/>
        <w:rPr>
          <w:rFonts w:ascii="Verdana" w:eastAsia="Verdana" w:hAnsi="Verdana" w:cs="Verdana"/>
          <w:sz w:val="20"/>
          <w:szCs w:val="20"/>
        </w:rPr>
      </w:pPr>
    </w:p>
    <w:p w:rsidR="00343198" w:rsidRPr="00BE4739" w:rsidRDefault="00344321" w:rsidP="00FE0342">
      <w:pPr>
        <w:pStyle w:val="Normal1"/>
        <w:widowControl/>
        <w:numPr>
          <w:ilvl w:val="0"/>
          <w:numId w:val="33"/>
        </w:numPr>
        <w:ind w:left="0" w:firstLine="0"/>
        <w:contextualSpacing/>
        <w:jc w:val="both"/>
        <w:rPr>
          <w:rFonts w:ascii="Verdana" w:eastAsia="Verdana" w:hAnsi="Verdana" w:cs="Verdana"/>
          <w:sz w:val="20"/>
          <w:szCs w:val="20"/>
        </w:rPr>
      </w:pPr>
      <w:r w:rsidRPr="007C73F2">
        <w:rPr>
          <w:rFonts w:ascii="Verdana" w:hAnsi="Verdana"/>
          <w:sz w:val="20"/>
          <w:szCs w:val="20"/>
        </w:rPr>
        <w:t>El artículo 175 del Código Penal, tal como estaba redactado</w:t>
      </w:r>
      <w:r w:rsidR="00C77690">
        <w:rPr>
          <w:rFonts w:ascii="Verdana" w:hAnsi="Verdana"/>
          <w:sz w:val="20"/>
          <w:szCs w:val="20"/>
        </w:rPr>
        <w:t xml:space="preserve"> </w:t>
      </w:r>
      <w:r w:rsidR="00C77690">
        <w:rPr>
          <w:rFonts w:ascii="Verdana" w:eastAsia="Verdana" w:hAnsi="Verdana" w:cs="Verdana"/>
          <w:sz w:val="20"/>
          <w:szCs w:val="20"/>
        </w:rPr>
        <w:t>(</w:t>
      </w:r>
      <w:r w:rsidR="00C77690" w:rsidRPr="00765D20">
        <w:rPr>
          <w:rFonts w:ascii="Verdana" w:eastAsia="Verdana" w:hAnsi="Verdana" w:cs="Verdana"/>
          <w:i/>
          <w:sz w:val="20"/>
          <w:szCs w:val="20"/>
        </w:rPr>
        <w:t>supra</w:t>
      </w:r>
      <w:r w:rsidR="00C77690">
        <w:rPr>
          <w:rFonts w:ascii="Verdana" w:eastAsia="Verdana" w:hAnsi="Verdana" w:cs="Verdana"/>
          <w:sz w:val="20"/>
          <w:szCs w:val="20"/>
        </w:rPr>
        <w:t xml:space="preserve"> párr. 29)</w:t>
      </w:r>
      <w:r w:rsidRPr="007C73F2">
        <w:rPr>
          <w:rFonts w:ascii="Verdana" w:hAnsi="Verdana"/>
          <w:sz w:val="20"/>
          <w:szCs w:val="20"/>
        </w:rPr>
        <w:t xml:space="preserve">, no </w:t>
      </w:r>
      <w:r w:rsidR="007D1637">
        <w:rPr>
          <w:rFonts w:ascii="Verdana" w:hAnsi="Verdana"/>
          <w:sz w:val="20"/>
          <w:szCs w:val="20"/>
        </w:rPr>
        <w:t xml:space="preserve">contemplaba </w:t>
      </w:r>
      <w:r w:rsidRPr="007C73F2">
        <w:rPr>
          <w:rFonts w:ascii="Verdana" w:hAnsi="Verdana"/>
          <w:sz w:val="20"/>
          <w:szCs w:val="20"/>
        </w:rPr>
        <w:t>la aplicación de una pena distinta a la pena de muerte, por la comisión del delito de violación calificada, en los casos en que la víctima no hubiera cumplido los diez años de edad. La norma indicada no permitía valorar las características específicas del delito, ni el grado de participación y de culpabilidad del acusado, circunstancias que podrían atenuar la sanción impuesta</w:t>
      </w:r>
      <w:r w:rsidR="006B729B" w:rsidRPr="007C73F2">
        <w:rPr>
          <w:rFonts w:ascii="Verdana" w:hAnsi="Verdana"/>
          <w:sz w:val="20"/>
          <w:szCs w:val="20"/>
        </w:rPr>
        <w:t>. La regulación de dicho delito ordenaba de manera automática la aplicación de la pena de muerte a sus autores</w:t>
      </w:r>
      <w:r w:rsidRPr="007C73F2">
        <w:rPr>
          <w:rFonts w:ascii="Verdana" w:hAnsi="Verdana"/>
          <w:sz w:val="20"/>
          <w:szCs w:val="20"/>
        </w:rPr>
        <w:t>.</w:t>
      </w:r>
      <w:r w:rsidRPr="00BE4739">
        <w:rPr>
          <w:rFonts w:ascii="Verdana" w:hAnsi="Verdana"/>
          <w:sz w:val="20"/>
          <w:szCs w:val="20"/>
        </w:rPr>
        <w:t xml:space="preserve"> </w:t>
      </w:r>
    </w:p>
    <w:p w:rsidR="00343198" w:rsidRPr="00BE4739" w:rsidRDefault="00343198" w:rsidP="00343198">
      <w:pPr>
        <w:pStyle w:val="Normal1"/>
        <w:widowControl/>
        <w:contextualSpacing/>
        <w:jc w:val="both"/>
        <w:rPr>
          <w:rFonts w:ascii="Verdana" w:eastAsia="Verdana" w:hAnsi="Verdana" w:cs="Verdana"/>
          <w:sz w:val="20"/>
          <w:szCs w:val="20"/>
        </w:rPr>
      </w:pPr>
    </w:p>
    <w:p w:rsidR="00C62653" w:rsidRDefault="00344321" w:rsidP="00FE0342">
      <w:pPr>
        <w:pStyle w:val="Normal1"/>
        <w:widowControl/>
        <w:numPr>
          <w:ilvl w:val="0"/>
          <w:numId w:val="33"/>
        </w:numPr>
        <w:ind w:left="0" w:firstLine="0"/>
        <w:contextualSpacing/>
        <w:jc w:val="both"/>
        <w:rPr>
          <w:rFonts w:ascii="Verdana" w:eastAsia="Verdana" w:hAnsi="Verdana" w:cs="Verdana"/>
          <w:sz w:val="20"/>
          <w:szCs w:val="20"/>
        </w:rPr>
      </w:pPr>
      <w:r w:rsidRPr="007C73F2">
        <w:rPr>
          <w:rFonts w:ascii="Verdana" w:hAnsi="Verdana"/>
          <w:sz w:val="20"/>
          <w:szCs w:val="20"/>
        </w:rPr>
        <w:t xml:space="preserve">Dado que la condena a pena de muerte de </w:t>
      </w:r>
      <w:r w:rsidRPr="007C73F2">
        <w:rPr>
          <w:rFonts w:ascii="Verdana" w:eastAsia="Verdana" w:hAnsi="Verdana" w:cs="Verdana"/>
          <w:sz w:val="20"/>
          <w:szCs w:val="20"/>
        </w:rPr>
        <w:t xml:space="preserve">los señores Roberto Girón y Pedro Castillo Mendoza se fundó en </w:t>
      </w:r>
      <w:r w:rsidRPr="007C73F2">
        <w:rPr>
          <w:rFonts w:ascii="Verdana" w:hAnsi="Verdana"/>
          <w:sz w:val="20"/>
          <w:szCs w:val="20"/>
        </w:rPr>
        <w:t>la aplicación de la pena impuesta en el artículo 175 del Código Penal, vigente al momento de la sentencia, la Corte considera que el Estado violó la prohibición de la privación arbitraria de la vida establecida en el artículo 4.1 y 4.2 de la Convenci</w:t>
      </w:r>
      <w:r w:rsidR="00095CE8" w:rsidRPr="007C73F2">
        <w:rPr>
          <w:rFonts w:ascii="Verdana" w:hAnsi="Verdana"/>
          <w:sz w:val="20"/>
          <w:szCs w:val="20"/>
        </w:rPr>
        <w:t>ón Americana, en relación con los</w:t>
      </w:r>
      <w:r w:rsidRPr="007C73F2">
        <w:rPr>
          <w:rFonts w:ascii="Verdana" w:hAnsi="Verdana"/>
          <w:sz w:val="20"/>
          <w:szCs w:val="20"/>
        </w:rPr>
        <w:t xml:space="preserve"> artículo</w:t>
      </w:r>
      <w:r w:rsidR="00095CE8" w:rsidRPr="007C73F2">
        <w:rPr>
          <w:rFonts w:ascii="Verdana" w:hAnsi="Verdana"/>
          <w:sz w:val="20"/>
          <w:szCs w:val="20"/>
        </w:rPr>
        <w:t>s</w:t>
      </w:r>
      <w:r w:rsidRPr="007C73F2">
        <w:rPr>
          <w:rFonts w:ascii="Verdana" w:hAnsi="Verdana"/>
          <w:sz w:val="20"/>
          <w:szCs w:val="20"/>
        </w:rPr>
        <w:t xml:space="preserve"> 1.1 </w:t>
      </w:r>
      <w:r w:rsidR="00095CE8" w:rsidRPr="007C73F2">
        <w:rPr>
          <w:rFonts w:ascii="Verdana" w:hAnsi="Verdana"/>
          <w:sz w:val="20"/>
          <w:szCs w:val="20"/>
        </w:rPr>
        <w:t xml:space="preserve">y </w:t>
      </w:r>
      <w:r w:rsidR="00212AF2" w:rsidRPr="007C73F2">
        <w:rPr>
          <w:rFonts w:ascii="Verdana" w:hAnsi="Verdana"/>
          <w:sz w:val="20"/>
          <w:szCs w:val="20"/>
        </w:rPr>
        <w:t xml:space="preserve">2 </w:t>
      </w:r>
      <w:r w:rsidRPr="007C73F2">
        <w:rPr>
          <w:rFonts w:ascii="Verdana" w:hAnsi="Verdana"/>
          <w:sz w:val="20"/>
          <w:szCs w:val="20"/>
        </w:rPr>
        <w:t>de la Convención, en perjuicio de los señores Girón y Castillo.</w:t>
      </w:r>
      <w:r w:rsidR="006B729B" w:rsidRPr="007C73F2">
        <w:rPr>
          <w:rFonts w:ascii="Verdana" w:hAnsi="Verdana"/>
          <w:sz w:val="20"/>
          <w:szCs w:val="20"/>
        </w:rPr>
        <w:t xml:space="preserve"> </w:t>
      </w:r>
      <w:bookmarkStart w:id="61" w:name="_Toc11161090"/>
      <w:bookmarkStart w:id="62" w:name="_Toc11234049"/>
    </w:p>
    <w:p w:rsidR="00C62653" w:rsidRPr="00C62653" w:rsidRDefault="00C62653" w:rsidP="00C62653">
      <w:pPr>
        <w:pStyle w:val="Prrafodelista"/>
        <w:spacing w:after="0"/>
        <w:rPr>
          <w:rFonts w:ascii="Verdana" w:eastAsia="Verdana" w:hAnsi="Verdana" w:cs="Verdana"/>
          <w:sz w:val="20"/>
          <w:szCs w:val="20"/>
          <w:lang w:val="es-CR"/>
        </w:rPr>
      </w:pPr>
    </w:p>
    <w:p w:rsidR="00724AE2" w:rsidRPr="00AD63E0" w:rsidRDefault="00C62653" w:rsidP="00451DB9">
      <w:pPr>
        <w:pStyle w:val="Normal1"/>
        <w:widowControl/>
        <w:numPr>
          <w:ilvl w:val="0"/>
          <w:numId w:val="33"/>
        </w:numPr>
        <w:ind w:left="0" w:firstLine="0"/>
        <w:contextualSpacing/>
        <w:jc w:val="both"/>
        <w:rPr>
          <w:rFonts w:ascii="Verdana" w:eastAsia="Verdana" w:hAnsi="Verdana" w:cs="Verdana"/>
          <w:sz w:val="20"/>
          <w:szCs w:val="20"/>
        </w:rPr>
      </w:pPr>
      <w:r>
        <w:rPr>
          <w:rFonts w:ascii="Verdana" w:eastAsia="Verdana" w:hAnsi="Verdana" w:cs="Verdana"/>
          <w:sz w:val="20"/>
          <w:szCs w:val="20"/>
        </w:rPr>
        <w:t>P</w:t>
      </w:r>
      <w:r w:rsidRPr="00C62653">
        <w:rPr>
          <w:rFonts w:ascii="Verdana" w:hAnsi="Verdana"/>
          <w:sz w:val="20"/>
          <w:szCs w:val="20"/>
        </w:rPr>
        <w:t>o</w:t>
      </w:r>
      <w:r>
        <w:rPr>
          <w:rFonts w:ascii="Verdana" w:hAnsi="Verdana"/>
          <w:sz w:val="20"/>
          <w:szCs w:val="20"/>
        </w:rPr>
        <w:t>r o</w:t>
      </w:r>
      <w:r w:rsidRPr="00C62653">
        <w:rPr>
          <w:rFonts w:ascii="Verdana" w:hAnsi="Verdana"/>
          <w:sz w:val="20"/>
          <w:szCs w:val="20"/>
        </w:rPr>
        <w:t xml:space="preserve">tra parte, las </w:t>
      </w:r>
      <w:r w:rsidRPr="00C62653">
        <w:rPr>
          <w:rFonts w:ascii="Verdana" w:hAnsi="Verdana"/>
          <w:b/>
          <w:i/>
          <w:sz w:val="20"/>
          <w:szCs w:val="20"/>
        </w:rPr>
        <w:t>representantes</w:t>
      </w:r>
      <w:r w:rsidRPr="00C62653">
        <w:rPr>
          <w:rFonts w:ascii="Verdana" w:hAnsi="Verdana"/>
          <w:sz w:val="20"/>
          <w:szCs w:val="20"/>
        </w:rPr>
        <w:t xml:space="preserve"> alegaron que </w:t>
      </w:r>
      <w:r w:rsidRPr="00C62653">
        <w:rPr>
          <w:rFonts w:ascii="Verdana" w:hAnsi="Verdana"/>
          <w:bCs/>
          <w:iCs/>
          <w:sz w:val="20"/>
          <w:szCs w:val="20"/>
          <w:lang w:val="es-PE"/>
        </w:rPr>
        <w:t xml:space="preserve">los señores Roberto Girón y Pedro Castillo Mendoza presentaron un recurso de gracia el 12 de julio de 1996, con base en el artículo 78 de la Constitución </w:t>
      </w:r>
      <w:r w:rsidR="00370035">
        <w:rPr>
          <w:rFonts w:ascii="Verdana" w:hAnsi="Verdana"/>
          <w:bCs/>
          <w:iCs/>
          <w:sz w:val="20"/>
          <w:szCs w:val="20"/>
          <w:lang w:val="es-PE"/>
        </w:rPr>
        <w:t xml:space="preserve">de Guatemala </w:t>
      </w:r>
      <w:r w:rsidRPr="00C62653">
        <w:rPr>
          <w:rFonts w:ascii="Verdana" w:hAnsi="Verdana"/>
          <w:bCs/>
          <w:iCs/>
          <w:sz w:val="20"/>
          <w:szCs w:val="20"/>
          <w:lang w:val="es-PE"/>
        </w:rPr>
        <w:t>vigente</w:t>
      </w:r>
      <w:r w:rsidRPr="008E0075">
        <w:rPr>
          <w:rStyle w:val="Refdenotaalpie"/>
          <w:rFonts w:ascii="Verdana" w:hAnsi="Verdana"/>
          <w:bCs/>
          <w:iCs/>
          <w:sz w:val="20"/>
          <w:szCs w:val="20"/>
          <w:lang w:val="es-PE"/>
        </w:rPr>
        <w:footnoteReference w:id="56"/>
      </w:r>
      <w:r w:rsidRPr="00C62653">
        <w:rPr>
          <w:rFonts w:ascii="Verdana" w:hAnsi="Verdana"/>
          <w:bCs/>
          <w:iCs/>
          <w:sz w:val="20"/>
          <w:szCs w:val="20"/>
          <w:lang w:val="es-PE"/>
        </w:rPr>
        <w:t xml:space="preserve"> y señalaron que el Presidente de la República, mediante la Resolución No. 281 - 96122, de 17 de julio de 1996,</w:t>
      </w:r>
      <w:r w:rsidRPr="00C62653">
        <w:rPr>
          <w:rFonts w:ascii="Verdana" w:hAnsi="Verdana"/>
          <w:b/>
          <w:bCs/>
          <w:iCs/>
          <w:sz w:val="20"/>
          <w:szCs w:val="20"/>
          <w:lang w:val="es-PE"/>
        </w:rPr>
        <w:t xml:space="preserve"> </w:t>
      </w:r>
      <w:r w:rsidRPr="00C62653">
        <w:rPr>
          <w:rFonts w:ascii="Verdana" w:hAnsi="Verdana"/>
          <w:bCs/>
          <w:iCs/>
          <w:sz w:val="20"/>
          <w:szCs w:val="20"/>
          <w:lang w:val="es-PE"/>
        </w:rPr>
        <w:t xml:space="preserve">lo rechazó sin </w:t>
      </w:r>
      <w:r w:rsidRPr="00C62653">
        <w:rPr>
          <w:rFonts w:ascii="Verdana" w:hAnsi="Verdana"/>
          <w:sz w:val="20"/>
          <w:szCs w:val="20"/>
          <w:lang w:val="es-PE"/>
        </w:rPr>
        <w:t xml:space="preserve">una debida motivación. Indicaron que contra dicha decisión, </w:t>
      </w:r>
      <w:r w:rsidRPr="00C62653">
        <w:rPr>
          <w:rFonts w:ascii="Verdana" w:hAnsi="Verdana"/>
          <w:bCs/>
          <w:iCs/>
          <w:sz w:val="20"/>
          <w:szCs w:val="20"/>
          <w:lang w:val="es-PE"/>
        </w:rPr>
        <w:t>se presentó un recurso de amparo ante la Corte Constitucional, en calidad de Tribunal Extraordinario de Amparo, que fue resuelto el 9 de agosto 1996 que según l</w:t>
      </w:r>
      <w:r w:rsidR="00F84863">
        <w:rPr>
          <w:rFonts w:ascii="Verdana" w:hAnsi="Verdana"/>
          <w:bCs/>
          <w:iCs/>
          <w:sz w:val="20"/>
          <w:szCs w:val="20"/>
          <w:lang w:val="es-PE"/>
        </w:rPr>
        <w:t>a</w:t>
      </w:r>
      <w:r w:rsidRPr="00C62653">
        <w:rPr>
          <w:rFonts w:ascii="Verdana" w:hAnsi="Verdana"/>
          <w:bCs/>
          <w:iCs/>
          <w:sz w:val="20"/>
          <w:szCs w:val="20"/>
          <w:lang w:val="es-PE"/>
        </w:rPr>
        <w:t xml:space="preserve">s representantes “tampoco reunía las condiciones necesarias para poder ser efectivo”. Según las representantes se visualiza que la vía recursiva dispuesta para lograr la conmutación de una sentencia condenatoria de pena de muerte, dispuesta en la legislación interna no reunió la eficacia exigida en sede internacional. </w:t>
      </w:r>
      <w:r w:rsidRPr="00C62653">
        <w:rPr>
          <w:rFonts w:ascii="Verdana" w:hAnsi="Verdana"/>
          <w:bCs/>
          <w:i/>
          <w:iCs/>
          <w:sz w:val="18"/>
          <w:szCs w:val="18"/>
        </w:rPr>
        <w:t xml:space="preserve"> </w:t>
      </w:r>
      <w:r w:rsidRPr="00C62653">
        <w:rPr>
          <w:rFonts w:ascii="Verdana" w:hAnsi="Verdana"/>
          <w:bCs/>
          <w:iCs/>
          <w:sz w:val="20"/>
          <w:szCs w:val="20"/>
        </w:rPr>
        <w:t xml:space="preserve">Al </w:t>
      </w:r>
      <w:r w:rsidRPr="00C62653">
        <w:rPr>
          <w:rFonts w:ascii="Verdana" w:hAnsi="Verdana"/>
          <w:sz w:val="20"/>
          <w:szCs w:val="20"/>
        </w:rPr>
        <w:t xml:space="preserve">respecto, </w:t>
      </w:r>
      <w:r w:rsidRPr="00C62653">
        <w:rPr>
          <w:rFonts w:ascii="Verdana" w:eastAsia="Verdana" w:hAnsi="Verdana" w:cs="Verdana"/>
          <w:sz w:val="20"/>
          <w:szCs w:val="20"/>
        </w:rPr>
        <w:t>de la resolución del 12 de julio de 1996 se desprende que, Guatemala, tramitó y resolvió el recurso de gracia (</w:t>
      </w:r>
      <w:r w:rsidRPr="00C62653">
        <w:rPr>
          <w:rFonts w:ascii="Verdana" w:eastAsia="Verdana" w:hAnsi="Verdana" w:cs="Verdana"/>
          <w:i/>
          <w:sz w:val="20"/>
          <w:szCs w:val="20"/>
        </w:rPr>
        <w:t xml:space="preserve">supra </w:t>
      </w:r>
      <w:r w:rsidR="00661B2E">
        <w:rPr>
          <w:rFonts w:ascii="Verdana" w:eastAsia="Verdana" w:hAnsi="Verdana" w:cs="Verdana"/>
          <w:sz w:val="20"/>
          <w:szCs w:val="20"/>
        </w:rPr>
        <w:t>párr. 53</w:t>
      </w:r>
      <w:r w:rsidRPr="00C62653">
        <w:rPr>
          <w:rFonts w:ascii="Verdana" w:eastAsia="Verdana" w:hAnsi="Verdana" w:cs="Verdana"/>
          <w:sz w:val="20"/>
          <w:szCs w:val="20"/>
        </w:rPr>
        <w:t xml:space="preserve">), en cumplimiento a la obligación derivada del artículo 4.6 y en observancia de sus obligaciones internacionales. En consecuencia, este Tribunal considera </w:t>
      </w:r>
      <w:r w:rsidRPr="00C62653">
        <w:rPr>
          <w:rFonts w:ascii="Verdana" w:hAnsi="Verdana"/>
          <w:sz w:val="20"/>
          <w:szCs w:val="20"/>
        </w:rPr>
        <w:t>que en el presente caso no se violó el artículo 4.6 de la Convención.</w:t>
      </w:r>
      <w:bookmarkEnd w:id="61"/>
      <w:bookmarkEnd w:id="62"/>
    </w:p>
    <w:p w:rsidR="00724AE2" w:rsidRDefault="00724AE2" w:rsidP="00451DB9">
      <w:pPr>
        <w:pStyle w:val="Normal1"/>
        <w:widowControl/>
        <w:contextualSpacing/>
        <w:jc w:val="both"/>
        <w:rPr>
          <w:rFonts w:ascii="Verdana" w:hAnsi="Verdana"/>
          <w:sz w:val="20"/>
          <w:szCs w:val="20"/>
        </w:rPr>
      </w:pPr>
    </w:p>
    <w:p w:rsidR="00343198" w:rsidRPr="00A61525" w:rsidRDefault="00652A97" w:rsidP="00451DB9">
      <w:pPr>
        <w:pStyle w:val="Normal1"/>
        <w:widowControl/>
        <w:contextualSpacing/>
        <w:jc w:val="both"/>
        <w:outlineLvl w:val="1"/>
        <w:rPr>
          <w:rFonts w:ascii="Verdana" w:hAnsi="Verdana"/>
          <w:sz w:val="16"/>
          <w:szCs w:val="16"/>
        </w:rPr>
      </w:pPr>
      <w:bookmarkStart w:id="63" w:name="_Toc24538841"/>
      <w:r w:rsidRPr="00A61525">
        <w:rPr>
          <w:rFonts w:ascii="Verdana" w:eastAsia="Verdana" w:hAnsi="Verdana" w:cs="Verdana"/>
          <w:b/>
          <w:sz w:val="20"/>
          <w:szCs w:val="20"/>
        </w:rPr>
        <w:t xml:space="preserve">C. </w:t>
      </w:r>
      <w:r w:rsidR="00343198" w:rsidRPr="00A61525">
        <w:rPr>
          <w:rFonts w:ascii="Verdana" w:eastAsia="Verdana" w:hAnsi="Verdana" w:cs="Verdana"/>
          <w:b/>
          <w:sz w:val="20"/>
          <w:szCs w:val="20"/>
        </w:rPr>
        <w:t>Conclusión</w:t>
      </w:r>
      <w:bookmarkEnd w:id="63"/>
      <w:r w:rsidR="00343198" w:rsidRPr="00A61525">
        <w:rPr>
          <w:rFonts w:ascii="Verdana" w:eastAsia="Verdana" w:hAnsi="Verdana" w:cs="Verdana"/>
          <w:b/>
          <w:sz w:val="20"/>
          <w:szCs w:val="20"/>
        </w:rPr>
        <w:t xml:space="preserve"> </w:t>
      </w:r>
    </w:p>
    <w:p w:rsidR="00343198" w:rsidRDefault="00343198" w:rsidP="00343198">
      <w:pPr>
        <w:pStyle w:val="Normal1"/>
        <w:widowControl/>
        <w:contextualSpacing/>
        <w:jc w:val="both"/>
        <w:rPr>
          <w:rFonts w:ascii="Verdana" w:eastAsia="Verdana" w:hAnsi="Verdana" w:cs="Verdana"/>
          <w:sz w:val="20"/>
          <w:szCs w:val="20"/>
        </w:rPr>
      </w:pPr>
    </w:p>
    <w:p w:rsidR="000C4D5F" w:rsidRPr="00F733AE" w:rsidRDefault="00344321" w:rsidP="00FE0342">
      <w:pPr>
        <w:pStyle w:val="Normal1"/>
        <w:widowControl/>
        <w:numPr>
          <w:ilvl w:val="0"/>
          <w:numId w:val="33"/>
        </w:numPr>
        <w:ind w:left="0" w:firstLine="0"/>
        <w:contextualSpacing/>
        <w:jc w:val="both"/>
        <w:rPr>
          <w:rFonts w:ascii="Verdana" w:eastAsia="Verdana" w:hAnsi="Verdana" w:cs="Verdana"/>
          <w:sz w:val="20"/>
          <w:szCs w:val="20"/>
        </w:rPr>
      </w:pPr>
      <w:r w:rsidRPr="00343198">
        <w:rPr>
          <w:rFonts w:ascii="Verdana" w:hAnsi="Verdana"/>
          <w:sz w:val="20"/>
          <w:szCs w:val="20"/>
        </w:rPr>
        <w:t>Por lo expuesto, teniendo en consideración que la sentencia condenatoria a</w:t>
      </w:r>
      <w:r w:rsidR="00AA4C90">
        <w:rPr>
          <w:rFonts w:ascii="Verdana" w:hAnsi="Verdana"/>
          <w:sz w:val="20"/>
          <w:szCs w:val="20"/>
        </w:rPr>
        <w:t xml:space="preserve"> pena de muerte, y su posterior</w:t>
      </w:r>
      <w:r w:rsidRPr="00343198">
        <w:rPr>
          <w:rFonts w:ascii="Verdana" w:hAnsi="Verdana"/>
          <w:sz w:val="20"/>
          <w:szCs w:val="20"/>
        </w:rPr>
        <w:t xml:space="preserve"> ejecución mediante fusilamiento de los señores </w:t>
      </w:r>
      <w:r w:rsidRPr="00343198">
        <w:rPr>
          <w:rFonts w:ascii="Verdana" w:eastAsia="Verdana" w:hAnsi="Verdana" w:cs="Verdana"/>
          <w:sz w:val="20"/>
          <w:szCs w:val="20"/>
        </w:rPr>
        <w:t xml:space="preserve">Roberto Girón y Pedro </w:t>
      </w:r>
      <w:r w:rsidRPr="00343198">
        <w:rPr>
          <w:rFonts w:ascii="Verdana" w:eastAsia="Verdana" w:hAnsi="Verdana" w:cs="Verdana"/>
          <w:sz w:val="20"/>
          <w:szCs w:val="20"/>
        </w:rPr>
        <w:lastRenderedPageBreak/>
        <w:t>Castillo Mendoza</w:t>
      </w:r>
      <w:r w:rsidRPr="00343198">
        <w:rPr>
          <w:rFonts w:ascii="Verdana" w:hAnsi="Verdana"/>
          <w:sz w:val="20"/>
          <w:szCs w:val="20"/>
        </w:rPr>
        <w:t xml:space="preserve">, resultó </w:t>
      </w:r>
      <w:r w:rsidR="000C4D5F" w:rsidRPr="00343198">
        <w:rPr>
          <w:rFonts w:ascii="Verdana" w:hAnsi="Verdana"/>
          <w:sz w:val="20"/>
          <w:szCs w:val="20"/>
        </w:rPr>
        <w:t xml:space="preserve">de la </w:t>
      </w:r>
      <w:r w:rsidRPr="00343198">
        <w:rPr>
          <w:rFonts w:ascii="Verdana" w:hAnsi="Verdana"/>
          <w:sz w:val="20"/>
          <w:szCs w:val="20"/>
        </w:rPr>
        <w:t xml:space="preserve">imposición obligatoria de la pena de muerte, de conformidad con el artículo 175 del Código Penal, este Tribunal concluye que en el presente caso el Estado es responsable de la privación arbitraria de la vida en la violación del artículo 4.1 y 4.2 de la Convención Americana, con relación a los artículos 1.1 </w:t>
      </w:r>
      <w:r w:rsidR="002C626F" w:rsidRPr="00343198">
        <w:rPr>
          <w:rFonts w:ascii="Verdana" w:hAnsi="Verdana"/>
          <w:sz w:val="20"/>
          <w:szCs w:val="20"/>
        </w:rPr>
        <w:t xml:space="preserve">y 2 </w:t>
      </w:r>
      <w:r w:rsidRPr="00343198">
        <w:rPr>
          <w:rFonts w:ascii="Verdana" w:hAnsi="Verdana"/>
          <w:sz w:val="20"/>
          <w:szCs w:val="20"/>
        </w:rPr>
        <w:t>del mismo instrument</w:t>
      </w:r>
      <w:r w:rsidR="003A4D32" w:rsidRPr="00343198">
        <w:rPr>
          <w:rFonts w:ascii="Verdana" w:hAnsi="Verdana"/>
          <w:sz w:val="20"/>
          <w:szCs w:val="20"/>
        </w:rPr>
        <w:t xml:space="preserve">o, </w:t>
      </w:r>
      <w:r w:rsidR="003A4D32" w:rsidRPr="001C66BE">
        <w:rPr>
          <w:rFonts w:ascii="Verdana" w:hAnsi="Verdana"/>
          <w:sz w:val="20"/>
          <w:szCs w:val="20"/>
        </w:rPr>
        <w:t>en perjuicio de los señores</w:t>
      </w:r>
      <w:r w:rsidRPr="001C66BE">
        <w:rPr>
          <w:rFonts w:ascii="Verdana" w:hAnsi="Verdana"/>
          <w:sz w:val="20"/>
          <w:szCs w:val="20"/>
        </w:rPr>
        <w:t xml:space="preserve"> </w:t>
      </w:r>
      <w:r w:rsidRPr="001C66BE">
        <w:rPr>
          <w:rFonts w:ascii="Verdana" w:eastAsia="Verdana" w:hAnsi="Verdana" w:cs="Verdana"/>
          <w:sz w:val="20"/>
          <w:szCs w:val="20"/>
        </w:rPr>
        <w:t>Roberto Girón y Pedro Castillo Mendoza</w:t>
      </w:r>
      <w:r w:rsidR="00F6619E" w:rsidRPr="001C66BE">
        <w:rPr>
          <w:rFonts w:ascii="Verdana" w:hAnsi="Verdana"/>
          <w:sz w:val="20"/>
          <w:szCs w:val="20"/>
        </w:rPr>
        <w:t>,</w:t>
      </w:r>
      <w:r w:rsidR="00F6619E" w:rsidRPr="001C66BE">
        <w:rPr>
          <w:rFonts w:ascii="Verdana" w:hAnsi="Verdana"/>
          <w:b/>
          <w:sz w:val="20"/>
          <w:szCs w:val="20"/>
        </w:rPr>
        <w:t xml:space="preserve"> </w:t>
      </w:r>
      <w:r w:rsidR="00F6619E" w:rsidRPr="00C62653">
        <w:rPr>
          <w:rFonts w:ascii="Verdana" w:hAnsi="Verdana"/>
          <w:sz w:val="20"/>
          <w:szCs w:val="20"/>
        </w:rPr>
        <w:t>sin perj</w:t>
      </w:r>
      <w:r w:rsidR="001C66BE" w:rsidRPr="00C62653">
        <w:rPr>
          <w:rFonts w:ascii="Verdana" w:hAnsi="Verdana"/>
          <w:sz w:val="20"/>
          <w:szCs w:val="20"/>
        </w:rPr>
        <w:t>uicio de las violaciones determina</w:t>
      </w:r>
      <w:r w:rsidR="00F6619E" w:rsidRPr="00C62653">
        <w:rPr>
          <w:rFonts w:ascii="Verdana" w:hAnsi="Verdana"/>
          <w:sz w:val="20"/>
          <w:szCs w:val="20"/>
        </w:rPr>
        <w:t>das en el capítulo de garantías judiciales (</w:t>
      </w:r>
      <w:r w:rsidR="00F6619E" w:rsidRPr="00C62653">
        <w:rPr>
          <w:rFonts w:ascii="Verdana" w:hAnsi="Verdana"/>
          <w:i/>
          <w:sz w:val="20"/>
          <w:szCs w:val="20"/>
        </w:rPr>
        <w:t>infra</w:t>
      </w:r>
      <w:r w:rsidR="00661B2E">
        <w:rPr>
          <w:rFonts w:ascii="Verdana" w:hAnsi="Verdana"/>
          <w:sz w:val="20"/>
          <w:szCs w:val="20"/>
        </w:rPr>
        <w:t xml:space="preserve"> párr. 1</w:t>
      </w:r>
      <w:r w:rsidR="007D4060">
        <w:rPr>
          <w:rFonts w:ascii="Verdana" w:hAnsi="Verdana"/>
          <w:sz w:val="20"/>
          <w:szCs w:val="20"/>
        </w:rPr>
        <w:t>23</w:t>
      </w:r>
      <w:r w:rsidR="00F6619E" w:rsidRPr="00C62653">
        <w:rPr>
          <w:rFonts w:ascii="Verdana" w:hAnsi="Verdana"/>
          <w:sz w:val="20"/>
          <w:szCs w:val="20"/>
        </w:rPr>
        <w:t>)</w:t>
      </w:r>
      <w:r w:rsidR="00F6619E">
        <w:rPr>
          <w:rFonts w:ascii="Verdana" w:hAnsi="Verdana"/>
          <w:sz w:val="20"/>
          <w:szCs w:val="20"/>
        </w:rPr>
        <w:t>.</w:t>
      </w:r>
      <w:r w:rsidR="00407539" w:rsidRPr="00343198">
        <w:rPr>
          <w:rFonts w:ascii="Verdana" w:hAnsi="Verdana" w:cs="Verdana"/>
          <w:sz w:val="20"/>
          <w:szCs w:val="20"/>
          <w:lang w:val="es-PE"/>
        </w:rPr>
        <w:t xml:space="preserve"> Además, la Corte considera que Guatemala </w:t>
      </w:r>
      <w:r w:rsidR="002C626F" w:rsidRPr="00343198">
        <w:rPr>
          <w:rFonts w:ascii="Verdana" w:hAnsi="Verdana" w:cs="Verdana"/>
          <w:sz w:val="20"/>
          <w:szCs w:val="20"/>
          <w:lang w:val="es-PE"/>
        </w:rPr>
        <w:t xml:space="preserve">no </w:t>
      </w:r>
      <w:r w:rsidR="00407539" w:rsidRPr="00343198">
        <w:rPr>
          <w:rFonts w:ascii="Verdana" w:hAnsi="Verdana" w:cs="Verdana"/>
          <w:sz w:val="20"/>
          <w:szCs w:val="20"/>
          <w:lang w:val="es-PE"/>
        </w:rPr>
        <w:t>violó el artículo 4.6 de la Convención, en relación con el artículo 1.1 de la misma</w:t>
      </w:r>
      <w:r w:rsidR="000C4D5F" w:rsidRPr="00343198">
        <w:rPr>
          <w:rFonts w:ascii="Verdana" w:hAnsi="Verdana" w:cs="Verdana"/>
          <w:sz w:val="20"/>
          <w:szCs w:val="20"/>
          <w:lang w:val="es-PE"/>
        </w:rPr>
        <w:t>.</w:t>
      </w:r>
    </w:p>
    <w:p w:rsidR="00F733AE" w:rsidRDefault="00F733AE" w:rsidP="00F733AE">
      <w:pPr>
        <w:pStyle w:val="Normal1"/>
        <w:widowControl/>
        <w:contextualSpacing/>
        <w:jc w:val="both"/>
        <w:rPr>
          <w:rFonts w:ascii="Verdana" w:hAnsi="Verdana" w:cs="Verdana"/>
          <w:sz w:val="20"/>
          <w:szCs w:val="20"/>
          <w:lang w:val="es-PE"/>
        </w:rPr>
      </w:pPr>
    </w:p>
    <w:p w:rsidR="00451DB9" w:rsidRDefault="0021715A" w:rsidP="00A36685">
      <w:pPr>
        <w:pStyle w:val="Ttulo1"/>
        <w:spacing w:before="0" w:line="240" w:lineRule="auto"/>
        <w:jc w:val="center"/>
        <w:rPr>
          <w:rFonts w:ascii="Verdana" w:hAnsi="Verdana"/>
          <w:color w:val="auto"/>
          <w:sz w:val="20"/>
          <w:szCs w:val="20"/>
          <w:lang w:val="es-CR"/>
        </w:rPr>
      </w:pPr>
      <w:bookmarkStart w:id="64" w:name="_Toc12350846"/>
      <w:bookmarkStart w:id="65" w:name="_Toc24538842"/>
      <w:r w:rsidRPr="00884007">
        <w:rPr>
          <w:rFonts w:ascii="Verdana" w:hAnsi="Verdana"/>
          <w:color w:val="auto"/>
          <w:sz w:val="20"/>
          <w:szCs w:val="20"/>
          <w:lang w:val="es-CR"/>
        </w:rPr>
        <w:t>VIII-</w:t>
      </w:r>
      <w:r w:rsidR="00A326C2" w:rsidRPr="00884007">
        <w:rPr>
          <w:rFonts w:ascii="Verdana" w:hAnsi="Verdana"/>
          <w:color w:val="auto"/>
          <w:sz w:val="20"/>
          <w:szCs w:val="20"/>
          <w:lang w:val="es-CR"/>
        </w:rPr>
        <w:t>2</w:t>
      </w:r>
      <w:r w:rsidR="004D103F" w:rsidRPr="00884007">
        <w:rPr>
          <w:rFonts w:ascii="Verdana" w:hAnsi="Verdana"/>
          <w:color w:val="auto"/>
          <w:sz w:val="20"/>
          <w:szCs w:val="20"/>
          <w:lang w:val="es-CR"/>
        </w:rPr>
        <w:t xml:space="preserve"> </w:t>
      </w:r>
      <w:r w:rsidR="00451DB9" w:rsidRPr="00884007">
        <w:rPr>
          <w:rFonts w:ascii="Verdana" w:hAnsi="Verdana"/>
          <w:color w:val="auto"/>
          <w:sz w:val="20"/>
          <w:szCs w:val="20"/>
          <w:lang w:val="es-CR"/>
        </w:rPr>
        <w:br/>
      </w:r>
      <w:r w:rsidR="004D103F" w:rsidRPr="00884007">
        <w:rPr>
          <w:rFonts w:ascii="Verdana" w:hAnsi="Verdana"/>
          <w:color w:val="auto"/>
          <w:sz w:val="20"/>
          <w:szCs w:val="20"/>
          <w:lang w:val="es-CR"/>
        </w:rPr>
        <w:t>INTEGRIDAD PERSONAL</w:t>
      </w:r>
      <w:bookmarkStart w:id="66" w:name="_Toc11234534"/>
      <w:bookmarkStart w:id="67" w:name="_Toc12350847"/>
      <w:bookmarkEnd w:id="47"/>
      <w:bookmarkEnd w:id="64"/>
      <w:r w:rsidR="00A36771">
        <w:rPr>
          <w:rStyle w:val="Refdenotaalpie"/>
          <w:rFonts w:ascii="Verdana" w:hAnsi="Verdana"/>
          <w:color w:val="auto"/>
          <w:sz w:val="20"/>
          <w:szCs w:val="20"/>
          <w:lang w:val="es-CR"/>
        </w:rPr>
        <w:footnoteReference w:id="57"/>
      </w:r>
      <w:bookmarkStart w:id="68" w:name="_Toc12350848"/>
      <w:bookmarkEnd w:id="65"/>
      <w:bookmarkEnd w:id="66"/>
      <w:bookmarkEnd w:id="67"/>
    </w:p>
    <w:p w:rsidR="00451DB9" w:rsidRPr="00451DB9" w:rsidRDefault="00451DB9" w:rsidP="00451DB9">
      <w:pPr>
        <w:spacing w:after="0"/>
        <w:rPr>
          <w:lang w:val="es-CR"/>
        </w:rPr>
      </w:pPr>
    </w:p>
    <w:p w:rsidR="009F37F0" w:rsidRPr="00A61525" w:rsidRDefault="001043FB" w:rsidP="001043FB">
      <w:pPr>
        <w:spacing w:after="0" w:line="240" w:lineRule="auto"/>
        <w:jc w:val="both"/>
        <w:outlineLvl w:val="1"/>
        <w:rPr>
          <w:rFonts w:ascii="Verdana" w:eastAsia="Verdana" w:hAnsi="Verdana" w:cs="Verdana"/>
          <w:b/>
          <w:sz w:val="20"/>
          <w:szCs w:val="20"/>
          <w:lang w:val="es-CR"/>
        </w:rPr>
      </w:pPr>
      <w:bookmarkStart w:id="69" w:name="_Toc24538843"/>
      <w:r w:rsidRPr="00A61525">
        <w:rPr>
          <w:rFonts w:ascii="Verdana" w:eastAsia="Verdana" w:hAnsi="Verdana" w:cs="Verdana"/>
          <w:b/>
          <w:sz w:val="20"/>
          <w:szCs w:val="20"/>
          <w:lang w:val="es-CR"/>
        </w:rPr>
        <w:t xml:space="preserve">A. </w:t>
      </w:r>
      <w:r w:rsidR="009F37F0" w:rsidRPr="00A61525">
        <w:rPr>
          <w:rFonts w:ascii="Verdana" w:eastAsia="Verdana" w:hAnsi="Verdana" w:cs="Verdana"/>
          <w:b/>
          <w:sz w:val="20"/>
          <w:szCs w:val="20"/>
          <w:lang w:val="es-CR"/>
        </w:rPr>
        <w:t>Alegatos de la Comisión y las partes</w:t>
      </w:r>
      <w:bookmarkEnd w:id="68"/>
      <w:bookmarkEnd w:id="69"/>
    </w:p>
    <w:p w:rsidR="00B911D8" w:rsidRPr="008E0075" w:rsidRDefault="00B911D8" w:rsidP="000615D6">
      <w:pPr>
        <w:pStyle w:val="Prrafodelista"/>
        <w:spacing w:after="0" w:line="240" w:lineRule="auto"/>
        <w:ind w:left="1080"/>
        <w:jc w:val="both"/>
        <w:rPr>
          <w:rFonts w:ascii="Verdana" w:eastAsia="Verdana" w:hAnsi="Verdana" w:cs="Verdana"/>
          <w:b/>
          <w:i/>
          <w:sz w:val="20"/>
          <w:szCs w:val="20"/>
          <w:lang w:val="es-CR"/>
        </w:rPr>
      </w:pPr>
    </w:p>
    <w:p w:rsidR="00884007" w:rsidRPr="005B66FA" w:rsidRDefault="00884007" w:rsidP="00FE0342">
      <w:pPr>
        <w:pStyle w:val="Normal1"/>
        <w:widowControl/>
        <w:numPr>
          <w:ilvl w:val="0"/>
          <w:numId w:val="33"/>
        </w:numPr>
        <w:tabs>
          <w:tab w:val="left" w:pos="0"/>
        </w:tabs>
        <w:ind w:left="0" w:firstLine="0"/>
        <w:contextualSpacing/>
        <w:jc w:val="both"/>
        <w:rPr>
          <w:rFonts w:ascii="Verdana" w:hAnsi="Verdana"/>
          <w:sz w:val="20"/>
          <w:szCs w:val="20"/>
        </w:rPr>
      </w:pPr>
      <w:r w:rsidRPr="008E0075">
        <w:rPr>
          <w:rFonts w:ascii="Verdana" w:eastAsia="Verdana" w:hAnsi="Verdana" w:cs="Verdana"/>
          <w:sz w:val="20"/>
          <w:szCs w:val="20"/>
        </w:rPr>
        <w:t xml:space="preserve">La </w:t>
      </w:r>
      <w:r w:rsidRPr="008E0075">
        <w:rPr>
          <w:rFonts w:ascii="Verdana" w:eastAsia="Verdana" w:hAnsi="Verdana" w:cs="Verdana"/>
          <w:b/>
          <w:i/>
          <w:sz w:val="20"/>
          <w:szCs w:val="20"/>
        </w:rPr>
        <w:t>Comisión</w:t>
      </w:r>
      <w:r w:rsidRPr="008E0075">
        <w:rPr>
          <w:rFonts w:ascii="Verdana" w:eastAsia="Verdana" w:hAnsi="Verdana" w:cs="Verdana"/>
          <w:sz w:val="20"/>
          <w:szCs w:val="20"/>
        </w:rPr>
        <w:t xml:space="preserve"> </w:t>
      </w:r>
      <w:r w:rsidRPr="008E0075">
        <w:rPr>
          <w:rFonts w:ascii="Verdana" w:hAnsi="Verdana" w:cs="Tahoma"/>
          <w:sz w:val="20"/>
          <w:szCs w:val="20"/>
        </w:rPr>
        <w:t xml:space="preserve">alegó que </w:t>
      </w:r>
      <w:r w:rsidRPr="008E0075">
        <w:rPr>
          <w:rFonts w:ascii="Verdana" w:hAnsi="Verdana"/>
          <w:sz w:val="20"/>
          <w:szCs w:val="20"/>
        </w:rPr>
        <w:t>el fusilamiento de las presuntas víctimas</w:t>
      </w:r>
      <w:r w:rsidR="00661B2E">
        <w:rPr>
          <w:rFonts w:ascii="Verdana" w:hAnsi="Verdana"/>
          <w:sz w:val="20"/>
          <w:szCs w:val="20"/>
        </w:rPr>
        <w:t xml:space="preserve"> transmitido por televisión, constituyó </w:t>
      </w:r>
      <w:r w:rsidRPr="008E0075">
        <w:rPr>
          <w:rFonts w:ascii="Verdana" w:hAnsi="Verdana"/>
          <w:sz w:val="20"/>
          <w:szCs w:val="20"/>
        </w:rPr>
        <w:t xml:space="preserve">un acto de humillación, y </w:t>
      </w:r>
      <w:r w:rsidR="00BD5FF4">
        <w:rPr>
          <w:rFonts w:ascii="Verdana" w:hAnsi="Verdana"/>
          <w:sz w:val="20"/>
          <w:szCs w:val="20"/>
        </w:rPr>
        <w:t xml:space="preserve">que </w:t>
      </w:r>
      <w:r w:rsidRPr="008E0075">
        <w:rPr>
          <w:rFonts w:ascii="Verdana" w:hAnsi="Verdana"/>
          <w:sz w:val="20"/>
          <w:szCs w:val="20"/>
        </w:rPr>
        <w:t>se tuvo la necesidad de dar un tiro de gracia a un</w:t>
      </w:r>
      <w:r w:rsidR="00BD5FF4">
        <w:rPr>
          <w:rFonts w:ascii="Verdana" w:hAnsi="Verdana"/>
          <w:sz w:val="20"/>
          <w:szCs w:val="20"/>
        </w:rPr>
        <w:t>a</w:t>
      </w:r>
      <w:r w:rsidRPr="008E0075">
        <w:rPr>
          <w:rFonts w:ascii="Verdana" w:hAnsi="Verdana"/>
          <w:sz w:val="20"/>
          <w:szCs w:val="20"/>
        </w:rPr>
        <w:t xml:space="preserve"> de ell</w:t>
      </w:r>
      <w:r w:rsidR="00BD5FF4">
        <w:rPr>
          <w:rFonts w:ascii="Verdana" w:hAnsi="Verdana"/>
          <w:sz w:val="20"/>
          <w:szCs w:val="20"/>
        </w:rPr>
        <w:t>a</w:t>
      </w:r>
      <w:r w:rsidRPr="008E0075">
        <w:rPr>
          <w:rFonts w:ascii="Verdana" w:hAnsi="Verdana"/>
          <w:sz w:val="20"/>
          <w:szCs w:val="20"/>
        </w:rPr>
        <w:t>s, que no falleció con los disparos</w:t>
      </w:r>
      <w:r w:rsidR="00BD5FF4">
        <w:rPr>
          <w:rFonts w:ascii="Verdana" w:hAnsi="Verdana"/>
          <w:sz w:val="20"/>
          <w:szCs w:val="20"/>
        </w:rPr>
        <w:t xml:space="preserve"> del pelotón de fusilamiento</w:t>
      </w:r>
      <w:r w:rsidRPr="008E0075">
        <w:rPr>
          <w:rFonts w:ascii="Verdana" w:hAnsi="Verdana"/>
          <w:sz w:val="20"/>
          <w:szCs w:val="20"/>
        </w:rPr>
        <w:t>. Por otro lado, la Comisión afirmó que</w:t>
      </w:r>
      <w:r w:rsidRPr="008E0075">
        <w:rPr>
          <w:rFonts w:ascii="Verdana" w:hAnsi="Verdana"/>
          <w:spacing w:val="32"/>
          <w:sz w:val="20"/>
          <w:szCs w:val="20"/>
        </w:rPr>
        <w:t xml:space="preserve"> </w:t>
      </w:r>
      <w:r w:rsidRPr="008E0075">
        <w:rPr>
          <w:rFonts w:ascii="Verdana" w:hAnsi="Verdana"/>
          <w:sz w:val="20"/>
          <w:szCs w:val="20"/>
        </w:rPr>
        <w:t>existían</w:t>
      </w:r>
      <w:r w:rsidRPr="008E0075">
        <w:rPr>
          <w:rFonts w:ascii="Verdana" w:hAnsi="Verdana"/>
          <w:spacing w:val="31"/>
          <w:sz w:val="20"/>
          <w:szCs w:val="20"/>
        </w:rPr>
        <w:t xml:space="preserve"> </w:t>
      </w:r>
      <w:r w:rsidRPr="008E0075">
        <w:rPr>
          <w:rFonts w:ascii="Verdana" w:hAnsi="Verdana"/>
          <w:sz w:val="20"/>
          <w:szCs w:val="20"/>
        </w:rPr>
        <w:t>otras</w:t>
      </w:r>
      <w:r w:rsidRPr="008E0075">
        <w:rPr>
          <w:rFonts w:ascii="Verdana" w:hAnsi="Verdana"/>
          <w:spacing w:val="45"/>
          <w:sz w:val="20"/>
          <w:szCs w:val="20"/>
        </w:rPr>
        <w:t xml:space="preserve"> </w:t>
      </w:r>
      <w:r w:rsidRPr="008E0075">
        <w:rPr>
          <w:rFonts w:ascii="Verdana" w:hAnsi="Verdana"/>
          <w:spacing w:val="8"/>
          <w:w w:val="109"/>
          <w:sz w:val="20"/>
          <w:szCs w:val="20"/>
        </w:rPr>
        <w:t>a</w:t>
      </w:r>
      <w:r w:rsidRPr="008E0075">
        <w:rPr>
          <w:rFonts w:ascii="Verdana" w:hAnsi="Verdana"/>
          <w:w w:val="109"/>
          <w:sz w:val="20"/>
          <w:szCs w:val="20"/>
        </w:rPr>
        <w:t>l</w:t>
      </w:r>
      <w:r w:rsidRPr="008E0075">
        <w:rPr>
          <w:rFonts w:ascii="Verdana" w:hAnsi="Verdana"/>
          <w:spacing w:val="-8"/>
          <w:w w:val="109"/>
          <w:sz w:val="20"/>
          <w:szCs w:val="20"/>
        </w:rPr>
        <w:t>t</w:t>
      </w:r>
      <w:r w:rsidRPr="008E0075">
        <w:rPr>
          <w:rFonts w:ascii="Verdana" w:hAnsi="Verdana"/>
          <w:spacing w:val="4"/>
          <w:w w:val="109"/>
          <w:sz w:val="20"/>
          <w:szCs w:val="20"/>
        </w:rPr>
        <w:t>e</w:t>
      </w:r>
      <w:r w:rsidRPr="008E0075">
        <w:rPr>
          <w:rFonts w:ascii="Verdana" w:hAnsi="Verdana"/>
          <w:w w:val="109"/>
          <w:sz w:val="20"/>
          <w:szCs w:val="20"/>
        </w:rPr>
        <w:t>rn</w:t>
      </w:r>
      <w:r w:rsidRPr="008E0075">
        <w:rPr>
          <w:rFonts w:ascii="Verdana" w:hAnsi="Verdana"/>
          <w:spacing w:val="4"/>
          <w:w w:val="109"/>
          <w:sz w:val="20"/>
          <w:szCs w:val="20"/>
        </w:rPr>
        <w:t>a</w:t>
      </w:r>
      <w:r w:rsidRPr="008E0075">
        <w:rPr>
          <w:rFonts w:ascii="Verdana" w:hAnsi="Verdana"/>
          <w:w w:val="109"/>
          <w:sz w:val="20"/>
          <w:szCs w:val="20"/>
        </w:rPr>
        <w:t>ti</w:t>
      </w:r>
      <w:r w:rsidRPr="008E0075">
        <w:rPr>
          <w:rFonts w:ascii="Verdana" w:hAnsi="Verdana"/>
          <w:spacing w:val="-2"/>
          <w:w w:val="109"/>
          <w:sz w:val="20"/>
          <w:szCs w:val="20"/>
        </w:rPr>
        <w:t>v</w:t>
      </w:r>
      <w:r w:rsidRPr="008E0075">
        <w:rPr>
          <w:rFonts w:ascii="Verdana" w:hAnsi="Verdana"/>
          <w:w w:val="109"/>
          <w:sz w:val="20"/>
          <w:szCs w:val="20"/>
        </w:rPr>
        <w:t>as</w:t>
      </w:r>
      <w:r w:rsidRPr="008E0075">
        <w:rPr>
          <w:rFonts w:ascii="Verdana" w:hAnsi="Verdana"/>
          <w:spacing w:val="-9"/>
          <w:w w:val="109"/>
          <w:sz w:val="20"/>
          <w:szCs w:val="20"/>
        </w:rPr>
        <w:t xml:space="preserve"> </w:t>
      </w:r>
      <w:r w:rsidRPr="008E0075">
        <w:rPr>
          <w:rFonts w:ascii="Verdana" w:hAnsi="Verdana"/>
          <w:sz w:val="20"/>
          <w:szCs w:val="20"/>
        </w:rPr>
        <w:t>a</w:t>
      </w:r>
      <w:r w:rsidR="00BD5FF4">
        <w:rPr>
          <w:rFonts w:ascii="Verdana" w:hAnsi="Verdana"/>
          <w:sz w:val="20"/>
          <w:szCs w:val="20"/>
        </w:rPr>
        <w:t xml:space="preserve"> la ejecución por fusilamiento</w:t>
      </w:r>
      <w:r w:rsidRPr="008E0075">
        <w:rPr>
          <w:rFonts w:ascii="Verdana" w:hAnsi="Verdana"/>
          <w:spacing w:val="4"/>
          <w:sz w:val="20"/>
          <w:szCs w:val="20"/>
        </w:rPr>
        <w:t xml:space="preserve"> </w:t>
      </w:r>
      <w:r w:rsidRPr="008E0075">
        <w:rPr>
          <w:rFonts w:ascii="Verdana" w:hAnsi="Verdana"/>
          <w:sz w:val="20"/>
          <w:szCs w:val="20"/>
        </w:rPr>
        <w:t>que</w:t>
      </w:r>
      <w:r w:rsidRPr="008E0075">
        <w:rPr>
          <w:rFonts w:ascii="Verdana" w:hAnsi="Verdana"/>
          <w:spacing w:val="19"/>
          <w:sz w:val="20"/>
          <w:szCs w:val="20"/>
        </w:rPr>
        <w:t xml:space="preserve"> </w:t>
      </w:r>
      <w:r w:rsidRPr="008E0075">
        <w:rPr>
          <w:rFonts w:ascii="Verdana" w:hAnsi="Verdana"/>
          <w:sz w:val="20"/>
          <w:szCs w:val="20"/>
        </w:rPr>
        <w:t>g</w:t>
      </w:r>
      <w:r w:rsidRPr="008E0075">
        <w:rPr>
          <w:rFonts w:ascii="Verdana" w:hAnsi="Verdana"/>
          <w:spacing w:val="6"/>
          <w:sz w:val="20"/>
          <w:szCs w:val="20"/>
        </w:rPr>
        <w:t>e</w:t>
      </w:r>
      <w:r w:rsidRPr="008E0075">
        <w:rPr>
          <w:rFonts w:ascii="Verdana" w:hAnsi="Verdana"/>
          <w:sz w:val="20"/>
          <w:szCs w:val="20"/>
        </w:rPr>
        <w:t>neraban</w:t>
      </w:r>
      <w:r w:rsidRPr="008E0075">
        <w:rPr>
          <w:rFonts w:ascii="Verdana" w:hAnsi="Verdana"/>
          <w:spacing w:val="18"/>
          <w:sz w:val="20"/>
          <w:szCs w:val="20"/>
        </w:rPr>
        <w:t xml:space="preserve"> </w:t>
      </w:r>
      <w:r w:rsidRPr="008E0075">
        <w:rPr>
          <w:rFonts w:ascii="Verdana" w:hAnsi="Verdana"/>
          <w:sz w:val="20"/>
          <w:szCs w:val="20"/>
        </w:rPr>
        <w:t>menor</w:t>
      </w:r>
      <w:r w:rsidRPr="008E0075">
        <w:rPr>
          <w:rFonts w:ascii="Verdana" w:hAnsi="Verdana"/>
          <w:spacing w:val="30"/>
          <w:sz w:val="20"/>
          <w:szCs w:val="20"/>
        </w:rPr>
        <w:t xml:space="preserve"> </w:t>
      </w:r>
      <w:r w:rsidRPr="008E0075">
        <w:rPr>
          <w:rFonts w:ascii="Verdana" w:hAnsi="Verdana"/>
          <w:spacing w:val="4"/>
          <w:w w:val="118"/>
          <w:sz w:val="20"/>
          <w:szCs w:val="20"/>
        </w:rPr>
        <w:t>s</w:t>
      </w:r>
      <w:r w:rsidRPr="008E0075">
        <w:rPr>
          <w:rFonts w:ascii="Verdana" w:hAnsi="Verdana"/>
          <w:w w:val="106"/>
          <w:sz w:val="20"/>
          <w:szCs w:val="20"/>
        </w:rPr>
        <w:t>ufrimiento</w:t>
      </w:r>
      <w:r w:rsidR="00661B2E">
        <w:rPr>
          <w:rFonts w:ascii="Verdana" w:hAnsi="Verdana" w:cs="Tahoma"/>
          <w:sz w:val="20"/>
          <w:szCs w:val="20"/>
        </w:rPr>
        <w:t>. A</w:t>
      </w:r>
      <w:r w:rsidRPr="008E0075">
        <w:rPr>
          <w:rFonts w:ascii="Verdana" w:hAnsi="Verdana" w:cs="Tahoma"/>
          <w:sz w:val="20"/>
          <w:szCs w:val="20"/>
        </w:rPr>
        <w:t xml:space="preserve">gregó que el método de ejecución a través del fusilamiento se constituyó en un acto de tortura, en perjuicio de los señores Girón y Castillo. Concluyó que el Estado vulneró los artículos 5.1 y 5.2 de la Convención Americana, en relación con las obligaciones de los artículos 1.1 y 2 del mismo y </w:t>
      </w:r>
      <w:r w:rsidRPr="008E0075">
        <w:rPr>
          <w:rFonts w:ascii="Verdana" w:hAnsi="Verdana"/>
          <w:bCs/>
          <w:sz w:val="20"/>
          <w:szCs w:val="20"/>
        </w:rPr>
        <w:t>los artículos 1 y 6 de la CIPST</w:t>
      </w:r>
      <w:r w:rsidRPr="008E0075">
        <w:rPr>
          <w:rFonts w:ascii="Verdana" w:hAnsi="Verdana"/>
          <w:bCs/>
          <w:sz w:val="16"/>
          <w:szCs w:val="16"/>
        </w:rPr>
        <w:t>.</w:t>
      </w:r>
      <w:r w:rsidRPr="008E0075">
        <w:rPr>
          <w:rFonts w:ascii="Verdana" w:hAnsi="Verdana"/>
          <w:b/>
          <w:w w:val="106"/>
          <w:sz w:val="20"/>
          <w:szCs w:val="20"/>
        </w:rPr>
        <w:t xml:space="preserve"> </w:t>
      </w:r>
    </w:p>
    <w:p w:rsidR="005B66FA" w:rsidRDefault="005B66FA" w:rsidP="005B66FA">
      <w:pPr>
        <w:pStyle w:val="Normal1"/>
        <w:widowControl/>
        <w:tabs>
          <w:tab w:val="left" w:pos="0"/>
        </w:tabs>
        <w:contextualSpacing/>
        <w:jc w:val="both"/>
        <w:rPr>
          <w:rFonts w:ascii="Verdana" w:hAnsi="Verdana"/>
          <w:sz w:val="20"/>
          <w:szCs w:val="20"/>
        </w:rPr>
      </w:pPr>
    </w:p>
    <w:p w:rsidR="00884007" w:rsidRPr="005B66FA" w:rsidRDefault="00884007" w:rsidP="00FE0342">
      <w:pPr>
        <w:pStyle w:val="Normal1"/>
        <w:widowControl/>
        <w:numPr>
          <w:ilvl w:val="0"/>
          <w:numId w:val="33"/>
        </w:numPr>
        <w:tabs>
          <w:tab w:val="left" w:pos="0"/>
        </w:tabs>
        <w:ind w:left="0" w:firstLine="0"/>
        <w:contextualSpacing/>
        <w:jc w:val="both"/>
        <w:rPr>
          <w:rFonts w:ascii="Verdana" w:hAnsi="Verdana"/>
          <w:sz w:val="20"/>
          <w:szCs w:val="20"/>
        </w:rPr>
      </w:pPr>
      <w:r w:rsidRPr="005B66FA">
        <w:rPr>
          <w:rFonts w:ascii="Verdana" w:eastAsia="Verdana" w:hAnsi="Verdana" w:cs="Verdana"/>
          <w:sz w:val="20"/>
          <w:szCs w:val="20"/>
        </w:rPr>
        <w:t xml:space="preserve">Las </w:t>
      </w:r>
      <w:r w:rsidRPr="005B66FA">
        <w:rPr>
          <w:rFonts w:ascii="Verdana" w:eastAsia="Verdana" w:hAnsi="Verdana" w:cs="Verdana"/>
          <w:b/>
          <w:i/>
          <w:sz w:val="20"/>
          <w:szCs w:val="20"/>
        </w:rPr>
        <w:t>representantes</w:t>
      </w:r>
      <w:r w:rsidRPr="005B66FA">
        <w:rPr>
          <w:rFonts w:ascii="Verdana" w:eastAsia="Verdana" w:hAnsi="Verdana" w:cs="Verdana"/>
          <w:sz w:val="20"/>
          <w:szCs w:val="20"/>
        </w:rPr>
        <w:t xml:space="preserve"> alegaron que </w:t>
      </w:r>
      <w:r w:rsidRPr="005B66FA">
        <w:rPr>
          <w:rFonts w:ascii="Verdana" w:hAnsi="Verdana"/>
          <w:bCs/>
          <w:iCs/>
          <w:sz w:val="20"/>
          <w:szCs w:val="20"/>
        </w:rPr>
        <w:t>la condena a muerte y la espera de la ejecución generaron en los señores Girón y Castillo una situación emocional de permanente angustia,  agregando que este estado emocional suele agravarse cuando hay malas condiciones carcelarias. Sobre este punto, precisaron que las presuntas víctimas estuvieron recluidos en “celdas sin ventanas” de manera aislada dentro de la Cárcel Granja Canadá. Por otro lado, argumentaron que e</w:t>
      </w:r>
      <w:r w:rsidRPr="005B66FA">
        <w:rPr>
          <w:rFonts w:ascii="Verdana" w:hAnsi="Verdana"/>
          <w:sz w:val="20"/>
          <w:szCs w:val="20"/>
        </w:rPr>
        <w:t>l método utilizado para la ejecución de la pena de muerte a través d</w:t>
      </w:r>
      <w:r>
        <w:rPr>
          <w:rFonts w:ascii="Verdana" w:hAnsi="Verdana"/>
          <w:sz w:val="20"/>
          <w:szCs w:val="20"/>
        </w:rPr>
        <w:t>el pelotón de fusilamiento el 13</w:t>
      </w:r>
      <w:r w:rsidRPr="005B66FA">
        <w:rPr>
          <w:rFonts w:ascii="Verdana" w:hAnsi="Verdana"/>
          <w:sz w:val="20"/>
          <w:szCs w:val="20"/>
        </w:rPr>
        <w:t xml:space="preserve"> de septiembre de 1996 no causó el menor sufrimiento, puesto que provocó en la</w:t>
      </w:r>
      <w:r w:rsidR="00A359B0">
        <w:rPr>
          <w:rFonts w:ascii="Verdana" w:hAnsi="Verdana"/>
          <w:sz w:val="20"/>
          <w:szCs w:val="20"/>
        </w:rPr>
        <w:t>s</w:t>
      </w:r>
      <w:r w:rsidRPr="005B66FA">
        <w:rPr>
          <w:rFonts w:ascii="Verdana" w:hAnsi="Verdana"/>
          <w:sz w:val="20"/>
          <w:szCs w:val="20"/>
        </w:rPr>
        <w:t xml:space="preserve"> presuntas víctimas una prolongada agonía y dolor, lo que quedó evidenciado en el caso de Pedro Castillo Mendoza, quien no falleció durante la descarga de balas, sino que fue necesario inflig</w:t>
      </w:r>
      <w:r w:rsidR="001546CD">
        <w:rPr>
          <w:rFonts w:ascii="Verdana" w:eastAsia="TimesNewRomanPSMT" w:hAnsi="Verdana" w:cs="TimesNewRomanPSMT"/>
          <w:sz w:val="20"/>
          <w:szCs w:val="20"/>
        </w:rPr>
        <w:t>irle un “tiro de gracia”</w:t>
      </w:r>
      <w:r>
        <w:rPr>
          <w:rFonts w:ascii="Verdana" w:eastAsia="TimesNewRomanPSMT" w:hAnsi="Verdana" w:cs="TimesNewRomanPSMT"/>
          <w:sz w:val="20"/>
          <w:szCs w:val="20"/>
        </w:rPr>
        <w:t>. Aunado a esto</w:t>
      </w:r>
      <w:r w:rsidRPr="005B66FA">
        <w:rPr>
          <w:rFonts w:ascii="Verdana" w:eastAsia="TimesNewRomanPSMT" w:hAnsi="Verdana" w:cs="TimesNewRomanPSMT"/>
          <w:sz w:val="20"/>
          <w:szCs w:val="20"/>
        </w:rPr>
        <w:t>, resaltaron que la ejecución de la pena de muerte fue públic</w:t>
      </w:r>
      <w:r>
        <w:rPr>
          <w:rFonts w:ascii="Verdana" w:eastAsia="TimesNewRomanPSMT" w:hAnsi="Verdana" w:cs="TimesNewRomanPSMT"/>
          <w:sz w:val="20"/>
          <w:szCs w:val="20"/>
        </w:rPr>
        <w:t>a</w:t>
      </w:r>
      <w:r w:rsidRPr="005B66FA">
        <w:rPr>
          <w:rFonts w:ascii="Verdana" w:eastAsia="TimesNewRomanPSMT" w:hAnsi="Verdana" w:cs="TimesNewRomanPSMT"/>
          <w:sz w:val="20"/>
          <w:szCs w:val="20"/>
        </w:rPr>
        <w:t xml:space="preserve"> debido a que</w:t>
      </w:r>
      <w:r w:rsidRPr="005B66FA">
        <w:rPr>
          <w:rFonts w:ascii="Verdana" w:hAnsi="Verdana"/>
          <w:sz w:val="20"/>
          <w:szCs w:val="20"/>
        </w:rPr>
        <w:t xml:space="preserve"> se transmitió por televisión nacional. </w:t>
      </w:r>
      <w:r w:rsidR="00661B2E">
        <w:rPr>
          <w:rFonts w:ascii="Verdana" w:eastAsia="TimesNewRomanPSMT" w:hAnsi="Verdana" w:cs="TimesNewRomanPSMT"/>
          <w:sz w:val="20"/>
          <w:szCs w:val="20"/>
        </w:rPr>
        <w:t>A</w:t>
      </w:r>
      <w:r w:rsidRPr="005B66FA">
        <w:rPr>
          <w:rFonts w:ascii="Verdana" w:eastAsia="TimesNewRomanPSMT" w:hAnsi="Verdana" w:cs="TimesNewRomanPSMT"/>
          <w:sz w:val="20"/>
          <w:szCs w:val="20"/>
        </w:rPr>
        <w:t xml:space="preserve">ñadieron que el método de ejecución a través del fusilamiento constituyó tortura. Concluyeron que el Estado </w:t>
      </w:r>
      <w:r w:rsidRPr="005B66FA">
        <w:rPr>
          <w:rFonts w:ascii="Verdana" w:hAnsi="Verdana"/>
          <w:bCs/>
          <w:iCs/>
          <w:sz w:val="20"/>
          <w:szCs w:val="20"/>
        </w:rPr>
        <w:t>vulneró el derecho a la integridad personal de los señores Girón y Castillo, conforme</w:t>
      </w:r>
      <w:r w:rsidRPr="005B66FA">
        <w:rPr>
          <w:rFonts w:ascii="Verdana" w:hAnsi="Verdana"/>
          <w:w w:val="106"/>
          <w:sz w:val="20"/>
          <w:szCs w:val="20"/>
        </w:rPr>
        <w:t xml:space="preserve"> </w:t>
      </w:r>
      <w:r w:rsidRPr="005B66FA">
        <w:rPr>
          <w:rFonts w:ascii="Verdana" w:hAnsi="Verdana"/>
          <w:bCs/>
          <w:iCs/>
          <w:sz w:val="20"/>
          <w:szCs w:val="20"/>
        </w:rPr>
        <w:t>a los artículos 5.1 y 5.2 de la Convención Americana, en relación a los artículos 1.1 y 2 del indicado instrumento y los artículos 1 y 6 de la CIPST.</w:t>
      </w:r>
    </w:p>
    <w:p w:rsidR="005B66FA" w:rsidRDefault="009F37F0" w:rsidP="005B66FA">
      <w:pPr>
        <w:pStyle w:val="Normal1"/>
        <w:widowControl/>
        <w:tabs>
          <w:tab w:val="left" w:pos="0"/>
        </w:tabs>
        <w:contextualSpacing/>
        <w:jc w:val="both"/>
        <w:rPr>
          <w:rFonts w:ascii="Verdana" w:hAnsi="Verdana"/>
          <w:sz w:val="20"/>
          <w:szCs w:val="20"/>
        </w:rPr>
      </w:pPr>
      <w:r w:rsidRPr="005B66FA">
        <w:rPr>
          <w:rFonts w:ascii="Verdana" w:hAnsi="Verdana"/>
          <w:w w:val="106"/>
          <w:sz w:val="20"/>
          <w:szCs w:val="20"/>
        </w:rPr>
        <w:t xml:space="preserve"> </w:t>
      </w:r>
    </w:p>
    <w:p w:rsidR="00884007" w:rsidRPr="005B66FA" w:rsidRDefault="00884007" w:rsidP="00FE0342">
      <w:pPr>
        <w:pStyle w:val="Normal1"/>
        <w:widowControl/>
        <w:numPr>
          <w:ilvl w:val="0"/>
          <w:numId w:val="33"/>
        </w:numPr>
        <w:tabs>
          <w:tab w:val="left" w:pos="0"/>
        </w:tabs>
        <w:ind w:left="0" w:firstLine="0"/>
        <w:contextualSpacing/>
        <w:jc w:val="both"/>
        <w:rPr>
          <w:rFonts w:ascii="Verdana" w:hAnsi="Verdana"/>
          <w:sz w:val="20"/>
          <w:szCs w:val="20"/>
        </w:rPr>
      </w:pPr>
      <w:r w:rsidRPr="005B66FA">
        <w:rPr>
          <w:rFonts w:ascii="Verdana" w:eastAsia="Verdana" w:hAnsi="Verdana" w:cs="Verdana"/>
          <w:sz w:val="20"/>
          <w:szCs w:val="20"/>
        </w:rPr>
        <w:t xml:space="preserve">El </w:t>
      </w:r>
      <w:r w:rsidRPr="005B66FA">
        <w:rPr>
          <w:rFonts w:ascii="Verdana" w:eastAsia="Verdana" w:hAnsi="Verdana" w:cs="Verdana"/>
          <w:b/>
          <w:i/>
          <w:sz w:val="20"/>
          <w:szCs w:val="20"/>
        </w:rPr>
        <w:t>Estado</w:t>
      </w:r>
      <w:r w:rsidRPr="005B66FA">
        <w:rPr>
          <w:rFonts w:ascii="Verdana" w:eastAsia="Verdana" w:hAnsi="Verdana" w:cs="Verdana"/>
          <w:sz w:val="20"/>
          <w:szCs w:val="20"/>
        </w:rPr>
        <w:t xml:space="preserve"> señaló </w:t>
      </w:r>
      <w:r w:rsidRPr="005B66FA">
        <w:rPr>
          <w:rFonts w:ascii="Verdana" w:hAnsi="Verdana"/>
          <w:w w:val="106"/>
          <w:sz w:val="20"/>
          <w:szCs w:val="20"/>
        </w:rPr>
        <w:t xml:space="preserve">respecto al artículo 5.1 y 5.2 de la Convención Americana, que es innegable que la pena capital, cualquiera </w:t>
      </w:r>
      <w:r>
        <w:rPr>
          <w:rFonts w:ascii="Verdana" w:hAnsi="Verdana"/>
          <w:w w:val="106"/>
          <w:sz w:val="20"/>
          <w:szCs w:val="20"/>
        </w:rPr>
        <w:t xml:space="preserve">que </w:t>
      </w:r>
      <w:r w:rsidRPr="005B66FA">
        <w:rPr>
          <w:rFonts w:ascii="Verdana" w:hAnsi="Verdana"/>
          <w:w w:val="106"/>
          <w:sz w:val="20"/>
          <w:szCs w:val="20"/>
        </w:rPr>
        <w:t xml:space="preserve">sea el método que se aplique en su ejecución, tiende a afectar psíquica y físicamente a la persona que ha de ser motivo de tal sanción. </w:t>
      </w:r>
      <w:r>
        <w:rPr>
          <w:rFonts w:ascii="Verdana" w:hAnsi="Verdana"/>
          <w:sz w:val="20"/>
          <w:szCs w:val="20"/>
        </w:rPr>
        <w:t>Además</w:t>
      </w:r>
      <w:r w:rsidRPr="005B66FA">
        <w:rPr>
          <w:rFonts w:ascii="Verdana" w:hAnsi="Verdana"/>
          <w:w w:val="106"/>
          <w:sz w:val="20"/>
          <w:szCs w:val="20"/>
        </w:rPr>
        <w:t xml:space="preserve">, indicó que ni la Comisión ni las defensoras públicas </w:t>
      </w:r>
      <w:r w:rsidR="00BD5FF4">
        <w:rPr>
          <w:rFonts w:ascii="Verdana" w:hAnsi="Verdana"/>
          <w:w w:val="106"/>
          <w:sz w:val="20"/>
          <w:szCs w:val="20"/>
        </w:rPr>
        <w:t xml:space="preserve">especificaron las circunstancias por las que </w:t>
      </w:r>
      <w:r w:rsidRPr="005B66FA">
        <w:rPr>
          <w:rFonts w:ascii="Verdana" w:hAnsi="Verdana"/>
          <w:w w:val="106"/>
          <w:sz w:val="20"/>
          <w:szCs w:val="20"/>
        </w:rPr>
        <w:t xml:space="preserve">los señores Roberto Girón y Pedro Castillo Mendoza fueron víctimas directas de tortura o de acciones degradantes que pusieran en riesgo sus integridades físicas o la vida de ambos, situación que tampoco fue denunciada por ellos durante el proceso penal en su contra. </w:t>
      </w:r>
      <w:r>
        <w:rPr>
          <w:rFonts w:ascii="Verdana" w:hAnsi="Verdana"/>
          <w:b/>
          <w:w w:val="106"/>
          <w:sz w:val="16"/>
          <w:szCs w:val="16"/>
        </w:rPr>
        <w:t xml:space="preserve"> </w:t>
      </w:r>
      <w:r w:rsidRPr="005B66FA">
        <w:rPr>
          <w:rFonts w:ascii="Verdana" w:hAnsi="Verdana"/>
          <w:sz w:val="20"/>
          <w:szCs w:val="20"/>
        </w:rPr>
        <w:t xml:space="preserve">En cuanto </w:t>
      </w:r>
      <w:r w:rsidRPr="005B66FA">
        <w:rPr>
          <w:rFonts w:ascii="Verdana" w:hAnsi="Verdana"/>
          <w:w w:val="106"/>
          <w:sz w:val="20"/>
          <w:szCs w:val="20"/>
        </w:rPr>
        <w:t>a la alegada violación de los artículos 1 y 6 de la CISPT</w:t>
      </w:r>
      <w:r>
        <w:rPr>
          <w:rFonts w:ascii="Verdana" w:hAnsi="Verdana"/>
          <w:w w:val="106"/>
          <w:sz w:val="20"/>
          <w:szCs w:val="20"/>
        </w:rPr>
        <w:t xml:space="preserve"> solicit</w:t>
      </w:r>
      <w:r w:rsidR="0097560C">
        <w:rPr>
          <w:rFonts w:ascii="Verdana" w:hAnsi="Verdana"/>
          <w:w w:val="106"/>
          <w:sz w:val="20"/>
          <w:szCs w:val="20"/>
        </w:rPr>
        <w:t>ó</w:t>
      </w:r>
      <w:r>
        <w:rPr>
          <w:rFonts w:ascii="Verdana" w:hAnsi="Verdana"/>
          <w:w w:val="106"/>
          <w:sz w:val="20"/>
          <w:szCs w:val="20"/>
        </w:rPr>
        <w:t xml:space="preserve"> que dicho reclamo sea declarado inadmisible. </w:t>
      </w:r>
    </w:p>
    <w:p w:rsidR="00652A97" w:rsidRDefault="00652A97" w:rsidP="000615D6">
      <w:pPr>
        <w:spacing w:after="0" w:line="240" w:lineRule="auto"/>
        <w:jc w:val="both"/>
        <w:rPr>
          <w:rFonts w:ascii="Verdana" w:eastAsia="Times New Roman" w:hAnsi="Verdana" w:cs="Times New Roman"/>
          <w:w w:val="106"/>
          <w:sz w:val="20"/>
          <w:szCs w:val="20"/>
          <w:lang w:val="es-CR"/>
        </w:rPr>
      </w:pPr>
    </w:p>
    <w:p w:rsidR="00AD63E0" w:rsidRDefault="00AD63E0" w:rsidP="000615D6">
      <w:pPr>
        <w:spacing w:after="0" w:line="240" w:lineRule="auto"/>
        <w:jc w:val="both"/>
        <w:rPr>
          <w:rFonts w:ascii="Verdana" w:eastAsia="Times New Roman" w:hAnsi="Verdana" w:cs="Times New Roman"/>
          <w:w w:val="106"/>
          <w:sz w:val="20"/>
          <w:szCs w:val="20"/>
          <w:lang w:val="es-CR"/>
        </w:rPr>
      </w:pPr>
    </w:p>
    <w:p w:rsidR="00AD63E0" w:rsidRPr="008E0075" w:rsidRDefault="00AD63E0" w:rsidP="000615D6">
      <w:pPr>
        <w:spacing w:after="0" w:line="240" w:lineRule="auto"/>
        <w:jc w:val="both"/>
        <w:rPr>
          <w:rFonts w:ascii="Verdana" w:eastAsia="Times New Roman" w:hAnsi="Verdana" w:cs="Times New Roman"/>
          <w:w w:val="106"/>
          <w:sz w:val="20"/>
          <w:szCs w:val="20"/>
          <w:lang w:val="es-CR"/>
        </w:rPr>
      </w:pPr>
    </w:p>
    <w:p w:rsidR="009F37F0" w:rsidRPr="00A61525" w:rsidRDefault="005B66FA" w:rsidP="005B66FA">
      <w:pPr>
        <w:spacing w:after="0" w:line="240" w:lineRule="auto"/>
        <w:jc w:val="both"/>
        <w:outlineLvl w:val="1"/>
        <w:rPr>
          <w:rFonts w:ascii="Verdana" w:eastAsia="Verdana" w:hAnsi="Verdana" w:cs="Verdana"/>
          <w:b/>
          <w:sz w:val="20"/>
          <w:szCs w:val="20"/>
        </w:rPr>
      </w:pPr>
      <w:bookmarkStart w:id="70" w:name="_Toc11234536"/>
      <w:bookmarkStart w:id="71" w:name="_Toc12350849"/>
      <w:bookmarkStart w:id="72" w:name="_Toc24538844"/>
      <w:r w:rsidRPr="00A61525">
        <w:rPr>
          <w:rFonts w:ascii="Verdana" w:eastAsia="Verdana" w:hAnsi="Verdana" w:cs="Verdana"/>
          <w:b/>
          <w:sz w:val="20"/>
          <w:szCs w:val="20"/>
        </w:rPr>
        <w:lastRenderedPageBreak/>
        <w:t xml:space="preserve">B. </w:t>
      </w:r>
      <w:proofErr w:type="spellStart"/>
      <w:r w:rsidR="009F37F0" w:rsidRPr="00A61525">
        <w:rPr>
          <w:rFonts w:ascii="Verdana" w:eastAsia="Verdana" w:hAnsi="Verdana" w:cs="Verdana"/>
          <w:b/>
          <w:sz w:val="20"/>
          <w:szCs w:val="20"/>
        </w:rPr>
        <w:t>Consideraciones</w:t>
      </w:r>
      <w:proofErr w:type="spellEnd"/>
      <w:r w:rsidR="009F37F0" w:rsidRPr="00A61525">
        <w:rPr>
          <w:rFonts w:ascii="Verdana" w:eastAsia="Verdana" w:hAnsi="Verdana" w:cs="Verdana"/>
          <w:b/>
          <w:sz w:val="20"/>
          <w:szCs w:val="20"/>
        </w:rPr>
        <w:t xml:space="preserve"> de la Corte</w:t>
      </w:r>
      <w:bookmarkEnd w:id="70"/>
      <w:bookmarkEnd w:id="71"/>
      <w:bookmarkEnd w:id="72"/>
    </w:p>
    <w:p w:rsidR="00B911D8" w:rsidRPr="008E0075" w:rsidRDefault="00B911D8" w:rsidP="000615D6">
      <w:pPr>
        <w:pStyle w:val="Normal1"/>
        <w:widowControl/>
        <w:tabs>
          <w:tab w:val="left" w:pos="0"/>
        </w:tabs>
        <w:contextualSpacing/>
        <w:jc w:val="both"/>
        <w:rPr>
          <w:rFonts w:ascii="Verdana" w:hAnsi="Verdana"/>
          <w:sz w:val="20"/>
          <w:szCs w:val="20"/>
        </w:rPr>
      </w:pPr>
    </w:p>
    <w:p w:rsidR="0062379B" w:rsidRPr="0062379B" w:rsidRDefault="009F37F0" w:rsidP="00FE0342">
      <w:pPr>
        <w:pStyle w:val="Normal1"/>
        <w:widowControl/>
        <w:numPr>
          <w:ilvl w:val="0"/>
          <w:numId w:val="33"/>
        </w:numPr>
        <w:tabs>
          <w:tab w:val="left" w:pos="0"/>
        </w:tabs>
        <w:ind w:left="0" w:firstLine="0"/>
        <w:contextualSpacing/>
        <w:jc w:val="both"/>
        <w:rPr>
          <w:rFonts w:ascii="Verdana" w:hAnsi="Verdana"/>
          <w:sz w:val="20"/>
          <w:szCs w:val="20"/>
        </w:rPr>
      </w:pPr>
      <w:r w:rsidRPr="008E0075">
        <w:rPr>
          <w:rFonts w:ascii="Verdana" w:eastAsia="Verdana" w:hAnsi="Verdana" w:cs="Verdana"/>
          <w:sz w:val="20"/>
          <w:szCs w:val="20"/>
        </w:rPr>
        <w:t xml:space="preserve">Cabe recordar que la Corte </w:t>
      </w:r>
      <w:r w:rsidRPr="008E0075">
        <w:rPr>
          <w:rFonts w:ascii="Verdana" w:hAnsi="Verdana"/>
          <w:sz w:val="20"/>
          <w:szCs w:val="20"/>
        </w:rPr>
        <w:t>señaló que</w:t>
      </w:r>
      <w:bookmarkStart w:id="73" w:name="_Ref532987162"/>
      <w:r w:rsidRPr="008E0075">
        <w:rPr>
          <w:rFonts w:ascii="Verdana" w:hAnsi="Verdana"/>
          <w:sz w:val="20"/>
          <w:szCs w:val="20"/>
        </w:rPr>
        <w:t xml:space="preserve"> el </w:t>
      </w:r>
      <w:r w:rsidRPr="008E0075">
        <w:rPr>
          <w:rFonts w:ascii="Verdana" w:hAnsi="Verdana"/>
          <w:sz w:val="20"/>
          <w:szCs w:val="20"/>
          <w:lang w:val="es-ES_tradnl"/>
        </w:rPr>
        <w:t>artículo 5.1 de la Convención consagra en términos generales el derecho a la integridad personal, tanto física y psíquica como moral. Por su parte, el artículo 5.2 establece, de manera más específica, la prohibición absoluta de someter a alguien a torturas o a penas o tratos crueles, inhumanos o degradantes. La Corte entiende que cualquier violación del artículo 5.2 de la Convención Americana acarreará necesariamente la violación del artículo 5.1 de la misma</w:t>
      </w:r>
      <w:r w:rsidRPr="008E0075">
        <w:rPr>
          <w:rFonts w:ascii="Verdana" w:hAnsi="Verdana"/>
          <w:sz w:val="20"/>
          <w:szCs w:val="20"/>
          <w:vertAlign w:val="superscript"/>
          <w:lang w:val="es-ES_tradnl"/>
        </w:rPr>
        <w:footnoteReference w:id="58"/>
      </w:r>
      <w:r w:rsidRPr="008E0075">
        <w:rPr>
          <w:rFonts w:ascii="Verdana" w:hAnsi="Verdana"/>
          <w:sz w:val="20"/>
          <w:szCs w:val="20"/>
          <w:lang w:val="es-ES_tradnl"/>
        </w:rPr>
        <w:t xml:space="preserve">. </w:t>
      </w:r>
      <w:r w:rsidRPr="008E0075">
        <w:rPr>
          <w:rFonts w:ascii="Verdana" w:hAnsi="Verdana"/>
          <w:sz w:val="20"/>
          <w:szCs w:val="20"/>
          <w:lang w:val="es-VE"/>
        </w:rPr>
        <w:t>L</w:t>
      </w:r>
      <w:r w:rsidRPr="008E0075">
        <w:rPr>
          <w:rFonts w:ascii="Verdana" w:hAnsi="Verdana"/>
          <w:sz w:val="20"/>
          <w:szCs w:val="20"/>
          <w:lang w:val="es-ES_tradnl"/>
        </w:rPr>
        <w:t>a violación del derecho a la integridad física y</w:t>
      </w:r>
      <w:r w:rsidR="00E94694">
        <w:rPr>
          <w:rFonts w:ascii="Verdana" w:hAnsi="Verdana"/>
          <w:sz w:val="20"/>
          <w:szCs w:val="20"/>
          <w:lang w:val="es-ES_tradnl"/>
        </w:rPr>
        <w:t xml:space="preserve"> psíquica de las personas tiene</w:t>
      </w:r>
      <w:r w:rsidRPr="008E0075">
        <w:rPr>
          <w:rFonts w:ascii="Verdana" w:hAnsi="Verdana"/>
          <w:sz w:val="20"/>
          <w:szCs w:val="20"/>
          <w:lang w:val="es-ES_tradnl"/>
        </w:rPr>
        <w:t xml:space="preserve"> diversas connotaciones de grado que abarca desde la tortura hasta otro tipo de vejámenes o tratos crueles, inhumanos o degradantes, cuyas secuelas físicas y psíquicas varían de intensidad según factores endógenos y exógenos de la persona (duración de los tratos, edad, sexo, salud, contexto, vulnerabilidad, entre otros) que deberán ser analizados en cada situación concreta</w:t>
      </w:r>
      <w:r w:rsidRPr="008E0075">
        <w:rPr>
          <w:rFonts w:ascii="Verdana" w:hAnsi="Verdana"/>
          <w:iCs/>
          <w:sz w:val="20"/>
          <w:szCs w:val="20"/>
          <w:vertAlign w:val="superscript"/>
          <w:lang w:val="es-ES_tradnl"/>
        </w:rPr>
        <w:footnoteReference w:id="59"/>
      </w:r>
      <w:r w:rsidRPr="008E0075">
        <w:rPr>
          <w:rFonts w:ascii="Verdana" w:hAnsi="Verdana"/>
          <w:sz w:val="20"/>
          <w:szCs w:val="20"/>
          <w:lang w:val="es-ES_tradnl"/>
        </w:rPr>
        <w:t>.</w:t>
      </w:r>
      <w:bookmarkEnd w:id="73"/>
      <w:r w:rsidRPr="008E0075">
        <w:rPr>
          <w:rFonts w:ascii="Verdana" w:hAnsi="Verdana"/>
          <w:sz w:val="20"/>
          <w:szCs w:val="20"/>
          <w:lang w:val="es-ES_tradnl"/>
        </w:rPr>
        <w:t xml:space="preserve"> </w:t>
      </w:r>
    </w:p>
    <w:p w:rsidR="0062379B" w:rsidRPr="006A7D47" w:rsidRDefault="0062379B" w:rsidP="0062379B">
      <w:pPr>
        <w:pStyle w:val="Normal1"/>
        <w:widowControl/>
        <w:tabs>
          <w:tab w:val="left" w:pos="0"/>
        </w:tabs>
        <w:contextualSpacing/>
        <w:jc w:val="both"/>
        <w:rPr>
          <w:rFonts w:ascii="Verdana" w:hAnsi="Verdana"/>
          <w:b/>
          <w:sz w:val="20"/>
          <w:szCs w:val="20"/>
        </w:rPr>
      </w:pPr>
    </w:p>
    <w:p w:rsidR="00D2785C" w:rsidRPr="0076565C" w:rsidRDefault="00892747" w:rsidP="00FE0342">
      <w:pPr>
        <w:pStyle w:val="Normal1"/>
        <w:widowControl/>
        <w:numPr>
          <w:ilvl w:val="0"/>
          <w:numId w:val="33"/>
        </w:numPr>
        <w:tabs>
          <w:tab w:val="left" w:pos="0"/>
        </w:tabs>
        <w:ind w:left="0" w:firstLine="0"/>
        <w:contextualSpacing/>
        <w:jc w:val="both"/>
        <w:rPr>
          <w:rFonts w:ascii="Verdana" w:hAnsi="Verdana"/>
          <w:sz w:val="20"/>
          <w:szCs w:val="20"/>
        </w:rPr>
      </w:pPr>
      <w:r w:rsidRPr="009227BE">
        <w:rPr>
          <w:rFonts w:ascii="Verdana" w:hAnsi="Verdana"/>
          <w:kern w:val="2"/>
          <w:sz w:val="20"/>
          <w:szCs w:val="20"/>
        </w:rPr>
        <w:t xml:space="preserve">Esta Corte ha tenido oportunidad de pronunciarse al respecto del llamado “fenómeno del corredor de la muerte” </w:t>
      </w:r>
      <w:r w:rsidRPr="009227BE">
        <w:rPr>
          <w:rStyle w:val="Textoennegrita"/>
          <w:rFonts w:ascii="Verdana" w:hAnsi="Verdana"/>
          <w:b w:val="0"/>
          <w:sz w:val="20"/>
          <w:szCs w:val="20"/>
        </w:rPr>
        <w:t>en el caso</w:t>
      </w:r>
      <w:r w:rsidRPr="009227BE">
        <w:rPr>
          <w:rStyle w:val="Textoennegrita"/>
          <w:rFonts w:ascii="Verdana" w:hAnsi="Verdana"/>
          <w:b w:val="0"/>
          <w:i/>
          <w:sz w:val="20"/>
          <w:szCs w:val="20"/>
        </w:rPr>
        <w:t xml:space="preserve"> Hilaire, Constantine y Benjamin y otros Vs. Trinidad y Tobago</w:t>
      </w:r>
      <w:r w:rsidR="00661B2E">
        <w:rPr>
          <w:rFonts w:ascii="Verdana" w:hAnsi="Verdana"/>
          <w:bCs/>
          <w:sz w:val="20"/>
          <w:szCs w:val="20"/>
        </w:rPr>
        <w:t xml:space="preserve"> </w:t>
      </w:r>
      <w:r w:rsidRPr="009227BE">
        <w:rPr>
          <w:rFonts w:ascii="Verdana" w:hAnsi="Verdana"/>
          <w:kern w:val="2"/>
          <w:sz w:val="20"/>
          <w:szCs w:val="20"/>
        </w:rPr>
        <w:t xml:space="preserve">y en el caso </w:t>
      </w:r>
      <w:r w:rsidRPr="009227BE">
        <w:rPr>
          <w:rStyle w:val="Textoennegrita"/>
          <w:rFonts w:ascii="Verdana" w:hAnsi="Verdana"/>
          <w:b w:val="0"/>
          <w:i/>
          <w:sz w:val="20"/>
          <w:szCs w:val="20"/>
        </w:rPr>
        <w:t>Raxcacó Reyes Vs. Guatemala</w:t>
      </w:r>
      <w:r w:rsidRPr="009227BE">
        <w:rPr>
          <w:rStyle w:val="Textoennegrita"/>
          <w:rFonts w:ascii="Verdana" w:hAnsi="Verdana"/>
          <w:b w:val="0"/>
          <w:sz w:val="20"/>
          <w:szCs w:val="20"/>
        </w:rPr>
        <w:t>. La Corte observa que, tanto en</w:t>
      </w:r>
      <w:r w:rsidRPr="009227BE">
        <w:rPr>
          <w:rStyle w:val="Textoennegrita"/>
          <w:rFonts w:ascii="Verdana" w:hAnsi="Verdana"/>
          <w:sz w:val="20"/>
          <w:szCs w:val="20"/>
        </w:rPr>
        <w:t xml:space="preserve"> </w:t>
      </w:r>
      <w:r w:rsidRPr="009227BE">
        <w:rPr>
          <w:rFonts w:ascii="Verdana" w:hAnsi="Verdana"/>
          <w:sz w:val="20"/>
          <w:szCs w:val="20"/>
        </w:rPr>
        <w:t xml:space="preserve">el </w:t>
      </w:r>
      <w:r w:rsidRPr="009227BE">
        <w:rPr>
          <w:rFonts w:ascii="Verdana" w:hAnsi="Verdana"/>
          <w:i/>
          <w:sz w:val="20"/>
          <w:szCs w:val="20"/>
        </w:rPr>
        <w:t>caso Hilaire, Constantine y Benjamin y otros Vs. Trinidad y Tobago</w:t>
      </w:r>
      <w:r w:rsidRPr="009227BE">
        <w:rPr>
          <w:rFonts w:ascii="Verdana" w:hAnsi="Verdana"/>
          <w:sz w:val="20"/>
          <w:szCs w:val="20"/>
        </w:rPr>
        <w:t xml:space="preserve"> como en el caso </w:t>
      </w:r>
      <w:r w:rsidRPr="009227BE">
        <w:rPr>
          <w:rFonts w:ascii="Verdana" w:hAnsi="Verdana"/>
          <w:i/>
          <w:sz w:val="20"/>
          <w:szCs w:val="20"/>
        </w:rPr>
        <w:t>Raxcacó Reyes Vs. Guatemala</w:t>
      </w:r>
      <w:r w:rsidRPr="009227BE">
        <w:rPr>
          <w:rFonts w:ascii="Verdana" w:hAnsi="Verdana"/>
          <w:sz w:val="20"/>
          <w:szCs w:val="20"/>
        </w:rPr>
        <w:t xml:space="preserve"> se realizó una valoración de los peritajes aportados relativos a las condiciones de detención específicas y propias de las personas condenadas a muerte y víctimas del caso, así como sobre el impacto concreto sobre ellas, las cuales condujeron a una violación de los artículos 5.1 y 5.2 de la Convención Americana, en relación con el artículo 1.1 del mismo instrumento</w:t>
      </w:r>
      <w:r w:rsidRPr="009227BE">
        <w:rPr>
          <w:rStyle w:val="Refdenotaalpie"/>
          <w:rFonts w:ascii="Verdana" w:hAnsi="Verdana"/>
          <w:sz w:val="20"/>
          <w:szCs w:val="20"/>
        </w:rPr>
        <w:footnoteReference w:id="60"/>
      </w:r>
      <w:r w:rsidRPr="009227BE">
        <w:rPr>
          <w:rFonts w:ascii="Verdana" w:hAnsi="Verdana"/>
          <w:sz w:val="20"/>
          <w:szCs w:val="20"/>
        </w:rPr>
        <w:t xml:space="preserve">. </w:t>
      </w:r>
      <w:r w:rsidRPr="009227BE">
        <w:rPr>
          <w:rFonts w:ascii="Verdana" w:hAnsi="Verdana"/>
          <w:sz w:val="20"/>
          <w:szCs w:val="20"/>
          <w:lang w:val="es-CO"/>
        </w:rPr>
        <w:t>Asimismo</w:t>
      </w:r>
      <w:r w:rsidRPr="009227BE">
        <w:rPr>
          <w:rFonts w:ascii="Verdana" w:hAnsi="Verdana"/>
          <w:sz w:val="20"/>
          <w:szCs w:val="20"/>
        </w:rPr>
        <w:t>, el Tribunal Europeo de Derechos Humanos</w:t>
      </w:r>
      <w:r w:rsidRPr="009227BE">
        <w:rPr>
          <w:rStyle w:val="Refdenotaalpie"/>
          <w:rFonts w:ascii="Verdana" w:hAnsi="Verdana" w:cs="AmnestyTradeGothic"/>
          <w:sz w:val="20"/>
          <w:szCs w:val="20"/>
        </w:rPr>
        <w:footnoteReference w:id="61"/>
      </w:r>
      <w:r w:rsidRPr="009227BE">
        <w:rPr>
          <w:rFonts w:ascii="Verdana" w:hAnsi="Verdana"/>
          <w:sz w:val="20"/>
          <w:szCs w:val="20"/>
        </w:rPr>
        <w:t>, el Sistema Universal de Derechos Humanos</w:t>
      </w:r>
      <w:r w:rsidRPr="009227BE">
        <w:rPr>
          <w:rStyle w:val="Refdenotaalpie"/>
          <w:rFonts w:ascii="Verdana" w:hAnsi="Verdana"/>
          <w:sz w:val="20"/>
          <w:szCs w:val="20"/>
        </w:rPr>
        <w:footnoteReference w:id="62"/>
      </w:r>
      <w:r w:rsidRPr="009227BE">
        <w:rPr>
          <w:rFonts w:ascii="Verdana" w:hAnsi="Verdana"/>
          <w:sz w:val="20"/>
          <w:szCs w:val="20"/>
        </w:rPr>
        <w:t xml:space="preserve"> y algunos tribunales nacionales</w:t>
      </w:r>
      <w:r w:rsidRPr="009227BE">
        <w:rPr>
          <w:rStyle w:val="Refdenotaalpie"/>
          <w:rFonts w:ascii="Verdana" w:hAnsi="Verdana"/>
          <w:sz w:val="20"/>
          <w:szCs w:val="20"/>
        </w:rPr>
        <w:footnoteReference w:id="63"/>
      </w:r>
      <w:r w:rsidRPr="009227BE">
        <w:rPr>
          <w:rFonts w:ascii="Verdana" w:hAnsi="Verdana"/>
          <w:sz w:val="20"/>
          <w:szCs w:val="20"/>
        </w:rPr>
        <w:t xml:space="preserve"> advierten que el llamado “corredor de la muerte” causa una afectación al derecho a la integridad personal por la angustia en la que se encuentran </w:t>
      </w:r>
      <w:r w:rsidRPr="009227BE">
        <w:rPr>
          <w:rFonts w:ascii="Verdana" w:hAnsi="Verdana"/>
          <w:kern w:val="2"/>
          <w:sz w:val="20"/>
          <w:szCs w:val="20"/>
        </w:rPr>
        <w:t>las</w:t>
      </w:r>
      <w:r w:rsidRPr="009227BE">
        <w:rPr>
          <w:rFonts w:ascii="Verdana" w:hAnsi="Verdana"/>
          <w:sz w:val="20"/>
          <w:szCs w:val="20"/>
        </w:rPr>
        <w:t xml:space="preserve"> personas condenadas a muerte, situación, que genera traumas psicológicos por la manifestación presente y creciente de la ejecución de la pena máxima</w:t>
      </w:r>
      <w:r w:rsidRPr="009227BE">
        <w:rPr>
          <w:rStyle w:val="Refdenotaalpie"/>
          <w:rFonts w:ascii="Verdana" w:hAnsi="Verdana"/>
          <w:sz w:val="20"/>
          <w:szCs w:val="20"/>
        </w:rPr>
        <w:footnoteReference w:id="64"/>
      </w:r>
      <w:r w:rsidRPr="009227BE">
        <w:rPr>
          <w:rFonts w:ascii="Verdana" w:hAnsi="Verdana"/>
          <w:sz w:val="20"/>
          <w:szCs w:val="20"/>
        </w:rPr>
        <w:t>, por ende, es considerado como un trato cruel inhumano y degradante.</w:t>
      </w:r>
      <w:r w:rsidR="00D2785C">
        <w:rPr>
          <w:rFonts w:ascii="Verdana" w:hAnsi="Verdana"/>
          <w:sz w:val="20"/>
          <w:szCs w:val="20"/>
        </w:rPr>
        <w:t xml:space="preserve"> </w:t>
      </w:r>
      <w:r w:rsidR="007C2E0C">
        <w:rPr>
          <w:rFonts w:ascii="Verdana" w:hAnsi="Verdana"/>
          <w:sz w:val="20"/>
          <w:szCs w:val="20"/>
        </w:rPr>
        <w:t xml:space="preserve">Por lo tanto </w:t>
      </w:r>
      <w:r w:rsidR="00D2785C" w:rsidRPr="007C45D8">
        <w:rPr>
          <w:rFonts w:ascii="Verdana" w:eastAsia="Calibri" w:hAnsi="Verdana" w:cs="Calibri"/>
          <w:sz w:val="20"/>
          <w:szCs w:val="20"/>
        </w:rPr>
        <w:t xml:space="preserve">para determinar la existencia de una violación a la integridad personal derivada del </w:t>
      </w:r>
      <w:r w:rsidR="005647D1" w:rsidRPr="007C45D8">
        <w:rPr>
          <w:rFonts w:ascii="Verdana" w:eastAsia="Calibri" w:hAnsi="Verdana" w:cs="Calibri"/>
          <w:sz w:val="20"/>
          <w:szCs w:val="20"/>
        </w:rPr>
        <w:t>“</w:t>
      </w:r>
      <w:r w:rsidR="00D2785C" w:rsidRPr="007C45D8">
        <w:rPr>
          <w:rFonts w:ascii="Verdana" w:eastAsia="Calibri" w:hAnsi="Verdana" w:cs="Calibri"/>
          <w:sz w:val="20"/>
          <w:szCs w:val="20"/>
        </w:rPr>
        <w:t>corredor de la muerte</w:t>
      </w:r>
      <w:r w:rsidR="005647D1" w:rsidRPr="007C45D8">
        <w:rPr>
          <w:rFonts w:ascii="Verdana" w:eastAsia="Calibri" w:hAnsi="Verdana" w:cs="Calibri"/>
          <w:sz w:val="20"/>
          <w:szCs w:val="20"/>
        </w:rPr>
        <w:t>”</w:t>
      </w:r>
      <w:r w:rsidR="00D2785C" w:rsidRPr="007C45D8">
        <w:rPr>
          <w:rFonts w:ascii="Verdana" w:eastAsia="Calibri" w:hAnsi="Verdana" w:cs="Calibri"/>
          <w:sz w:val="20"/>
          <w:szCs w:val="20"/>
        </w:rPr>
        <w:t xml:space="preserve">, es necesario analizar las circunstancias personales y particulares del caso para poder </w:t>
      </w:r>
      <w:r w:rsidR="00D2785C" w:rsidRPr="007C45D8">
        <w:rPr>
          <w:rFonts w:ascii="Verdana" w:eastAsia="Calibri" w:hAnsi="Verdana" w:cs="Calibri"/>
          <w:sz w:val="20"/>
          <w:szCs w:val="20"/>
        </w:rPr>
        <w:lastRenderedPageBreak/>
        <w:t xml:space="preserve">valorar si </w:t>
      </w:r>
      <w:r w:rsidR="005647D1" w:rsidRPr="007C45D8">
        <w:rPr>
          <w:rFonts w:ascii="Verdana" w:eastAsia="Calibri" w:hAnsi="Verdana" w:cs="Calibri"/>
          <w:sz w:val="20"/>
          <w:szCs w:val="20"/>
        </w:rPr>
        <w:t xml:space="preserve">la permanencia en el mismo alcanzó el nivel </w:t>
      </w:r>
      <w:r w:rsidR="00D2785C" w:rsidRPr="007C45D8">
        <w:rPr>
          <w:rFonts w:ascii="Verdana" w:eastAsia="Calibri" w:hAnsi="Verdana" w:cs="Calibri"/>
          <w:sz w:val="20"/>
          <w:szCs w:val="20"/>
        </w:rPr>
        <w:t>de gravedad para calificarse como cruel, inhumano o degradante</w:t>
      </w:r>
      <w:r w:rsidR="008C3DB8" w:rsidRPr="007C45D8">
        <w:rPr>
          <w:rStyle w:val="Refdenotaalpie"/>
          <w:rFonts w:ascii="Verdana" w:eastAsia="Calibri" w:hAnsi="Verdana" w:cs="Calibri"/>
          <w:sz w:val="20"/>
          <w:szCs w:val="20"/>
        </w:rPr>
        <w:footnoteReference w:id="65"/>
      </w:r>
      <w:r w:rsidR="005647D1" w:rsidRPr="007C45D8">
        <w:rPr>
          <w:rFonts w:ascii="Verdana" w:eastAsia="Calibri" w:hAnsi="Verdana" w:cs="Calibri"/>
          <w:sz w:val="20"/>
          <w:szCs w:val="20"/>
        </w:rPr>
        <w:t>.</w:t>
      </w:r>
    </w:p>
    <w:p w:rsidR="006A7D47" w:rsidRPr="006A7D47" w:rsidRDefault="006A7D47" w:rsidP="006A7D47">
      <w:pPr>
        <w:pStyle w:val="Normal1"/>
        <w:widowControl/>
        <w:tabs>
          <w:tab w:val="left" w:pos="0"/>
        </w:tabs>
        <w:contextualSpacing/>
        <w:jc w:val="both"/>
        <w:rPr>
          <w:rFonts w:ascii="Verdana" w:hAnsi="Verdana"/>
          <w:b/>
          <w:sz w:val="20"/>
          <w:szCs w:val="20"/>
        </w:rPr>
      </w:pPr>
    </w:p>
    <w:p w:rsidR="008B44A5" w:rsidRPr="00584E70" w:rsidRDefault="009F37F0" w:rsidP="00FE0342">
      <w:pPr>
        <w:pStyle w:val="Normal1"/>
        <w:widowControl/>
        <w:numPr>
          <w:ilvl w:val="0"/>
          <w:numId w:val="33"/>
        </w:numPr>
        <w:tabs>
          <w:tab w:val="left" w:pos="0"/>
        </w:tabs>
        <w:ind w:left="0" w:firstLine="0"/>
        <w:contextualSpacing/>
        <w:jc w:val="both"/>
        <w:rPr>
          <w:rFonts w:ascii="Verdana" w:hAnsi="Verdana"/>
          <w:sz w:val="20"/>
          <w:szCs w:val="20"/>
        </w:rPr>
      </w:pPr>
      <w:r w:rsidRPr="00584E70">
        <w:rPr>
          <w:rFonts w:ascii="Verdana" w:eastAsia="Verdana" w:hAnsi="Verdana" w:cs="Verdana"/>
          <w:sz w:val="20"/>
          <w:szCs w:val="20"/>
        </w:rPr>
        <w:t xml:space="preserve">Por otro lado, respecto al medio utilizado para la ejecución de la pena de muerte, la Corte nota que </w:t>
      </w:r>
      <w:r w:rsidRPr="00F02941">
        <w:rPr>
          <w:rFonts w:ascii="Verdana" w:eastAsia="Verdana" w:hAnsi="Verdana" w:cs="Verdana"/>
          <w:sz w:val="20"/>
          <w:szCs w:val="20"/>
        </w:rPr>
        <w:t xml:space="preserve">diversos </w:t>
      </w:r>
      <w:r w:rsidR="00050A6B" w:rsidRPr="00F02941">
        <w:rPr>
          <w:rFonts w:ascii="Verdana" w:eastAsia="Verdana" w:hAnsi="Verdana" w:cs="Verdana"/>
          <w:sz w:val="20"/>
          <w:szCs w:val="20"/>
        </w:rPr>
        <w:t>órganos especializados</w:t>
      </w:r>
      <w:r w:rsidRPr="00584E70">
        <w:rPr>
          <w:rStyle w:val="Refdenotaalpie"/>
          <w:rFonts w:ascii="Verdana" w:eastAsia="Verdana" w:hAnsi="Verdana" w:cs="Verdana"/>
          <w:sz w:val="20"/>
          <w:szCs w:val="20"/>
        </w:rPr>
        <w:footnoteReference w:id="66"/>
      </w:r>
      <w:r w:rsidRPr="00584E70">
        <w:rPr>
          <w:rFonts w:ascii="Verdana" w:eastAsia="Verdana" w:hAnsi="Verdana" w:cs="Verdana"/>
          <w:sz w:val="20"/>
          <w:szCs w:val="20"/>
        </w:rPr>
        <w:t xml:space="preserve">, así como, criterios </w:t>
      </w:r>
      <w:r w:rsidR="00595C09">
        <w:rPr>
          <w:rFonts w:ascii="Verdana" w:eastAsia="Verdana" w:hAnsi="Verdana" w:cs="Verdana"/>
          <w:sz w:val="20"/>
          <w:szCs w:val="20"/>
        </w:rPr>
        <w:t>d</w:t>
      </w:r>
      <w:r w:rsidRPr="00584E70">
        <w:rPr>
          <w:rFonts w:ascii="Verdana" w:eastAsia="Verdana" w:hAnsi="Verdana" w:cs="Verdana"/>
          <w:sz w:val="20"/>
          <w:szCs w:val="20"/>
        </w:rPr>
        <w:t>el sistema universal</w:t>
      </w:r>
      <w:r w:rsidRPr="00584E70">
        <w:rPr>
          <w:rStyle w:val="Refdenotaalpie"/>
          <w:rFonts w:ascii="Verdana" w:eastAsia="Verdana" w:hAnsi="Verdana" w:cs="Verdana"/>
          <w:sz w:val="20"/>
          <w:szCs w:val="20"/>
        </w:rPr>
        <w:footnoteReference w:id="67"/>
      </w:r>
      <w:r w:rsidRPr="00584E70">
        <w:rPr>
          <w:rFonts w:ascii="Verdana" w:eastAsia="Verdana" w:hAnsi="Verdana" w:cs="Verdana"/>
          <w:sz w:val="20"/>
          <w:szCs w:val="20"/>
        </w:rPr>
        <w:t xml:space="preserve"> y otros sistemas regionales</w:t>
      </w:r>
      <w:r w:rsidRPr="00584E70">
        <w:rPr>
          <w:rStyle w:val="Refdenotaalpie"/>
          <w:rFonts w:ascii="Verdana" w:eastAsia="Verdana" w:hAnsi="Verdana" w:cs="Verdana"/>
          <w:sz w:val="20"/>
          <w:szCs w:val="20"/>
        </w:rPr>
        <w:footnoteReference w:id="68"/>
      </w:r>
      <w:r w:rsidRPr="00584E70">
        <w:rPr>
          <w:rFonts w:ascii="Verdana" w:eastAsia="Verdana" w:hAnsi="Verdana" w:cs="Verdana"/>
          <w:sz w:val="20"/>
          <w:szCs w:val="20"/>
        </w:rPr>
        <w:t xml:space="preserve"> de protección de derechos humanos prohíben expresamente los modos de ejecución de la pena capital que ca</w:t>
      </w:r>
      <w:r w:rsidR="007117C2" w:rsidRPr="00584E70">
        <w:rPr>
          <w:rFonts w:ascii="Verdana" w:eastAsia="Verdana" w:hAnsi="Verdana" w:cs="Verdana"/>
          <w:sz w:val="20"/>
          <w:szCs w:val="20"/>
        </w:rPr>
        <w:t>usen mayor dolor y sufrimiento.</w:t>
      </w:r>
      <w:r w:rsidRPr="00584E70">
        <w:rPr>
          <w:rFonts w:ascii="Verdana" w:eastAsia="Verdana" w:hAnsi="Verdana" w:cs="Verdana"/>
          <w:sz w:val="20"/>
          <w:szCs w:val="20"/>
        </w:rPr>
        <w:t xml:space="preserve"> En este sentido,</w:t>
      </w:r>
      <w:r w:rsidRPr="00584E70">
        <w:rPr>
          <w:rFonts w:ascii="Verdana" w:hAnsi="Verdana"/>
          <w:sz w:val="20"/>
          <w:szCs w:val="20"/>
        </w:rPr>
        <w:t xml:space="preserve"> es importante advertir, que todos los medios de ejecución pueden infligir “dolor” o “sufrimientos intensos”</w:t>
      </w:r>
      <w:r w:rsidRPr="00584E70">
        <w:rPr>
          <w:rStyle w:val="Refdenotaalpie"/>
          <w:rFonts w:ascii="Verdana" w:hAnsi="Verdana"/>
          <w:sz w:val="20"/>
          <w:szCs w:val="20"/>
        </w:rPr>
        <w:footnoteReference w:id="69"/>
      </w:r>
      <w:r w:rsidRPr="00584E70">
        <w:rPr>
          <w:rFonts w:ascii="Verdana" w:hAnsi="Verdana"/>
          <w:sz w:val="20"/>
          <w:szCs w:val="20"/>
        </w:rPr>
        <w:t>, por tal motivo, si un Estado ejecuta la pena de muerte debe hacerlo de la forma que cause menor sufrimiento posible</w:t>
      </w:r>
      <w:r w:rsidRPr="00584E70">
        <w:rPr>
          <w:rStyle w:val="Refdenotaalpie"/>
          <w:rFonts w:ascii="Verdana" w:hAnsi="Verdana"/>
          <w:sz w:val="20"/>
          <w:szCs w:val="20"/>
        </w:rPr>
        <w:footnoteReference w:id="70"/>
      </w:r>
      <w:r w:rsidRPr="00584E70">
        <w:rPr>
          <w:rFonts w:ascii="Verdana" w:hAnsi="Verdana"/>
          <w:sz w:val="20"/>
          <w:szCs w:val="20"/>
        </w:rPr>
        <w:t>, ya que cualquiera que sea el método de ejecución, la extinción de la vida implica algún dolor físico</w:t>
      </w:r>
      <w:r w:rsidRPr="00584E70">
        <w:rPr>
          <w:rStyle w:val="Refdenotaalpie"/>
          <w:rFonts w:ascii="Verdana" w:hAnsi="Verdana"/>
          <w:sz w:val="20"/>
          <w:szCs w:val="20"/>
        </w:rPr>
        <w:footnoteReference w:id="71"/>
      </w:r>
      <w:r w:rsidRPr="00584E70">
        <w:rPr>
          <w:rFonts w:ascii="Verdana" w:hAnsi="Verdana"/>
          <w:sz w:val="20"/>
          <w:szCs w:val="20"/>
        </w:rPr>
        <w:t>.</w:t>
      </w:r>
    </w:p>
    <w:p w:rsidR="00A61525" w:rsidRPr="00584E70" w:rsidRDefault="00A61525" w:rsidP="00A61525">
      <w:pPr>
        <w:pStyle w:val="Normal1"/>
        <w:widowControl/>
        <w:tabs>
          <w:tab w:val="left" w:pos="0"/>
        </w:tabs>
        <w:contextualSpacing/>
        <w:jc w:val="both"/>
        <w:rPr>
          <w:rFonts w:ascii="Verdana" w:hAnsi="Verdana"/>
          <w:sz w:val="20"/>
          <w:szCs w:val="20"/>
        </w:rPr>
      </w:pPr>
    </w:p>
    <w:p w:rsidR="005B66FA" w:rsidRPr="00584E70" w:rsidRDefault="009F37F0" w:rsidP="00FE0342">
      <w:pPr>
        <w:pStyle w:val="Normal1"/>
        <w:widowControl/>
        <w:numPr>
          <w:ilvl w:val="0"/>
          <w:numId w:val="33"/>
        </w:numPr>
        <w:tabs>
          <w:tab w:val="left" w:pos="0"/>
        </w:tabs>
        <w:ind w:left="0" w:firstLine="0"/>
        <w:contextualSpacing/>
        <w:jc w:val="both"/>
        <w:rPr>
          <w:rFonts w:ascii="Verdana" w:hAnsi="Verdana"/>
          <w:sz w:val="20"/>
          <w:szCs w:val="20"/>
        </w:rPr>
      </w:pPr>
      <w:r w:rsidRPr="00584E70">
        <w:rPr>
          <w:rFonts w:ascii="Verdana" w:hAnsi="Verdana"/>
          <w:sz w:val="20"/>
          <w:szCs w:val="20"/>
        </w:rPr>
        <w:t>Asimismo, diversos órganos internacionales han indicado que métodos de ejecución como la lapidación</w:t>
      </w:r>
      <w:r w:rsidRPr="00584E70">
        <w:rPr>
          <w:rStyle w:val="Refdenotaalpie"/>
          <w:rFonts w:ascii="Verdana" w:hAnsi="Verdana"/>
          <w:sz w:val="20"/>
          <w:szCs w:val="20"/>
        </w:rPr>
        <w:footnoteReference w:id="72"/>
      </w:r>
      <w:r w:rsidRPr="00584E70">
        <w:rPr>
          <w:rFonts w:ascii="Verdana" w:hAnsi="Verdana"/>
          <w:sz w:val="20"/>
          <w:szCs w:val="20"/>
        </w:rPr>
        <w:t>, la asfixia con gas</w:t>
      </w:r>
      <w:r w:rsidRPr="00584E70">
        <w:rPr>
          <w:rStyle w:val="Refdenotaalpie"/>
          <w:rFonts w:ascii="Verdana" w:hAnsi="Verdana"/>
          <w:sz w:val="20"/>
          <w:szCs w:val="20"/>
        </w:rPr>
        <w:footnoteReference w:id="73"/>
      </w:r>
      <w:r w:rsidRPr="00584E70">
        <w:rPr>
          <w:rFonts w:ascii="Verdana" w:hAnsi="Verdana"/>
          <w:sz w:val="20"/>
          <w:szCs w:val="20"/>
        </w:rPr>
        <w:t>, “la inyección de sustancias letales no ensayadas, […] la incineración y el enterramiento con v</w:t>
      </w:r>
      <w:r w:rsidR="00414265" w:rsidRPr="00584E70">
        <w:rPr>
          <w:rFonts w:ascii="Verdana" w:hAnsi="Verdana"/>
          <w:sz w:val="20"/>
          <w:szCs w:val="20"/>
        </w:rPr>
        <w:t xml:space="preserve">ida[,] las ejecuciones públicas  </w:t>
      </w:r>
      <w:r w:rsidRPr="00584E70">
        <w:rPr>
          <w:rFonts w:ascii="Verdana" w:hAnsi="Verdana"/>
          <w:sz w:val="20"/>
          <w:szCs w:val="20"/>
        </w:rPr>
        <w:t>[</w:t>
      </w:r>
      <w:r w:rsidR="00414265" w:rsidRPr="00584E70">
        <w:rPr>
          <w:rFonts w:ascii="Verdana" w:hAnsi="Verdana"/>
          <w:sz w:val="20"/>
          <w:szCs w:val="20"/>
        </w:rPr>
        <w:t xml:space="preserve">, </w:t>
      </w:r>
      <w:r w:rsidRPr="00584E70">
        <w:rPr>
          <w:rFonts w:ascii="Verdana" w:hAnsi="Verdana"/>
          <w:sz w:val="20"/>
          <w:szCs w:val="20"/>
        </w:rPr>
        <w:t>así como]</w:t>
      </w:r>
      <w:r w:rsidR="00164D2F">
        <w:rPr>
          <w:rFonts w:ascii="Verdana" w:hAnsi="Verdana"/>
          <w:sz w:val="20"/>
          <w:szCs w:val="20"/>
        </w:rPr>
        <w:t xml:space="preserve"> […]</w:t>
      </w:r>
      <w:r w:rsidRPr="00584E70">
        <w:rPr>
          <w:rFonts w:ascii="Verdana" w:hAnsi="Verdana"/>
          <w:sz w:val="20"/>
          <w:szCs w:val="20"/>
        </w:rPr>
        <w:t xml:space="preserve"> otros modos de ejecución dolorosos o humillantes”</w:t>
      </w:r>
      <w:r w:rsidRPr="00584E70">
        <w:rPr>
          <w:rStyle w:val="Refdenotaalpie"/>
          <w:rFonts w:ascii="Verdana" w:hAnsi="Verdana"/>
          <w:sz w:val="20"/>
          <w:szCs w:val="20"/>
        </w:rPr>
        <w:footnoteReference w:id="74"/>
      </w:r>
      <w:r w:rsidRPr="00584E70">
        <w:rPr>
          <w:rFonts w:ascii="Verdana" w:hAnsi="Verdana"/>
          <w:sz w:val="20"/>
          <w:szCs w:val="20"/>
        </w:rPr>
        <w:t>, constituyen tratos crueles inhumanos y degradantes que vulneran el derecho a la integridad personal.</w:t>
      </w:r>
      <w:bookmarkStart w:id="74" w:name="_Toc12350850"/>
      <w:r w:rsidR="00041CE3" w:rsidRPr="00584E70">
        <w:rPr>
          <w:rFonts w:ascii="Verdana" w:hAnsi="Verdana"/>
          <w:sz w:val="20"/>
          <w:szCs w:val="20"/>
        </w:rPr>
        <w:t xml:space="preserve"> </w:t>
      </w:r>
    </w:p>
    <w:p w:rsidR="005B66FA" w:rsidRPr="00584E70" w:rsidRDefault="005B66FA" w:rsidP="005B66FA">
      <w:pPr>
        <w:pStyle w:val="Normal1"/>
        <w:widowControl/>
        <w:tabs>
          <w:tab w:val="left" w:pos="0"/>
        </w:tabs>
        <w:contextualSpacing/>
        <w:jc w:val="both"/>
        <w:rPr>
          <w:rFonts w:ascii="Verdana" w:hAnsi="Verdana"/>
          <w:sz w:val="20"/>
          <w:szCs w:val="20"/>
        </w:rPr>
      </w:pPr>
    </w:p>
    <w:p w:rsidR="00991839" w:rsidRPr="00584E70" w:rsidRDefault="009F37F0" w:rsidP="00FE0342">
      <w:pPr>
        <w:pStyle w:val="Normal1"/>
        <w:widowControl/>
        <w:numPr>
          <w:ilvl w:val="0"/>
          <w:numId w:val="33"/>
        </w:numPr>
        <w:tabs>
          <w:tab w:val="left" w:pos="0"/>
        </w:tabs>
        <w:ind w:left="0" w:firstLine="0"/>
        <w:contextualSpacing/>
        <w:jc w:val="both"/>
        <w:rPr>
          <w:rFonts w:ascii="Verdana" w:hAnsi="Verdana"/>
          <w:sz w:val="20"/>
          <w:szCs w:val="20"/>
        </w:rPr>
      </w:pPr>
      <w:r w:rsidRPr="00584E70">
        <w:rPr>
          <w:rFonts w:ascii="Verdana" w:eastAsia="Verdana" w:hAnsi="Verdana" w:cs="Verdana"/>
          <w:sz w:val="20"/>
          <w:szCs w:val="20"/>
        </w:rPr>
        <w:t>Además de ello</w:t>
      </w:r>
      <w:r w:rsidRPr="00584E70">
        <w:rPr>
          <w:rFonts w:ascii="Verdana" w:hAnsi="Verdana"/>
          <w:sz w:val="20"/>
          <w:szCs w:val="20"/>
        </w:rPr>
        <w:t xml:space="preserve">, </w:t>
      </w:r>
      <w:r w:rsidR="00097E28" w:rsidRPr="00584E70">
        <w:rPr>
          <w:rFonts w:ascii="Verdana" w:hAnsi="Verdana"/>
          <w:sz w:val="20"/>
          <w:szCs w:val="20"/>
        </w:rPr>
        <w:t xml:space="preserve">el Relator Especial sobre ejecuciones extrajudiciales ha señalado que </w:t>
      </w:r>
      <w:r w:rsidRPr="00584E70">
        <w:rPr>
          <w:rFonts w:ascii="Verdana" w:hAnsi="Verdana"/>
          <w:sz w:val="20"/>
          <w:szCs w:val="20"/>
        </w:rPr>
        <w:t>las ejecuciones públicas constituyen un incumplimiento de la prohibición de los tratos o penas crueles, inhumanas o degradantes</w:t>
      </w:r>
      <w:r w:rsidRPr="00584E70">
        <w:rPr>
          <w:rStyle w:val="Refdenotaalpie"/>
          <w:rFonts w:ascii="Verdana" w:hAnsi="Verdana"/>
          <w:sz w:val="20"/>
          <w:szCs w:val="20"/>
        </w:rPr>
        <w:footnoteReference w:id="75"/>
      </w:r>
      <w:r w:rsidR="00097E28" w:rsidRPr="00584E70">
        <w:rPr>
          <w:rFonts w:ascii="Verdana" w:hAnsi="Verdana"/>
          <w:sz w:val="20"/>
          <w:szCs w:val="20"/>
        </w:rPr>
        <w:t>. Por su parte, la Comisión</w:t>
      </w:r>
      <w:r w:rsidR="00097E28" w:rsidRPr="007C45D8">
        <w:rPr>
          <w:rFonts w:ascii="Verdana" w:hAnsi="Verdana"/>
          <w:b/>
          <w:sz w:val="20"/>
          <w:szCs w:val="20"/>
        </w:rPr>
        <w:t xml:space="preserve"> </w:t>
      </w:r>
      <w:r w:rsidR="00D65A9B" w:rsidRPr="000B0B64">
        <w:rPr>
          <w:rFonts w:ascii="Verdana" w:hAnsi="Verdana"/>
          <w:sz w:val="20"/>
          <w:szCs w:val="20"/>
        </w:rPr>
        <w:t>de Derechos</w:t>
      </w:r>
      <w:r w:rsidR="00D65A9B" w:rsidRPr="007C45D8">
        <w:rPr>
          <w:rFonts w:ascii="Verdana" w:hAnsi="Verdana"/>
          <w:b/>
          <w:sz w:val="20"/>
          <w:szCs w:val="20"/>
        </w:rPr>
        <w:t xml:space="preserve"> </w:t>
      </w:r>
      <w:r w:rsidR="00D65A9B">
        <w:rPr>
          <w:rFonts w:ascii="Verdana" w:hAnsi="Verdana"/>
          <w:sz w:val="20"/>
          <w:szCs w:val="20"/>
        </w:rPr>
        <w:t>Humanos</w:t>
      </w:r>
      <w:r w:rsidR="00D65A9B" w:rsidRPr="00584E70">
        <w:rPr>
          <w:rFonts w:ascii="Verdana" w:hAnsi="Verdana"/>
          <w:sz w:val="20"/>
          <w:szCs w:val="20"/>
        </w:rPr>
        <w:t xml:space="preserve"> </w:t>
      </w:r>
      <w:r w:rsidR="00097E28" w:rsidRPr="00584E70">
        <w:rPr>
          <w:rFonts w:ascii="Verdana" w:hAnsi="Verdana"/>
          <w:sz w:val="20"/>
          <w:szCs w:val="20"/>
        </w:rPr>
        <w:t xml:space="preserve">ha señalado que </w:t>
      </w:r>
      <w:r w:rsidRPr="00584E70">
        <w:rPr>
          <w:rFonts w:ascii="Verdana" w:hAnsi="Verdana"/>
          <w:sz w:val="20"/>
          <w:szCs w:val="20"/>
        </w:rPr>
        <w:t xml:space="preserve">la ejecución de la pena capital no debe hacerse en público ni de ninguna otra </w:t>
      </w:r>
      <w:r w:rsidRPr="00584E70">
        <w:rPr>
          <w:rFonts w:ascii="Verdana" w:hAnsi="Verdana"/>
          <w:sz w:val="20"/>
          <w:szCs w:val="20"/>
        </w:rPr>
        <w:lastRenderedPageBreak/>
        <w:t>manera degradante</w:t>
      </w:r>
      <w:r w:rsidRPr="00584E70">
        <w:rPr>
          <w:rStyle w:val="Refdenotaalpie"/>
          <w:rFonts w:ascii="Verdana" w:hAnsi="Verdana"/>
          <w:sz w:val="20"/>
          <w:szCs w:val="20"/>
        </w:rPr>
        <w:footnoteReference w:id="76"/>
      </w:r>
      <w:r w:rsidRPr="00584E70">
        <w:rPr>
          <w:rFonts w:ascii="Verdana" w:hAnsi="Verdana"/>
          <w:sz w:val="20"/>
          <w:szCs w:val="20"/>
        </w:rPr>
        <w:t xml:space="preserve">. </w:t>
      </w:r>
      <w:r w:rsidR="00097E28" w:rsidRPr="00584E70">
        <w:rPr>
          <w:rFonts w:ascii="Verdana" w:hAnsi="Verdana"/>
          <w:sz w:val="20"/>
          <w:szCs w:val="20"/>
        </w:rPr>
        <w:t>En tal sentido</w:t>
      </w:r>
      <w:r w:rsidRPr="00584E70">
        <w:rPr>
          <w:rFonts w:ascii="Verdana" w:hAnsi="Verdana"/>
          <w:sz w:val="20"/>
          <w:szCs w:val="20"/>
        </w:rPr>
        <w:t xml:space="preserve">, el </w:t>
      </w:r>
      <w:r w:rsidR="00D65A9B" w:rsidRPr="000B0B64">
        <w:rPr>
          <w:rFonts w:ascii="Verdana" w:hAnsi="Verdana"/>
          <w:sz w:val="20"/>
          <w:szCs w:val="20"/>
        </w:rPr>
        <w:t>Consejo</w:t>
      </w:r>
      <w:r w:rsidR="00D65A9B" w:rsidRPr="007C45D8">
        <w:rPr>
          <w:rFonts w:ascii="Verdana" w:hAnsi="Verdana"/>
          <w:b/>
          <w:sz w:val="20"/>
          <w:szCs w:val="20"/>
        </w:rPr>
        <w:t xml:space="preserve"> </w:t>
      </w:r>
      <w:r w:rsidRPr="00584E70">
        <w:rPr>
          <w:rFonts w:ascii="Verdana" w:hAnsi="Verdana"/>
          <w:sz w:val="20"/>
          <w:szCs w:val="20"/>
        </w:rPr>
        <w:t>de Derechos Humanos ha pedido a los Estados que se abstengan de realizar ejecuciones públicas, debido a que: “[l]as ejecuciones públicas son […] incompatibles con la dignidad humana”</w:t>
      </w:r>
      <w:r w:rsidRPr="00584E70">
        <w:rPr>
          <w:rStyle w:val="Refdenotaalpie"/>
          <w:rFonts w:ascii="Verdana" w:hAnsi="Verdana"/>
          <w:sz w:val="20"/>
          <w:szCs w:val="20"/>
        </w:rPr>
        <w:footnoteReference w:id="77"/>
      </w:r>
      <w:r w:rsidRPr="00584E70">
        <w:rPr>
          <w:rFonts w:ascii="Verdana" w:hAnsi="Verdana"/>
          <w:sz w:val="20"/>
          <w:szCs w:val="20"/>
        </w:rPr>
        <w:t>.</w:t>
      </w:r>
      <w:bookmarkStart w:id="75" w:name="_Toc12350851"/>
      <w:bookmarkEnd w:id="74"/>
    </w:p>
    <w:p w:rsidR="00991839" w:rsidRPr="005A5A9E" w:rsidRDefault="00991839" w:rsidP="00991839">
      <w:pPr>
        <w:pStyle w:val="Normal1"/>
        <w:widowControl/>
        <w:tabs>
          <w:tab w:val="left" w:pos="0"/>
        </w:tabs>
        <w:contextualSpacing/>
        <w:jc w:val="both"/>
        <w:rPr>
          <w:rFonts w:ascii="Verdana" w:hAnsi="Verdana"/>
          <w:strike/>
          <w:sz w:val="20"/>
          <w:szCs w:val="20"/>
        </w:rPr>
      </w:pPr>
    </w:p>
    <w:bookmarkEnd w:id="75"/>
    <w:p w:rsidR="005B66FA" w:rsidRPr="00584E70" w:rsidRDefault="009F37F0" w:rsidP="00FE0342">
      <w:pPr>
        <w:pStyle w:val="Normal1"/>
        <w:widowControl/>
        <w:numPr>
          <w:ilvl w:val="0"/>
          <w:numId w:val="33"/>
        </w:numPr>
        <w:tabs>
          <w:tab w:val="left" w:pos="0"/>
        </w:tabs>
        <w:ind w:left="0" w:firstLine="0"/>
        <w:contextualSpacing/>
        <w:jc w:val="both"/>
        <w:rPr>
          <w:rFonts w:ascii="Verdana" w:hAnsi="Verdana"/>
          <w:sz w:val="20"/>
          <w:szCs w:val="20"/>
        </w:rPr>
      </w:pPr>
      <w:r w:rsidRPr="00584E70">
        <w:rPr>
          <w:rFonts w:ascii="Verdana" w:hAnsi="Verdana"/>
          <w:sz w:val="20"/>
          <w:szCs w:val="20"/>
        </w:rPr>
        <w:t>Ahora bien, en el presente caso, está probado que los señores Girón y Castillo fueron condenados a pena de muerte y, posteriormente, ejecutados a través de un fusilamiento (Decreto No. 234)</w:t>
      </w:r>
      <w:r w:rsidRPr="00584E70">
        <w:rPr>
          <w:rStyle w:val="Refdenotaalpie"/>
          <w:rFonts w:ascii="Verdana" w:hAnsi="Verdana"/>
          <w:sz w:val="20"/>
          <w:szCs w:val="20"/>
        </w:rPr>
        <w:footnoteReference w:id="78"/>
      </w:r>
      <w:r w:rsidRPr="00584E70">
        <w:rPr>
          <w:rFonts w:ascii="Verdana" w:hAnsi="Verdana"/>
          <w:sz w:val="20"/>
          <w:szCs w:val="20"/>
        </w:rPr>
        <w:t xml:space="preserve"> por la comisión de un delito que se fundamentó en el artículo 175</w:t>
      </w:r>
      <w:r w:rsidR="003551F1">
        <w:rPr>
          <w:rFonts w:ascii="Verdana" w:hAnsi="Verdana"/>
          <w:sz w:val="20"/>
          <w:szCs w:val="20"/>
        </w:rPr>
        <w:t xml:space="preserve"> del Código Penal</w:t>
      </w:r>
      <w:r w:rsidRPr="00584E70">
        <w:rPr>
          <w:rFonts w:ascii="Verdana" w:hAnsi="Verdana"/>
          <w:sz w:val="20"/>
          <w:szCs w:val="20"/>
        </w:rPr>
        <w:t xml:space="preserve">. Asimismo, está probado que </w:t>
      </w:r>
      <w:r w:rsidR="00097E28" w:rsidRPr="00584E70">
        <w:rPr>
          <w:rFonts w:ascii="Verdana" w:hAnsi="Verdana"/>
          <w:sz w:val="20"/>
          <w:szCs w:val="20"/>
        </w:rPr>
        <w:t xml:space="preserve">la ejecución ordenada en </w:t>
      </w:r>
      <w:r w:rsidRPr="00584E70">
        <w:rPr>
          <w:rFonts w:ascii="Verdana" w:hAnsi="Verdana"/>
          <w:sz w:val="20"/>
          <w:szCs w:val="20"/>
        </w:rPr>
        <w:t>la sentencia a pena de muerte de los señores Girón y Castillo fue suspendida en dos ocasiones</w:t>
      </w:r>
      <w:r w:rsidR="00F825F7">
        <w:rPr>
          <w:rStyle w:val="Refdenotaalpie"/>
          <w:rFonts w:ascii="Verdana" w:hAnsi="Verdana"/>
          <w:sz w:val="20"/>
          <w:szCs w:val="20"/>
        </w:rPr>
        <w:footnoteReference w:id="79"/>
      </w:r>
      <w:r w:rsidR="007117C2" w:rsidRPr="00584E70">
        <w:rPr>
          <w:rFonts w:ascii="Verdana" w:hAnsi="Verdana"/>
          <w:sz w:val="20"/>
          <w:szCs w:val="20"/>
        </w:rPr>
        <w:t xml:space="preserve"> y que </w:t>
      </w:r>
      <w:r w:rsidRPr="00584E70">
        <w:rPr>
          <w:rFonts w:ascii="Verdana" w:hAnsi="Verdana"/>
          <w:sz w:val="20"/>
          <w:szCs w:val="20"/>
        </w:rPr>
        <w:t xml:space="preserve">el fusilamiento </w:t>
      </w:r>
      <w:r w:rsidR="007117C2" w:rsidRPr="00584E70">
        <w:rPr>
          <w:rFonts w:ascii="Verdana" w:hAnsi="Verdana"/>
          <w:sz w:val="20"/>
          <w:szCs w:val="20"/>
        </w:rPr>
        <w:t>de las presuntas víctimas fue transmitido</w:t>
      </w:r>
      <w:r w:rsidRPr="00584E70">
        <w:rPr>
          <w:rFonts w:ascii="Verdana" w:hAnsi="Verdana"/>
          <w:sz w:val="20"/>
          <w:szCs w:val="20"/>
        </w:rPr>
        <w:t xml:space="preserve"> por televisión. </w:t>
      </w:r>
    </w:p>
    <w:p w:rsidR="005B66FA" w:rsidRPr="005A5A9E" w:rsidRDefault="005B66FA" w:rsidP="005B66FA">
      <w:pPr>
        <w:pStyle w:val="Normal1"/>
        <w:widowControl/>
        <w:tabs>
          <w:tab w:val="left" w:pos="0"/>
        </w:tabs>
        <w:contextualSpacing/>
        <w:jc w:val="both"/>
        <w:rPr>
          <w:rFonts w:ascii="Verdana" w:hAnsi="Verdana"/>
          <w:strike/>
          <w:sz w:val="20"/>
          <w:szCs w:val="20"/>
        </w:rPr>
      </w:pPr>
    </w:p>
    <w:p w:rsidR="005B66FA" w:rsidRPr="00584E70" w:rsidRDefault="006B2BCC" w:rsidP="00FE0342">
      <w:pPr>
        <w:pStyle w:val="Normal1"/>
        <w:widowControl/>
        <w:numPr>
          <w:ilvl w:val="0"/>
          <w:numId w:val="33"/>
        </w:numPr>
        <w:tabs>
          <w:tab w:val="left" w:pos="0"/>
        </w:tabs>
        <w:ind w:left="0" w:firstLine="0"/>
        <w:contextualSpacing/>
        <w:jc w:val="both"/>
        <w:rPr>
          <w:rFonts w:ascii="Verdana" w:hAnsi="Verdana"/>
          <w:sz w:val="20"/>
          <w:szCs w:val="20"/>
        </w:rPr>
      </w:pPr>
      <w:r w:rsidRPr="00584E70">
        <w:rPr>
          <w:rFonts w:ascii="Verdana" w:hAnsi="Verdana"/>
          <w:sz w:val="20"/>
          <w:szCs w:val="20"/>
        </w:rPr>
        <w:t>L</w:t>
      </w:r>
      <w:r w:rsidR="00612EEC" w:rsidRPr="00584E70">
        <w:rPr>
          <w:rFonts w:ascii="Verdana" w:hAnsi="Verdana"/>
          <w:sz w:val="20"/>
          <w:szCs w:val="20"/>
        </w:rPr>
        <w:t xml:space="preserve">os peritos </w:t>
      </w:r>
      <w:r w:rsidR="00612EEC" w:rsidRPr="00584E70">
        <w:rPr>
          <w:rFonts w:ascii="Verdana" w:hAnsi="Verdana" w:cs="Arial"/>
          <w:bCs/>
          <w:sz w:val="20"/>
          <w:szCs w:val="20"/>
        </w:rPr>
        <w:t xml:space="preserve">Edward Fitzgerald y Parvais Jabbar, </w:t>
      </w:r>
      <w:r w:rsidR="00620EEB" w:rsidRPr="00584E70">
        <w:rPr>
          <w:rFonts w:ascii="Verdana" w:hAnsi="Verdana" w:cs="Arial"/>
          <w:bCs/>
          <w:sz w:val="20"/>
          <w:szCs w:val="20"/>
        </w:rPr>
        <w:t>en s</w:t>
      </w:r>
      <w:r w:rsidR="00612EEC" w:rsidRPr="00584E70">
        <w:rPr>
          <w:rFonts w:ascii="Verdana" w:hAnsi="Verdana" w:cs="Arial"/>
          <w:bCs/>
          <w:sz w:val="20"/>
          <w:szCs w:val="20"/>
        </w:rPr>
        <w:t xml:space="preserve">u dictamen rendido mediante afidávit, manifestaron que “el fenómeno del corredor de la muerte comienza en el momento </w:t>
      </w:r>
      <w:r w:rsidR="00D90DC2">
        <w:rPr>
          <w:rFonts w:ascii="Verdana" w:hAnsi="Verdana" w:cs="Arial"/>
          <w:bCs/>
          <w:sz w:val="20"/>
          <w:szCs w:val="20"/>
        </w:rPr>
        <w:t xml:space="preserve">[…] </w:t>
      </w:r>
      <w:r w:rsidR="00612EEC" w:rsidRPr="00584E70">
        <w:rPr>
          <w:rFonts w:ascii="Verdana" w:hAnsi="Verdana" w:cs="Arial"/>
          <w:bCs/>
          <w:sz w:val="20"/>
          <w:szCs w:val="20"/>
        </w:rPr>
        <w:t xml:space="preserve">que se dicta sentencia y el condenado tiene que contemplar la perspectiva de </w:t>
      </w:r>
      <w:r w:rsidR="00612EEC" w:rsidRPr="00720099">
        <w:rPr>
          <w:rFonts w:ascii="Verdana" w:hAnsi="Verdana" w:cs="Arial"/>
          <w:bCs/>
          <w:sz w:val="20"/>
          <w:szCs w:val="20"/>
        </w:rPr>
        <w:t>su ejecución”</w:t>
      </w:r>
      <w:r w:rsidR="00612EEC" w:rsidRPr="00720099">
        <w:rPr>
          <w:rStyle w:val="Refdenotaalpie"/>
          <w:rFonts w:ascii="Verdana" w:hAnsi="Verdana" w:cs="Arial"/>
          <w:bCs/>
          <w:sz w:val="20"/>
          <w:szCs w:val="20"/>
        </w:rPr>
        <w:footnoteReference w:id="80"/>
      </w:r>
      <w:r w:rsidR="00612EEC" w:rsidRPr="00720099">
        <w:rPr>
          <w:rFonts w:ascii="Verdana" w:hAnsi="Verdana" w:cs="Arial"/>
          <w:bCs/>
          <w:sz w:val="20"/>
          <w:szCs w:val="20"/>
        </w:rPr>
        <w:t>.</w:t>
      </w:r>
      <w:r w:rsidR="00612EEC" w:rsidRPr="00720099">
        <w:rPr>
          <w:rFonts w:ascii="Verdana" w:hAnsi="Verdana"/>
          <w:sz w:val="20"/>
          <w:szCs w:val="20"/>
        </w:rPr>
        <w:t xml:space="preserve"> </w:t>
      </w:r>
      <w:r w:rsidR="00817ACA" w:rsidRPr="00720099">
        <w:rPr>
          <w:rFonts w:ascii="Verdana" w:hAnsi="Verdana"/>
          <w:sz w:val="20"/>
          <w:szCs w:val="20"/>
        </w:rPr>
        <w:t>Sobre este punto, este Tribunal</w:t>
      </w:r>
      <w:r w:rsidR="008D3D63" w:rsidRPr="00720099">
        <w:rPr>
          <w:rFonts w:ascii="Verdana" w:hAnsi="Verdana"/>
          <w:sz w:val="20"/>
          <w:szCs w:val="20"/>
        </w:rPr>
        <w:t xml:space="preserve"> ha señalado </w:t>
      </w:r>
      <w:r w:rsidR="00817ACA" w:rsidRPr="00720099">
        <w:rPr>
          <w:rFonts w:ascii="Verdana" w:hAnsi="Verdana"/>
          <w:sz w:val="20"/>
          <w:szCs w:val="20"/>
        </w:rPr>
        <w:t>que el tiempo de espera desde el momento en que se da la sentencia condenatoria a pena de muerte hasta su ejecución produce angustia mental, tensión extrema y trauma psicológico que es causado por las circunstancias a las que el acusado es expuesto, que incluyen, entre otras, la forma en que se impuso la condena, la desproporción entre la pena y el delito cometido y la no consideración de las características personales del acusado, que en suma, configuran</w:t>
      </w:r>
      <w:r w:rsidR="00817ACA" w:rsidRPr="00584E70">
        <w:rPr>
          <w:rFonts w:ascii="Verdana" w:hAnsi="Verdana"/>
          <w:sz w:val="20"/>
          <w:szCs w:val="20"/>
        </w:rPr>
        <w:t xml:space="preserve"> un trato cruel</w:t>
      </w:r>
      <w:r w:rsidR="008B44A5" w:rsidRPr="00584E70">
        <w:rPr>
          <w:rFonts w:ascii="Verdana" w:hAnsi="Verdana"/>
          <w:sz w:val="20"/>
          <w:szCs w:val="20"/>
        </w:rPr>
        <w:t>,</w:t>
      </w:r>
      <w:r w:rsidR="00817ACA" w:rsidRPr="00584E70">
        <w:rPr>
          <w:rFonts w:ascii="Verdana" w:hAnsi="Verdana"/>
          <w:sz w:val="20"/>
          <w:szCs w:val="20"/>
        </w:rPr>
        <w:t xml:space="preserve"> inhumano y degradante</w:t>
      </w:r>
      <w:r w:rsidR="00720099">
        <w:rPr>
          <w:rStyle w:val="Refdenotaalpie"/>
          <w:rFonts w:ascii="Verdana" w:hAnsi="Verdana"/>
          <w:sz w:val="20"/>
          <w:szCs w:val="20"/>
        </w:rPr>
        <w:footnoteReference w:id="81"/>
      </w:r>
      <w:r w:rsidR="00817ACA" w:rsidRPr="00584E70">
        <w:rPr>
          <w:rFonts w:ascii="Verdana" w:hAnsi="Verdana"/>
          <w:sz w:val="20"/>
          <w:szCs w:val="20"/>
        </w:rPr>
        <w:t>.</w:t>
      </w:r>
    </w:p>
    <w:p w:rsidR="005B66FA" w:rsidRPr="005A5A9E" w:rsidRDefault="005B66FA" w:rsidP="005B66FA">
      <w:pPr>
        <w:pStyle w:val="Normal1"/>
        <w:widowControl/>
        <w:tabs>
          <w:tab w:val="left" w:pos="0"/>
        </w:tabs>
        <w:contextualSpacing/>
        <w:jc w:val="both"/>
        <w:rPr>
          <w:rFonts w:ascii="Verdana" w:hAnsi="Verdana"/>
          <w:strike/>
          <w:sz w:val="20"/>
          <w:szCs w:val="20"/>
        </w:rPr>
      </w:pPr>
    </w:p>
    <w:p w:rsidR="005B66FA" w:rsidRPr="00914EAC" w:rsidRDefault="00584E70" w:rsidP="00FE0342">
      <w:pPr>
        <w:pStyle w:val="Normal1"/>
        <w:widowControl/>
        <w:numPr>
          <w:ilvl w:val="0"/>
          <w:numId w:val="33"/>
        </w:numPr>
        <w:tabs>
          <w:tab w:val="left" w:pos="0"/>
        </w:tabs>
        <w:ind w:left="0" w:firstLine="0"/>
        <w:contextualSpacing/>
        <w:jc w:val="both"/>
        <w:rPr>
          <w:rFonts w:ascii="Verdana" w:hAnsi="Verdana"/>
          <w:sz w:val="20"/>
          <w:szCs w:val="20"/>
        </w:rPr>
      </w:pPr>
      <w:r w:rsidRPr="001C66BE">
        <w:rPr>
          <w:rFonts w:ascii="Verdana" w:hAnsi="Verdana"/>
          <w:sz w:val="20"/>
          <w:szCs w:val="20"/>
        </w:rPr>
        <w:t>La</w:t>
      </w:r>
      <w:r w:rsidRPr="001C66BE">
        <w:rPr>
          <w:rFonts w:ascii="Verdana" w:eastAsia="Calibri" w:hAnsi="Verdana"/>
          <w:kern w:val="2"/>
          <w:sz w:val="20"/>
          <w:szCs w:val="20"/>
        </w:rPr>
        <w:t xml:space="preserve"> Corte observa que </w:t>
      </w:r>
      <w:r w:rsidRPr="001C66BE">
        <w:rPr>
          <w:rFonts w:ascii="Verdana" w:hAnsi="Verdana"/>
          <w:sz w:val="20"/>
          <w:szCs w:val="20"/>
          <w:lang w:val="es-ES_tradnl"/>
        </w:rPr>
        <w:t xml:space="preserve">los señores Girón y Castillo permanecieron durante </w:t>
      </w:r>
      <w:r w:rsidR="00D94DED">
        <w:rPr>
          <w:rFonts w:ascii="Verdana" w:hAnsi="Verdana"/>
          <w:sz w:val="20"/>
          <w:szCs w:val="20"/>
          <w:lang w:val="es-ES_tradnl"/>
        </w:rPr>
        <w:t>dos</w:t>
      </w:r>
      <w:r w:rsidRPr="001C66BE">
        <w:rPr>
          <w:rFonts w:ascii="Verdana" w:hAnsi="Verdana"/>
          <w:sz w:val="20"/>
          <w:szCs w:val="20"/>
          <w:lang w:val="es-ES_tradnl"/>
        </w:rPr>
        <w:t xml:space="preserve"> años y 11 meses bajo una constante amenaza de que en cualquier momento podían ser ejecutados</w:t>
      </w:r>
      <w:r w:rsidR="003551F1">
        <w:rPr>
          <w:rFonts w:ascii="Verdana" w:hAnsi="Verdana"/>
          <w:sz w:val="20"/>
          <w:szCs w:val="20"/>
          <w:lang w:val="es-ES_tradnl"/>
        </w:rPr>
        <w:t xml:space="preserve">. </w:t>
      </w:r>
      <w:r w:rsidRPr="001C66BE">
        <w:rPr>
          <w:rFonts w:ascii="Verdana" w:hAnsi="Verdana"/>
          <w:sz w:val="20"/>
          <w:szCs w:val="20"/>
          <w:lang w:val="es-ES_tradnl"/>
        </w:rPr>
        <w:t>C</w:t>
      </w:r>
      <w:r w:rsidRPr="001C66BE">
        <w:rPr>
          <w:rFonts w:ascii="Verdana" w:hAnsi="Verdana"/>
          <w:color w:val="000000" w:themeColor="text1"/>
          <w:sz w:val="20"/>
          <w:szCs w:val="20"/>
        </w:rPr>
        <w:t xml:space="preserve">omo resultado de esta sentencia condenatoria, </w:t>
      </w:r>
      <w:r w:rsidRPr="001C66BE">
        <w:rPr>
          <w:rFonts w:ascii="Verdana" w:hAnsi="Verdana"/>
          <w:sz w:val="20"/>
          <w:szCs w:val="20"/>
          <w:lang w:val="es-ES_tradnl"/>
        </w:rPr>
        <w:t xml:space="preserve">los señores Girón y Castillo </w:t>
      </w:r>
      <w:r w:rsidRPr="001C66BE">
        <w:rPr>
          <w:rFonts w:ascii="Verdana" w:hAnsi="Verdana"/>
          <w:sz w:val="20"/>
          <w:szCs w:val="20"/>
        </w:rPr>
        <w:t>tuvieron que contemplar la</w:t>
      </w:r>
      <w:r w:rsidRPr="001C66BE">
        <w:rPr>
          <w:rFonts w:ascii="Verdana" w:hAnsi="Verdana"/>
          <w:spacing w:val="23"/>
          <w:sz w:val="20"/>
          <w:szCs w:val="20"/>
        </w:rPr>
        <w:t xml:space="preserve"> </w:t>
      </w:r>
      <w:r w:rsidRPr="001C66BE">
        <w:rPr>
          <w:rFonts w:ascii="Verdana" w:hAnsi="Verdana"/>
          <w:sz w:val="20"/>
          <w:szCs w:val="20"/>
        </w:rPr>
        <w:t>perspectiva</w:t>
      </w:r>
      <w:r w:rsidRPr="001C66BE">
        <w:rPr>
          <w:rFonts w:ascii="Verdana" w:hAnsi="Verdana"/>
          <w:spacing w:val="10"/>
          <w:sz w:val="20"/>
          <w:szCs w:val="20"/>
        </w:rPr>
        <w:t xml:space="preserve"> </w:t>
      </w:r>
      <w:r w:rsidRPr="001C66BE">
        <w:rPr>
          <w:rFonts w:ascii="Verdana" w:hAnsi="Verdana"/>
          <w:sz w:val="20"/>
          <w:szCs w:val="20"/>
        </w:rPr>
        <w:t>de</w:t>
      </w:r>
      <w:r w:rsidRPr="001C66BE">
        <w:rPr>
          <w:rFonts w:ascii="Verdana" w:hAnsi="Verdana"/>
          <w:spacing w:val="8"/>
          <w:sz w:val="20"/>
          <w:szCs w:val="20"/>
        </w:rPr>
        <w:t xml:space="preserve"> </w:t>
      </w:r>
      <w:r w:rsidRPr="001C66BE">
        <w:rPr>
          <w:rFonts w:ascii="Verdana" w:hAnsi="Verdana"/>
          <w:sz w:val="20"/>
          <w:szCs w:val="20"/>
        </w:rPr>
        <w:t>la extinción de sus vidas durante dicho tiempo</w:t>
      </w:r>
      <w:r w:rsidRPr="001C66BE">
        <w:rPr>
          <w:rFonts w:ascii="Verdana" w:hAnsi="Verdana"/>
          <w:bCs/>
          <w:iCs/>
          <w:sz w:val="20"/>
          <w:szCs w:val="20"/>
        </w:rPr>
        <w:t>.</w:t>
      </w:r>
      <w:r w:rsidRPr="001C66BE">
        <w:rPr>
          <w:rFonts w:ascii="Verdana" w:hAnsi="Verdana"/>
          <w:sz w:val="20"/>
          <w:szCs w:val="20"/>
        </w:rPr>
        <w:t xml:space="preserve"> Asimismo, la Corte destaca que la forma en la que se impone una condena a pena de muerte puede constituir un factor que determine su incompatibilidad con lo establecido en el artículo 5 de la Convención Americana</w:t>
      </w:r>
      <w:r w:rsidRPr="001C66BE">
        <w:rPr>
          <w:rStyle w:val="Refdenotaalpie"/>
          <w:rFonts w:ascii="Verdana" w:hAnsi="Verdana"/>
          <w:sz w:val="20"/>
          <w:szCs w:val="20"/>
        </w:rPr>
        <w:footnoteReference w:id="82"/>
      </w:r>
      <w:r w:rsidRPr="001C66BE">
        <w:rPr>
          <w:rFonts w:ascii="Verdana" w:hAnsi="Verdana"/>
          <w:sz w:val="20"/>
          <w:szCs w:val="20"/>
        </w:rPr>
        <w:t xml:space="preserve">. La Corte observa que </w:t>
      </w:r>
      <w:r w:rsidRPr="001C66BE">
        <w:rPr>
          <w:rFonts w:ascii="Verdana" w:hAnsi="Verdana"/>
          <w:sz w:val="20"/>
          <w:szCs w:val="20"/>
          <w:lang w:val="es-ES_tradnl"/>
        </w:rPr>
        <w:t xml:space="preserve">los señores Girón y Castillo fueron condenados a la pena capital en el marco de un procedimiento penal en el que se produjeron violaciones de los artículos 4.1 y 4.2 de la Convención, </w:t>
      </w:r>
      <w:r w:rsidR="00BD5FF4">
        <w:rPr>
          <w:rFonts w:ascii="Verdana" w:hAnsi="Verdana"/>
          <w:sz w:val="20"/>
          <w:szCs w:val="20"/>
          <w:lang w:val="es-ES_tradnl"/>
        </w:rPr>
        <w:t xml:space="preserve">además </w:t>
      </w:r>
      <w:r w:rsidRPr="001C66BE">
        <w:rPr>
          <w:rFonts w:ascii="Verdana" w:hAnsi="Verdana"/>
          <w:sz w:val="20"/>
          <w:szCs w:val="20"/>
          <w:lang w:val="es-ES_tradnl"/>
        </w:rPr>
        <w:t>de varios preceptos relativos al debido proceso en el marco del procedimiento penal (</w:t>
      </w:r>
      <w:r w:rsidR="00A67FE1">
        <w:rPr>
          <w:rFonts w:ascii="Verdana" w:hAnsi="Verdana"/>
          <w:i/>
          <w:sz w:val="20"/>
          <w:szCs w:val="20"/>
          <w:lang w:val="es-ES_tradnl"/>
        </w:rPr>
        <w:t>infra</w:t>
      </w:r>
      <w:r w:rsidRPr="001C66BE">
        <w:rPr>
          <w:rFonts w:ascii="Verdana" w:hAnsi="Verdana"/>
          <w:sz w:val="20"/>
          <w:szCs w:val="20"/>
          <w:lang w:val="es-ES_tradnl"/>
        </w:rPr>
        <w:t xml:space="preserve"> </w:t>
      </w:r>
      <w:r w:rsidR="00A13719">
        <w:rPr>
          <w:rFonts w:ascii="Verdana" w:hAnsi="Verdana"/>
          <w:sz w:val="20"/>
          <w:szCs w:val="20"/>
          <w:lang w:val="es-ES_tradnl"/>
        </w:rPr>
        <w:t>párr</w:t>
      </w:r>
      <w:r w:rsidR="003551F1">
        <w:rPr>
          <w:rFonts w:ascii="Verdana" w:hAnsi="Verdana"/>
          <w:sz w:val="20"/>
          <w:szCs w:val="20"/>
          <w:lang w:val="es-ES_tradnl"/>
        </w:rPr>
        <w:t xml:space="preserve">. </w:t>
      </w:r>
      <w:r w:rsidR="007D4060">
        <w:rPr>
          <w:rFonts w:ascii="Verdana" w:hAnsi="Verdana"/>
          <w:sz w:val="20"/>
          <w:szCs w:val="20"/>
          <w:lang w:val="es-ES_tradnl"/>
        </w:rPr>
        <w:t>123</w:t>
      </w:r>
      <w:r w:rsidRPr="001C66BE">
        <w:rPr>
          <w:rFonts w:ascii="Verdana" w:hAnsi="Verdana"/>
          <w:sz w:val="20"/>
          <w:szCs w:val="20"/>
          <w:lang w:val="es-ES_tradnl"/>
        </w:rPr>
        <w:t xml:space="preserve">). </w:t>
      </w:r>
    </w:p>
    <w:p w:rsidR="00914EAC" w:rsidRPr="001C66BE" w:rsidRDefault="00914EAC" w:rsidP="00914EAC">
      <w:pPr>
        <w:pStyle w:val="Normal1"/>
        <w:widowControl/>
        <w:tabs>
          <w:tab w:val="left" w:pos="0"/>
        </w:tabs>
        <w:contextualSpacing/>
        <w:jc w:val="both"/>
        <w:rPr>
          <w:rFonts w:ascii="Verdana" w:hAnsi="Verdana"/>
          <w:sz w:val="20"/>
          <w:szCs w:val="20"/>
        </w:rPr>
      </w:pPr>
    </w:p>
    <w:p w:rsidR="005B66FA" w:rsidRDefault="009F37F0" w:rsidP="00FE0342">
      <w:pPr>
        <w:pStyle w:val="Normal1"/>
        <w:widowControl/>
        <w:numPr>
          <w:ilvl w:val="0"/>
          <w:numId w:val="33"/>
        </w:numPr>
        <w:tabs>
          <w:tab w:val="left" w:pos="0"/>
        </w:tabs>
        <w:ind w:left="0" w:firstLine="0"/>
        <w:contextualSpacing/>
        <w:jc w:val="both"/>
        <w:rPr>
          <w:rFonts w:ascii="Verdana" w:hAnsi="Verdana"/>
          <w:sz w:val="20"/>
          <w:szCs w:val="20"/>
        </w:rPr>
      </w:pPr>
      <w:r w:rsidRPr="005B66FA">
        <w:rPr>
          <w:rFonts w:ascii="Verdana" w:hAnsi="Verdana"/>
          <w:sz w:val="20"/>
          <w:szCs w:val="20"/>
        </w:rPr>
        <w:t xml:space="preserve">Por otro lado, </w:t>
      </w:r>
      <w:r w:rsidR="0090224B" w:rsidRPr="005B66FA">
        <w:rPr>
          <w:rFonts w:ascii="Verdana" w:hAnsi="Verdana"/>
          <w:sz w:val="20"/>
          <w:szCs w:val="20"/>
        </w:rPr>
        <w:t>la Corte nota que el Decreto No. 234</w:t>
      </w:r>
      <w:r w:rsidR="00041CE3" w:rsidRPr="005B66FA">
        <w:rPr>
          <w:rFonts w:ascii="Verdana" w:hAnsi="Verdana"/>
          <w:sz w:val="20"/>
          <w:szCs w:val="20"/>
        </w:rPr>
        <w:t xml:space="preserve"> </w:t>
      </w:r>
      <w:r w:rsidR="0090224B" w:rsidRPr="005B66FA">
        <w:rPr>
          <w:rFonts w:ascii="Verdana" w:hAnsi="Verdana"/>
          <w:sz w:val="20"/>
          <w:szCs w:val="20"/>
        </w:rPr>
        <w:t xml:space="preserve">establecía como </w:t>
      </w:r>
      <w:r w:rsidRPr="005B66FA">
        <w:rPr>
          <w:rFonts w:ascii="Verdana" w:hAnsi="Verdana"/>
          <w:sz w:val="20"/>
          <w:szCs w:val="20"/>
        </w:rPr>
        <w:t>medio de ejecución de la pena de muerte</w:t>
      </w:r>
      <w:r w:rsidR="0090224B" w:rsidRPr="005B66FA">
        <w:rPr>
          <w:rFonts w:ascii="Verdana" w:hAnsi="Verdana"/>
          <w:sz w:val="20"/>
          <w:szCs w:val="20"/>
        </w:rPr>
        <w:t xml:space="preserve"> </w:t>
      </w:r>
      <w:r w:rsidRPr="005B66FA">
        <w:rPr>
          <w:rFonts w:ascii="Verdana" w:hAnsi="Verdana"/>
          <w:sz w:val="20"/>
          <w:szCs w:val="20"/>
        </w:rPr>
        <w:t>el ”fusilamiento”</w:t>
      </w:r>
      <w:r w:rsidR="00041CE3" w:rsidRPr="005B66FA">
        <w:rPr>
          <w:rFonts w:ascii="Verdana" w:hAnsi="Verdana"/>
          <w:sz w:val="20"/>
          <w:szCs w:val="20"/>
        </w:rPr>
        <w:t xml:space="preserve">, el cual </w:t>
      </w:r>
      <w:r w:rsidRPr="005B66FA">
        <w:rPr>
          <w:rFonts w:ascii="Verdana" w:hAnsi="Verdana"/>
          <w:sz w:val="20"/>
          <w:szCs w:val="20"/>
        </w:rPr>
        <w:t>posteriormente fue sustituido por la “inyección letal”</w:t>
      </w:r>
      <w:r w:rsidR="0090224B" w:rsidRPr="005B66FA">
        <w:rPr>
          <w:rFonts w:ascii="Verdana" w:hAnsi="Verdana"/>
          <w:sz w:val="20"/>
          <w:szCs w:val="20"/>
        </w:rPr>
        <w:t>,</w:t>
      </w:r>
      <w:r w:rsidRPr="005B66FA">
        <w:rPr>
          <w:rFonts w:ascii="Verdana" w:hAnsi="Verdana"/>
          <w:sz w:val="20"/>
          <w:szCs w:val="20"/>
        </w:rPr>
        <w:t xml:space="preserve"> </w:t>
      </w:r>
      <w:r w:rsidR="00041CE3" w:rsidRPr="005B66FA">
        <w:rPr>
          <w:rFonts w:ascii="Verdana" w:hAnsi="Verdana"/>
          <w:sz w:val="20"/>
          <w:szCs w:val="20"/>
        </w:rPr>
        <w:t xml:space="preserve">según </w:t>
      </w:r>
      <w:r w:rsidRPr="005B66FA">
        <w:rPr>
          <w:rFonts w:ascii="Verdana" w:hAnsi="Verdana"/>
          <w:sz w:val="20"/>
          <w:szCs w:val="20"/>
        </w:rPr>
        <w:t>el Decreto No. 100-</w:t>
      </w:r>
      <w:r w:rsidR="00A13719">
        <w:rPr>
          <w:rFonts w:ascii="Verdana" w:hAnsi="Verdana"/>
          <w:sz w:val="20"/>
          <w:szCs w:val="20"/>
        </w:rPr>
        <w:t>19</w:t>
      </w:r>
      <w:r w:rsidRPr="005B66FA">
        <w:rPr>
          <w:rFonts w:ascii="Verdana" w:hAnsi="Verdana"/>
          <w:sz w:val="20"/>
          <w:szCs w:val="20"/>
        </w:rPr>
        <w:t>96 de noviembre de 1996</w:t>
      </w:r>
      <w:r w:rsidR="0090224B" w:rsidRPr="005B66FA">
        <w:rPr>
          <w:rFonts w:ascii="Verdana" w:hAnsi="Verdana"/>
          <w:sz w:val="20"/>
          <w:szCs w:val="20"/>
        </w:rPr>
        <w:t xml:space="preserve">. En dicho decreto del considerando </w:t>
      </w:r>
      <w:r w:rsidR="00103EDB">
        <w:rPr>
          <w:rFonts w:ascii="Verdana" w:hAnsi="Verdana"/>
          <w:sz w:val="20"/>
          <w:szCs w:val="20"/>
        </w:rPr>
        <w:t>tercero</w:t>
      </w:r>
      <w:r w:rsidR="0090224B" w:rsidRPr="005B66FA">
        <w:rPr>
          <w:rFonts w:ascii="Verdana" w:hAnsi="Verdana"/>
          <w:sz w:val="20"/>
          <w:szCs w:val="20"/>
        </w:rPr>
        <w:t xml:space="preserve"> se desprende que</w:t>
      </w:r>
      <w:r w:rsidR="006B2BCC" w:rsidRPr="005B66FA">
        <w:rPr>
          <w:rFonts w:ascii="Verdana" w:hAnsi="Verdana"/>
          <w:sz w:val="20"/>
          <w:szCs w:val="20"/>
        </w:rPr>
        <w:t xml:space="preserve"> </w:t>
      </w:r>
      <w:r w:rsidRPr="005B66FA">
        <w:rPr>
          <w:rFonts w:ascii="Verdana" w:hAnsi="Verdana"/>
          <w:sz w:val="20"/>
          <w:szCs w:val="20"/>
        </w:rPr>
        <w:t>el Estado reconoció que el uso del procedimiento de inyección letal tiene la garantía de su efectividad en un lapso muy corto, con el mínimo de sufrimiento de parte de la persona a quien se destina</w:t>
      </w:r>
      <w:r w:rsidRPr="008E0075">
        <w:rPr>
          <w:rStyle w:val="Refdenotaalpie"/>
          <w:rFonts w:ascii="Verdana" w:hAnsi="Verdana"/>
          <w:sz w:val="20"/>
          <w:szCs w:val="20"/>
        </w:rPr>
        <w:footnoteReference w:id="83"/>
      </w:r>
      <w:r w:rsidRPr="005B66FA">
        <w:rPr>
          <w:rFonts w:ascii="Verdana" w:hAnsi="Verdana"/>
          <w:sz w:val="20"/>
          <w:szCs w:val="20"/>
        </w:rPr>
        <w:t xml:space="preserve">, por tal motivo, sustituyó el fusilamiento como modo de ejecución de la pena capital. </w:t>
      </w:r>
      <w:r w:rsidR="00560696" w:rsidRPr="005B66FA">
        <w:rPr>
          <w:rFonts w:ascii="Verdana" w:hAnsi="Verdana"/>
          <w:sz w:val="20"/>
          <w:szCs w:val="20"/>
        </w:rPr>
        <w:t>Al respecto</w:t>
      </w:r>
      <w:r w:rsidR="008D260B" w:rsidRPr="005B66FA">
        <w:rPr>
          <w:rFonts w:ascii="Verdana" w:hAnsi="Verdana"/>
          <w:sz w:val="20"/>
          <w:szCs w:val="20"/>
        </w:rPr>
        <w:t xml:space="preserve">, la Corte entiende que el Estado cambió de método de ejecución, porque consideró que este nuevo método causaba menor sufrimiento. Sin embargo, realizó esta modificación después de la ejecución de las presuntas víctimas, </w:t>
      </w:r>
      <w:r w:rsidR="009A42AA">
        <w:rPr>
          <w:rFonts w:ascii="Verdana" w:hAnsi="Verdana"/>
          <w:sz w:val="20"/>
          <w:szCs w:val="20"/>
        </w:rPr>
        <w:t>quienes fueron fusiladas</w:t>
      </w:r>
      <w:r w:rsidR="008D260B" w:rsidRPr="005B66FA">
        <w:rPr>
          <w:rFonts w:ascii="Verdana" w:hAnsi="Verdana"/>
          <w:sz w:val="20"/>
          <w:szCs w:val="20"/>
        </w:rPr>
        <w:t>.</w:t>
      </w:r>
    </w:p>
    <w:p w:rsidR="005B66FA" w:rsidRPr="005B66FA" w:rsidRDefault="005B66FA" w:rsidP="005B66FA">
      <w:pPr>
        <w:pStyle w:val="Normal1"/>
        <w:widowControl/>
        <w:tabs>
          <w:tab w:val="left" w:pos="0"/>
        </w:tabs>
        <w:contextualSpacing/>
        <w:jc w:val="both"/>
        <w:rPr>
          <w:rFonts w:ascii="Verdana" w:hAnsi="Verdana"/>
          <w:sz w:val="20"/>
          <w:szCs w:val="20"/>
        </w:rPr>
      </w:pPr>
    </w:p>
    <w:p w:rsidR="005B66FA" w:rsidRDefault="00560696" w:rsidP="00FE0342">
      <w:pPr>
        <w:pStyle w:val="Normal1"/>
        <w:widowControl/>
        <w:numPr>
          <w:ilvl w:val="0"/>
          <w:numId w:val="33"/>
        </w:numPr>
        <w:tabs>
          <w:tab w:val="left" w:pos="0"/>
        </w:tabs>
        <w:ind w:left="0" w:firstLine="0"/>
        <w:contextualSpacing/>
        <w:jc w:val="both"/>
        <w:rPr>
          <w:rFonts w:ascii="Verdana" w:hAnsi="Verdana"/>
          <w:sz w:val="20"/>
          <w:szCs w:val="20"/>
        </w:rPr>
      </w:pPr>
      <w:r w:rsidRPr="005B66FA">
        <w:rPr>
          <w:rFonts w:ascii="Verdana" w:hAnsi="Verdana"/>
          <w:sz w:val="20"/>
          <w:szCs w:val="20"/>
        </w:rPr>
        <w:t xml:space="preserve">Asimismo, este Tribunal advierte que la </w:t>
      </w:r>
      <w:r w:rsidR="007E6175" w:rsidRPr="005B66FA">
        <w:rPr>
          <w:rFonts w:ascii="Verdana" w:hAnsi="Verdana"/>
          <w:sz w:val="20"/>
          <w:szCs w:val="20"/>
        </w:rPr>
        <w:t xml:space="preserve">publicidad de </w:t>
      </w:r>
      <w:r w:rsidRPr="005B66FA">
        <w:rPr>
          <w:rFonts w:ascii="Verdana" w:hAnsi="Verdana"/>
          <w:sz w:val="20"/>
          <w:szCs w:val="20"/>
        </w:rPr>
        <w:t xml:space="preserve">la ejecución de los señores Girón y Castillo </w:t>
      </w:r>
      <w:r w:rsidR="007E6175" w:rsidRPr="005B66FA">
        <w:rPr>
          <w:rFonts w:ascii="Verdana" w:hAnsi="Verdana"/>
          <w:sz w:val="20"/>
          <w:szCs w:val="20"/>
        </w:rPr>
        <w:t xml:space="preserve">a través de los medios televisivos </w:t>
      </w:r>
      <w:r w:rsidRPr="005B66FA">
        <w:rPr>
          <w:rFonts w:ascii="Verdana" w:hAnsi="Verdana"/>
          <w:sz w:val="20"/>
          <w:szCs w:val="20"/>
        </w:rPr>
        <w:t>es incompatible con la dignidad humana, por constituirse como un trato degradante, toda vez, que las presuntas víctimas del presente caso fueron tratados como objetos para ejemplificar</w:t>
      </w:r>
      <w:r w:rsidR="00085F5F">
        <w:rPr>
          <w:rFonts w:ascii="Verdana" w:hAnsi="Verdana"/>
          <w:sz w:val="20"/>
          <w:szCs w:val="20"/>
        </w:rPr>
        <w:t>,</w:t>
      </w:r>
      <w:r w:rsidRPr="005B66FA">
        <w:rPr>
          <w:rFonts w:ascii="Verdana" w:hAnsi="Verdana"/>
          <w:sz w:val="20"/>
          <w:szCs w:val="20"/>
        </w:rPr>
        <w:t xml:space="preserve"> a través de su ejecución</w:t>
      </w:r>
      <w:r w:rsidR="00085F5F">
        <w:rPr>
          <w:rFonts w:ascii="Verdana" w:hAnsi="Verdana"/>
          <w:sz w:val="20"/>
          <w:szCs w:val="20"/>
        </w:rPr>
        <w:t>,</w:t>
      </w:r>
      <w:r w:rsidRPr="005B66FA">
        <w:rPr>
          <w:rFonts w:ascii="Verdana" w:hAnsi="Verdana"/>
          <w:sz w:val="20"/>
          <w:szCs w:val="20"/>
        </w:rPr>
        <w:t xml:space="preserve"> que determinadas conductas eran rechazada</w:t>
      </w:r>
      <w:r w:rsidR="0010033B">
        <w:rPr>
          <w:rFonts w:ascii="Verdana" w:hAnsi="Verdana"/>
          <w:sz w:val="20"/>
          <w:szCs w:val="20"/>
        </w:rPr>
        <w:t>s por la sociedad en Guatemala</w:t>
      </w:r>
      <w:r w:rsidR="005B66FA">
        <w:rPr>
          <w:rFonts w:ascii="Verdana" w:hAnsi="Verdana"/>
          <w:sz w:val="20"/>
          <w:szCs w:val="20"/>
        </w:rPr>
        <w:t>.</w:t>
      </w:r>
    </w:p>
    <w:p w:rsidR="005B66FA" w:rsidRPr="005B66FA" w:rsidRDefault="005B66FA" w:rsidP="005B66FA">
      <w:pPr>
        <w:pStyle w:val="Normal1"/>
        <w:widowControl/>
        <w:tabs>
          <w:tab w:val="left" w:pos="0"/>
        </w:tabs>
        <w:contextualSpacing/>
        <w:jc w:val="both"/>
        <w:rPr>
          <w:rFonts w:ascii="Verdana" w:hAnsi="Verdana"/>
          <w:sz w:val="20"/>
          <w:szCs w:val="20"/>
        </w:rPr>
      </w:pPr>
    </w:p>
    <w:p w:rsidR="005A5A9E" w:rsidRPr="001C66BE" w:rsidRDefault="005A5A9E" w:rsidP="00FE0342">
      <w:pPr>
        <w:pStyle w:val="Normal1"/>
        <w:widowControl/>
        <w:numPr>
          <w:ilvl w:val="0"/>
          <w:numId w:val="33"/>
        </w:numPr>
        <w:tabs>
          <w:tab w:val="left" w:pos="0"/>
        </w:tabs>
        <w:ind w:left="0" w:firstLine="0"/>
        <w:contextualSpacing/>
        <w:jc w:val="both"/>
        <w:rPr>
          <w:rFonts w:ascii="Verdana" w:hAnsi="Verdana"/>
          <w:strike/>
          <w:sz w:val="20"/>
          <w:szCs w:val="20"/>
        </w:rPr>
      </w:pPr>
      <w:r w:rsidRPr="001C66BE">
        <w:rPr>
          <w:rFonts w:ascii="Verdana" w:hAnsi="Verdana"/>
          <w:color w:val="000000" w:themeColor="text1"/>
          <w:sz w:val="20"/>
          <w:szCs w:val="20"/>
        </w:rPr>
        <w:t xml:space="preserve">Por tal motivo, </w:t>
      </w:r>
      <w:r w:rsidRPr="001C66BE">
        <w:rPr>
          <w:rFonts w:ascii="Verdana" w:hAnsi="Verdana"/>
          <w:sz w:val="20"/>
          <w:szCs w:val="20"/>
        </w:rPr>
        <w:t xml:space="preserve">la Corte concluye que </w:t>
      </w:r>
      <w:r w:rsidRPr="001C66BE">
        <w:rPr>
          <w:rFonts w:ascii="Verdana" w:hAnsi="Verdana"/>
          <w:sz w:val="20"/>
          <w:szCs w:val="20"/>
          <w:lang w:val="es-ES_tradnl"/>
        </w:rPr>
        <w:t xml:space="preserve">los señores Girón y Castillo </w:t>
      </w:r>
      <w:r w:rsidRPr="001C66BE">
        <w:rPr>
          <w:rFonts w:ascii="Verdana" w:hAnsi="Verdana"/>
          <w:sz w:val="20"/>
          <w:szCs w:val="20"/>
        </w:rPr>
        <w:t>enfrentaron graves sufrimientos psíquicos proven</w:t>
      </w:r>
      <w:r w:rsidR="00222B56" w:rsidRPr="001C66BE">
        <w:rPr>
          <w:rFonts w:ascii="Verdana" w:hAnsi="Verdana"/>
          <w:sz w:val="20"/>
          <w:szCs w:val="20"/>
        </w:rPr>
        <w:t>ientes de la angustia de saberse</w:t>
      </w:r>
      <w:r w:rsidRPr="001C66BE">
        <w:rPr>
          <w:rFonts w:ascii="Verdana" w:hAnsi="Verdana"/>
          <w:sz w:val="20"/>
          <w:szCs w:val="20"/>
        </w:rPr>
        <w:t xml:space="preserve"> en el “corredor de la muerte” tras un procedimiento que tuvo numerosas falencias, </w:t>
      </w:r>
      <w:r w:rsidR="006A7D47" w:rsidRPr="001C66BE">
        <w:rPr>
          <w:rFonts w:ascii="Verdana" w:hAnsi="Verdana"/>
          <w:sz w:val="20"/>
          <w:szCs w:val="20"/>
        </w:rPr>
        <w:t>así como po</w:t>
      </w:r>
      <w:r w:rsidR="00222B56" w:rsidRPr="001C66BE">
        <w:rPr>
          <w:rFonts w:ascii="Verdana" w:hAnsi="Verdana"/>
          <w:sz w:val="20"/>
          <w:szCs w:val="20"/>
        </w:rPr>
        <w:t xml:space="preserve">r la publicidad de la ejecución, </w:t>
      </w:r>
      <w:r w:rsidRPr="001C66BE">
        <w:rPr>
          <w:rFonts w:ascii="Verdana" w:hAnsi="Verdana"/>
          <w:sz w:val="20"/>
          <w:szCs w:val="20"/>
        </w:rPr>
        <w:t xml:space="preserve">lo cual </w:t>
      </w:r>
      <w:r w:rsidRPr="001C66BE">
        <w:rPr>
          <w:rFonts w:ascii="Verdana" w:hAnsi="Verdana"/>
          <w:bCs/>
          <w:iCs/>
          <w:sz w:val="20"/>
          <w:szCs w:val="20"/>
        </w:rPr>
        <w:t>fue violatorio de su derecho a la integridad física, psíquica y moral, contenido en el artículo 5.1 de la Convención Americana y han constituido un trato cruel, inhumano y degradante contrario al artículo 5.2 de la misma, todo ello con relación al artículo 1.1 del mismo instrumento.</w:t>
      </w:r>
    </w:p>
    <w:p w:rsidR="005B66FA" w:rsidRPr="00BE4739" w:rsidRDefault="005B66FA" w:rsidP="005B66FA">
      <w:pPr>
        <w:pStyle w:val="Normal1"/>
        <w:widowControl/>
        <w:tabs>
          <w:tab w:val="left" w:pos="0"/>
        </w:tabs>
        <w:contextualSpacing/>
        <w:jc w:val="both"/>
        <w:rPr>
          <w:rFonts w:ascii="Verdana" w:hAnsi="Verdana"/>
          <w:sz w:val="20"/>
          <w:szCs w:val="20"/>
        </w:rPr>
      </w:pPr>
    </w:p>
    <w:p w:rsidR="00337D96" w:rsidRDefault="006A7D47" w:rsidP="00FE0342">
      <w:pPr>
        <w:pStyle w:val="Normal1"/>
        <w:widowControl/>
        <w:numPr>
          <w:ilvl w:val="0"/>
          <w:numId w:val="33"/>
        </w:numPr>
        <w:tabs>
          <w:tab w:val="left" w:pos="0"/>
        </w:tabs>
        <w:ind w:left="0" w:firstLine="0"/>
        <w:contextualSpacing/>
        <w:jc w:val="both"/>
        <w:rPr>
          <w:rFonts w:ascii="Verdana" w:hAnsi="Verdana"/>
          <w:sz w:val="20"/>
          <w:szCs w:val="20"/>
        </w:rPr>
      </w:pPr>
      <w:r w:rsidRPr="007C45D8">
        <w:rPr>
          <w:rFonts w:ascii="Verdana" w:hAnsi="Verdana"/>
          <w:sz w:val="20"/>
          <w:szCs w:val="20"/>
        </w:rPr>
        <w:t>Por último</w:t>
      </w:r>
      <w:r w:rsidR="009F37F0" w:rsidRPr="007C45D8">
        <w:rPr>
          <w:rFonts w:ascii="Verdana" w:hAnsi="Verdana"/>
          <w:sz w:val="20"/>
          <w:szCs w:val="20"/>
        </w:rPr>
        <w:t>, la Comisión y l</w:t>
      </w:r>
      <w:r w:rsidR="00F84863">
        <w:rPr>
          <w:rFonts w:ascii="Verdana" w:hAnsi="Verdana"/>
          <w:sz w:val="20"/>
          <w:szCs w:val="20"/>
        </w:rPr>
        <w:t>a</w:t>
      </w:r>
      <w:r w:rsidR="009F37F0" w:rsidRPr="007C45D8">
        <w:rPr>
          <w:rFonts w:ascii="Verdana" w:hAnsi="Verdana"/>
          <w:sz w:val="20"/>
          <w:szCs w:val="20"/>
        </w:rPr>
        <w:t xml:space="preserve">s representantes alegaron que el modo de ejecución de la pena de muerte a través del fusilamiento constituyó </w:t>
      </w:r>
      <w:r w:rsidR="003A4D32" w:rsidRPr="007C45D8">
        <w:rPr>
          <w:rFonts w:ascii="Verdana" w:hAnsi="Verdana"/>
          <w:sz w:val="20"/>
          <w:szCs w:val="20"/>
        </w:rPr>
        <w:t>un acto de tortura.</w:t>
      </w:r>
      <w:r w:rsidR="00E822FB" w:rsidRPr="007C45D8">
        <w:rPr>
          <w:rFonts w:ascii="Verdana" w:hAnsi="Verdana"/>
          <w:sz w:val="20"/>
          <w:szCs w:val="20"/>
        </w:rPr>
        <w:t xml:space="preserve"> </w:t>
      </w:r>
      <w:r w:rsidR="00AD4ACB" w:rsidRPr="007C45D8">
        <w:rPr>
          <w:rFonts w:ascii="Verdana" w:hAnsi="Verdana"/>
          <w:sz w:val="20"/>
          <w:szCs w:val="20"/>
        </w:rPr>
        <w:t>En razón de las violaciones ya declaradas en el presente caso, esta Corte considera que no es necesario pronunciarse al respecto.</w:t>
      </w:r>
      <w:bookmarkStart w:id="76" w:name="_Toc12350853"/>
    </w:p>
    <w:p w:rsidR="00B349D0" w:rsidRDefault="00B349D0" w:rsidP="00B349D0">
      <w:pPr>
        <w:pStyle w:val="Normal1"/>
        <w:widowControl/>
        <w:tabs>
          <w:tab w:val="left" w:pos="0"/>
        </w:tabs>
        <w:contextualSpacing/>
        <w:jc w:val="both"/>
        <w:rPr>
          <w:rFonts w:ascii="Verdana" w:hAnsi="Verdana"/>
          <w:sz w:val="20"/>
          <w:szCs w:val="20"/>
        </w:rPr>
      </w:pPr>
    </w:p>
    <w:p w:rsidR="00B349D0" w:rsidRPr="00A61525" w:rsidRDefault="00B349D0" w:rsidP="00B349D0">
      <w:pPr>
        <w:spacing w:after="0" w:line="240" w:lineRule="auto"/>
        <w:jc w:val="both"/>
        <w:outlineLvl w:val="1"/>
        <w:rPr>
          <w:rFonts w:ascii="Verdana" w:hAnsi="Verdana"/>
          <w:b/>
          <w:sz w:val="20"/>
          <w:szCs w:val="20"/>
          <w:lang w:val="es-CR"/>
        </w:rPr>
      </w:pPr>
      <w:bookmarkStart w:id="77" w:name="_Toc11234540"/>
      <w:bookmarkStart w:id="78" w:name="_Toc12350852"/>
      <w:bookmarkStart w:id="79" w:name="_Toc24538845"/>
      <w:r w:rsidRPr="00A61525">
        <w:rPr>
          <w:rFonts w:ascii="Verdana" w:hAnsi="Verdana"/>
          <w:b/>
          <w:sz w:val="20"/>
          <w:szCs w:val="20"/>
          <w:lang w:val="es-CR"/>
        </w:rPr>
        <w:t>C. Conclusión</w:t>
      </w:r>
      <w:bookmarkEnd w:id="77"/>
      <w:bookmarkEnd w:id="78"/>
      <w:bookmarkEnd w:id="79"/>
    </w:p>
    <w:p w:rsidR="00B349D0" w:rsidRDefault="00B349D0" w:rsidP="00B349D0">
      <w:pPr>
        <w:pStyle w:val="Normal1"/>
        <w:widowControl/>
        <w:tabs>
          <w:tab w:val="left" w:pos="0"/>
        </w:tabs>
        <w:contextualSpacing/>
        <w:jc w:val="both"/>
        <w:rPr>
          <w:rFonts w:ascii="Verdana" w:hAnsi="Verdana"/>
          <w:sz w:val="20"/>
          <w:szCs w:val="20"/>
        </w:rPr>
      </w:pPr>
    </w:p>
    <w:p w:rsidR="00652A97" w:rsidRPr="00A326C2" w:rsidRDefault="007266B2" w:rsidP="00FE0342">
      <w:pPr>
        <w:pStyle w:val="Normal1"/>
        <w:widowControl/>
        <w:numPr>
          <w:ilvl w:val="0"/>
          <w:numId w:val="33"/>
        </w:numPr>
        <w:tabs>
          <w:tab w:val="left" w:pos="0"/>
        </w:tabs>
        <w:ind w:left="0" w:firstLine="0"/>
        <w:contextualSpacing/>
        <w:jc w:val="both"/>
        <w:rPr>
          <w:rFonts w:ascii="Verdana" w:hAnsi="Verdana"/>
          <w:sz w:val="20"/>
          <w:szCs w:val="20"/>
        </w:rPr>
      </w:pPr>
      <w:r w:rsidRPr="00B349D0">
        <w:rPr>
          <w:rFonts w:ascii="Verdana" w:hAnsi="Verdana" w:cs="Verdana"/>
          <w:sz w:val="20"/>
          <w:szCs w:val="20"/>
        </w:rPr>
        <w:t>E</w:t>
      </w:r>
      <w:r w:rsidR="009F37F0" w:rsidRPr="00B349D0">
        <w:rPr>
          <w:rFonts w:ascii="Verdana" w:hAnsi="Verdana" w:cs="Verdana"/>
          <w:sz w:val="20"/>
          <w:szCs w:val="20"/>
        </w:rPr>
        <w:t xml:space="preserve">sta Corte concluye que el Estado </w:t>
      </w:r>
      <w:r w:rsidRPr="00B349D0">
        <w:rPr>
          <w:rFonts w:ascii="Verdana" w:hAnsi="Verdana" w:cs="Verdana"/>
          <w:sz w:val="20"/>
          <w:szCs w:val="20"/>
        </w:rPr>
        <w:t>es responsable de la viola</w:t>
      </w:r>
      <w:r w:rsidR="00482945" w:rsidRPr="00B349D0">
        <w:rPr>
          <w:rFonts w:ascii="Verdana" w:hAnsi="Verdana" w:cs="Verdana"/>
          <w:sz w:val="20"/>
          <w:szCs w:val="20"/>
        </w:rPr>
        <w:t>ci</w:t>
      </w:r>
      <w:r w:rsidRPr="00B349D0">
        <w:rPr>
          <w:rFonts w:ascii="Verdana" w:hAnsi="Verdana" w:cs="Verdana"/>
          <w:sz w:val="20"/>
          <w:szCs w:val="20"/>
        </w:rPr>
        <w:t>ón d</w:t>
      </w:r>
      <w:r w:rsidR="009F37F0" w:rsidRPr="00B349D0">
        <w:rPr>
          <w:rFonts w:ascii="Verdana" w:hAnsi="Verdana" w:cs="Verdana"/>
          <w:sz w:val="20"/>
          <w:szCs w:val="20"/>
        </w:rPr>
        <w:t>el derecho a no ser sometidos a tratos cr</w:t>
      </w:r>
      <w:r w:rsidR="00AD63E0">
        <w:rPr>
          <w:rFonts w:ascii="Verdana" w:hAnsi="Verdana" w:cs="Verdana"/>
          <w:sz w:val="20"/>
          <w:szCs w:val="20"/>
        </w:rPr>
        <w:t>ueles, inhumanos y</w:t>
      </w:r>
      <w:r w:rsidRPr="00B349D0">
        <w:rPr>
          <w:rFonts w:ascii="Verdana" w:hAnsi="Verdana" w:cs="Verdana"/>
          <w:sz w:val="20"/>
          <w:szCs w:val="20"/>
        </w:rPr>
        <w:t xml:space="preserve"> d</w:t>
      </w:r>
      <w:r w:rsidR="00DB6193">
        <w:rPr>
          <w:rFonts w:ascii="Verdana" w:hAnsi="Verdana" w:cs="Verdana"/>
          <w:sz w:val="20"/>
          <w:szCs w:val="20"/>
        </w:rPr>
        <w:t xml:space="preserve">egradantes, consagrado </w:t>
      </w:r>
      <w:r w:rsidRPr="00B349D0">
        <w:rPr>
          <w:rFonts w:ascii="Verdana" w:hAnsi="Verdana" w:cs="Verdana"/>
          <w:sz w:val="20"/>
          <w:szCs w:val="20"/>
        </w:rPr>
        <w:t>en el</w:t>
      </w:r>
      <w:r w:rsidR="009F37F0" w:rsidRPr="00B349D0">
        <w:rPr>
          <w:rFonts w:ascii="Verdana" w:hAnsi="Verdana" w:cs="Verdana"/>
          <w:sz w:val="20"/>
          <w:szCs w:val="20"/>
        </w:rPr>
        <w:t xml:space="preserve"> artículo 5.1 y 5.2 de la </w:t>
      </w:r>
      <w:r w:rsidR="009F37F0" w:rsidRPr="00B349D0">
        <w:rPr>
          <w:rFonts w:ascii="Verdana" w:hAnsi="Verdana"/>
          <w:sz w:val="20"/>
          <w:szCs w:val="20"/>
        </w:rPr>
        <w:t xml:space="preserve">Convención Americana, en relación con el artículo 1.1 del mismo instrumento, en perjuicio de los señores </w:t>
      </w:r>
      <w:r w:rsidRPr="00B349D0">
        <w:rPr>
          <w:rFonts w:ascii="Verdana" w:hAnsi="Verdana"/>
          <w:sz w:val="20"/>
          <w:szCs w:val="20"/>
        </w:rPr>
        <w:t xml:space="preserve">Roberto </w:t>
      </w:r>
      <w:r w:rsidR="009F37F0" w:rsidRPr="00B349D0">
        <w:rPr>
          <w:rFonts w:ascii="Verdana" w:hAnsi="Verdana"/>
          <w:sz w:val="20"/>
          <w:szCs w:val="20"/>
        </w:rPr>
        <w:t>Girón y</w:t>
      </w:r>
      <w:r w:rsidRPr="00B349D0">
        <w:rPr>
          <w:rFonts w:ascii="Verdana" w:hAnsi="Verdana"/>
          <w:sz w:val="20"/>
          <w:szCs w:val="20"/>
        </w:rPr>
        <w:t xml:space="preserve"> Pedro</w:t>
      </w:r>
      <w:r w:rsidR="009F37F0" w:rsidRPr="00B349D0">
        <w:rPr>
          <w:rFonts w:ascii="Verdana" w:hAnsi="Verdana"/>
          <w:sz w:val="20"/>
          <w:szCs w:val="20"/>
        </w:rPr>
        <w:t xml:space="preserve"> Castillo</w:t>
      </w:r>
      <w:r w:rsidR="009227BE" w:rsidRPr="008C3DB8">
        <w:rPr>
          <w:rFonts w:ascii="Verdana" w:eastAsia="Calibri" w:hAnsi="Verdana" w:cs="Calibri"/>
          <w:sz w:val="20"/>
          <w:szCs w:val="20"/>
        </w:rPr>
        <w:t>.</w:t>
      </w:r>
      <w:r w:rsidR="009227BE" w:rsidRPr="006A7D47">
        <w:rPr>
          <w:rFonts w:ascii="Verdana" w:eastAsia="Calibri" w:hAnsi="Verdana" w:cs="Calibri"/>
          <w:b/>
          <w:sz w:val="20"/>
          <w:szCs w:val="20"/>
        </w:rPr>
        <w:t xml:space="preserve"> </w:t>
      </w:r>
      <w:bookmarkEnd w:id="76"/>
    </w:p>
    <w:p w:rsidR="00A326C2" w:rsidRDefault="00A326C2" w:rsidP="00A326C2">
      <w:pPr>
        <w:pStyle w:val="Normal1"/>
        <w:widowControl/>
        <w:tabs>
          <w:tab w:val="left" w:pos="0"/>
        </w:tabs>
        <w:contextualSpacing/>
        <w:jc w:val="both"/>
        <w:rPr>
          <w:rFonts w:ascii="Verdana" w:hAnsi="Verdana"/>
          <w:sz w:val="20"/>
          <w:szCs w:val="20"/>
        </w:rPr>
      </w:pPr>
    </w:p>
    <w:p w:rsidR="00A326C2" w:rsidRPr="00451DB9" w:rsidRDefault="00A326C2" w:rsidP="00A326C2">
      <w:pPr>
        <w:pStyle w:val="Ttulo1"/>
        <w:spacing w:before="0" w:line="240" w:lineRule="auto"/>
        <w:jc w:val="center"/>
        <w:rPr>
          <w:rFonts w:ascii="Verdana" w:hAnsi="Verdana"/>
          <w:color w:val="auto"/>
          <w:sz w:val="20"/>
          <w:szCs w:val="20"/>
          <w:lang w:val="es-CR"/>
        </w:rPr>
      </w:pPr>
      <w:bookmarkStart w:id="80" w:name="_Toc24538846"/>
      <w:r>
        <w:rPr>
          <w:rFonts w:ascii="Verdana" w:eastAsia="Verdana" w:hAnsi="Verdana" w:cs="Verdana"/>
          <w:color w:val="auto"/>
          <w:sz w:val="20"/>
          <w:szCs w:val="20"/>
          <w:lang w:val="es-CR"/>
        </w:rPr>
        <w:t>VIII-3</w:t>
      </w:r>
      <w:r>
        <w:rPr>
          <w:rFonts w:ascii="Verdana" w:eastAsia="Verdana" w:hAnsi="Verdana" w:cs="Verdana"/>
          <w:color w:val="auto"/>
          <w:sz w:val="20"/>
          <w:szCs w:val="20"/>
          <w:lang w:val="es-CR"/>
        </w:rPr>
        <w:br/>
      </w:r>
      <w:r w:rsidRPr="008E0075">
        <w:rPr>
          <w:rFonts w:ascii="Verdana" w:hAnsi="Verdana"/>
          <w:color w:val="auto"/>
          <w:sz w:val="20"/>
          <w:szCs w:val="20"/>
          <w:lang w:val="es-CR"/>
        </w:rPr>
        <w:t>DERECHO A LAS GARANTÍAS JUDICIALES</w:t>
      </w:r>
      <w:r w:rsidR="00A36771">
        <w:rPr>
          <w:rStyle w:val="Refdenotaalpie"/>
          <w:rFonts w:ascii="Verdana" w:hAnsi="Verdana"/>
          <w:color w:val="auto"/>
          <w:sz w:val="20"/>
          <w:szCs w:val="20"/>
          <w:lang w:val="es-CR"/>
        </w:rPr>
        <w:footnoteReference w:id="84"/>
      </w:r>
      <w:bookmarkEnd w:id="80"/>
      <w:r>
        <w:rPr>
          <w:rFonts w:ascii="Verdana" w:hAnsi="Verdana"/>
          <w:color w:val="auto"/>
          <w:sz w:val="20"/>
          <w:szCs w:val="20"/>
          <w:lang w:val="es-CR"/>
        </w:rPr>
        <w:t xml:space="preserve"> </w:t>
      </w:r>
    </w:p>
    <w:p w:rsidR="00A326C2" w:rsidRPr="008E0075" w:rsidRDefault="00A326C2" w:rsidP="00A326C2">
      <w:pPr>
        <w:spacing w:after="0" w:line="240" w:lineRule="auto"/>
        <w:jc w:val="both"/>
        <w:rPr>
          <w:rFonts w:ascii="Verdana" w:eastAsia="Verdana" w:hAnsi="Verdana" w:cs="Verdana"/>
          <w:sz w:val="20"/>
          <w:szCs w:val="20"/>
          <w:lang w:val="es-CR"/>
        </w:rPr>
      </w:pPr>
    </w:p>
    <w:p w:rsidR="00A326C2" w:rsidRPr="00A61525" w:rsidRDefault="00A326C2" w:rsidP="00A326C2">
      <w:pPr>
        <w:spacing w:after="0" w:line="240" w:lineRule="auto"/>
        <w:jc w:val="both"/>
        <w:outlineLvl w:val="1"/>
        <w:rPr>
          <w:rFonts w:ascii="Verdana" w:eastAsia="Verdana" w:hAnsi="Verdana" w:cs="Verdana"/>
          <w:b/>
          <w:sz w:val="20"/>
          <w:szCs w:val="20"/>
          <w:lang w:val="es-CR"/>
        </w:rPr>
      </w:pPr>
      <w:bookmarkStart w:id="81" w:name="_Toc24538847"/>
      <w:r w:rsidRPr="00A61525">
        <w:rPr>
          <w:rFonts w:ascii="Verdana" w:eastAsia="Verdana" w:hAnsi="Verdana" w:cs="Verdana"/>
          <w:b/>
          <w:sz w:val="20"/>
          <w:szCs w:val="20"/>
          <w:lang w:val="es-CR"/>
        </w:rPr>
        <w:t>A. Alegatos de la Comisión y las partes</w:t>
      </w:r>
      <w:bookmarkEnd w:id="81"/>
    </w:p>
    <w:p w:rsidR="00A326C2" w:rsidRPr="008E0075" w:rsidRDefault="00A326C2" w:rsidP="00A326C2">
      <w:pPr>
        <w:pStyle w:val="Normal1"/>
        <w:widowControl/>
        <w:tabs>
          <w:tab w:val="left" w:pos="0"/>
        </w:tabs>
        <w:contextualSpacing/>
        <w:jc w:val="both"/>
        <w:rPr>
          <w:rFonts w:ascii="Verdana" w:eastAsiaTheme="minorHAnsi" w:hAnsi="Verdana" w:cstheme="minorBidi"/>
          <w:b/>
          <w:sz w:val="20"/>
          <w:szCs w:val="20"/>
        </w:rPr>
      </w:pPr>
    </w:p>
    <w:p w:rsidR="00A326C2" w:rsidRPr="008E0075" w:rsidRDefault="00A326C2" w:rsidP="00FE0342">
      <w:pPr>
        <w:pStyle w:val="Normal1"/>
        <w:widowControl/>
        <w:numPr>
          <w:ilvl w:val="0"/>
          <w:numId w:val="33"/>
        </w:numPr>
        <w:ind w:left="0" w:firstLine="0"/>
        <w:contextualSpacing/>
        <w:jc w:val="both"/>
        <w:rPr>
          <w:rFonts w:ascii="Verdana" w:eastAsiaTheme="minorHAnsi" w:hAnsi="Verdana" w:cstheme="minorBidi"/>
          <w:b/>
          <w:sz w:val="20"/>
          <w:szCs w:val="20"/>
        </w:rPr>
      </w:pPr>
      <w:r w:rsidRPr="008E0075">
        <w:rPr>
          <w:rFonts w:ascii="Verdana" w:eastAsia="Verdana" w:hAnsi="Verdana" w:cs="Verdana"/>
          <w:sz w:val="20"/>
          <w:szCs w:val="20"/>
        </w:rPr>
        <w:t xml:space="preserve">La </w:t>
      </w:r>
      <w:r w:rsidRPr="008E0075">
        <w:rPr>
          <w:rFonts w:ascii="Verdana" w:eastAsia="Verdana" w:hAnsi="Verdana" w:cs="Verdana"/>
          <w:b/>
          <w:i/>
          <w:sz w:val="20"/>
          <w:szCs w:val="20"/>
        </w:rPr>
        <w:t>Comisión</w:t>
      </w:r>
      <w:r w:rsidRPr="008E0075">
        <w:rPr>
          <w:rFonts w:ascii="Verdana" w:eastAsia="Verdana" w:hAnsi="Verdana" w:cs="Verdana"/>
          <w:sz w:val="20"/>
          <w:szCs w:val="20"/>
        </w:rPr>
        <w:t xml:space="preserve"> </w:t>
      </w:r>
      <w:r w:rsidRPr="008E0075">
        <w:rPr>
          <w:rFonts w:ascii="Verdana" w:hAnsi="Verdana"/>
          <w:sz w:val="20"/>
          <w:szCs w:val="20"/>
        </w:rPr>
        <w:t xml:space="preserve">alegó que </w:t>
      </w:r>
      <w:r w:rsidRPr="008E0075">
        <w:rPr>
          <w:rFonts w:ascii="Verdana" w:hAnsi="Verdana" w:cs="Tahoma"/>
          <w:sz w:val="20"/>
          <w:szCs w:val="20"/>
        </w:rPr>
        <w:t>los señores Roberto Girón y Pedro Castillo Mendoza</w:t>
      </w:r>
      <w:r w:rsidRPr="008E0075">
        <w:rPr>
          <w:rFonts w:ascii="Verdana" w:hAnsi="Verdana"/>
          <w:sz w:val="20"/>
          <w:szCs w:val="20"/>
        </w:rPr>
        <w:t xml:space="preserve"> no contaron con defensa técnica al menos en las siguientes diligencias: a) al prestar sus declaraciones </w:t>
      </w:r>
      <w:r w:rsidRPr="008E0075">
        <w:rPr>
          <w:rFonts w:ascii="Verdana" w:hAnsi="Verdana"/>
          <w:sz w:val="20"/>
          <w:szCs w:val="20"/>
        </w:rPr>
        <w:lastRenderedPageBreak/>
        <w:t xml:space="preserve">indagatorias el 19 de abril de 1993; b) en la diligencia de “careo” entre los procesados, realizada ante el Juez Segundo de Primera Instancia el 5 de mayo de 1993, y c) el 22 de abril de 1993 en la diligencia en la que se dictó la prisión provisional. </w:t>
      </w:r>
      <w:r w:rsidRPr="008E0075">
        <w:rPr>
          <w:rFonts w:ascii="Verdana" w:hAnsi="Verdana" w:cs="Tahoma"/>
          <w:sz w:val="20"/>
          <w:szCs w:val="20"/>
        </w:rPr>
        <w:t xml:space="preserve">Además, en el proceso penal en su contra por el delito de violación calificada, se les designó como defensores de oficio a estudiantes de derecho, por lo que </w:t>
      </w:r>
      <w:r w:rsidR="005A7483">
        <w:rPr>
          <w:rFonts w:ascii="Verdana" w:hAnsi="Verdana" w:cs="Tahoma"/>
          <w:sz w:val="20"/>
          <w:szCs w:val="20"/>
        </w:rPr>
        <w:t xml:space="preserve">el </w:t>
      </w:r>
      <w:r w:rsidRPr="008E0075">
        <w:rPr>
          <w:rFonts w:ascii="Verdana" w:hAnsi="Verdana" w:cs="Tahoma"/>
          <w:sz w:val="20"/>
          <w:szCs w:val="20"/>
        </w:rPr>
        <w:t xml:space="preserve">Estado </w:t>
      </w:r>
      <w:r>
        <w:rPr>
          <w:rFonts w:ascii="Verdana" w:hAnsi="Verdana" w:cs="Tahoma"/>
          <w:sz w:val="20"/>
          <w:szCs w:val="20"/>
        </w:rPr>
        <w:t>no</w:t>
      </w:r>
      <w:r w:rsidRPr="008E0075">
        <w:rPr>
          <w:rFonts w:ascii="Verdana" w:hAnsi="Verdana" w:cs="Tahoma"/>
          <w:sz w:val="20"/>
          <w:szCs w:val="20"/>
        </w:rPr>
        <w:t xml:space="preserve"> garantiz</w:t>
      </w:r>
      <w:r>
        <w:rPr>
          <w:rFonts w:ascii="Verdana" w:hAnsi="Verdana" w:cs="Tahoma"/>
          <w:sz w:val="20"/>
          <w:szCs w:val="20"/>
        </w:rPr>
        <w:t>ó</w:t>
      </w:r>
      <w:r w:rsidRPr="008E0075">
        <w:rPr>
          <w:rFonts w:ascii="Verdana" w:hAnsi="Verdana" w:cs="Tahoma"/>
          <w:sz w:val="20"/>
          <w:szCs w:val="20"/>
        </w:rPr>
        <w:t xml:space="preserve"> una defensa técnica adecuada en dicho proceso. Agregó que respecto a los diversos recursos legales interpuestos no </w:t>
      </w:r>
      <w:r w:rsidRPr="008E0075">
        <w:rPr>
          <w:rFonts w:ascii="Verdana" w:hAnsi="Verdana"/>
          <w:sz w:val="20"/>
          <w:szCs w:val="20"/>
        </w:rPr>
        <w:t>se efectuó un control del proceso en cuanto a las violaciones al debido proceso […], de manera que los señores Girón y Castillo quedaron en situación de indefensión</w:t>
      </w:r>
      <w:r w:rsidRPr="008E0075">
        <w:rPr>
          <w:rStyle w:val="Refdenotaalpie"/>
          <w:rFonts w:ascii="Verdana" w:hAnsi="Verdana"/>
          <w:sz w:val="20"/>
          <w:szCs w:val="20"/>
        </w:rPr>
        <w:footnoteReference w:id="85"/>
      </w:r>
      <w:r>
        <w:rPr>
          <w:rFonts w:ascii="Verdana" w:hAnsi="Verdana"/>
          <w:sz w:val="20"/>
          <w:szCs w:val="20"/>
        </w:rPr>
        <w:t>.</w:t>
      </w:r>
      <w:r w:rsidRPr="008E0075">
        <w:rPr>
          <w:rFonts w:ascii="Verdana" w:hAnsi="Verdana"/>
          <w:sz w:val="20"/>
          <w:szCs w:val="20"/>
        </w:rPr>
        <w:t xml:space="preserve"> En consecuencia, concluyó que el Estado violó los artículos 8.2.c) y 8.2.e), en relación con los artículos 1.1 y 2, todos de la Convención Americana, en perjuicio de las dos presuntas víctimas. </w:t>
      </w:r>
    </w:p>
    <w:p w:rsidR="00A326C2" w:rsidRPr="008E0075" w:rsidRDefault="00A326C2" w:rsidP="00FE0342">
      <w:pPr>
        <w:pStyle w:val="Normal1"/>
        <w:widowControl/>
        <w:contextualSpacing/>
        <w:jc w:val="both"/>
        <w:rPr>
          <w:rFonts w:ascii="Verdana" w:eastAsiaTheme="minorHAnsi" w:hAnsi="Verdana" w:cstheme="minorBidi"/>
          <w:b/>
          <w:sz w:val="20"/>
          <w:szCs w:val="20"/>
        </w:rPr>
      </w:pPr>
    </w:p>
    <w:p w:rsidR="00A326C2" w:rsidRPr="008E0075" w:rsidRDefault="00A326C2" w:rsidP="00FE0342">
      <w:pPr>
        <w:pStyle w:val="Normal1"/>
        <w:widowControl/>
        <w:numPr>
          <w:ilvl w:val="0"/>
          <w:numId w:val="33"/>
        </w:numPr>
        <w:ind w:left="0" w:firstLine="0"/>
        <w:contextualSpacing/>
        <w:jc w:val="both"/>
        <w:rPr>
          <w:rFonts w:ascii="Verdana" w:eastAsiaTheme="minorHAnsi" w:hAnsi="Verdana" w:cstheme="minorBidi"/>
          <w:b/>
          <w:sz w:val="20"/>
          <w:szCs w:val="20"/>
        </w:rPr>
      </w:pPr>
      <w:r w:rsidRPr="008E0075">
        <w:rPr>
          <w:rFonts w:ascii="Verdana" w:eastAsia="Verdana" w:hAnsi="Verdana" w:cs="Verdana"/>
          <w:sz w:val="20"/>
          <w:szCs w:val="20"/>
        </w:rPr>
        <w:t xml:space="preserve">Las </w:t>
      </w:r>
      <w:r w:rsidRPr="008E0075">
        <w:rPr>
          <w:rFonts w:ascii="Verdana" w:eastAsia="Verdana" w:hAnsi="Verdana" w:cs="Verdana"/>
          <w:b/>
          <w:i/>
          <w:sz w:val="20"/>
          <w:szCs w:val="20"/>
        </w:rPr>
        <w:t>representantes</w:t>
      </w:r>
      <w:r w:rsidRPr="008E0075">
        <w:rPr>
          <w:rFonts w:ascii="Verdana" w:eastAsia="Verdana" w:hAnsi="Verdana" w:cs="Verdana"/>
          <w:sz w:val="20"/>
          <w:szCs w:val="20"/>
        </w:rPr>
        <w:t xml:space="preserve"> </w:t>
      </w:r>
      <w:r w:rsidRPr="008E0075">
        <w:rPr>
          <w:rFonts w:ascii="Verdana" w:hAnsi="Verdana"/>
          <w:sz w:val="20"/>
          <w:szCs w:val="20"/>
        </w:rPr>
        <w:t>reiteraron las alegaciones de la Comisión</w:t>
      </w:r>
      <w:r w:rsidRPr="008E0075">
        <w:rPr>
          <w:rFonts w:ascii="Verdana" w:hAnsi="Verdana"/>
          <w:b/>
          <w:sz w:val="20"/>
          <w:szCs w:val="20"/>
        </w:rPr>
        <w:t xml:space="preserve"> </w:t>
      </w:r>
      <w:r w:rsidRPr="008E0075">
        <w:rPr>
          <w:rFonts w:ascii="Verdana" w:hAnsi="Verdana"/>
          <w:sz w:val="20"/>
          <w:szCs w:val="20"/>
        </w:rPr>
        <w:t>y señalaron que las presuntas víctimas en varias diligencias no contaron con defensa técnica alguna y en otras se denotaba la alegada falta de pericia de los estudiantes de derecho que representaban a las presuntas víctimas, por consiguiente</w:t>
      </w:r>
      <w:r w:rsidRPr="008E0075">
        <w:rPr>
          <w:rFonts w:ascii="Verdana" w:hAnsi="Verdana"/>
          <w:b/>
          <w:sz w:val="20"/>
          <w:szCs w:val="20"/>
        </w:rPr>
        <w:t xml:space="preserve"> </w:t>
      </w:r>
      <w:r w:rsidRPr="008E0075">
        <w:rPr>
          <w:rFonts w:ascii="Verdana" w:eastAsia="Verdana" w:hAnsi="Verdana" w:cs="Verdana"/>
          <w:sz w:val="20"/>
          <w:szCs w:val="20"/>
        </w:rPr>
        <w:t xml:space="preserve">alegaron </w:t>
      </w:r>
      <w:r w:rsidRPr="008E0075">
        <w:rPr>
          <w:rFonts w:ascii="Verdana" w:hAnsi="Verdana" w:cs="Tahoma"/>
          <w:sz w:val="20"/>
          <w:szCs w:val="20"/>
        </w:rPr>
        <w:t>que el Estado violó:</w:t>
      </w:r>
      <w:r w:rsidRPr="008E0075">
        <w:rPr>
          <w:rFonts w:ascii="Verdana" w:eastAsia="Verdana" w:hAnsi="Verdana" w:cs="Verdana"/>
          <w:sz w:val="20"/>
          <w:szCs w:val="20"/>
        </w:rPr>
        <w:t xml:space="preserve"> a) el artículo 8.2.d) en el momento de su declaración indagatoria </w:t>
      </w:r>
      <w:r w:rsidRPr="008E0075">
        <w:rPr>
          <w:rFonts w:ascii="Verdana" w:hAnsi="Verdana" w:cs="Tahoma"/>
          <w:sz w:val="20"/>
          <w:szCs w:val="20"/>
        </w:rPr>
        <w:t>acusados por el delito de violación calificada,</w:t>
      </w:r>
      <w:r w:rsidRPr="008E0075">
        <w:rPr>
          <w:rFonts w:ascii="Verdana" w:eastAsia="Verdana" w:hAnsi="Verdana" w:cs="Verdana"/>
          <w:sz w:val="20"/>
          <w:szCs w:val="20"/>
        </w:rPr>
        <w:t xml:space="preserve"> los señores </w:t>
      </w:r>
      <w:r w:rsidRPr="008E0075">
        <w:rPr>
          <w:rFonts w:ascii="Verdana" w:hAnsi="Verdana" w:cs="Tahoma"/>
          <w:sz w:val="20"/>
          <w:szCs w:val="20"/>
        </w:rPr>
        <w:t xml:space="preserve">Girón y Castillo no se encontraban asistidos por un abogado ni en otras fases procesales; </w:t>
      </w:r>
      <w:r w:rsidRPr="008E0075">
        <w:rPr>
          <w:rFonts w:ascii="Verdana" w:eastAsia="Verdana" w:hAnsi="Verdana" w:cs="Verdana"/>
          <w:sz w:val="20"/>
          <w:szCs w:val="20"/>
        </w:rPr>
        <w:t>b) el artículo 8.2.e), en concatenación con lo anterior, en el que se establece la garantía mínima de ser asistido por un defensor proporcionado por el Estado, la representación fue llevada a cabo por estudiantes de derecho y no por un abogado;</w:t>
      </w:r>
      <w:r w:rsidRPr="008E0075">
        <w:rPr>
          <w:rFonts w:ascii="Verdana" w:eastAsia="Verdana" w:hAnsi="Verdana" w:cs="Verdana"/>
          <w:b/>
          <w:sz w:val="20"/>
          <w:szCs w:val="20"/>
        </w:rPr>
        <w:t xml:space="preserve"> </w:t>
      </w:r>
      <w:r w:rsidRPr="008E0075">
        <w:rPr>
          <w:rFonts w:ascii="Verdana" w:eastAsia="Verdana" w:hAnsi="Verdana" w:cs="Verdana"/>
          <w:sz w:val="20"/>
          <w:szCs w:val="20"/>
        </w:rPr>
        <w:t>c) el artículo 8.2.g), con relación al artículo 8.3 de la Convención, ya que se les obligó a declarar contra sí mismos, dado a que se les instó a conducirse “con verdad”, además que el señor Castillo era una persona sin instrucción, por tanto más influenciable en el interrogatorio por parte del juzgador</w:t>
      </w:r>
      <w:r>
        <w:rPr>
          <w:rFonts w:ascii="Verdana" w:eastAsia="Verdana" w:hAnsi="Verdana" w:cs="Verdana"/>
          <w:sz w:val="20"/>
          <w:szCs w:val="20"/>
        </w:rPr>
        <w:t>, así como no se consideró sobre su posible estado de alcoholismo o no tener recuerdo alguno de lo sucedido</w:t>
      </w:r>
      <w:r w:rsidRPr="008E0075">
        <w:rPr>
          <w:rFonts w:ascii="Verdana" w:eastAsia="Verdana" w:hAnsi="Verdana" w:cs="Verdana"/>
          <w:sz w:val="20"/>
          <w:szCs w:val="20"/>
        </w:rPr>
        <w:t>;</w:t>
      </w:r>
      <w:r w:rsidRPr="008E0075">
        <w:rPr>
          <w:rFonts w:ascii="Verdana" w:eastAsia="Verdana" w:hAnsi="Verdana" w:cs="Verdana"/>
          <w:b/>
          <w:sz w:val="20"/>
          <w:szCs w:val="20"/>
        </w:rPr>
        <w:t xml:space="preserve"> </w:t>
      </w:r>
      <w:r w:rsidRPr="008E0075">
        <w:rPr>
          <w:rFonts w:ascii="Verdana" w:eastAsia="Verdana" w:hAnsi="Verdana" w:cs="Verdana"/>
          <w:sz w:val="20"/>
          <w:szCs w:val="20"/>
        </w:rPr>
        <w:t xml:space="preserve">d) el artículo 8.2.c), respecto de la concesión en el tiempo para la preparación de la defensa durante el proceso penal ordinario, ya que no se garantizó que los defensores de oficio contarán con el tiempo y los medios adecuados para preparar su estrategia y pruebas; </w:t>
      </w:r>
      <w:r w:rsidRPr="008E0075">
        <w:rPr>
          <w:rFonts w:ascii="Verdana" w:eastAsia="Verdana" w:hAnsi="Verdana" w:cs="Verdana"/>
          <w:b/>
          <w:sz w:val="16"/>
          <w:szCs w:val="16"/>
        </w:rPr>
        <w:t xml:space="preserve"> </w:t>
      </w:r>
      <w:r w:rsidRPr="008E0075">
        <w:rPr>
          <w:rFonts w:ascii="Verdana" w:eastAsia="Verdana" w:hAnsi="Verdana" w:cs="Verdana"/>
          <w:sz w:val="20"/>
          <w:szCs w:val="20"/>
        </w:rPr>
        <w:t>e) el artículo 8.2.f), con relación a que los defensores no tuvieron la oportunidad de interrogar a los test</w:t>
      </w:r>
      <w:r>
        <w:rPr>
          <w:rFonts w:ascii="Verdana" w:eastAsia="Verdana" w:hAnsi="Verdana" w:cs="Verdana"/>
          <w:sz w:val="20"/>
          <w:szCs w:val="20"/>
        </w:rPr>
        <w:t>igos identificados en el juicio</w:t>
      </w:r>
      <w:r w:rsidRPr="008E0075">
        <w:rPr>
          <w:rFonts w:ascii="Verdana" w:eastAsia="Verdana" w:hAnsi="Verdana" w:cs="Verdana"/>
          <w:sz w:val="20"/>
          <w:szCs w:val="20"/>
        </w:rPr>
        <w:t xml:space="preserve">; f) los artículos 8.2.h) y 25.1, ya que si bien las presuntas víctimas “tuvieron acceso a las vías recursivas ordinarias disponibles […] las mismas no fueron efectivas”, y el artículo 8.5 en vista de que no se llevó a cabo un juicio oral, público y contradictorio, ya que la legislación procesal vigente en ese momento no preveía dicho procedimiento. En consecuencia, solicitaron que se declare que el Estado violó el derecho a las garantías judiciales y a la protección judicial, de conformidad con el artículo </w:t>
      </w:r>
      <w:r w:rsidRPr="008E0075">
        <w:rPr>
          <w:rFonts w:ascii="Verdana" w:hAnsi="Verdana" w:cs="Tahoma"/>
          <w:sz w:val="20"/>
          <w:szCs w:val="20"/>
        </w:rPr>
        <w:t>8 en los té</w:t>
      </w:r>
      <w:r w:rsidR="00A67FE1">
        <w:rPr>
          <w:rFonts w:ascii="Verdana" w:hAnsi="Verdana" w:cs="Tahoma"/>
          <w:sz w:val="20"/>
          <w:szCs w:val="20"/>
        </w:rPr>
        <w:t>r</w:t>
      </w:r>
      <w:r w:rsidRPr="008E0075">
        <w:rPr>
          <w:rFonts w:ascii="Verdana" w:hAnsi="Verdana" w:cs="Tahoma"/>
          <w:sz w:val="20"/>
          <w:szCs w:val="20"/>
        </w:rPr>
        <w:t>minos ya señalados y el artículo 25.1 de la Convención Americana, en relación con los artículos 1.1 y 2 del mismo instrumento.</w:t>
      </w:r>
    </w:p>
    <w:p w:rsidR="00A326C2" w:rsidRPr="008E0075" w:rsidRDefault="00A326C2" w:rsidP="00FE0342">
      <w:pPr>
        <w:pStyle w:val="Normal1"/>
        <w:widowControl/>
        <w:contextualSpacing/>
        <w:jc w:val="both"/>
        <w:rPr>
          <w:rFonts w:ascii="Verdana" w:eastAsiaTheme="minorHAnsi" w:hAnsi="Verdana" w:cstheme="minorBidi"/>
          <w:b/>
          <w:sz w:val="20"/>
          <w:szCs w:val="20"/>
        </w:rPr>
      </w:pPr>
    </w:p>
    <w:p w:rsidR="00F02941" w:rsidRPr="00724AE2" w:rsidRDefault="00A326C2" w:rsidP="00F02941">
      <w:pPr>
        <w:pStyle w:val="Normal1"/>
        <w:widowControl/>
        <w:numPr>
          <w:ilvl w:val="0"/>
          <w:numId w:val="33"/>
        </w:numPr>
        <w:ind w:left="0" w:firstLine="0"/>
        <w:contextualSpacing/>
        <w:jc w:val="both"/>
        <w:rPr>
          <w:rFonts w:ascii="Verdana" w:eastAsiaTheme="minorHAnsi" w:hAnsi="Verdana" w:cstheme="minorBidi"/>
          <w:b/>
          <w:sz w:val="20"/>
          <w:szCs w:val="20"/>
        </w:rPr>
      </w:pPr>
      <w:r w:rsidRPr="008E0075">
        <w:rPr>
          <w:rFonts w:ascii="Verdana" w:eastAsia="Verdana" w:hAnsi="Verdana" w:cs="Verdana"/>
          <w:sz w:val="20"/>
          <w:szCs w:val="20"/>
        </w:rPr>
        <w:t xml:space="preserve">El </w:t>
      </w:r>
      <w:r w:rsidRPr="008E0075">
        <w:rPr>
          <w:rFonts w:ascii="Verdana" w:eastAsia="Verdana" w:hAnsi="Verdana" w:cs="Verdana"/>
          <w:b/>
          <w:i/>
          <w:sz w:val="20"/>
          <w:szCs w:val="20"/>
        </w:rPr>
        <w:t>Estado</w:t>
      </w:r>
      <w:r w:rsidRPr="008E0075">
        <w:rPr>
          <w:rFonts w:ascii="Verdana" w:eastAsia="Verdana" w:hAnsi="Verdana" w:cs="Verdana"/>
          <w:sz w:val="20"/>
          <w:szCs w:val="20"/>
        </w:rPr>
        <w:t xml:space="preserve"> argumentó que en todas las actuaciones del proceso penal en contra de los señores Girón y Castillo, se realiz</w:t>
      </w:r>
      <w:r>
        <w:rPr>
          <w:rFonts w:ascii="Verdana" w:eastAsia="Verdana" w:hAnsi="Verdana" w:cs="Verdana"/>
          <w:sz w:val="20"/>
          <w:szCs w:val="20"/>
        </w:rPr>
        <w:t>aron</w:t>
      </w:r>
      <w:r w:rsidRPr="008E0075">
        <w:rPr>
          <w:rFonts w:ascii="Verdana" w:eastAsia="Verdana" w:hAnsi="Verdana" w:cs="Verdana"/>
          <w:sz w:val="20"/>
          <w:szCs w:val="20"/>
        </w:rPr>
        <w:t xml:space="preserve"> con respeto al principio constitucional de presunción de inocencia, principio penal de temporalidad y consecuentemente con la legislación penal vigente en ese momento. Por otro lado, afirmó que la figura de defensores no profesionales se contemplaba en el Código Procesal Penal </w:t>
      </w:r>
      <w:r w:rsidRPr="008E0075">
        <w:rPr>
          <w:rFonts w:ascii="Verdana" w:hAnsi="Verdana"/>
          <w:sz w:val="20"/>
          <w:szCs w:val="20"/>
        </w:rPr>
        <w:t>quienes debían “ser personas mayores de edad, honorables, idóneas y en ejercicio de sus derechos civiles”. Según el Estado esta consistía en “una práctica valiosa para los no graduados, pero que ha sido desechada”. En virtud de tales consideraciones, el Estado solicitó que no se declare su responsabilidad por la violación de los artículos 8.2, 8.2.d), 8.2.c),</w:t>
      </w:r>
      <w:r w:rsidR="005A7483">
        <w:rPr>
          <w:rFonts w:ascii="Verdana" w:hAnsi="Verdana"/>
          <w:sz w:val="20"/>
          <w:szCs w:val="20"/>
        </w:rPr>
        <w:t xml:space="preserve"> y</w:t>
      </w:r>
      <w:r w:rsidRPr="008E0075">
        <w:rPr>
          <w:rFonts w:ascii="Verdana" w:hAnsi="Verdana"/>
          <w:sz w:val="20"/>
          <w:szCs w:val="20"/>
        </w:rPr>
        <w:t xml:space="preserve"> 8.2.e) de la Convención.</w:t>
      </w:r>
    </w:p>
    <w:p w:rsidR="00683562" w:rsidRDefault="00683562" w:rsidP="00A326C2">
      <w:pPr>
        <w:pStyle w:val="Normal1"/>
        <w:widowControl/>
        <w:tabs>
          <w:tab w:val="left" w:pos="0"/>
        </w:tabs>
        <w:contextualSpacing/>
        <w:jc w:val="both"/>
        <w:rPr>
          <w:rFonts w:ascii="Verdana" w:eastAsiaTheme="minorHAnsi" w:hAnsi="Verdana" w:cstheme="minorBidi"/>
          <w:b/>
          <w:sz w:val="20"/>
          <w:szCs w:val="20"/>
        </w:rPr>
      </w:pPr>
    </w:p>
    <w:p w:rsidR="00BB1490" w:rsidRDefault="00BB1490" w:rsidP="00A326C2">
      <w:pPr>
        <w:pStyle w:val="Normal1"/>
        <w:widowControl/>
        <w:tabs>
          <w:tab w:val="left" w:pos="0"/>
        </w:tabs>
        <w:contextualSpacing/>
        <w:jc w:val="both"/>
        <w:rPr>
          <w:rFonts w:ascii="Verdana" w:eastAsiaTheme="minorHAnsi" w:hAnsi="Verdana" w:cstheme="minorBidi"/>
          <w:b/>
          <w:sz w:val="20"/>
          <w:szCs w:val="20"/>
        </w:rPr>
      </w:pPr>
    </w:p>
    <w:p w:rsidR="00BB1490" w:rsidRDefault="00BB1490" w:rsidP="00A326C2">
      <w:pPr>
        <w:pStyle w:val="Normal1"/>
        <w:widowControl/>
        <w:tabs>
          <w:tab w:val="left" w:pos="0"/>
        </w:tabs>
        <w:contextualSpacing/>
        <w:jc w:val="both"/>
        <w:rPr>
          <w:rFonts w:ascii="Verdana" w:eastAsiaTheme="minorHAnsi" w:hAnsi="Verdana" w:cstheme="minorBidi"/>
          <w:b/>
          <w:sz w:val="20"/>
          <w:szCs w:val="20"/>
        </w:rPr>
      </w:pPr>
    </w:p>
    <w:p w:rsidR="00BB1490" w:rsidRPr="00EB146B" w:rsidRDefault="00BB1490" w:rsidP="00A326C2">
      <w:pPr>
        <w:pStyle w:val="Normal1"/>
        <w:widowControl/>
        <w:tabs>
          <w:tab w:val="left" w:pos="0"/>
        </w:tabs>
        <w:contextualSpacing/>
        <w:jc w:val="both"/>
        <w:rPr>
          <w:rFonts w:ascii="Verdana" w:eastAsiaTheme="minorHAnsi" w:hAnsi="Verdana" w:cstheme="minorBidi"/>
          <w:b/>
          <w:sz w:val="20"/>
          <w:szCs w:val="20"/>
        </w:rPr>
      </w:pPr>
    </w:p>
    <w:p w:rsidR="00A326C2" w:rsidRPr="00A61525" w:rsidRDefault="00A326C2" w:rsidP="00A326C2">
      <w:pPr>
        <w:spacing w:after="0" w:line="240" w:lineRule="auto"/>
        <w:jc w:val="both"/>
        <w:outlineLvl w:val="1"/>
        <w:rPr>
          <w:rFonts w:ascii="Verdana" w:eastAsia="Verdana" w:hAnsi="Verdana" w:cs="Verdana"/>
          <w:b/>
          <w:sz w:val="20"/>
          <w:szCs w:val="20"/>
          <w:lang w:val="es-CR"/>
        </w:rPr>
      </w:pPr>
      <w:bookmarkStart w:id="82" w:name="_Toc24538848"/>
      <w:r w:rsidRPr="00A61525">
        <w:rPr>
          <w:rFonts w:ascii="Verdana" w:eastAsia="Verdana" w:hAnsi="Verdana" w:cs="Verdana"/>
          <w:b/>
          <w:sz w:val="20"/>
          <w:szCs w:val="20"/>
          <w:lang w:val="es-CR"/>
        </w:rPr>
        <w:lastRenderedPageBreak/>
        <w:t>B. Consideraciones de la Corte</w:t>
      </w:r>
      <w:bookmarkEnd w:id="82"/>
    </w:p>
    <w:p w:rsidR="00A326C2" w:rsidRPr="008E0075" w:rsidRDefault="00A326C2" w:rsidP="00A326C2">
      <w:pPr>
        <w:pStyle w:val="Normal1"/>
        <w:widowControl/>
        <w:tabs>
          <w:tab w:val="left" w:pos="0"/>
        </w:tabs>
        <w:contextualSpacing/>
        <w:jc w:val="both"/>
        <w:rPr>
          <w:rFonts w:ascii="Verdana" w:eastAsiaTheme="minorHAnsi" w:hAnsi="Verdana" w:cstheme="minorBidi"/>
          <w:b/>
          <w:sz w:val="20"/>
          <w:szCs w:val="20"/>
        </w:rPr>
      </w:pPr>
    </w:p>
    <w:p w:rsidR="00A326C2" w:rsidRPr="008E0075" w:rsidRDefault="00A326C2" w:rsidP="00FE0342">
      <w:pPr>
        <w:pStyle w:val="Normal1"/>
        <w:widowControl/>
        <w:numPr>
          <w:ilvl w:val="0"/>
          <w:numId w:val="33"/>
        </w:numPr>
        <w:ind w:left="0" w:firstLine="0"/>
        <w:contextualSpacing/>
        <w:jc w:val="both"/>
        <w:rPr>
          <w:rFonts w:ascii="Verdana" w:eastAsiaTheme="minorHAnsi" w:hAnsi="Verdana" w:cstheme="minorBidi"/>
          <w:b/>
          <w:sz w:val="20"/>
          <w:szCs w:val="20"/>
        </w:rPr>
      </w:pPr>
      <w:r w:rsidRPr="008E0075">
        <w:rPr>
          <w:rFonts w:ascii="Verdana" w:eastAsia="MS Mincho" w:hAnsi="Verdana"/>
          <w:sz w:val="20"/>
          <w:szCs w:val="20"/>
        </w:rPr>
        <w:t>Previamente cabe</w:t>
      </w:r>
      <w:r w:rsidR="009A42AA">
        <w:rPr>
          <w:rFonts w:ascii="Verdana" w:eastAsia="MS Mincho" w:hAnsi="Verdana"/>
          <w:sz w:val="20"/>
          <w:szCs w:val="20"/>
        </w:rPr>
        <w:t xml:space="preserve"> poner de manifiesto</w:t>
      </w:r>
      <w:r w:rsidRPr="008E0075">
        <w:rPr>
          <w:rFonts w:ascii="Verdana" w:eastAsia="MS Mincho" w:hAnsi="Verdana"/>
          <w:sz w:val="20"/>
          <w:szCs w:val="20"/>
        </w:rPr>
        <w:t xml:space="preserve"> que las representantes alegaron la violación de otro</w:t>
      </w:r>
      <w:r w:rsidR="00A36771">
        <w:rPr>
          <w:rFonts w:ascii="Verdana" w:eastAsia="MS Mincho" w:hAnsi="Verdana"/>
          <w:sz w:val="20"/>
          <w:szCs w:val="20"/>
        </w:rPr>
        <w:t xml:space="preserve">s derechos no invocados por la </w:t>
      </w:r>
      <w:r w:rsidRPr="008E0075">
        <w:rPr>
          <w:rFonts w:ascii="Verdana" w:eastAsia="MS Mincho" w:hAnsi="Verdana"/>
          <w:sz w:val="20"/>
          <w:szCs w:val="20"/>
        </w:rPr>
        <w:t>Comisión</w:t>
      </w:r>
      <w:r w:rsidRPr="008E0075">
        <w:rPr>
          <w:rFonts w:ascii="Verdana" w:eastAsia="Verdana" w:hAnsi="Verdana" w:cs="Verdana"/>
          <w:sz w:val="20"/>
          <w:szCs w:val="20"/>
        </w:rPr>
        <w:t xml:space="preserve">. </w:t>
      </w:r>
      <w:r w:rsidRPr="008E0075">
        <w:rPr>
          <w:rFonts w:ascii="Verdana" w:eastAsia="MS Mincho" w:hAnsi="Verdana"/>
          <w:sz w:val="20"/>
          <w:szCs w:val="20"/>
        </w:rPr>
        <w:t xml:space="preserve">Al respecto, es jurisprudencia reiterada de este Tribunal </w:t>
      </w:r>
      <w:r>
        <w:rPr>
          <w:rFonts w:ascii="Verdana" w:eastAsia="MS Mincho" w:hAnsi="Verdana"/>
          <w:sz w:val="20"/>
          <w:szCs w:val="20"/>
        </w:rPr>
        <w:t xml:space="preserve">que </w:t>
      </w:r>
      <w:r w:rsidRPr="008E0075">
        <w:rPr>
          <w:rFonts w:ascii="Verdana" w:hAnsi="Verdana" w:cs="Arial"/>
          <w:sz w:val="20"/>
        </w:rPr>
        <w:t>las presuntas víctimas y sus representantes pueden invocar la violación de otros derechos distintos a los comprendidos en el Informe de Fondo, siempre y cuando se atengan a los hechos contenidos en dicho documento</w:t>
      </w:r>
      <w:r w:rsidRPr="008E0075">
        <w:rPr>
          <w:rFonts w:ascii="Verdana" w:hAnsi="Verdana" w:cs="Verdana"/>
          <w:spacing w:val="-2"/>
          <w:sz w:val="20"/>
          <w:vertAlign w:val="superscript"/>
        </w:rPr>
        <w:footnoteReference w:id="86"/>
      </w:r>
      <w:r w:rsidRPr="008E0075">
        <w:rPr>
          <w:rFonts w:ascii="Verdana" w:hAnsi="Verdana" w:cs="Verdana"/>
          <w:spacing w:val="-2"/>
          <w:sz w:val="20"/>
        </w:rPr>
        <w:t>.</w:t>
      </w:r>
    </w:p>
    <w:p w:rsidR="00A326C2" w:rsidRPr="008E0075" w:rsidRDefault="00A326C2" w:rsidP="00FE0342">
      <w:pPr>
        <w:pStyle w:val="Normal1"/>
        <w:widowControl/>
        <w:contextualSpacing/>
        <w:jc w:val="both"/>
        <w:rPr>
          <w:rFonts w:ascii="Verdana" w:eastAsiaTheme="minorHAnsi" w:hAnsi="Verdana" w:cstheme="minorBidi"/>
          <w:b/>
          <w:sz w:val="20"/>
          <w:szCs w:val="20"/>
        </w:rPr>
      </w:pPr>
    </w:p>
    <w:p w:rsidR="00A326C2" w:rsidRPr="008E0075" w:rsidRDefault="00A326C2" w:rsidP="00FE0342">
      <w:pPr>
        <w:pStyle w:val="Normal1"/>
        <w:widowControl/>
        <w:numPr>
          <w:ilvl w:val="0"/>
          <w:numId w:val="33"/>
        </w:numPr>
        <w:ind w:left="0" w:firstLine="0"/>
        <w:contextualSpacing/>
        <w:jc w:val="both"/>
        <w:rPr>
          <w:rFonts w:ascii="Verdana" w:eastAsiaTheme="minorHAnsi" w:hAnsi="Verdana" w:cstheme="minorBidi"/>
          <w:b/>
          <w:sz w:val="20"/>
          <w:szCs w:val="20"/>
        </w:rPr>
      </w:pPr>
      <w:r w:rsidRPr="008E0075">
        <w:rPr>
          <w:rFonts w:ascii="Verdana" w:eastAsia="MS Mincho" w:hAnsi="Verdana"/>
          <w:sz w:val="20"/>
          <w:szCs w:val="20"/>
        </w:rPr>
        <w:t xml:space="preserve">La </w:t>
      </w:r>
      <w:r w:rsidRPr="008E0075">
        <w:rPr>
          <w:rFonts w:ascii="Verdana" w:hAnsi="Verdana" w:cs="Arial"/>
          <w:sz w:val="20"/>
          <w:szCs w:val="20"/>
        </w:rPr>
        <w:t>Corte</w:t>
      </w:r>
      <w:r w:rsidRPr="008E0075">
        <w:rPr>
          <w:rFonts w:ascii="Verdana" w:eastAsia="MS Mincho" w:hAnsi="Verdana"/>
          <w:sz w:val="20"/>
          <w:szCs w:val="20"/>
        </w:rPr>
        <w:t xml:space="preserve"> ha señalado que el derecho al debido proceso se refiere al conjunto de requisitos que deben observarse en las instancias pr</w:t>
      </w:r>
      <w:r>
        <w:rPr>
          <w:rFonts w:ascii="Verdana" w:eastAsia="MS Mincho" w:hAnsi="Verdana"/>
          <w:sz w:val="20"/>
          <w:szCs w:val="20"/>
        </w:rPr>
        <w:t>ocesales a efecto</w:t>
      </w:r>
      <w:r w:rsidRPr="008E0075">
        <w:rPr>
          <w:rFonts w:ascii="Verdana" w:eastAsia="MS Mincho" w:hAnsi="Verdana"/>
          <w:sz w:val="20"/>
          <w:szCs w:val="20"/>
        </w:rPr>
        <w:t xml:space="preserve"> de que las personas estén en condiciones de defender adecuadamente sus derechos ante cualquier acto del Estado, adoptado por </w:t>
      </w:r>
      <w:r w:rsidRPr="008E0075">
        <w:rPr>
          <w:rFonts w:ascii="Verdana" w:eastAsia="MS Mincho" w:hAnsi="Verdana"/>
          <w:iCs/>
          <w:sz w:val="20"/>
          <w:szCs w:val="20"/>
        </w:rPr>
        <w:t>cualquier autoridad pública, sea administrativa, legislativa o judicial,</w:t>
      </w:r>
      <w:r w:rsidRPr="008E0075">
        <w:rPr>
          <w:rFonts w:ascii="Verdana" w:eastAsia="MS Mincho" w:hAnsi="Verdana"/>
          <w:sz w:val="20"/>
          <w:szCs w:val="20"/>
        </w:rPr>
        <w:t xml:space="preserve"> que pueda afectarlos</w:t>
      </w:r>
      <w:r w:rsidRPr="008E0075">
        <w:rPr>
          <w:rFonts w:ascii="Verdana" w:eastAsia="MS Mincho" w:hAnsi="Verdana"/>
          <w:sz w:val="20"/>
          <w:szCs w:val="20"/>
          <w:vertAlign w:val="superscript"/>
        </w:rPr>
        <w:footnoteReference w:id="87"/>
      </w:r>
      <w:r w:rsidRPr="008E0075">
        <w:rPr>
          <w:rFonts w:ascii="Verdana" w:eastAsia="MS Mincho" w:hAnsi="Verdana"/>
          <w:sz w:val="20"/>
          <w:szCs w:val="20"/>
        </w:rPr>
        <w:t xml:space="preserve">. </w:t>
      </w:r>
    </w:p>
    <w:p w:rsidR="00A326C2" w:rsidRPr="008E0075" w:rsidRDefault="00A326C2" w:rsidP="00FE0342">
      <w:pPr>
        <w:pStyle w:val="Normal1"/>
        <w:widowControl/>
        <w:contextualSpacing/>
        <w:jc w:val="both"/>
        <w:rPr>
          <w:rFonts w:ascii="Verdana" w:eastAsia="Verdana" w:hAnsi="Verdana" w:cs="Verdana"/>
          <w:sz w:val="20"/>
          <w:szCs w:val="20"/>
        </w:rPr>
      </w:pPr>
    </w:p>
    <w:p w:rsidR="00A326C2" w:rsidRPr="008E0075" w:rsidRDefault="00A326C2" w:rsidP="00FE0342">
      <w:pPr>
        <w:pStyle w:val="Normal1"/>
        <w:widowControl/>
        <w:numPr>
          <w:ilvl w:val="0"/>
          <w:numId w:val="33"/>
        </w:numPr>
        <w:ind w:left="0" w:firstLine="0"/>
        <w:contextualSpacing/>
        <w:jc w:val="both"/>
        <w:rPr>
          <w:rFonts w:ascii="Verdana" w:eastAsia="Verdana" w:hAnsi="Verdana" w:cs="Verdana"/>
          <w:sz w:val="20"/>
          <w:szCs w:val="20"/>
        </w:rPr>
      </w:pPr>
      <w:r w:rsidRPr="008E0075">
        <w:rPr>
          <w:rFonts w:ascii="Verdana" w:hAnsi="Verdana" w:cs="Arial"/>
          <w:sz w:val="20"/>
          <w:szCs w:val="20"/>
        </w:rPr>
        <w:t xml:space="preserve">En términos convencionales el debido proceso se traduce centralmente en las “garantías judiciales” reconocidas en el artículo 8 de la Convención Americana. </w:t>
      </w:r>
      <w:r w:rsidRPr="008E0075">
        <w:rPr>
          <w:rFonts w:ascii="Verdana" w:hAnsi="Verdana"/>
          <w:sz w:val="20"/>
          <w:szCs w:val="20"/>
        </w:rPr>
        <w:t xml:space="preserve">La referida disposición convencional contempla un sistema de garantías que condicionan el ejercicio del </w:t>
      </w:r>
      <w:r w:rsidRPr="008E0075">
        <w:rPr>
          <w:rFonts w:ascii="Verdana" w:hAnsi="Verdana"/>
          <w:i/>
          <w:sz w:val="20"/>
          <w:szCs w:val="20"/>
        </w:rPr>
        <w:t>ius puniendi</w:t>
      </w:r>
      <w:r w:rsidRPr="008E0075">
        <w:rPr>
          <w:rFonts w:ascii="Verdana" w:hAnsi="Verdana"/>
          <w:sz w:val="20"/>
          <w:szCs w:val="20"/>
        </w:rPr>
        <w:t xml:space="preserve"> del Estado y que buscan asegurar que el inculpado o imputado no sea sometido a decisiones arbitrarias, toda vez que se deben observar “las debidas garantías” que aseguren, según el procedimiento de que se trate, el derecho al debido proceso</w:t>
      </w:r>
      <w:r w:rsidRPr="008E0075">
        <w:rPr>
          <w:rStyle w:val="Refdenotaalpie"/>
          <w:rFonts w:ascii="Verdana" w:eastAsia="Calibri" w:hAnsi="Verdana"/>
          <w:sz w:val="20"/>
          <w:szCs w:val="20"/>
        </w:rPr>
        <w:footnoteReference w:id="88"/>
      </w:r>
      <w:r w:rsidRPr="008E0075">
        <w:rPr>
          <w:rFonts w:ascii="Verdana" w:hAnsi="Verdana"/>
          <w:sz w:val="20"/>
          <w:szCs w:val="20"/>
        </w:rPr>
        <w:t xml:space="preserve">. </w:t>
      </w:r>
      <w:r w:rsidRPr="008E0075">
        <w:rPr>
          <w:rFonts w:ascii="Verdana" w:hAnsi="Verdana" w:cs="Arial"/>
          <w:sz w:val="20"/>
          <w:szCs w:val="20"/>
        </w:rPr>
        <w:t>Desde el inicio de las primeras diligencias de un proceso deben concurrir las máximas garantías procesales para salvaguardar el derecho del imputado a la defensa</w:t>
      </w:r>
      <w:r w:rsidRPr="008E0075">
        <w:rPr>
          <w:rFonts w:ascii="Verdana" w:hAnsi="Verdana"/>
          <w:sz w:val="20"/>
          <w:szCs w:val="20"/>
          <w:vertAlign w:val="superscript"/>
        </w:rPr>
        <w:footnoteReference w:id="89"/>
      </w:r>
      <w:r w:rsidRPr="008E0075">
        <w:rPr>
          <w:rFonts w:ascii="Verdana" w:hAnsi="Verdana" w:cs="Arial"/>
          <w:sz w:val="20"/>
          <w:szCs w:val="20"/>
        </w:rPr>
        <w:t>. Asimismo, deben concurrir los elementos necesarios para que exista el mayor equilibrio entre las partes, para la debida defensa de sus intereses y derechos, lo cual implica, entre otras cosas, que rija el principio de contradictorio</w:t>
      </w:r>
      <w:r w:rsidRPr="008E0075">
        <w:rPr>
          <w:rFonts w:ascii="Verdana" w:hAnsi="Verdana"/>
          <w:sz w:val="20"/>
          <w:szCs w:val="20"/>
          <w:vertAlign w:val="superscript"/>
        </w:rPr>
        <w:footnoteReference w:id="90"/>
      </w:r>
      <w:r w:rsidRPr="008E0075">
        <w:rPr>
          <w:rFonts w:ascii="Verdana" w:hAnsi="Verdana" w:cs="Arial"/>
          <w:sz w:val="20"/>
          <w:szCs w:val="20"/>
        </w:rPr>
        <w:t>.</w:t>
      </w:r>
    </w:p>
    <w:p w:rsidR="00A326C2" w:rsidRPr="008E0075" w:rsidRDefault="00A326C2" w:rsidP="00FE0342">
      <w:pPr>
        <w:pStyle w:val="Normal1"/>
        <w:widowControl/>
        <w:contextualSpacing/>
        <w:jc w:val="both"/>
        <w:rPr>
          <w:rFonts w:ascii="Verdana" w:eastAsia="Verdana" w:hAnsi="Verdana" w:cs="Verdana"/>
          <w:sz w:val="20"/>
          <w:szCs w:val="20"/>
        </w:rPr>
      </w:pPr>
    </w:p>
    <w:p w:rsidR="00A326C2" w:rsidRPr="008E0075" w:rsidRDefault="00A326C2" w:rsidP="00FE0342">
      <w:pPr>
        <w:pStyle w:val="Normal1"/>
        <w:widowControl/>
        <w:numPr>
          <w:ilvl w:val="0"/>
          <w:numId w:val="33"/>
        </w:numPr>
        <w:ind w:left="0" w:firstLine="0"/>
        <w:contextualSpacing/>
        <w:jc w:val="both"/>
        <w:rPr>
          <w:rFonts w:ascii="Verdana" w:eastAsia="Verdana" w:hAnsi="Verdana" w:cs="Verdana"/>
          <w:sz w:val="20"/>
          <w:szCs w:val="20"/>
        </w:rPr>
      </w:pPr>
      <w:r w:rsidRPr="008E0075">
        <w:rPr>
          <w:rFonts w:ascii="Verdana" w:hAnsi="Verdana" w:cs="Arial"/>
          <w:sz w:val="20"/>
          <w:szCs w:val="20"/>
        </w:rPr>
        <w:t>El derecho a la defensa se proyecta en dos facetas dentro del proceso penal: por un lado, a través de los propios actos del inculpado, siendo su exponente central la posibilidad de rendir una declaración libre sobre los hechos que se le atribuyen y, por el otro, por medio de la defensa técnica, e</w:t>
      </w:r>
      <w:r>
        <w:rPr>
          <w:rFonts w:ascii="Verdana" w:hAnsi="Verdana" w:cs="Arial"/>
          <w:sz w:val="20"/>
          <w:szCs w:val="20"/>
        </w:rPr>
        <w:t>jercida por un profesional del d</w:t>
      </w:r>
      <w:r w:rsidRPr="008E0075">
        <w:rPr>
          <w:rFonts w:ascii="Verdana" w:hAnsi="Verdana" w:cs="Arial"/>
          <w:sz w:val="20"/>
          <w:szCs w:val="20"/>
        </w:rPr>
        <w:t xml:space="preserve">erecho, quien cumple la función de asesorar al investigado sobre sus deberes y derechos y ejecuta, </w:t>
      </w:r>
      <w:r w:rsidRPr="008E0075">
        <w:rPr>
          <w:rFonts w:ascii="Verdana" w:hAnsi="Verdana" w:cs="Arial"/>
          <w:i/>
          <w:sz w:val="20"/>
          <w:szCs w:val="20"/>
        </w:rPr>
        <w:t>inter alia</w:t>
      </w:r>
      <w:r w:rsidRPr="008E0075">
        <w:rPr>
          <w:rFonts w:ascii="Verdana" w:hAnsi="Verdana" w:cs="Arial"/>
          <w:sz w:val="20"/>
          <w:szCs w:val="20"/>
        </w:rPr>
        <w:t>, un control crítico y de legalidad en la producción de pruebas</w:t>
      </w:r>
      <w:r w:rsidRPr="008E0075">
        <w:rPr>
          <w:rFonts w:ascii="Verdana" w:hAnsi="Verdana"/>
          <w:sz w:val="20"/>
          <w:szCs w:val="20"/>
          <w:vertAlign w:val="superscript"/>
        </w:rPr>
        <w:footnoteReference w:id="91"/>
      </w:r>
      <w:r w:rsidRPr="008E0075">
        <w:rPr>
          <w:rFonts w:ascii="Verdana" w:hAnsi="Verdana" w:cs="Arial"/>
          <w:sz w:val="20"/>
          <w:szCs w:val="20"/>
        </w:rPr>
        <w:t xml:space="preserve">. </w:t>
      </w:r>
    </w:p>
    <w:p w:rsidR="00A326C2" w:rsidRPr="008E0075" w:rsidRDefault="00A326C2" w:rsidP="00FE0342">
      <w:pPr>
        <w:pStyle w:val="Normal1"/>
        <w:widowControl/>
        <w:contextualSpacing/>
        <w:jc w:val="both"/>
        <w:rPr>
          <w:rFonts w:ascii="Verdana" w:eastAsia="Verdana" w:hAnsi="Verdana" w:cs="Verdana"/>
          <w:sz w:val="20"/>
          <w:szCs w:val="20"/>
        </w:rPr>
      </w:pPr>
    </w:p>
    <w:p w:rsidR="00A326C2" w:rsidRPr="00451DB9" w:rsidRDefault="00A326C2" w:rsidP="00FE0342">
      <w:pPr>
        <w:pStyle w:val="Normal1"/>
        <w:widowControl/>
        <w:numPr>
          <w:ilvl w:val="0"/>
          <w:numId w:val="33"/>
        </w:numPr>
        <w:ind w:left="0" w:firstLine="0"/>
        <w:contextualSpacing/>
        <w:jc w:val="both"/>
        <w:rPr>
          <w:rFonts w:ascii="Verdana" w:eastAsia="Verdana" w:hAnsi="Verdana" w:cs="Verdana"/>
          <w:sz w:val="20"/>
          <w:szCs w:val="20"/>
        </w:rPr>
      </w:pPr>
      <w:r w:rsidRPr="008E0075">
        <w:rPr>
          <w:rFonts w:ascii="Verdana" w:hAnsi="Verdana"/>
          <w:sz w:val="20"/>
          <w:szCs w:val="20"/>
        </w:rPr>
        <w:t>Ahora bien, en consideración de las alegaciones presentadas por la Comisión y l</w:t>
      </w:r>
      <w:r w:rsidR="00F84863">
        <w:rPr>
          <w:rFonts w:ascii="Verdana" w:hAnsi="Verdana"/>
          <w:sz w:val="20"/>
          <w:szCs w:val="20"/>
        </w:rPr>
        <w:t>a</w:t>
      </w:r>
      <w:r w:rsidRPr="008E0075">
        <w:rPr>
          <w:rFonts w:ascii="Verdana" w:hAnsi="Verdana"/>
          <w:sz w:val="20"/>
          <w:szCs w:val="20"/>
        </w:rPr>
        <w:t>s representantes, la Corte centrará su análisis en la alegada violación del derecho a una adecuada defensa técnica, la cual podría dar origen a otras vulneraciones de las</w:t>
      </w:r>
      <w:r>
        <w:rPr>
          <w:rFonts w:ascii="Verdana" w:hAnsi="Verdana"/>
          <w:sz w:val="20"/>
          <w:szCs w:val="20"/>
        </w:rPr>
        <w:t xml:space="preserve"> garantías mínimas</w:t>
      </w:r>
      <w:r w:rsidRPr="008E0075">
        <w:rPr>
          <w:rFonts w:ascii="Verdana" w:hAnsi="Verdana"/>
          <w:sz w:val="20"/>
          <w:szCs w:val="20"/>
        </w:rPr>
        <w:t xml:space="preserve"> del debido proceso conforme con el artículo 8 de la Convención Americana. </w:t>
      </w:r>
      <w:r w:rsidRPr="008E0075">
        <w:rPr>
          <w:rFonts w:ascii="Verdana" w:hAnsi="Verdana"/>
          <w:noProof/>
          <w:sz w:val="20"/>
          <w:szCs w:val="20"/>
          <w:lang w:val="es-CL"/>
        </w:rPr>
        <w:t>Par</w:t>
      </w:r>
      <w:r>
        <w:rPr>
          <w:rFonts w:ascii="Verdana" w:hAnsi="Verdana"/>
          <w:noProof/>
          <w:sz w:val="20"/>
          <w:szCs w:val="20"/>
          <w:lang w:val="es-CL"/>
        </w:rPr>
        <w:t xml:space="preserve">a dicho </w:t>
      </w:r>
      <w:r>
        <w:rPr>
          <w:rFonts w:ascii="Verdana" w:hAnsi="Verdana"/>
          <w:noProof/>
          <w:sz w:val="20"/>
          <w:szCs w:val="20"/>
          <w:lang w:val="es-CL"/>
        </w:rPr>
        <w:lastRenderedPageBreak/>
        <w:t xml:space="preserve">análisis, </w:t>
      </w:r>
      <w:r w:rsidRPr="008E0075">
        <w:rPr>
          <w:rFonts w:ascii="Verdana" w:hAnsi="Verdana"/>
          <w:noProof/>
          <w:sz w:val="20"/>
          <w:szCs w:val="20"/>
          <w:lang w:val="es-CL"/>
        </w:rPr>
        <w:t>primeramente se referirá a la ausencia de la defensa técnica en varias diligencias y a la designación de estudiantes de derecho como defensores de las presuntas víctimas, y por último, a otras garantías del derecho de defensa.</w:t>
      </w:r>
      <w:bookmarkStart w:id="83" w:name="_Toc12350838"/>
    </w:p>
    <w:p w:rsidR="00A326C2" w:rsidRDefault="00A326C2" w:rsidP="00A326C2">
      <w:pPr>
        <w:pStyle w:val="Normal1"/>
        <w:widowControl/>
        <w:tabs>
          <w:tab w:val="left" w:pos="0"/>
        </w:tabs>
        <w:contextualSpacing/>
        <w:jc w:val="both"/>
        <w:rPr>
          <w:rFonts w:ascii="Verdana" w:eastAsiaTheme="minorHAnsi" w:hAnsi="Verdana" w:cstheme="minorBidi"/>
          <w:sz w:val="20"/>
          <w:szCs w:val="22"/>
        </w:rPr>
      </w:pPr>
    </w:p>
    <w:p w:rsidR="00A326C2" w:rsidRPr="00451DB9" w:rsidRDefault="00A326C2" w:rsidP="00A326C2">
      <w:pPr>
        <w:pStyle w:val="Normal1"/>
        <w:widowControl/>
        <w:tabs>
          <w:tab w:val="left" w:pos="0"/>
        </w:tabs>
        <w:contextualSpacing/>
        <w:jc w:val="both"/>
        <w:outlineLvl w:val="2"/>
        <w:rPr>
          <w:rFonts w:ascii="Verdana" w:eastAsia="Batang" w:hAnsi="Verdana" w:cs="Times"/>
          <w:i/>
          <w:sz w:val="20"/>
          <w:szCs w:val="20"/>
          <w:lang w:val="es-MX"/>
        </w:rPr>
      </w:pPr>
      <w:r>
        <w:rPr>
          <w:rFonts w:ascii="Verdana" w:eastAsia="Batang" w:hAnsi="Verdana" w:cs="Times"/>
          <w:i/>
          <w:sz w:val="20"/>
          <w:szCs w:val="20"/>
          <w:lang w:val="es-MX"/>
        </w:rPr>
        <w:tab/>
      </w:r>
      <w:bookmarkStart w:id="84" w:name="_Toc24538849"/>
      <w:r w:rsidRPr="00451DB9">
        <w:rPr>
          <w:rFonts w:ascii="Verdana" w:eastAsia="Batang" w:hAnsi="Verdana" w:cs="Times"/>
          <w:i/>
          <w:sz w:val="20"/>
          <w:szCs w:val="20"/>
          <w:lang w:val="es-MX"/>
        </w:rPr>
        <w:t>B.1. La ausencia de defensa técnica de los procesados</w:t>
      </w:r>
      <w:bookmarkEnd w:id="83"/>
      <w:bookmarkEnd w:id="84"/>
      <w:r w:rsidRPr="00451DB9">
        <w:rPr>
          <w:rFonts w:ascii="Verdana" w:eastAsia="Batang" w:hAnsi="Verdana" w:cs="Times"/>
          <w:i/>
          <w:sz w:val="20"/>
          <w:szCs w:val="20"/>
          <w:lang w:val="es-MX"/>
        </w:rPr>
        <w:t xml:space="preserve"> </w:t>
      </w:r>
    </w:p>
    <w:p w:rsidR="00A326C2" w:rsidRPr="008E0075" w:rsidRDefault="00A326C2" w:rsidP="00A326C2">
      <w:pPr>
        <w:pStyle w:val="Normal1"/>
        <w:widowControl/>
        <w:tabs>
          <w:tab w:val="left" w:pos="0"/>
        </w:tabs>
        <w:contextualSpacing/>
        <w:jc w:val="both"/>
        <w:rPr>
          <w:rFonts w:ascii="Verdana" w:hAnsi="Verdana" w:cs="Arial"/>
          <w:bCs/>
          <w:iCs/>
          <w:sz w:val="20"/>
          <w:szCs w:val="20"/>
        </w:rPr>
      </w:pPr>
    </w:p>
    <w:p w:rsidR="00A326C2" w:rsidRPr="008E0075" w:rsidRDefault="00A326C2" w:rsidP="00FE0342">
      <w:pPr>
        <w:pStyle w:val="Normal1"/>
        <w:widowControl/>
        <w:numPr>
          <w:ilvl w:val="0"/>
          <w:numId w:val="33"/>
        </w:numPr>
        <w:ind w:left="0" w:firstLine="0"/>
        <w:contextualSpacing/>
        <w:jc w:val="both"/>
        <w:rPr>
          <w:rFonts w:ascii="Verdana" w:hAnsi="Verdana" w:cs="Arial"/>
          <w:bCs/>
          <w:iCs/>
          <w:sz w:val="20"/>
          <w:szCs w:val="20"/>
        </w:rPr>
      </w:pPr>
      <w:r w:rsidRPr="008E0075">
        <w:rPr>
          <w:rFonts w:ascii="Verdana" w:eastAsia="Verdana" w:hAnsi="Verdana" w:cs="Verdana"/>
          <w:sz w:val="20"/>
          <w:szCs w:val="20"/>
        </w:rPr>
        <w:t>La Corte ha señalado que e</w:t>
      </w:r>
      <w:r w:rsidRPr="008E0075">
        <w:rPr>
          <w:rFonts w:ascii="Verdana" w:hAnsi="Verdana" w:cs="Tahoma"/>
          <w:sz w:val="20"/>
          <w:szCs w:val="20"/>
        </w:rPr>
        <w:t>l derecho de defensa implica que esta sea eficaz, oportuna, realizada por personal técnico, que permita fortalecer la protección del interés concreto del imputado y no como un simple medio para cumplir formalmente con la legitimidad del proceso. Por ende, cualquier forma de defensa aparente resultaría violatoria de la Convención Americana. En esta línea, “[l]a relación de confianza debe ser resguardada en todo lo posible dentro de los sistemas de defensa pública [por lo que d]eben existir mecanismos ágiles para que el imputado pueda pedir que se evalúe el nivel de su defensa y [n]ingún defensor público puede subordinar los intereses de su defendido a otros intereses sociales o institucionales o a la preservación de la `justicia´”</w:t>
      </w:r>
      <w:r w:rsidRPr="008E0075">
        <w:rPr>
          <w:rStyle w:val="Refdenotaalpie"/>
          <w:rFonts w:ascii="Verdana" w:hAnsi="Verdana" w:cs="Tahoma"/>
          <w:sz w:val="20"/>
          <w:szCs w:val="20"/>
        </w:rPr>
        <w:footnoteReference w:id="92"/>
      </w:r>
      <w:r w:rsidRPr="008E0075">
        <w:rPr>
          <w:rFonts w:ascii="Verdana" w:hAnsi="Verdana" w:cs="Tahoma"/>
          <w:sz w:val="20"/>
          <w:szCs w:val="20"/>
        </w:rPr>
        <w:t>.</w:t>
      </w:r>
    </w:p>
    <w:p w:rsidR="00A326C2" w:rsidRPr="008E0075" w:rsidRDefault="00A326C2" w:rsidP="00FE0342">
      <w:pPr>
        <w:pStyle w:val="Normal1"/>
        <w:widowControl/>
        <w:contextualSpacing/>
        <w:jc w:val="both"/>
        <w:rPr>
          <w:rFonts w:ascii="Verdana" w:hAnsi="Verdana" w:cs="Arial"/>
          <w:bCs/>
          <w:iCs/>
          <w:sz w:val="20"/>
          <w:szCs w:val="20"/>
        </w:rPr>
      </w:pPr>
    </w:p>
    <w:p w:rsidR="00A326C2" w:rsidRPr="008E0075" w:rsidRDefault="00A326C2" w:rsidP="00FE0342">
      <w:pPr>
        <w:pStyle w:val="Normal1"/>
        <w:numPr>
          <w:ilvl w:val="0"/>
          <w:numId w:val="33"/>
        </w:numPr>
        <w:ind w:left="0" w:firstLine="0"/>
        <w:contextualSpacing/>
        <w:jc w:val="both"/>
        <w:rPr>
          <w:rFonts w:ascii="Verdana" w:hAnsi="Verdana" w:cs="Arial"/>
          <w:sz w:val="20"/>
          <w:szCs w:val="20"/>
        </w:rPr>
      </w:pPr>
      <w:r>
        <w:rPr>
          <w:rFonts w:ascii="Verdana" w:hAnsi="Verdana" w:cs="Arial"/>
          <w:sz w:val="20"/>
          <w:szCs w:val="20"/>
        </w:rPr>
        <w:t>L</w:t>
      </w:r>
      <w:r w:rsidRPr="008E0075">
        <w:rPr>
          <w:rFonts w:ascii="Verdana" w:hAnsi="Verdana" w:cs="Arial"/>
          <w:sz w:val="20"/>
          <w:szCs w:val="20"/>
        </w:rPr>
        <w:t>a defensa pública corresponde a una función estatal o servicio público, pero se considera una función que debe gozar de la autonomía necesaria para ejercer adecuadamente sus funciones de asesorar según su mejor juicio profesional y en atención a los intereses del imputado, la Corte estima que el Estado no puede ser considerado responsable de todas las fallas de la defensa pública, dado la independencia de la profesión y el juicio profesional del abogado defensor. En este sentido, la Corte considera que, como parte del deber estatal de garantizar una adecuada defensa pública, es necesario implementar adecuados procesos de selección de los defensores públicos, desarrollar controles sobre su labor y brindarles capacitaciones periódicas</w:t>
      </w:r>
      <w:r w:rsidRPr="008E0075">
        <w:rPr>
          <w:rStyle w:val="Refdenotaalpie"/>
          <w:rFonts w:ascii="Verdana" w:hAnsi="Verdana" w:cs="Arial"/>
          <w:sz w:val="20"/>
          <w:szCs w:val="20"/>
        </w:rPr>
        <w:footnoteReference w:id="93"/>
      </w:r>
      <w:r w:rsidRPr="008E0075">
        <w:rPr>
          <w:rFonts w:ascii="Verdana" w:hAnsi="Verdana" w:cs="Arial"/>
          <w:sz w:val="20"/>
          <w:szCs w:val="20"/>
        </w:rPr>
        <w:t xml:space="preserve">. </w:t>
      </w:r>
    </w:p>
    <w:p w:rsidR="00A326C2" w:rsidRPr="008E0075" w:rsidRDefault="00A326C2" w:rsidP="00FE0342">
      <w:pPr>
        <w:pStyle w:val="Normal1"/>
        <w:contextualSpacing/>
        <w:rPr>
          <w:rFonts w:ascii="Verdana" w:hAnsi="Verdana" w:cs="Arial"/>
          <w:sz w:val="20"/>
          <w:szCs w:val="20"/>
        </w:rPr>
      </w:pPr>
    </w:p>
    <w:p w:rsidR="00A326C2" w:rsidRPr="008E0075" w:rsidRDefault="00A326C2" w:rsidP="00FE0342">
      <w:pPr>
        <w:pStyle w:val="Normal1"/>
        <w:widowControl/>
        <w:numPr>
          <w:ilvl w:val="0"/>
          <w:numId w:val="33"/>
        </w:numPr>
        <w:ind w:left="0" w:firstLine="0"/>
        <w:contextualSpacing/>
        <w:jc w:val="both"/>
        <w:rPr>
          <w:rFonts w:ascii="Verdana" w:hAnsi="Verdana" w:cs="Arial"/>
          <w:bCs/>
          <w:iCs/>
          <w:sz w:val="20"/>
          <w:szCs w:val="20"/>
        </w:rPr>
      </w:pPr>
      <w:r w:rsidRPr="008E0075">
        <w:rPr>
          <w:rFonts w:ascii="Verdana" w:hAnsi="Verdana" w:cs="Arial"/>
          <w:sz w:val="20"/>
          <w:szCs w:val="20"/>
        </w:rPr>
        <w:t>La Corte ha considerado que nombrar a un defensor de oficio con el sólo objeto de cumplir con una formalidad procesal equivaldría a no contar con defensa técnica, por lo que es imperante que dicho defensor actúe de manera diligente con el fin de proteger las garantías procesales del acusado y evite así que sus derechos se vean lesionados</w:t>
      </w:r>
      <w:r w:rsidRPr="008E0075">
        <w:rPr>
          <w:rFonts w:ascii="Verdana" w:hAnsi="Verdana"/>
          <w:sz w:val="20"/>
          <w:szCs w:val="20"/>
          <w:vertAlign w:val="superscript"/>
        </w:rPr>
        <w:footnoteReference w:id="94"/>
      </w:r>
      <w:r w:rsidRPr="008E0075">
        <w:rPr>
          <w:rFonts w:ascii="Verdana" w:hAnsi="Verdana" w:cs="Arial"/>
          <w:sz w:val="20"/>
          <w:szCs w:val="20"/>
        </w:rPr>
        <w:t xml:space="preserve"> y se quebrante la relación de confianza. A tal fin, es necesario que la institución de la defensa pública, como medio a través del cual el Estado garantiza el derecho irrenunciable de todo inculpado de delito de ser asistido por un defensor, sea dotada de garantías suficientes para su actuación eficiente y en igualdad de armas con el poder persecutorio. La Corte ha reconocido que para cumplir con este cometido el Estado debe adoptar todas las medidas adecuadas</w:t>
      </w:r>
      <w:r w:rsidRPr="008E0075">
        <w:rPr>
          <w:rStyle w:val="Refdenotaalpie"/>
          <w:rFonts w:ascii="Verdana" w:hAnsi="Verdana" w:cs="Arial"/>
          <w:sz w:val="20"/>
          <w:szCs w:val="20"/>
        </w:rPr>
        <w:footnoteReference w:id="95"/>
      </w:r>
      <w:r w:rsidRPr="008E0075">
        <w:rPr>
          <w:rFonts w:ascii="Verdana" w:hAnsi="Verdana" w:cs="Arial"/>
          <w:sz w:val="20"/>
          <w:szCs w:val="20"/>
        </w:rPr>
        <w:t>. Entre ellas, contar con defensores idóneos y capacitados que puedan actuar con autonomía funcional.</w:t>
      </w:r>
    </w:p>
    <w:p w:rsidR="00A326C2" w:rsidRPr="008E0075" w:rsidRDefault="00A326C2" w:rsidP="00FE0342">
      <w:pPr>
        <w:pStyle w:val="Prrafodelista"/>
        <w:spacing w:after="0" w:line="240" w:lineRule="auto"/>
        <w:ind w:left="0"/>
        <w:rPr>
          <w:rFonts w:ascii="Verdana" w:hAnsi="Verdana"/>
          <w:sz w:val="20"/>
          <w:szCs w:val="20"/>
          <w:lang w:val="es-CR"/>
        </w:rPr>
      </w:pPr>
    </w:p>
    <w:p w:rsidR="00A326C2" w:rsidRPr="008E0075" w:rsidRDefault="00A326C2" w:rsidP="00FE0342">
      <w:pPr>
        <w:pStyle w:val="Normal1"/>
        <w:widowControl/>
        <w:numPr>
          <w:ilvl w:val="0"/>
          <w:numId w:val="33"/>
        </w:numPr>
        <w:ind w:left="0" w:firstLine="0"/>
        <w:contextualSpacing/>
        <w:jc w:val="both"/>
        <w:rPr>
          <w:rFonts w:ascii="Verdana" w:hAnsi="Verdana" w:cs="Arial"/>
          <w:bCs/>
          <w:iCs/>
          <w:sz w:val="20"/>
          <w:szCs w:val="20"/>
        </w:rPr>
      </w:pPr>
      <w:r w:rsidRPr="008E0075">
        <w:rPr>
          <w:rFonts w:ascii="Verdana" w:hAnsi="Verdana"/>
          <w:sz w:val="20"/>
          <w:szCs w:val="20"/>
        </w:rPr>
        <w:t>La Corte considera que la asistencia jurídica debe ser ejercida por un profesional del derecho para poder satisfacer los requisitos de una defensa técnica a través de la cual se asesore a la persona sometida a proceso</w:t>
      </w:r>
      <w:r w:rsidRPr="008E0075">
        <w:rPr>
          <w:rFonts w:ascii="Verdana" w:hAnsi="Verdana"/>
          <w:i/>
          <w:sz w:val="20"/>
          <w:szCs w:val="20"/>
        </w:rPr>
        <w:t>, inter alia</w:t>
      </w:r>
      <w:r w:rsidRPr="008E0075">
        <w:rPr>
          <w:rFonts w:ascii="Verdana" w:hAnsi="Verdana"/>
          <w:sz w:val="20"/>
          <w:szCs w:val="20"/>
        </w:rPr>
        <w:t>, sobre la posibilidad de ejercer recursos contra actos que afecten derechos</w:t>
      </w:r>
      <w:r w:rsidRPr="008E0075">
        <w:rPr>
          <w:rStyle w:val="Refdenotaalpie"/>
          <w:rFonts w:ascii="Verdana" w:hAnsi="Verdana"/>
          <w:sz w:val="20"/>
          <w:szCs w:val="20"/>
        </w:rPr>
        <w:footnoteReference w:id="96"/>
      </w:r>
      <w:r w:rsidRPr="008E0075">
        <w:rPr>
          <w:rFonts w:ascii="Verdana" w:hAnsi="Verdana"/>
          <w:sz w:val="20"/>
          <w:szCs w:val="20"/>
        </w:rPr>
        <w:t>. Es por ello, que la Corte confirma, que en los casos de los procesos penales, la defensa tiene que ser e</w:t>
      </w:r>
      <w:r>
        <w:rPr>
          <w:rFonts w:ascii="Verdana" w:hAnsi="Verdana"/>
          <w:sz w:val="20"/>
          <w:szCs w:val="20"/>
        </w:rPr>
        <w:t>jercida por un profesional del d</w:t>
      </w:r>
      <w:r w:rsidRPr="008E0075">
        <w:rPr>
          <w:rFonts w:ascii="Verdana" w:hAnsi="Verdana"/>
          <w:sz w:val="20"/>
          <w:szCs w:val="20"/>
        </w:rPr>
        <w:t>erecho</w:t>
      </w:r>
      <w:r w:rsidRPr="008E0075">
        <w:rPr>
          <w:rStyle w:val="Refdenotaalpie"/>
          <w:rFonts w:ascii="Verdana" w:hAnsi="Verdana"/>
          <w:sz w:val="20"/>
          <w:szCs w:val="20"/>
        </w:rPr>
        <w:footnoteReference w:id="97"/>
      </w:r>
      <w:r w:rsidRPr="008E0075">
        <w:rPr>
          <w:rFonts w:ascii="Verdana" w:hAnsi="Verdana"/>
          <w:sz w:val="20"/>
          <w:szCs w:val="20"/>
        </w:rPr>
        <w:t xml:space="preserve"> dado </w:t>
      </w:r>
      <w:r w:rsidRPr="008E0075">
        <w:rPr>
          <w:rFonts w:ascii="Verdana" w:hAnsi="Verdana"/>
          <w:sz w:val="20"/>
          <w:szCs w:val="20"/>
        </w:rPr>
        <w:lastRenderedPageBreak/>
        <w:t xml:space="preserve">que significa una garantía del debido proceso y que el investigado será asesorado sobre sus deberes y derechos y de que ello será respetado. Un abogado, asimismo, puede realizar, </w:t>
      </w:r>
      <w:r w:rsidRPr="008E0075">
        <w:rPr>
          <w:rFonts w:ascii="Verdana" w:hAnsi="Verdana"/>
          <w:i/>
          <w:sz w:val="20"/>
          <w:szCs w:val="20"/>
        </w:rPr>
        <w:t>inter alia</w:t>
      </w:r>
      <w:r w:rsidRPr="008E0075">
        <w:rPr>
          <w:rFonts w:ascii="Verdana" w:hAnsi="Verdana"/>
          <w:sz w:val="20"/>
          <w:szCs w:val="20"/>
        </w:rPr>
        <w:t>, un control crítico y de legalidad en la producción de pruebas y puede compensar adecuadamente la situación de vulnerabilidad de las personas privadas de libertad en relación con el acceso efectivo a la jus</w:t>
      </w:r>
      <w:r w:rsidR="00AC0572">
        <w:rPr>
          <w:rFonts w:ascii="Verdana" w:hAnsi="Verdana"/>
          <w:sz w:val="20"/>
          <w:szCs w:val="20"/>
        </w:rPr>
        <w:t>ticia en términos igualitarios</w:t>
      </w:r>
      <w:r w:rsidRPr="008E0075">
        <w:rPr>
          <w:rFonts w:ascii="Verdana" w:hAnsi="Verdana"/>
          <w:sz w:val="20"/>
          <w:szCs w:val="20"/>
        </w:rPr>
        <w:t xml:space="preserve">. </w:t>
      </w:r>
    </w:p>
    <w:p w:rsidR="00A326C2" w:rsidRPr="008E0075" w:rsidRDefault="00A326C2" w:rsidP="00FE0342">
      <w:pPr>
        <w:pStyle w:val="Normal1"/>
        <w:widowControl/>
        <w:contextualSpacing/>
        <w:jc w:val="both"/>
        <w:rPr>
          <w:rFonts w:ascii="Verdana" w:hAnsi="Verdana"/>
          <w:sz w:val="20"/>
          <w:szCs w:val="20"/>
        </w:rPr>
      </w:pPr>
    </w:p>
    <w:p w:rsidR="00A326C2" w:rsidRPr="008E0075" w:rsidRDefault="00A326C2" w:rsidP="00FE0342">
      <w:pPr>
        <w:pStyle w:val="Normal1"/>
        <w:widowControl/>
        <w:numPr>
          <w:ilvl w:val="0"/>
          <w:numId w:val="33"/>
        </w:numPr>
        <w:ind w:left="0" w:firstLine="0"/>
        <w:contextualSpacing/>
        <w:jc w:val="both"/>
        <w:rPr>
          <w:rFonts w:ascii="Verdana" w:hAnsi="Verdana"/>
          <w:sz w:val="20"/>
          <w:szCs w:val="20"/>
        </w:rPr>
      </w:pPr>
      <w:r w:rsidRPr="008E0075">
        <w:rPr>
          <w:rFonts w:ascii="Verdana" w:eastAsia="Verdana" w:hAnsi="Verdana" w:cs="Verdana"/>
          <w:sz w:val="20"/>
          <w:szCs w:val="20"/>
        </w:rPr>
        <w:t xml:space="preserve">Los señores Roberto Girón y Pedro Castillo fueron acusados el 18 de abril de 1993 por el delito de violación calificada, cuyo proceso penal culminó con una sentencia condenatoria a pena de muerte. En el presente caso, la discusión jurídica se centra en analizar si en el proceso penal tramitado a las presuntas víctimas se les respetó el derecho de defensa, en particular, si el Estado les proporcionó una defensa técnica </w:t>
      </w:r>
      <w:r w:rsidRPr="008E0075">
        <w:rPr>
          <w:rFonts w:ascii="Verdana" w:hAnsi="Verdana"/>
          <w:sz w:val="20"/>
          <w:szCs w:val="20"/>
        </w:rPr>
        <w:t>adecuada</w:t>
      </w:r>
      <w:r w:rsidRPr="008E0075">
        <w:rPr>
          <w:rFonts w:ascii="Verdana" w:eastAsia="Verdana" w:hAnsi="Verdana" w:cs="Verdana"/>
          <w:sz w:val="20"/>
          <w:szCs w:val="20"/>
        </w:rPr>
        <w:t xml:space="preserve">, ya que según lo alegado por la Comisión y las representantes, no contaron con una defensa letrada en por los menos tres diligencias y, posteriormente, los defensores nombrados de oficio </w:t>
      </w:r>
      <w:r w:rsidR="008E438D">
        <w:rPr>
          <w:rFonts w:ascii="Verdana" w:eastAsia="Verdana" w:hAnsi="Verdana" w:cs="Verdana"/>
          <w:sz w:val="20"/>
          <w:szCs w:val="20"/>
        </w:rPr>
        <w:t>fueron</w:t>
      </w:r>
      <w:r w:rsidRPr="008E0075">
        <w:rPr>
          <w:rFonts w:ascii="Verdana" w:eastAsia="Verdana" w:hAnsi="Verdana" w:cs="Verdana"/>
          <w:sz w:val="20"/>
          <w:szCs w:val="20"/>
        </w:rPr>
        <w:t xml:space="preserve"> estudiantes de derecho, lo cual tuvo una incidencia negativa en el resultado del proceso en su perjuicio.</w:t>
      </w:r>
      <w:r w:rsidRPr="008E0075">
        <w:rPr>
          <w:rFonts w:ascii="Verdana" w:eastAsia="Verdana" w:hAnsi="Verdana" w:cs="Verdana"/>
          <w:b/>
          <w:sz w:val="20"/>
          <w:szCs w:val="20"/>
        </w:rPr>
        <w:t xml:space="preserve"> </w:t>
      </w:r>
    </w:p>
    <w:p w:rsidR="00A326C2" w:rsidRPr="008E0075" w:rsidRDefault="00A326C2" w:rsidP="00FE0342">
      <w:pPr>
        <w:pStyle w:val="Normal1"/>
        <w:widowControl/>
        <w:contextualSpacing/>
        <w:jc w:val="both"/>
        <w:rPr>
          <w:rFonts w:ascii="Verdana" w:hAnsi="Verdana"/>
          <w:sz w:val="20"/>
          <w:szCs w:val="20"/>
        </w:rPr>
      </w:pPr>
    </w:p>
    <w:p w:rsidR="00A326C2" w:rsidRPr="008E0075" w:rsidRDefault="00A326C2" w:rsidP="00FE0342">
      <w:pPr>
        <w:pStyle w:val="Normal1"/>
        <w:widowControl/>
        <w:numPr>
          <w:ilvl w:val="0"/>
          <w:numId w:val="33"/>
        </w:numPr>
        <w:ind w:left="0" w:firstLine="0"/>
        <w:contextualSpacing/>
        <w:jc w:val="both"/>
        <w:rPr>
          <w:rFonts w:ascii="Verdana" w:hAnsi="Verdana"/>
          <w:sz w:val="20"/>
          <w:szCs w:val="20"/>
        </w:rPr>
      </w:pPr>
      <w:r>
        <w:rPr>
          <w:rFonts w:ascii="Verdana" w:eastAsia="Verdana" w:hAnsi="Verdana" w:cs="Verdana"/>
          <w:sz w:val="20"/>
          <w:szCs w:val="20"/>
        </w:rPr>
        <w:t>En primer lugar</w:t>
      </w:r>
      <w:r w:rsidRPr="008E0075">
        <w:rPr>
          <w:rFonts w:ascii="Verdana" w:eastAsia="Verdana" w:hAnsi="Verdana" w:cs="Verdana"/>
          <w:sz w:val="20"/>
          <w:szCs w:val="20"/>
        </w:rPr>
        <w:t>, se alegó que las presuntas víctimas no contaron con</w:t>
      </w:r>
      <w:r w:rsidRPr="008E0075">
        <w:rPr>
          <w:rFonts w:ascii="Verdana" w:hAnsi="Verdana"/>
          <w:sz w:val="20"/>
          <w:szCs w:val="20"/>
        </w:rPr>
        <w:t xml:space="preserve"> la asistencia de un defensor al menos en tres diligencias: </w:t>
      </w:r>
      <w:r w:rsidRPr="008E0075">
        <w:rPr>
          <w:rFonts w:ascii="Verdana" w:eastAsia="Verdana" w:hAnsi="Verdana" w:cs="Verdana"/>
          <w:sz w:val="20"/>
          <w:szCs w:val="20"/>
        </w:rPr>
        <w:t>a) en las declaraciones indagatorias rendidas el 1</w:t>
      </w:r>
      <w:r w:rsidRPr="008E0075">
        <w:rPr>
          <w:rFonts w:ascii="Verdana" w:hAnsi="Verdana"/>
          <w:sz w:val="20"/>
          <w:szCs w:val="20"/>
        </w:rPr>
        <w:t xml:space="preserve">9 de abril de 1993 </w:t>
      </w:r>
      <w:r w:rsidRPr="008E0075">
        <w:rPr>
          <w:rFonts w:ascii="Verdana" w:eastAsia="Verdana" w:hAnsi="Verdana" w:cs="Verdana"/>
          <w:sz w:val="20"/>
          <w:szCs w:val="20"/>
        </w:rPr>
        <w:t>por Roberto Girón y Pedro Castillo</w:t>
      </w:r>
      <w:r w:rsidRPr="008E0075">
        <w:rPr>
          <w:rStyle w:val="Refdenotaalpie"/>
          <w:rFonts w:ascii="Verdana" w:eastAsia="Verdana" w:hAnsi="Verdana" w:cs="Verdana"/>
          <w:sz w:val="20"/>
          <w:szCs w:val="20"/>
        </w:rPr>
        <w:footnoteReference w:id="98"/>
      </w:r>
      <w:r w:rsidRPr="008E0075">
        <w:rPr>
          <w:rFonts w:ascii="Verdana" w:eastAsia="Verdana" w:hAnsi="Verdana" w:cs="Verdana"/>
          <w:sz w:val="20"/>
          <w:szCs w:val="20"/>
        </w:rPr>
        <w:t xml:space="preserve">; b) durante el careo entre los procesados efectuado el </w:t>
      </w:r>
      <w:r w:rsidRPr="008E0075">
        <w:rPr>
          <w:rFonts w:ascii="Verdana" w:hAnsi="Verdana"/>
          <w:sz w:val="20"/>
          <w:szCs w:val="20"/>
        </w:rPr>
        <w:t>5 de mayo de 1993</w:t>
      </w:r>
      <w:r w:rsidRPr="00B55188">
        <w:rPr>
          <w:rFonts w:ascii="Verdana" w:eastAsia="Verdana" w:hAnsi="Verdana" w:cs="Verdana"/>
          <w:sz w:val="16"/>
          <w:szCs w:val="16"/>
        </w:rPr>
        <w:t>,</w:t>
      </w:r>
      <w:r w:rsidRPr="008E0075">
        <w:rPr>
          <w:rFonts w:ascii="Verdana" w:eastAsia="Verdana" w:hAnsi="Verdana" w:cs="Verdana"/>
          <w:b/>
          <w:sz w:val="20"/>
          <w:szCs w:val="20"/>
        </w:rPr>
        <w:t xml:space="preserve"> </w:t>
      </w:r>
      <w:r w:rsidRPr="008E0075">
        <w:rPr>
          <w:rFonts w:ascii="Verdana" w:eastAsia="Verdana" w:hAnsi="Verdana" w:cs="Verdana"/>
          <w:sz w:val="20"/>
          <w:szCs w:val="20"/>
        </w:rPr>
        <w:t xml:space="preserve">y c) cuando se decretó la prisión preventiva el </w:t>
      </w:r>
      <w:r w:rsidRPr="008E0075">
        <w:rPr>
          <w:rFonts w:ascii="Verdana" w:hAnsi="Verdana"/>
          <w:sz w:val="20"/>
          <w:szCs w:val="20"/>
        </w:rPr>
        <w:t>22 de abril de 1993</w:t>
      </w:r>
      <w:r w:rsidRPr="008E0075">
        <w:rPr>
          <w:rStyle w:val="Refdenotaalpie"/>
          <w:rFonts w:ascii="Verdana" w:eastAsia="Verdana" w:hAnsi="Verdana" w:cs="Verdana"/>
          <w:sz w:val="20"/>
          <w:szCs w:val="20"/>
        </w:rPr>
        <w:footnoteReference w:id="99"/>
      </w:r>
      <w:r w:rsidRPr="008E0075">
        <w:rPr>
          <w:rFonts w:ascii="Verdana" w:eastAsia="Verdana" w:hAnsi="Verdana" w:cs="Verdana"/>
          <w:sz w:val="20"/>
          <w:szCs w:val="20"/>
        </w:rPr>
        <w:t>.</w:t>
      </w:r>
      <w:r w:rsidRPr="008E0075">
        <w:rPr>
          <w:rFonts w:ascii="Verdana" w:eastAsia="Verdana" w:hAnsi="Verdana" w:cs="Verdana"/>
          <w:b/>
          <w:sz w:val="20"/>
          <w:szCs w:val="20"/>
        </w:rPr>
        <w:t xml:space="preserve"> </w:t>
      </w:r>
      <w:r w:rsidRPr="008E0075">
        <w:rPr>
          <w:rFonts w:ascii="Verdana" w:eastAsia="Verdana" w:hAnsi="Verdana" w:cs="Verdana"/>
          <w:sz w:val="20"/>
          <w:szCs w:val="20"/>
        </w:rPr>
        <w:t>En segundo lugar, que la defensa pública de oficio designó a estudiantes de derecho para ejercer la defensa técnica de las presuntas víctimas.</w:t>
      </w:r>
    </w:p>
    <w:p w:rsidR="00A326C2" w:rsidRPr="008E0075" w:rsidRDefault="00A326C2" w:rsidP="00FE0342">
      <w:pPr>
        <w:pStyle w:val="Normal1"/>
        <w:widowControl/>
        <w:contextualSpacing/>
        <w:jc w:val="both"/>
        <w:rPr>
          <w:rFonts w:ascii="Verdana" w:hAnsi="Verdana"/>
          <w:sz w:val="20"/>
          <w:szCs w:val="20"/>
        </w:rPr>
      </w:pPr>
    </w:p>
    <w:p w:rsidR="00A326C2" w:rsidRPr="008E0075" w:rsidRDefault="00A326C2" w:rsidP="00FE0342">
      <w:pPr>
        <w:pStyle w:val="Normal1"/>
        <w:widowControl/>
        <w:numPr>
          <w:ilvl w:val="0"/>
          <w:numId w:val="33"/>
        </w:numPr>
        <w:ind w:left="0" w:firstLine="0"/>
        <w:contextualSpacing/>
        <w:jc w:val="both"/>
        <w:rPr>
          <w:rFonts w:ascii="Verdana" w:hAnsi="Verdana"/>
          <w:sz w:val="20"/>
          <w:szCs w:val="20"/>
        </w:rPr>
      </w:pPr>
      <w:r w:rsidRPr="008E0075">
        <w:rPr>
          <w:rFonts w:ascii="Verdana" w:hAnsi="Verdana"/>
          <w:sz w:val="20"/>
          <w:szCs w:val="20"/>
        </w:rPr>
        <w:t>En cuanto a las tres diligencias esta Corte constata que: a) respecto a las declaraciones indagatorias, en esta etapa procedimental a los señores Roberto Girón y Pedro Castillo, según consta en el acta de cada declaración, el juez sólo les informó que “nadie está obligado a declarar contra sí mismo”, pero no les preguntó si querían declarar o guardar silencio, puesto que no consta una aceptación expresa de los declarantes para proseguir con la diligencia. Sin embargo, seguidamente se les interrogó y rindieron su declaración. Además de ello, la Corte nota que las preguntas formuladas por el juez a ambos declarantes contenían la afirmación de responsabilidad penal de hechos, aún cuando en un principio no los habían aceptado, asimismo, se advierten preguntas sugestivas, capciosas y conclusivas; b) en el auto del Juzgado Primero de Paz, mediante el cual se decretó la prisión preventiva el 22 de abril de 1993,</w:t>
      </w:r>
      <w:r w:rsidRPr="008E0075">
        <w:rPr>
          <w:rFonts w:ascii="Verdana" w:hAnsi="Verdana"/>
          <w:b/>
          <w:sz w:val="20"/>
          <w:szCs w:val="20"/>
        </w:rPr>
        <w:t xml:space="preserve"> </w:t>
      </w:r>
      <w:r w:rsidRPr="008E0075">
        <w:rPr>
          <w:rFonts w:ascii="Verdana" w:hAnsi="Verdana"/>
          <w:sz w:val="20"/>
          <w:szCs w:val="20"/>
        </w:rPr>
        <w:t xml:space="preserve">consta que no se hizo alegación alguna respecto a la situación de los señores Girón y Castillo, ni consta alguna actuación de un abogado defensor, y c) en el careo entre los procesados efectuado el 5 de mayo de 1993 se hace constar que “en la práctica de la […] diligencia únicamente est[aban] presentes los dos procesados aludidos no así sus correspondientes defensores”. </w:t>
      </w:r>
      <w:r w:rsidRPr="008E0075">
        <w:rPr>
          <w:rFonts w:ascii="Verdana" w:hAnsi="Verdana"/>
          <w:b/>
          <w:sz w:val="16"/>
          <w:szCs w:val="16"/>
        </w:rPr>
        <w:t xml:space="preserve"> </w:t>
      </w:r>
    </w:p>
    <w:p w:rsidR="00A326C2" w:rsidRPr="008E0075" w:rsidRDefault="00A326C2" w:rsidP="00FE0342">
      <w:pPr>
        <w:pStyle w:val="Normal1"/>
        <w:widowControl/>
        <w:contextualSpacing/>
        <w:jc w:val="both"/>
        <w:rPr>
          <w:rFonts w:ascii="Verdana" w:hAnsi="Verdana"/>
          <w:sz w:val="20"/>
          <w:szCs w:val="20"/>
        </w:rPr>
      </w:pPr>
    </w:p>
    <w:p w:rsidR="00A326C2" w:rsidRDefault="00B65757" w:rsidP="00FE0342">
      <w:pPr>
        <w:pStyle w:val="Normal1"/>
        <w:widowControl/>
        <w:numPr>
          <w:ilvl w:val="0"/>
          <w:numId w:val="33"/>
        </w:numPr>
        <w:ind w:left="0" w:firstLine="0"/>
        <w:contextualSpacing/>
        <w:jc w:val="both"/>
        <w:rPr>
          <w:rFonts w:ascii="Verdana" w:hAnsi="Verdana"/>
          <w:sz w:val="20"/>
          <w:szCs w:val="20"/>
        </w:rPr>
      </w:pPr>
      <w:r>
        <w:rPr>
          <w:rFonts w:ascii="Verdana" w:hAnsi="Verdana"/>
          <w:sz w:val="20"/>
          <w:szCs w:val="20"/>
        </w:rPr>
        <w:t>Además</w:t>
      </w:r>
      <w:r w:rsidR="00A326C2" w:rsidRPr="008E0075">
        <w:rPr>
          <w:rFonts w:ascii="Verdana" w:hAnsi="Verdana"/>
          <w:sz w:val="20"/>
          <w:szCs w:val="20"/>
        </w:rPr>
        <w:t>, se desprende qu</w:t>
      </w:r>
      <w:r>
        <w:rPr>
          <w:rFonts w:ascii="Verdana" w:hAnsi="Verdana"/>
          <w:sz w:val="20"/>
          <w:szCs w:val="20"/>
        </w:rPr>
        <w:t>e la asignación de</w:t>
      </w:r>
      <w:r w:rsidR="00A326C2" w:rsidRPr="008E0075">
        <w:rPr>
          <w:rFonts w:ascii="Verdana" w:hAnsi="Verdana"/>
          <w:sz w:val="20"/>
          <w:szCs w:val="20"/>
        </w:rPr>
        <w:t xml:space="preserve"> estudiantes de derecho como defensores se dio previamente a la apertura a juicio, en </w:t>
      </w:r>
      <w:r w:rsidR="0083163B">
        <w:rPr>
          <w:rFonts w:ascii="Verdana" w:hAnsi="Verdana"/>
          <w:sz w:val="20"/>
          <w:szCs w:val="20"/>
        </w:rPr>
        <w:t>la</w:t>
      </w:r>
      <w:r w:rsidR="00A326C2" w:rsidRPr="008E0075">
        <w:rPr>
          <w:rFonts w:ascii="Verdana" w:hAnsi="Verdana"/>
          <w:sz w:val="20"/>
          <w:szCs w:val="20"/>
        </w:rPr>
        <w:t xml:space="preserve"> e</w:t>
      </w:r>
      <w:r w:rsidR="005A0516">
        <w:rPr>
          <w:rFonts w:ascii="Verdana" w:hAnsi="Verdana"/>
          <w:sz w:val="20"/>
          <w:szCs w:val="20"/>
        </w:rPr>
        <w:t>tapa</w:t>
      </w:r>
      <w:r w:rsidR="00A326C2" w:rsidRPr="008E0075">
        <w:rPr>
          <w:rFonts w:ascii="Verdana" w:hAnsi="Verdana"/>
          <w:sz w:val="20"/>
          <w:szCs w:val="20"/>
        </w:rPr>
        <w:t xml:space="preserve"> procesal correspondiente a los alegatos de la vista para la sentencia, es decir, en los alegatos finales. Para esa etapa las presuntas víctimas ya habían rendido sus declaraciones indagatorias y se habían realizado otras diligencias probatorias. La Corte considera que en las diligencias procesales señaladas es </w:t>
      </w:r>
      <w:r w:rsidR="00A326C2" w:rsidRPr="008E0075">
        <w:rPr>
          <w:rFonts w:ascii="Verdana" w:hAnsi="Verdana"/>
          <w:sz w:val="20"/>
          <w:szCs w:val="20"/>
        </w:rPr>
        <w:lastRenderedPageBreak/>
        <w:t>necesario contar con un abogado defensor</w:t>
      </w:r>
      <w:r>
        <w:rPr>
          <w:rFonts w:ascii="Verdana" w:hAnsi="Verdana"/>
          <w:sz w:val="20"/>
          <w:szCs w:val="20"/>
        </w:rPr>
        <w:t xml:space="preserve"> desde el inicio</w:t>
      </w:r>
      <w:r w:rsidR="00A326C2" w:rsidRPr="008E0075">
        <w:rPr>
          <w:rFonts w:ascii="Verdana" w:hAnsi="Verdana"/>
          <w:sz w:val="20"/>
          <w:szCs w:val="20"/>
        </w:rPr>
        <w:t xml:space="preserve">, dada la trascendencia de los actos procesales, su valor probatorio e incidencia en la resolución final. </w:t>
      </w:r>
    </w:p>
    <w:p w:rsidR="00A326C2" w:rsidRPr="0025269E" w:rsidRDefault="00A326C2" w:rsidP="00FE0342">
      <w:pPr>
        <w:pStyle w:val="Normal1"/>
        <w:widowControl/>
        <w:contextualSpacing/>
        <w:jc w:val="both"/>
        <w:rPr>
          <w:rFonts w:ascii="Verdana" w:hAnsi="Verdana"/>
          <w:sz w:val="20"/>
          <w:szCs w:val="20"/>
        </w:rPr>
      </w:pPr>
    </w:p>
    <w:p w:rsidR="00A326C2" w:rsidRDefault="00A326C2" w:rsidP="00FE0342">
      <w:pPr>
        <w:pStyle w:val="Normal1"/>
        <w:widowControl/>
        <w:numPr>
          <w:ilvl w:val="0"/>
          <w:numId w:val="33"/>
        </w:numPr>
        <w:ind w:left="0" w:firstLine="0"/>
        <w:contextualSpacing/>
        <w:jc w:val="both"/>
        <w:rPr>
          <w:rFonts w:ascii="Verdana" w:hAnsi="Verdana"/>
          <w:sz w:val="20"/>
          <w:szCs w:val="20"/>
        </w:rPr>
      </w:pPr>
      <w:r w:rsidRPr="008E0075">
        <w:rPr>
          <w:rFonts w:ascii="Verdana" w:hAnsi="Verdana"/>
          <w:sz w:val="20"/>
          <w:szCs w:val="20"/>
        </w:rPr>
        <w:t xml:space="preserve">Por esa razón la Corte concluye que los señores </w:t>
      </w:r>
      <w:r w:rsidR="00AC0572" w:rsidRPr="008E0075">
        <w:rPr>
          <w:rFonts w:ascii="Verdana" w:hAnsi="Verdana"/>
          <w:sz w:val="20"/>
          <w:szCs w:val="20"/>
        </w:rPr>
        <w:t xml:space="preserve">Roberto Girón </w:t>
      </w:r>
      <w:r w:rsidR="00AC0572">
        <w:rPr>
          <w:rFonts w:ascii="Verdana" w:hAnsi="Verdana"/>
          <w:sz w:val="20"/>
          <w:szCs w:val="20"/>
        </w:rPr>
        <w:t>y Pedro Castillo</w:t>
      </w:r>
      <w:r w:rsidRPr="008E0075">
        <w:rPr>
          <w:rFonts w:ascii="Verdana" w:hAnsi="Verdana"/>
          <w:sz w:val="20"/>
          <w:szCs w:val="20"/>
        </w:rPr>
        <w:t xml:space="preserve"> no contaron con la asistencia de un defensor al inicio del proceso, etapa en la cual se realizaron diligencias de importancia esencial como fueron la rendición de sus declaraciones indagatorias, el decreto de la prisión preventiva y el careo efectuado por el juez de instrucción, pese a que para esta última diligencia, ya habían sido nombrados los correspondientes defensores, el 27 de abril de 1993, todo lo cual ocasionó la violación del a</w:t>
      </w:r>
      <w:r w:rsidR="00AC0572">
        <w:rPr>
          <w:rFonts w:ascii="Verdana" w:hAnsi="Verdana"/>
          <w:sz w:val="20"/>
          <w:szCs w:val="20"/>
        </w:rPr>
        <w:t>rtículo 8.2.d) de la Convención</w:t>
      </w:r>
      <w:r w:rsidRPr="008E0075">
        <w:rPr>
          <w:rFonts w:ascii="Verdana" w:hAnsi="Verdana"/>
          <w:sz w:val="20"/>
          <w:szCs w:val="20"/>
        </w:rPr>
        <w:t>.</w:t>
      </w:r>
    </w:p>
    <w:p w:rsidR="00A326C2" w:rsidRPr="008A269C" w:rsidRDefault="00A326C2" w:rsidP="00FE0342">
      <w:pPr>
        <w:pStyle w:val="Normal1"/>
        <w:widowControl/>
        <w:contextualSpacing/>
        <w:jc w:val="both"/>
        <w:rPr>
          <w:rFonts w:ascii="Verdana" w:hAnsi="Verdana"/>
          <w:sz w:val="20"/>
          <w:szCs w:val="20"/>
        </w:rPr>
      </w:pPr>
    </w:p>
    <w:p w:rsidR="00A326C2" w:rsidRPr="008A269C" w:rsidRDefault="00A326C2" w:rsidP="00FE0342">
      <w:pPr>
        <w:pStyle w:val="Normal1"/>
        <w:widowControl/>
        <w:numPr>
          <w:ilvl w:val="0"/>
          <w:numId w:val="33"/>
        </w:numPr>
        <w:ind w:left="0" w:firstLine="0"/>
        <w:contextualSpacing/>
        <w:jc w:val="both"/>
        <w:rPr>
          <w:rFonts w:ascii="Verdana" w:hAnsi="Verdana"/>
          <w:sz w:val="20"/>
          <w:szCs w:val="20"/>
        </w:rPr>
      </w:pPr>
      <w:r>
        <w:rPr>
          <w:rFonts w:ascii="Verdana" w:hAnsi="Verdana"/>
          <w:sz w:val="20"/>
          <w:szCs w:val="20"/>
        </w:rPr>
        <w:t>Además</w:t>
      </w:r>
      <w:r w:rsidRPr="008E0075">
        <w:rPr>
          <w:rFonts w:ascii="Verdana" w:hAnsi="Verdana"/>
          <w:sz w:val="20"/>
          <w:szCs w:val="20"/>
        </w:rPr>
        <w:t xml:space="preserve">, no es un hecho controvertido, que </w:t>
      </w:r>
      <w:r w:rsidRPr="008E0075">
        <w:rPr>
          <w:rFonts w:ascii="Verdana" w:eastAsia="Verdana" w:hAnsi="Verdana" w:cs="Verdana"/>
          <w:sz w:val="20"/>
          <w:szCs w:val="20"/>
        </w:rPr>
        <w:t xml:space="preserve">la defensa pública de oficio designó a dos estudiantes de derecho para ejercer la defensa de las presuntas víctimas. La Corte destaca que </w:t>
      </w:r>
      <w:r w:rsidRPr="008E0075">
        <w:rPr>
          <w:rFonts w:ascii="Verdana" w:hAnsi="Verdana"/>
          <w:sz w:val="20"/>
          <w:szCs w:val="20"/>
        </w:rPr>
        <w:t xml:space="preserve">el 27 de abril de 1993 </w:t>
      </w:r>
      <w:r w:rsidRPr="008E0075">
        <w:rPr>
          <w:rFonts w:ascii="Verdana" w:eastAsia="Verdana" w:hAnsi="Verdana" w:cs="Verdana"/>
          <w:sz w:val="20"/>
          <w:szCs w:val="20"/>
        </w:rPr>
        <w:t xml:space="preserve">el Estado hizo tal designación y nombró </w:t>
      </w:r>
      <w:r w:rsidRPr="008E0075">
        <w:rPr>
          <w:rFonts w:ascii="Verdana" w:hAnsi="Verdana"/>
          <w:sz w:val="20"/>
          <w:szCs w:val="20"/>
        </w:rPr>
        <w:t>a LCC</w:t>
      </w:r>
      <w:r w:rsidR="00D311AF">
        <w:rPr>
          <w:rFonts w:ascii="Verdana" w:hAnsi="Verdana"/>
          <w:sz w:val="20"/>
          <w:szCs w:val="20"/>
        </w:rPr>
        <w:t xml:space="preserve">, </w:t>
      </w:r>
      <w:r w:rsidRPr="008E0075">
        <w:rPr>
          <w:rFonts w:ascii="Verdana" w:hAnsi="Verdana"/>
          <w:sz w:val="20"/>
          <w:szCs w:val="20"/>
        </w:rPr>
        <w:t>quien fungió como defensor del señor Girón</w:t>
      </w:r>
      <w:r>
        <w:rPr>
          <w:rFonts w:ascii="Verdana" w:hAnsi="Verdana"/>
          <w:sz w:val="20"/>
          <w:szCs w:val="20"/>
        </w:rPr>
        <w:t xml:space="preserve">, y a </w:t>
      </w:r>
      <w:proofErr w:type="spellStart"/>
      <w:r w:rsidR="003451D7" w:rsidRPr="003451D7">
        <w:rPr>
          <w:rFonts w:ascii="Verdana" w:hAnsi="Verdana"/>
          <w:sz w:val="20"/>
          <w:szCs w:val="20"/>
          <w:lang w:val="es-ES"/>
        </w:rPr>
        <w:t>Edy</w:t>
      </w:r>
      <w:proofErr w:type="spellEnd"/>
      <w:r w:rsidR="003451D7" w:rsidRPr="003451D7">
        <w:rPr>
          <w:rFonts w:ascii="Verdana" w:hAnsi="Verdana"/>
          <w:sz w:val="20"/>
          <w:szCs w:val="20"/>
          <w:lang w:val="es-ES"/>
        </w:rPr>
        <w:t xml:space="preserve"> Iván Bocanegra Conde</w:t>
      </w:r>
      <w:r w:rsidR="00122843">
        <w:rPr>
          <w:rFonts w:ascii="Verdana" w:hAnsi="Verdana"/>
          <w:sz w:val="20"/>
          <w:szCs w:val="20"/>
        </w:rPr>
        <w:t xml:space="preserve">, </w:t>
      </w:r>
      <w:r w:rsidRPr="008E0075">
        <w:rPr>
          <w:rFonts w:ascii="Verdana" w:hAnsi="Verdana"/>
          <w:sz w:val="20"/>
          <w:szCs w:val="20"/>
        </w:rPr>
        <w:t>quien fungió como defensor del señor Castillo</w:t>
      </w:r>
      <w:r>
        <w:rPr>
          <w:rFonts w:ascii="Verdana" w:hAnsi="Verdana"/>
          <w:sz w:val="20"/>
          <w:szCs w:val="20"/>
        </w:rPr>
        <w:t xml:space="preserve"> (</w:t>
      </w:r>
      <w:r w:rsidRPr="003E32BC">
        <w:rPr>
          <w:rFonts w:ascii="Verdana" w:hAnsi="Verdana"/>
          <w:i/>
          <w:sz w:val="20"/>
          <w:szCs w:val="20"/>
        </w:rPr>
        <w:t>supra</w:t>
      </w:r>
      <w:r w:rsidR="00D311AF">
        <w:rPr>
          <w:rFonts w:ascii="Verdana" w:hAnsi="Verdana"/>
          <w:sz w:val="20"/>
          <w:szCs w:val="20"/>
        </w:rPr>
        <w:t xml:space="preserve"> párr. 44</w:t>
      </w:r>
      <w:r>
        <w:rPr>
          <w:rFonts w:ascii="Verdana" w:hAnsi="Verdana"/>
          <w:sz w:val="20"/>
          <w:szCs w:val="20"/>
        </w:rPr>
        <w:t>)</w:t>
      </w:r>
      <w:r w:rsidRPr="008E0075">
        <w:rPr>
          <w:rFonts w:ascii="Verdana" w:hAnsi="Verdana"/>
          <w:sz w:val="20"/>
          <w:szCs w:val="20"/>
        </w:rPr>
        <w:t xml:space="preserve">. </w:t>
      </w:r>
      <w:r w:rsidRPr="008E0075">
        <w:rPr>
          <w:rFonts w:ascii="Verdana" w:eastAsia="Verdana" w:hAnsi="Verdana" w:cs="Verdana"/>
          <w:sz w:val="20"/>
          <w:szCs w:val="20"/>
        </w:rPr>
        <w:t xml:space="preserve">El mismo Estado indicó que el Código Procesal Penal vigente permitía el nombramiento de estudiantes de derecho para la defensa penal. </w:t>
      </w:r>
      <w:r w:rsidRPr="008E0075">
        <w:rPr>
          <w:rFonts w:ascii="Verdana" w:hAnsi="Verdana"/>
          <w:sz w:val="20"/>
          <w:szCs w:val="20"/>
        </w:rPr>
        <w:t>Además, cabe mencionar que el defensor de oficio de Pedro Castillo Mendoza, en su declaración rendida por afidávit ante la Corte, manifestó que ejerció dicha función sin haber tenido experiencia en el área penal, ni mucho menos en asuntos relativos a la pena de muerte</w:t>
      </w:r>
      <w:r w:rsidRPr="008E0075">
        <w:rPr>
          <w:rStyle w:val="Refdenotaalpie"/>
          <w:rFonts w:ascii="Verdana" w:hAnsi="Verdana"/>
          <w:sz w:val="20"/>
          <w:szCs w:val="20"/>
        </w:rPr>
        <w:footnoteReference w:id="100"/>
      </w:r>
      <w:r w:rsidRPr="008E0075">
        <w:rPr>
          <w:rFonts w:ascii="Verdana" w:hAnsi="Verdana"/>
          <w:sz w:val="20"/>
          <w:szCs w:val="20"/>
        </w:rPr>
        <w:t>. Lo anterior evidencia que los defensores asignados</w:t>
      </w:r>
      <w:r w:rsidRPr="008E0075">
        <w:rPr>
          <w:rFonts w:ascii="Verdana" w:eastAsia="Verdana" w:hAnsi="Verdana" w:cs="Verdana"/>
          <w:sz w:val="20"/>
          <w:szCs w:val="20"/>
        </w:rPr>
        <w:t xml:space="preserve"> no contaban con la experiencia y capacitación adecuadas en casos de pena de muerte. Tal situación se evidencia en el caso cuando el Juzgado ordenó recibir las declaraciones de tres personas ofrecidas por la defensa del señor Girón, sin embargo la diligencia no se realizó debido a que el defensor no siguió las formalidades legales para presentar al juez el pliego de preguntas que formularía a los testigos (s</w:t>
      </w:r>
      <w:r w:rsidRPr="008E0075">
        <w:rPr>
          <w:rFonts w:ascii="Verdana" w:eastAsia="Verdana" w:hAnsi="Verdana" w:cs="Verdana"/>
          <w:i/>
          <w:sz w:val="20"/>
          <w:szCs w:val="20"/>
        </w:rPr>
        <w:t>upra</w:t>
      </w:r>
      <w:r w:rsidR="00BD5B4C">
        <w:rPr>
          <w:rFonts w:ascii="Verdana" w:eastAsia="Verdana" w:hAnsi="Verdana" w:cs="Verdana"/>
          <w:sz w:val="20"/>
          <w:szCs w:val="20"/>
        </w:rPr>
        <w:t xml:space="preserve"> párr. 47</w:t>
      </w:r>
      <w:r w:rsidRPr="008E0075">
        <w:rPr>
          <w:rFonts w:ascii="Verdana" w:eastAsia="Verdana" w:hAnsi="Verdana" w:cs="Verdana"/>
          <w:sz w:val="20"/>
          <w:szCs w:val="20"/>
        </w:rPr>
        <w:t xml:space="preserve">). </w:t>
      </w:r>
    </w:p>
    <w:p w:rsidR="00A326C2" w:rsidRPr="008A269C" w:rsidRDefault="00A326C2" w:rsidP="00FE0342">
      <w:pPr>
        <w:pStyle w:val="Normal1"/>
        <w:widowControl/>
        <w:contextualSpacing/>
        <w:jc w:val="both"/>
        <w:rPr>
          <w:rFonts w:ascii="Verdana" w:hAnsi="Verdana"/>
          <w:sz w:val="20"/>
          <w:szCs w:val="20"/>
        </w:rPr>
      </w:pPr>
    </w:p>
    <w:p w:rsidR="00A326C2" w:rsidRPr="004723E5" w:rsidRDefault="00A326C2" w:rsidP="00FE0342">
      <w:pPr>
        <w:pStyle w:val="Normal1"/>
        <w:widowControl/>
        <w:numPr>
          <w:ilvl w:val="0"/>
          <w:numId w:val="33"/>
        </w:numPr>
        <w:ind w:left="0" w:firstLine="0"/>
        <w:contextualSpacing/>
        <w:jc w:val="both"/>
        <w:rPr>
          <w:rFonts w:ascii="Verdana" w:hAnsi="Verdana"/>
          <w:sz w:val="20"/>
          <w:szCs w:val="20"/>
        </w:rPr>
      </w:pPr>
      <w:r>
        <w:rPr>
          <w:rFonts w:ascii="Verdana" w:hAnsi="Verdana"/>
          <w:sz w:val="20"/>
          <w:szCs w:val="20"/>
          <w:lang w:val="es-MX"/>
        </w:rPr>
        <w:t xml:space="preserve">Cabe </w:t>
      </w:r>
      <w:r w:rsidRPr="004723E5">
        <w:rPr>
          <w:rFonts w:ascii="Verdana" w:hAnsi="Verdana"/>
          <w:sz w:val="20"/>
          <w:szCs w:val="20"/>
          <w:lang w:val="es-MX"/>
        </w:rPr>
        <w:t>resaltar que de acuerdo con la legislación vigente al momento de la designación de los defensores de oficio, el Código Procesal Penal de Guatemala contemplaba la posibili</w:t>
      </w:r>
      <w:r>
        <w:rPr>
          <w:rFonts w:ascii="Verdana" w:hAnsi="Verdana"/>
          <w:sz w:val="20"/>
          <w:szCs w:val="20"/>
          <w:lang w:val="es-MX"/>
        </w:rPr>
        <w:t>dad de que las personas sometidas a un proceso penal,</w:t>
      </w:r>
      <w:r w:rsidRPr="004723E5">
        <w:rPr>
          <w:rFonts w:ascii="Verdana" w:hAnsi="Verdana"/>
          <w:sz w:val="20"/>
          <w:szCs w:val="20"/>
          <w:lang w:val="es-MX"/>
        </w:rPr>
        <w:t xml:space="preserve"> pudieran ser defendidos por “pasantes” no titulados. Tal como se aprecia en el artículo 154 de la referida legislación, que disponía que “[p]odrá el juez también designar como defensores a pasantes de bufetes o estudios jurídicos de las universidades del país, bufetes o estudios que, para ese efecto, enviarán listas a la Presidencia del Organismo Judicial. Estas listas se actualizarán anualmente”</w:t>
      </w:r>
      <w:r>
        <w:rPr>
          <w:rFonts w:ascii="Verdana" w:hAnsi="Verdana"/>
          <w:sz w:val="20"/>
          <w:szCs w:val="20"/>
          <w:lang w:val="es-MX"/>
        </w:rPr>
        <w:t xml:space="preserve">, </w:t>
      </w:r>
      <w:r w:rsidR="00B65757">
        <w:rPr>
          <w:rFonts w:ascii="Verdana" w:hAnsi="Verdana"/>
          <w:sz w:val="20"/>
          <w:szCs w:val="20"/>
          <w:lang w:val="es-MX"/>
        </w:rPr>
        <w:t>disposición que fue derogada posteriormente</w:t>
      </w:r>
      <w:r>
        <w:rPr>
          <w:rStyle w:val="Refdenotaalpie"/>
          <w:rFonts w:ascii="Verdana" w:hAnsi="Verdana"/>
          <w:sz w:val="20"/>
          <w:szCs w:val="20"/>
          <w:lang w:val="es-MX"/>
        </w:rPr>
        <w:footnoteReference w:id="101"/>
      </w:r>
      <w:r w:rsidRPr="004723E5">
        <w:rPr>
          <w:rFonts w:ascii="Verdana" w:hAnsi="Verdana"/>
          <w:sz w:val="20"/>
          <w:szCs w:val="20"/>
          <w:lang w:val="es-MX"/>
        </w:rPr>
        <w:t>.</w:t>
      </w:r>
      <w:r>
        <w:rPr>
          <w:rFonts w:ascii="Verdana" w:hAnsi="Verdana"/>
          <w:sz w:val="20"/>
          <w:szCs w:val="20"/>
          <w:lang w:val="es-MX"/>
        </w:rPr>
        <w:t xml:space="preserve"> Sin embargo, como ha señalado de forma reiterada la jurisprudencia de este T</w:t>
      </w:r>
      <w:r w:rsidRPr="004723E5">
        <w:rPr>
          <w:rFonts w:ascii="Verdana" w:hAnsi="Verdana"/>
          <w:sz w:val="20"/>
          <w:szCs w:val="20"/>
          <w:lang w:val="es-MX"/>
        </w:rPr>
        <w:t>ribunal, el respeto a las garantías del debido proceso adquiere una valoración más rigurosa y estricta en los casos en que se vea involucrada la pena de muerte como sanción, ya que “dicha pena conlleva una privación del más fundamental de los derechos, el derecho a la vida, con la consecuente imposibilidad de revertir la pena una vez que ésta se ha llevado a cabo”</w:t>
      </w:r>
      <w:r w:rsidRPr="004723E5">
        <w:rPr>
          <w:rStyle w:val="Refdenotaalpie"/>
          <w:rFonts w:ascii="Verdana" w:hAnsi="Verdana"/>
          <w:sz w:val="20"/>
          <w:szCs w:val="20"/>
        </w:rPr>
        <w:footnoteReference w:id="102"/>
      </w:r>
      <w:r w:rsidRPr="004723E5">
        <w:rPr>
          <w:rFonts w:ascii="Verdana" w:hAnsi="Verdana"/>
          <w:sz w:val="20"/>
          <w:szCs w:val="20"/>
          <w:lang w:val="es-MX"/>
        </w:rPr>
        <w:t>.</w:t>
      </w:r>
      <w:r w:rsidR="007C45D8">
        <w:rPr>
          <w:rFonts w:ascii="Verdana" w:hAnsi="Verdana"/>
          <w:sz w:val="20"/>
          <w:szCs w:val="20"/>
          <w:lang w:val="es-MX"/>
        </w:rPr>
        <w:t xml:space="preserve"> Por lo cual, en casos </w:t>
      </w:r>
      <w:r>
        <w:rPr>
          <w:rFonts w:ascii="Verdana" w:hAnsi="Verdana"/>
          <w:sz w:val="20"/>
          <w:szCs w:val="20"/>
          <w:lang w:val="es-MX"/>
        </w:rPr>
        <w:t xml:space="preserve">de índole penal en que el Estado hace ejercicio del </w:t>
      </w:r>
      <w:r w:rsidRPr="001B2B94">
        <w:rPr>
          <w:rFonts w:ascii="Verdana" w:hAnsi="Verdana"/>
          <w:i/>
          <w:sz w:val="20"/>
          <w:szCs w:val="20"/>
          <w:lang w:val="es-MX"/>
        </w:rPr>
        <w:lastRenderedPageBreak/>
        <w:t>ius pun</w:t>
      </w:r>
      <w:r>
        <w:rPr>
          <w:rFonts w:ascii="Verdana" w:hAnsi="Verdana"/>
          <w:i/>
          <w:sz w:val="20"/>
          <w:szCs w:val="20"/>
          <w:lang w:val="es-MX"/>
        </w:rPr>
        <w:t>iendi</w:t>
      </w:r>
      <w:r>
        <w:rPr>
          <w:rFonts w:ascii="Verdana" w:hAnsi="Verdana"/>
          <w:sz w:val="20"/>
          <w:szCs w:val="20"/>
          <w:lang w:val="es-MX"/>
        </w:rPr>
        <w:t>, en los cuales la imposición de la pena afecta de manera irreversible los derechos a la vida y a la libertad personal, como lo es la pena capital o</w:t>
      </w:r>
      <w:r w:rsidRPr="001B2B94">
        <w:rPr>
          <w:rFonts w:ascii="Verdana" w:hAnsi="Verdana"/>
          <w:sz w:val="20"/>
          <w:szCs w:val="20"/>
          <w:lang w:val="es-MX"/>
        </w:rPr>
        <w:t xml:space="preserve"> </w:t>
      </w:r>
      <w:r>
        <w:rPr>
          <w:rFonts w:ascii="Verdana" w:hAnsi="Verdana"/>
          <w:sz w:val="20"/>
          <w:szCs w:val="20"/>
          <w:lang w:val="es-MX"/>
        </w:rPr>
        <w:t>la privación de libertad, esta Corte considera que la previsión de que la defensa pueda ser realizada por estudiantes derecho,</w:t>
      </w:r>
      <w:r w:rsidRPr="001B2B94">
        <w:rPr>
          <w:rFonts w:ascii="Verdana" w:hAnsi="Verdana"/>
          <w:sz w:val="20"/>
          <w:szCs w:val="20"/>
          <w:lang w:val="es-MX"/>
        </w:rPr>
        <w:t xml:space="preserve"> </w:t>
      </w:r>
      <w:r>
        <w:rPr>
          <w:rFonts w:ascii="Verdana" w:hAnsi="Verdana"/>
          <w:sz w:val="20"/>
          <w:szCs w:val="20"/>
          <w:lang w:val="es-MX"/>
        </w:rPr>
        <w:t>constituye además una violación del artículo 2 de la Convención.</w:t>
      </w:r>
    </w:p>
    <w:p w:rsidR="00A326C2" w:rsidRPr="008E0075" w:rsidRDefault="00A326C2" w:rsidP="00FE0342">
      <w:pPr>
        <w:pStyle w:val="Normal1"/>
        <w:widowControl/>
        <w:contextualSpacing/>
        <w:jc w:val="both"/>
        <w:rPr>
          <w:rFonts w:ascii="Verdana" w:hAnsi="Verdana"/>
          <w:sz w:val="20"/>
          <w:szCs w:val="20"/>
        </w:rPr>
      </w:pPr>
    </w:p>
    <w:p w:rsidR="00A326C2" w:rsidRPr="008E0075" w:rsidRDefault="00A326C2" w:rsidP="00FE0342">
      <w:pPr>
        <w:pStyle w:val="Normal1"/>
        <w:widowControl/>
        <w:numPr>
          <w:ilvl w:val="0"/>
          <w:numId w:val="33"/>
        </w:numPr>
        <w:ind w:left="0" w:firstLine="0"/>
        <w:contextualSpacing/>
        <w:jc w:val="both"/>
        <w:rPr>
          <w:rFonts w:ascii="Verdana" w:hAnsi="Verdana"/>
          <w:sz w:val="20"/>
          <w:szCs w:val="20"/>
        </w:rPr>
      </w:pPr>
      <w:r w:rsidRPr="008E0075">
        <w:rPr>
          <w:rFonts w:ascii="Verdana" w:hAnsi="Verdana"/>
          <w:sz w:val="20"/>
          <w:szCs w:val="20"/>
        </w:rPr>
        <w:t>En razón de lo anterior, la Corte considera que las personas designadas como defensores en este caso no cumplían con el requerimiento de ser profesionales del derecho, pues se trataba de estudiantes que no contaban con la experiencia, idoneidad y capacidad para ejercer la defensa de los acusados, lo que en el caso concreto tuvo un impacto claro en la defensa de al menos uno de los acusados pues por la inexperiencia del defensor no pudo ser evacuada la prueba que había solicitado</w:t>
      </w:r>
      <w:r w:rsidRPr="008E0075">
        <w:rPr>
          <w:rStyle w:val="Refdenotaalpie"/>
          <w:rFonts w:ascii="Verdana" w:hAnsi="Verdana"/>
          <w:sz w:val="20"/>
          <w:szCs w:val="20"/>
        </w:rPr>
        <w:footnoteReference w:id="103"/>
      </w:r>
      <w:r w:rsidRPr="008E0075">
        <w:rPr>
          <w:rFonts w:ascii="Verdana" w:hAnsi="Verdana"/>
          <w:sz w:val="20"/>
          <w:szCs w:val="20"/>
        </w:rPr>
        <w:t>. Por las anteriores razones se vulneró el artículo 8.2.e</w:t>
      </w:r>
      <w:r>
        <w:rPr>
          <w:rFonts w:ascii="Verdana" w:hAnsi="Verdana"/>
          <w:sz w:val="20"/>
          <w:szCs w:val="20"/>
        </w:rPr>
        <w:t>)</w:t>
      </w:r>
      <w:r w:rsidRPr="008E0075">
        <w:rPr>
          <w:rFonts w:ascii="Verdana" w:hAnsi="Verdana"/>
          <w:sz w:val="20"/>
          <w:szCs w:val="20"/>
        </w:rPr>
        <w:t xml:space="preserve"> de la Convención.</w:t>
      </w:r>
    </w:p>
    <w:p w:rsidR="00A326C2" w:rsidRPr="008E0075" w:rsidRDefault="00A326C2" w:rsidP="00FE0342">
      <w:pPr>
        <w:pStyle w:val="Normal1"/>
        <w:widowControl/>
        <w:contextualSpacing/>
        <w:jc w:val="both"/>
        <w:rPr>
          <w:rFonts w:ascii="Verdana" w:hAnsi="Verdana"/>
          <w:sz w:val="20"/>
          <w:szCs w:val="20"/>
        </w:rPr>
      </w:pPr>
    </w:p>
    <w:p w:rsidR="00A326C2" w:rsidRPr="008E0075" w:rsidRDefault="00A326C2" w:rsidP="00FE0342">
      <w:pPr>
        <w:pStyle w:val="Normal1"/>
        <w:widowControl/>
        <w:numPr>
          <w:ilvl w:val="0"/>
          <w:numId w:val="33"/>
        </w:numPr>
        <w:ind w:left="0" w:firstLine="0"/>
        <w:contextualSpacing/>
        <w:jc w:val="both"/>
        <w:rPr>
          <w:rFonts w:ascii="Verdana" w:hAnsi="Verdana"/>
          <w:sz w:val="20"/>
          <w:szCs w:val="20"/>
        </w:rPr>
      </w:pPr>
      <w:r w:rsidRPr="008E0075">
        <w:rPr>
          <w:rFonts w:ascii="Verdana" w:hAnsi="Verdana"/>
          <w:sz w:val="20"/>
          <w:szCs w:val="20"/>
        </w:rPr>
        <w:t xml:space="preserve">Por todo lo expuesto, teniendo en cuenta que las presuntas víctimas no contaron  con una designación de defensa desde el inicio del proceso, y que además dicha provisión no permitió que contaran con una defensa idónea, capacitada y eficaz, en tanto que la designación recayó en estudiantes de derecho, y no en un profesional del derecho para enfrentar un proceso penal que podría culminar con la imposición de la pena de muerte, como sucedió en el presente caso, esta Corte considera que el Estado es responsable de la violación de los derechos consagrados </w:t>
      </w:r>
      <w:r>
        <w:rPr>
          <w:rFonts w:ascii="Verdana" w:hAnsi="Verdana"/>
          <w:sz w:val="20"/>
          <w:szCs w:val="20"/>
        </w:rPr>
        <w:t xml:space="preserve">en los </w:t>
      </w:r>
      <w:r w:rsidRPr="008E0075">
        <w:rPr>
          <w:rFonts w:ascii="Verdana" w:hAnsi="Verdana"/>
          <w:sz w:val="20"/>
          <w:szCs w:val="20"/>
        </w:rPr>
        <w:t>artículo</w:t>
      </w:r>
      <w:r>
        <w:rPr>
          <w:rFonts w:ascii="Verdana" w:hAnsi="Verdana"/>
          <w:sz w:val="20"/>
          <w:szCs w:val="20"/>
        </w:rPr>
        <w:t>s</w:t>
      </w:r>
      <w:r w:rsidRPr="008E0075">
        <w:rPr>
          <w:rFonts w:ascii="Verdana" w:hAnsi="Verdana"/>
          <w:sz w:val="20"/>
          <w:szCs w:val="20"/>
        </w:rPr>
        <w:t xml:space="preserve"> 8.2.e)</w:t>
      </w:r>
      <w:r w:rsidR="00441FE3">
        <w:rPr>
          <w:rFonts w:ascii="Verdana" w:hAnsi="Verdana"/>
          <w:sz w:val="20"/>
          <w:szCs w:val="20"/>
        </w:rPr>
        <w:t xml:space="preserve"> y 8.2.d) </w:t>
      </w:r>
      <w:r w:rsidR="00BC09BD">
        <w:rPr>
          <w:rFonts w:ascii="Verdana" w:hAnsi="Verdana"/>
          <w:sz w:val="20"/>
          <w:szCs w:val="20"/>
        </w:rPr>
        <w:t xml:space="preserve">de la </w:t>
      </w:r>
      <w:r w:rsidR="00441FE3">
        <w:rPr>
          <w:rFonts w:ascii="Verdana" w:hAnsi="Verdana"/>
          <w:sz w:val="20"/>
          <w:szCs w:val="20"/>
        </w:rPr>
        <w:t>Convención Americana</w:t>
      </w:r>
      <w:r w:rsidRPr="008E0075">
        <w:rPr>
          <w:rFonts w:ascii="Verdana" w:hAnsi="Verdana"/>
          <w:sz w:val="20"/>
          <w:szCs w:val="20"/>
        </w:rPr>
        <w:t xml:space="preserve">, </w:t>
      </w:r>
      <w:r w:rsidR="00441FE3" w:rsidRPr="00F02941">
        <w:rPr>
          <w:rFonts w:ascii="Verdana" w:hAnsi="Verdana"/>
          <w:kern w:val="2"/>
          <w:sz w:val="20"/>
          <w:szCs w:val="20"/>
        </w:rPr>
        <w:t>en relación con el artículo 4.1 de la Convención</w:t>
      </w:r>
      <w:r w:rsidR="00441FE3">
        <w:rPr>
          <w:rFonts w:ascii="Verdana" w:hAnsi="Verdana"/>
          <w:kern w:val="2"/>
          <w:sz w:val="20"/>
          <w:szCs w:val="20"/>
        </w:rPr>
        <w:t xml:space="preserve">, </w:t>
      </w:r>
      <w:r w:rsidR="00441FE3" w:rsidRPr="003A687A">
        <w:rPr>
          <w:rFonts w:ascii="Verdana" w:hAnsi="Verdana"/>
          <w:kern w:val="2"/>
          <w:sz w:val="20"/>
          <w:szCs w:val="20"/>
        </w:rPr>
        <w:t xml:space="preserve">y </w:t>
      </w:r>
      <w:r w:rsidR="00441FE3" w:rsidRPr="00E374AD">
        <w:rPr>
          <w:rFonts w:ascii="Verdana" w:hAnsi="Verdana"/>
          <w:kern w:val="2"/>
          <w:sz w:val="20"/>
          <w:szCs w:val="20"/>
        </w:rPr>
        <w:t>c</w:t>
      </w:r>
      <w:r w:rsidR="00441FE3" w:rsidRPr="008E0075">
        <w:rPr>
          <w:rFonts w:ascii="Verdana" w:hAnsi="Verdana"/>
          <w:kern w:val="2"/>
          <w:sz w:val="20"/>
          <w:szCs w:val="20"/>
        </w:rPr>
        <w:t>on la</w:t>
      </w:r>
      <w:r w:rsidR="00441FE3">
        <w:rPr>
          <w:rFonts w:ascii="Verdana" w:hAnsi="Verdana"/>
          <w:kern w:val="2"/>
          <w:sz w:val="20"/>
          <w:szCs w:val="20"/>
        </w:rPr>
        <w:t>s</w:t>
      </w:r>
      <w:r w:rsidR="00441FE3" w:rsidRPr="008E0075">
        <w:rPr>
          <w:rFonts w:ascii="Verdana" w:hAnsi="Verdana"/>
          <w:kern w:val="2"/>
          <w:sz w:val="20"/>
          <w:szCs w:val="20"/>
        </w:rPr>
        <w:t xml:space="preserve"> obl</w:t>
      </w:r>
      <w:r w:rsidR="00441FE3">
        <w:rPr>
          <w:rFonts w:ascii="Verdana" w:hAnsi="Verdana"/>
          <w:kern w:val="2"/>
          <w:sz w:val="20"/>
          <w:szCs w:val="20"/>
        </w:rPr>
        <w:t>igaciones</w:t>
      </w:r>
      <w:r w:rsidR="00441FE3" w:rsidRPr="008E0075">
        <w:rPr>
          <w:rFonts w:ascii="Verdana" w:hAnsi="Verdana"/>
          <w:kern w:val="2"/>
          <w:sz w:val="20"/>
          <w:szCs w:val="20"/>
        </w:rPr>
        <w:t xml:space="preserve"> </w:t>
      </w:r>
      <w:r w:rsidR="00441FE3">
        <w:rPr>
          <w:rFonts w:ascii="Verdana" w:hAnsi="Verdana"/>
          <w:sz w:val="20"/>
          <w:szCs w:val="20"/>
        </w:rPr>
        <w:t>establecidas en los artículos 1.1 y 2</w:t>
      </w:r>
      <w:r w:rsidR="00441FE3">
        <w:rPr>
          <w:rFonts w:ascii="Verdana" w:hAnsi="Verdana"/>
          <w:kern w:val="2"/>
          <w:sz w:val="20"/>
          <w:szCs w:val="20"/>
        </w:rPr>
        <w:t xml:space="preserve"> </w:t>
      </w:r>
      <w:r w:rsidR="00441FE3" w:rsidRPr="008E0075">
        <w:rPr>
          <w:rFonts w:ascii="Verdana" w:hAnsi="Verdana"/>
          <w:kern w:val="2"/>
          <w:sz w:val="20"/>
          <w:szCs w:val="20"/>
        </w:rPr>
        <w:t>de la Convención</w:t>
      </w:r>
      <w:r w:rsidR="0077126F">
        <w:rPr>
          <w:rFonts w:ascii="Verdana" w:hAnsi="Verdana"/>
          <w:sz w:val="20"/>
          <w:szCs w:val="20"/>
        </w:rPr>
        <w:t xml:space="preserve">, </w:t>
      </w:r>
      <w:r w:rsidRPr="008E0075">
        <w:rPr>
          <w:rFonts w:ascii="Verdana" w:hAnsi="Verdana"/>
          <w:sz w:val="20"/>
          <w:szCs w:val="20"/>
        </w:rPr>
        <w:t>en perjuicio de los señores Roberto Girón y Pedro Castillo Mendoza.</w:t>
      </w:r>
    </w:p>
    <w:p w:rsidR="00A326C2" w:rsidRPr="008E0075" w:rsidRDefault="00A326C2" w:rsidP="00FE0342">
      <w:pPr>
        <w:pStyle w:val="Normal1"/>
        <w:widowControl/>
        <w:contextualSpacing/>
        <w:jc w:val="both"/>
        <w:rPr>
          <w:rFonts w:ascii="Verdana" w:hAnsi="Verdana"/>
          <w:sz w:val="20"/>
          <w:szCs w:val="20"/>
        </w:rPr>
      </w:pPr>
    </w:p>
    <w:p w:rsidR="00A326C2" w:rsidRPr="00544994" w:rsidRDefault="00A326C2" w:rsidP="00FE0342">
      <w:pPr>
        <w:pStyle w:val="Normal1"/>
        <w:widowControl/>
        <w:numPr>
          <w:ilvl w:val="0"/>
          <w:numId w:val="33"/>
        </w:numPr>
        <w:ind w:left="0" w:firstLine="0"/>
        <w:contextualSpacing/>
        <w:jc w:val="both"/>
        <w:rPr>
          <w:rFonts w:ascii="Verdana" w:hAnsi="Verdana"/>
          <w:sz w:val="20"/>
          <w:szCs w:val="20"/>
        </w:rPr>
      </w:pPr>
      <w:r w:rsidRPr="008E0075">
        <w:rPr>
          <w:rFonts w:ascii="Verdana" w:hAnsi="Verdana"/>
          <w:sz w:val="20"/>
          <w:szCs w:val="20"/>
        </w:rPr>
        <w:t>Por otro lado, las representantes alegaron la vulneración del artículo 8.2.f) de la Convención, ya que el juez suspendió la diligencia de recepción de la prueba testimonial promovida por el defensor del señor Girón, en tanto que rechazó infunda</w:t>
      </w:r>
      <w:r>
        <w:rPr>
          <w:rFonts w:ascii="Verdana" w:hAnsi="Verdana"/>
          <w:sz w:val="20"/>
          <w:szCs w:val="20"/>
        </w:rPr>
        <w:t>da</w:t>
      </w:r>
      <w:r w:rsidRPr="008E0075">
        <w:rPr>
          <w:rFonts w:ascii="Verdana" w:hAnsi="Verdana"/>
          <w:sz w:val="20"/>
          <w:szCs w:val="20"/>
        </w:rPr>
        <w:t>mente el pliego de preguntas presentadas por el incumplimiento de un requisito formal</w:t>
      </w:r>
      <w:r>
        <w:rPr>
          <w:rFonts w:ascii="Verdana" w:hAnsi="Verdana"/>
          <w:sz w:val="20"/>
          <w:szCs w:val="20"/>
        </w:rPr>
        <w:t xml:space="preserve"> y alegaron la violación del artículo 8.2.c), ya que los defensores no tuvieron tiempo para preparar la defensa</w:t>
      </w:r>
      <w:r w:rsidRPr="008E0075">
        <w:rPr>
          <w:rFonts w:ascii="Verdana" w:hAnsi="Verdana"/>
          <w:sz w:val="20"/>
          <w:szCs w:val="20"/>
        </w:rPr>
        <w:t>. También adujeron que a las presuntas víctimas se</w:t>
      </w:r>
      <w:r>
        <w:rPr>
          <w:rFonts w:ascii="Verdana" w:hAnsi="Verdana"/>
          <w:sz w:val="20"/>
          <w:szCs w:val="20"/>
        </w:rPr>
        <w:t xml:space="preserve"> les obligó a declarar contra sí</w:t>
      </w:r>
      <w:r w:rsidRPr="008E0075">
        <w:rPr>
          <w:rFonts w:ascii="Verdana" w:hAnsi="Verdana"/>
          <w:sz w:val="20"/>
          <w:szCs w:val="20"/>
        </w:rPr>
        <w:t xml:space="preserve"> mismos, porque en sus declaraciones indagatorias se les “requirió no solo la promesa de decir la verdad, sino que también </w:t>
      </w:r>
      <w:r w:rsidR="00BC09BD">
        <w:rPr>
          <w:rFonts w:ascii="Verdana" w:hAnsi="Verdana"/>
          <w:sz w:val="20"/>
          <w:szCs w:val="20"/>
        </w:rPr>
        <w:t xml:space="preserve">que </w:t>
      </w:r>
      <w:r w:rsidRPr="008E0075">
        <w:rPr>
          <w:rFonts w:ascii="Verdana" w:hAnsi="Verdana"/>
          <w:sz w:val="20"/>
          <w:szCs w:val="20"/>
        </w:rPr>
        <w:t>dicha declaración les ayudaría a que su situación jurídica se resolviera con justicia”, ello en violación de los artículos 8.2.g)</w:t>
      </w:r>
      <w:r>
        <w:rPr>
          <w:rFonts w:ascii="Verdana" w:hAnsi="Verdana"/>
          <w:sz w:val="20"/>
          <w:szCs w:val="20"/>
        </w:rPr>
        <w:t>,</w:t>
      </w:r>
      <w:r w:rsidRPr="008E0075">
        <w:rPr>
          <w:rFonts w:ascii="Verdana" w:hAnsi="Verdana"/>
          <w:sz w:val="20"/>
          <w:szCs w:val="20"/>
        </w:rPr>
        <w:t xml:space="preserve"> en relación con el artículo 8.3 de la Convención. </w:t>
      </w:r>
      <w:r w:rsidRPr="00201A1F">
        <w:rPr>
          <w:rFonts w:ascii="Verdana" w:hAnsi="Verdana"/>
          <w:sz w:val="20"/>
          <w:szCs w:val="20"/>
          <w:lang w:val="es-PE"/>
        </w:rPr>
        <w:t>Al respecto, este Tribunal no encuentra necesario analizar las referidas garantías, en tanto que considera que la falta provisión por parte del Estado de una defensa idónea y técnica de forma oportuna repercutió en las otras garantías del artículo 8.2 de la Convención alegadas por las representantes.</w:t>
      </w:r>
      <w:bookmarkStart w:id="85" w:name="_Toc19188906"/>
    </w:p>
    <w:p w:rsidR="00A326C2" w:rsidRDefault="00A326C2" w:rsidP="00A326C2">
      <w:pPr>
        <w:pStyle w:val="Normal1"/>
        <w:widowControl/>
        <w:tabs>
          <w:tab w:val="left" w:pos="0"/>
        </w:tabs>
        <w:contextualSpacing/>
        <w:jc w:val="both"/>
        <w:rPr>
          <w:rFonts w:ascii="Verdana" w:hAnsi="Verdana"/>
          <w:sz w:val="20"/>
          <w:szCs w:val="20"/>
        </w:rPr>
      </w:pPr>
    </w:p>
    <w:p w:rsidR="00A326C2" w:rsidRPr="00451DB9" w:rsidRDefault="00A326C2" w:rsidP="00A326C2">
      <w:pPr>
        <w:pStyle w:val="Normal1"/>
        <w:widowControl/>
        <w:tabs>
          <w:tab w:val="left" w:pos="0"/>
        </w:tabs>
        <w:contextualSpacing/>
        <w:jc w:val="both"/>
        <w:outlineLvl w:val="2"/>
        <w:rPr>
          <w:rFonts w:ascii="Verdana" w:hAnsi="Verdana"/>
          <w:sz w:val="20"/>
          <w:szCs w:val="20"/>
        </w:rPr>
      </w:pPr>
      <w:r>
        <w:rPr>
          <w:rFonts w:ascii="Verdana" w:eastAsia="Batang" w:hAnsi="Verdana" w:cs="Times"/>
          <w:i/>
          <w:sz w:val="20"/>
          <w:szCs w:val="20"/>
          <w:lang w:val="es-MX"/>
        </w:rPr>
        <w:tab/>
      </w:r>
      <w:bookmarkStart w:id="86" w:name="_Toc24538850"/>
      <w:r w:rsidRPr="00451DB9">
        <w:rPr>
          <w:rFonts w:ascii="Verdana" w:eastAsia="Batang" w:hAnsi="Verdana" w:cs="Times"/>
          <w:i/>
          <w:sz w:val="20"/>
          <w:szCs w:val="20"/>
          <w:lang w:val="es-MX"/>
        </w:rPr>
        <w:t>B.2. Derecho a recurrir la sentencia condenatoria contra las presuntas víctimas</w:t>
      </w:r>
      <w:bookmarkEnd w:id="86"/>
      <w:r w:rsidRPr="00451DB9">
        <w:t xml:space="preserve"> </w:t>
      </w:r>
    </w:p>
    <w:p w:rsidR="00A326C2" w:rsidRDefault="00A326C2" w:rsidP="00A326C2">
      <w:pPr>
        <w:pStyle w:val="Normal1"/>
        <w:widowControl/>
        <w:tabs>
          <w:tab w:val="left" w:pos="0"/>
        </w:tabs>
        <w:contextualSpacing/>
        <w:jc w:val="both"/>
        <w:rPr>
          <w:rFonts w:ascii="Verdana" w:hAnsi="Verdana"/>
          <w:sz w:val="20"/>
          <w:szCs w:val="20"/>
        </w:rPr>
      </w:pPr>
    </w:p>
    <w:p w:rsidR="00A326C2" w:rsidRPr="00544994" w:rsidRDefault="00A326C2" w:rsidP="00FE0342">
      <w:pPr>
        <w:pStyle w:val="Normal1"/>
        <w:widowControl/>
        <w:numPr>
          <w:ilvl w:val="0"/>
          <w:numId w:val="33"/>
        </w:numPr>
        <w:ind w:left="0" w:firstLine="0"/>
        <w:contextualSpacing/>
        <w:jc w:val="both"/>
        <w:rPr>
          <w:rFonts w:ascii="Verdana" w:hAnsi="Verdana"/>
          <w:sz w:val="20"/>
          <w:szCs w:val="20"/>
        </w:rPr>
      </w:pPr>
      <w:r w:rsidRPr="00544994">
        <w:rPr>
          <w:rFonts w:ascii="Verdana" w:hAnsi="Verdana"/>
          <w:sz w:val="20"/>
          <w:szCs w:val="20"/>
        </w:rPr>
        <w:t xml:space="preserve">La Corte se ha referido en su jurisprudencia constante sobre el alcance y contenido del artículo 8.2.h) de la Convención, así como a los estándares que deben ser observados para asegurar la garantía del derecho a recurrir el fallo ante juez o tribunal superior. El Tribunal ha entendido que dicho derecho consiste en una garantía mínima y primordial que “se debe respetar en el marco del debido proceso legal, en aras de permitir que una sentencia adversa pueda ser revisada por un juez o tribunal distinto y de superior jerarquía </w:t>
      </w:r>
      <w:r w:rsidRPr="000C36B0">
        <w:rPr>
          <w:rFonts w:ascii="Verdana" w:hAnsi="Verdana"/>
          <w:sz w:val="20"/>
          <w:szCs w:val="20"/>
        </w:rPr>
        <w:t>[…]”</w:t>
      </w:r>
      <w:r w:rsidRPr="0000517A">
        <w:rPr>
          <w:rFonts w:ascii="Verdana" w:hAnsi="Verdana"/>
          <w:sz w:val="20"/>
          <w:szCs w:val="20"/>
          <w:vertAlign w:val="superscript"/>
        </w:rPr>
        <w:footnoteReference w:id="104"/>
      </w:r>
      <w:r w:rsidRPr="000C36B0">
        <w:rPr>
          <w:rFonts w:ascii="Verdana" w:hAnsi="Verdana"/>
          <w:sz w:val="20"/>
          <w:szCs w:val="20"/>
        </w:rPr>
        <w:t xml:space="preserve">. Teniendo en cuenta que las garantías judiciales buscan que quien esté incurso en un proceso no sea </w:t>
      </w:r>
      <w:r w:rsidRPr="000C36B0">
        <w:rPr>
          <w:rFonts w:ascii="Verdana" w:hAnsi="Verdana"/>
          <w:sz w:val="20"/>
          <w:szCs w:val="20"/>
        </w:rPr>
        <w:lastRenderedPageBreak/>
        <w:t>sometido a decisiones arbitrarias, la Corte ha interpretado que el derecho a recurrir el fallo no puede ser efectivo si no se garantiza respecto de todo aquél que es condenado</w:t>
      </w:r>
      <w:r w:rsidRPr="0000517A">
        <w:rPr>
          <w:rFonts w:ascii="Verdana" w:hAnsi="Verdana"/>
          <w:sz w:val="20"/>
          <w:szCs w:val="20"/>
          <w:vertAlign w:val="superscript"/>
        </w:rPr>
        <w:footnoteReference w:id="105"/>
      </w:r>
      <w:r w:rsidRPr="000C36B0">
        <w:rPr>
          <w:rFonts w:ascii="Verdana" w:hAnsi="Verdana"/>
          <w:sz w:val="20"/>
          <w:szCs w:val="20"/>
        </w:rPr>
        <w:t>, ya que la condena es la manifestación del ejercicio del poder punitivo del Estado</w:t>
      </w:r>
      <w:r w:rsidRPr="0000517A">
        <w:rPr>
          <w:rFonts w:ascii="Verdana" w:hAnsi="Verdana"/>
          <w:sz w:val="20"/>
          <w:szCs w:val="20"/>
          <w:vertAlign w:val="superscript"/>
        </w:rPr>
        <w:footnoteReference w:id="106"/>
      </w:r>
      <w:r w:rsidRPr="000C36B0">
        <w:rPr>
          <w:rFonts w:ascii="Verdana" w:hAnsi="Verdana"/>
          <w:sz w:val="20"/>
          <w:szCs w:val="20"/>
        </w:rPr>
        <w:t>. La Corte ha considerado el derecho a recurrir el fallo como una de las garantías mínimas que tiene</w:t>
      </w:r>
      <w:r w:rsidRPr="00544994">
        <w:rPr>
          <w:rFonts w:ascii="Verdana" w:hAnsi="Verdana"/>
          <w:sz w:val="20"/>
          <w:szCs w:val="20"/>
        </w:rPr>
        <w:t xml:space="preserve"> toda persona que es sometida a una investigación y </w:t>
      </w:r>
      <w:r w:rsidRPr="001E7666">
        <w:rPr>
          <w:rFonts w:ascii="Verdana" w:hAnsi="Verdana"/>
          <w:sz w:val="20"/>
          <w:szCs w:val="20"/>
        </w:rPr>
        <w:t>proceso penal</w:t>
      </w:r>
      <w:r w:rsidRPr="0000517A">
        <w:rPr>
          <w:rFonts w:ascii="Verdana" w:hAnsi="Verdana"/>
          <w:sz w:val="20"/>
          <w:szCs w:val="20"/>
          <w:vertAlign w:val="superscript"/>
        </w:rPr>
        <w:footnoteReference w:id="107"/>
      </w:r>
      <w:r w:rsidRPr="001E7666">
        <w:rPr>
          <w:rFonts w:ascii="Verdana" w:hAnsi="Verdana"/>
          <w:sz w:val="20"/>
          <w:szCs w:val="20"/>
        </w:rPr>
        <w:t>.</w:t>
      </w:r>
    </w:p>
    <w:bookmarkEnd w:id="85"/>
    <w:p w:rsidR="00A326C2" w:rsidRPr="00544994" w:rsidRDefault="00A326C2" w:rsidP="00A326C2">
      <w:pPr>
        <w:pStyle w:val="Normal1"/>
        <w:widowControl/>
        <w:tabs>
          <w:tab w:val="left" w:pos="0"/>
        </w:tabs>
        <w:contextualSpacing/>
        <w:jc w:val="both"/>
        <w:rPr>
          <w:rFonts w:ascii="Verdana" w:hAnsi="Verdana"/>
          <w:sz w:val="20"/>
          <w:szCs w:val="20"/>
        </w:rPr>
      </w:pPr>
    </w:p>
    <w:p w:rsidR="00A326C2" w:rsidRPr="00A173BD" w:rsidRDefault="00BD5B4C" w:rsidP="00FE0342">
      <w:pPr>
        <w:pStyle w:val="Prrafodelista"/>
        <w:numPr>
          <w:ilvl w:val="0"/>
          <w:numId w:val="33"/>
        </w:numPr>
        <w:autoSpaceDE w:val="0"/>
        <w:autoSpaceDN w:val="0"/>
        <w:adjustRightInd w:val="0"/>
        <w:spacing w:after="0" w:line="240" w:lineRule="auto"/>
        <w:ind w:left="0" w:firstLine="0"/>
        <w:jc w:val="both"/>
        <w:rPr>
          <w:rFonts w:ascii="Verdana" w:hAnsi="Verdana"/>
          <w:sz w:val="18"/>
          <w:szCs w:val="20"/>
          <w:lang w:val="es-CR"/>
        </w:rPr>
      </w:pPr>
      <w:r>
        <w:rPr>
          <w:rFonts w:ascii="Verdana" w:hAnsi="Verdana"/>
          <w:sz w:val="20"/>
          <w:szCs w:val="20"/>
          <w:lang w:val="es-CR"/>
        </w:rPr>
        <w:t>Además, este</w:t>
      </w:r>
      <w:r w:rsidR="00A326C2" w:rsidRPr="00A173BD">
        <w:rPr>
          <w:rFonts w:ascii="Verdana" w:hAnsi="Verdana"/>
          <w:sz w:val="20"/>
          <w:szCs w:val="20"/>
          <w:lang w:val="es-CR"/>
        </w:rPr>
        <w:t xml:space="preserve"> Tribunal ha sostenido que el artículo 8.2.h) de la Convención se refiere a un recurso ordinario, accesible y eficaz, es decir que no debe requerir mayores complejidades que tornen ilusorio este derecho. En ese sentido, las formalidades requeridas para que el recurso sea admitido deben ser mínimas y no deben constituir un obstáculo para que cumpla con su fin de examinar y resolver los agravios sustentados por el recurrente, es decir que debe procurar resultados o respuestas al fin para el cual fue concebido. Debe entenderse que, independientemente del régimen o sistema recursivo que adopten los Estados Partes, y de la denominación que den al medio de impugnación de la sentencia condenatoria, para que éste sea eficaz debe constituir un medio adecuado para procurar la corrección de una condena errónea. Ello requiere que pueda</w:t>
      </w:r>
      <w:r w:rsidR="00A326C2">
        <w:rPr>
          <w:rFonts w:ascii="Verdana" w:hAnsi="Verdana"/>
          <w:sz w:val="20"/>
          <w:szCs w:val="20"/>
          <w:lang w:val="es-CR"/>
        </w:rPr>
        <w:t>n</w:t>
      </w:r>
      <w:r w:rsidR="00A326C2" w:rsidRPr="00A173BD">
        <w:rPr>
          <w:rFonts w:ascii="Verdana" w:hAnsi="Verdana"/>
          <w:sz w:val="20"/>
          <w:szCs w:val="20"/>
          <w:lang w:val="es-CR"/>
        </w:rPr>
        <w:t xml:space="preserve"> analizar las cuestiones fácticas, probatorias y jurídicas en que se basa la sentencia impugnada, puesto que en la actividad jurisdiccional existe una interdependencia entre las determinaciones fácticas y la aplicación del derecho, de forma tal que una errónea determinación de los hechos implica una errada o indebida aplicación del derecho. Consecuentemente, las causales de procedencia del recurso deben posibilitar un control amplio de los aspectos impugnados de la sentencia condenatoria</w:t>
      </w:r>
      <w:r w:rsidR="00A326C2" w:rsidRPr="003C1B3F">
        <w:rPr>
          <w:rFonts w:ascii="Verdana" w:hAnsi="Verdana"/>
          <w:sz w:val="20"/>
          <w:szCs w:val="20"/>
          <w:vertAlign w:val="superscript"/>
          <w:lang w:val="es-CR"/>
        </w:rPr>
        <w:footnoteReference w:id="108"/>
      </w:r>
      <w:r w:rsidR="00A326C2" w:rsidRPr="00A173BD">
        <w:rPr>
          <w:rFonts w:ascii="Verdana" w:hAnsi="Verdana"/>
          <w:sz w:val="20"/>
          <w:szCs w:val="20"/>
          <w:lang w:val="es-CR"/>
        </w:rPr>
        <w:t>.</w:t>
      </w:r>
      <w:r w:rsidR="00A326C2">
        <w:rPr>
          <w:rFonts w:ascii="Verdana" w:hAnsi="Verdana"/>
          <w:sz w:val="20"/>
          <w:szCs w:val="20"/>
          <w:lang w:val="es-CR"/>
        </w:rPr>
        <w:t xml:space="preserve"> </w:t>
      </w:r>
      <w:r w:rsidR="00A326C2" w:rsidRPr="00A173BD">
        <w:rPr>
          <w:rFonts w:ascii="Verdana" w:hAnsi="Verdana"/>
          <w:sz w:val="20"/>
          <w:szCs w:val="20"/>
          <w:lang w:val="es-CR"/>
        </w:rPr>
        <w:t>El derecho de recurrir del fallo ante juez o tribunal superior puede concebirse como la expresión del derecho a contar con un recurso judicial efectivo, según el artículo 25.1 de la Convención.</w:t>
      </w:r>
    </w:p>
    <w:p w:rsidR="00A326C2" w:rsidRPr="00A173BD" w:rsidRDefault="00A326C2" w:rsidP="00FE0342">
      <w:pPr>
        <w:pStyle w:val="Prrafodelista"/>
        <w:autoSpaceDE w:val="0"/>
        <w:autoSpaceDN w:val="0"/>
        <w:adjustRightInd w:val="0"/>
        <w:spacing w:after="0" w:line="240" w:lineRule="auto"/>
        <w:ind w:left="0"/>
        <w:jc w:val="both"/>
        <w:rPr>
          <w:rFonts w:ascii="Verdana" w:hAnsi="Verdana"/>
          <w:sz w:val="18"/>
          <w:szCs w:val="20"/>
          <w:lang w:val="es-CR"/>
        </w:rPr>
      </w:pPr>
    </w:p>
    <w:p w:rsidR="00A326C2" w:rsidRPr="00DA516E" w:rsidRDefault="00A326C2" w:rsidP="00FE0342">
      <w:pPr>
        <w:pStyle w:val="Prrafodelista"/>
        <w:numPr>
          <w:ilvl w:val="0"/>
          <w:numId w:val="33"/>
        </w:numPr>
        <w:autoSpaceDE w:val="0"/>
        <w:autoSpaceDN w:val="0"/>
        <w:adjustRightInd w:val="0"/>
        <w:spacing w:after="0" w:line="240" w:lineRule="auto"/>
        <w:ind w:left="0" w:firstLine="0"/>
        <w:jc w:val="both"/>
        <w:rPr>
          <w:rFonts w:ascii="Verdana" w:hAnsi="Verdana"/>
          <w:sz w:val="18"/>
          <w:szCs w:val="20"/>
          <w:lang w:val="es-CR"/>
        </w:rPr>
      </w:pPr>
      <w:r w:rsidRPr="00DA516E">
        <w:rPr>
          <w:rFonts w:ascii="Verdana" w:hAnsi="Verdana"/>
          <w:sz w:val="20"/>
          <w:szCs w:val="20"/>
          <w:lang w:val="es-CR"/>
        </w:rPr>
        <w:t>Esta Corte recuerda que los señores Roberto Girón y Pedro Castillo Mendoza fueron condenados a la pena de muerte por el Juez del Juzgado Primero de Primera Instancia Penal de Sentencia de Escuintla el 4 de octubre de 1993. Al momento de realizarse la notificación de la sentencia a los señores Roberto Girón y Pedro Castillo Mendoza, así como a sus abogados formularon apelación oral en contra de la referida sentencia de primera instancia</w:t>
      </w:r>
      <w:r w:rsidRPr="00DA516E">
        <w:rPr>
          <w:rStyle w:val="Refdenotaalpie"/>
          <w:rFonts w:ascii="Verdana" w:hAnsi="Verdana"/>
          <w:sz w:val="20"/>
          <w:szCs w:val="20"/>
          <w:lang w:val="es-CR"/>
        </w:rPr>
        <w:footnoteReference w:id="109"/>
      </w:r>
      <w:r w:rsidRPr="00DA516E">
        <w:rPr>
          <w:rFonts w:ascii="Verdana" w:hAnsi="Verdana"/>
          <w:sz w:val="20"/>
          <w:szCs w:val="20"/>
          <w:lang w:val="es-CR"/>
        </w:rPr>
        <w:t>, de la que conoció la Sala Duodécima de la Corte de Apelaciones. La cual emitió su fallo el 1 de diciembre de 1993 en el sentido de confirmar la resolución, al reasumir jurisdicción y llevar acabo un análisis del fallo recurrido en términos del artículo 730 del Código Procesal Penal</w:t>
      </w:r>
      <w:r w:rsidRPr="00DA516E">
        <w:rPr>
          <w:rStyle w:val="Refdenotaalpie"/>
          <w:rFonts w:ascii="Verdana" w:hAnsi="Verdana"/>
          <w:sz w:val="20"/>
          <w:szCs w:val="20"/>
          <w:lang w:val="es-CR"/>
        </w:rPr>
        <w:footnoteReference w:id="110"/>
      </w:r>
      <w:r w:rsidRPr="00DA516E">
        <w:rPr>
          <w:rFonts w:ascii="Verdana" w:hAnsi="Verdana"/>
          <w:sz w:val="20"/>
          <w:szCs w:val="20"/>
          <w:lang w:val="es-CR"/>
        </w:rPr>
        <w:t xml:space="preserve">, realizando un recuento del caudal probatorio incorporado al proceso y concordando con la valoración de la prueba, la calificación del delito y la participación de los procesados en el acto ilícito expuesto por el Juez de Primera Instancia, y modificando únicamente lo relativo a la responsabilidad civil, para condenar en este rubro a los imputados al pago de una suma de dinero a los herederos legales de la menor. </w:t>
      </w:r>
    </w:p>
    <w:p w:rsidR="00A326C2" w:rsidRPr="00D62782" w:rsidRDefault="00A326C2" w:rsidP="00FE0342">
      <w:pPr>
        <w:pStyle w:val="Prrafodelista"/>
        <w:autoSpaceDE w:val="0"/>
        <w:autoSpaceDN w:val="0"/>
        <w:adjustRightInd w:val="0"/>
        <w:spacing w:after="0" w:line="240" w:lineRule="auto"/>
        <w:ind w:left="0"/>
        <w:jc w:val="both"/>
        <w:rPr>
          <w:rFonts w:ascii="Verdana" w:hAnsi="Verdana"/>
          <w:sz w:val="18"/>
          <w:szCs w:val="20"/>
          <w:lang w:val="es-CR"/>
        </w:rPr>
      </w:pPr>
    </w:p>
    <w:p w:rsidR="00A326C2" w:rsidRPr="00D62782" w:rsidRDefault="00A326C2" w:rsidP="00FE0342">
      <w:pPr>
        <w:pStyle w:val="Prrafodelista"/>
        <w:numPr>
          <w:ilvl w:val="0"/>
          <w:numId w:val="33"/>
        </w:numPr>
        <w:autoSpaceDE w:val="0"/>
        <w:autoSpaceDN w:val="0"/>
        <w:adjustRightInd w:val="0"/>
        <w:spacing w:after="0" w:line="240" w:lineRule="auto"/>
        <w:ind w:left="0" w:firstLine="0"/>
        <w:jc w:val="both"/>
        <w:rPr>
          <w:rFonts w:ascii="Verdana" w:hAnsi="Verdana"/>
          <w:sz w:val="20"/>
          <w:szCs w:val="20"/>
          <w:lang w:val="es-CR"/>
        </w:rPr>
      </w:pPr>
      <w:r w:rsidRPr="00D62782">
        <w:rPr>
          <w:rFonts w:ascii="Verdana" w:hAnsi="Verdana"/>
          <w:sz w:val="20"/>
          <w:szCs w:val="20"/>
          <w:lang w:val="es-CR"/>
        </w:rPr>
        <w:t>Ahora bien, para realizar un pronunciamiento relacionado con la efectividad del recurso de apelación e</w:t>
      </w:r>
      <w:r>
        <w:rPr>
          <w:rFonts w:ascii="Verdana" w:hAnsi="Verdana"/>
          <w:sz w:val="20"/>
          <w:szCs w:val="20"/>
          <w:lang w:val="es-CR"/>
        </w:rPr>
        <w:t>special</w:t>
      </w:r>
      <w:r w:rsidRPr="00D62782">
        <w:rPr>
          <w:rFonts w:ascii="Verdana" w:hAnsi="Verdana"/>
          <w:sz w:val="20"/>
          <w:szCs w:val="20"/>
          <w:lang w:val="es-CR"/>
        </w:rPr>
        <w:t xml:space="preserve"> del que hicieron uso las partes acusadas en el</w:t>
      </w:r>
      <w:r>
        <w:rPr>
          <w:rFonts w:ascii="Verdana" w:hAnsi="Verdana"/>
          <w:sz w:val="20"/>
          <w:szCs w:val="20"/>
          <w:lang w:val="es-CR"/>
        </w:rPr>
        <w:t xml:space="preserve"> proceso penal, se debe analizar</w:t>
      </w:r>
      <w:r w:rsidRPr="00D62782">
        <w:rPr>
          <w:rFonts w:ascii="Verdana" w:hAnsi="Verdana"/>
          <w:sz w:val="20"/>
          <w:szCs w:val="20"/>
          <w:lang w:val="es-CR"/>
        </w:rPr>
        <w:t xml:space="preserve"> si como afirman l</w:t>
      </w:r>
      <w:r w:rsidR="00F84863">
        <w:rPr>
          <w:rFonts w:ascii="Verdana" w:hAnsi="Verdana"/>
          <w:sz w:val="20"/>
          <w:szCs w:val="20"/>
          <w:lang w:val="es-CR"/>
        </w:rPr>
        <w:t>a</w:t>
      </w:r>
      <w:r w:rsidRPr="00D62782">
        <w:rPr>
          <w:rFonts w:ascii="Verdana" w:hAnsi="Verdana"/>
          <w:sz w:val="20"/>
          <w:szCs w:val="20"/>
          <w:lang w:val="es-CR"/>
        </w:rPr>
        <w:t xml:space="preserve">s representantes, de acuerdo a lo planteado a través del escrito de impugnación “los juzgadores de todas las instancias no realizaron un examen integral de las decisiones impugnadas, puesto que, no observaron la existencia de vulneraciones a los derechos humanos de los mismos, especialmente varias de las garantías del debido proceso […]”. En </w:t>
      </w:r>
      <w:r>
        <w:rPr>
          <w:rFonts w:ascii="Verdana" w:hAnsi="Verdana"/>
          <w:sz w:val="20"/>
          <w:szCs w:val="20"/>
          <w:lang w:val="es-CR"/>
        </w:rPr>
        <w:t>particular</w:t>
      </w:r>
      <w:r w:rsidRPr="00D62782">
        <w:rPr>
          <w:rFonts w:ascii="Verdana" w:hAnsi="Verdana"/>
          <w:sz w:val="20"/>
          <w:szCs w:val="20"/>
          <w:lang w:val="es-CR"/>
        </w:rPr>
        <w:t xml:space="preserve">, se debe precisar que el que una resolución emitida por un tribunal de apelación no resuelva favorablemente a los intereses de la parte recurrente o que convalide lo resuelto por su inferior, no significa necesariamente que haya omitido el análisis de determinadas violaciones por alguna cuestión formal propia del medio de impugnación, que le reste eficacia. </w:t>
      </w:r>
    </w:p>
    <w:p w:rsidR="00A326C2" w:rsidRPr="00D62782" w:rsidRDefault="00A326C2" w:rsidP="00FE0342">
      <w:pPr>
        <w:pStyle w:val="Prrafodelista"/>
        <w:ind w:left="0"/>
        <w:rPr>
          <w:rFonts w:ascii="Verdana" w:hAnsi="Verdana"/>
          <w:sz w:val="20"/>
          <w:szCs w:val="20"/>
          <w:lang w:val="es-CR"/>
        </w:rPr>
      </w:pPr>
    </w:p>
    <w:p w:rsidR="00A326C2" w:rsidRPr="00914EAC" w:rsidRDefault="00A326C2" w:rsidP="00FE0342">
      <w:pPr>
        <w:pStyle w:val="Prrafodelista"/>
        <w:numPr>
          <w:ilvl w:val="0"/>
          <w:numId w:val="33"/>
        </w:numPr>
        <w:autoSpaceDE w:val="0"/>
        <w:autoSpaceDN w:val="0"/>
        <w:adjustRightInd w:val="0"/>
        <w:spacing w:after="0" w:line="240" w:lineRule="auto"/>
        <w:ind w:left="0" w:firstLine="0"/>
        <w:jc w:val="both"/>
        <w:rPr>
          <w:rFonts w:ascii="Verdana" w:hAnsi="Verdana"/>
          <w:sz w:val="20"/>
          <w:szCs w:val="20"/>
          <w:lang w:val="es-CR"/>
        </w:rPr>
      </w:pPr>
      <w:r w:rsidRPr="00DA516E">
        <w:rPr>
          <w:rFonts w:ascii="Verdana" w:hAnsi="Verdana"/>
          <w:sz w:val="20"/>
          <w:szCs w:val="20"/>
          <w:lang w:val="es-CR"/>
        </w:rPr>
        <w:t xml:space="preserve">En razón de lo anterior, resulta necesario </w:t>
      </w:r>
      <w:r w:rsidR="009A42AA">
        <w:rPr>
          <w:rFonts w:ascii="Verdana" w:hAnsi="Verdana"/>
          <w:sz w:val="20"/>
          <w:szCs w:val="20"/>
          <w:lang w:val="es-CR"/>
        </w:rPr>
        <w:t xml:space="preserve">examinar el </w:t>
      </w:r>
      <w:r w:rsidRPr="00DA516E">
        <w:rPr>
          <w:rFonts w:ascii="Verdana" w:hAnsi="Verdana"/>
          <w:sz w:val="20"/>
          <w:szCs w:val="20"/>
          <w:lang w:val="es-CR"/>
        </w:rPr>
        <w:t xml:space="preserve">contenido tanto del recurso interpuesto como del fallo emitido, para así contar con los elementos que den certeza de que en el caso concreto existió una violación al derecho de recurrir </w:t>
      </w:r>
      <w:r w:rsidR="008E438D">
        <w:rPr>
          <w:rFonts w:ascii="Verdana" w:hAnsi="Verdana"/>
          <w:sz w:val="20"/>
          <w:szCs w:val="20"/>
          <w:lang w:val="es-CR"/>
        </w:rPr>
        <w:t>del</w:t>
      </w:r>
      <w:r w:rsidRPr="00DA516E">
        <w:rPr>
          <w:rFonts w:ascii="Verdana" w:hAnsi="Verdana"/>
          <w:sz w:val="20"/>
          <w:szCs w:val="20"/>
          <w:lang w:val="es-CR"/>
        </w:rPr>
        <w:t xml:space="preserve"> fallo. Sin embargo, en el presente caso se aprecia que el proceder del tribunal de apelación consistió en realizar </w:t>
      </w:r>
      <w:r w:rsidRPr="0083163B">
        <w:rPr>
          <w:rFonts w:ascii="Verdana" w:hAnsi="Verdana"/>
          <w:sz w:val="20"/>
          <w:szCs w:val="20"/>
          <w:lang w:val="es-CR"/>
        </w:rPr>
        <w:t>un análisis</w:t>
      </w:r>
      <w:r w:rsidR="00C01997" w:rsidRPr="00C01997">
        <w:rPr>
          <w:rFonts w:ascii="Verdana" w:hAnsi="Verdana"/>
          <w:b/>
          <w:sz w:val="20"/>
          <w:szCs w:val="20"/>
          <w:lang w:val="es-CR"/>
        </w:rPr>
        <w:t xml:space="preserve"> </w:t>
      </w:r>
      <w:r w:rsidRPr="0083163B">
        <w:rPr>
          <w:rFonts w:ascii="Verdana" w:hAnsi="Verdana"/>
          <w:sz w:val="20"/>
          <w:szCs w:val="20"/>
          <w:lang w:val="es-CR"/>
        </w:rPr>
        <w:t>de la sentencia,</w:t>
      </w:r>
      <w:r w:rsidRPr="00DA516E">
        <w:rPr>
          <w:rFonts w:ascii="Verdana" w:hAnsi="Verdana"/>
          <w:sz w:val="20"/>
          <w:szCs w:val="20"/>
          <w:lang w:val="es-CR"/>
        </w:rPr>
        <w:t xml:space="preserve"> tomando en consideración la valoración probatoria y jurídica realizada por el juez ordinario</w:t>
      </w:r>
      <w:r w:rsidR="009A42AA">
        <w:rPr>
          <w:rFonts w:ascii="Verdana" w:hAnsi="Verdana"/>
          <w:sz w:val="20"/>
          <w:szCs w:val="20"/>
          <w:lang w:val="es-CR"/>
        </w:rPr>
        <w:t>. Aunado a lo anterior</w:t>
      </w:r>
      <w:r w:rsidR="00BC09BD">
        <w:rPr>
          <w:rFonts w:ascii="Verdana" w:hAnsi="Verdana"/>
          <w:sz w:val="20"/>
          <w:szCs w:val="20"/>
          <w:lang w:val="es-CR"/>
        </w:rPr>
        <w:t>,</w:t>
      </w:r>
      <w:r w:rsidR="009A42AA">
        <w:rPr>
          <w:rFonts w:ascii="Verdana" w:hAnsi="Verdana"/>
          <w:sz w:val="20"/>
          <w:szCs w:val="20"/>
          <w:lang w:val="es-CR"/>
        </w:rPr>
        <w:t xml:space="preserve"> </w:t>
      </w:r>
      <w:r w:rsidR="00BC09BD">
        <w:rPr>
          <w:rFonts w:ascii="Verdana" w:hAnsi="Verdana"/>
          <w:sz w:val="20"/>
          <w:szCs w:val="20"/>
          <w:lang w:val="es-CR"/>
        </w:rPr>
        <w:t xml:space="preserve">más allá de </w:t>
      </w:r>
      <w:r>
        <w:rPr>
          <w:rFonts w:ascii="Verdana" w:hAnsi="Verdana"/>
          <w:sz w:val="20"/>
          <w:szCs w:val="20"/>
          <w:lang w:val="es-CR"/>
        </w:rPr>
        <w:t>la expresión asentada en la notificación de la sentencias en que las presuntas víctimas y sus representantes manifestaron su voluntad de formular apelación oral,</w:t>
      </w:r>
      <w:r w:rsidRPr="00DA516E">
        <w:rPr>
          <w:rFonts w:ascii="Verdana" w:hAnsi="Verdana"/>
          <w:sz w:val="20"/>
          <w:szCs w:val="20"/>
          <w:lang w:val="es-CR"/>
        </w:rPr>
        <w:t xml:space="preserve"> no se encuentra dentro del acervo probatorio algún escrito o constancia </w:t>
      </w:r>
      <w:r w:rsidR="009A42AA">
        <w:rPr>
          <w:rFonts w:ascii="Verdana" w:hAnsi="Verdana"/>
          <w:sz w:val="20"/>
          <w:szCs w:val="20"/>
          <w:lang w:val="es-CR"/>
        </w:rPr>
        <w:t xml:space="preserve">donde </w:t>
      </w:r>
      <w:r>
        <w:rPr>
          <w:rFonts w:ascii="Verdana" w:hAnsi="Verdana"/>
          <w:sz w:val="20"/>
          <w:szCs w:val="20"/>
          <w:lang w:val="es-CR"/>
        </w:rPr>
        <w:t>se haya</w:t>
      </w:r>
      <w:r w:rsidR="00BC09BD">
        <w:rPr>
          <w:rFonts w:ascii="Verdana" w:hAnsi="Verdana"/>
          <w:sz w:val="20"/>
          <w:szCs w:val="20"/>
          <w:lang w:val="es-CR"/>
        </w:rPr>
        <w:t>n</w:t>
      </w:r>
      <w:r>
        <w:rPr>
          <w:rFonts w:ascii="Verdana" w:hAnsi="Verdana"/>
          <w:sz w:val="20"/>
          <w:szCs w:val="20"/>
          <w:lang w:val="es-CR"/>
        </w:rPr>
        <w:t xml:space="preserve"> descrito </w:t>
      </w:r>
      <w:r w:rsidRPr="00DA516E">
        <w:rPr>
          <w:rFonts w:ascii="Verdana" w:hAnsi="Verdana"/>
          <w:sz w:val="20"/>
          <w:szCs w:val="20"/>
          <w:lang w:val="es-CR"/>
        </w:rPr>
        <w:t xml:space="preserve">las violaciones aludidas por las partes en el presente litigio internacional, para de esta forma </w:t>
      </w:r>
      <w:r w:rsidR="007523A2">
        <w:rPr>
          <w:rFonts w:ascii="Verdana" w:hAnsi="Verdana"/>
          <w:sz w:val="20"/>
          <w:szCs w:val="20"/>
          <w:lang w:val="es-CR"/>
        </w:rPr>
        <w:t xml:space="preserve">determinar si </w:t>
      </w:r>
      <w:r w:rsidRPr="00DA516E">
        <w:rPr>
          <w:rFonts w:ascii="Verdana" w:hAnsi="Verdana"/>
          <w:sz w:val="20"/>
          <w:szCs w:val="20"/>
          <w:lang w:val="es-CR"/>
        </w:rPr>
        <w:t xml:space="preserve">la Sala Duodécima </w:t>
      </w:r>
      <w:r w:rsidR="007523A2">
        <w:rPr>
          <w:rFonts w:ascii="Verdana" w:hAnsi="Verdana"/>
          <w:sz w:val="20"/>
          <w:szCs w:val="20"/>
          <w:lang w:val="es-CR"/>
        </w:rPr>
        <w:t>omitió pronunciarse sobre alguno de los reclamos formulados al recurrir la sentencia</w:t>
      </w:r>
      <w:r w:rsidRPr="00DA516E">
        <w:rPr>
          <w:rFonts w:ascii="Verdana" w:hAnsi="Verdana"/>
          <w:sz w:val="20"/>
          <w:szCs w:val="20"/>
          <w:lang w:val="es-CR"/>
        </w:rPr>
        <w:t xml:space="preserve">. Por lo cual, </w:t>
      </w:r>
      <w:r>
        <w:rPr>
          <w:rFonts w:ascii="Verdana" w:hAnsi="Verdana"/>
          <w:sz w:val="20"/>
          <w:szCs w:val="20"/>
          <w:lang w:val="es-CR"/>
        </w:rPr>
        <w:t xml:space="preserve">ya sea por la particularidad de la apelación oral interpuesta o por la falta de escritos que </w:t>
      </w:r>
      <w:r w:rsidR="007523A2">
        <w:rPr>
          <w:rFonts w:ascii="Verdana" w:hAnsi="Verdana"/>
          <w:sz w:val="20"/>
          <w:szCs w:val="20"/>
          <w:lang w:val="es-CR"/>
        </w:rPr>
        <w:t xml:space="preserve">permitan </w:t>
      </w:r>
      <w:r>
        <w:rPr>
          <w:rFonts w:ascii="Verdana" w:hAnsi="Verdana"/>
          <w:sz w:val="20"/>
          <w:szCs w:val="20"/>
          <w:lang w:val="es-CR"/>
        </w:rPr>
        <w:t xml:space="preserve">contrastar </w:t>
      </w:r>
      <w:r w:rsidR="007523A2">
        <w:rPr>
          <w:rFonts w:ascii="Verdana" w:hAnsi="Verdana"/>
          <w:sz w:val="20"/>
          <w:szCs w:val="20"/>
          <w:lang w:val="es-CR"/>
        </w:rPr>
        <w:t xml:space="preserve">lo recurrido </w:t>
      </w:r>
      <w:r>
        <w:rPr>
          <w:rFonts w:ascii="Verdana" w:hAnsi="Verdana"/>
          <w:sz w:val="20"/>
          <w:szCs w:val="20"/>
          <w:lang w:val="es-CR"/>
        </w:rPr>
        <w:t xml:space="preserve">con lo resuelto, </w:t>
      </w:r>
      <w:r w:rsidRPr="00DA516E">
        <w:rPr>
          <w:rFonts w:ascii="Verdana" w:hAnsi="Verdana"/>
          <w:sz w:val="20"/>
          <w:szCs w:val="20"/>
          <w:lang w:val="es-CR"/>
        </w:rPr>
        <w:t>esta Corte carece de elementos para realizar un pronunciamiento sobre la alegada violación al derecho a recurrir el fallo ante juez o tribunal superior consagrado en el</w:t>
      </w:r>
      <w:r w:rsidRPr="00DA516E">
        <w:rPr>
          <w:rFonts w:ascii="Verdana" w:hAnsi="Verdana"/>
          <w:sz w:val="20"/>
          <w:szCs w:val="20"/>
          <w:lang w:val="es-MX"/>
        </w:rPr>
        <w:t xml:space="preserve"> artículo 8.2.h) de la Convención Americana. </w:t>
      </w:r>
    </w:p>
    <w:p w:rsidR="00914EAC" w:rsidRPr="00914EAC" w:rsidRDefault="00914EAC" w:rsidP="00914EAC">
      <w:pPr>
        <w:pStyle w:val="Prrafodelista"/>
        <w:autoSpaceDE w:val="0"/>
        <w:autoSpaceDN w:val="0"/>
        <w:adjustRightInd w:val="0"/>
        <w:spacing w:after="0" w:line="240" w:lineRule="auto"/>
        <w:ind w:left="0"/>
        <w:jc w:val="both"/>
        <w:rPr>
          <w:rFonts w:ascii="Verdana" w:hAnsi="Verdana"/>
          <w:sz w:val="20"/>
          <w:szCs w:val="20"/>
          <w:lang w:val="es-CR"/>
        </w:rPr>
      </w:pPr>
    </w:p>
    <w:p w:rsidR="00A326C2" w:rsidRPr="00451DB9" w:rsidRDefault="00A326C2" w:rsidP="00A326C2">
      <w:pPr>
        <w:pStyle w:val="Prrafodelista"/>
        <w:autoSpaceDE w:val="0"/>
        <w:autoSpaceDN w:val="0"/>
        <w:adjustRightInd w:val="0"/>
        <w:spacing w:after="0" w:line="240" w:lineRule="auto"/>
        <w:ind w:left="0" w:firstLine="720"/>
        <w:jc w:val="both"/>
        <w:outlineLvl w:val="2"/>
        <w:rPr>
          <w:rFonts w:ascii="Verdana" w:hAnsi="Verdana"/>
          <w:i/>
          <w:sz w:val="20"/>
          <w:szCs w:val="20"/>
          <w:lang w:val="es-CR"/>
        </w:rPr>
      </w:pPr>
      <w:bookmarkStart w:id="87" w:name="_Toc24538851"/>
      <w:r w:rsidRPr="00451DB9">
        <w:rPr>
          <w:rFonts w:ascii="Verdana" w:hAnsi="Verdana"/>
          <w:i/>
          <w:sz w:val="20"/>
          <w:lang w:val="es-CR"/>
        </w:rPr>
        <w:t>B.3. Publicidad del proceso penal</w:t>
      </w:r>
      <w:bookmarkEnd w:id="87"/>
    </w:p>
    <w:p w:rsidR="00A326C2" w:rsidRPr="008E0075" w:rsidRDefault="00A326C2" w:rsidP="00A326C2">
      <w:pPr>
        <w:spacing w:after="0" w:line="240" w:lineRule="auto"/>
        <w:rPr>
          <w:rFonts w:ascii="Verdana" w:eastAsia="Verdana" w:hAnsi="Verdana" w:cs="Verdana"/>
          <w:b/>
          <w:sz w:val="20"/>
          <w:szCs w:val="20"/>
          <w:lang w:val="es-CR"/>
        </w:rPr>
      </w:pPr>
    </w:p>
    <w:p w:rsidR="00A326C2" w:rsidRPr="008E0075" w:rsidRDefault="00A326C2" w:rsidP="00FE0342">
      <w:pPr>
        <w:pStyle w:val="Normal1"/>
        <w:widowControl/>
        <w:numPr>
          <w:ilvl w:val="0"/>
          <w:numId w:val="33"/>
        </w:numPr>
        <w:ind w:left="0" w:firstLine="0"/>
        <w:contextualSpacing/>
        <w:jc w:val="both"/>
        <w:rPr>
          <w:rFonts w:ascii="Verdana" w:eastAsia="Verdana" w:hAnsi="Verdana" w:cs="Verdana"/>
          <w:sz w:val="20"/>
          <w:szCs w:val="20"/>
        </w:rPr>
      </w:pPr>
      <w:r w:rsidRPr="008E0075">
        <w:rPr>
          <w:rFonts w:ascii="Verdana" w:eastAsia="Verdana" w:hAnsi="Verdana" w:cs="Verdana"/>
          <w:sz w:val="20"/>
          <w:szCs w:val="20"/>
        </w:rPr>
        <w:t xml:space="preserve">Por último, las </w:t>
      </w:r>
      <w:r w:rsidRPr="008E0075">
        <w:rPr>
          <w:rFonts w:ascii="Verdana" w:eastAsia="Verdana" w:hAnsi="Verdana" w:cs="Verdana"/>
          <w:b/>
          <w:i/>
          <w:sz w:val="20"/>
          <w:szCs w:val="20"/>
        </w:rPr>
        <w:t xml:space="preserve">representantes </w:t>
      </w:r>
      <w:r w:rsidRPr="008E0075">
        <w:rPr>
          <w:rFonts w:ascii="Verdana" w:eastAsia="Verdana" w:hAnsi="Verdana" w:cs="Verdana"/>
          <w:sz w:val="20"/>
          <w:szCs w:val="20"/>
        </w:rPr>
        <w:t>solicitaron que se declare que el Estado es responsable por la violación del derecho al proceso público consagrado en el artículo 8.5 de la Convención Americana, por haber sido las presuntas víctimas juzgadas y sancionadas en procedimientos escritos que vulneraron los principios de oralidad y publicidad del juicio, así como el artículo 8.1 de la Convención, respecto al derecho a ser oídos, en relación con los artículos 1.1 y 2 de la Convención. Alegaron que “el proceso penal seguido en contra de los señores Roberto Girón y Pedro Castillo Mendoza […] se llevó acabo sin la realización de un juicio oral, público y contradictorio, ya que la legislación procesal vigente al momento de su juzgamiento no preveía dicho procedimiento, sino exclusivamente la posibilidad de presentar escritos de alegatos en definitiva, o el mismo pero con la solicitud de que se abra a prueba, conforme a lo que disponía el artículo 621</w:t>
      </w:r>
      <w:r w:rsidRPr="008E0075">
        <w:rPr>
          <w:rStyle w:val="Refdenotaalpie"/>
          <w:rFonts w:ascii="Verdana" w:eastAsia="Verdana" w:hAnsi="Verdana" w:cs="Verdana"/>
          <w:sz w:val="20"/>
          <w:szCs w:val="20"/>
        </w:rPr>
        <w:footnoteReference w:id="111"/>
      </w:r>
      <w:r w:rsidRPr="008E0075">
        <w:rPr>
          <w:rFonts w:ascii="Verdana" w:eastAsia="Verdana" w:hAnsi="Verdana" w:cs="Verdana"/>
          <w:sz w:val="20"/>
          <w:szCs w:val="20"/>
        </w:rPr>
        <w:t xml:space="preserve"> del Código Procesal Penal (Decreto 52-73), el cual no concebía la posibilidad de que los señores Girón y Castillo en su calidad de procesados, tuvieran la oportunidad de rendir declaraciones en presencia del juzgador sentenciador”. La </w:t>
      </w:r>
      <w:r w:rsidRPr="008E0075">
        <w:rPr>
          <w:rFonts w:ascii="Verdana" w:eastAsia="Verdana" w:hAnsi="Verdana" w:cs="Verdana"/>
          <w:b/>
          <w:i/>
          <w:sz w:val="20"/>
          <w:szCs w:val="20"/>
        </w:rPr>
        <w:t>Comisión</w:t>
      </w:r>
      <w:r w:rsidRPr="008E0075">
        <w:rPr>
          <w:rFonts w:ascii="Verdana" w:eastAsia="Verdana" w:hAnsi="Verdana" w:cs="Verdana"/>
          <w:sz w:val="20"/>
          <w:szCs w:val="20"/>
        </w:rPr>
        <w:t xml:space="preserve"> no alegó dichas violaciones. </w:t>
      </w:r>
    </w:p>
    <w:p w:rsidR="00A326C2" w:rsidRPr="008E0075" w:rsidRDefault="00A326C2" w:rsidP="00FE0342">
      <w:pPr>
        <w:pStyle w:val="Normal1"/>
        <w:widowControl/>
        <w:contextualSpacing/>
        <w:jc w:val="both"/>
        <w:rPr>
          <w:rFonts w:ascii="Verdana" w:eastAsia="Verdana" w:hAnsi="Verdana" w:cs="Verdana"/>
          <w:sz w:val="20"/>
          <w:szCs w:val="20"/>
        </w:rPr>
      </w:pPr>
    </w:p>
    <w:p w:rsidR="00A326C2" w:rsidRPr="00B84999" w:rsidRDefault="00A326C2" w:rsidP="00FE0342">
      <w:pPr>
        <w:pStyle w:val="Normal1"/>
        <w:widowControl/>
        <w:numPr>
          <w:ilvl w:val="0"/>
          <w:numId w:val="33"/>
        </w:numPr>
        <w:ind w:left="0" w:firstLine="0"/>
        <w:contextualSpacing/>
        <w:jc w:val="both"/>
        <w:rPr>
          <w:rFonts w:ascii="Verdana" w:eastAsia="Verdana" w:hAnsi="Verdana" w:cs="Verdana"/>
          <w:sz w:val="20"/>
          <w:szCs w:val="20"/>
        </w:rPr>
      </w:pPr>
      <w:r w:rsidRPr="008E0075">
        <w:rPr>
          <w:rFonts w:ascii="Verdana" w:eastAsia="Verdana" w:hAnsi="Verdana" w:cs="Verdana"/>
          <w:sz w:val="20"/>
          <w:szCs w:val="20"/>
        </w:rPr>
        <w:t xml:space="preserve">El </w:t>
      </w:r>
      <w:r w:rsidRPr="008E0075">
        <w:rPr>
          <w:rFonts w:ascii="Verdana" w:eastAsia="Verdana" w:hAnsi="Verdana" w:cs="Verdana"/>
          <w:b/>
          <w:i/>
          <w:sz w:val="20"/>
          <w:szCs w:val="20"/>
        </w:rPr>
        <w:t>Estado</w:t>
      </w:r>
      <w:r w:rsidRPr="008E0075">
        <w:rPr>
          <w:rFonts w:ascii="Verdana" w:eastAsia="Verdana" w:hAnsi="Verdana" w:cs="Verdana"/>
          <w:sz w:val="20"/>
          <w:szCs w:val="20"/>
        </w:rPr>
        <w:t xml:space="preserve"> argumentó que “[e]n el año 1993 estaba vigente el Código Procesal Penal, aprobado mediante Decreto Legislativo N° 52-73, de fecha 5 de julio de 1993, y sancionado </w:t>
      </w:r>
      <w:r w:rsidRPr="008E0075">
        <w:rPr>
          <w:rFonts w:ascii="Verdana" w:eastAsia="Verdana" w:hAnsi="Verdana" w:cs="Verdana"/>
          <w:sz w:val="20"/>
          <w:szCs w:val="20"/>
        </w:rPr>
        <w:lastRenderedPageBreak/>
        <w:t>por el Poder Ejec</w:t>
      </w:r>
      <w:r>
        <w:rPr>
          <w:rFonts w:ascii="Verdana" w:eastAsia="Verdana" w:hAnsi="Verdana" w:cs="Verdana"/>
          <w:sz w:val="20"/>
          <w:szCs w:val="20"/>
        </w:rPr>
        <w:t xml:space="preserve">utivo el 27 de los mismos mes y año </w:t>
      </w:r>
      <w:r w:rsidRPr="008E0075">
        <w:rPr>
          <w:rFonts w:ascii="Verdana" w:eastAsia="Verdana" w:hAnsi="Verdana" w:cs="Verdana"/>
          <w:sz w:val="20"/>
          <w:szCs w:val="20"/>
        </w:rPr>
        <w:t>[…] se estructuró dentro de los postulados de lo que sería un modelo mixto o mixto acusatorio, dividido en dos etapas, la primera de instrucción o sumario dirigida por un juez de primera instancia o de instrucción</w:t>
      </w:r>
      <w:r w:rsidRPr="008E0075">
        <w:rPr>
          <w:rStyle w:val="Refdenotaalpie"/>
          <w:rFonts w:ascii="Verdana" w:eastAsia="Verdana" w:hAnsi="Verdana" w:cs="Verdana"/>
          <w:sz w:val="20"/>
          <w:szCs w:val="20"/>
        </w:rPr>
        <w:footnoteReference w:id="112"/>
      </w:r>
      <w:r w:rsidRPr="008E0075">
        <w:rPr>
          <w:rFonts w:ascii="Verdana" w:eastAsia="Verdana" w:hAnsi="Verdana" w:cs="Verdana"/>
          <w:sz w:val="20"/>
          <w:szCs w:val="20"/>
        </w:rPr>
        <w:t>, y la segunda de juicio o plenario a cargo de un juez de sentencia</w:t>
      </w:r>
      <w:r w:rsidRPr="008E0075">
        <w:rPr>
          <w:rStyle w:val="Refdenotaalpie"/>
          <w:rFonts w:ascii="Verdana" w:eastAsia="Verdana" w:hAnsi="Verdana" w:cs="Verdana"/>
          <w:sz w:val="20"/>
          <w:szCs w:val="20"/>
        </w:rPr>
        <w:footnoteReference w:id="113"/>
      </w:r>
      <w:r w:rsidRPr="008E0075">
        <w:rPr>
          <w:rFonts w:ascii="Verdana" w:eastAsia="Verdana" w:hAnsi="Verdana" w:cs="Verdana"/>
          <w:sz w:val="20"/>
          <w:szCs w:val="20"/>
        </w:rPr>
        <w:t>.</w:t>
      </w:r>
      <w:r>
        <w:rPr>
          <w:rFonts w:ascii="Verdana" w:eastAsia="Verdana" w:hAnsi="Verdana" w:cs="Verdana"/>
          <w:sz w:val="20"/>
          <w:szCs w:val="20"/>
        </w:rPr>
        <w:t xml:space="preserve"> </w:t>
      </w:r>
      <w:r w:rsidRPr="008E0075">
        <w:rPr>
          <w:rFonts w:ascii="Verdana" w:eastAsia="Verdana" w:hAnsi="Verdana" w:cs="Verdana"/>
          <w:sz w:val="20"/>
          <w:szCs w:val="20"/>
        </w:rPr>
        <w:t>La situación de los sujetos procesales pretendía que fuera distinta en ambas etapas del proceso</w:t>
      </w:r>
      <w:r>
        <w:rPr>
          <w:rFonts w:ascii="Verdana" w:eastAsia="Verdana" w:hAnsi="Verdana" w:cs="Verdana"/>
          <w:sz w:val="20"/>
          <w:szCs w:val="20"/>
        </w:rPr>
        <w:t xml:space="preserve"> […]</w:t>
      </w:r>
      <w:r w:rsidRPr="008E0075">
        <w:rPr>
          <w:rFonts w:ascii="Verdana" w:eastAsia="Verdana" w:hAnsi="Verdana" w:cs="Verdana"/>
          <w:sz w:val="20"/>
          <w:szCs w:val="20"/>
        </w:rPr>
        <w:t xml:space="preserve"> Sin embargo, en la práctica forense el procedimiento siempre fue totalmente inquisitivo, pues todo el proceso descansaba en una gran carga probatoria como parte de una fase </w:t>
      </w:r>
      <w:r>
        <w:rPr>
          <w:rFonts w:ascii="Verdana" w:eastAsia="Verdana" w:hAnsi="Verdana" w:cs="Verdana"/>
          <w:sz w:val="20"/>
          <w:szCs w:val="20"/>
        </w:rPr>
        <w:t xml:space="preserve">de </w:t>
      </w:r>
      <w:r w:rsidRPr="008E0075">
        <w:rPr>
          <w:rFonts w:ascii="Verdana" w:eastAsia="Verdana" w:hAnsi="Verdana" w:cs="Verdana"/>
          <w:sz w:val="20"/>
          <w:szCs w:val="20"/>
        </w:rPr>
        <w:t xml:space="preserve">investigación o de sumario que dirigía un juez según lo que él consideraba conveniente”. </w:t>
      </w:r>
    </w:p>
    <w:p w:rsidR="00A326C2" w:rsidRPr="008E0075" w:rsidRDefault="00A326C2" w:rsidP="00FE0342">
      <w:pPr>
        <w:pStyle w:val="Normal1"/>
        <w:widowControl/>
        <w:contextualSpacing/>
        <w:jc w:val="both"/>
        <w:rPr>
          <w:rFonts w:ascii="Verdana" w:eastAsia="Verdana" w:hAnsi="Verdana" w:cs="Verdana"/>
          <w:sz w:val="20"/>
          <w:szCs w:val="20"/>
        </w:rPr>
      </w:pPr>
    </w:p>
    <w:p w:rsidR="00A326C2" w:rsidRPr="008E0075" w:rsidRDefault="00A326C2" w:rsidP="00FE0342">
      <w:pPr>
        <w:pStyle w:val="Normal1"/>
        <w:widowControl/>
        <w:numPr>
          <w:ilvl w:val="0"/>
          <w:numId w:val="33"/>
        </w:numPr>
        <w:ind w:left="0" w:firstLine="0"/>
        <w:contextualSpacing/>
        <w:jc w:val="both"/>
        <w:rPr>
          <w:rFonts w:ascii="Verdana" w:eastAsia="Verdana" w:hAnsi="Verdana" w:cs="Verdana"/>
          <w:sz w:val="20"/>
          <w:szCs w:val="20"/>
        </w:rPr>
      </w:pPr>
      <w:r w:rsidRPr="008E0075">
        <w:rPr>
          <w:rFonts w:ascii="Verdana" w:hAnsi="Verdana"/>
          <w:sz w:val="20"/>
          <w:szCs w:val="20"/>
        </w:rPr>
        <w:t xml:space="preserve">La Convención Americana en el artículo 8.5 establece que “[e]l proceso penal debe ser público, salvo en lo que sea necesario para preservar los intereses de la justicia”. </w:t>
      </w:r>
      <w:r w:rsidRPr="008E0075">
        <w:rPr>
          <w:rFonts w:ascii="Verdana" w:eastAsia="Verdana" w:hAnsi="Verdana" w:cs="Verdana"/>
          <w:sz w:val="20"/>
          <w:szCs w:val="20"/>
        </w:rPr>
        <w:t>Este Tribunal ha señalado que una de las principales características que debe reunir el proceso penal durante su sustanciación es su carácter de público</w:t>
      </w:r>
      <w:r w:rsidRPr="008E0075">
        <w:rPr>
          <w:rFonts w:ascii="Verdana" w:hAnsi="Verdana"/>
          <w:sz w:val="20"/>
          <w:szCs w:val="20"/>
        </w:rPr>
        <w:t>, el cual es un elemento esencial de los sistemas procesales penales acusatorios de un Estado democrático y se garantiza a través de la realización de una etapa oral en la que el acusado pueda tener inmediación con el juez y las pruebas y que facilite el acceso al público.</w:t>
      </w:r>
      <w:r w:rsidRPr="008E0075">
        <w:rPr>
          <w:rFonts w:ascii="Verdana" w:eastAsia="Verdana" w:hAnsi="Verdana" w:cs="Verdana"/>
          <w:sz w:val="20"/>
          <w:szCs w:val="20"/>
        </w:rPr>
        <w:t xml:space="preserve"> El derecho a un proceso público se encuentra protegido por diversos instrumentos internacionales como elemento esencial de las garantías judiciales</w:t>
      </w:r>
      <w:r w:rsidRPr="008E0075">
        <w:rPr>
          <w:rStyle w:val="Refdenotaalpie"/>
          <w:rFonts w:ascii="Verdana" w:hAnsi="Verdana"/>
          <w:sz w:val="20"/>
          <w:szCs w:val="20"/>
        </w:rPr>
        <w:footnoteReference w:id="114"/>
      </w:r>
      <w:r w:rsidRPr="008E0075">
        <w:rPr>
          <w:rFonts w:ascii="Verdana" w:hAnsi="Verdana"/>
          <w:sz w:val="20"/>
          <w:szCs w:val="20"/>
        </w:rPr>
        <w:t>. La publicidad del proceso tiene la función de proscribir la administración de justicia secreta, someterla al escrutinio de las partes y del público y se relaciona con la necesidad de la transparencia e imparcialidad de las decisiones que se tomen. Además, es un medio por el cual se fomenta la confianza en los tribunales de justicia. La publicidad hace referencia específica al acceso a la información del proceso que tengan las partes e incluso los terceros</w:t>
      </w:r>
      <w:r w:rsidRPr="008E0075">
        <w:rPr>
          <w:rStyle w:val="Refdenotaalpie"/>
          <w:rFonts w:ascii="Verdana" w:hAnsi="Verdana"/>
          <w:sz w:val="20"/>
          <w:szCs w:val="20"/>
        </w:rPr>
        <w:footnoteReference w:id="115"/>
      </w:r>
      <w:r w:rsidRPr="008E0075">
        <w:rPr>
          <w:rFonts w:ascii="Verdana" w:hAnsi="Verdana"/>
          <w:sz w:val="20"/>
          <w:szCs w:val="20"/>
        </w:rPr>
        <w:t>.</w:t>
      </w:r>
    </w:p>
    <w:p w:rsidR="00A326C2" w:rsidRPr="008E0075" w:rsidRDefault="00A326C2" w:rsidP="00FE0342">
      <w:pPr>
        <w:pStyle w:val="Normal1"/>
        <w:widowControl/>
        <w:contextualSpacing/>
        <w:jc w:val="both"/>
        <w:rPr>
          <w:rFonts w:ascii="Verdana" w:eastAsia="Verdana" w:hAnsi="Verdana" w:cs="Verdana"/>
          <w:sz w:val="20"/>
          <w:szCs w:val="20"/>
        </w:rPr>
      </w:pPr>
    </w:p>
    <w:p w:rsidR="00A326C2" w:rsidRPr="008E0075" w:rsidRDefault="00A326C2" w:rsidP="00FE0342">
      <w:pPr>
        <w:pStyle w:val="Normal1"/>
        <w:widowControl/>
        <w:numPr>
          <w:ilvl w:val="0"/>
          <w:numId w:val="33"/>
        </w:numPr>
        <w:ind w:left="0" w:firstLine="0"/>
        <w:contextualSpacing/>
        <w:jc w:val="both"/>
        <w:rPr>
          <w:rFonts w:ascii="Verdana" w:eastAsia="Verdana" w:hAnsi="Verdana" w:cs="Verdana"/>
          <w:sz w:val="20"/>
          <w:szCs w:val="20"/>
        </w:rPr>
      </w:pPr>
      <w:r w:rsidRPr="008E0075">
        <w:rPr>
          <w:rFonts w:ascii="Verdana" w:eastAsia="Verdana" w:hAnsi="Verdana" w:cs="Verdana"/>
          <w:sz w:val="20"/>
          <w:szCs w:val="20"/>
        </w:rPr>
        <w:t xml:space="preserve">La Corte nota que de la normativa </w:t>
      </w:r>
      <w:r>
        <w:rPr>
          <w:rFonts w:ascii="Verdana" w:eastAsia="Verdana" w:hAnsi="Verdana" w:cs="Verdana"/>
          <w:sz w:val="20"/>
          <w:szCs w:val="20"/>
        </w:rPr>
        <w:t xml:space="preserve">vigente al momento en que ocurrieron los hechos se desprende </w:t>
      </w:r>
      <w:r w:rsidRPr="008E0075">
        <w:rPr>
          <w:rFonts w:ascii="Verdana" w:eastAsia="Verdana" w:hAnsi="Verdana" w:cs="Verdana"/>
          <w:sz w:val="20"/>
          <w:szCs w:val="20"/>
        </w:rPr>
        <w:t>que el proceso e</w:t>
      </w:r>
      <w:r>
        <w:rPr>
          <w:rFonts w:ascii="Verdana" w:eastAsia="Verdana" w:hAnsi="Verdana" w:cs="Verdana"/>
          <w:sz w:val="20"/>
          <w:szCs w:val="20"/>
        </w:rPr>
        <w:t>ra</w:t>
      </w:r>
      <w:r w:rsidRPr="008E0075">
        <w:rPr>
          <w:rFonts w:ascii="Verdana" w:eastAsia="Verdana" w:hAnsi="Verdana" w:cs="Verdana"/>
          <w:sz w:val="20"/>
          <w:szCs w:val="20"/>
        </w:rPr>
        <w:t xml:space="preserve"> público, salvo aquellas diligencias que por su naturaleza pueden ser reservadas y secretas en el período de investigación o de instrucción hasta el auto de apertura del juicio, de acuerdo con el artículo 14</w:t>
      </w:r>
      <w:r w:rsidRPr="00B84999">
        <w:rPr>
          <w:rStyle w:val="Refdenotaalpie"/>
          <w:rFonts w:ascii="Verdana" w:eastAsia="Verdana" w:hAnsi="Verdana" w:cs="Verdana"/>
          <w:sz w:val="20"/>
          <w:szCs w:val="20"/>
        </w:rPr>
        <w:footnoteReference w:id="116"/>
      </w:r>
      <w:r w:rsidRPr="008E0075">
        <w:rPr>
          <w:rFonts w:ascii="Verdana" w:eastAsia="Verdana" w:hAnsi="Verdana" w:cs="Verdana"/>
          <w:sz w:val="20"/>
          <w:szCs w:val="20"/>
        </w:rPr>
        <w:t xml:space="preserve"> del Código Procesal Penal.</w:t>
      </w:r>
      <w:r>
        <w:rPr>
          <w:rFonts w:ascii="Verdana" w:eastAsia="Verdana" w:hAnsi="Verdana" w:cs="Verdana"/>
          <w:sz w:val="20"/>
          <w:szCs w:val="20"/>
        </w:rPr>
        <w:t xml:space="preserve"> Asimismo en las fases de instrucción y juzgamiento en el proceso penal se contemplaba la posibilidad de realizar diligencias orales. En el presente caso se realizaron distintos actos de carácter oral en la fase de instrucción. Sin embargo, en la fase de juzgamiento a pesar de tener la posibilidad de recepción oral de la prueba, por defectos formales de la presentación del interrogatorio a varios testigos, fue rechazada </w:t>
      </w:r>
      <w:r w:rsidR="007523A2">
        <w:rPr>
          <w:rFonts w:ascii="Verdana" w:eastAsia="Verdana" w:hAnsi="Verdana" w:cs="Verdana"/>
          <w:sz w:val="20"/>
          <w:szCs w:val="20"/>
        </w:rPr>
        <w:t>esta prueba</w:t>
      </w:r>
      <w:r>
        <w:rPr>
          <w:rFonts w:ascii="Verdana" w:eastAsia="Verdana" w:hAnsi="Verdana" w:cs="Verdana"/>
          <w:sz w:val="20"/>
          <w:szCs w:val="20"/>
        </w:rPr>
        <w:t>.</w:t>
      </w:r>
    </w:p>
    <w:p w:rsidR="00A326C2" w:rsidRPr="008E0075" w:rsidRDefault="00A326C2" w:rsidP="00FE0342">
      <w:pPr>
        <w:pStyle w:val="Normal1"/>
        <w:widowControl/>
        <w:contextualSpacing/>
        <w:jc w:val="both"/>
        <w:rPr>
          <w:rFonts w:ascii="Verdana" w:eastAsia="Verdana" w:hAnsi="Verdana" w:cs="Verdana"/>
          <w:sz w:val="20"/>
          <w:szCs w:val="20"/>
        </w:rPr>
      </w:pPr>
    </w:p>
    <w:p w:rsidR="00A326C2" w:rsidRDefault="00A326C2" w:rsidP="00FE0342">
      <w:pPr>
        <w:pStyle w:val="Normal1"/>
        <w:widowControl/>
        <w:numPr>
          <w:ilvl w:val="0"/>
          <w:numId w:val="33"/>
        </w:numPr>
        <w:ind w:left="0" w:firstLine="0"/>
        <w:contextualSpacing/>
        <w:jc w:val="both"/>
        <w:rPr>
          <w:rFonts w:ascii="Verdana" w:eastAsia="Verdana" w:hAnsi="Verdana" w:cs="Verdana"/>
          <w:sz w:val="20"/>
          <w:szCs w:val="20"/>
        </w:rPr>
      </w:pPr>
      <w:r w:rsidRPr="008E0075">
        <w:rPr>
          <w:rFonts w:ascii="Verdana" w:eastAsia="Verdana" w:hAnsi="Verdana" w:cs="Verdana"/>
          <w:sz w:val="20"/>
          <w:szCs w:val="20"/>
        </w:rPr>
        <w:t xml:space="preserve"> Si bien esta Corte ha señalado que </w:t>
      </w:r>
      <w:r w:rsidRPr="008E0075">
        <w:rPr>
          <w:rFonts w:ascii="Verdana" w:hAnsi="Verdana"/>
          <w:sz w:val="20"/>
          <w:szCs w:val="20"/>
        </w:rPr>
        <w:t>una etapa oral en la que el acusado pueda tener inmediación con el juez y las pruebas y que facilite el acceso al público</w:t>
      </w:r>
      <w:r>
        <w:rPr>
          <w:rFonts w:ascii="Verdana" w:hAnsi="Verdana"/>
          <w:sz w:val="20"/>
          <w:szCs w:val="20"/>
        </w:rPr>
        <w:t xml:space="preserve"> es una de las garantías asociadas al principio de publicidad, la publicidad del proceso</w:t>
      </w:r>
      <w:r w:rsidRPr="008E0075">
        <w:rPr>
          <w:rFonts w:ascii="Verdana" w:eastAsia="Verdana" w:hAnsi="Verdana" w:cs="Verdana"/>
          <w:sz w:val="20"/>
          <w:szCs w:val="20"/>
        </w:rPr>
        <w:t xml:space="preserve"> no equivale a la oralidad</w:t>
      </w:r>
      <w:r>
        <w:rPr>
          <w:rFonts w:ascii="Verdana" w:eastAsia="Verdana" w:hAnsi="Verdana" w:cs="Verdana"/>
          <w:sz w:val="20"/>
          <w:szCs w:val="20"/>
        </w:rPr>
        <w:t xml:space="preserve"> del mismo.</w:t>
      </w:r>
      <w:r>
        <w:rPr>
          <w:rFonts w:ascii="Verdana" w:hAnsi="Verdana"/>
          <w:sz w:val="20"/>
          <w:szCs w:val="20"/>
        </w:rPr>
        <w:t xml:space="preserve"> </w:t>
      </w:r>
      <w:r w:rsidRPr="008E0075">
        <w:rPr>
          <w:rFonts w:ascii="Verdana" w:eastAsia="Verdana" w:hAnsi="Verdana" w:cs="Verdana"/>
          <w:sz w:val="20"/>
          <w:szCs w:val="20"/>
        </w:rPr>
        <w:t xml:space="preserve">En el presente caso </w:t>
      </w:r>
      <w:r>
        <w:rPr>
          <w:rFonts w:ascii="Verdana" w:eastAsia="Verdana" w:hAnsi="Verdana" w:cs="Verdana"/>
          <w:sz w:val="20"/>
          <w:szCs w:val="20"/>
        </w:rPr>
        <w:t xml:space="preserve">las presuntas víctimas y sus defensores tuvieron acceso efectivo al expediente y las pruebas recabadas en su contra, de forma tal que las actuaciones judiciales adelantadas no tuvieron el carácter de reservadas o secretas. Por lo tanto, la Corte considera </w:t>
      </w:r>
      <w:r>
        <w:rPr>
          <w:rFonts w:ascii="Verdana" w:eastAsia="Verdana" w:hAnsi="Verdana" w:cs="Verdana"/>
          <w:sz w:val="20"/>
          <w:szCs w:val="20"/>
        </w:rPr>
        <w:lastRenderedPageBreak/>
        <w:t xml:space="preserve">que no se violó el principio de </w:t>
      </w:r>
      <w:r w:rsidRPr="008E0075">
        <w:rPr>
          <w:rFonts w:ascii="Verdana" w:eastAsia="Verdana" w:hAnsi="Verdana" w:cs="Verdana"/>
          <w:sz w:val="20"/>
          <w:szCs w:val="20"/>
        </w:rPr>
        <w:t xml:space="preserve">publicidad del proceso, establecido en el artículo 8.5 de la Convención Americana. </w:t>
      </w:r>
    </w:p>
    <w:p w:rsidR="00A326C2" w:rsidRPr="00EB146B" w:rsidRDefault="00A326C2" w:rsidP="00A326C2">
      <w:pPr>
        <w:pStyle w:val="Normal1"/>
        <w:widowControl/>
        <w:tabs>
          <w:tab w:val="left" w:pos="0"/>
        </w:tabs>
        <w:contextualSpacing/>
        <w:jc w:val="both"/>
        <w:rPr>
          <w:rFonts w:ascii="Verdana" w:eastAsia="Verdana" w:hAnsi="Verdana" w:cs="Verdana"/>
          <w:sz w:val="20"/>
          <w:szCs w:val="20"/>
        </w:rPr>
      </w:pPr>
    </w:p>
    <w:p w:rsidR="00A326C2" w:rsidRPr="00A61525" w:rsidRDefault="00A326C2" w:rsidP="00A326C2">
      <w:pPr>
        <w:pStyle w:val="Ttulo2"/>
        <w:spacing w:before="0" w:line="240" w:lineRule="auto"/>
        <w:rPr>
          <w:rFonts w:ascii="Verdana" w:hAnsi="Verdana"/>
          <w:b/>
          <w:color w:val="auto"/>
          <w:sz w:val="20"/>
          <w:lang w:val="es-CR"/>
        </w:rPr>
      </w:pPr>
      <w:bookmarkStart w:id="88" w:name="_Toc24538852"/>
      <w:r w:rsidRPr="00A61525">
        <w:rPr>
          <w:rFonts w:ascii="Verdana" w:hAnsi="Verdana"/>
          <w:b/>
          <w:color w:val="auto"/>
          <w:sz w:val="20"/>
          <w:lang w:val="es-CR"/>
        </w:rPr>
        <w:t>C. Conclusión</w:t>
      </w:r>
      <w:bookmarkEnd w:id="88"/>
    </w:p>
    <w:p w:rsidR="00A326C2" w:rsidRPr="008E0075" w:rsidRDefault="00A326C2" w:rsidP="00A326C2">
      <w:pPr>
        <w:spacing w:after="0" w:line="240" w:lineRule="auto"/>
        <w:jc w:val="both"/>
        <w:rPr>
          <w:rFonts w:ascii="Verdana" w:hAnsi="Verdana"/>
          <w:sz w:val="20"/>
          <w:szCs w:val="20"/>
          <w:lang w:val="es-CR"/>
        </w:rPr>
      </w:pPr>
    </w:p>
    <w:p w:rsidR="00A326C2" w:rsidRPr="007C73F2" w:rsidRDefault="00A326C2" w:rsidP="00FE0342">
      <w:pPr>
        <w:pStyle w:val="Normal1"/>
        <w:widowControl/>
        <w:numPr>
          <w:ilvl w:val="0"/>
          <w:numId w:val="33"/>
        </w:numPr>
        <w:ind w:left="0" w:firstLine="0"/>
        <w:contextualSpacing/>
        <w:jc w:val="both"/>
        <w:rPr>
          <w:rFonts w:ascii="Verdana" w:eastAsia="Verdana" w:hAnsi="Verdana" w:cs="Verdana"/>
          <w:sz w:val="20"/>
          <w:szCs w:val="20"/>
        </w:rPr>
      </w:pPr>
      <w:r w:rsidRPr="008E0075">
        <w:rPr>
          <w:rFonts w:ascii="Verdana" w:hAnsi="Verdana"/>
          <w:sz w:val="20"/>
          <w:szCs w:val="20"/>
        </w:rPr>
        <w:t>De lo e</w:t>
      </w:r>
      <w:r>
        <w:rPr>
          <w:rFonts w:ascii="Verdana" w:hAnsi="Verdana"/>
          <w:sz w:val="20"/>
          <w:szCs w:val="20"/>
        </w:rPr>
        <w:t xml:space="preserve">xpuesto, tomando en cuenta que las presuntas víctimas </w:t>
      </w:r>
      <w:r w:rsidRPr="008E0075">
        <w:rPr>
          <w:rFonts w:ascii="Verdana" w:hAnsi="Verdana"/>
          <w:sz w:val="20"/>
          <w:szCs w:val="20"/>
        </w:rPr>
        <w:t xml:space="preserve">no </w:t>
      </w:r>
      <w:r>
        <w:rPr>
          <w:rFonts w:ascii="Verdana" w:hAnsi="Verdana"/>
          <w:sz w:val="20"/>
          <w:szCs w:val="20"/>
        </w:rPr>
        <w:t>contaron con una</w:t>
      </w:r>
      <w:r w:rsidRPr="008E0075">
        <w:rPr>
          <w:rFonts w:ascii="Verdana" w:hAnsi="Verdana"/>
          <w:sz w:val="20"/>
          <w:szCs w:val="20"/>
        </w:rPr>
        <w:t xml:space="preserve"> defensa </w:t>
      </w:r>
      <w:r>
        <w:rPr>
          <w:rFonts w:ascii="Verdana" w:hAnsi="Verdana"/>
          <w:sz w:val="20"/>
          <w:szCs w:val="20"/>
        </w:rPr>
        <w:t xml:space="preserve">oportuna </w:t>
      </w:r>
      <w:r w:rsidRPr="008E0075">
        <w:rPr>
          <w:rFonts w:ascii="Verdana" w:hAnsi="Verdana"/>
          <w:sz w:val="20"/>
          <w:szCs w:val="20"/>
        </w:rPr>
        <w:t xml:space="preserve">y que además </w:t>
      </w:r>
      <w:r>
        <w:rPr>
          <w:rFonts w:ascii="Verdana" w:hAnsi="Verdana"/>
          <w:sz w:val="20"/>
          <w:szCs w:val="20"/>
        </w:rPr>
        <w:t xml:space="preserve">no se les garantizó el derecho a una defensa técnica </w:t>
      </w:r>
      <w:r w:rsidRPr="008E0075">
        <w:rPr>
          <w:rFonts w:ascii="Verdana" w:hAnsi="Verdana"/>
          <w:sz w:val="20"/>
          <w:szCs w:val="20"/>
        </w:rPr>
        <w:t>para enfrentar un proceso de pena de muerte,</w:t>
      </w:r>
      <w:r>
        <w:rPr>
          <w:rFonts w:ascii="Verdana" w:hAnsi="Verdana"/>
          <w:sz w:val="20"/>
          <w:szCs w:val="20"/>
        </w:rPr>
        <w:t xml:space="preserve"> </w:t>
      </w:r>
      <w:r w:rsidRPr="003A687A">
        <w:rPr>
          <w:rFonts w:ascii="Verdana" w:hAnsi="Verdana"/>
          <w:sz w:val="20"/>
          <w:szCs w:val="20"/>
        </w:rPr>
        <w:t xml:space="preserve">que resultó en la privación arbitaria de la vida de los señores Girón y Castillo, </w:t>
      </w:r>
      <w:r w:rsidRPr="008E0075">
        <w:rPr>
          <w:rFonts w:ascii="Verdana" w:hAnsi="Verdana"/>
          <w:sz w:val="20"/>
          <w:szCs w:val="20"/>
        </w:rPr>
        <w:t xml:space="preserve">esta Corte considera que el Estado es responsable de la violación de los derechos </w:t>
      </w:r>
      <w:r>
        <w:rPr>
          <w:rFonts w:ascii="Verdana" w:hAnsi="Verdana"/>
          <w:sz w:val="20"/>
          <w:szCs w:val="20"/>
        </w:rPr>
        <w:t>consagrados en el artículo 8.2.d) y 8.2.e</w:t>
      </w:r>
      <w:r w:rsidRPr="008E0075">
        <w:rPr>
          <w:rFonts w:ascii="Verdana" w:hAnsi="Verdana"/>
          <w:sz w:val="20"/>
          <w:szCs w:val="20"/>
        </w:rPr>
        <w:t xml:space="preserve">) </w:t>
      </w:r>
      <w:r>
        <w:rPr>
          <w:rFonts w:ascii="Verdana" w:hAnsi="Verdana"/>
          <w:sz w:val="20"/>
          <w:szCs w:val="20"/>
        </w:rPr>
        <w:t xml:space="preserve">de la </w:t>
      </w:r>
      <w:r w:rsidRPr="008E0075">
        <w:rPr>
          <w:rFonts w:ascii="Verdana" w:hAnsi="Verdana"/>
          <w:sz w:val="20"/>
          <w:szCs w:val="20"/>
        </w:rPr>
        <w:t xml:space="preserve">Convención Americana, </w:t>
      </w:r>
      <w:r w:rsidRPr="003A687A">
        <w:rPr>
          <w:rFonts w:ascii="Verdana" w:hAnsi="Verdana"/>
          <w:sz w:val="20"/>
          <w:szCs w:val="20"/>
        </w:rPr>
        <w:t>en relación con el artículo 4.1 de la Convención</w:t>
      </w:r>
      <w:r>
        <w:rPr>
          <w:rFonts w:ascii="Verdana" w:hAnsi="Verdana"/>
          <w:sz w:val="20"/>
          <w:szCs w:val="20"/>
        </w:rPr>
        <w:t>, y con e</w:t>
      </w:r>
      <w:r w:rsidRPr="008E0075">
        <w:rPr>
          <w:rFonts w:ascii="Verdana" w:hAnsi="Verdana"/>
          <w:sz w:val="20"/>
          <w:szCs w:val="20"/>
        </w:rPr>
        <w:t xml:space="preserve">l artículo 1.1 </w:t>
      </w:r>
      <w:r w:rsidR="009B54DF">
        <w:rPr>
          <w:rFonts w:ascii="Verdana" w:hAnsi="Verdana"/>
          <w:sz w:val="20"/>
          <w:szCs w:val="20"/>
        </w:rPr>
        <w:t xml:space="preserve">y 2 </w:t>
      </w:r>
      <w:r w:rsidRPr="008E0075">
        <w:rPr>
          <w:rFonts w:ascii="Verdana" w:hAnsi="Verdana"/>
          <w:sz w:val="20"/>
          <w:szCs w:val="20"/>
        </w:rPr>
        <w:t xml:space="preserve">de la Convención, en perjucio de los señores Roberto Girón y Pedro Castillo Mendoza. </w:t>
      </w:r>
      <w:r>
        <w:rPr>
          <w:rFonts w:ascii="Verdana" w:hAnsi="Verdana"/>
          <w:sz w:val="20"/>
          <w:szCs w:val="20"/>
        </w:rPr>
        <w:t>Por último, la Corte consideró que el Estado no violó el artículo 8.5 de la Convención Americana, en perjuicio de los señores Roberto Girón y Pedro Castillo Mendoza.</w:t>
      </w:r>
    </w:p>
    <w:p w:rsidR="00652A97" w:rsidRDefault="00652A97" w:rsidP="00652A97">
      <w:pPr>
        <w:pStyle w:val="Normal1"/>
        <w:widowControl/>
        <w:tabs>
          <w:tab w:val="left" w:pos="0"/>
        </w:tabs>
        <w:contextualSpacing/>
        <w:jc w:val="both"/>
        <w:rPr>
          <w:rFonts w:ascii="Verdana" w:hAnsi="Verdana"/>
          <w:sz w:val="20"/>
          <w:szCs w:val="20"/>
        </w:rPr>
      </w:pPr>
    </w:p>
    <w:p w:rsidR="00652A97" w:rsidRPr="008B44A5" w:rsidRDefault="00306333" w:rsidP="008B44A5">
      <w:pPr>
        <w:pStyle w:val="Ttulo1"/>
        <w:spacing w:before="0" w:line="240" w:lineRule="auto"/>
        <w:jc w:val="center"/>
        <w:rPr>
          <w:rFonts w:ascii="Verdana" w:hAnsi="Verdana"/>
          <w:color w:val="auto"/>
          <w:sz w:val="20"/>
          <w:szCs w:val="20"/>
          <w:lang w:val="es-PE"/>
        </w:rPr>
      </w:pPr>
      <w:bookmarkStart w:id="89" w:name="_Toc24538853"/>
      <w:r>
        <w:rPr>
          <w:rFonts w:ascii="Verdana" w:hAnsi="Verdana"/>
          <w:color w:val="auto"/>
          <w:sz w:val="20"/>
          <w:szCs w:val="20"/>
          <w:lang w:val="es-PE"/>
        </w:rPr>
        <w:t>IX</w:t>
      </w:r>
      <w:r w:rsidR="00652A97" w:rsidRPr="008E0075">
        <w:rPr>
          <w:rFonts w:ascii="Verdana" w:hAnsi="Verdana"/>
          <w:color w:val="auto"/>
          <w:sz w:val="20"/>
          <w:szCs w:val="20"/>
          <w:lang w:val="es-PE"/>
        </w:rPr>
        <w:t xml:space="preserve"> </w:t>
      </w:r>
      <w:r w:rsidR="00CD5CE8" w:rsidRPr="008E0075">
        <w:rPr>
          <w:rFonts w:ascii="Verdana" w:eastAsia="Verdana" w:hAnsi="Verdana" w:cs="Verdana"/>
          <w:color w:val="auto"/>
          <w:sz w:val="20"/>
          <w:szCs w:val="20"/>
          <w:lang w:val="es-CR"/>
        </w:rPr>
        <w:br/>
      </w:r>
      <w:r w:rsidR="00652A97" w:rsidRPr="008E0075">
        <w:rPr>
          <w:rFonts w:ascii="Verdana" w:hAnsi="Verdana"/>
          <w:color w:val="auto"/>
          <w:sz w:val="20"/>
          <w:szCs w:val="20"/>
          <w:lang w:val="es-PE"/>
        </w:rPr>
        <w:t>REPARACIONES</w:t>
      </w:r>
      <w:bookmarkEnd w:id="89"/>
      <w:r w:rsidR="00652A97" w:rsidRPr="008E0075">
        <w:rPr>
          <w:rFonts w:ascii="Verdana" w:hAnsi="Verdana"/>
          <w:color w:val="auto"/>
          <w:sz w:val="20"/>
          <w:szCs w:val="20"/>
          <w:lang w:val="es-PE"/>
        </w:rPr>
        <w:br/>
      </w:r>
    </w:p>
    <w:p w:rsidR="00652A97" w:rsidRPr="00652A97" w:rsidRDefault="003A44DD" w:rsidP="00FE0342">
      <w:pPr>
        <w:pStyle w:val="Normal1"/>
        <w:widowControl/>
        <w:numPr>
          <w:ilvl w:val="0"/>
          <w:numId w:val="33"/>
        </w:numPr>
        <w:ind w:left="0" w:firstLine="0"/>
        <w:contextualSpacing/>
        <w:jc w:val="both"/>
        <w:rPr>
          <w:rFonts w:ascii="Verdana" w:hAnsi="Verdana"/>
          <w:sz w:val="20"/>
          <w:szCs w:val="20"/>
        </w:rPr>
      </w:pPr>
      <w:r w:rsidRPr="00652A97">
        <w:rPr>
          <w:rFonts w:ascii="Verdana" w:hAnsi="Verdana"/>
          <w:sz w:val="20"/>
          <w:szCs w:val="20"/>
          <w:lang w:val="es-PE"/>
        </w:rPr>
        <w:t>Con base en lo dispuesto en el artículo 63.1 de la Convención Americana,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8E0075">
        <w:rPr>
          <w:rStyle w:val="Refdenotaalpie"/>
          <w:rFonts w:ascii="Verdana" w:hAnsi="Verdana"/>
          <w:sz w:val="20"/>
          <w:szCs w:val="20"/>
          <w:lang w:val="es-PE"/>
        </w:rPr>
        <w:footnoteReference w:id="117"/>
      </w:r>
      <w:r w:rsidRPr="00652A97">
        <w:rPr>
          <w:rFonts w:ascii="Verdana" w:hAnsi="Verdana"/>
          <w:sz w:val="20"/>
          <w:szCs w:val="20"/>
          <w:lang w:val="es-PE"/>
        </w:rPr>
        <w:t>.</w:t>
      </w:r>
    </w:p>
    <w:p w:rsidR="00652A97" w:rsidRDefault="00652A97" w:rsidP="00FE0342">
      <w:pPr>
        <w:pStyle w:val="Normal1"/>
        <w:widowControl/>
        <w:contextualSpacing/>
        <w:jc w:val="both"/>
        <w:rPr>
          <w:rFonts w:ascii="Verdana" w:hAnsi="Verdana"/>
          <w:sz w:val="20"/>
          <w:szCs w:val="20"/>
        </w:rPr>
      </w:pPr>
    </w:p>
    <w:p w:rsidR="00652A97" w:rsidRPr="00652A97" w:rsidRDefault="003A44DD" w:rsidP="00FE0342">
      <w:pPr>
        <w:pStyle w:val="Normal1"/>
        <w:widowControl/>
        <w:numPr>
          <w:ilvl w:val="0"/>
          <w:numId w:val="33"/>
        </w:numPr>
        <w:ind w:left="0" w:firstLine="0"/>
        <w:contextualSpacing/>
        <w:jc w:val="both"/>
        <w:rPr>
          <w:rFonts w:ascii="Verdana" w:hAnsi="Verdana"/>
          <w:sz w:val="20"/>
          <w:szCs w:val="20"/>
        </w:rPr>
      </w:pPr>
      <w:r w:rsidRPr="00652A97">
        <w:rPr>
          <w:rFonts w:ascii="Verdana" w:hAnsi="Verdana"/>
          <w:sz w:val="20"/>
          <w:szCs w:val="20"/>
          <w:lang w:val="es-PE"/>
        </w:rPr>
        <w:t>La reparación del daño ocasionado por la infracción de una obligación internacional requiere, siempre que sea posible, la plena restitución (</w:t>
      </w:r>
      <w:r w:rsidRPr="00652A97">
        <w:rPr>
          <w:rFonts w:ascii="Verdana" w:hAnsi="Verdana"/>
          <w:i/>
          <w:sz w:val="20"/>
          <w:szCs w:val="20"/>
          <w:lang w:val="es-PE"/>
        </w:rPr>
        <w:t>restitutio in integrum</w:t>
      </w:r>
      <w:r w:rsidRPr="00652A97">
        <w:rPr>
          <w:rFonts w:ascii="Verdana" w:hAnsi="Verdana"/>
          <w:sz w:val="20"/>
          <w:szCs w:val="20"/>
          <w:lang w:val="es-PE"/>
        </w:rPr>
        <w:t>), que consiste en el restablecimiento de la situación anterior</w:t>
      </w:r>
      <w:r w:rsidRPr="008E0075">
        <w:rPr>
          <w:rStyle w:val="Refdenotaalpie"/>
          <w:rFonts w:ascii="Verdana" w:hAnsi="Verdana"/>
          <w:sz w:val="20"/>
          <w:szCs w:val="20"/>
          <w:lang w:val="es-PE"/>
        </w:rPr>
        <w:footnoteReference w:id="118"/>
      </w:r>
      <w:r w:rsidRPr="00652A97">
        <w:rPr>
          <w:rFonts w:ascii="Verdana" w:hAnsi="Verdana"/>
          <w:sz w:val="20"/>
          <w:szCs w:val="20"/>
          <w:lang w:val="es-PE"/>
        </w:rPr>
        <w:t>. De no ser esto factible, como ocurre en la mayoría de los casos de violaciones a derechos humanos, este Tribunal determinará medidas para garantizar los derechos conculcados y reparar las consecuencias que las infracciones produjeron</w:t>
      </w:r>
      <w:r w:rsidRPr="008E0075">
        <w:rPr>
          <w:rStyle w:val="Refdenotaalpie"/>
          <w:rFonts w:ascii="Verdana" w:hAnsi="Verdana"/>
          <w:sz w:val="20"/>
          <w:szCs w:val="20"/>
          <w:lang w:val="es-PE"/>
        </w:rPr>
        <w:footnoteReference w:id="119"/>
      </w:r>
      <w:r w:rsidRPr="00652A97">
        <w:rPr>
          <w:rFonts w:ascii="Verdana" w:hAnsi="Verdana"/>
          <w:sz w:val="20"/>
          <w:szCs w:val="20"/>
          <w:lang w:val="es-PE"/>
        </w:rPr>
        <w:t>.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8E0075">
        <w:rPr>
          <w:rStyle w:val="Refdenotaalpie"/>
          <w:rFonts w:ascii="Verdana" w:hAnsi="Verdana"/>
          <w:sz w:val="20"/>
          <w:szCs w:val="20"/>
          <w:lang w:val="es-PE"/>
        </w:rPr>
        <w:footnoteReference w:id="120"/>
      </w:r>
      <w:r w:rsidRPr="00652A97">
        <w:rPr>
          <w:rFonts w:ascii="Verdana" w:hAnsi="Verdana"/>
          <w:sz w:val="20"/>
          <w:szCs w:val="20"/>
          <w:lang w:val="es-PE"/>
        </w:rPr>
        <w:t>.</w:t>
      </w:r>
    </w:p>
    <w:p w:rsidR="00652A97" w:rsidRDefault="00DD35C2" w:rsidP="00FE0342">
      <w:pPr>
        <w:pStyle w:val="Normal1"/>
        <w:widowControl/>
        <w:tabs>
          <w:tab w:val="left" w:pos="3780"/>
        </w:tabs>
        <w:contextualSpacing/>
        <w:jc w:val="both"/>
        <w:rPr>
          <w:rFonts w:ascii="Verdana" w:hAnsi="Verdana"/>
          <w:sz w:val="20"/>
          <w:szCs w:val="20"/>
        </w:rPr>
      </w:pPr>
      <w:r>
        <w:rPr>
          <w:rFonts w:ascii="Verdana" w:hAnsi="Verdana"/>
          <w:sz w:val="20"/>
          <w:szCs w:val="20"/>
        </w:rPr>
        <w:tab/>
      </w:r>
    </w:p>
    <w:p w:rsidR="00652A97" w:rsidRPr="00652A97" w:rsidRDefault="003A44DD" w:rsidP="00FE0342">
      <w:pPr>
        <w:pStyle w:val="Normal1"/>
        <w:widowControl/>
        <w:numPr>
          <w:ilvl w:val="0"/>
          <w:numId w:val="33"/>
        </w:numPr>
        <w:ind w:left="0" w:firstLine="0"/>
        <w:contextualSpacing/>
        <w:jc w:val="both"/>
        <w:rPr>
          <w:rFonts w:ascii="Verdana" w:hAnsi="Verdana"/>
          <w:sz w:val="20"/>
          <w:szCs w:val="20"/>
        </w:rPr>
      </w:pPr>
      <w:r w:rsidRPr="00652A97">
        <w:rPr>
          <w:rFonts w:ascii="Verdana" w:hAnsi="Verdana"/>
          <w:sz w:val="20"/>
          <w:szCs w:val="20"/>
          <w:lang w:val="es-PE"/>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8E0075">
        <w:rPr>
          <w:rStyle w:val="Refdenotaalpie"/>
          <w:rFonts w:ascii="Verdana" w:hAnsi="Verdana"/>
          <w:sz w:val="20"/>
          <w:szCs w:val="20"/>
          <w:lang w:val="es-PE"/>
        </w:rPr>
        <w:footnoteReference w:id="121"/>
      </w:r>
      <w:r w:rsidRPr="00652A97">
        <w:rPr>
          <w:rFonts w:ascii="Verdana" w:hAnsi="Verdana"/>
          <w:sz w:val="20"/>
          <w:szCs w:val="20"/>
          <w:lang w:val="es-PE"/>
        </w:rPr>
        <w:t xml:space="preserve">. </w:t>
      </w:r>
    </w:p>
    <w:p w:rsidR="00652A97" w:rsidRDefault="00652A97" w:rsidP="00FE0342">
      <w:pPr>
        <w:pStyle w:val="Normal1"/>
        <w:widowControl/>
        <w:contextualSpacing/>
        <w:jc w:val="both"/>
        <w:rPr>
          <w:rFonts w:ascii="Verdana" w:hAnsi="Verdana"/>
          <w:sz w:val="20"/>
          <w:szCs w:val="20"/>
        </w:rPr>
      </w:pPr>
    </w:p>
    <w:p w:rsidR="00652A97" w:rsidRPr="00652A97" w:rsidRDefault="003A44DD" w:rsidP="00FE0342">
      <w:pPr>
        <w:pStyle w:val="Normal1"/>
        <w:widowControl/>
        <w:numPr>
          <w:ilvl w:val="0"/>
          <w:numId w:val="33"/>
        </w:numPr>
        <w:ind w:left="0" w:firstLine="0"/>
        <w:contextualSpacing/>
        <w:jc w:val="both"/>
        <w:rPr>
          <w:rFonts w:ascii="Verdana" w:hAnsi="Verdana"/>
          <w:sz w:val="20"/>
          <w:szCs w:val="20"/>
        </w:rPr>
      </w:pPr>
      <w:r w:rsidRPr="00652A97">
        <w:rPr>
          <w:rFonts w:ascii="Verdana" w:hAnsi="Verdana"/>
          <w:sz w:val="20"/>
          <w:szCs w:val="20"/>
          <w:lang w:val="es-PE"/>
        </w:rPr>
        <w:t>En consideración de las violaciones declaradas en los capítulos anteriores, este Tribunal procederá a analizar las pretensiones presentadas por la Comisión y l</w:t>
      </w:r>
      <w:r w:rsidR="00F84863">
        <w:rPr>
          <w:rFonts w:ascii="Verdana" w:hAnsi="Verdana"/>
          <w:sz w:val="20"/>
          <w:szCs w:val="20"/>
          <w:lang w:val="es-PE"/>
        </w:rPr>
        <w:t>a</w:t>
      </w:r>
      <w:r w:rsidRPr="00652A97">
        <w:rPr>
          <w:rFonts w:ascii="Verdana" w:hAnsi="Verdana"/>
          <w:sz w:val="20"/>
          <w:szCs w:val="20"/>
          <w:lang w:val="es-PE"/>
        </w:rPr>
        <w:t xml:space="preserve">s representantes, así como los argumentos del Estado, a la luz de los criterios fijados en la jurisprudencia de la </w:t>
      </w:r>
      <w:r w:rsidRPr="00652A97">
        <w:rPr>
          <w:rFonts w:ascii="Verdana" w:hAnsi="Verdana"/>
          <w:sz w:val="20"/>
          <w:szCs w:val="20"/>
          <w:lang w:val="es-PE"/>
        </w:rPr>
        <w:lastRenderedPageBreak/>
        <w:t>Corte en relación con la naturaleza y alcance de la obligación de reparar, con el objeto de disponer las medidas dirigidas a reparar los daños ocasionados a las víctimas</w:t>
      </w:r>
      <w:r w:rsidRPr="008E0075">
        <w:rPr>
          <w:rStyle w:val="Refdenotaalpie"/>
          <w:rFonts w:ascii="Verdana" w:hAnsi="Verdana"/>
          <w:sz w:val="20"/>
          <w:szCs w:val="20"/>
          <w:lang w:val="es-PE"/>
        </w:rPr>
        <w:footnoteReference w:id="122"/>
      </w:r>
      <w:r w:rsidR="00B911D8" w:rsidRPr="00652A97">
        <w:rPr>
          <w:rFonts w:ascii="Verdana" w:hAnsi="Verdana"/>
          <w:sz w:val="20"/>
          <w:szCs w:val="20"/>
          <w:lang w:val="es-PE"/>
        </w:rPr>
        <w:t>.</w:t>
      </w:r>
    </w:p>
    <w:p w:rsidR="00652A97" w:rsidRDefault="00652A97" w:rsidP="00FE0342">
      <w:pPr>
        <w:pStyle w:val="Normal1"/>
        <w:widowControl/>
        <w:contextualSpacing/>
        <w:jc w:val="both"/>
        <w:rPr>
          <w:rFonts w:ascii="Verdana" w:hAnsi="Verdana"/>
          <w:sz w:val="20"/>
          <w:szCs w:val="20"/>
        </w:rPr>
      </w:pPr>
    </w:p>
    <w:p w:rsidR="00D325D2" w:rsidRPr="00CC3F43" w:rsidRDefault="003A44DD" w:rsidP="00CC3F43">
      <w:pPr>
        <w:pStyle w:val="Normal1"/>
        <w:widowControl/>
        <w:numPr>
          <w:ilvl w:val="0"/>
          <w:numId w:val="33"/>
        </w:numPr>
        <w:ind w:left="0" w:firstLine="0"/>
        <w:contextualSpacing/>
        <w:jc w:val="both"/>
        <w:rPr>
          <w:rFonts w:ascii="Verdana" w:hAnsi="Verdana"/>
          <w:sz w:val="20"/>
          <w:szCs w:val="20"/>
        </w:rPr>
      </w:pPr>
      <w:r w:rsidRPr="00652A97">
        <w:rPr>
          <w:rFonts w:ascii="Verdana" w:hAnsi="Verdana"/>
          <w:sz w:val="20"/>
          <w:szCs w:val="20"/>
          <w:lang w:val="es-PE"/>
        </w:rPr>
        <w:t>La jurisprudencia internacional y en particular de la Corte, ha establecido reiteradamente que la sentencia constituye por sí misma una forma de reparación</w:t>
      </w:r>
      <w:r w:rsidRPr="008E0075">
        <w:rPr>
          <w:rStyle w:val="Refdenotaalpie"/>
          <w:rFonts w:ascii="Verdana" w:hAnsi="Verdana"/>
          <w:sz w:val="20"/>
          <w:szCs w:val="20"/>
          <w:lang w:val="es-PE"/>
        </w:rPr>
        <w:footnoteReference w:id="123"/>
      </w:r>
      <w:r w:rsidRPr="00652A97">
        <w:rPr>
          <w:rFonts w:ascii="Verdana" w:hAnsi="Verdana"/>
          <w:sz w:val="20"/>
          <w:szCs w:val="20"/>
          <w:lang w:val="es-PE"/>
        </w:rPr>
        <w:t>. No obstante, considerando las circunstancias del presente caso y las violaciones cometidas a la víctima, la Corte estima pertinente fijar otras medidas.</w:t>
      </w:r>
    </w:p>
    <w:p w:rsidR="00CC3F43" w:rsidRPr="00CC3F43" w:rsidRDefault="00CC3F43" w:rsidP="00CC3F43">
      <w:pPr>
        <w:pStyle w:val="Normal1"/>
        <w:widowControl/>
        <w:contextualSpacing/>
        <w:jc w:val="both"/>
        <w:rPr>
          <w:rFonts w:ascii="Verdana" w:hAnsi="Verdana"/>
          <w:sz w:val="20"/>
          <w:szCs w:val="20"/>
        </w:rPr>
      </w:pPr>
    </w:p>
    <w:p w:rsidR="003A44DD" w:rsidRPr="00D325D2" w:rsidRDefault="00652A97" w:rsidP="00D325D2">
      <w:pPr>
        <w:pStyle w:val="Normal1"/>
        <w:widowControl/>
        <w:contextualSpacing/>
        <w:jc w:val="both"/>
        <w:outlineLvl w:val="1"/>
        <w:rPr>
          <w:rFonts w:ascii="Verdana" w:hAnsi="Verdana"/>
          <w:b/>
          <w:sz w:val="20"/>
          <w:szCs w:val="20"/>
        </w:rPr>
      </w:pPr>
      <w:bookmarkStart w:id="90" w:name="_Toc24538854"/>
      <w:r w:rsidRPr="00D325D2">
        <w:rPr>
          <w:rFonts w:ascii="Verdana" w:hAnsi="Verdana"/>
          <w:b/>
          <w:sz w:val="20"/>
          <w:szCs w:val="20"/>
          <w:lang w:val="es-PE"/>
        </w:rPr>
        <w:t xml:space="preserve">A. </w:t>
      </w:r>
      <w:r w:rsidR="003A44DD" w:rsidRPr="00D325D2">
        <w:rPr>
          <w:rFonts w:ascii="Verdana" w:hAnsi="Verdana"/>
          <w:b/>
          <w:sz w:val="20"/>
          <w:szCs w:val="20"/>
          <w:lang w:val="es-PE"/>
        </w:rPr>
        <w:t>Parte Lesionada</w:t>
      </w:r>
      <w:bookmarkEnd w:id="90"/>
      <w:r w:rsidR="003A44DD" w:rsidRPr="00D325D2">
        <w:rPr>
          <w:rFonts w:ascii="Verdana" w:hAnsi="Verdana"/>
          <w:b/>
          <w:sz w:val="20"/>
          <w:szCs w:val="20"/>
          <w:lang w:val="es-PE"/>
        </w:rPr>
        <w:t xml:space="preserve"> </w:t>
      </w:r>
    </w:p>
    <w:p w:rsidR="00B911D8" w:rsidRPr="008E0075" w:rsidRDefault="00B911D8" w:rsidP="000615D6">
      <w:pPr>
        <w:pStyle w:val="Prrafodelista"/>
        <w:spacing w:after="0" w:line="240" w:lineRule="auto"/>
        <w:rPr>
          <w:lang w:val="es-PE"/>
        </w:rPr>
      </w:pPr>
    </w:p>
    <w:p w:rsidR="00D325D2" w:rsidRDefault="003A44DD" w:rsidP="00652A97">
      <w:pPr>
        <w:pStyle w:val="Normal1"/>
        <w:widowControl/>
        <w:numPr>
          <w:ilvl w:val="0"/>
          <w:numId w:val="33"/>
        </w:numPr>
        <w:ind w:left="0" w:firstLine="0"/>
        <w:contextualSpacing/>
        <w:jc w:val="both"/>
        <w:rPr>
          <w:rFonts w:ascii="Verdana" w:hAnsi="Verdana"/>
          <w:sz w:val="20"/>
          <w:szCs w:val="20"/>
          <w:lang w:val="es-PE"/>
        </w:rPr>
      </w:pPr>
      <w:r w:rsidRPr="008E0075">
        <w:rPr>
          <w:rFonts w:ascii="Verdana" w:hAnsi="Verdana"/>
          <w:sz w:val="20"/>
          <w:szCs w:val="20"/>
          <w:lang w:val="es-PE"/>
        </w:rPr>
        <w:t>Este Tribunal reitera que se considera parte lesionada, en los términos del artículo 63.1 de la Convención, a quien ha sido declarada víctima de la violación de algún derecho reconocido en la misma. Por lo tanto, esta Corte considera como “parte lesionada” a los señores Roberto Girón y Pedro Castillo Mendoza</w:t>
      </w:r>
      <w:r w:rsidR="00562D6A">
        <w:rPr>
          <w:rStyle w:val="Refdenotaalpie"/>
          <w:rFonts w:ascii="Verdana" w:hAnsi="Verdana"/>
          <w:sz w:val="20"/>
          <w:szCs w:val="20"/>
          <w:lang w:val="es-PE"/>
        </w:rPr>
        <w:footnoteReference w:id="124"/>
      </w:r>
      <w:r w:rsidRPr="008E0075">
        <w:rPr>
          <w:rFonts w:ascii="Verdana" w:hAnsi="Verdana"/>
          <w:sz w:val="20"/>
          <w:szCs w:val="20"/>
          <w:lang w:val="es-PE"/>
        </w:rPr>
        <w:t>.</w:t>
      </w:r>
    </w:p>
    <w:p w:rsidR="00D325D2" w:rsidRDefault="00D325D2" w:rsidP="00D325D2">
      <w:pPr>
        <w:pStyle w:val="Normal1"/>
        <w:widowControl/>
        <w:contextualSpacing/>
        <w:jc w:val="both"/>
        <w:rPr>
          <w:rFonts w:ascii="Verdana" w:hAnsi="Verdana"/>
          <w:sz w:val="20"/>
          <w:szCs w:val="20"/>
          <w:lang w:val="es-PE"/>
        </w:rPr>
      </w:pPr>
    </w:p>
    <w:p w:rsidR="003A44DD" w:rsidRPr="00D325D2" w:rsidRDefault="00652A97" w:rsidP="00D325D2">
      <w:pPr>
        <w:pStyle w:val="Normal1"/>
        <w:widowControl/>
        <w:contextualSpacing/>
        <w:jc w:val="both"/>
        <w:outlineLvl w:val="1"/>
        <w:rPr>
          <w:rFonts w:ascii="Verdana" w:hAnsi="Verdana"/>
          <w:b/>
          <w:sz w:val="20"/>
          <w:szCs w:val="20"/>
          <w:lang w:val="es-PE"/>
        </w:rPr>
      </w:pPr>
      <w:bookmarkStart w:id="91" w:name="_Toc24538855"/>
      <w:r w:rsidRPr="00D325D2">
        <w:rPr>
          <w:rFonts w:ascii="Verdana" w:hAnsi="Verdana"/>
          <w:b/>
          <w:sz w:val="20"/>
          <w:szCs w:val="20"/>
          <w:lang w:val="es-PE"/>
        </w:rPr>
        <w:t xml:space="preserve">B. </w:t>
      </w:r>
      <w:r w:rsidR="003A44DD" w:rsidRPr="00D325D2">
        <w:rPr>
          <w:rFonts w:ascii="Verdana" w:hAnsi="Verdana"/>
          <w:b/>
          <w:sz w:val="20"/>
          <w:szCs w:val="20"/>
          <w:lang w:val="es-PE"/>
        </w:rPr>
        <w:t>Medidas de satisfacción</w:t>
      </w:r>
      <w:bookmarkEnd w:id="91"/>
      <w:r w:rsidR="003A44DD" w:rsidRPr="00D325D2">
        <w:rPr>
          <w:rFonts w:ascii="Verdana" w:hAnsi="Verdana"/>
          <w:b/>
          <w:sz w:val="20"/>
          <w:szCs w:val="20"/>
          <w:lang w:val="es-PE"/>
        </w:rPr>
        <w:t xml:space="preserve"> </w:t>
      </w:r>
    </w:p>
    <w:p w:rsidR="0033029A" w:rsidRPr="008E0075" w:rsidRDefault="0033029A" w:rsidP="000615D6">
      <w:pPr>
        <w:spacing w:after="0" w:line="240" w:lineRule="auto"/>
        <w:rPr>
          <w:lang w:val="es-PE"/>
        </w:rPr>
      </w:pPr>
    </w:p>
    <w:p w:rsidR="003A44DD" w:rsidRPr="008E0075" w:rsidRDefault="003A44DD" w:rsidP="00FE0342">
      <w:pPr>
        <w:pStyle w:val="Normal1"/>
        <w:widowControl/>
        <w:numPr>
          <w:ilvl w:val="0"/>
          <w:numId w:val="33"/>
        </w:numPr>
        <w:ind w:left="0" w:firstLine="0"/>
        <w:contextualSpacing/>
        <w:jc w:val="both"/>
        <w:rPr>
          <w:rFonts w:ascii="Verdana" w:hAnsi="Verdana"/>
          <w:sz w:val="20"/>
          <w:szCs w:val="20"/>
          <w:lang w:val="es-PE"/>
        </w:rPr>
      </w:pPr>
      <w:r w:rsidRPr="008E0075">
        <w:rPr>
          <w:rFonts w:ascii="Verdana" w:hAnsi="Verdana"/>
          <w:sz w:val="20"/>
          <w:szCs w:val="20"/>
          <w:lang w:val="es-PE"/>
        </w:rPr>
        <w:t xml:space="preserve">Las </w:t>
      </w:r>
      <w:r w:rsidRPr="008E0075">
        <w:rPr>
          <w:rFonts w:ascii="Verdana" w:hAnsi="Verdana"/>
          <w:b/>
          <w:i/>
          <w:sz w:val="20"/>
          <w:szCs w:val="20"/>
          <w:lang w:val="es-PE"/>
        </w:rPr>
        <w:t>representantes</w:t>
      </w:r>
      <w:r w:rsidRPr="008E0075">
        <w:rPr>
          <w:rFonts w:ascii="Verdana" w:hAnsi="Verdana"/>
          <w:sz w:val="20"/>
          <w:szCs w:val="20"/>
          <w:lang w:val="es-PE"/>
        </w:rPr>
        <w:t xml:space="preserve"> solicitaron como medidas de satisfacción, disponer que el Estado realice la publicación del resumen oficial y parte resolutiva de la Sentencia en un periódico de circulación nacional, en idioma español por una única vez. </w:t>
      </w:r>
    </w:p>
    <w:p w:rsidR="0060634E" w:rsidRPr="008E0075" w:rsidRDefault="0060634E" w:rsidP="00FE0342">
      <w:pPr>
        <w:pStyle w:val="Normal1"/>
        <w:widowControl/>
        <w:contextualSpacing/>
        <w:jc w:val="both"/>
        <w:rPr>
          <w:rFonts w:ascii="Verdana" w:hAnsi="Verdana"/>
          <w:sz w:val="20"/>
          <w:szCs w:val="20"/>
          <w:lang w:val="es-PE"/>
        </w:rPr>
      </w:pPr>
    </w:p>
    <w:p w:rsidR="0060634E" w:rsidRPr="008E0075" w:rsidRDefault="003A44DD" w:rsidP="00FE0342">
      <w:pPr>
        <w:pStyle w:val="Prrafodelista"/>
        <w:numPr>
          <w:ilvl w:val="0"/>
          <w:numId w:val="33"/>
        </w:numPr>
        <w:spacing w:after="0" w:line="240" w:lineRule="auto"/>
        <w:ind w:left="0" w:firstLine="0"/>
        <w:jc w:val="both"/>
        <w:rPr>
          <w:rFonts w:ascii="Verdana" w:hAnsi="Verdana"/>
          <w:sz w:val="20"/>
          <w:szCs w:val="20"/>
          <w:lang w:val="es-PE"/>
        </w:rPr>
      </w:pPr>
      <w:r w:rsidRPr="008E0075">
        <w:rPr>
          <w:rFonts w:ascii="Verdana" w:hAnsi="Verdana"/>
          <w:sz w:val="20"/>
          <w:szCs w:val="20"/>
          <w:lang w:val="es-PE"/>
        </w:rPr>
        <w:t xml:space="preserve">Por su parte, el </w:t>
      </w:r>
      <w:r w:rsidRPr="008E0075">
        <w:rPr>
          <w:rFonts w:ascii="Verdana" w:hAnsi="Verdana"/>
          <w:b/>
          <w:i/>
          <w:sz w:val="20"/>
          <w:szCs w:val="20"/>
          <w:lang w:val="es-PE"/>
        </w:rPr>
        <w:t>Estado</w:t>
      </w:r>
      <w:r w:rsidRPr="008E0075">
        <w:rPr>
          <w:rFonts w:ascii="Verdana" w:hAnsi="Verdana"/>
          <w:sz w:val="20"/>
          <w:szCs w:val="20"/>
          <w:lang w:val="es-PE"/>
        </w:rPr>
        <w:t xml:space="preserve"> no se refirió específicamente a </w:t>
      </w:r>
      <w:r w:rsidR="00BF3DCE">
        <w:rPr>
          <w:rFonts w:ascii="Verdana" w:hAnsi="Verdana"/>
          <w:sz w:val="20"/>
          <w:szCs w:val="20"/>
          <w:lang w:val="es-PE"/>
        </w:rPr>
        <w:t>la</w:t>
      </w:r>
      <w:r w:rsidR="0060634E" w:rsidRPr="008E0075">
        <w:rPr>
          <w:rFonts w:ascii="Verdana" w:hAnsi="Verdana"/>
          <w:sz w:val="20"/>
          <w:szCs w:val="20"/>
          <w:lang w:val="es-PE"/>
        </w:rPr>
        <w:t xml:space="preserve"> medida antes mencionada.</w:t>
      </w:r>
    </w:p>
    <w:p w:rsidR="0060634E" w:rsidRPr="008E0075" w:rsidRDefault="0060634E" w:rsidP="00FE0342">
      <w:pPr>
        <w:pStyle w:val="Prrafodelista"/>
        <w:spacing w:after="0" w:line="240" w:lineRule="auto"/>
        <w:ind w:left="0"/>
        <w:rPr>
          <w:lang w:val="es-PE"/>
        </w:rPr>
      </w:pPr>
    </w:p>
    <w:p w:rsidR="00D325D2" w:rsidRDefault="003A44DD" w:rsidP="00652A97">
      <w:pPr>
        <w:pStyle w:val="Prrafodelista"/>
        <w:numPr>
          <w:ilvl w:val="0"/>
          <w:numId w:val="33"/>
        </w:numPr>
        <w:spacing w:after="0" w:line="240" w:lineRule="auto"/>
        <w:ind w:left="0" w:firstLine="0"/>
        <w:jc w:val="both"/>
        <w:rPr>
          <w:rFonts w:ascii="Verdana" w:hAnsi="Verdana"/>
          <w:sz w:val="20"/>
          <w:szCs w:val="20"/>
          <w:lang w:val="es-PE"/>
        </w:rPr>
      </w:pPr>
      <w:r w:rsidRPr="008E0075">
        <w:rPr>
          <w:rFonts w:ascii="Verdana" w:hAnsi="Verdana"/>
          <w:sz w:val="20"/>
          <w:szCs w:val="20"/>
          <w:lang w:val="es-PE"/>
        </w:rPr>
        <w:t>Al respecto, la Corte estima, como lo ha dispuesto en otros casos</w:t>
      </w:r>
      <w:r w:rsidRPr="008E0075">
        <w:rPr>
          <w:rStyle w:val="Refdenotaalpie"/>
          <w:rFonts w:ascii="Verdana" w:hAnsi="Verdana"/>
          <w:sz w:val="20"/>
          <w:szCs w:val="20"/>
          <w:lang w:val="es-PE"/>
        </w:rPr>
        <w:footnoteReference w:id="125"/>
      </w:r>
      <w:r w:rsidRPr="008E0075">
        <w:rPr>
          <w:rFonts w:ascii="Verdana" w:hAnsi="Verdana"/>
          <w:sz w:val="20"/>
          <w:szCs w:val="20"/>
          <w:lang w:val="es-PE"/>
        </w:rPr>
        <w:t xml:space="preserve">, que el Estado deberá publicar, en el plazo de seis meses, contado a partir de la notificación de la presente Sentencia: a) el resumen oficial de esta Sentencia elaborado por la Corte, por una sola vez, en el Diario Oficial en un tamaño de letra legible y adecuado; b) el resumen oficial de la Sentencia elaborado por la Corte, por una sola vez, en un diario de amplia circulación nacional en un tamaño de letra legible y adecuado, y c) la presente sentencia en su integridad, este disponible por un período de un año, en un sitio </w:t>
      </w:r>
      <w:r w:rsidRPr="00003BA4">
        <w:rPr>
          <w:rFonts w:ascii="Verdana" w:hAnsi="Verdana"/>
          <w:i/>
          <w:sz w:val="20"/>
          <w:szCs w:val="20"/>
          <w:lang w:val="es-PE"/>
        </w:rPr>
        <w:t>web</w:t>
      </w:r>
      <w:r w:rsidRPr="008E0075">
        <w:rPr>
          <w:rFonts w:ascii="Verdana" w:hAnsi="Verdana"/>
          <w:sz w:val="20"/>
          <w:szCs w:val="20"/>
          <w:lang w:val="es-PE"/>
        </w:rPr>
        <w:t xml:space="preserve"> oficial, de manera accesible al público. </w:t>
      </w:r>
      <w:r w:rsidRPr="00F706D2">
        <w:rPr>
          <w:rFonts w:ascii="Verdana" w:hAnsi="Verdana"/>
          <w:sz w:val="20"/>
          <w:szCs w:val="20"/>
          <w:lang w:val="es-PE"/>
        </w:rPr>
        <w:t>El Estado deberá comunicar de forma inmediat</w:t>
      </w:r>
      <w:r w:rsidR="00A2651F" w:rsidRPr="00F706D2">
        <w:rPr>
          <w:rFonts w:ascii="Verdana" w:hAnsi="Verdana"/>
          <w:sz w:val="20"/>
          <w:szCs w:val="20"/>
          <w:lang w:val="es-PE"/>
        </w:rPr>
        <w:t>a a l</w:t>
      </w:r>
      <w:r w:rsidRPr="00F706D2">
        <w:rPr>
          <w:rFonts w:ascii="Verdana" w:hAnsi="Verdana"/>
          <w:sz w:val="20"/>
          <w:szCs w:val="20"/>
          <w:lang w:val="es-PE"/>
        </w:rPr>
        <w:t>a Corte una vez que proceda a realizar cada una de las publicaciones dispuestas</w:t>
      </w:r>
      <w:r w:rsidR="00CC3F43">
        <w:rPr>
          <w:rFonts w:ascii="Verdana" w:hAnsi="Verdana"/>
          <w:sz w:val="20"/>
          <w:szCs w:val="20"/>
          <w:lang w:val="es-PE"/>
        </w:rPr>
        <w:t>, independientemente del plazo de un año para presentar su primer informe dispuesto en el punto resolutivo 9 de la presente Sentencia</w:t>
      </w:r>
      <w:r w:rsidRPr="00F706D2">
        <w:rPr>
          <w:rFonts w:ascii="Verdana" w:hAnsi="Verdana"/>
          <w:sz w:val="20"/>
          <w:szCs w:val="20"/>
          <w:lang w:val="es-PE"/>
        </w:rPr>
        <w:t xml:space="preserve">. </w:t>
      </w:r>
    </w:p>
    <w:p w:rsidR="00D325D2" w:rsidRPr="00D325D2" w:rsidRDefault="00D325D2" w:rsidP="00D325D2">
      <w:pPr>
        <w:pStyle w:val="Prrafodelista"/>
        <w:rPr>
          <w:rFonts w:ascii="Verdana" w:hAnsi="Verdana"/>
          <w:sz w:val="20"/>
          <w:szCs w:val="20"/>
          <w:lang w:val="es-PE"/>
        </w:rPr>
      </w:pPr>
    </w:p>
    <w:p w:rsidR="003A44DD" w:rsidRPr="00D325D2" w:rsidRDefault="00D325D2" w:rsidP="00D325D2">
      <w:pPr>
        <w:pStyle w:val="Prrafodelista"/>
        <w:spacing w:after="0" w:line="240" w:lineRule="auto"/>
        <w:ind w:left="0"/>
        <w:jc w:val="both"/>
        <w:outlineLvl w:val="1"/>
        <w:rPr>
          <w:rFonts w:ascii="Verdana" w:hAnsi="Verdana"/>
          <w:b/>
          <w:sz w:val="20"/>
          <w:szCs w:val="20"/>
          <w:lang w:val="es-PE"/>
        </w:rPr>
      </w:pPr>
      <w:bookmarkStart w:id="92" w:name="_Toc24538856"/>
      <w:r w:rsidRPr="00D325D2">
        <w:rPr>
          <w:rFonts w:ascii="Verdana" w:hAnsi="Verdana"/>
          <w:b/>
          <w:sz w:val="20"/>
          <w:szCs w:val="20"/>
          <w:lang w:val="es-PE"/>
        </w:rPr>
        <w:t xml:space="preserve">C. </w:t>
      </w:r>
      <w:r w:rsidR="003A44DD" w:rsidRPr="00D325D2">
        <w:rPr>
          <w:rFonts w:ascii="Verdana" w:hAnsi="Verdana"/>
          <w:b/>
          <w:sz w:val="20"/>
          <w:szCs w:val="20"/>
          <w:lang w:val="es-PE"/>
        </w:rPr>
        <w:t>Otras medidas solicitadas</w:t>
      </w:r>
      <w:bookmarkEnd w:id="92"/>
      <w:r w:rsidR="003A44DD" w:rsidRPr="00D325D2">
        <w:rPr>
          <w:rFonts w:ascii="Verdana" w:hAnsi="Verdana"/>
          <w:b/>
          <w:sz w:val="20"/>
          <w:szCs w:val="20"/>
          <w:lang w:val="es-PE"/>
        </w:rPr>
        <w:t xml:space="preserve"> </w:t>
      </w:r>
    </w:p>
    <w:p w:rsidR="0060634E" w:rsidRPr="008E0075" w:rsidRDefault="0060634E" w:rsidP="000615D6">
      <w:pPr>
        <w:spacing w:after="0" w:line="240" w:lineRule="auto"/>
        <w:rPr>
          <w:lang w:val="es-PE"/>
        </w:rPr>
      </w:pPr>
    </w:p>
    <w:p w:rsidR="003A44DD" w:rsidRPr="008E0075" w:rsidRDefault="003A44DD" w:rsidP="00FE0342">
      <w:pPr>
        <w:pStyle w:val="Prrafodelista"/>
        <w:numPr>
          <w:ilvl w:val="0"/>
          <w:numId w:val="33"/>
        </w:numPr>
        <w:spacing w:after="0" w:line="240" w:lineRule="auto"/>
        <w:ind w:left="0" w:firstLine="0"/>
        <w:jc w:val="both"/>
        <w:rPr>
          <w:rFonts w:ascii="Verdana" w:hAnsi="Verdana"/>
          <w:sz w:val="20"/>
          <w:szCs w:val="20"/>
          <w:lang w:val="es-PE"/>
        </w:rPr>
      </w:pPr>
      <w:r w:rsidRPr="008E0075">
        <w:rPr>
          <w:rFonts w:ascii="Verdana" w:hAnsi="Verdana"/>
          <w:sz w:val="20"/>
          <w:szCs w:val="20"/>
          <w:lang w:val="es-PE"/>
        </w:rPr>
        <w:t xml:space="preserve">Las </w:t>
      </w:r>
      <w:r w:rsidRPr="008E0075">
        <w:rPr>
          <w:rFonts w:ascii="Verdana" w:hAnsi="Verdana"/>
          <w:b/>
          <w:i/>
          <w:sz w:val="20"/>
          <w:szCs w:val="20"/>
          <w:lang w:val="es-PE"/>
        </w:rPr>
        <w:t>representantes</w:t>
      </w:r>
      <w:r w:rsidRPr="008E0075">
        <w:rPr>
          <w:rFonts w:ascii="Verdana" w:hAnsi="Verdana"/>
          <w:sz w:val="20"/>
          <w:szCs w:val="20"/>
          <w:lang w:val="es-PE"/>
        </w:rPr>
        <w:t xml:space="preserve"> además solicitaron que la Corte ordene a Guatemala las siguientes medidas:</w:t>
      </w:r>
    </w:p>
    <w:p w:rsidR="008314F8" w:rsidRPr="008E0075" w:rsidRDefault="008314F8" w:rsidP="000615D6">
      <w:pPr>
        <w:pStyle w:val="Prrafodelista"/>
        <w:tabs>
          <w:tab w:val="left" w:pos="0"/>
        </w:tabs>
        <w:spacing w:after="0" w:line="240" w:lineRule="auto"/>
        <w:ind w:left="0"/>
        <w:jc w:val="both"/>
        <w:rPr>
          <w:rFonts w:ascii="Verdana" w:hAnsi="Verdana"/>
          <w:sz w:val="20"/>
          <w:szCs w:val="20"/>
          <w:lang w:val="es-PE"/>
        </w:rPr>
      </w:pPr>
    </w:p>
    <w:p w:rsidR="003A44DD" w:rsidRDefault="003A44DD" w:rsidP="000615D6">
      <w:pPr>
        <w:spacing w:after="0" w:line="240" w:lineRule="auto"/>
        <w:ind w:left="720"/>
        <w:jc w:val="both"/>
        <w:rPr>
          <w:rFonts w:ascii="Verdana" w:hAnsi="Verdana"/>
          <w:b/>
          <w:sz w:val="16"/>
          <w:szCs w:val="16"/>
          <w:lang w:val="es-PE"/>
        </w:rPr>
      </w:pPr>
      <w:r w:rsidRPr="008E0075">
        <w:rPr>
          <w:rFonts w:ascii="Verdana" w:hAnsi="Verdana"/>
          <w:sz w:val="20"/>
          <w:szCs w:val="20"/>
          <w:lang w:val="es-PE"/>
        </w:rPr>
        <w:t xml:space="preserve">a) medidas de satisfacción: i) acto público de reconocimiento de responsabilidad internacional en Aldea Pinula, Municipio Tiquisate, del Departamento de Escuintla, República de Guatemala, debiendo participar en el mismo los familiares del señor Pedro Castillo Mendoza, presunta víctima directa fallecida. Este acto deberá llevarse a cabo en un plazo de un año a partir de la notificación de la sentencia que habrá de producirse; ii) acto público de reconocimiento de responsabilidad internacional en el </w:t>
      </w:r>
      <w:r w:rsidRPr="008E0075">
        <w:rPr>
          <w:rFonts w:ascii="Verdana" w:hAnsi="Verdana"/>
          <w:sz w:val="20"/>
          <w:szCs w:val="20"/>
          <w:lang w:val="es-PE"/>
        </w:rPr>
        <w:lastRenderedPageBreak/>
        <w:t xml:space="preserve">lugar que determinen los familiares del señor Roberto Girón, no identificados hasta el momento, solo se tiene </w:t>
      </w:r>
      <w:r w:rsidR="00D94DED">
        <w:rPr>
          <w:rFonts w:ascii="Verdana" w:hAnsi="Verdana"/>
          <w:sz w:val="20"/>
          <w:szCs w:val="20"/>
          <w:lang w:val="es-PE"/>
        </w:rPr>
        <w:t>los</w:t>
      </w:r>
      <w:r w:rsidRPr="008E0075">
        <w:rPr>
          <w:rFonts w:ascii="Verdana" w:hAnsi="Verdana"/>
          <w:sz w:val="20"/>
          <w:szCs w:val="20"/>
          <w:lang w:val="es-PE"/>
        </w:rPr>
        <w:t xml:space="preserve"> nombres </w:t>
      </w:r>
      <w:r w:rsidR="00D94DED">
        <w:rPr>
          <w:rFonts w:ascii="Verdana" w:hAnsi="Verdana"/>
          <w:sz w:val="20"/>
          <w:szCs w:val="20"/>
          <w:lang w:val="es-PE"/>
        </w:rPr>
        <w:t>de</w:t>
      </w:r>
      <w:r w:rsidRPr="008E0075">
        <w:rPr>
          <w:rFonts w:ascii="Verdana" w:hAnsi="Verdana"/>
          <w:sz w:val="20"/>
          <w:szCs w:val="20"/>
          <w:lang w:val="es-PE"/>
        </w:rPr>
        <w:t xml:space="preserve"> sus </w:t>
      </w:r>
      <w:r w:rsidR="00D94DED">
        <w:rPr>
          <w:rFonts w:ascii="Verdana" w:hAnsi="Verdana"/>
          <w:sz w:val="20"/>
          <w:szCs w:val="20"/>
          <w:lang w:val="es-PE"/>
        </w:rPr>
        <w:t xml:space="preserve">dos </w:t>
      </w:r>
      <w:r w:rsidRPr="008E0075">
        <w:rPr>
          <w:rFonts w:ascii="Verdana" w:hAnsi="Verdana"/>
          <w:sz w:val="20"/>
          <w:szCs w:val="20"/>
          <w:lang w:val="es-PE"/>
        </w:rPr>
        <w:t xml:space="preserve">hijos, debiendo participar en los mismos, en caso de ser localizados por el Estado. </w:t>
      </w:r>
      <w:r w:rsidRPr="00FF4873">
        <w:rPr>
          <w:rFonts w:ascii="Verdana" w:hAnsi="Verdana"/>
          <w:sz w:val="20"/>
          <w:szCs w:val="20"/>
          <w:lang w:val="es-PE"/>
        </w:rPr>
        <w:t>Este acto deberá llevarse a cabo en un plazo de diez años,</w:t>
      </w:r>
      <w:r w:rsidRPr="008E0075">
        <w:rPr>
          <w:rFonts w:ascii="Verdana" w:hAnsi="Verdana"/>
          <w:sz w:val="20"/>
          <w:szCs w:val="20"/>
          <w:lang w:val="es-PE"/>
        </w:rPr>
        <w:t xml:space="preserve"> a partir de la notificación de la sentencia que habrá de producirse; iii) difusión radiofónica del resumen oficial y parte resolutiva de la Sentencia, en una emisora radial de amplia cobertura, en idioma español por una única vez, y iv) ofrecimiento de disculpas públicas a los familiares de los señores Roberto Girón y Pedro Castillo Mendoza, por l</w:t>
      </w:r>
      <w:r w:rsidR="008B44A5">
        <w:rPr>
          <w:rFonts w:ascii="Verdana" w:hAnsi="Verdana"/>
          <w:sz w:val="20"/>
          <w:szCs w:val="20"/>
          <w:lang w:val="es-PE"/>
        </w:rPr>
        <w:t>as violaciones sufridas directa</w:t>
      </w:r>
      <w:r w:rsidRPr="008E0075">
        <w:rPr>
          <w:rFonts w:ascii="Verdana" w:hAnsi="Verdana"/>
          <w:sz w:val="20"/>
          <w:szCs w:val="20"/>
          <w:lang w:val="es-PE"/>
        </w:rPr>
        <w:t xml:space="preserve"> e indirectamente. </w:t>
      </w:r>
    </w:p>
    <w:p w:rsidR="009508D7" w:rsidRPr="008E0075" w:rsidRDefault="009508D7" w:rsidP="008B44A5">
      <w:pPr>
        <w:spacing w:after="0" w:line="240" w:lineRule="auto"/>
        <w:jc w:val="both"/>
        <w:rPr>
          <w:rFonts w:ascii="Verdana" w:hAnsi="Verdana"/>
          <w:sz w:val="20"/>
          <w:szCs w:val="20"/>
          <w:lang w:val="es-PE"/>
        </w:rPr>
      </w:pPr>
    </w:p>
    <w:p w:rsidR="003A44DD" w:rsidRDefault="003A44DD" w:rsidP="000615D6">
      <w:pPr>
        <w:spacing w:after="0" w:line="240" w:lineRule="auto"/>
        <w:ind w:left="720"/>
        <w:jc w:val="both"/>
        <w:rPr>
          <w:rFonts w:ascii="Verdana" w:hAnsi="Verdana"/>
          <w:sz w:val="20"/>
          <w:szCs w:val="20"/>
          <w:lang w:val="es-PE"/>
        </w:rPr>
      </w:pPr>
      <w:r w:rsidRPr="008E0075">
        <w:rPr>
          <w:rFonts w:ascii="Verdana" w:hAnsi="Verdana"/>
          <w:sz w:val="20"/>
          <w:szCs w:val="20"/>
          <w:lang w:val="es-PE"/>
        </w:rPr>
        <w:t>b) medidas de rehabilitación: i) en atención a los menoscabos inmateriales sufridos</w:t>
      </w:r>
      <w:r w:rsidR="008B44A5">
        <w:rPr>
          <w:rFonts w:ascii="Verdana" w:hAnsi="Verdana"/>
          <w:sz w:val="20"/>
          <w:szCs w:val="20"/>
          <w:lang w:val="es-PE"/>
        </w:rPr>
        <w:t xml:space="preserve"> por los familiares de</w:t>
      </w:r>
      <w:r w:rsidRPr="008E0075">
        <w:rPr>
          <w:rFonts w:ascii="Verdana" w:hAnsi="Verdana"/>
          <w:sz w:val="20"/>
          <w:szCs w:val="20"/>
          <w:lang w:val="es-PE"/>
        </w:rPr>
        <w:t xml:space="preserve"> las presuntas víctimas, deviene necesario que, con su consentimiento, se otorgue un tratamiento médico y psicológico en centros especializados, sin costo adicional y de manera gratuita, y ii) implementar e incluir en un programa habitacional del Estado, mediante el cual provea de vivienda adecuada, sin gasto adicional y de manera gratuita, a la señora Dora Alicia Castillo Mendoza, hermana del señor Pedro Castillo Mendoza, para </w:t>
      </w:r>
      <w:r w:rsidR="009508D7">
        <w:rPr>
          <w:rFonts w:ascii="Verdana" w:hAnsi="Verdana"/>
          <w:sz w:val="20"/>
          <w:szCs w:val="20"/>
          <w:lang w:val="es-PE"/>
        </w:rPr>
        <w:t>que pueda vivir con dignidad, y</w:t>
      </w:r>
    </w:p>
    <w:p w:rsidR="009508D7" w:rsidRPr="008E0075" w:rsidRDefault="009508D7" w:rsidP="000615D6">
      <w:pPr>
        <w:spacing w:after="0" w:line="240" w:lineRule="auto"/>
        <w:ind w:left="720"/>
        <w:jc w:val="both"/>
        <w:rPr>
          <w:rFonts w:ascii="Verdana" w:hAnsi="Verdana"/>
          <w:sz w:val="20"/>
          <w:szCs w:val="20"/>
          <w:lang w:val="es-PE"/>
        </w:rPr>
      </w:pPr>
    </w:p>
    <w:p w:rsidR="003A44DD" w:rsidRDefault="003A44DD" w:rsidP="000615D6">
      <w:pPr>
        <w:spacing w:after="0" w:line="240" w:lineRule="auto"/>
        <w:ind w:left="720"/>
        <w:jc w:val="both"/>
        <w:rPr>
          <w:rFonts w:ascii="Verdana" w:hAnsi="Verdana"/>
          <w:b/>
          <w:sz w:val="16"/>
          <w:szCs w:val="16"/>
          <w:lang w:val="es-PE"/>
        </w:rPr>
      </w:pPr>
      <w:r w:rsidRPr="008E0075">
        <w:rPr>
          <w:rFonts w:ascii="Verdana" w:hAnsi="Verdana"/>
          <w:sz w:val="20"/>
          <w:szCs w:val="20"/>
          <w:lang w:val="es-PE"/>
        </w:rPr>
        <w:t>c) medidas de no repetición: i) “adec[uar] de la normativa Constitucional, del Código Penal y Código Militar con las jurisprudencias de la Corte de Constitucionalidad, referente a la inconstitucionalidad del elemento de peligrosidad para justificar la imposición de la pena de muerte, en dicha legislación; ii) adecuar la normativa interna c</w:t>
      </w:r>
      <w:r w:rsidR="00003BA4">
        <w:rPr>
          <w:rFonts w:ascii="Verdana" w:hAnsi="Verdana"/>
          <w:sz w:val="20"/>
          <w:szCs w:val="20"/>
          <w:lang w:val="es-PE"/>
        </w:rPr>
        <w:t>on la jurisprudencia de la Corte</w:t>
      </w:r>
      <w:r w:rsidRPr="008E0075">
        <w:rPr>
          <w:rFonts w:ascii="Verdana" w:hAnsi="Verdana"/>
          <w:sz w:val="20"/>
          <w:szCs w:val="20"/>
          <w:lang w:val="es-PE"/>
        </w:rPr>
        <w:t xml:space="preserve"> Constitucional, y a través del Congreso, proceda a abolir la pena de muerte;  iii) adecuar de la legislación interna a los estándares mínimos de la Convención Americana, en cuanto a que ordene que el Congreso de la República de Guatemala adecue la legislación Constitucional, Penal y Justicia Militar, conforme a la jurisprudencia de su Corte de Constitucionalidad, consignadas en los Expedientes 5986-2016, de fecha 24 de octubre de 2017, y en consecuencia, derogue normativamente la pena de muerte, en virtud del artículo 18 de la Constitución, y por aplicación de los instrumentos internacionales de derechos humanos relacionados con el tema; vi) adecue su derecho interno a la Convención, a fin de garantizar el respeto y ejercicio pleno de los derechos que en ella se consagran, especialmente el de garantías judiciales y protección judicial, dentro de la esfera del derecho al debido proceso, dentro del marco del ejercicio de una defensa material y técnica oportuna y eficaz, dotada de los medios y herramientas necesarios, ya que aun cuando fue creado el Instituto de Defensa Pública Penal, este fue posterior a los hechos descritos en este caso, el mismo también debe poder brindar un servicio de defensa público adecuado, y v) reforme el artículo 175 del Código Penal, a fin de que su interpretación no sea contraria al artículo 4 de la Convención. </w:t>
      </w:r>
    </w:p>
    <w:p w:rsidR="009508D7" w:rsidRPr="008E0075" w:rsidRDefault="009508D7" w:rsidP="000615D6">
      <w:pPr>
        <w:spacing w:after="0" w:line="240" w:lineRule="auto"/>
        <w:ind w:left="720"/>
        <w:jc w:val="both"/>
        <w:rPr>
          <w:rFonts w:ascii="Verdana" w:hAnsi="Verdana"/>
          <w:sz w:val="20"/>
          <w:szCs w:val="20"/>
          <w:lang w:val="es-PE"/>
        </w:rPr>
      </w:pPr>
    </w:p>
    <w:p w:rsidR="009508D7" w:rsidRPr="009508D7" w:rsidRDefault="003A44DD" w:rsidP="00FE0342">
      <w:pPr>
        <w:pStyle w:val="Prrafodelista"/>
        <w:numPr>
          <w:ilvl w:val="0"/>
          <w:numId w:val="33"/>
        </w:numPr>
        <w:spacing w:after="0" w:line="240" w:lineRule="auto"/>
        <w:ind w:left="0" w:firstLine="0"/>
        <w:jc w:val="both"/>
        <w:rPr>
          <w:rFonts w:ascii="Verdana" w:hAnsi="Verdana"/>
          <w:sz w:val="20"/>
          <w:szCs w:val="20"/>
          <w:lang w:val="es-PE"/>
        </w:rPr>
      </w:pPr>
      <w:r w:rsidRPr="008E0075">
        <w:rPr>
          <w:rFonts w:ascii="Verdana" w:hAnsi="Verdana"/>
          <w:sz w:val="20"/>
          <w:szCs w:val="20"/>
          <w:lang w:val="es-PE"/>
        </w:rPr>
        <w:t xml:space="preserve">Por su parte, el </w:t>
      </w:r>
      <w:r w:rsidRPr="008E0075">
        <w:rPr>
          <w:rFonts w:ascii="Verdana" w:hAnsi="Verdana"/>
          <w:b/>
          <w:i/>
          <w:sz w:val="20"/>
          <w:szCs w:val="20"/>
          <w:lang w:val="es-PE"/>
        </w:rPr>
        <w:t>Estado</w:t>
      </w:r>
      <w:r w:rsidR="008314F8" w:rsidRPr="008E0075">
        <w:rPr>
          <w:rFonts w:ascii="Verdana" w:hAnsi="Verdana"/>
          <w:sz w:val="20"/>
          <w:szCs w:val="20"/>
          <w:lang w:val="es-PE"/>
        </w:rPr>
        <w:t xml:space="preserve"> </w:t>
      </w:r>
      <w:r w:rsidRPr="008E0075">
        <w:rPr>
          <w:rFonts w:ascii="Verdana" w:hAnsi="Verdana"/>
          <w:sz w:val="20"/>
          <w:szCs w:val="20"/>
          <w:lang w:val="es-PE"/>
        </w:rPr>
        <w:t xml:space="preserve">solicitó a la Corte declarar inadmisible las peticiones de reparación planteadas por la Comisión, en su Informe de Admisibilidad y Fondo, y en el caso de las defensoras públicas en el escrito de solicitudes y argumentos. </w:t>
      </w:r>
    </w:p>
    <w:p w:rsidR="009508D7" w:rsidRDefault="009508D7" w:rsidP="00FE0342">
      <w:pPr>
        <w:pStyle w:val="Prrafodelista"/>
        <w:spacing w:after="0" w:line="240" w:lineRule="auto"/>
        <w:ind w:left="0"/>
        <w:jc w:val="both"/>
        <w:rPr>
          <w:rFonts w:ascii="Verdana" w:hAnsi="Verdana"/>
          <w:sz w:val="20"/>
          <w:szCs w:val="20"/>
          <w:lang w:val="es-PE"/>
        </w:rPr>
      </w:pPr>
    </w:p>
    <w:p w:rsidR="009508D7" w:rsidRDefault="003A44DD" w:rsidP="00FE0342">
      <w:pPr>
        <w:pStyle w:val="Prrafodelista"/>
        <w:numPr>
          <w:ilvl w:val="0"/>
          <w:numId w:val="33"/>
        </w:numPr>
        <w:spacing w:after="0" w:line="240" w:lineRule="auto"/>
        <w:ind w:left="0" w:firstLine="0"/>
        <w:jc w:val="both"/>
        <w:rPr>
          <w:rFonts w:ascii="Verdana" w:hAnsi="Verdana"/>
          <w:sz w:val="20"/>
          <w:szCs w:val="20"/>
          <w:lang w:val="es-PE"/>
        </w:rPr>
      </w:pPr>
      <w:r w:rsidRPr="009508D7">
        <w:rPr>
          <w:rFonts w:ascii="Verdana" w:hAnsi="Verdana"/>
          <w:sz w:val="20"/>
          <w:szCs w:val="20"/>
          <w:lang w:val="es-PE"/>
        </w:rPr>
        <w:t>En cuanto a las referidas medidas de reparación solicitadas, la Corte nota que algunas de ellas no tienen un nexo causal con las violaciones declaradas en la presente sentencia, como las medidas de rehabilitación solicitadas, debido a que no guarda relación con</w:t>
      </w:r>
      <w:r w:rsidR="000F1463" w:rsidRPr="009508D7">
        <w:rPr>
          <w:rFonts w:ascii="Verdana" w:hAnsi="Verdana"/>
          <w:sz w:val="20"/>
          <w:szCs w:val="20"/>
          <w:lang w:val="es-PE"/>
        </w:rPr>
        <w:t xml:space="preserve"> las víctimas directas del caso,</w:t>
      </w:r>
      <w:r w:rsidRPr="009508D7">
        <w:rPr>
          <w:rFonts w:ascii="Verdana" w:hAnsi="Verdana"/>
          <w:sz w:val="20"/>
          <w:szCs w:val="20"/>
          <w:lang w:val="es-PE"/>
        </w:rPr>
        <w:t xml:space="preserve"> por lo que considera que la emisión de la presente Sentencia y las reparaciones ordenadas en este Capítulo resultan suficientes y adecuadas para remediar las violaciones sufridas por las víctimas y no estima necesar</w:t>
      </w:r>
      <w:r w:rsidR="0060634E" w:rsidRPr="009508D7">
        <w:rPr>
          <w:rFonts w:ascii="Verdana" w:hAnsi="Verdana"/>
          <w:sz w:val="20"/>
          <w:szCs w:val="20"/>
          <w:lang w:val="es-PE"/>
        </w:rPr>
        <w:t>io ordenar medidas adicionales.</w:t>
      </w:r>
    </w:p>
    <w:p w:rsidR="009508D7" w:rsidRDefault="009508D7" w:rsidP="00FE0342">
      <w:pPr>
        <w:pStyle w:val="Prrafodelista"/>
        <w:spacing w:after="0" w:line="240" w:lineRule="auto"/>
        <w:ind w:left="0"/>
        <w:jc w:val="both"/>
        <w:rPr>
          <w:rFonts w:ascii="Verdana" w:hAnsi="Verdana"/>
          <w:sz w:val="20"/>
          <w:szCs w:val="20"/>
          <w:lang w:val="es-PE"/>
        </w:rPr>
      </w:pPr>
    </w:p>
    <w:p w:rsidR="009508D7" w:rsidRDefault="003A44DD" w:rsidP="00FE0342">
      <w:pPr>
        <w:pStyle w:val="Prrafodelista"/>
        <w:numPr>
          <w:ilvl w:val="0"/>
          <w:numId w:val="33"/>
        </w:numPr>
        <w:spacing w:after="0" w:line="240" w:lineRule="auto"/>
        <w:ind w:left="0" w:firstLine="0"/>
        <w:jc w:val="both"/>
        <w:rPr>
          <w:rFonts w:ascii="Verdana" w:hAnsi="Verdana"/>
          <w:sz w:val="20"/>
          <w:szCs w:val="20"/>
          <w:lang w:val="es-PE"/>
        </w:rPr>
      </w:pPr>
      <w:r w:rsidRPr="009508D7">
        <w:rPr>
          <w:rFonts w:ascii="Verdana" w:hAnsi="Verdana"/>
          <w:sz w:val="20"/>
          <w:szCs w:val="20"/>
          <w:lang w:val="es-PE"/>
        </w:rPr>
        <w:lastRenderedPageBreak/>
        <w:t>En lo referido por las representantes, respecto a la inconstitucionalidad del elemento de peligrosidad</w:t>
      </w:r>
      <w:r w:rsidRPr="008E0075">
        <w:rPr>
          <w:rStyle w:val="Refdenotaalpie"/>
          <w:rFonts w:ascii="Verdana" w:hAnsi="Verdana"/>
          <w:sz w:val="20"/>
          <w:szCs w:val="20"/>
          <w:lang w:val="es-PE"/>
        </w:rPr>
        <w:footnoteReference w:id="126"/>
      </w:r>
      <w:r w:rsidRPr="009508D7">
        <w:rPr>
          <w:rFonts w:ascii="Verdana" w:hAnsi="Verdana"/>
          <w:sz w:val="20"/>
          <w:szCs w:val="20"/>
          <w:lang w:val="es-PE"/>
        </w:rPr>
        <w:t xml:space="preserve">, si bien es cierto en el presente caso no se ha analizado dicho tema, esta Corte ha determinado en la Resolución de supervisión de cumplimiento de 6 de febrero de 2019 en el caso </w:t>
      </w:r>
      <w:r w:rsidRPr="009508D7">
        <w:rPr>
          <w:rFonts w:ascii="Verdana" w:hAnsi="Verdana"/>
          <w:i/>
          <w:sz w:val="20"/>
          <w:szCs w:val="20"/>
          <w:lang w:val="es-PE"/>
        </w:rPr>
        <w:t>Fermín Ramírez Vs. Guatemala</w:t>
      </w:r>
      <w:r w:rsidRPr="009508D7">
        <w:rPr>
          <w:rFonts w:ascii="Verdana" w:hAnsi="Verdana"/>
          <w:sz w:val="20"/>
          <w:szCs w:val="20"/>
          <w:lang w:val="es-PE"/>
        </w:rPr>
        <w:t>, que la Corte de Constitucionalidad de Guatemala ha declarado inconstitucional la penúltima parte del artículo 132 del Código Penal, como consecuencia de este pronunciamiento la peligrosidad del agente como criterio para aplicar la pena de muerte dejó de surtir efectos a partir del día siguiente de la publicación de la sentencia de control constitucional. Por lo que la Corte Interamericana concluyó que el Estado ha dado cumplimiento total a la reparación relativa a “abstenerse de aplicar la parte del artículo 132 del Código Penal de Guatemala que se refiere a la peligrosidad del agente, y modificar dicha disposición dentro de un plazo razonable, adecuándola a la Convención Americana, conforme a lo estipulado en su artículo 2, de manera que se garantice el respeto al principio de legalidad, consagrado en el artículo 9 del mismo instrumento internacional”, ordenada en el punto resolutivo octavo de la Sentencia</w:t>
      </w:r>
      <w:r w:rsidRPr="008E0075">
        <w:rPr>
          <w:rStyle w:val="Refdenotaalpie"/>
          <w:rFonts w:ascii="Verdana" w:hAnsi="Verdana"/>
          <w:sz w:val="20"/>
          <w:szCs w:val="20"/>
          <w:lang w:val="es-PE"/>
        </w:rPr>
        <w:footnoteReference w:id="127"/>
      </w:r>
      <w:r w:rsidRPr="009508D7">
        <w:rPr>
          <w:rFonts w:ascii="Verdana" w:hAnsi="Verdana"/>
          <w:sz w:val="20"/>
          <w:szCs w:val="20"/>
          <w:lang w:val="es-PE"/>
        </w:rPr>
        <w:t xml:space="preserve">. </w:t>
      </w:r>
    </w:p>
    <w:p w:rsidR="009508D7" w:rsidRDefault="009508D7" w:rsidP="00FE0342">
      <w:pPr>
        <w:pStyle w:val="Prrafodelista"/>
        <w:spacing w:after="0" w:line="240" w:lineRule="auto"/>
        <w:ind w:left="0"/>
        <w:jc w:val="both"/>
        <w:rPr>
          <w:rFonts w:ascii="Verdana" w:hAnsi="Verdana"/>
          <w:sz w:val="20"/>
          <w:szCs w:val="20"/>
          <w:lang w:val="es-PE"/>
        </w:rPr>
      </w:pPr>
    </w:p>
    <w:p w:rsidR="009508D7" w:rsidRDefault="008314F8" w:rsidP="00FE0342">
      <w:pPr>
        <w:pStyle w:val="Prrafodelista"/>
        <w:numPr>
          <w:ilvl w:val="0"/>
          <w:numId w:val="33"/>
        </w:numPr>
        <w:spacing w:after="0" w:line="240" w:lineRule="auto"/>
        <w:ind w:left="0" w:firstLine="0"/>
        <w:jc w:val="both"/>
        <w:rPr>
          <w:rFonts w:ascii="Verdana" w:hAnsi="Verdana"/>
          <w:sz w:val="20"/>
          <w:szCs w:val="20"/>
          <w:lang w:val="es-PE"/>
        </w:rPr>
      </w:pPr>
      <w:r w:rsidRPr="009508D7">
        <w:rPr>
          <w:rFonts w:ascii="Verdana" w:hAnsi="Verdana"/>
          <w:sz w:val="20"/>
          <w:szCs w:val="20"/>
          <w:lang w:val="es-PE"/>
        </w:rPr>
        <w:t xml:space="preserve">También, en la mencionada </w:t>
      </w:r>
      <w:r w:rsidR="003A44DD" w:rsidRPr="009508D7">
        <w:rPr>
          <w:rFonts w:ascii="Verdana" w:hAnsi="Verdana"/>
          <w:sz w:val="20"/>
          <w:szCs w:val="20"/>
          <w:lang w:val="es-PE"/>
        </w:rPr>
        <w:t>Resolución de 6 de febrero de 2019 este Tribunal señaló que no hay personas condenadas a la pena de muerte, y que la misma no se ha aplicado desde el año 2002. Además ha tomado nota de la suspensión general a la aplicación de dicha pena, vinculada con el cumplimiento de la medida de reparación relacionada al deber de regular el indulto en la jurisdicción guatemalteca</w:t>
      </w:r>
      <w:r w:rsidR="003A44DD" w:rsidRPr="008E0075">
        <w:rPr>
          <w:rStyle w:val="Refdenotaalpie"/>
          <w:rFonts w:ascii="Verdana" w:hAnsi="Verdana"/>
          <w:sz w:val="20"/>
          <w:szCs w:val="20"/>
          <w:lang w:val="es-PE"/>
        </w:rPr>
        <w:footnoteReference w:id="128"/>
      </w:r>
      <w:r w:rsidR="003A44DD" w:rsidRPr="009508D7">
        <w:rPr>
          <w:rFonts w:ascii="Verdana" w:hAnsi="Verdana"/>
          <w:sz w:val="20"/>
          <w:szCs w:val="20"/>
          <w:lang w:val="es-PE"/>
        </w:rPr>
        <w:t>.</w:t>
      </w:r>
    </w:p>
    <w:p w:rsidR="009508D7" w:rsidRDefault="009508D7" w:rsidP="00FE0342">
      <w:pPr>
        <w:pStyle w:val="Prrafodelista"/>
        <w:spacing w:after="0" w:line="240" w:lineRule="auto"/>
        <w:ind w:left="0"/>
        <w:jc w:val="both"/>
        <w:rPr>
          <w:rFonts w:ascii="Verdana" w:hAnsi="Verdana"/>
          <w:sz w:val="20"/>
          <w:szCs w:val="20"/>
          <w:lang w:val="es-PE"/>
        </w:rPr>
      </w:pPr>
    </w:p>
    <w:p w:rsidR="009508D7" w:rsidRDefault="000F1463" w:rsidP="00FE0342">
      <w:pPr>
        <w:pStyle w:val="Prrafodelista"/>
        <w:numPr>
          <w:ilvl w:val="0"/>
          <w:numId w:val="33"/>
        </w:numPr>
        <w:spacing w:after="0" w:line="240" w:lineRule="auto"/>
        <w:ind w:left="0" w:firstLine="0"/>
        <w:jc w:val="both"/>
        <w:rPr>
          <w:rFonts w:ascii="Verdana" w:hAnsi="Verdana"/>
          <w:sz w:val="20"/>
          <w:szCs w:val="20"/>
          <w:lang w:val="es-PE"/>
        </w:rPr>
      </w:pPr>
      <w:r w:rsidRPr="009508D7">
        <w:rPr>
          <w:rFonts w:ascii="Verdana" w:hAnsi="Verdana"/>
          <w:sz w:val="20"/>
          <w:szCs w:val="20"/>
          <w:lang w:val="es-PE"/>
        </w:rPr>
        <w:t xml:space="preserve">Además, en </w:t>
      </w:r>
      <w:r w:rsidR="008314F8" w:rsidRPr="009508D7">
        <w:rPr>
          <w:rFonts w:ascii="Verdana" w:hAnsi="Verdana"/>
          <w:sz w:val="20"/>
          <w:szCs w:val="20"/>
          <w:lang w:val="es-PE"/>
        </w:rPr>
        <w:t xml:space="preserve">cuanto </w:t>
      </w:r>
      <w:r w:rsidRPr="009508D7">
        <w:rPr>
          <w:rFonts w:ascii="Verdana" w:hAnsi="Verdana"/>
          <w:sz w:val="20"/>
          <w:szCs w:val="20"/>
          <w:lang w:val="es-PE"/>
        </w:rPr>
        <w:t xml:space="preserve">al pedido de las representantes de que se reforme el artículo 175 del Código Penal, </w:t>
      </w:r>
      <w:r w:rsidR="008B44A5">
        <w:rPr>
          <w:rFonts w:ascii="Verdana" w:hAnsi="Verdana"/>
          <w:sz w:val="20"/>
          <w:szCs w:val="20"/>
          <w:lang w:val="es-PE"/>
        </w:rPr>
        <w:t>r</w:t>
      </w:r>
      <w:r w:rsidRPr="009508D7">
        <w:rPr>
          <w:rFonts w:ascii="Verdana" w:hAnsi="Verdana"/>
          <w:sz w:val="20"/>
          <w:szCs w:val="20"/>
          <w:lang w:val="es-PE"/>
        </w:rPr>
        <w:t>especto a una de las medidas de no repetición solicitadas, cabe señalar que el referido artículo ha sido derogado por el Decreto  No. 09-2009</w:t>
      </w:r>
      <w:r w:rsidR="000D227B">
        <w:rPr>
          <w:rFonts w:ascii="Verdana" w:hAnsi="Verdana"/>
          <w:sz w:val="20"/>
          <w:szCs w:val="20"/>
          <w:lang w:val="es-PE"/>
        </w:rPr>
        <w:t xml:space="preserve"> (</w:t>
      </w:r>
      <w:r w:rsidR="000D227B" w:rsidRPr="00D82E23">
        <w:rPr>
          <w:rFonts w:ascii="Verdana" w:hAnsi="Verdana"/>
          <w:i/>
          <w:sz w:val="20"/>
          <w:szCs w:val="20"/>
          <w:lang w:val="es-PE"/>
        </w:rPr>
        <w:t>supra</w:t>
      </w:r>
      <w:r w:rsidR="0083680F">
        <w:rPr>
          <w:rFonts w:ascii="Verdana" w:hAnsi="Verdana"/>
          <w:sz w:val="20"/>
          <w:szCs w:val="20"/>
          <w:lang w:val="es-PE"/>
        </w:rPr>
        <w:t xml:space="preserve"> párr. 35</w:t>
      </w:r>
      <w:r w:rsidR="000D227B">
        <w:rPr>
          <w:rFonts w:ascii="Verdana" w:hAnsi="Verdana"/>
          <w:sz w:val="20"/>
          <w:szCs w:val="20"/>
          <w:lang w:val="es-PE"/>
        </w:rPr>
        <w:t>)</w:t>
      </w:r>
      <w:r w:rsidRPr="009508D7">
        <w:rPr>
          <w:rFonts w:ascii="Verdana" w:hAnsi="Verdana"/>
          <w:sz w:val="20"/>
          <w:szCs w:val="20"/>
          <w:lang w:val="es-PE"/>
        </w:rPr>
        <w:t xml:space="preserve"> de la Ley Contra la Violencia Sexual, Explotación y Trata de Personas</w:t>
      </w:r>
      <w:r w:rsidR="008B44A5">
        <w:rPr>
          <w:rFonts w:ascii="Verdana" w:hAnsi="Verdana"/>
          <w:sz w:val="20"/>
          <w:szCs w:val="20"/>
          <w:lang w:val="es-PE"/>
        </w:rPr>
        <w:t>.</w:t>
      </w:r>
    </w:p>
    <w:p w:rsidR="009508D7" w:rsidRDefault="009508D7" w:rsidP="00FE0342">
      <w:pPr>
        <w:pStyle w:val="Prrafodelista"/>
        <w:spacing w:after="0" w:line="240" w:lineRule="auto"/>
        <w:ind w:left="0"/>
        <w:jc w:val="both"/>
        <w:rPr>
          <w:rFonts w:ascii="Verdana" w:hAnsi="Verdana"/>
          <w:sz w:val="20"/>
          <w:szCs w:val="20"/>
          <w:lang w:val="es-PE"/>
        </w:rPr>
      </w:pPr>
    </w:p>
    <w:p w:rsidR="00011C2E" w:rsidRPr="00CC3F43" w:rsidRDefault="003A44DD" w:rsidP="00CC3F43">
      <w:pPr>
        <w:pStyle w:val="Prrafodelista"/>
        <w:numPr>
          <w:ilvl w:val="0"/>
          <w:numId w:val="33"/>
        </w:numPr>
        <w:spacing w:after="0" w:line="240" w:lineRule="auto"/>
        <w:ind w:left="0" w:firstLine="0"/>
        <w:jc w:val="both"/>
        <w:rPr>
          <w:rFonts w:ascii="Verdana" w:hAnsi="Verdana"/>
          <w:sz w:val="20"/>
          <w:szCs w:val="20"/>
          <w:lang w:val="es-PE"/>
        </w:rPr>
      </w:pPr>
      <w:r w:rsidRPr="009508D7">
        <w:rPr>
          <w:rFonts w:ascii="Verdana" w:hAnsi="Verdana"/>
          <w:sz w:val="20"/>
          <w:szCs w:val="20"/>
          <w:lang w:val="es-PE"/>
        </w:rPr>
        <w:t>En ese sentido, no correspondería reiterar a Guatemala medidas de reparación sobre la adecuación de sus disposiciones de derecho interno a la Convención Americana, toda vez que ya han sido efectuadas las modificaciones referentes a la peligrosidad del agente respecto del artículo 132 del Código Penal de Guatemala</w:t>
      </w:r>
      <w:r w:rsidR="000F1463" w:rsidRPr="009508D7">
        <w:rPr>
          <w:rFonts w:ascii="Verdana" w:hAnsi="Verdana"/>
          <w:sz w:val="20"/>
          <w:szCs w:val="20"/>
          <w:lang w:val="es-PE"/>
        </w:rPr>
        <w:t xml:space="preserve"> y la derogación del artículo 175 del Código Penal</w:t>
      </w:r>
      <w:r w:rsidRPr="009508D7">
        <w:rPr>
          <w:rFonts w:ascii="Verdana" w:hAnsi="Verdana"/>
          <w:sz w:val="20"/>
          <w:szCs w:val="20"/>
          <w:lang w:val="es-PE"/>
        </w:rPr>
        <w:t>.</w:t>
      </w:r>
    </w:p>
    <w:p w:rsidR="00011C2E" w:rsidRPr="00D325D2" w:rsidRDefault="00011C2E" w:rsidP="00D325D2">
      <w:pPr>
        <w:pStyle w:val="Prrafodelista"/>
        <w:rPr>
          <w:rFonts w:ascii="Verdana" w:hAnsi="Verdana"/>
          <w:sz w:val="20"/>
          <w:szCs w:val="20"/>
          <w:lang w:val="es-PE"/>
        </w:rPr>
      </w:pPr>
    </w:p>
    <w:p w:rsidR="003A44DD" w:rsidRPr="00D325D2" w:rsidRDefault="00D325D2" w:rsidP="00D325D2">
      <w:pPr>
        <w:pStyle w:val="Prrafodelista"/>
        <w:spacing w:after="0" w:line="240" w:lineRule="auto"/>
        <w:ind w:left="0"/>
        <w:jc w:val="both"/>
        <w:outlineLvl w:val="1"/>
        <w:rPr>
          <w:rFonts w:ascii="Verdana" w:hAnsi="Verdana"/>
          <w:b/>
          <w:sz w:val="20"/>
          <w:szCs w:val="20"/>
          <w:lang w:val="es-PE"/>
        </w:rPr>
      </w:pPr>
      <w:bookmarkStart w:id="93" w:name="_Toc24538857"/>
      <w:r w:rsidRPr="00D325D2">
        <w:rPr>
          <w:rFonts w:ascii="Verdana" w:hAnsi="Verdana"/>
          <w:b/>
          <w:sz w:val="20"/>
          <w:szCs w:val="20"/>
          <w:lang w:val="es-PE"/>
        </w:rPr>
        <w:t xml:space="preserve">D. </w:t>
      </w:r>
      <w:r w:rsidR="003A44DD" w:rsidRPr="00D325D2">
        <w:rPr>
          <w:rFonts w:ascii="Verdana" w:hAnsi="Verdana"/>
          <w:b/>
          <w:sz w:val="20"/>
          <w:szCs w:val="20"/>
          <w:lang w:val="es-PE"/>
        </w:rPr>
        <w:t>Indemnización compensatoria</w:t>
      </w:r>
      <w:bookmarkEnd w:id="93"/>
      <w:r w:rsidR="003A44DD" w:rsidRPr="00D325D2">
        <w:rPr>
          <w:rFonts w:ascii="Verdana" w:hAnsi="Verdana"/>
          <w:b/>
          <w:sz w:val="20"/>
          <w:szCs w:val="20"/>
          <w:lang w:val="es-PE"/>
        </w:rPr>
        <w:t xml:space="preserve"> </w:t>
      </w:r>
    </w:p>
    <w:p w:rsidR="003A44DD" w:rsidRPr="008E0075" w:rsidRDefault="003A44DD" w:rsidP="00FE0342">
      <w:pPr>
        <w:spacing w:after="0" w:line="240" w:lineRule="auto"/>
        <w:jc w:val="both"/>
        <w:rPr>
          <w:rFonts w:ascii="Verdana" w:hAnsi="Verdana"/>
          <w:b/>
          <w:sz w:val="20"/>
          <w:szCs w:val="20"/>
          <w:lang w:val="es-PE"/>
        </w:rPr>
      </w:pPr>
    </w:p>
    <w:p w:rsidR="0060634E" w:rsidRPr="008E0075" w:rsidRDefault="003A44DD" w:rsidP="00FE0342">
      <w:pPr>
        <w:pStyle w:val="Prrafodelista"/>
        <w:numPr>
          <w:ilvl w:val="0"/>
          <w:numId w:val="33"/>
        </w:numPr>
        <w:tabs>
          <w:tab w:val="left" w:pos="0"/>
        </w:tabs>
        <w:spacing w:after="0" w:line="240" w:lineRule="auto"/>
        <w:ind w:left="0" w:firstLine="0"/>
        <w:jc w:val="both"/>
        <w:rPr>
          <w:rFonts w:ascii="Verdana" w:hAnsi="Verdana"/>
          <w:sz w:val="20"/>
          <w:szCs w:val="20"/>
          <w:lang w:val="es-PE"/>
        </w:rPr>
      </w:pPr>
      <w:r w:rsidRPr="008E0075">
        <w:rPr>
          <w:rFonts w:ascii="Verdana" w:hAnsi="Verdana"/>
          <w:sz w:val="20"/>
          <w:szCs w:val="20"/>
          <w:lang w:val="es-PE"/>
        </w:rPr>
        <w:t xml:space="preserve">Las </w:t>
      </w:r>
      <w:r w:rsidRPr="008E0075">
        <w:rPr>
          <w:rFonts w:ascii="Verdana" w:hAnsi="Verdana"/>
          <w:b/>
          <w:i/>
          <w:sz w:val="20"/>
          <w:szCs w:val="20"/>
          <w:lang w:val="es-PE"/>
        </w:rPr>
        <w:t>representantes</w:t>
      </w:r>
      <w:r w:rsidRPr="008E0075">
        <w:rPr>
          <w:rFonts w:ascii="Verdana" w:hAnsi="Verdana"/>
          <w:sz w:val="20"/>
          <w:szCs w:val="20"/>
          <w:lang w:val="es-PE"/>
        </w:rPr>
        <w:t>, en lo que respecta a la compensación pecuniaria, señalaron que por daño emergente corresponde los gastos de estancia del señor Roberto Girón y Pedro Castillo Mendoza en prisión, así como los gastos funerarios, solicitando que se fije, en equidad, la cantidad de US</w:t>
      </w:r>
      <w:r w:rsidR="00CC5D15" w:rsidRPr="008E0075">
        <w:rPr>
          <w:rFonts w:ascii="Verdana" w:hAnsi="Verdana"/>
          <w:sz w:val="20"/>
          <w:szCs w:val="20"/>
          <w:lang w:val="es-PE"/>
        </w:rPr>
        <w:t>D</w:t>
      </w:r>
      <w:r w:rsidR="00562D6A">
        <w:rPr>
          <w:rFonts w:ascii="Verdana" w:hAnsi="Verdana"/>
          <w:sz w:val="20"/>
          <w:szCs w:val="20"/>
          <w:lang w:val="es-PE"/>
        </w:rPr>
        <w:t>$20,</w:t>
      </w:r>
      <w:r w:rsidRPr="008E0075">
        <w:rPr>
          <w:rFonts w:ascii="Verdana" w:hAnsi="Verdana"/>
          <w:sz w:val="20"/>
          <w:szCs w:val="20"/>
          <w:lang w:val="es-PE"/>
        </w:rPr>
        <w:t>000.00 (veinte mil dólares de los Estados Unidos de América), distribuidos a favor de los hermanos del señor Pedro Castillo Mendoza que le sobreviven, ya que no tuvo hijos ni esposa, en razón de los montos siguientes: las señoras Berta Lidia Mendoza y Dora Alicia Castillo Mendoza, así como los causahabientes de la señora Blanca Delia Castillo Mendoza, la suma de US</w:t>
      </w:r>
      <w:r w:rsidR="00CC5D15" w:rsidRPr="008E0075">
        <w:rPr>
          <w:rFonts w:ascii="Verdana" w:hAnsi="Verdana"/>
          <w:sz w:val="20"/>
          <w:szCs w:val="20"/>
          <w:lang w:val="es-PE"/>
        </w:rPr>
        <w:t>D</w:t>
      </w:r>
      <w:r w:rsidRPr="008E0075">
        <w:rPr>
          <w:rFonts w:ascii="Verdana" w:hAnsi="Verdana"/>
          <w:sz w:val="20"/>
          <w:szCs w:val="20"/>
          <w:lang w:val="es-PE"/>
        </w:rPr>
        <w:t>$6,000.00 (seis mil dólares de los Estados Unidos de América), y del señor Oscar Castillo Mendoza, la suma de US</w:t>
      </w:r>
      <w:r w:rsidR="00CC5D15" w:rsidRPr="008E0075">
        <w:rPr>
          <w:rFonts w:ascii="Verdana" w:hAnsi="Verdana"/>
          <w:sz w:val="20"/>
          <w:szCs w:val="20"/>
          <w:lang w:val="es-PE"/>
        </w:rPr>
        <w:t>D</w:t>
      </w:r>
      <w:r w:rsidRPr="008E0075">
        <w:rPr>
          <w:rFonts w:ascii="Verdana" w:hAnsi="Verdana"/>
          <w:sz w:val="20"/>
          <w:szCs w:val="20"/>
          <w:lang w:val="es-PE"/>
        </w:rPr>
        <w:t xml:space="preserve">$2,000.00 (dos mil dólares de los Estados Unidos de América), e igual monto distribuido equitativamente a favor de los </w:t>
      </w:r>
      <w:r w:rsidR="00E51037">
        <w:rPr>
          <w:rFonts w:ascii="Verdana" w:hAnsi="Verdana"/>
          <w:sz w:val="20"/>
          <w:szCs w:val="20"/>
          <w:lang w:val="es-PE"/>
        </w:rPr>
        <w:t xml:space="preserve">dos </w:t>
      </w:r>
      <w:r w:rsidRPr="008E0075">
        <w:rPr>
          <w:rFonts w:ascii="Verdana" w:hAnsi="Verdana"/>
          <w:sz w:val="20"/>
          <w:szCs w:val="20"/>
          <w:lang w:val="es-PE"/>
        </w:rPr>
        <w:t xml:space="preserve">hijos del señor Roberto Girón, y en caso de su falta determinar que sean recibidos por su </w:t>
      </w:r>
      <w:r w:rsidRPr="008E0075">
        <w:rPr>
          <w:rFonts w:ascii="Verdana" w:hAnsi="Verdana"/>
          <w:sz w:val="20"/>
          <w:szCs w:val="20"/>
          <w:lang w:val="es-PE"/>
        </w:rPr>
        <w:lastRenderedPageBreak/>
        <w:t xml:space="preserve">causahabientes, </w:t>
      </w:r>
      <w:r w:rsidR="008B44A5">
        <w:rPr>
          <w:rFonts w:ascii="Verdana" w:hAnsi="Verdana"/>
          <w:sz w:val="20"/>
          <w:szCs w:val="20"/>
          <w:lang w:val="es-PE"/>
        </w:rPr>
        <w:t xml:space="preserve">o </w:t>
      </w:r>
      <w:r w:rsidRPr="008E0075">
        <w:rPr>
          <w:rFonts w:ascii="Verdana" w:hAnsi="Verdana"/>
          <w:sz w:val="20"/>
          <w:szCs w:val="20"/>
          <w:lang w:val="es-PE"/>
        </w:rPr>
        <w:t>en caso de no estar vivo ninguno, tenga a bien esta Corte considerarlo como donación al Fondo de Asistencia Legal de Víctimas</w:t>
      </w:r>
      <w:r w:rsidR="008314F8" w:rsidRPr="008E0075">
        <w:rPr>
          <w:rFonts w:ascii="Verdana" w:hAnsi="Verdana"/>
          <w:sz w:val="20"/>
          <w:szCs w:val="20"/>
          <w:lang w:val="es-PE"/>
        </w:rPr>
        <w:t>.</w:t>
      </w:r>
      <w:r w:rsidR="008314F8" w:rsidRPr="008E0075">
        <w:rPr>
          <w:rFonts w:ascii="Verdana" w:hAnsi="Verdana"/>
          <w:b/>
          <w:sz w:val="20"/>
          <w:szCs w:val="20"/>
          <w:lang w:val="es-PE"/>
        </w:rPr>
        <w:t xml:space="preserve"> </w:t>
      </w:r>
    </w:p>
    <w:p w:rsidR="0060634E" w:rsidRPr="008E0075" w:rsidRDefault="0060634E" w:rsidP="00FE0342">
      <w:pPr>
        <w:pStyle w:val="Prrafodelista"/>
        <w:tabs>
          <w:tab w:val="left" w:pos="0"/>
        </w:tabs>
        <w:spacing w:after="0" w:line="240" w:lineRule="auto"/>
        <w:ind w:left="0"/>
        <w:jc w:val="both"/>
        <w:rPr>
          <w:rFonts w:ascii="Verdana" w:hAnsi="Verdana"/>
          <w:sz w:val="20"/>
          <w:szCs w:val="20"/>
          <w:lang w:val="es-PE"/>
        </w:rPr>
      </w:pPr>
    </w:p>
    <w:p w:rsidR="009508D7" w:rsidRPr="009508D7" w:rsidRDefault="00D03205" w:rsidP="00FE0342">
      <w:pPr>
        <w:pStyle w:val="Prrafodelista"/>
        <w:numPr>
          <w:ilvl w:val="0"/>
          <w:numId w:val="33"/>
        </w:numPr>
        <w:tabs>
          <w:tab w:val="left" w:pos="0"/>
        </w:tabs>
        <w:spacing w:after="0" w:line="240" w:lineRule="auto"/>
        <w:ind w:left="0" w:firstLine="0"/>
        <w:jc w:val="both"/>
        <w:rPr>
          <w:rFonts w:ascii="Verdana" w:hAnsi="Verdana"/>
          <w:sz w:val="20"/>
          <w:szCs w:val="20"/>
          <w:lang w:val="es-PE"/>
        </w:rPr>
      </w:pPr>
      <w:r w:rsidRPr="008E0075">
        <w:rPr>
          <w:rFonts w:ascii="Verdana" w:hAnsi="Verdana"/>
          <w:sz w:val="20"/>
          <w:szCs w:val="20"/>
          <w:lang w:val="es-PE"/>
        </w:rPr>
        <w:t>Sobre el lucro cesante, las representantes consideraron el cálculo a partir del mes de abril de 1993, puesto que, los señores, Roberto Girón y Pedro Castillo Mendoza, se desempeñaban como jornaleros, devengando 85 quetzales quincenales, tal como se refiere en la declaración indagatoria del primero, ambos de</w:t>
      </w:r>
      <w:r w:rsidR="00003BA4">
        <w:rPr>
          <w:rFonts w:ascii="Verdana" w:hAnsi="Verdana"/>
          <w:sz w:val="20"/>
          <w:szCs w:val="20"/>
          <w:lang w:val="es-PE"/>
        </w:rPr>
        <w:t>sempeñaban el mismo oficio</w:t>
      </w:r>
      <w:r w:rsidRPr="008E0075">
        <w:rPr>
          <w:rFonts w:ascii="Verdana" w:hAnsi="Verdana"/>
          <w:sz w:val="20"/>
          <w:szCs w:val="20"/>
          <w:lang w:val="es-PE"/>
        </w:rPr>
        <w:t>. Cabe mencionar que no era un empleo fijo, sino temporero y esporádico, pero les permitía obtener su sustento, por tanto, habría que fijarse en equidad, partiendo del monto de salario mínimo reconocido en Guatemala al 28 de dicie</w:t>
      </w:r>
      <w:r w:rsidR="004B4063" w:rsidRPr="008E0075">
        <w:rPr>
          <w:rFonts w:ascii="Verdana" w:hAnsi="Verdana"/>
          <w:sz w:val="20"/>
          <w:szCs w:val="20"/>
          <w:lang w:val="es-PE"/>
        </w:rPr>
        <w:t>mbre del 2017 que era de Q2,</w:t>
      </w:r>
      <w:r w:rsidRPr="008E0075">
        <w:rPr>
          <w:rFonts w:ascii="Verdana" w:hAnsi="Verdana"/>
          <w:sz w:val="20"/>
          <w:szCs w:val="20"/>
          <w:lang w:val="es-PE"/>
        </w:rPr>
        <w:t>992.36 (dos mil novecientos noventa y dos quetzales</w:t>
      </w:r>
      <w:r w:rsidR="00F86130">
        <w:rPr>
          <w:rFonts w:ascii="Verdana" w:hAnsi="Verdana"/>
          <w:sz w:val="20"/>
          <w:szCs w:val="20"/>
          <w:lang w:val="es-PE"/>
        </w:rPr>
        <w:t xml:space="preserve"> con 36/100</w:t>
      </w:r>
      <w:r w:rsidRPr="008E0075">
        <w:rPr>
          <w:rFonts w:ascii="Verdana" w:hAnsi="Verdana"/>
          <w:sz w:val="20"/>
          <w:szCs w:val="20"/>
          <w:lang w:val="es-PE"/>
        </w:rPr>
        <w:t>). Teniendo esos cálculos</w:t>
      </w:r>
      <w:r w:rsidR="0083680F">
        <w:rPr>
          <w:rFonts w:ascii="Verdana" w:hAnsi="Verdana"/>
          <w:sz w:val="20"/>
          <w:szCs w:val="20"/>
          <w:lang w:val="es-PE"/>
        </w:rPr>
        <w:t>,</w:t>
      </w:r>
      <w:r w:rsidRPr="008E0075">
        <w:rPr>
          <w:rFonts w:ascii="Verdana" w:hAnsi="Verdana"/>
          <w:sz w:val="20"/>
          <w:szCs w:val="20"/>
          <w:lang w:val="es-PE"/>
        </w:rPr>
        <w:t xml:space="preserve"> las representantes pidieron determinar, en equidad, la cantidad de USD$30,000.00 (treinta mil dólares de los Estados Unidos de América), distribuidos equitativamente a favor de cada uno de los hermanos del señor Pedro Castillo Mendoza que le sobreviven, ya que no tuvo hijos ni esposa, las señoras Berta Lidia Mendoza y Dora Alicia Castillo Mendoza, y el señor Oscar Castillo Mendoza, así como los causahabientes de la señora Blanca Delia Castillo Mendoza, e igual monto distribuido equitativamente a favor de los</w:t>
      </w:r>
      <w:r w:rsidR="00E51037">
        <w:rPr>
          <w:rFonts w:ascii="Verdana" w:hAnsi="Verdana"/>
          <w:sz w:val="20"/>
          <w:szCs w:val="20"/>
          <w:lang w:val="es-PE"/>
        </w:rPr>
        <w:t xml:space="preserve"> dos</w:t>
      </w:r>
      <w:r w:rsidRPr="008E0075">
        <w:rPr>
          <w:rFonts w:ascii="Verdana" w:hAnsi="Verdana"/>
          <w:sz w:val="20"/>
          <w:szCs w:val="20"/>
          <w:lang w:val="es-PE"/>
        </w:rPr>
        <w:t xml:space="preserve"> hijos </w:t>
      </w:r>
      <w:r w:rsidR="00E51037">
        <w:rPr>
          <w:rFonts w:ascii="Verdana" w:hAnsi="Verdana"/>
          <w:sz w:val="20"/>
          <w:szCs w:val="20"/>
          <w:lang w:val="es-PE"/>
        </w:rPr>
        <w:t>del señor Roberto Girón</w:t>
      </w:r>
      <w:r w:rsidRPr="008E0075">
        <w:rPr>
          <w:rFonts w:ascii="Verdana" w:hAnsi="Verdana"/>
          <w:sz w:val="20"/>
          <w:szCs w:val="20"/>
          <w:lang w:val="es-PE"/>
        </w:rPr>
        <w:t xml:space="preserve">, y si a la fecha de la ejecución se encuentran todos fallecidos, determinar que sean recibidos por sus causahabientes, en caso de no estar vivos ninguno, tenga a bien esta Corte consignarlo como donación al Fondo de Asistencia Legal a Víctimas. </w:t>
      </w:r>
    </w:p>
    <w:p w:rsidR="009508D7" w:rsidRDefault="009508D7" w:rsidP="00FE0342">
      <w:pPr>
        <w:pStyle w:val="Prrafodelista"/>
        <w:tabs>
          <w:tab w:val="left" w:pos="0"/>
        </w:tabs>
        <w:spacing w:after="0" w:line="240" w:lineRule="auto"/>
        <w:ind w:left="0"/>
        <w:jc w:val="both"/>
        <w:rPr>
          <w:rFonts w:ascii="Verdana" w:hAnsi="Verdana"/>
          <w:sz w:val="20"/>
          <w:szCs w:val="20"/>
          <w:lang w:val="es-PE"/>
        </w:rPr>
      </w:pPr>
    </w:p>
    <w:p w:rsidR="009508D7" w:rsidRPr="009508D7" w:rsidRDefault="003A44DD" w:rsidP="00FE0342">
      <w:pPr>
        <w:pStyle w:val="Prrafodelista"/>
        <w:numPr>
          <w:ilvl w:val="0"/>
          <w:numId w:val="33"/>
        </w:numPr>
        <w:tabs>
          <w:tab w:val="left" w:pos="0"/>
        </w:tabs>
        <w:spacing w:after="0" w:line="240" w:lineRule="auto"/>
        <w:ind w:left="0" w:firstLine="0"/>
        <w:jc w:val="both"/>
        <w:rPr>
          <w:rFonts w:ascii="Verdana" w:hAnsi="Verdana"/>
          <w:sz w:val="20"/>
          <w:szCs w:val="20"/>
          <w:lang w:val="es-PE"/>
        </w:rPr>
      </w:pPr>
      <w:r w:rsidRPr="009508D7">
        <w:rPr>
          <w:rFonts w:ascii="Verdana" w:hAnsi="Verdana"/>
          <w:sz w:val="20"/>
          <w:szCs w:val="20"/>
          <w:lang w:val="es-PE"/>
        </w:rPr>
        <w:t>En cuanto al daño inmaterial, las representantes indicaron que a título compensatorio y con fines de reparación integral correspond</w:t>
      </w:r>
      <w:r w:rsidRPr="009508D7">
        <w:rPr>
          <w:rFonts w:ascii="Verdana" w:hAnsi="Verdana" w:cs="Times New Roman"/>
          <w:sz w:val="20"/>
          <w:szCs w:val="20"/>
          <w:lang w:val="es-PE"/>
        </w:rPr>
        <w:t>e la suma de US</w:t>
      </w:r>
      <w:r w:rsidR="00CC5D15" w:rsidRPr="009508D7">
        <w:rPr>
          <w:rFonts w:ascii="Verdana" w:hAnsi="Verdana" w:cs="Times New Roman"/>
          <w:sz w:val="20"/>
          <w:szCs w:val="20"/>
          <w:lang w:val="es-PE"/>
        </w:rPr>
        <w:t>D</w:t>
      </w:r>
      <w:r w:rsidRPr="009508D7">
        <w:rPr>
          <w:rFonts w:ascii="Verdana" w:hAnsi="Verdana" w:cs="Times New Roman"/>
          <w:sz w:val="20"/>
          <w:szCs w:val="20"/>
          <w:lang w:val="es-PE"/>
        </w:rPr>
        <w:t xml:space="preserve">$500,000.00 (quinientos mil dólares </w:t>
      </w:r>
      <w:r w:rsidRPr="009508D7">
        <w:rPr>
          <w:rFonts w:ascii="Verdana" w:hAnsi="Verdana"/>
          <w:sz w:val="20"/>
          <w:szCs w:val="20"/>
          <w:lang w:val="es-PE"/>
        </w:rPr>
        <w:t>de los Estados Unidos de América</w:t>
      </w:r>
      <w:r w:rsidRPr="009508D7">
        <w:rPr>
          <w:rFonts w:ascii="Verdana" w:hAnsi="Verdana" w:cs="Times New Roman"/>
          <w:sz w:val="20"/>
          <w:szCs w:val="20"/>
          <w:lang w:val="es-PE"/>
        </w:rPr>
        <w:t>) a favor del señor Pedro Castillo Mendoza, distribuido equitativamente a favor de cada uno de sus hermanos que le sobreviven, ya que no tuvo hijos, ni esposa, siendo sus hermanos, las señoras Berta Lidia Mendoza y Dora Alicia Castillo Mendoza y el señor Oscar Castillo Mendoza, así como los causahabientes de la señora Blanca Delia Castillo Mendoza, y un monto de</w:t>
      </w:r>
      <w:r w:rsidRPr="009508D7">
        <w:rPr>
          <w:rFonts w:ascii="Verdana" w:hAnsi="Verdana" w:cs="Times New Roman"/>
          <w:bCs/>
          <w:sz w:val="20"/>
          <w:szCs w:val="20"/>
          <w:lang w:val="es-PE"/>
        </w:rPr>
        <w:t xml:space="preserve"> US</w:t>
      </w:r>
      <w:r w:rsidR="00CC5D15" w:rsidRPr="009508D7">
        <w:rPr>
          <w:rFonts w:ascii="Verdana" w:hAnsi="Verdana" w:cs="Times New Roman"/>
          <w:bCs/>
          <w:sz w:val="20"/>
          <w:szCs w:val="20"/>
          <w:lang w:val="es-PE"/>
        </w:rPr>
        <w:t>D</w:t>
      </w:r>
      <w:r w:rsidRPr="009508D7">
        <w:rPr>
          <w:rFonts w:ascii="Verdana" w:hAnsi="Verdana" w:cs="Times New Roman"/>
          <w:bCs/>
          <w:sz w:val="20"/>
          <w:szCs w:val="20"/>
          <w:lang w:val="es-PE"/>
        </w:rPr>
        <w:t xml:space="preserve">$500,000.00 </w:t>
      </w:r>
      <w:r w:rsidRPr="009508D7">
        <w:rPr>
          <w:rFonts w:ascii="Verdana" w:hAnsi="Verdana" w:cs="Times New Roman"/>
          <w:sz w:val="20"/>
          <w:szCs w:val="20"/>
          <w:lang w:val="es-PE"/>
        </w:rPr>
        <w:t xml:space="preserve">(quinientos mil dólares </w:t>
      </w:r>
      <w:r w:rsidRPr="009508D7">
        <w:rPr>
          <w:rFonts w:ascii="Verdana" w:hAnsi="Verdana"/>
          <w:sz w:val="20"/>
          <w:szCs w:val="20"/>
          <w:lang w:val="es-PE"/>
        </w:rPr>
        <w:t>de los Estados Unidos de América</w:t>
      </w:r>
      <w:r w:rsidRPr="009508D7">
        <w:rPr>
          <w:rFonts w:ascii="Verdana" w:hAnsi="Verdana" w:cs="Times New Roman"/>
          <w:sz w:val="20"/>
          <w:szCs w:val="20"/>
          <w:lang w:val="es-PE"/>
        </w:rPr>
        <w:t>) a favor del señor Roberto Girón</w:t>
      </w:r>
      <w:r w:rsidRPr="009508D7">
        <w:rPr>
          <w:rFonts w:ascii="Verdana" w:hAnsi="Verdana" w:cs="Times New Roman"/>
          <w:bCs/>
          <w:sz w:val="20"/>
          <w:szCs w:val="20"/>
          <w:lang w:val="es-PE"/>
        </w:rPr>
        <w:t xml:space="preserve">, </w:t>
      </w:r>
      <w:r w:rsidRPr="009508D7">
        <w:rPr>
          <w:rFonts w:ascii="Verdana" w:hAnsi="Verdana" w:cs="Times New Roman"/>
          <w:sz w:val="20"/>
          <w:szCs w:val="20"/>
          <w:lang w:val="es-PE"/>
        </w:rPr>
        <w:t xml:space="preserve">distribuidos equitativamente a favor de sus </w:t>
      </w:r>
      <w:r w:rsidR="00E51037">
        <w:rPr>
          <w:rFonts w:ascii="Verdana" w:hAnsi="Verdana" w:cs="Times New Roman"/>
          <w:sz w:val="20"/>
          <w:szCs w:val="20"/>
          <w:lang w:val="es-PE"/>
        </w:rPr>
        <w:t xml:space="preserve">dos </w:t>
      </w:r>
      <w:r w:rsidRPr="009508D7">
        <w:rPr>
          <w:rFonts w:ascii="Verdana" w:hAnsi="Verdana" w:cs="Times New Roman"/>
          <w:sz w:val="20"/>
          <w:szCs w:val="20"/>
          <w:lang w:val="es-PE"/>
        </w:rPr>
        <w:t>hijos</w:t>
      </w:r>
      <w:r w:rsidR="00003BA4">
        <w:rPr>
          <w:rFonts w:ascii="Verdana" w:hAnsi="Verdana" w:cs="Times New Roman"/>
          <w:sz w:val="20"/>
          <w:szCs w:val="20"/>
          <w:lang w:val="es-PE"/>
        </w:rPr>
        <w:t xml:space="preserve"> y a falta de los mismos </w:t>
      </w:r>
      <w:r w:rsidRPr="009508D7">
        <w:rPr>
          <w:rFonts w:ascii="Verdana" w:hAnsi="Verdana" w:cs="Times New Roman"/>
          <w:sz w:val="20"/>
          <w:szCs w:val="20"/>
          <w:lang w:val="es-PE"/>
        </w:rPr>
        <w:t>determinar que sean recibidos por sus causahabientes, en caso de no estar vivos nin</w:t>
      </w:r>
      <w:r w:rsidR="0083680F">
        <w:rPr>
          <w:rFonts w:ascii="Verdana" w:hAnsi="Verdana" w:cs="Times New Roman"/>
          <w:sz w:val="20"/>
          <w:szCs w:val="20"/>
          <w:lang w:val="es-PE"/>
        </w:rPr>
        <w:t>guno tenga a bien esta Corte</w:t>
      </w:r>
      <w:r w:rsidRPr="009508D7">
        <w:rPr>
          <w:rFonts w:ascii="Verdana" w:hAnsi="Verdana" w:cs="Times New Roman"/>
          <w:sz w:val="20"/>
          <w:szCs w:val="20"/>
          <w:lang w:val="es-PE"/>
        </w:rPr>
        <w:t xml:space="preserve"> consignarlo</w:t>
      </w:r>
      <w:r w:rsidRPr="009508D7">
        <w:rPr>
          <w:rFonts w:ascii="Verdana" w:hAnsi="Verdana" w:cs="Times New Roman"/>
          <w:b/>
          <w:bCs/>
          <w:sz w:val="20"/>
          <w:szCs w:val="20"/>
          <w:lang w:val="es-PE"/>
        </w:rPr>
        <w:t xml:space="preserve"> </w:t>
      </w:r>
      <w:r w:rsidRPr="009508D7">
        <w:rPr>
          <w:rFonts w:ascii="Verdana" w:hAnsi="Verdana" w:cs="Times New Roman"/>
          <w:sz w:val="20"/>
          <w:szCs w:val="20"/>
          <w:lang w:val="es-PE"/>
        </w:rPr>
        <w:t>como donación al Fondo de Asistencia Legal a Victimas</w:t>
      </w:r>
      <w:r w:rsidR="008314F8" w:rsidRPr="009508D7">
        <w:rPr>
          <w:rFonts w:ascii="Verdana" w:hAnsi="Verdana" w:cs="Times New Roman"/>
          <w:sz w:val="20"/>
          <w:szCs w:val="20"/>
          <w:lang w:val="es-PE"/>
        </w:rPr>
        <w:t>.</w:t>
      </w:r>
      <w:r w:rsidRPr="009508D7">
        <w:rPr>
          <w:rFonts w:ascii="Verdana" w:hAnsi="Verdana" w:cs="Times New Roman"/>
          <w:sz w:val="20"/>
          <w:szCs w:val="20"/>
          <w:lang w:val="es-PE"/>
        </w:rPr>
        <w:t xml:space="preserve"> </w:t>
      </w:r>
    </w:p>
    <w:p w:rsidR="009508D7" w:rsidRDefault="009508D7" w:rsidP="00FE0342">
      <w:pPr>
        <w:pStyle w:val="Prrafodelista"/>
        <w:tabs>
          <w:tab w:val="left" w:pos="0"/>
        </w:tabs>
        <w:spacing w:after="0" w:line="240" w:lineRule="auto"/>
        <w:ind w:left="0"/>
        <w:jc w:val="both"/>
        <w:rPr>
          <w:rFonts w:ascii="Verdana" w:hAnsi="Verdana"/>
          <w:sz w:val="20"/>
          <w:szCs w:val="20"/>
          <w:lang w:val="es-PE"/>
        </w:rPr>
      </w:pPr>
    </w:p>
    <w:p w:rsidR="003A44DD" w:rsidRPr="009508D7" w:rsidRDefault="003A44DD" w:rsidP="00FE0342">
      <w:pPr>
        <w:pStyle w:val="Prrafodelista"/>
        <w:numPr>
          <w:ilvl w:val="0"/>
          <w:numId w:val="33"/>
        </w:numPr>
        <w:tabs>
          <w:tab w:val="left" w:pos="0"/>
        </w:tabs>
        <w:spacing w:after="0" w:line="240" w:lineRule="auto"/>
        <w:ind w:left="0" w:firstLine="0"/>
        <w:jc w:val="both"/>
        <w:rPr>
          <w:rFonts w:ascii="Verdana" w:hAnsi="Verdana"/>
          <w:sz w:val="20"/>
          <w:szCs w:val="20"/>
          <w:lang w:val="es-PE"/>
        </w:rPr>
      </w:pPr>
      <w:r w:rsidRPr="009508D7">
        <w:rPr>
          <w:rFonts w:ascii="Verdana" w:hAnsi="Verdana"/>
          <w:sz w:val="20"/>
          <w:szCs w:val="20"/>
          <w:lang w:val="es-PE"/>
        </w:rPr>
        <w:t xml:space="preserve">Por su parte, el </w:t>
      </w:r>
      <w:r w:rsidRPr="009508D7">
        <w:rPr>
          <w:rFonts w:ascii="Verdana" w:hAnsi="Verdana"/>
          <w:b/>
          <w:i/>
          <w:sz w:val="20"/>
          <w:szCs w:val="20"/>
          <w:lang w:val="es-PE"/>
        </w:rPr>
        <w:t>Estado</w:t>
      </w:r>
      <w:r w:rsidRPr="009508D7">
        <w:rPr>
          <w:rFonts w:ascii="Verdana" w:hAnsi="Verdana"/>
          <w:sz w:val="20"/>
          <w:szCs w:val="20"/>
          <w:lang w:val="es-PE"/>
        </w:rPr>
        <w:t xml:space="preserve"> solicitó declarar inadmisible, desde todo punto de vista, las peticiones de reparación</w:t>
      </w:r>
      <w:r w:rsidRPr="009508D7">
        <w:rPr>
          <w:rFonts w:ascii="Verdana" w:hAnsi="Verdana"/>
          <w:b/>
          <w:sz w:val="20"/>
          <w:szCs w:val="20"/>
          <w:lang w:val="es-PE"/>
        </w:rPr>
        <w:t xml:space="preserve"> </w:t>
      </w:r>
      <w:r w:rsidRPr="009508D7">
        <w:rPr>
          <w:rFonts w:ascii="Verdana" w:hAnsi="Verdana"/>
          <w:sz w:val="20"/>
          <w:szCs w:val="20"/>
          <w:lang w:val="es-PE"/>
        </w:rPr>
        <w:t>(</w:t>
      </w:r>
      <w:r w:rsidRPr="009508D7">
        <w:rPr>
          <w:rFonts w:ascii="Verdana" w:hAnsi="Verdana"/>
          <w:i/>
          <w:sz w:val="20"/>
          <w:szCs w:val="20"/>
          <w:lang w:val="es-PE"/>
        </w:rPr>
        <w:t>supra</w:t>
      </w:r>
      <w:r w:rsidRPr="009508D7">
        <w:rPr>
          <w:rFonts w:ascii="Verdana" w:hAnsi="Verdana"/>
          <w:sz w:val="20"/>
          <w:szCs w:val="20"/>
          <w:lang w:val="es-PE"/>
        </w:rPr>
        <w:t xml:space="preserve"> párr.</w:t>
      </w:r>
      <w:r w:rsidR="007D4060">
        <w:rPr>
          <w:rFonts w:ascii="Verdana" w:hAnsi="Verdana"/>
          <w:sz w:val="20"/>
          <w:szCs w:val="20"/>
          <w:lang w:val="es-PE"/>
        </w:rPr>
        <w:t xml:space="preserve"> 134</w:t>
      </w:r>
      <w:r w:rsidRPr="009508D7">
        <w:rPr>
          <w:rFonts w:ascii="Verdana" w:hAnsi="Verdana"/>
          <w:sz w:val="20"/>
          <w:szCs w:val="20"/>
          <w:lang w:val="es-PE"/>
        </w:rPr>
        <w:t>).</w:t>
      </w:r>
      <w:r w:rsidR="008314F8" w:rsidRPr="009508D7">
        <w:rPr>
          <w:rFonts w:ascii="Verdana" w:hAnsi="Verdana"/>
          <w:b/>
          <w:sz w:val="20"/>
          <w:szCs w:val="20"/>
          <w:lang w:val="es-PE"/>
        </w:rPr>
        <w:t xml:space="preserve"> </w:t>
      </w:r>
    </w:p>
    <w:p w:rsidR="009508D7" w:rsidRPr="009508D7" w:rsidRDefault="009508D7" w:rsidP="009508D7">
      <w:pPr>
        <w:pStyle w:val="Prrafodelista"/>
        <w:tabs>
          <w:tab w:val="left" w:pos="0"/>
        </w:tabs>
        <w:spacing w:after="0" w:line="240" w:lineRule="auto"/>
        <w:ind w:left="0"/>
        <w:jc w:val="both"/>
        <w:rPr>
          <w:rFonts w:ascii="Verdana" w:hAnsi="Verdana"/>
          <w:sz w:val="20"/>
          <w:szCs w:val="20"/>
          <w:lang w:val="es-PE"/>
        </w:rPr>
      </w:pPr>
    </w:p>
    <w:p w:rsidR="0060634E" w:rsidRPr="008E0075" w:rsidRDefault="003A44DD" w:rsidP="000615D6">
      <w:pPr>
        <w:pStyle w:val="Ttulo3"/>
        <w:rPr>
          <w:b w:val="0"/>
          <w:szCs w:val="20"/>
          <w:lang w:val="es-PE"/>
        </w:rPr>
      </w:pPr>
      <w:bookmarkStart w:id="94" w:name="_Toc24538858"/>
      <w:r w:rsidRPr="008E0075">
        <w:rPr>
          <w:b w:val="0"/>
          <w:szCs w:val="20"/>
          <w:lang w:val="es-PE"/>
        </w:rPr>
        <w:t>D.1 Daño Inmaterial</w:t>
      </w:r>
      <w:bookmarkEnd w:id="94"/>
      <w:r w:rsidRPr="008E0075">
        <w:rPr>
          <w:b w:val="0"/>
          <w:szCs w:val="20"/>
          <w:lang w:val="es-PE"/>
        </w:rPr>
        <w:t xml:space="preserve"> </w:t>
      </w:r>
    </w:p>
    <w:p w:rsidR="0060634E" w:rsidRPr="008E0075" w:rsidRDefault="0060634E" w:rsidP="000615D6">
      <w:pPr>
        <w:pStyle w:val="Prrafodelista"/>
        <w:tabs>
          <w:tab w:val="left" w:pos="0"/>
        </w:tabs>
        <w:spacing w:after="0" w:line="240" w:lineRule="auto"/>
        <w:ind w:left="0"/>
        <w:jc w:val="both"/>
        <w:rPr>
          <w:rFonts w:ascii="Verdana" w:hAnsi="Verdana"/>
          <w:sz w:val="20"/>
          <w:szCs w:val="20"/>
          <w:lang w:val="es-PE"/>
        </w:rPr>
      </w:pPr>
    </w:p>
    <w:p w:rsidR="0060634E" w:rsidRPr="008E0075" w:rsidRDefault="003A44DD" w:rsidP="00FE0342">
      <w:pPr>
        <w:pStyle w:val="Prrafodelista"/>
        <w:numPr>
          <w:ilvl w:val="0"/>
          <w:numId w:val="33"/>
        </w:numPr>
        <w:spacing w:after="0" w:line="240" w:lineRule="auto"/>
        <w:ind w:left="0" w:firstLine="0"/>
        <w:jc w:val="both"/>
        <w:rPr>
          <w:rFonts w:ascii="Verdana" w:hAnsi="Verdana"/>
          <w:sz w:val="20"/>
          <w:szCs w:val="20"/>
          <w:lang w:val="es-PE"/>
        </w:rPr>
      </w:pPr>
      <w:r w:rsidRPr="008E0075">
        <w:rPr>
          <w:rFonts w:ascii="Verdana" w:hAnsi="Verdana"/>
          <w:sz w:val="20"/>
          <w:szCs w:val="20"/>
          <w:lang w:val="es-PE"/>
        </w:rPr>
        <w:t>En el presente caso, la Corte en consideración de las particularidades del caso y el nexo causal de las violaciones declaradas se pronunciará única</w:t>
      </w:r>
      <w:r w:rsidR="0060634E" w:rsidRPr="008E0075">
        <w:rPr>
          <w:rFonts w:ascii="Verdana" w:hAnsi="Verdana"/>
          <w:sz w:val="20"/>
          <w:szCs w:val="20"/>
          <w:lang w:val="es-PE"/>
        </w:rPr>
        <w:t>mente sobre el daño inmaterial.</w:t>
      </w:r>
    </w:p>
    <w:p w:rsidR="0060634E" w:rsidRPr="008E0075" w:rsidRDefault="0060634E" w:rsidP="00FE0342">
      <w:pPr>
        <w:pStyle w:val="Prrafodelista"/>
        <w:spacing w:after="0" w:line="240" w:lineRule="auto"/>
        <w:ind w:left="0"/>
        <w:jc w:val="both"/>
        <w:rPr>
          <w:rFonts w:ascii="Verdana" w:hAnsi="Verdana"/>
          <w:sz w:val="20"/>
          <w:szCs w:val="20"/>
          <w:lang w:val="es-PE"/>
        </w:rPr>
      </w:pPr>
    </w:p>
    <w:p w:rsidR="0060634E" w:rsidRPr="008E0075" w:rsidRDefault="003A44DD" w:rsidP="00FE0342">
      <w:pPr>
        <w:pStyle w:val="Prrafodelista"/>
        <w:numPr>
          <w:ilvl w:val="0"/>
          <w:numId w:val="33"/>
        </w:numPr>
        <w:spacing w:after="0" w:line="240" w:lineRule="auto"/>
        <w:ind w:left="0" w:firstLine="0"/>
        <w:jc w:val="both"/>
        <w:rPr>
          <w:rFonts w:ascii="Verdana" w:hAnsi="Verdana"/>
          <w:sz w:val="20"/>
          <w:szCs w:val="20"/>
          <w:lang w:val="es-PE"/>
        </w:rPr>
      </w:pPr>
      <w:r w:rsidRPr="008E0075">
        <w:rPr>
          <w:rFonts w:ascii="Verdana" w:hAnsi="Verdana"/>
          <w:sz w:val="20"/>
          <w:szCs w:val="20"/>
          <w:lang w:val="es-PE"/>
        </w:rPr>
        <w:t>Esta Corte ha determinado que este concepto “puede comprender tanto los sufrimientos y las aflicciones causados a la víctima directa y a sus allegados, el menoscabo de valores muy significativos para las personas, así como las alteraciones, de carácter no pecuniario, en las condiciones de la existencia de la víctima o su familia”</w:t>
      </w:r>
      <w:r w:rsidRPr="008E0075">
        <w:rPr>
          <w:rStyle w:val="Refdenotaalpie"/>
          <w:rFonts w:ascii="Verdana" w:hAnsi="Verdana"/>
          <w:sz w:val="20"/>
          <w:szCs w:val="20"/>
          <w:lang w:val="es-PE"/>
        </w:rPr>
        <w:footnoteReference w:id="129"/>
      </w:r>
      <w:r w:rsidR="0060634E" w:rsidRPr="008E0075">
        <w:rPr>
          <w:rFonts w:ascii="Verdana" w:hAnsi="Verdana"/>
          <w:sz w:val="20"/>
          <w:szCs w:val="20"/>
          <w:lang w:val="es-PE"/>
        </w:rPr>
        <w:t>.</w:t>
      </w:r>
    </w:p>
    <w:p w:rsidR="0060634E" w:rsidRPr="008E0075" w:rsidRDefault="0060634E" w:rsidP="00FE0342">
      <w:pPr>
        <w:pStyle w:val="Prrafodelista"/>
        <w:spacing w:after="0" w:line="240" w:lineRule="auto"/>
        <w:ind w:left="0"/>
        <w:jc w:val="both"/>
        <w:rPr>
          <w:rFonts w:ascii="Verdana" w:hAnsi="Verdana"/>
          <w:sz w:val="20"/>
          <w:szCs w:val="20"/>
          <w:lang w:val="es-PE"/>
        </w:rPr>
      </w:pPr>
    </w:p>
    <w:p w:rsidR="0060634E" w:rsidRPr="00AD4ACB" w:rsidRDefault="003A44DD" w:rsidP="00FE0342">
      <w:pPr>
        <w:pStyle w:val="Prrafodelista"/>
        <w:numPr>
          <w:ilvl w:val="0"/>
          <w:numId w:val="33"/>
        </w:numPr>
        <w:spacing w:after="0" w:line="240" w:lineRule="auto"/>
        <w:ind w:left="0" w:firstLine="0"/>
        <w:jc w:val="both"/>
        <w:rPr>
          <w:rFonts w:ascii="Verdana" w:hAnsi="Verdana"/>
          <w:b/>
          <w:sz w:val="20"/>
          <w:szCs w:val="20"/>
          <w:lang w:val="es-PE"/>
        </w:rPr>
      </w:pPr>
      <w:r w:rsidRPr="008E0075">
        <w:rPr>
          <w:rFonts w:ascii="Verdana" w:hAnsi="Verdana"/>
          <w:sz w:val="20"/>
          <w:szCs w:val="20"/>
          <w:lang w:val="es-PE"/>
        </w:rPr>
        <w:t>Al respecto, en otros casos en los que este Tribunal ha determinado la responsabilidad del Estado por la aplicación de la pena de muerte</w:t>
      </w:r>
      <w:r w:rsidRPr="008E0075">
        <w:rPr>
          <w:rStyle w:val="Refdenotaalpie"/>
          <w:rFonts w:ascii="Verdana" w:hAnsi="Verdana"/>
          <w:sz w:val="20"/>
          <w:szCs w:val="20"/>
          <w:lang w:val="es-PE"/>
        </w:rPr>
        <w:footnoteReference w:id="130"/>
      </w:r>
      <w:r w:rsidRPr="008E0075">
        <w:rPr>
          <w:rFonts w:ascii="Verdana" w:hAnsi="Verdana"/>
          <w:sz w:val="20"/>
          <w:szCs w:val="20"/>
          <w:lang w:val="es-PE"/>
        </w:rPr>
        <w:t xml:space="preserve"> no se consideró una indemnización </w:t>
      </w:r>
      <w:r w:rsidRPr="008E0075">
        <w:rPr>
          <w:rFonts w:ascii="Verdana" w:hAnsi="Verdana"/>
          <w:sz w:val="20"/>
          <w:szCs w:val="20"/>
          <w:lang w:val="es-PE"/>
        </w:rPr>
        <w:lastRenderedPageBreak/>
        <w:t xml:space="preserve">compensatoria, en los supuestos en los que las víctimas no fueron ejecutadas; mientras que en el presente caso </w:t>
      </w:r>
      <w:r w:rsidR="008F0C90">
        <w:rPr>
          <w:rFonts w:ascii="Verdana" w:hAnsi="Verdana"/>
          <w:sz w:val="20"/>
          <w:szCs w:val="20"/>
          <w:lang w:val="es-PE"/>
        </w:rPr>
        <w:t xml:space="preserve">que si fueron ejectutadas </w:t>
      </w:r>
      <w:r w:rsidRPr="008E0075">
        <w:rPr>
          <w:rFonts w:ascii="Verdana" w:hAnsi="Verdana"/>
          <w:sz w:val="20"/>
          <w:szCs w:val="20"/>
          <w:lang w:val="es-PE"/>
        </w:rPr>
        <w:t xml:space="preserve">se ha declarado la vulneración de los artículos </w:t>
      </w:r>
      <w:r w:rsidR="00E51037">
        <w:rPr>
          <w:rFonts w:ascii="Verdana" w:hAnsi="Verdana"/>
          <w:sz w:val="20"/>
          <w:szCs w:val="20"/>
          <w:lang w:val="es-PE"/>
        </w:rPr>
        <w:t>4.1 y 4.2, 5.1 y 5.2</w:t>
      </w:r>
      <w:r w:rsidR="00B010AB">
        <w:rPr>
          <w:rFonts w:ascii="Verdana" w:hAnsi="Verdana"/>
          <w:sz w:val="20"/>
          <w:szCs w:val="20"/>
          <w:lang w:val="es-PE"/>
        </w:rPr>
        <w:t>, 8.2.d</w:t>
      </w:r>
      <w:r w:rsidR="008C3DB8">
        <w:rPr>
          <w:rFonts w:ascii="Verdana" w:hAnsi="Verdana"/>
          <w:sz w:val="20"/>
          <w:szCs w:val="20"/>
          <w:lang w:val="es-PE"/>
        </w:rPr>
        <w:t xml:space="preserve">) </w:t>
      </w:r>
      <w:r w:rsidR="00904907" w:rsidRPr="008E0075">
        <w:rPr>
          <w:rFonts w:ascii="Verdana" w:hAnsi="Verdana"/>
          <w:sz w:val="20"/>
          <w:szCs w:val="20"/>
          <w:lang w:val="es-PE"/>
        </w:rPr>
        <w:t>y</w:t>
      </w:r>
      <w:r w:rsidR="00B010AB">
        <w:rPr>
          <w:rFonts w:ascii="Verdana" w:hAnsi="Verdana"/>
          <w:sz w:val="20"/>
          <w:szCs w:val="20"/>
          <w:lang w:val="es-PE"/>
        </w:rPr>
        <w:t xml:space="preserve"> 8.2.e</w:t>
      </w:r>
      <w:r w:rsidRPr="008E0075">
        <w:rPr>
          <w:rFonts w:ascii="Verdana" w:hAnsi="Verdana"/>
          <w:sz w:val="20"/>
          <w:szCs w:val="20"/>
          <w:lang w:val="es-PE"/>
        </w:rPr>
        <w:t>)</w:t>
      </w:r>
      <w:r w:rsidRPr="008E0075">
        <w:rPr>
          <w:rFonts w:ascii="Verdana" w:hAnsi="Verdana"/>
          <w:b/>
          <w:sz w:val="20"/>
          <w:szCs w:val="20"/>
          <w:lang w:val="es-PE"/>
        </w:rPr>
        <w:t xml:space="preserve"> </w:t>
      </w:r>
      <w:r w:rsidRPr="008E0075">
        <w:rPr>
          <w:rFonts w:ascii="Verdana" w:hAnsi="Verdana"/>
          <w:sz w:val="20"/>
          <w:szCs w:val="20"/>
          <w:lang w:val="es-PE"/>
        </w:rPr>
        <w:t xml:space="preserve">de la Convención Americana. En razón de lo anterior, dadas las particularidades del presente caso, la Corte considera apropiado disponer una indemnización, </w:t>
      </w:r>
      <w:r w:rsidR="00AD4ACB" w:rsidRPr="0000517A">
        <w:rPr>
          <w:rFonts w:ascii="Verdana" w:hAnsi="Verdana"/>
          <w:sz w:val="20"/>
          <w:szCs w:val="20"/>
          <w:lang w:val="es-PE"/>
        </w:rPr>
        <w:t>en equidad</w:t>
      </w:r>
      <w:r w:rsidR="00AD4ACB" w:rsidRPr="00E374AD">
        <w:rPr>
          <w:rFonts w:ascii="Verdana" w:hAnsi="Verdana"/>
          <w:sz w:val="20"/>
          <w:szCs w:val="20"/>
          <w:lang w:val="es-PE"/>
        </w:rPr>
        <w:t xml:space="preserve">, </w:t>
      </w:r>
      <w:r w:rsidRPr="00E374AD">
        <w:rPr>
          <w:rFonts w:ascii="Verdana" w:hAnsi="Verdana"/>
          <w:sz w:val="20"/>
          <w:szCs w:val="20"/>
          <w:lang w:val="es-PE"/>
        </w:rPr>
        <w:t>por un monto de USD$</w:t>
      </w:r>
      <w:r w:rsidR="0074034B" w:rsidRPr="00E374AD">
        <w:rPr>
          <w:rFonts w:ascii="Verdana" w:hAnsi="Verdana"/>
          <w:sz w:val="20"/>
          <w:szCs w:val="20"/>
          <w:lang w:val="es-PE"/>
        </w:rPr>
        <w:t>10.000.00</w:t>
      </w:r>
      <w:r w:rsidRPr="00E374AD">
        <w:rPr>
          <w:rFonts w:ascii="Verdana" w:hAnsi="Verdana"/>
          <w:sz w:val="20"/>
          <w:szCs w:val="20"/>
          <w:lang w:val="es-PE"/>
        </w:rPr>
        <w:t xml:space="preserve"> (</w:t>
      </w:r>
      <w:r w:rsidR="0074034B" w:rsidRPr="00E374AD">
        <w:rPr>
          <w:rFonts w:ascii="Verdana" w:hAnsi="Verdana"/>
          <w:sz w:val="20"/>
          <w:szCs w:val="20"/>
          <w:lang w:val="es-PE"/>
        </w:rPr>
        <w:t xml:space="preserve">diez </w:t>
      </w:r>
      <w:r w:rsidRPr="00E374AD">
        <w:rPr>
          <w:rFonts w:ascii="Verdana" w:hAnsi="Verdana"/>
          <w:sz w:val="20"/>
          <w:szCs w:val="20"/>
          <w:lang w:val="es-PE"/>
        </w:rPr>
        <w:t xml:space="preserve">mil dólares de los Estados Unidos de América) a favor </w:t>
      </w:r>
      <w:r w:rsidR="00AD4ACB" w:rsidRPr="00E374AD">
        <w:rPr>
          <w:rFonts w:ascii="Verdana" w:hAnsi="Verdana"/>
          <w:sz w:val="20"/>
          <w:szCs w:val="20"/>
          <w:lang w:val="es-PE"/>
        </w:rPr>
        <w:t xml:space="preserve">de cada </w:t>
      </w:r>
      <w:r w:rsidR="003916D9" w:rsidRPr="0000517A">
        <w:rPr>
          <w:rFonts w:ascii="Verdana" w:hAnsi="Verdana"/>
          <w:sz w:val="20"/>
          <w:szCs w:val="20"/>
          <w:lang w:val="es-PE"/>
        </w:rPr>
        <w:t xml:space="preserve">una de las víctimas, </w:t>
      </w:r>
      <w:r w:rsidR="00AD4ACB" w:rsidRPr="0000517A">
        <w:rPr>
          <w:rFonts w:ascii="Verdana" w:hAnsi="Verdana"/>
          <w:sz w:val="20"/>
          <w:szCs w:val="20"/>
          <w:lang w:val="es-PE"/>
        </w:rPr>
        <w:t xml:space="preserve">a saber: </w:t>
      </w:r>
      <w:r w:rsidRPr="0000517A">
        <w:rPr>
          <w:rFonts w:ascii="Verdana" w:hAnsi="Verdana"/>
          <w:sz w:val="20"/>
          <w:szCs w:val="20"/>
          <w:lang w:val="es-PE"/>
        </w:rPr>
        <w:t>Pedro Castillo Mendoza</w:t>
      </w:r>
      <w:r w:rsidR="003916D9" w:rsidRPr="0000517A">
        <w:rPr>
          <w:rFonts w:ascii="Verdana" w:hAnsi="Verdana"/>
          <w:sz w:val="20"/>
          <w:szCs w:val="20"/>
          <w:lang w:val="es-PE"/>
        </w:rPr>
        <w:t xml:space="preserve"> y </w:t>
      </w:r>
      <w:r w:rsidR="00AD4ACB" w:rsidRPr="0000517A">
        <w:rPr>
          <w:rFonts w:ascii="Verdana" w:hAnsi="Verdana"/>
          <w:sz w:val="20"/>
          <w:szCs w:val="20"/>
          <w:lang w:val="es-PE"/>
        </w:rPr>
        <w:t>Roberto Girón</w:t>
      </w:r>
      <w:r w:rsidRPr="0000517A">
        <w:rPr>
          <w:rFonts w:ascii="Verdana" w:hAnsi="Verdana"/>
          <w:sz w:val="20"/>
          <w:szCs w:val="20"/>
          <w:lang w:val="es-PE"/>
        </w:rPr>
        <w:t>.</w:t>
      </w:r>
      <w:r w:rsidRPr="00AD4ACB">
        <w:rPr>
          <w:rFonts w:ascii="Verdana" w:hAnsi="Verdana"/>
          <w:b/>
          <w:sz w:val="20"/>
          <w:szCs w:val="20"/>
          <w:lang w:val="es-PE"/>
        </w:rPr>
        <w:t xml:space="preserve"> </w:t>
      </w:r>
    </w:p>
    <w:p w:rsidR="0060634E" w:rsidRPr="008E0075" w:rsidRDefault="0060634E" w:rsidP="00FE0342">
      <w:pPr>
        <w:pStyle w:val="Prrafodelista"/>
        <w:spacing w:after="0" w:line="240" w:lineRule="auto"/>
        <w:ind w:left="0"/>
        <w:jc w:val="both"/>
        <w:rPr>
          <w:rFonts w:ascii="Verdana" w:hAnsi="Verdana"/>
          <w:sz w:val="20"/>
          <w:szCs w:val="20"/>
          <w:lang w:val="es-PE"/>
        </w:rPr>
      </w:pPr>
    </w:p>
    <w:p w:rsidR="009508D7" w:rsidRDefault="003A44DD" w:rsidP="00FE0342">
      <w:pPr>
        <w:pStyle w:val="Prrafodelista"/>
        <w:numPr>
          <w:ilvl w:val="0"/>
          <w:numId w:val="33"/>
        </w:numPr>
        <w:spacing w:after="0" w:line="240" w:lineRule="auto"/>
        <w:ind w:left="0" w:firstLine="0"/>
        <w:jc w:val="both"/>
        <w:rPr>
          <w:rFonts w:ascii="Verdana" w:hAnsi="Verdana"/>
          <w:sz w:val="20"/>
          <w:szCs w:val="20"/>
          <w:lang w:val="es-PE"/>
        </w:rPr>
      </w:pPr>
      <w:r w:rsidRPr="008E0075">
        <w:rPr>
          <w:rFonts w:ascii="Verdana" w:hAnsi="Verdana"/>
          <w:sz w:val="20"/>
          <w:szCs w:val="20"/>
          <w:lang w:val="es-PE"/>
        </w:rPr>
        <w:t>En consideración de la información aportada por las representantes respecto a los familiares del señor Pedro Castillo Mendoza, este Tribunal considera que el monto correspondiente a la víctima sea distribuido, en partes iguales, entre sus familiares que  fueron identificados y le sobreviven</w:t>
      </w:r>
      <w:r w:rsidR="00E520A9">
        <w:rPr>
          <w:rStyle w:val="Refdenotaalpie"/>
          <w:rFonts w:ascii="Verdana" w:hAnsi="Verdana"/>
          <w:sz w:val="20"/>
          <w:szCs w:val="20"/>
          <w:lang w:val="es-PE"/>
        </w:rPr>
        <w:footnoteReference w:id="131"/>
      </w:r>
      <w:r w:rsidRPr="008E0075">
        <w:rPr>
          <w:rFonts w:ascii="Verdana" w:hAnsi="Verdana"/>
          <w:sz w:val="20"/>
          <w:szCs w:val="20"/>
          <w:lang w:val="es-PE"/>
        </w:rPr>
        <w:t>, a saber: las señoras Dora Alicia Castillo Mendoza y Berta Lidia Mendoza y el señor Oscar Castillo Mendoza, herma</w:t>
      </w:r>
      <w:r w:rsidR="0060634E" w:rsidRPr="008E0075">
        <w:rPr>
          <w:rFonts w:ascii="Verdana" w:hAnsi="Verdana"/>
          <w:sz w:val="20"/>
          <w:szCs w:val="20"/>
          <w:lang w:val="es-PE"/>
        </w:rPr>
        <w:t>nas y hermano, respectivamente.</w:t>
      </w:r>
    </w:p>
    <w:p w:rsidR="009508D7" w:rsidRDefault="009508D7" w:rsidP="00FE0342">
      <w:pPr>
        <w:pStyle w:val="Prrafodelista"/>
        <w:spacing w:after="0" w:line="240" w:lineRule="auto"/>
        <w:ind w:left="0"/>
        <w:jc w:val="both"/>
        <w:rPr>
          <w:rFonts w:ascii="Verdana" w:hAnsi="Verdana"/>
          <w:sz w:val="20"/>
          <w:szCs w:val="20"/>
          <w:lang w:val="es-PE"/>
        </w:rPr>
      </w:pPr>
    </w:p>
    <w:p w:rsidR="00D325D2" w:rsidRDefault="00AD4ACB" w:rsidP="009508D7">
      <w:pPr>
        <w:pStyle w:val="Prrafodelista"/>
        <w:numPr>
          <w:ilvl w:val="0"/>
          <w:numId w:val="33"/>
        </w:numPr>
        <w:spacing w:after="0" w:line="240" w:lineRule="auto"/>
        <w:ind w:left="0" w:firstLine="0"/>
        <w:jc w:val="both"/>
        <w:rPr>
          <w:rFonts w:ascii="Verdana" w:hAnsi="Verdana"/>
          <w:sz w:val="20"/>
          <w:szCs w:val="20"/>
          <w:lang w:val="es-PE"/>
        </w:rPr>
      </w:pPr>
      <w:r w:rsidRPr="00E374AD">
        <w:rPr>
          <w:rFonts w:ascii="Verdana" w:hAnsi="Verdana"/>
          <w:sz w:val="20"/>
          <w:szCs w:val="20"/>
          <w:lang w:val="es-PE"/>
        </w:rPr>
        <w:t xml:space="preserve">En consideración </w:t>
      </w:r>
      <w:r w:rsidRPr="0000517A">
        <w:rPr>
          <w:rFonts w:ascii="Verdana" w:hAnsi="Verdana"/>
          <w:sz w:val="20"/>
          <w:szCs w:val="20"/>
          <w:lang w:val="es-PE"/>
        </w:rPr>
        <w:t xml:space="preserve">de la información aportada por las representantes respecto a los familiares del señor Roberto Girón, </w:t>
      </w:r>
      <w:r w:rsidR="009052F1" w:rsidRPr="0000517A">
        <w:rPr>
          <w:rFonts w:ascii="Verdana" w:hAnsi="Verdana"/>
          <w:sz w:val="20"/>
          <w:szCs w:val="20"/>
          <w:lang w:val="es-PE"/>
        </w:rPr>
        <w:t>este Tribunal considera que el monto correspondiente a la víctima sea distribuido, en partes iguales, entre sus dos hijos</w:t>
      </w:r>
      <w:r w:rsidR="00D37EA7" w:rsidRPr="0000517A">
        <w:rPr>
          <w:rStyle w:val="Refdenotaalpie"/>
          <w:rFonts w:ascii="Verdana" w:hAnsi="Verdana"/>
          <w:sz w:val="20"/>
          <w:szCs w:val="20"/>
          <w:lang w:val="es-PE"/>
        </w:rPr>
        <w:footnoteReference w:id="132"/>
      </w:r>
      <w:r w:rsidR="009052F1" w:rsidRPr="0000517A">
        <w:rPr>
          <w:rFonts w:ascii="Verdana" w:hAnsi="Verdana"/>
          <w:sz w:val="20"/>
          <w:szCs w:val="20"/>
          <w:lang w:val="es-PE"/>
        </w:rPr>
        <w:t>. Al</w:t>
      </w:r>
      <w:r w:rsidR="009052F1" w:rsidRPr="00E374AD">
        <w:rPr>
          <w:rFonts w:ascii="Verdana" w:hAnsi="Verdana"/>
          <w:sz w:val="20"/>
          <w:szCs w:val="20"/>
          <w:lang w:val="es-PE"/>
        </w:rPr>
        <w:t xml:space="preserve"> </w:t>
      </w:r>
      <w:r w:rsidR="009052F1" w:rsidRPr="0000517A">
        <w:rPr>
          <w:rFonts w:ascii="Verdana" w:hAnsi="Verdana"/>
          <w:sz w:val="20"/>
          <w:szCs w:val="20"/>
          <w:lang w:val="es-PE"/>
        </w:rPr>
        <w:t>respecto</w:t>
      </w:r>
      <w:r w:rsidR="00F6619E" w:rsidRPr="0000517A">
        <w:rPr>
          <w:rFonts w:ascii="Verdana" w:hAnsi="Verdana"/>
          <w:sz w:val="20"/>
          <w:szCs w:val="20"/>
          <w:lang w:val="es-PE"/>
        </w:rPr>
        <w:t>,</w:t>
      </w:r>
      <w:r w:rsidR="009052F1" w:rsidRPr="0000517A">
        <w:rPr>
          <w:rFonts w:ascii="Verdana" w:hAnsi="Verdana"/>
          <w:sz w:val="20"/>
          <w:szCs w:val="20"/>
          <w:lang w:val="es-PE"/>
        </w:rPr>
        <w:t xml:space="preserve"> en el escrito de solicitudes y argumentos l</w:t>
      </w:r>
      <w:r w:rsidR="00F84863">
        <w:rPr>
          <w:rFonts w:ascii="Verdana" w:hAnsi="Verdana"/>
          <w:sz w:val="20"/>
          <w:szCs w:val="20"/>
          <w:lang w:val="es-PE"/>
        </w:rPr>
        <w:t>a</w:t>
      </w:r>
      <w:r w:rsidR="009052F1" w:rsidRPr="0000517A">
        <w:rPr>
          <w:rFonts w:ascii="Verdana" w:hAnsi="Verdana"/>
          <w:sz w:val="20"/>
          <w:szCs w:val="20"/>
          <w:lang w:val="es-PE"/>
        </w:rPr>
        <w:t xml:space="preserve">s representantes </w:t>
      </w:r>
      <w:r w:rsidRPr="0000517A">
        <w:rPr>
          <w:rFonts w:ascii="Verdana" w:hAnsi="Verdana"/>
          <w:sz w:val="20"/>
          <w:szCs w:val="20"/>
          <w:lang w:val="es-PE"/>
        </w:rPr>
        <w:t xml:space="preserve">mencionaron los nombres de </w:t>
      </w:r>
      <w:r w:rsidR="009052F1" w:rsidRPr="0000517A">
        <w:rPr>
          <w:rFonts w:ascii="Verdana" w:hAnsi="Verdana"/>
          <w:sz w:val="20"/>
          <w:szCs w:val="20"/>
          <w:lang w:val="es-PE"/>
        </w:rPr>
        <w:t>su</w:t>
      </w:r>
      <w:r w:rsidR="00164FBA">
        <w:rPr>
          <w:rFonts w:ascii="Verdana" w:hAnsi="Verdana"/>
          <w:sz w:val="20"/>
          <w:szCs w:val="20"/>
          <w:lang w:val="es-PE"/>
        </w:rPr>
        <w:t>s</w:t>
      </w:r>
      <w:r w:rsidR="009052F1" w:rsidRPr="0000517A">
        <w:rPr>
          <w:rFonts w:ascii="Verdana" w:hAnsi="Verdana"/>
          <w:sz w:val="20"/>
          <w:szCs w:val="20"/>
          <w:lang w:val="es-PE"/>
        </w:rPr>
        <w:t xml:space="preserve"> hijo</w:t>
      </w:r>
      <w:r w:rsidR="00164FBA">
        <w:rPr>
          <w:rFonts w:ascii="Verdana" w:hAnsi="Verdana"/>
          <w:sz w:val="20"/>
          <w:szCs w:val="20"/>
          <w:lang w:val="es-PE"/>
        </w:rPr>
        <w:t>s</w:t>
      </w:r>
      <w:r w:rsidR="00190DDB">
        <w:rPr>
          <w:rFonts w:ascii="Verdana" w:hAnsi="Verdana"/>
          <w:sz w:val="20"/>
          <w:szCs w:val="20"/>
          <w:lang w:val="es-PE"/>
        </w:rPr>
        <w:t>,</w:t>
      </w:r>
      <w:r w:rsidR="00190DDB" w:rsidRPr="00190DDB">
        <w:rPr>
          <w:rFonts w:ascii="Verdana" w:hAnsi="Verdana"/>
          <w:sz w:val="16"/>
          <w:lang w:val="es-MX"/>
        </w:rPr>
        <w:t xml:space="preserve"> </w:t>
      </w:r>
      <w:r w:rsidR="00190DDB" w:rsidRPr="00190DDB">
        <w:rPr>
          <w:rFonts w:ascii="Verdana" w:hAnsi="Verdana"/>
          <w:sz w:val="20"/>
          <w:szCs w:val="20"/>
          <w:lang w:val="es-MX"/>
        </w:rPr>
        <w:t>Roberto Estuardo y Nolvia Concepción</w:t>
      </w:r>
      <w:r w:rsidRPr="0000517A">
        <w:rPr>
          <w:rFonts w:ascii="Verdana" w:hAnsi="Verdana"/>
          <w:sz w:val="20"/>
          <w:szCs w:val="20"/>
          <w:lang w:val="es-PE"/>
        </w:rPr>
        <w:t xml:space="preserve">, </w:t>
      </w:r>
      <w:r w:rsidR="009052F1" w:rsidRPr="0000517A">
        <w:rPr>
          <w:rFonts w:ascii="Verdana" w:hAnsi="Verdana"/>
          <w:sz w:val="20"/>
          <w:szCs w:val="20"/>
          <w:lang w:val="es-PE"/>
        </w:rPr>
        <w:t xml:space="preserve">por lo que </w:t>
      </w:r>
      <w:r w:rsidRPr="0000517A">
        <w:rPr>
          <w:rFonts w:ascii="Verdana" w:hAnsi="Verdana"/>
          <w:sz w:val="20"/>
          <w:szCs w:val="20"/>
          <w:lang w:val="es-PE"/>
        </w:rPr>
        <w:t>este Tribunal dispone</w:t>
      </w:r>
      <w:r w:rsidR="009052F1" w:rsidRPr="0000517A">
        <w:rPr>
          <w:rFonts w:ascii="Verdana" w:hAnsi="Verdana"/>
          <w:sz w:val="20"/>
          <w:szCs w:val="20"/>
          <w:lang w:val="es-PE"/>
        </w:rPr>
        <w:t xml:space="preserve"> que</w:t>
      </w:r>
      <w:r w:rsidR="00F6619E" w:rsidRPr="0000517A">
        <w:rPr>
          <w:rFonts w:ascii="Verdana" w:hAnsi="Verdana"/>
          <w:sz w:val="20"/>
          <w:szCs w:val="20"/>
          <w:lang w:val="es-PE"/>
        </w:rPr>
        <w:t xml:space="preserve">, </w:t>
      </w:r>
      <w:r w:rsidR="009052F1" w:rsidRPr="0000517A">
        <w:rPr>
          <w:rFonts w:ascii="Verdana" w:hAnsi="Verdana"/>
          <w:sz w:val="20"/>
          <w:szCs w:val="20"/>
          <w:lang w:val="es-PE"/>
        </w:rPr>
        <w:t xml:space="preserve">en un plazo de un año a partir de la notificación de la </w:t>
      </w:r>
      <w:r w:rsidR="00F6619E" w:rsidRPr="0000517A">
        <w:rPr>
          <w:rFonts w:ascii="Verdana" w:hAnsi="Verdana"/>
          <w:sz w:val="20"/>
          <w:szCs w:val="20"/>
          <w:lang w:val="es-PE"/>
        </w:rPr>
        <w:t xml:space="preserve">presente </w:t>
      </w:r>
      <w:r w:rsidR="009052F1" w:rsidRPr="0000517A">
        <w:rPr>
          <w:rFonts w:ascii="Verdana" w:hAnsi="Verdana"/>
          <w:sz w:val="20"/>
          <w:szCs w:val="20"/>
          <w:lang w:val="es-PE"/>
        </w:rPr>
        <w:t>sentencia, deberán apersonarse y acreditar ante autoridades competentes del Estado, la información oficial necesaria para su identificación y comprobación de parentesco</w:t>
      </w:r>
      <w:r w:rsidR="009052F1" w:rsidRPr="00E374AD">
        <w:rPr>
          <w:rFonts w:ascii="Verdana" w:hAnsi="Verdana"/>
          <w:sz w:val="20"/>
          <w:szCs w:val="20"/>
          <w:lang w:val="es-PE"/>
        </w:rPr>
        <w:t xml:space="preserve">. </w:t>
      </w:r>
    </w:p>
    <w:p w:rsidR="00D325D2" w:rsidRPr="00D325D2" w:rsidRDefault="00D325D2" w:rsidP="00D325D2">
      <w:pPr>
        <w:pStyle w:val="Prrafodelista"/>
        <w:rPr>
          <w:rFonts w:ascii="Verdana" w:hAnsi="Verdana"/>
          <w:sz w:val="20"/>
          <w:szCs w:val="20"/>
          <w:lang w:val="es-PE"/>
        </w:rPr>
      </w:pPr>
    </w:p>
    <w:p w:rsidR="003A44DD" w:rsidRPr="00D325D2" w:rsidRDefault="009508D7" w:rsidP="00D325D2">
      <w:pPr>
        <w:pStyle w:val="Prrafodelista"/>
        <w:spacing w:after="0" w:line="240" w:lineRule="auto"/>
        <w:ind w:left="0"/>
        <w:jc w:val="both"/>
        <w:outlineLvl w:val="1"/>
        <w:rPr>
          <w:rFonts w:ascii="Verdana" w:hAnsi="Verdana"/>
          <w:b/>
          <w:sz w:val="20"/>
          <w:szCs w:val="20"/>
          <w:lang w:val="es-PE"/>
        </w:rPr>
      </w:pPr>
      <w:bookmarkStart w:id="95" w:name="_Toc24538859"/>
      <w:r w:rsidRPr="00D325D2">
        <w:rPr>
          <w:rFonts w:ascii="Verdana" w:hAnsi="Verdana"/>
          <w:b/>
          <w:sz w:val="20"/>
          <w:szCs w:val="20"/>
          <w:lang w:val="es-PE"/>
        </w:rPr>
        <w:t>E.</w:t>
      </w:r>
      <w:r w:rsidR="00D325D2" w:rsidRPr="00D325D2">
        <w:rPr>
          <w:rFonts w:ascii="Verdana" w:hAnsi="Verdana"/>
          <w:b/>
          <w:sz w:val="20"/>
          <w:szCs w:val="20"/>
          <w:lang w:val="es-PE"/>
        </w:rPr>
        <w:t xml:space="preserve"> </w:t>
      </w:r>
      <w:r w:rsidR="003A44DD" w:rsidRPr="00D325D2">
        <w:rPr>
          <w:rFonts w:ascii="Verdana" w:hAnsi="Verdana"/>
          <w:b/>
          <w:sz w:val="20"/>
          <w:szCs w:val="20"/>
          <w:lang w:val="es-PE"/>
        </w:rPr>
        <w:t>Reintegro de los gastos al Fondo de Asistencia Legal de Víctimas</w:t>
      </w:r>
      <w:bookmarkEnd w:id="95"/>
      <w:r w:rsidR="003A44DD" w:rsidRPr="00D325D2">
        <w:rPr>
          <w:rFonts w:ascii="Verdana" w:hAnsi="Verdana"/>
          <w:b/>
          <w:sz w:val="20"/>
          <w:szCs w:val="20"/>
          <w:lang w:val="es-PE"/>
        </w:rPr>
        <w:t xml:space="preserve"> </w:t>
      </w:r>
    </w:p>
    <w:p w:rsidR="0060634E" w:rsidRPr="008E0075" w:rsidRDefault="0060634E" w:rsidP="00FE0342">
      <w:pPr>
        <w:pStyle w:val="Prrafodelista"/>
        <w:spacing w:after="0" w:line="240" w:lineRule="auto"/>
        <w:ind w:left="0"/>
        <w:jc w:val="both"/>
        <w:rPr>
          <w:rFonts w:ascii="Verdana" w:hAnsi="Verdana"/>
          <w:sz w:val="20"/>
          <w:szCs w:val="20"/>
          <w:lang w:val="es-PE"/>
        </w:rPr>
      </w:pPr>
    </w:p>
    <w:p w:rsidR="009508D7" w:rsidRDefault="003A44DD" w:rsidP="00922DD1">
      <w:pPr>
        <w:pStyle w:val="Prrafodelista"/>
        <w:numPr>
          <w:ilvl w:val="0"/>
          <w:numId w:val="33"/>
        </w:numPr>
        <w:spacing w:after="0" w:line="240" w:lineRule="auto"/>
        <w:ind w:left="0" w:firstLine="0"/>
        <w:jc w:val="both"/>
        <w:rPr>
          <w:rFonts w:ascii="Verdana" w:hAnsi="Verdana"/>
          <w:sz w:val="20"/>
          <w:szCs w:val="20"/>
          <w:lang w:val="es-PE"/>
        </w:rPr>
      </w:pPr>
      <w:r w:rsidRPr="008E0075">
        <w:rPr>
          <w:rFonts w:ascii="Verdana" w:hAnsi="Verdana"/>
          <w:sz w:val="20"/>
          <w:szCs w:val="20"/>
          <w:lang w:val="es-PE"/>
        </w:rPr>
        <w:t xml:space="preserve">En el presente caso se otorgó con cargo a dicho Fondo la asistencia económica necesaria para cubrir los costos de las declaraciones por medio de afidávit de Dora Alicia Castillo Mendoza de Luna y Berta Lidia Mendoza, así como la declaración testimonial del señor Edy Iván Bocanegra Conde; los gastos de dictámenes periciales presentados mediante afidávit, de los señores Luis Arroyo Zapatero, Enrique Oscar Stola y Alejandro Rodríguez Barillas y de la señora María Fernanda López Puleilo. Así como los demás gastos razonables y necesarios en que hayan incurrido las defensoras </w:t>
      </w:r>
      <w:r w:rsidRPr="008E0075">
        <w:rPr>
          <w:rFonts w:ascii="Verdana" w:hAnsi="Verdana" w:cs="Verdana"/>
          <w:sz w:val="20"/>
          <w:szCs w:val="20"/>
          <w:lang w:val="es-PE"/>
        </w:rPr>
        <w:t>en el caso que requieran tomar contacto personal con los familiares de Pedro Castillo Mendoza, se incluye los gastos de viaje, traslados, hospedaje y viáticos de un defensor interamericano</w:t>
      </w:r>
      <w:r w:rsidRPr="008E0075">
        <w:rPr>
          <w:rFonts w:ascii="Verdana" w:hAnsi="Verdana"/>
          <w:sz w:val="20"/>
          <w:szCs w:val="20"/>
          <w:lang w:val="es-PE"/>
        </w:rPr>
        <w:t>.</w:t>
      </w:r>
    </w:p>
    <w:p w:rsidR="009508D7" w:rsidRDefault="009508D7" w:rsidP="00922DD1">
      <w:pPr>
        <w:pStyle w:val="Prrafodelista"/>
        <w:spacing w:after="0" w:line="240" w:lineRule="auto"/>
        <w:ind w:left="0"/>
        <w:jc w:val="both"/>
        <w:rPr>
          <w:rFonts w:ascii="Verdana" w:hAnsi="Verdana"/>
          <w:sz w:val="20"/>
          <w:szCs w:val="20"/>
          <w:lang w:val="es-PE"/>
        </w:rPr>
      </w:pPr>
    </w:p>
    <w:p w:rsidR="009508D7" w:rsidRDefault="003A44DD" w:rsidP="00922DD1">
      <w:pPr>
        <w:pStyle w:val="Prrafodelista"/>
        <w:numPr>
          <w:ilvl w:val="0"/>
          <w:numId w:val="33"/>
        </w:numPr>
        <w:spacing w:after="0" w:line="240" w:lineRule="auto"/>
        <w:ind w:left="0" w:firstLine="0"/>
        <w:jc w:val="both"/>
        <w:rPr>
          <w:rFonts w:ascii="Verdana" w:hAnsi="Verdana"/>
          <w:sz w:val="20"/>
          <w:szCs w:val="20"/>
          <w:lang w:val="es-PE"/>
        </w:rPr>
      </w:pPr>
      <w:r w:rsidRPr="009508D7">
        <w:rPr>
          <w:rFonts w:ascii="Verdana" w:hAnsi="Verdana"/>
          <w:sz w:val="20"/>
          <w:szCs w:val="20"/>
          <w:lang w:val="es-PE"/>
        </w:rPr>
        <w:t>Mediante nota de Se</w:t>
      </w:r>
      <w:r w:rsidR="000F1041">
        <w:rPr>
          <w:rFonts w:ascii="Verdana" w:hAnsi="Verdana"/>
          <w:sz w:val="20"/>
          <w:szCs w:val="20"/>
          <w:lang w:val="es-PE"/>
        </w:rPr>
        <w:t>cretaría de la Corte de 23 de agosto</w:t>
      </w:r>
      <w:r w:rsidR="004706F3" w:rsidRPr="009508D7">
        <w:rPr>
          <w:rFonts w:ascii="Verdana" w:hAnsi="Verdana"/>
          <w:sz w:val="20"/>
          <w:szCs w:val="20"/>
          <w:lang w:val="es-PE"/>
        </w:rPr>
        <w:t xml:space="preserve"> </w:t>
      </w:r>
      <w:r w:rsidRPr="009508D7">
        <w:rPr>
          <w:rFonts w:ascii="Verdana" w:hAnsi="Verdana"/>
          <w:sz w:val="20"/>
          <w:szCs w:val="20"/>
          <w:lang w:val="es-PE"/>
        </w:rPr>
        <w:t>de 2019, se remitió un informe al Estado sobre las erogaciones efectuadas en aplicación del Fondo de Asistencia Legal de Víctimas en el presente caso, las cuales ascendieron a la suma de</w:t>
      </w:r>
      <w:r w:rsidR="004706F3" w:rsidRPr="009508D7">
        <w:rPr>
          <w:rFonts w:ascii="Verdana" w:hAnsi="Verdana"/>
          <w:sz w:val="20"/>
          <w:szCs w:val="20"/>
          <w:lang w:val="es-PE"/>
        </w:rPr>
        <w:t xml:space="preserve"> </w:t>
      </w:r>
      <w:r w:rsidR="00EC7916">
        <w:rPr>
          <w:rFonts w:ascii="Verdana" w:hAnsi="Verdana"/>
          <w:sz w:val="20"/>
          <w:szCs w:val="20"/>
          <w:lang w:val="es-PE"/>
        </w:rPr>
        <w:t>USD$</w:t>
      </w:r>
      <w:r w:rsidR="00312A0B">
        <w:rPr>
          <w:rFonts w:ascii="Verdana" w:hAnsi="Verdana"/>
          <w:sz w:val="20"/>
          <w:szCs w:val="20"/>
          <w:lang w:val="es-PE"/>
        </w:rPr>
        <w:t>1,271.54</w:t>
      </w:r>
      <w:r w:rsidR="00EC7916">
        <w:rPr>
          <w:rFonts w:ascii="Verdana" w:hAnsi="Verdana"/>
          <w:sz w:val="20"/>
          <w:szCs w:val="20"/>
          <w:lang w:val="es-PE"/>
        </w:rPr>
        <w:t xml:space="preserve"> (un mil doscientos setenta y un dólares de los Estados Unidos de América con cincuenta y cuatro centavos)</w:t>
      </w:r>
      <w:r w:rsidR="00312A0B" w:rsidRPr="009508D7">
        <w:rPr>
          <w:rFonts w:ascii="Verdana" w:hAnsi="Verdana"/>
          <w:sz w:val="20"/>
          <w:szCs w:val="20"/>
          <w:lang w:val="es-PE"/>
        </w:rPr>
        <w:t xml:space="preserve"> </w:t>
      </w:r>
      <w:r w:rsidRPr="009508D7">
        <w:rPr>
          <w:rFonts w:ascii="Verdana" w:hAnsi="Verdana"/>
          <w:sz w:val="20"/>
          <w:szCs w:val="20"/>
          <w:lang w:val="es-PE"/>
        </w:rPr>
        <w:t>y, según lo dispuesto en el artículo 5 del Reglamento de la Corte sobre el Funcionamiento del referido Fondo, se otorgó un plazo para que Guatemala presentara las observaciones que estimara pertinentes. El Estado present</w:t>
      </w:r>
      <w:r w:rsidR="000F1041">
        <w:rPr>
          <w:rFonts w:ascii="Verdana" w:hAnsi="Verdana"/>
          <w:sz w:val="20"/>
          <w:szCs w:val="20"/>
          <w:lang w:val="es-PE"/>
        </w:rPr>
        <w:t>ó sus observaciones el 2 de septiembre de</w:t>
      </w:r>
      <w:r w:rsidR="004706F3" w:rsidRPr="009508D7">
        <w:rPr>
          <w:rFonts w:ascii="Verdana" w:hAnsi="Verdana"/>
          <w:sz w:val="20"/>
          <w:szCs w:val="20"/>
          <w:lang w:val="es-PE"/>
        </w:rPr>
        <w:t xml:space="preserve"> </w:t>
      </w:r>
      <w:r w:rsidRPr="009508D7">
        <w:rPr>
          <w:rFonts w:ascii="Verdana" w:hAnsi="Verdana"/>
          <w:sz w:val="20"/>
          <w:szCs w:val="20"/>
          <w:lang w:val="es-PE"/>
        </w:rPr>
        <w:t xml:space="preserve">2019, en las cuales objetó el pago de la erogación relativa a la formalización </w:t>
      </w:r>
      <w:r w:rsidRPr="009508D7">
        <w:rPr>
          <w:rFonts w:ascii="Verdana" w:hAnsi="Verdana"/>
          <w:sz w:val="20"/>
          <w:szCs w:val="20"/>
          <w:lang w:val="es-PE"/>
        </w:rPr>
        <w:lastRenderedPageBreak/>
        <w:t>de los afidávits de los familiares del señor Cas</w:t>
      </w:r>
      <w:r w:rsidR="000F1041">
        <w:rPr>
          <w:rFonts w:ascii="Verdana" w:hAnsi="Verdana"/>
          <w:sz w:val="20"/>
          <w:szCs w:val="20"/>
          <w:lang w:val="es-PE"/>
        </w:rPr>
        <w:t>tillo Mendoza por lo siguiente: a) que “se infiere que no abona nada a favor del Estado de presentar observaciones, pues los gastos de formalización del afidávit correspondientes a [tres declaran</w:t>
      </w:r>
      <w:r w:rsidR="009C48B9">
        <w:rPr>
          <w:rFonts w:ascii="Verdana" w:hAnsi="Verdana"/>
          <w:sz w:val="20"/>
          <w:szCs w:val="20"/>
          <w:lang w:val="es-PE"/>
        </w:rPr>
        <w:t>t</w:t>
      </w:r>
      <w:r w:rsidR="000F1041">
        <w:rPr>
          <w:rFonts w:ascii="Verdana" w:hAnsi="Verdana"/>
          <w:sz w:val="20"/>
          <w:szCs w:val="20"/>
          <w:lang w:val="es-PE"/>
        </w:rPr>
        <w:t xml:space="preserve">es], ya fueron pagados por la Corte […] al amparo del Fondo de Asistenia Legal de Víctimas, lo que significa una </w:t>
      </w:r>
      <w:r w:rsidR="000F1041" w:rsidRPr="000F1041">
        <w:rPr>
          <w:rFonts w:ascii="Verdana" w:hAnsi="Verdana"/>
          <w:i/>
          <w:sz w:val="20"/>
          <w:szCs w:val="20"/>
          <w:lang w:val="es-PE"/>
        </w:rPr>
        <w:t>contradictorium situ</w:t>
      </w:r>
      <w:r w:rsidR="000F1041">
        <w:rPr>
          <w:rFonts w:ascii="Verdana" w:hAnsi="Verdana"/>
          <w:sz w:val="20"/>
          <w:szCs w:val="20"/>
          <w:lang w:val="es-PE"/>
        </w:rPr>
        <w:t>”</w:t>
      </w:r>
      <w:r w:rsidR="00067C1B">
        <w:rPr>
          <w:rFonts w:ascii="Verdana" w:hAnsi="Verdana"/>
          <w:sz w:val="20"/>
          <w:szCs w:val="20"/>
          <w:lang w:val="es-PE"/>
        </w:rPr>
        <w:t>,</w:t>
      </w:r>
      <w:r w:rsidR="000F1041">
        <w:rPr>
          <w:rFonts w:ascii="Verdana" w:hAnsi="Verdana"/>
          <w:sz w:val="20"/>
          <w:szCs w:val="20"/>
          <w:lang w:val="es-PE"/>
        </w:rPr>
        <w:t xml:space="preserve"> y </w:t>
      </w:r>
      <w:r w:rsidR="007A22E9">
        <w:rPr>
          <w:rFonts w:ascii="Verdana" w:hAnsi="Verdana"/>
          <w:sz w:val="20"/>
          <w:szCs w:val="20"/>
          <w:lang w:val="es-PE"/>
        </w:rPr>
        <w:t xml:space="preserve">b) considera que </w:t>
      </w:r>
      <w:r w:rsidR="00067C1B">
        <w:rPr>
          <w:rFonts w:ascii="Verdana" w:hAnsi="Verdana"/>
          <w:sz w:val="20"/>
          <w:szCs w:val="20"/>
          <w:lang w:val="es-PE"/>
        </w:rPr>
        <w:t>“</w:t>
      </w:r>
      <w:r w:rsidR="007A22E9">
        <w:rPr>
          <w:rFonts w:ascii="Verdana" w:hAnsi="Verdana"/>
          <w:sz w:val="20"/>
          <w:szCs w:val="20"/>
          <w:lang w:val="es-PE"/>
        </w:rPr>
        <w:t>los honorarios cobrados por la Notaria, por las declaraciones juradas, están dos tercios por encima de la media de cobro que por actuaciones similares se aplican dentro del medio notarial guatemalteco</w:t>
      </w:r>
      <w:r w:rsidR="00067C1B">
        <w:rPr>
          <w:rFonts w:ascii="Verdana" w:hAnsi="Verdana"/>
          <w:sz w:val="20"/>
          <w:szCs w:val="20"/>
          <w:lang w:val="es-PE"/>
        </w:rPr>
        <w:t>”</w:t>
      </w:r>
      <w:r w:rsidR="00EC7916">
        <w:rPr>
          <w:rFonts w:ascii="Verdana" w:hAnsi="Verdana"/>
          <w:sz w:val="20"/>
          <w:szCs w:val="20"/>
          <w:lang w:val="es-PE"/>
        </w:rPr>
        <w:t>, y</w:t>
      </w:r>
      <w:r w:rsidR="007A22E9">
        <w:rPr>
          <w:rFonts w:ascii="Verdana" w:hAnsi="Verdana"/>
          <w:sz w:val="20"/>
          <w:szCs w:val="20"/>
          <w:lang w:val="es-PE"/>
        </w:rPr>
        <w:t xml:space="preserve"> </w:t>
      </w:r>
      <w:r w:rsidR="00312A0B">
        <w:rPr>
          <w:rFonts w:ascii="Verdana" w:hAnsi="Verdana"/>
          <w:sz w:val="20"/>
          <w:szCs w:val="20"/>
          <w:lang w:val="es-PE"/>
        </w:rPr>
        <w:t>c) que respecto “a los gastos de formalización y envío de los [dos dictámenes periciales] […] los comproba</w:t>
      </w:r>
      <w:r w:rsidR="00067C1B">
        <w:rPr>
          <w:rFonts w:ascii="Verdana" w:hAnsi="Verdana"/>
          <w:sz w:val="20"/>
          <w:szCs w:val="20"/>
          <w:lang w:val="es-PE"/>
        </w:rPr>
        <w:t>ntes de dichos gastos n</w:t>
      </w:r>
      <w:r w:rsidR="00312A0B">
        <w:rPr>
          <w:rFonts w:ascii="Verdana" w:hAnsi="Verdana"/>
          <w:sz w:val="20"/>
          <w:szCs w:val="20"/>
          <w:lang w:val="es-PE"/>
        </w:rPr>
        <w:t>o fueron presentados a tiempo [… y] sus contenidos no aportaban nada nuevo que no fuera ya del conocimiento de[l Tribunal</w:t>
      </w:r>
      <w:r w:rsidR="00EC7916">
        <w:rPr>
          <w:rFonts w:ascii="Verdana" w:hAnsi="Verdana"/>
          <w:sz w:val="20"/>
          <w:szCs w:val="20"/>
          <w:lang w:val="es-PE"/>
        </w:rPr>
        <w:t>]”.</w:t>
      </w:r>
    </w:p>
    <w:p w:rsidR="009508D7" w:rsidRDefault="009508D7" w:rsidP="00922DD1">
      <w:pPr>
        <w:pStyle w:val="Prrafodelista"/>
        <w:spacing w:after="0" w:line="240" w:lineRule="auto"/>
        <w:ind w:left="0"/>
        <w:jc w:val="both"/>
        <w:rPr>
          <w:rFonts w:ascii="Verdana" w:hAnsi="Verdana"/>
          <w:sz w:val="20"/>
          <w:szCs w:val="20"/>
          <w:lang w:val="es-PE"/>
        </w:rPr>
      </w:pPr>
    </w:p>
    <w:p w:rsidR="00D325D2" w:rsidRDefault="003A44DD" w:rsidP="009508D7">
      <w:pPr>
        <w:pStyle w:val="Prrafodelista"/>
        <w:numPr>
          <w:ilvl w:val="0"/>
          <w:numId w:val="33"/>
        </w:numPr>
        <w:spacing w:after="0" w:line="240" w:lineRule="auto"/>
        <w:ind w:left="0" w:firstLine="0"/>
        <w:jc w:val="both"/>
        <w:rPr>
          <w:rFonts w:ascii="Verdana" w:hAnsi="Verdana"/>
          <w:sz w:val="20"/>
          <w:szCs w:val="20"/>
          <w:lang w:val="es-PE"/>
        </w:rPr>
      </w:pPr>
      <w:r w:rsidRPr="009508D7">
        <w:rPr>
          <w:rFonts w:ascii="Verdana" w:hAnsi="Verdana"/>
          <w:sz w:val="20"/>
          <w:szCs w:val="20"/>
          <w:lang w:val="es-PE"/>
        </w:rPr>
        <w:t xml:space="preserve">A la luz del artículo 5 del Reglamento del Fondo, en razón de las violaciones declaradas en la presente Sentencia y que se cumplió con los requisitos para acogerse al Fondo, la Corte ordena al Estado el reintegro a dicho Fondo de la cantidad de </w:t>
      </w:r>
      <w:r w:rsidR="00EC7916">
        <w:rPr>
          <w:rFonts w:ascii="Verdana" w:hAnsi="Verdana"/>
          <w:sz w:val="20"/>
          <w:szCs w:val="20"/>
          <w:lang w:val="es-PE"/>
        </w:rPr>
        <w:t>USD$1,271.54 (un mil doscientos setenta y un dólares de los Estados Unidos de América con cincuenta y cuatro centavos)</w:t>
      </w:r>
      <w:r w:rsidR="00710A14">
        <w:rPr>
          <w:rFonts w:ascii="Verdana" w:hAnsi="Verdana"/>
          <w:sz w:val="20"/>
          <w:szCs w:val="20"/>
          <w:lang w:val="es-PE"/>
        </w:rPr>
        <w:t xml:space="preserve"> </w:t>
      </w:r>
      <w:r w:rsidRPr="009508D7">
        <w:rPr>
          <w:rFonts w:ascii="Verdana" w:hAnsi="Verdana"/>
          <w:sz w:val="20"/>
          <w:szCs w:val="20"/>
          <w:lang w:val="es-PE"/>
        </w:rPr>
        <w:t>por concepto de los gastos necesarios realizados. Dicha cantidad deberá ser reintegrada en el plazo de seis meses, contados a partir de la notificación del presente Fallo.</w:t>
      </w:r>
    </w:p>
    <w:p w:rsidR="00D325D2" w:rsidRPr="00D325D2" w:rsidRDefault="00D325D2" w:rsidP="00D325D2">
      <w:pPr>
        <w:pStyle w:val="Prrafodelista"/>
        <w:rPr>
          <w:rFonts w:ascii="Verdana" w:hAnsi="Verdana"/>
          <w:sz w:val="20"/>
          <w:szCs w:val="20"/>
          <w:lang w:val="es-PE"/>
        </w:rPr>
      </w:pPr>
    </w:p>
    <w:p w:rsidR="00DB6740" w:rsidRPr="00D325D2" w:rsidRDefault="00A61525" w:rsidP="00D325D2">
      <w:pPr>
        <w:pStyle w:val="Prrafodelista"/>
        <w:spacing w:after="0" w:line="240" w:lineRule="auto"/>
        <w:ind w:left="0"/>
        <w:jc w:val="both"/>
        <w:outlineLvl w:val="1"/>
        <w:rPr>
          <w:rFonts w:ascii="Verdana" w:hAnsi="Verdana"/>
          <w:b/>
          <w:sz w:val="20"/>
          <w:szCs w:val="20"/>
          <w:lang w:val="es-PE"/>
        </w:rPr>
      </w:pPr>
      <w:bookmarkStart w:id="96" w:name="_Toc24538860"/>
      <w:r w:rsidRPr="00D325D2">
        <w:rPr>
          <w:rFonts w:ascii="Verdana" w:hAnsi="Verdana"/>
          <w:b/>
          <w:sz w:val="20"/>
          <w:szCs w:val="20"/>
          <w:lang w:val="es-PE"/>
        </w:rPr>
        <w:t>F</w:t>
      </w:r>
      <w:r w:rsidR="009508D7" w:rsidRPr="00D325D2">
        <w:rPr>
          <w:rFonts w:ascii="Verdana" w:hAnsi="Verdana"/>
          <w:b/>
          <w:sz w:val="20"/>
          <w:szCs w:val="20"/>
          <w:lang w:val="es-PE"/>
        </w:rPr>
        <w:t xml:space="preserve">. </w:t>
      </w:r>
      <w:r w:rsidR="003A44DD" w:rsidRPr="00D325D2">
        <w:rPr>
          <w:rFonts w:ascii="Verdana" w:hAnsi="Verdana"/>
          <w:b/>
          <w:sz w:val="20"/>
          <w:szCs w:val="20"/>
          <w:lang w:val="es-PE"/>
        </w:rPr>
        <w:t>Modalidad de cumplimiento de los pagos ordenados</w:t>
      </w:r>
      <w:bookmarkEnd w:id="96"/>
      <w:r w:rsidR="003A44DD" w:rsidRPr="00D325D2">
        <w:rPr>
          <w:rFonts w:ascii="Verdana" w:hAnsi="Verdana"/>
          <w:b/>
          <w:sz w:val="20"/>
          <w:szCs w:val="20"/>
          <w:lang w:val="es-PE"/>
        </w:rPr>
        <w:t xml:space="preserve"> </w:t>
      </w:r>
    </w:p>
    <w:p w:rsidR="00DB6740" w:rsidRPr="008E0075" w:rsidRDefault="00A61525" w:rsidP="00A61525">
      <w:pPr>
        <w:pStyle w:val="Prrafodelista"/>
        <w:tabs>
          <w:tab w:val="left" w:pos="0"/>
          <w:tab w:val="left" w:pos="1425"/>
        </w:tabs>
        <w:spacing w:after="0" w:line="240" w:lineRule="auto"/>
        <w:ind w:left="0"/>
        <w:jc w:val="both"/>
        <w:rPr>
          <w:rFonts w:ascii="Verdana" w:hAnsi="Verdana"/>
          <w:sz w:val="20"/>
          <w:szCs w:val="20"/>
          <w:lang w:val="es-PE"/>
        </w:rPr>
      </w:pPr>
      <w:r>
        <w:rPr>
          <w:rFonts w:ascii="Verdana" w:hAnsi="Verdana"/>
          <w:sz w:val="20"/>
          <w:szCs w:val="20"/>
          <w:lang w:val="es-PE"/>
        </w:rPr>
        <w:tab/>
      </w:r>
    </w:p>
    <w:p w:rsidR="009508D7" w:rsidRPr="00F6619E" w:rsidRDefault="003A44DD" w:rsidP="00922DD1">
      <w:pPr>
        <w:pStyle w:val="Prrafodelista"/>
        <w:numPr>
          <w:ilvl w:val="0"/>
          <w:numId w:val="33"/>
        </w:numPr>
        <w:spacing w:after="0" w:line="240" w:lineRule="auto"/>
        <w:ind w:left="0" w:firstLine="0"/>
        <w:jc w:val="both"/>
        <w:rPr>
          <w:rFonts w:ascii="Verdana" w:hAnsi="Verdana"/>
          <w:b/>
          <w:sz w:val="20"/>
          <w:szCs w:val="20"/>
          <w:lang w:val="es-PE"/>
        </w:rPr>
      </w:pPr>
      <w:r w:rsidRPr="008E0075">
        <w:rPr>
          <w:rFonts w:ascii="Verdana" w:hAnsi="Verdana"/>
          <w:sz w:val="20"/>
          <w:szCs w:val="20"/>
          <w:lang w:val="es-PE"/>
        </w:rPr>
        <w:t>El Estado deberá efectuar el pago de la indemnización inmaterial establecida en la presente Sentencia a los familiares del señor Pedro Castillo Mendoza dentro del plazo de un año, contado a partir de la notificación de la presente Sentencia.</w:t>
      </w:r>
      <w:r w:rsidR="00F6619E" w:rsidRPr="00F6619E">
        <w:rPr>
          <w:rFonts w:ascii="Verdana" w:hAnsi="Verdana"/>
          <w:sz w:val="20"/>
          <w:szCs w:val="20"/>
          <w:lang w:val="es-PE"/>
        </w:rPr>
        <w:t xml:space="preserve"> </w:t>
      </w:r>
      <w:r w:rsidR="00F6619E" w:rsidRPr="003A687A">
        <w:rPr>
          <w:rFonts w:ascii="Verdana" w:hAnsi="Verdana"/>
          <w:sz w:val="20"/>
          <w:szCs w:val="20"/>
          <w:lang w:val="es-PE"/>
        </w:rPr>
        <w:t>El pago de la indemnización inmaterial establecida en la presente Sentencia a los dos hijos del señor Roberto Girón deberá efectuarse dentro del</w:t>
      </w:r>
      <w:r w:rsidR="009C48B9">
        <w:rPr>
          <w:rFonts w:ascii="Verdana" w:hAnsi="Verdana"/>
          <w:sz w:val="20"/>
          <w:szCs w:val="20"/>
          <w:lang w:val="es-PE"/>
        </w:rPr>
        <w:t xml:space="preserve"> plazo de un año, a partir de su</w:t>
      </w:r>
      <w:r w:rsidR="00F6619E" w:rsidRPr="003A687A">
        <w:rPr>
          <w:rFonts w:ascii="Verdana" w:hAnsi="Verdana"/>
          <w:sz w:val="20"/>
          <w:szCs w:val="20"/>
          <w:lang w:val="es-PE"/>
        </w:rPr>
        <w:t xml:space="preserve"> identificación y acreditación ante autoridades correspondientes.</w:t>
      </w:r>
    </w:p>
    <w:p w:rsidR="009508D7" w:rsidRDefault="009508D7" w:rsidP="00922DD1">
      <w:pPr>
        <w:pStyle w:val="Prrafodelista"/>
        <w:spacing w:after="0" w:line="240" w:lineRule="auto"/>
        <w:ind w:left="0"/>
        <w:jc w:val="both"/>
        <w:rPr>
          <w:rFonts w:ascii="Verdana" w:hAnsi="Verdana"/>
          <w:sz w:val="20"/>
          <w:szCs w:val="20"/>
          <w:lang w:val="es-PE"/>
        </w:rPr>
      </w:pPr>
    </w:p>
    <w:p w:rsidR="009508D7" w:rsidRDefault="003A44DD" w:rsidP="00922DD1">
      <w:pPr>
        <w:pStyle w:val="Prrafodelista"/>
        <w:numPr>
          <w:ilvl w:val="0"/>
          <w:numId w:val="33"/>
        </w:numPr>
        <w:spacing w:after="0" w:line="240" w:lineRule="auto"/>
        <w:ind w:left="0" w:firstLine="0"/>
        <w:jc w:val="both"/>
        <w:rPr>
          <w:rFonts w:ascii="Verdana" w:hAnsi="Verdana"/>
          <w:sz w:val="20"/>
          <w:szCs w:val="20"/>
          <w:lang w:val="es-PE"/>
        </w:rPr>
      </w:pPr>
      <w:r w:rsidRPr="009508D7">
        <w:rPr>
          <w:rFonts w:ascii="Verdana" w:hAnsi="Verdana"/>
          <w:sz w:val="20"/>
          <w:szCs w:val="20"/>
          <w:lang w:val="es-PE"/>
        </w:rPr>
        <w:t>En caso de que los beneficiarios hayan fallecido o fallezcan antes de que les sea entregada la indemnización respectiva, ésta se efectuará directamente a sus derechohabientes, conform</w:t>
      </w:r>
      <w:r w:rsidR="009508D7">
        <w:rPr>
          <w:rFonts w:ascii="Verdana" w:hAnsi="Verdana"/>
          <w:sz w:val="20"/>
          <w:szCs w:val="20"/>
          <w:lang w:val="es-PE"/>
        </w:rPr>
        <w:t>e al derecho interno aplicable.</w:t>
      </w:r>
    </w:p>
    <w:p w:rsidR="009508D7" w:rsidRDefault="009508D7" w:rsidP="00922DD1">
      <w:pPr>
        <w:pStyle w:val="Prrafodelista"/>
        <w:spacing w:after="0" w:line="240" w:lineRule="auto"/>
        <w:ind w:left="0"/>
        <w:jc w:val="both"/>
        <w:rPr>
          <w:rFonts w:ascii="Verdana" w:hAnsi="Verdana"/>
          <w:sz w:val="20"/>
          <w:szCs w:val="20"/>
          <w:lang w:val="es-PE"/>
        </w:rPr>
      </w:pPr>
    </w:p>
    <w:p w:rsidR="009508D7" w:rsidRDefault="003A44DD" w:rsidP="00922DD1">
      <w:pPr>
        <w:pStyle w:val="Prrafodelista"/>
        <w:numPr>
          <w:ilvl w:val="0"/>
          <w:numId w:val="33"/>
        </w:numPr>
        <w:spacing w:after="0" w:line="240" w:lineRule="auto"/>
        <w:ind w:left="0" w:firstLine="0"/>
        <w:jc w:val="both"/>
        <w:rPr>
          <w:rFonts w:ascii="Verdana" w:hAnsi="Verdana"/>
          <w:sz w:val="20"/>
          <w:szCs w:val="20"/>
          <w:lang w:val="es-PE"/>
        </w:rPr>
      </w:pPr>
      <w:r w:rsidRPr="009508D7">
        <w:rPr>
          <w:rFonts w:ascii="Verdana" w:hAnsi="Verdana"/>
          <w:sz w:val="20"/>
          <w:szCs w:val="20"/>
          <w:lang w:val="es-PE"/>
        </w:rPr>
        <w:t>El Estado debe cumplir sus obligaciones monetarias mediante el pago en dólares de los Estados Unidos de América o en su equivalente en quetzales utilizando para el cálculo respectivo el tipo de cambio que esté vigente en la Bolsa de Nueva York, Estados Unidos de Am</w:t>
      </w:r>
      <w:r w:rsidR="009508D7" w:rsidRPr="009508D7">
        <w:rPr>
          <w:rFonts w:ascii="Verdana" w:hAnsi="Verdana"/>
          <w:sz w:val="20"/>
          <w:szCs w:val="20"/>
          <w:lang w:val="es-PE"/>
        </w:rPr>
        <w:t>érica, el día anterior al pago.</w:t>
      </w:r>
    </w:p>
    <w:p w:rsidR="009508D7" w:rsidRDefault="009508D7" w:rsidP="00922DD1">
      <w:pPr>
        <w:pStyle w:val="Prrafodelista"/>
        <w:spacing w:after="0" w:line="240" w:lineRule="auto"/>
        <w:ind w:left="0"/>
        <w:jc w:val="both"/>
        <w:rPr>
          <w:rFonts w:ascii="Verdana" w:hAnsi="Verdana"/>
          <w:sz w:val="20"/>
          <w:szCs w:val="20"/>
          <w:lang w:val="es-PE"/>
        </w:rPr>
      </w:pPr>
    </w:p>
    <w:p w:rsidR="009508D7" w:rsidRPr="006938DD" w:rsidRDefault="003A44DD" w:rsidP="00922DD1">
      <w:pPr>
        <w:pStyle w:val="Prrafodelista"/>
        <w:numPr>
          <w:ilvl w:val="0"/>
          <w:numId w:val="33"/>
        </w:numPr>
        <w:spacing w:after="0" w:line="240" w:lineRule="auto"/>
        <w:ind w:left="0" w:firstLine="0"/>
        <w:jc w:val="both"/>
        <w:rPr>
          <w:rFonts w:ascii="Verdana" w:hAnsi="Verdana"/>
          <w:b/>
          <w:sz w:val="20"/>
          <w:szCs w:val="20"/>
          <w:lang w:val="es-PE"/>
        </w:rPr>
      </w:pPr>
      <w:r w:rsidRPr="009508D7">
        <w:rPr>
          <w:rFonts w:ascii="Verdana" w:hAnsi="Verdana"/>
          <w:sz w:val="20"/>
          <w:szCs w:val="20"/>
          <w:lang w:val="es-PE"/>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guatemalteca solvente, en dólares estadounidenses, y en las condiciones financieras más favorables que permitan la legislación y la práctica bancaria. Si no se reclama la indemnización correspondiente una vez transcurridos diez años, las cantidades serán devueltas al Estado con los intereses devengados</w:t>
      </w:r>
      <w:r w:rsidRPr="0000517A">
        <w:rPr>
          <w:rFonts w:ascii="Verdana" w:hAnsi="Verdana"/>
          <w:sz w:val="20"/>
          <w:szCs w:val="20"/>
          <w:lang w:val="es-PE"/>
        </w:rPr>
        <w:t xml:space="preserve">. </w:t>
      </w:r>
      <w:r w:rsidR="006938DD" w:rsidRPr="0000517A">
        <w:rPr>
          <w:rFonts w:ascii="Verdana" w:hAnsi="Verdana"/>
          <w:sz w:val="20"/>
          <w:szCs w:val="20"/>
          <w:lang w:val="es-PE"/>
        </w:rPr>
        <w:t xml:space="preserve">En caso de </w:t>
      </w:r>
      <w:r w:rsidR="0086697F" w:rsidRPr="0000517A">
        <w:rPr>
          <w:rFonts w:ascii="Verdana" w:hAnsi="Verdana"/>
          <w:sz w:val="20"/>
          <w:szCs w:val="20"/>
          <w:lang w:val="es-PE"/>
        </w:rPr>
        <w:t xml:space="preserve">que </w:t>
      </w:r>
      <w:r w:rsidR="006938DD" w:rsidRPr="0000517A">
        <w:rPr>
          <w:rFonts w:ascii="Verdana" w:hAnsi="Verdana"/>
          <w:sz w:val="20"/>
          <w:szCs w:val="20"/>
          <w:lang w:val="es-PE"/>
        </w:rPr>
        <w:t>los familiares del señor Girón no</w:t>
      </w:r>
      <w:r w:rsidR="0086697F" w:rsidRPr="0000517A">
        <w:rPr>
          <w:rFonts w:ascii="Verdana" w:hAnsi="Verdana"/>
          <w:sz w:val="20"/>
          <w:szCs w:val="20"/>
          <w:lang w:val="es-PE"/>
        </w:rPr>
        <w:t xml:space="preserve"> se</w:t>
      </w:r>
      <w:r w:rsidR="009C48B9">
        <w:rPr>
          <w:rFonts w:ascii="Verdana" w:hAnsi="Verdana"/>
          <w:sz w:val="20"/>
          <w:szCs w:val="20"/>
          <w:lang w:val="es-PE"/>
        </w:rPr>
        <w:t xml:space="preserve"> identificaran ni se </w:t>
      </w:r>
      <w:r w:rsidR="0086697F" w:rsidRPr="0000517A">
        <w:rPr>
          <w:rFonts w:ascii="Verdana" w:hAnsi="Verdana"/>
          <w:sz w:val="20"/>
          <w:szCs w:val="20"/>
          <w:lang w:val="es-PE"/>
        </w:rPr>
        <w:t>apersonaran</w:t>
      </w:r>
      <w:r w:rsidR="009B54DF">
        <w:rPr>
          <w:rFonts w:ascii="Verdana" w:hAnsi="Verdana"/>
          <w:sz w:val="20"/>
          <w:szCs w:val="20"/>
          <w:lang w:val="es-PE"/>
        </w:rPr>
        <w:t xml:space="preserve"> (</w:t>
      </w:r>
      <w:r w:rsidR="009B54DF" w:rsidRPr="009B54DF">
        <w:rPr>
          <w:rFonts w:ascii="Verdana" w:hAnsi="Verdana"/>
          <w:i/>
          <w:sz w:val="20"/>
          <w:szCs w:val="20"/>
          <w:lang w:val="es-PE"/>
        </w:rPr>
        <w:t xml:space="preserve">supra </w:t>
      </w:r>
      <w:r w:rsidR="007D4060">
        <w:rPr>
          <w:rFonts w:ascii="Verdana" w:hAnsi="Verdana"/>
          <w:sz w:val="20"/>
          <w:szCs w:val="20"/>
          <w:lang w:val="es-PE"/>
        </w:rPr>
        <w:t>párr. 148</w:t>
      </w:r>
      <w:r w:rsidR="009B54DF">
        <w:rPr>
          <w:rFonts w:ascii="Verdana" w:hAnsi="Verdana"/>
          <w:sz w:val="20"/>
          <w:szCs w:val="20"/>
          <w:lang w:val="es-PE"/>
        </w:rPr>
        <w:t>)</w:t>
      </w:r>
      <w:r w:rsidR="0086697F" w:rsidRPr="0000517A">
        <w:rPr>
          <w:rFonts w:ascii="Verdana" w:hAnsi="Verdana"/>
          <w:sz w:val="20"/>
          <w:szCs w:val="20"/>
          <w:lang w:val="es-PE"/>
        </w:rPr>
        <w:t>,</w:t>
      </w:r>
      <w:r w:rsidR="009C48B9">
        <w:rPr>
          <w:rFonts w:ascii="Verdana" w:hAnsi="Verdana"/>
          <w:sz w:val="20"/>
          <w:szCs w:val="20"/>
          <w:lang w:val="es-PE"/>
        </w:rPr>
        <w:t xml:space="preserve"> la suma</w:t>
      </w:r>
      <w:r w:rsidR="006938DD" w:rsidRPr="0000517A">
        <w:rPr>
          <w:rFonts w:ascii="Verdana" w:hAnsi="Verdana"/>
          <w:sz w:val="20"/>
          <w:szCs w:val="20"/>
          <w:lang w:val="es-PE"/>
        </w:rPr>
        <w:t xml:space="preserve"> </w:t>
      </w:r>
      <w:r w:rsidR="009C48B9">
        <w:rPr>
          <w:rFonts w:ascii="Verdana" w:hAnsi="Verdana"/>
          <w:sz w:val="20"/>
          <w:szCs w:val="20"/>
          <w:lang w:val="es-PE"/>
        </w:rPr>
        <w:t>correspondiente fijada como indemnización inmaterial no deberá ser depositada</w:t>
      </w:r>
      <w:r w:rsidR="00907D3C" w:rsidRPr="0000517A">
        <w:rPr>
          <w:rFonts w:ascii="Verdana" w:hAnsi="Verdana"/>
          <w:sz w:val="20"/>
          <w:szCs w:val="20"/>
          <w:lang w:val="es-PE"/>
        </w:rPr>
        <w:t xml:space="preserve"> por el Estado</w:t>
      </w:r>
      <w:r w:rsidR="0086697F" w:rsidRPr="0000517A">
        <w:rPr>
          <w:rFonts w:ascii="Verdana" w:hAnsi="Verdana"/>
          <w:sz w:val="20"/>
          <w:szCs w:val="20"/>
          <w:lang w:val="es-PE"/>
        </w:rPr>
        <w:t>.</w:t>
      </w:r>
      <w:r w:rsidR="0086697F">
        <w:rPr>
          <w:rFonts w:ascii="Verdana" w:hAnsi="Verdana"/>
          <w:b/>
          <w:sz w:val="20"/>
          <w:szCs w:val="20"/>
          <w:lang w:val="es-PE"/>
        </w:rPr>
        <w:t xml:space="preserve"> </w:t>
      </w:r>
    </w:p>
    <w:p w:rsidR="009508D7" w:rsidRDefault="009508D7" w:rsidP="00922DD1">
      <w:pPr>
        <w:pStyle w:val="Prrafodelista"/>
        <w:spacing w:after="0" w:line="240" w:lineRule="auto"/>
        <w:ind w:left="0"/>
        <w:jc w:val="both"/>
        <w:rPr>
          <w:rFonts w:ascii="Verdana" w:hAnsi="Verdana"/>
          <w:sz w:val="20"/>
          <w:szCs w:val="20"/>
          <w:lang w:val="es-PE"/>
        </w:rPr>
      </w:pPr>
    </w:p>
    <w:p w:rsidR="008042F7" w:rsidRPr="00F86130" w:rsidRDefault="003A44DD" w:rsidP="008042F7">
      <w:pPr>
        <w:pStyle w:val="Prrafodelista"/>
        <w:numPr>
          <w:ilvl w:val="0"/>
          <w:numId w:val="33"/>
        </w:numPr>
        <w:spacing w:after="0" w:line="240" w:lineRule="auto"/>
        <w:ind w:left="0" w:firstLine="0"/>
        <w:jc w:val="both"/>
        <w:rPr>
          <w:rFonts w:ascii="Verdana" w:hAnsi="Verdana"/>
          <w:sz w:val="20"/>
          <w:szCs w:val="20"/>
          <w:lang w:val="es-PE"/>
        </w:rPr>
      </w:pPr>
      <w:r w:rsidRPr="009508D7">
        <w:rPr>
          <w:rFonts w:ascii="Verdana" w:hAnsi="Verdana"/>
          <w:sz w:val="20"/>
          <w:szCs w:val="20"/>
          <w:lang w:val="es-PE"/>
        </w:rPr>
        <w:t>La</w:t>
      </w:r>
      <w:r w:rsidR="009C48B9">
        <w:rPr>
          <w:rFonts w:ascii="Verdana" w:hAnsi="Verdana"/>
          <w:sz w:val="20"/>
          <w:szCs w:val="20"/>
          <w:lang w:val="es-PE"/>
        </w:rPr>
        <w:t>s</w:t>
      </w:r>
      <w:r w:rsidRPr="009508D7">
        <w:rPr>
          <w:rFonts w:ascii="Verdana" w:hAnsi="Verdana"/>
          <w:sz w:val="20"/>
          <w:szCs w:val="20"/>
          <w:lang w:val="es-PE"/>
        </w:rPr>
        <w:t xml:space="preserve"> cantidad</w:t>
      </w:r>
      <w:r w:rsidR="009C48B9">
        <w:rPr>
          <w:rFonts w:ascii="Verdana" w:hAnsi="Verdana"/>
          <w:sz w:val="20"/>
          <w:szCs w:val="20"/>
          <w:lang w:val="es-PE"/>
        </w:rPr>
        <w:t>es</w:t>
      </w:r>
      <w:r w:rsidRPr="009508D7">
        <w:rPr>
          <w:rFonts w:ascii="Verdana" w:hAnsi="Verdana"/>
          <w:sz w:val="20"/>
          <w:szCs w:val="20"/>
          <w:lang w:val="es-PE"/>
        </w:rPr>
        <w:t xml:space="preserve"> asignada</w:t>
      </w:r>
      <w:r w:rsidR="009C48B9">
        <w:rPr>
          <w:rFonts w:ascii="Verdana" w:hAnsi="Verdana"/>
          <w:sz w:val="20"/>
          <w:szCs w:val="20"/>
          <w:lang w:val="es-PE"/>
        </w:rPr>
        <w:t>s</w:t>
      </w:r>
      <w:r w:rsidRPr="009508D7">
        <w:rPr>
          <w:rFonts w:ascii="Verdana" w:hAnsi="Verdana"/>
          <w:sz w:val="20"/>
          <w:szCs w:val="20"/>
          <w:lang w:val="es-PE"/>
        </w:rPr>
        <w:t xml:space="preserve"> en la presente Sentencia como indemnización deberá</w:t>
      </w:r>
      <w:r w:rsidR="009C48B9">
        <w:rPr>
          <w:rFonts w:ascii="Verdana" w:hAnsi="Verdana"/>
          <w:sz w:val="20"/>
          <w:szCs w:val="20"/>
          <w:lang w:val="es-PE"/>
        </w:rPr>
        <w:t>n</w:t>
      </w:r>
      <w:r w:rsidRPr="009508D7">
        <w:rPr>
          <w:rFonts w:ascii="Verdana" w:hAnsi="Verdana"/>
          <w:sz w:val="20"/>
          <w:szCs w:val="20"/>
          <w:lang w:val="es-PE"/>
        </w:rPr>
        <w:t xml:space="preserve"> ser entregada</w:t>
      </w:r>
      <w:r w:rsidR="009C48B9">
        <w:rPr>
          <w:rFonts w:ascii="Verdana" w:hAnsi="Verdana"/>
          <w:sz w:val="20"/>
          <w:szCs w:val="20"/>
          <w:lang w:val="es-PE"/>
        </w:rPr>
        <w:t>s</w:t>
      </w:r>
      <w:r w:rsidRPr="009508D7">
        <w:rPr>
          <w:rFonts w:ascii="Verdana" w:hAnsi="Verdana"/>
          <w:sz w:val="20"/>
          <w:szCs w:val="20"/>
          <w:lang w:val="es-PE"/>
        </w:rPr>
        <w:t xml:space="preserve"> a las personas indicadas en forma íntegra, conforme a lo establecido en esta Sentencia, sin reducciones derivadas de eventuales cargas fiscales. En caso de que el Estado incurriera en mora, incluyendo en el reintegro de los gastos al Fondo de Asistencia Legal de Víctimas, deberá pagar un interés sobre la cantidad adeudada, correspondiente al interés bancario moratori</w:t>
      </w:r>
      <w:r w:rsidR="00F86130">
        <w:rPr>
          <w:rFonts w:ascii="Verdana" w:hAnsi="Verdana"/>
          <w:sz w:val="20"/>
          <w:szCs w:val="20"/>
          <w:lang w:val="es-PE"/>
        </w:rPr>
        <w:t>o en la República de Guatemala</w:t>
      </w:r>
    </w:p>
    <w:p w:rsidR="00EB146B" w:rsidRPr="009508D7" w:rsidRDefault="00EB146B" w:rsidP="00EB146B">
      <w:pPr>
        <w:pStyle w:val="Prrafodelista"/>
        <w:tabs>
          <w:tab w:val="left" w:pos="0"/>
        </w:tabs>
        <w:spacing w:after="0" w:line="240" w:lineRule="auto"/>
        <w:ind w:left="0"/>
        <w:jc w:val="both"/>
        <w:rPr>
          <w:rFonts w:ascii="Verdana" w:hAnsi="Verdana"/>
          <w:sz w:val="20"/>
          <w:szCs w:val="20"/>
          <w:lang w:val="es-PE"/>
        </w:rPr>
      </w:pPr>
    </w:p>
    <w:p w:rsidR="00072E98" w:rsidRPr="008E0075" w:rsidRDefault="00072E98" w:rsidP="00683562">
      <w:pPr>
        <w:pStyle w:val="Ttulo1"/>
        <w:spacing w:before="0" w:line="240" w:lineRule="auto"/>
        <w:jc w:val="center"/>
        <w:rPr>
          <w:rFonts w:ascii="Verdana" w:hAnsi="Verdana"/>
          <w:sz w:val="20"/>
          <w:szCs w:val="20"/>
          <w:lang w:val="es-CR"/>
        </w:rPr>
      </w:pPr>
      <w:bookmarkStart w:id="97" w:name="_Toc10019892"/>
      <w:bookmarkStart w:id="98" w:name="_Toc24538861"/>
      <w:r w:rsidRPr="008E0075">
        <w:rPr>
          <w:rFonts w:ascii="Verdana" w:hAnsi="Verdana"/>
          <w:color w:val="auto"/>
          <w:sz w:val="20"/>
          <w:szCs w:val="20"/>
        </w:rPr>
        <w:lastRenderedPageBreak/>
        <w:t>X</w:t>
      </w:r>
      <w:bookmarkStart w:id="99" w:name="_Toc532487621"/>
      <w:bookmarkStart w:id="100" w:name="_Toc536687814"/>
      <w:r w:rsidRPr="008E0075">
        <w:rPr>
          <w:rFonts w:ascii="Verdana" w:hAnsi="Verdana"/>
          <w:color w:val="auto"/>
          <w:sz w:val="20"/>
          <w:szCs w:val="20"/>
        </w:rPr>
        <w:br/>
        <w:t>PUNTOS RESOLUTIVOS</w:t>
      </w:r>
      <w:bookmarkEnd w:id="97"/>
      <w:bookmarkEnd w:id="98"/>
      <w:bookmarkEnd w:id="99"/>
      <w:bookmarkEnd w:id="100"/>
    </w:p>
    <w:p w:rsidR="00072E98" w:rsidRPr="008E0075" w:rsidRDefault="00072E98" w:rsidP="00922DD1">
      <w:pPr>
        <w:pStyle w:val="Normal1"/>
        <w:widowControl/>
        <w:numPr>
          <w:ilvl w:val="0"/>
          <w:numId w:val="33"/>
        </w:numPr>
        <w:pBdr>
          <w:top w:val="nil"/>
          <w:left w:val="nil"/>
          <w:bottom w:val="nil"/>
          <w:right w:val="nil"/>
          <w:between w:val="nil"/>
        </w:pBdr>
        <w:ind w:left="0" w:firstLine="0"/>
        <w:contextualSpacing/>
        <w:jc w:val="both"/>
        <w:rPr>
          <w:rFonts w:ascii="Verdana" w:hAnsi="Verdana"/>
          <w:sz w:val="20"/>
          <w:szCs w:val="20"/>
        </w:rPr>
      </w:pPr>
      <w:r w:rsidRPr="008E0075">
        <w:rPr>
          <w:rFonts w:ascii="Verdana" w:hAnsi="Verdana"/>
          <w:sz w:val="20"/>
          <w:szCs w:val="20"/>
        </w:rPr>
        <w:t xml:space="preserve">Por tanto, </w:t>
      </w:r>
    </w:p>
    <w:p w:rsidR="00072E98" w:rsidRPr="008E0075" w:rsidRDefault="00072E98" w:rsidP="000615D6">
      <w:pPr>
        <w:tabs>
          <w:tab w:val="left" w:pos="720"/>
        </w:tabs>
        <w:spacing w:after="0" w:line="240" w:lineRule="auto"/>
        <w:ind w:right="-90"/>
        <w:contextualSpacing/>
        <w:jc w:val="both"/>
        <w:rPr>
          <w:rFonts w:ascii="Verdana" w:eastAsia="MS Mincho" w:hAnsi="Verdana"/>
          <w:b/>
          <w:bCs/>
          <w:sz w:val="20"/>
          <w:szCs w:val="20"/>
          <w:lang w:val="es-CR" w:bidi="en-US"/>
        </w:rPr>
      </w:pPr>
    </w:p>
    <w:p w:rsidR="00072E98" w:rsidRPr="008E0075" w:rsidRDefault="00072E98" w:rsidP="000615D6">
      <w:pPr>
        <w:tabs>
          <w:tab w:val="left" w:pos="720"/>
        </w:tabs>
        <w:spacing w:after="0" w:line="240" w:lineRule="auto"/>
        <w:ind w:right="-90"/>
        <w:contextualSpacing/>
        <w:jc w:val="both"/>
        <w:rPr>
          <w:rFonts w:ascii="Verdana" w:eastAsia="MS Mincho" w:hAnsi="Verdana"/>
          <w:sz w:val="20"/>
          <w:szCs w:val="20"/>
          <w:lang w:val="es-CR" w:bidi="en-US"/>
        </w:rPr>
      </w:pPr>
      <w:r w:rsidRPr="008E0075">
        <w:rPr>
          <w:rFonts w:ascii="Verdana" w:eastAsia="MS Mincho" w:hAnsi="Verdana"/>
          <w:b/>
          <w:bCs/>
          <w:sz w:val="20"/>
          <w:szCs w:val="20"/>
          <w:lang w:val="es-CR" w:bidi="en-US"/>
        </w:rPr>
        <w:t>LA CORTE,</w:t>
      </w:r>
    </w:p>
    <w:p w:rsidR="00072E98" w:rsidRPr="008E0075" w:rsidRDefault="00072E98" w:rsidP="000615D6">
      <w:pPr>
        <w:tabs>
          <w:tab w:val="left" w:pos="720"/>
        </w:tabs>
        <w:spacing w:after="0" w:line="240" w:lineRule="auto"/>
        <w:ind w:right="-90"/>
        <w:contextualSpacing/>
        <w:jc w:val="both"/>
        <w:rPr>
          <w:rFonts w:ascii="Verdana" w:hAnsi="Verdana"/>
          <w:sz w:val="20"/>
          <w:szCs w:val="20"/>
          <w:lang w:val="es-CR"/>
        </w:rPr>
      </w:pPr>
    </w:p>
    <w:p w:rsidR="00072E98" w:rsidRPr="008E0075" w:rsidRDefault="00072E98" w:rsidP="000615D6">
      <w:pPr>
        <w:tabs>
          <w:tab w:val="left" w:pos="720"/>
        </w:tabs>
        <w:spacing w:after="0" w:line="240" w:lineRule="auto"/>
        <w:ind w:right="-90"/>
        <w:contextualSpacing/>
        <w:jc w:val="both"/>
        <w:rPr>
          <w:rFonts w:ascii="Verdana" w:eastAsia="MS Mincho" w:hAnsi="Verdana"/>
          <w:sz w:val="20"/>
          <w:szCs w:val="20"/>
          <w:lang w:val="es-CR" w:bidi="en-US"/>
        </w:rPr>
      </w:pPr>
      <w:r w:rsidRPr="008E0075">
        <w:rPr>
          <w:rFonts w:ascii="Verdana" w:eastAsia="MS Mincho" w:hAnsi="Verdana"/>
          <w:b/>
          <w:bCs/>
          <w:sz w:val="20"/>
          <w:szCs w:val="20"/>
          <w:lang w:val="es-CR" w:bidi="en-US"/>
        </w:rPr>
        <w:t>DECLARA:</w:t>
      </w:r>
    </w:p>
    <w:p w:rsidR="00072E98" w:rsidRPr="008E0075" w:rsidRDefault="00072E98" w:rsidP="000615D6">
      <w:pPr>
        <w:tabs>
          <w:tab w:val="left" w:pos="720"/>
        </w:tabs>
        <w:spacing w:after="0" w:line="240" w:lineRule="auto"/>
        <w:ind w:right="-90"/>
        <w:contextualSpacing/>
        <w:jc w:val="both"/>
        <w:rPr>
          <w:rFonts w:ascii="Verdana" w:eastAsia="MS Mincho" w:hAnsi="Verdana"/>
          <w:sz w:val="20"/>
          <w:szCs w:val="20"/>
          <w:lang w:val="es-CR" w:bidi="en-US"/>
        </w:rPr>
      </w:pPr>
    </w:p>
    <w:p w:rsidR="00072E98" w:rsidRPr="008E0075" w:rsidRDefault="00633A5F" w:rsidP="000615D6">
      <w:pPr>
        <w:tabs>
          <w:tab w:val="left" w:pos="720"/>
        </w:tabs>
        <w:spacing w:after="0" w:line="240" w:lineRule="auto"/>
        <w:ind w:right="-90"/>
        <w:contextualSpacing/>
        <w:jc w:val="both"/>
        <w:rPr>
          <w:rFonts w:ascii="Verdana" w:eastAsia="MS Mincho" w:hAnsi="Verdana"/>
          <w:sz w:val="20"/>
          <w:szCs w:val="20"/>
          <w:lang w:val="es-CR" w:bidi="en-US"/>
        </w:rPr>
      </w:pPr>
      <w:r>
        <w:rPr>
          <w:rFonts w:ascii="Verdana" w:eastAsia="MS Mincho" w:hAnsi="Verdana"/>
          <w:sz w:val="20"/>
          <w:szCs w:val="20"/>
          <w:lang w:val="es-CR" w:bidi="en-US"/>
        </w:rPr>
        <w:t>Por unanimidad</w:t>
      </w:r>
      <w:r w:rsidR="00072E98" w:rsidRPr="008E0075">
        <w:rPr>
          <w:rFonts w:ascii="Verdana" w:eastAsia="MS Mincho" w:hAnsi="Verdana"/>
          <w:sz w:val="20"/>
          <w:szCs w:val="20"/>
          <w:lang w:val="es-CR" w:bidi="en-US"/>
        </w:rPr>
        <w:t>, que:</w:t>
      </w:r>
    </w:p>
    <w:p w:rsidR="00072E98" w:rsidRPr="008E0075" w:rsidRDefault="00072E98" w:rsidP="000615D6">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rsidR="002D1DB4" w:rsidRPr="008E0075" w:rsidRDefault="002D1DB4" w:rsidP="002D1DB4">
      <w:pPr>
        <w:widowControl w:val="0"/>
        <w:numPr>
          <w:ilvl w:val="0"/>
          <w:numId w:val="23"/>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8E0075">
        <w:rPr>
          <w:rFonts w:ascii="Verdana" w:hAnsi="Verdana"/>
          <w:sz w:val="20"/>
          <w:szCs w:val="20"/>
          <w:lang w:val="es-CR"/>
        </w:rPr>
        <w:t>El Estado es responsable por la violación del derecho a la vida establecido en el artículo 4.1 y 4.2 de la Convención Americana sobre Derechos Humanos, en</w:t>
      </w:r>
      <w:r>
        <w:rPr>
          <w:rFonts w:ascii="Verdana" w:hAnsi="Verdana"/>
          <w:sz w:val="20"/>
          <w:szCs w:val="20"/>
          <w:lang w:val="es-CR"/>
        </w:rPr>
        <w:t xml:space="preserve"> relación con la</w:t>
      </w:r>
      <w:r w:rsidR="00341108">
        <w:rPr>
          <w:rFonts w:ascii="Verdana" w:hAnsi="Verdana"/>
          <w:sz w:val="20"/>
          <w:szCs w:val="20"/>
          <w:lang w:val="es-CR"/>
        </w:rPr>
        <w:t>s obligaciones</w:t>
      </w:r>
      <w:r>
        <w:rPr>
          <w:rFonts w:ascii="Verdana" w:hAnsi="Verdana"/>
          <w:sz w:val="20"/>
          <w:szCs w:val="20"/>
          <w:lang w:val="es-CR"/>
        </w:rPr>
        <w:t xml:space="preserve"> </w:t>
      </w:r>
      <w:r w:rsidR="00341108">
        <w:rPr>
          <w:rFonts w:ascii="Verdana" w:hAnsi="Verdana"/>
          <w:sz w:val="20"/>
          <w:szCs w:val="20"/>
          <w:lang w:val="es-CR"/>
        </w:rPr>
        <w:t>establecida</w:t>
      </w:r>
      <w:r>
        <w:rPr>
          <w:rFonts w:ascii="Verdana" w:hAnsi="Verdana"/>
          <w:sz w:val="20"/>
          <w:szCs w:val="20"/>
          <w:lang w:val="es-CR"/>
        </w:rPr>
        <w:t>s en los artículos 1.1 y 2 de la Convención, en</w:t>
      </w:r>
      <w:r w:rsidRPr="008E0075">
        <w:rPr>
          <w:rFonts w:ascii="Verdana" w:hAnsi="Verdana"/>
          <w:sz w:val="20"/>
          <w:szCs w:val="20"/>
          <w:lang w:val="es-CR"/>
        </w:rPr>
        <w:t xml:space="preserve"> perjuicio</w:t>
      </w:r>
      <w:r w:rsidRPr="008E0075">
        <w:rPr>
          <w:rFonts w:ascii="Verdana" w:hAnsi="Verdana"/>
          <w:kern w:val="2"/>
          <w:sz w:val="20"/>
          <w:szCs w:val="20"/>
          <w:lang w:val="es-CR"/>
        </w:rPr>
        <w:t xml:space="preserve"> de los señores </w:t>
      </w:r>
      <w:r w:rsidRPr="008E0075">
        <w:rPr>
          <w:rFonts w:ascii="Verdana" w:hAnsi="Verdana"/>
          <w:sz w:val="20"/>
          <w:szCs w:val="20"/>
          <w:lang w:val="es-PE"/>
        </w:rPr>
        <w:t>Roberto Girón y Pedro Castillo</w:t>
      </w:r>
      <w:r w:rsidRPr="008E0075">
        <w:rPr>
          <w:rFonts w:ascii="Verdana" w:hAnsi="Verdana"/>
          <w:sz w:val="20"/>
          <w:szCs w:val="20"/>
          <w:lang w:val="es-CR"/>
        </w:rPr>
        <w:t>, en l</w:t>
      </w:r>
      <w:r w:rsidR="00CC3F43">
        <w:rPr>
          <w:rFonts w:ascii="Verdana" w:hAnsi="Verdana"/>
          <w:sz w:val="20"/>
          <w:szCs w:val="20"/>
          <w:lang w:val="es-CR"/>
        </w:rPr>
        <w:t>os términos de los párrafos 63 a 72 y 74</w:t>
      </w:r>
      <w:r w:rsidR="004604A9">
        <w:rPr>
          <w:rFonts w:ascii="Verdana" w:hAnsi="Verdana"/>
          <w:sz w:val="20"/>
          <w:szCs w:val="20"/>
          <w:lang w:val="es-CR"/>
        </w:rPr>
        <w:t xml:space="preserve"> </w:t>
      </w:r>
      <w:r w:rsidRPr="008E0075">
        <w:rPr>
          <w:rFonts w:ascii="Verdana" w:hAnsi="Verdana"/>
          <w:sz w:val="20"/>
          <w:szCs w:val="20"/>
          <w:lang w:val="es-CR"/>
        </w:rPr>
        <w:t>de la presente Sentencia.</w:t>
      </w:r>
    </w:p>
    <w:p w:rsidR="002D1DB4" w:rsidRPr="008E0075" w:rsidRDefault="002D1DB4" w:rsidP="002D1DB4">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rsidR="002D1DB4" w:rsidRDefault="002D1DB4" w:rsidP="002D1DB4">
      <w:pPr>
        <w:widowControl w:val="0"/>
        <w:numPr>
          <w:ilvl w:val="0"/>
          <w:numId w:val="23"/>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8E0075">
        <w:rPr>
          <w:rFonts w:ascii="Verdana" w:hAnsi="Verdana"/>
          <w:kern w:val="2"/>
          <w:sz w:val="20"/>
          <w:szCs w:val="20"/>
          <w:lang w:val="es-CR"/>
        </w:rPr>
        <w:t xml:space="preserve">El Estado es responsable por la violación del derecho a la Integridad Personal, consagrado en los artículos </w:t>
      </w:r>
      <w:r w:rsidRPr="008E0075">
        <w:rPr>
          <w:rFonts w:ascii="Verdana" w:hAnsi="Verdana"/>
          <w:sz w:val="20"/>
          <w:szCs w:val="20"/>
          <w:lang w:val="es-CR"/>
        </w:rPr>
        <w:t xml:space="preserve">5.1 y 5.2 </w:t>
      </w:r>
      <w:r w:rsidRPr="008E0075">
        <w:rPr>
          <w:rFonts w:ascii="Verdana" w:hAnsi="Verdana"/>
          <w:kern w:val="2"/>
          <w:sz w:val="20"/>
          <w:szCs w:val="20"/>
          <w:lang w:val="es-CR"/>
        </w:rPr>
        <w:t xml:space="preserve">de la Convención Americana sobre Derechos Humanos,  </w:t>
      </w:r>
      <w:r>
        <w:rPr>
          <w:rFonts w:ascii="Verdana" w:hAnsi="Verdana"/>
          <w:kern w:val="2"/>
          <w:sz w:val="20"/>
          <w:szCs w:val="20"/>
          <w:lang w:val="es-CR"/>
        </w:rPr>
        <w:t xml:space="preserve">en relación con la obligación establecida en el artículo 1.1 de la Convención, </w:t>
      </w:r>
      <w:r w:rsidRPr="008E0075">
        <w:rPr>
          <w:rFonts w:ascii="Verdana" w:hAnsi="Verdana"/>
          <w:kern w:val="2"/>
          <w:sz w:val="20"/>
          <w:szCs w:val="20"/>
          <w:lang w:val="es-CR"/>
        </w:rPr>
        <w:t xml:space="preserve">en perjuicio de los señores </w:t>
      </w:r>
      <w:r w:rsidRPr="008E0075">
        <w:rPr>
          <w:rFonts w:ascii="Verdana" w:hAnsi="Verdana"/>
          <w:sz w:val="20"/>
          <w:szCs w:val="20"/>
          <w:lang w:val="es-PE"/>
        </w:rPr>
        <w:t>Roberto Girón y Pedro Castillo</w:t>
      </w:r>
      <w:r w:rsidRPr="008E0075">
        <w:rPr>
          <w:rFonts w:ascii="Verdana" w:hAnsi="Verdana"/>
          <w:kern w:val="2"/>
          <w:sz w:val="20"/>
          <w:szCs w:val="20"/>
          <w:lang w:val="es-CR"/>
        </w:rPr>
        <w:t xml:space="preserve">, </w:t>
      </w:r>
      <w:r w:rsidRPr="008E0075">
        <w:rPr>
          <w:rFonts w:ascii="Verdana" w:hAnsi="Verdana"/>
          <w:sz w:val="20"/>
          <w:szCs w:val="20"/>
          <w:lang w:val="es-CR"/>
        </w:rPr>
        <w:t>en l</w:t>
      </w:r>
      <w:r w:rsidR="00CC3F43">
        <w:rPr>
          <w:rFonts w:ascii="Verdana" w:hAnsi="Verdana"/>
          <w:sz w:val="20"/>
          <w:szCs w:val="20"/>
          <w:lang w:val="es-CR"/>
        </w:rPr>
        <w:t>os términos de los párrafos 78 a 88 y 90</w:t>
      </w:r>
      <w:r w:rsidR="009B54DF">
        <w:rPr>
          <w:rFonts w:ascii="Verdana" w:hAnsi="Verdana"/>
          <w:sz w:val="20"/>
          <w:szCs w:val="20"/>
          <w:lang w:val="es-CR"/>
        </w:rPr>
        <w:t xml:space="preserve"> </w:t>
      </w:r>
      <w:r w:rsidRPr="008E0075">
        <w:rPr>
          <w:rFonts w:ascii="Verdana" w:hAnsi="Verdana"/>
          <w:sz w:val="20"/>
          <w:szCs w:val="20"/>
          <w:lang w:val="es-CR"/>
        </w:rPr>
        <w:t xml:space="preserve">de la presente Sentencia. </w:t>
      </w:r>
    </w:p>
    <w:p w:rsidR="002D1DB4" w:rsidRPr="0046081F" w:rsidRDefault="002D1DB4" w:rsidP="002D1DB4">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rsidR="00072E98" w:rsidRPr="008E0075" w:rsidRDefault="00072E98" w:rsidP="000615D6">
      <w:pPr>
        <w:widowControl w:val="0"/>
        <w:numPr>
          <w:ilvl w:val="0"/>
          <w:numId w:val="23"/>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8E0075">
        <w:rPr>
          <w:rFonts w:ascii="Verdana" w:hAnsi="Verdana"/>
          <w:kern w:val="2"/>
          <w:sz w:val="20"/>
          <w:szCs w:val="20"/>
          <w:lang w:val="es-CR"/>
        </w:rPr>
        <w:t>El Estado es responsable por la violación del derecho a las garantías judiciales, cons</w:t>
      </w:r>
      <w:r w:rsidR="00067C1B">
        <w:rPr>
          <w:rFonts w:ascii="Verdana" w:hAnsi="Verdana"/>
          <w:kern w:val="2"/>
          <w:sz w:val="20"/>
          <w:szCs w:val="20"/>
          <w:lang w:val="es-CR"/>
        </w:rPr>
        <w:t>agrado en los artículos 8.2.d) y</w:t>
      </w:r>
      <w:r w:rsidRPr="008E0075">
        <w:rPr>
          <w:rFonts w:ascii="Verdana" w:hAnsi="Verdana"/>
          <w:kern w:val="2"/>
          <w:sz w:val="20"/>
          <w:szCs w:val="20"/>
          <w:lang w:val="es-CR"/>
        </w:rPr>
        <w:t xml:space="preserve"> 8.2.e) de la Convención Americana sobre Derechos Humanos, en relación </w:t>
      </w:r>
      <w:r w:rsidR="00EB11F1" w:rsidRPr="003A687A">
        <w:rPr>
          <w:rFonts w:ascii="Verdana" w:hAnsi="Verdana"/>
          <w:kern w:val="2"/>
          <w:sz w:val="20"/>
          <w:szCs w:val="20"/>
          <w:lang w:val="es-CR"/>
        </w:rPr>
        <w:t>con el artículo 4.1 de la</w:t>
      </w:r>
      <w:r w:rsidR="00EB11F1" w:rsidRPr="00E374AD">
        <w:rPr>
          <w:rFonts w:ascii="Verdana" w:hAnsi="Verdana"/>
          <w:kern w:val="2"/>
          <w:sz w:val="20"/>
          <w:szCs w:val="20"/>
          <w:lang w:val="es-CR"/>
        </w:rPr>
        <w:t xml:space="preserve"> </w:t>
      </w:r>
      <w:r w:rsidR="00EB11F1" w:rsidRPr="003A687A">
        <w:rPr>
          <w:rFonts w:ascii="Verdana" w:hAnsi="Verdana"/>
          <w:kern w:val="2"/>
          <w:sz w:val="20"/>
          <w:szCs w:val="20"/>
          <w:lang w:val="es-CR"/>
        </w:rPr>
        <w:t xml:space="preserve">Convención Americana sobre Derechos Humanos y </w:t>
      </w:r>
      <w:r w:rsidRPr="00E374AD">
        <w:rPr>
          <w:rFonts w:ascii="Verdana" w:hAnsi="Verdana"/>
          <w:kern w:val="2"/>
          <w:sz w:val="20"/>
          <w:szCs w:val="20"/>
          <w:lang w:val="es-CR"/>
        </w:rPr>
        <w:t>c</w:t>
      </w:r>
      <w:r w:rsidRPr="008E0075">
        <w:rPr>
          <w:rFonts w:ascii="Verdana" w:hAnsi="Verdana"/>
          <w:kern w:val="2"/>
          <w:sz w:val="20"/>
          <w:szCs w:val="20"/>
          <w:lang w:val="es-CR"/>
        </w:rPr>
        <w:t>on la</w:t>
      </w:r>
      <w:r w:rsidR="00341108">
        <w:rPr>
          <w:rFonts w:ascii="Verdana" w:hAnsi="Verdana"/>
          <w:kern w:val="2"/>
          <w:sz w:val="20"/>
          <w:szCs w:val="20"/>
          <w:lang w:val="es-CR"/>
        </w:rPr>
        <w:t>s</w:t>
      </w:r>
      <w:r w:rsidRPr="008E0075">
        <w:rPr>
          <w:rFonts w:ascii="Verdana" w:hAnsi="Verdana"/>
          <w:kern w:val="2"/>
          <w:sz w:val="20"/>
          <w:szCs w:val="20"/>
          <w:lang w:val="es-CR"/>
        </w:rPr>
        <w:t xml:space="preserve"> obl</w:t>
      </w:r>
      <w:r w:rsidR="00341108">
        <w:rPr>
          <w:rFonts w:ascii="Verdana" w:hAnsi="Verdana"/>
          <w:kern w:val="2"/>
          <w:sz w:val="20"/>
          <w:szCs w:val="20"/>
          <w:lang w:val="es-CR"/>
        </w:rPr>
        <w:t>igaciones</w:t>
      </w:r>
      <w:r w:rsidRPr="008E0075">
        <w:rPr>
          <w:rFonts w:ascii="Verdana" w:hAnsi="Verdana"/>
          <w:kern w:val="2"/>
          <w:sz w:val="20"/>
          <w:szCs w:val="20"/>
          <w:lang w:val="es-CR"/>
        </w:rPr>
        <w:t xml:space="preserve"> </w:t>
      </w:r>
      <w:r w:rsidR="00341108">
        <w:rPr>
          <w:rFonts w:ascii="Verdana" w:hAnsi="Verdana"/>
          <w:sz w:val="20"/>
          <w:szCs w:val="20"/>
          <w:lang w:val="es-CR"/>
        </w:rPr>
        <w:t>establecidas en los artículos 1.1 y 2</w:t>
      </w:r>
      <w:r w:rsidR="000324AD">
        <w:rPr>
          <w:rFonts w:ascii="Verdana" w:hAnsi="Verdana"/>
          <w:kern w:val="2"/>
          <w:sz w:val="20"/>
          <w:szCs w:val="20"/>
          <w:lang w:val="es-CR"/>
        </w:rPr>
        <w:t xml:space="preserve"> </w:t>
      </w:r>
      <w:r w:rsidRPr="008E0075">
        <w:rPr>
          <w:rFonts w:ascii="Verdana" w:hAnsi="Verdana"/>
          <w:kern w:val="2"/>
          <w:sz w:val="20"/>
          <w:szCs w:val="20"/>
          <w:lang w:val="es-CR"/>
        </w:rPr>
        <w:t xml:space="preserve">de la Convención, en perjuicio de los señores </w:t>
      </w:r>
      <w:r w:rsidRPr="008E0075">
        <w:rPr>
          <w:rFonts w:ascii="Verdana" w:hAnsi="Verdana"/>
          <w:sz w:val="20"/>
          <w:szCs w:val="20"/>
          <w:lang w:val="es-PE"/>
        </w:rPr>
        <w:t>Roberto Girón y Pedro Castillo Mendoza</w:t>
      </w:r>
      <w:r w:rsidRPr="008E0075">
        <w:rPr>
          <w:rFonts w:ascii="Verdana" w:hAnsi="Verdana"/>
          <w:kern w:val="2"/>
          <w:sz w:val="20"/>
          <w:szCs w:val="20"/>
          <w:lang w:val="es-CR"/>
        </w:rPr>
        <w:t xml:space="preserve">, </w:t>
      </w:r>
      <w:r w:rsidRPr="008E0075">
        <w:rPr>
          <w:rFonts w:ascii="Verdana" w:hAnsi="Verdana"/>
          <w:sz w:val="20"/>
          <w:szCs w:val="20"/>
          <w:lang w:val="es-CR"/>
        </w:rPr>
        <w:t>en l</w:t>
      </w:r>
      <w:r w:rsidR="00CC3F43">
        <w:rPr>
          <w:rFonts w:ascii="Verdana" w:hAnsi="Verdana"/>
          <w:sz w:val="20"/>
          <w:szCs w:val="20"/>
          <w:lang w:val="es-CR"/>
        </w:rPr>
        <w:t>os términos de los párrafos 94 a 111 y 123</w:t>
      </w:r>
      <w:r w:rsidRPr="008E0075">
        <w:rPr>
          <w:rFonts w:ascii="Verdana" w:hAnsi="Verdana"/>
          <w:sz w:val="20"/>
          <w:szCs w:val="20"/>
          <w:lang w:val="es-CR"/>
        </w:rPr>
        <w:t xml:space="preserve"> de la presente Sentencia.</w:t>
      </w:r>
      <w:r w:rsidR="008F0C90">
        <w:rPr>
          <w:rFonts w:ascii="Verdana" w:hAnsi="Verdana"/>
          <w:sz w:val="20"/>
          <w:szCs w:val="20"/>
          <w:lang w:val="es-CR"/>
        </w:rPr>
        <w:t xml:space="preserve"> </w:t>
      </w:r>
    </w:p>
    <w:p w:rsidR="0046081F" w:rsidRPr="0046081F" w:rsidRDefault="0046081F" w:rsidP="0046081F">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rsidR="0046081F" w:rsidRDefault="0046081F" w:rsidP="0046081F">
      <w:pPr>
        <w:widowControl w:val="0"/>
        <w:numPr>
          <w:ilvl w:val="0"/>
          <w:numId w:val="23"/>
        </w:numPr>
        <w:tabs>
          <w:tab w:val="left" w:pos="720"/>
        </w:tabs>
        <w:adjustRightInd w:val="0"/>
        <w:spacing w:after="0" w:line="240" w:lineRule="auto"/>
        <w:ind w:right="-90"/>
        <w:contextualSpacing/>
        <w:jc w:val="both"/>
        <w:textAlignment w:val="baseline"/>
        <w:rPr>
          <w:rFonts w:ascii="Verdana" w:hAnsi="Verdana"/>
          <w:sz w:val="20"/>
          <w:szCs w:val="20"/>
          <w:lang w:val="es-CR"/>
        </w:rPr>
      </w:pPr>
      <w:r w:rsidRPr="0046081F">
        <w:rPr>
          <w:rFonts w:ascii="Verdana" w:hAnsi="Verdana"/>
          <w:sz w:val="20"/>
          <w:szCs w:val="20"/>
          <w:lang w:val="es-CR"/>
        </w:rPr>
        <w:t xml:space="preserve">El Estado no es </w:t>
      </w:r>
      <w:r w:rsidR="008D29E6">
        <w:rPr>
          <w:rFonts w:ascii="Verdana" w:hAnsi="Verdana"/>
          <w:sz w:val="20"/>
          <w:szCs w:val="20"/>
          <w:lang w:val="es-CR"/>
        </w:rPr>
        <w:t>responsable por la viola</w:t>
      </w:r>
      <w:r w:rsidR="004604A9">
        <w:rPr>
          <w:rFonts w:ascii="Verdana" w:hAnsi="Verdana"/>
          <w:sz w:val="20"/>
          <w:szCs w:val="20"/>
          <w:lang w:val="es-CR"/>
        </w:rPr>
        <w:t>ción de</w:t>
      </w:r>
      <w:r w:rsidR="006A19B1">
        <w:rPr>
          <w:rFonts w:ascii="Verdana" w:hAnsi="Verdana"/>
          <w:sz w:val="20"/>
          <w:szCs w:val="20"/>
          <w:lang w:val="es-CR"/>
        </w:rPr>
        <w:t>l</w:t>
      </w:r>
      <w:r w:rsidRPr="0046081F">
        <w:rPr>
          <w:rFonts w:ascii="Verdana" w:hAnsi="Verdana"/>
          <w:sz w:val="20"/>
          <w:szCs w:val="20"/>
          <w:lang w:val="es-CR"/>
        </w:rPr>
        <w:t xml:space="preserve"> derecho a </w:t>
      </w:r>
      <w:r w:rsidR="007523A2">
        <w:rPr>
          <w:rFonts w:ascii="Verdana" w:hAnsi="Verdana"/>
          <w:sz w:val="20"/>
          <w:szCs w:val="20"/>
          <w:lang w:val="es-CR"/>
        </w:rPr>
        <w:t>solicitar la amnistía, el indulto o la conmutación de la pena de muerte</w:t>
      </w:r>
      <w:r w:rsidR="008F0C90">
        <w:rPr>
          <w:rFonts w:ascii="Verdana" w:hAnsi="Verdana"/>
          <w:sz w:val="20"/>
          <w:szCs w:val="20"/>
          <w:lang w:val="es-CR"/>
        </w:rPr>
        <w:t xml:space="preserve">, </w:t>
      </w:r>
      <w:r w:rsidR="007523A2">
        <w:rPr>
          <w:rFonts w:ascii="Verdana" w:hAnsi="Verdana"/>
          <w:sz w:val="20"/>
          <w:szCs w:val="20"/>
          <w:lang w:val="es-CR"/>
        </w:rPr>
        <w:t xml:space="preserve"> </w:t>
      </w:r>
      <w:r w:rsidR="008D29E6">
        <w:rPr>
          <w:rFonts w:ascii="Verdana" w:hAnsi="Verdana"/>
          <w:sz w:val="20"/>
          <w:szCs w:val="20"/>
          <w:lang w:val="es-CR"/>
        </w:rPr>
        <w:t xml:space="preserve">y al principio de publicidad </w:t>
      </w:r>
      <w:r w:rsidRPr="0046081F">
        <w:rPr>
          <w:rFonts w:ascii="Verdana" w:hAnsi="Verdana"/>
          <w:sz w:val="20"/>
          <w:szCs w:val="20"/>
          <w:lang w:val="es-CR"/>
        </w:rPr>
        <w:t>establecido</w:t>
      </w:r>
      <w:r w:rsidR="008D29E6">
        <w:rPr>
          <w:rFonts w:ascii="Verdana" w:hAnsi="Verdana"/>
          <w:sz w:val="20"/>
          <w:szCs w:val="20"/>
          <w:lang w:val="es-CR"/>
        </w:rPr>
        <w:t>s en los</w:t>
      </w:r>
      <w:r w:rsidRPr="0046081F">
        <w:rPr>
          <w:rFonts w:ascii="Verdana" w:hAnsi="Verdana"/>
          <w:sz w:val="20"/>
          <w:szCs w:val="20"/>
          <w:lang w:val="es-CR"/>
        </w:rPr>
        <w:t xml:space="preserve"> artículo</w:t>
      </w:r>
      <w:r w:rsidR="008D29E6">
        <w:rPr>
          <w:rFonts w:ascii="Verdana" w:hAnsi="Verdana"/>
          <w:sz w:val="20"/>
          <w:szCs w:val="20"/>
          <w:lang w:val="es-CR"/>
        </w:rPr>
        <w:t>s</w:t>
      </w:r>
      <w:r w:rsidR="008F0C90">
        <w:rPr>
          <w:rFonts w:ascii="Verdana" w:hAnsi="Verdana"/>
          <w:sz w:val="20"/>
          <w:szCs w:val="20"/>
          <w:lang w:val="es-CR"/>
        </w:rPr>
        <w:t xml:space="preserve"> 4.6 y</w:t>
      </w:r>
      <w:r w:rsidR="008D29E6">
        <w:rPr>
          <w:rFonts w:ascii="Verdana" w:hAnsi="Verdana"/>
          <w:sz w:val="20"/>
          <w:szCs w:val="20"/>
          <w:lang w:val="es-CR"/>
        </w:rPr>
        <w:t xml:space="preserve"> 8.5, respectivamente, </w:t>
      </w:r>
      <w:r w:rsidRPr="0046081F">
        <w:rPr>
          <w:rFonts w:ascii="Verdana" w:hAnsi="Verdana"/>
          <w:sz w:val="20"/>
          <w:szCs w:val="20"/>
          <w:lang w:val="es-CR"/>
        </w:rPr>
        <w:t>de la Convención Americana sobre Derechos Human</w:t>
      </w:r>
      <w:r>
        <w:rPr>
          <w:rFonts w:ascii="Verdana" w:hAnsi="Verdana"/>
          <w:sz w:val="20"/>
          <w:szCs w:val="20"/>
          <w:lang w:val="es-CR"/>
        </w:rPr>
        <w:t>os</w:t>
      </w:r>
      <w:r w:rsidRPr="0046081F">
        <w:rPr>
          <w:rFonts w:ascii="Verdana" w:hAnsi="Verdana"/>
          <w:sz w:val="20"/>
          <w:szCs w:val="20"/>
          <w:lang w:val="es-CR"/>
        </w:rPr>
        <w:t xml:space="preserve">, en los términos de los párrafos </w:t>
      </w:r>
      <w:r w:rsidR="00CC3F43">
        <w:rPr>
          <w:rFonts w:ascii="Verdana" w:hAnsi="Verdana"/>
          <w:sz w:val="20"/>
          <w:szCs w:val="20"/>
          <w:lang w:val="es-CR"/>
        </w:rPr>
        <w:t>73 y 74</w:t>
      </w:r>
      <w:r w:rsidR="008F0C90">
        <w:rPr>
          <w:rFonts w:ascii="Verdana" w:hAnsi="Verdana"/>
          <w:sz w:val="20"/>
          <w:szCs w:val="20"/>
          <w:lang w:val="es-CR"/>
        </w:rPr>
        <w:t xml:space="preserve">, </w:t>
      </w:r>
      <w:r w:rsidR="00CC3F43">
        <w:rPr>
          <w:rFonts w:ascii="Verdana" w:hAnsi="Verdana"/>
          <w:sz w:val="20"/>
          <w:szCs w:val="20"/>
          <w:lang w:val="es-CR"/>
        </w:rPr>
        <w:t>y 120 a 122</w:t>
      </w:r>
      <w:r>
        <w:rPr>
          <w:rFonts w:ascii="Verdana" w:hAnsi="Verdana"/>
          <w:sz w:val="20"/>
          <w:szCs w:val="20"/>
          <w:lang w:val="es-CR"/>
        </w:rPr>
        <w:t xml:space="preserve"> </w:t>
      </w:r>
      <w:r w:rsidR="00CC3F43">
        <w:rPr>
          <w:rFonts w:ascii="Verdana" w:hAnsi="Verdana"/>
          <w:sz w:val="20"/>
          <w:szCs w:val="20"/>
          <w:lang w:val="es-CR"/>
        </w:rPr>
        <w:t>y 123</w:t>
      </w:r>
      <w:r w:rsidR="000D6E58">
        <w:rPr>
          <w:rFonts w:ascii="Verdana" w:hAnsi="Verdana"/>
          <w:sz w:val="20"/>
          <w:szCs w:val="20"/>
          <w:lang w:val="es-CR"/>
        </w:rPr>
        <w:t xml:space="preserve"> </w:t>
      </w:r>
      <w:r w:rsidRPr="0046081F">
        <w:rPr>
          <w:rFonts w:ascii="Verdana" w:hAnsi="Verdana"/>
          <w:sz w:val="20"/>
          <w:szCs w:val="20"/>
          <w:lang w:val="es-CR"/>
        </w:rPr>
        <w:t xml:space="preserve">de la presente Sentencia. </w:t>
      </w:r>
    </w:p>
    <w:p w:rsidR="00072E98" w:rsidRPr="008E0075" w:rsidRDefault="00072E98" w:rsidP="000615D6">
      <w:pPr>
        <w:tabs>
          <w:tab w:val="left" w:pos="720"/>
        </w:tabs>
        <w:spacing w:after="0" w:line="240" w:lineRule="auto"/>
        <w:ind w:right="-90"/>
        <w:contextualSpacing/>
        <w:jc w:val="both"/>
        <w:rPr>
          <w:rFonts w:ascii="Verdana" w:hAnsi="Verdana"/>
          <w:sz w:val="20"/>
          <w:szCs w:val="20"/>
          <w:lang w:val="es-CR"/>
        </w:rPr>
      </w:pPr>
    </w:p>
    <w:p w:rsidR="00072E98" w:rsidRPr="008E0075" w:rsidRDefault="00072E98" w:rsidP="000615D6">
      <w:pPr>
        <w:tabs>
          <w:tab w:val="left" w:pos="720"/>
        </w:tabs>
        <w:spacing w:after="0" w:line="240" w:lineRule="auto"/>
        <w:ind w:right="-90"/>
        <w:contextualSpacing/>
        <w:jc w:val="both"/>
        <w:rPr>
          <w:rFonts w:ascii="Verdana" w:eastAsia="MS Mincho" w:hAnsi="Verdana"/>
          <w:b/>
          <w:bCs/>
          <w:sz w:val="20"/>
          <w:szCs w:val="20"/>
          <w:lang w:val="es-CR" w:bidi="en-US"/>
        </w:rPr>
      </w:pPr>
      <w:r w:rsidRPr="008E0075">
        <w:rPr>
          <w:rFonts w:ascii="Verdana" w:eastAsia="MS Mincho" w:hAnsi="Verdana"/>
          <w:b/>
          <w:bCs/>
          <w:sz w:val="20"/>
          <w:szCs w:val="20"/>
          <w:lang w:val="es-CR" w:bidi="en-US"/>
        </w:rPr>
        <w:t>Y DISPONE:</w:t>
      </w:r>
    </w:p>
    <w:p w:rsidR="00072E98" w:rsidRPr="008E0075" w:rsidRDefault="00072E98" w:rsidP="000615D6">
      <w:pPr>
        <w:tabs>
          <w:tab w:val="left" w:pos="720"/>
        </w:tabs>
        <w:spacing w:after="0" w:line="240" w:lineRule="auto"/>
        <w:ind w:right="-90"/>
        <w:contextualSpacing/>
        <w:jc w:val="both"/>
        <w:rPr>
          <w:rFonts w:ascii="Verdana" w:eastAsia="MS Mincho" w:hAnsi="Verdana"/>
          <w:b/>
          <w:bCs/>
          <w:sz w:val="20"/>
          <w:szCs w:val="20"/>
          <w:lang w:val="es-CR" w:bidi="en-US"/>
        </w:rPr>
      </w:pPr>
    </w:p>
    <w:p w:rsidR="00072E98" w:rsidRPr="008E0075" w:rsidRDefault="00633A5F" w:rsidP="000615D6">
      <w:pPr>
        <w:tabs>
          <w:tab w:val="left" w:pos="720"/>
        </w:tabs>
        <w:spacing w:after="0" w:line="240" w:lineRule="auto"/>
        <w:ind w:right="-90"/>
        <w:contextualSpacing/>
        <w:jc w:val="both"/>
        <w:rPr>
          <w:rFonts w:ascii="Verdana" w:eastAsia="MS Mincho" w:hAnsi="Verdana"/>
          <w:sz w:val="20"/>
          <w:szCs w:val="20"/>
          <w:lang w:val="es-CR" w:bidi="en-US"/>
        </w:rPr>
      </w:pPr>
      <w:r>
        <w:rPr>
          <w:rFonts w:ascii="Verdana" w:eastAsia="MS Mincho" w:hAnsi="Verdana"/>
          <w:sz w:val="20"/>
          <w:szCs w:val="20"/>
          <w:lang w:val="es-CR" w:bidi="en-US"/>
        </w:rPr>
        <w:t>Por unanimidad</w:t>
      </w:r>
      <w:r w:rsidR="00072E98" w:rsidRPr="008E0075">
        <w:rPr>
          <w:rFonts w:ascii="Verdana" w:eastAsia="MS Mincho" w:hAnsi="Verdana"/>
          <w:sz w:val="20"/>
          <w:szCs w:val="20"/>
          <w:lang w:val="es-CR" w:bidi="en-US"/>
        </w:rPr>
        <w:t>, que:</w:t>
      </w:r>
    </w:p>
    <w:p w:rsidR="00072E98" w:rsidRPr="008E0075" w:rsidRDefault="00072E98" w:rsidP="000615D6">
      <w:pPr>
        <w:tabs>
          <w:tab w:val="left" w:pos="720"/>
        </w:tabs>
        <w:spacing w:after="0" w:line="240" w:lineRule="auto"/>
        <w:ind w:right="-90"/>
        <w:contextualSpacing/>
        <w:jc w:val="both"/>
        <w:rPr>
          <w:rFonts w:ascii="Verdana" w:eastAsia="MS Mincho" w:hAnsi="Verdana"/>
          <w:bCs/>
          <w:sz w:val="20"/>
          <w:szCs w:val="20"/>
          <w:lang w:val="es-CR" w:bidi="en-US"/>
        </w:rPr>
      </w:pPr>
    </w:p>
    <w:p w:rsidR="00072E98" w:rsidRPr="00170946" w:rsidRDefault="00072E98" w:rsidP="00170946">
      <w:pPr>
        <w:pStyle w:val="Prrafodelista"/>
        <w:widowControl w:val="0"/>
        <w:numPr>
          <w:ilvl w:val="0"/>
          <w:numId w:val="23"/>
        </w:numPr>
        <w:tabs>
          <w:tab w:val="clear" w:pos="5057"/>
        </w:tabs>
        <w:adjustRightInd w:val="0"/>
        <w:spacing w:after="0" w:line="240" w:lineRule="auto"/>
        <w:ind w:left="0" w:right="-90"/>
        <w:jc w:val="both"/>
        <w:textAlignment w:val="baseline"/>
        <w:rPr>
          <w:rFonts w:ascii="Verdana" w:hAnsi="Verdana"/>
          <w:bCs/>
          <w:sz w:val="20"/>
          <w:szCs w:val="20"/>
          <w:lang w:val="es-CR"/>
        </w:rPr>
      </w:pPr>
      <w:r w:rsidRPr="00170946">
        <w:rPr>
          <w:rFonts w:ascii="Verdana" w:hAnsi="Verdana"/>
          <w:sz w:val="20"/>
          <w:szCs w:val="20"/>
          <w:lang w:val="es-CR"/>
        </w:rPr>
        <w:t>Esta</w:t>
      </w:r>
      <w:r w:rsidRPr="00170946">
        <w:rPr>
          <w:rFonts w:ascii="Verdana" w:hAnsi="Verdana"/>
          <w:bCs/>
          <w:sz w:val="20"/>
          <w:szCs w:val="20"/>
          <w:lang w:val="es-CR"/>
        </w:rPr>
        <w:t xml:space="preserve"> Sentencia constituye, por sí misma, una forma de reparación.</w:t>
      </w:r>
    </w:p>
    <w:p w:rsidR="00072E98" w:rsidRPr="008E0075" w:rsidRDefault="00072E98" w:rsidP="000615D6">
      <w:pPr>
        <w:widowControl w:val="0"/>
        <w:tabs>
          <w:tab w:val="left" w:pos="720"/>
        </w:tabs>
        <w:adjustRightInd w:val="0"/>
        <w:spacing w:after="0" w:line="240" w:lineRule="auto"/>
        <w:ind w:right="-90"/>
        <w:contextualSpacing/>
        <w:jc w:val="both"/>
        <w:textAlignment w:val="baseline"/>
        <w:rPr>
          <w:rFonts w:ascii="Verdana" w:hAnsi="Verdana"/>
          <w:bCs/>
          <w:sz w:val="20"/>
          <w:szCs w:val="20"/>
          <w:lang w:val="es-CR"/>
        </w:rPr>
      </w:pPr>
    </w:p>
    <w:p w:rsidR="00923AF0" w:rsidRPr="008E0075" w:rsidRDefault="00E51037" w:rsidP="00170946">
      <w:pPr>
        <w:widowControl w:val="0"/>
        <w:numPr>
          <w:ilvl w:val="0"/>
          <w:numId w:val="23"/>
        </w:numPr>
        <w:tabs>
          <w:tab w:val="left" w:pos="709"/>
        </w:tabs>
        <w:adjustRightInd w:val="0"/>
        <w:spacing w:after="0" w:line="240" w:lineRule="auto"/>
        <w:ind w:right="-90"/>
        <w:contextualSpacing/>
        <w:jc w:val="both"/>
        <w:textAlignment w:val="baseline"/>
        <w:rPr>
          <w:rFonts w:ascii="Verdana" w:hAnsi="Verdana"/>
          <w:bCs/>
          <w:sz w:val="20"/>
          <w:szCs w:val="20"/>
          <w:lang w:val="es-CR"/>
        </w:rPr>
      </w:pPr>
      <w:r>
        <w:rPr>
          <w:rFonts w:ascii="Verdana" w:hAnsi="Verdana"/>
          <w:bCs/>
          <w:sz w:val="20"/>
          <w:szCs w:val="20"/>
          <w:lang w:val="es-CR"/>
        </w:rPr>
        <w:t xml:space="preserve">El Estado </w:t>
      </w:r>
      <w:r w:rsidR="00072E98" w:rsidRPr="008E0075">
        <w:rPr>
          <w:rFonts w:ascii="Verdana" w:hAnsi="Verdana"/>
          <w:bCs/>
          <w:sz w:val="20"/>
          <w:szCs w:val="20"/>
          <w:lang w:val="es-CR"/>
        </w:rPr>
        <w:t>realizar</w:t>
      </w:r>
      <w:r>
        <w:rPr>
          <w:rFonts w:ascii="Verdana" w:hAnsi="Verdana"/>
          <w:bCs/>
          <w:sz w:val="20"/>
          <w:szCs w:val="20"/>
          <w:lang w:val="es-CR"/>
        </w:rPr>
        <w:t>á</w:t>
      </w:r>
      <w:r w:rsidR="00072E98" w:rsidRPr="008E0075">
        <w:rPr>
          <w:rFonts w:ascii="Verdana" w:hAnsi="Verdana"/>
          <w:bCs/>
          <w:sz w:val="20"/>
          <w:szCs w:val="20"/>
          <w:lang w:val="es-CR"/>
        </w:rPr>
        <w:t xml:space="preserve"> las publicac</w:t>
      </w:r>
      <w:r w:rsidR="000D6E58">
        <w:rPr>
          <w:rFonts w:ascii="Verdana" w:hAnsi="Verdana"/>
          <w:bCs/>
          <w:sz w:val="20"/>
          <w:szCs w:val="20"/>
          <w:lang w:val="es-CR"/>
        </w:rPr>
        <w:t>iones indicadas en el párrafo</w:t>
      </w:r>
      <w:r w:rsidR="00CC3F43">
        <w:rPr>
          <w:rFonts w:ascii="Verdana" w:hAnsi="Verdana"/>
          <w:bCs/>
          <w:sz w:val="20"/>
          <w:szCs w:val="20"/>
          <w:lang w:val="es-CR"/>
        </w:rPr>
        <w:t xml:space="preserve"> 132</w:t>
      </w:r>
      <w:r w:rsidR="00F706D2">
        <w:rPr>
          <w:rFonts w:ascii="Verdana" w:hAnsi="Verdana"/>
          <w:bCs/>
          <w:sz w:val="20"/>
          <w:szCs w:val="20"/>
          <w:lang w:val="es-CR"/>
        </w:rPr>
        <w:t xml:space="preserve"> </w:t>
      </w:r>
      <w:r w:rsidR="00072E98" w:rsidRPr="008E0075">
        <w:rPr>
          <w:rFonts w:ascii="Verdana" w:hAnsi="Verdana"/>
          <w:bCs/>
          <w:sz w:val="20"/>
          <w:szCs w:val="20"/>
          <w:lang w:val="es-CR"/>
        </w:rPr>
        <w:t>de la presente Sentencia.</w:t>
      </w:r>
    </w:p>
    <w:p w:rsidR="00072E98" w:rsidRPr="008E0075" w:rsidRDefault="00072E98" w:rsidP="000615D6">
      <w:pPr>
        <w:widowControl w:val="0"/>
        <w:tabs>
          <w:tab w:val="left" w:pos="720"/>
        </w:tabs>
        <w:adjustRightInd w:val="0"/>
        <w:spacing w:after="0" w:line="240" w:lineRule="auto"/>
        <w:ind w:right="-90"/>
        <w:contextualSpacing/>
        <w:jc w:val="both"/>
        <w:textAlignment w:val="baseline"/>
        <w:rPr>
          <w:rFonts w:ascii="Verdana" w:hAnsi="Verdana"/>
          <w:bCs/>
          <w:sz w:val="20"/>
          <w:szCs w:val="20"/>
          <w:lang w:val="es-CR"/>
        </w:rPr>
      </w:pPr>
    </w:p>
    <w:p w:rsidR="00072E98" w:rsidRPr="008E0075" w:rsidRDefault="00E51037" w:rsidP="00170946">
      <w:pPr>
        <w:widowControl w:val="0"/>
        <w:numPr>
          <w:ilvl w:val="0"/>
          <w:numId w:val="23"/>
        </w:numPr>
        <w:tabs>
          <w:tab w:val="left" w:pos="720"/>
        </w:tabs>
        <w:adjustRightInd w:val="0"/>
        <w:spacing w:after="0" w:line="240" w:lineRule="auto"/>
        <w:ind w:right="-90"/>
        <w:contextualSpacing/>
        <w:jc w:val="both"/>
        <w:textAlignment w:val="baseline"/>
        <w:rPr>
          <w:rFonts w:ascii="Verdana" w:hAnsi="Verdana"/>
          <w:bCs/>
          <w:sz w:val="20"/>
          <w:szCs w:val="20"/>
          <w:lang w:val="es-CR"/>
        </w:rPr>
      </w:pPr>
      <w:r>
        <w:rPr>
          <w:rFonts w:ascii="Verdana" w:hAnsi="Verdana"/>
          <w:bCs/>
          <w:sz w:val="20"/>
          <w:szCs w:val="20"/>
          <w:lang w:val="es-CR"/>
        </w:rPr>
        <w:t xml:space="preserve">El Estado </w:t>
      </w:r>
      <w:r w:rsidR="00072E98" w:rsidRPr="008E0075">
        <w:rPr>
          <w:rFonts w:ascii="Verdana" w:hAnsi="Verdana"/>
          <w:bCs/>
          <w:sz w:val="20"/>
          <w:szCs w:val="20"/>
          <w:lang w:val="es-CR"/>
        </w:rPr>
        <w:t>pagar</w:t>
      </w:r>
      <w:r>
        <w:rPr>
          <w:rFonts w:ascii="Verdana" w:hAnsi="Verdana"/>
          <w:bCs/>
          <w:sz w:val="20"/>
          <w:szCs w:val="20"/>
          <w:lang w:val="es-CR"/>
        </w:rPr>
        <w:t>á</w:t>
      </w:r>
      <w:r w:rsidR="00072E98" w:rsidRPr="008E0075">
        <w:rPr>
          <w:rFonts w:ascii="Verdana" w:hAnsi="Verdana"/>
          <w:bCs/>
          <w:sz w:val="20"/>
          <w:szCs w:val="20"/>
          <w:lang w:val="es-CR"/>
        </w:rPr>
        <w:t xml:space="preserve"> la c</w:t>
      </w:r>
      <w:r w:rsidR="00CC3F43">
        <w:rPr>
          <w:rFonts w:ascii="Verdana" w:hAnsi="Verdana"/>
          <w:bCs/>
          <w:sz w:val="20"/>
          <w:szCs w:val="20"/>
          <w:lang w:val="es-CR"/>
        </w:rPr>
        <w:t>antidad fijada en el párrafo 146</w:t>
      </w:r>
      <w:r w:rsidR="00072E98" w:rsidRPr="008E0075">
        <w:rPr>
          <w:rFonts w:ascii="Verdana" w:hAnsi="Verdana"/>
          <w:bCs/>
          <w:sz w:val="20"/>
          <w:szCs w:val="20"/>
          <w:lang w:val="es-CR"/>
        </w:rPr>
        <w:t xml:space="preserve"> de la presente Sentencia, por concepto de indemnización por daño inmaterial</w:t>
      </w:r>
      <w:r w:rsidR="008C3DB8">
        <w:rPr>
          <w:rFonts w:ascii="Verdana" w:hAnsi="Verdana"/>
          <w:bCs/>
          <w:sz w:val="20"/>
          <w:szCs w:val="20"/>
          <w:lang w:val="es-CR"/>
        </w:rPr>
        <w:t xml:space="preserve">, en </w:t>
      </w:r>
      <w:r w:rsidR="00F706D2">
        <w:rPr>
          <w:rFonts w:ascii="Verdana" w:hAnsi="Verdana"/>
          <w:bCs/>
          <w:sz w:val="20"/>
          <w:szCs w:val="20"/>
          <w:lang w:val="es-CR"/>
        </w:rPr>
        <w:t>los términ</w:t>
      </w:r>
      <w:r w:rsidR="00CC3F43">
        <w:rPr>
          <w:rFonts w:ascii="Verdana" w:hAnsi="Verdana"/>
          <w:bCs/>
          <w:sz w:val="20"/>
          <w:szCs w:val="20"/>
          <w:lang w:val="es-CR"/>
        </w:rPr>
        <w:t>os de los párrafos 147 y 148</w:t>
      </w:r>
      <w:r w:rsidR="008C3DB8">
        <w:rPr>
          <w:rFonts w:ascii="Verdana" w:hAnsi="Verdana"/>
          <w:bCs/>
          <w:sz w:val="20"/>
          <w:szCs w:val="20"/>
          <w:lang w:val="es-CR"/>
        </w:rPr>
        <w:t xml:space="preserve"> de esta Sentencia</w:t>
      </w:r>
      <w:r w:rsidR="00072E98" w:rsidRPr="008E0075">
        <w:rPr>
          <w:rFonts w:ascii="Verdana" w:hAnsi="Verdana"/>
          <w:bCs/>
          <w:sz w:val="20"/>
          <w:szCs w:val="20"/>
          <w:lang w:val="es-CR"/>
        </w:rPr>
        <w:t>.</w:t>
      </w:r>
    </w:p>
    <w:p w:rsidR="00072E98" w:rsidRPr="008E0075" w:rsidRDefault="00072E98" w:rsidP="000615D6">
      <w:pPr>
        <w:widowControl w:val="0"/>
        <w:tabs>
          <w:tab w:val="left" w:pos="720"/>
        </w:tabs>
        <w:adjustRightInd w:val="0"/>
        <w:spacing w:after="0" w:line="240" w:lineRule="auto"/>
        <w:ind w:right="-90"/>
        <w:contextualSpacing/>
        <w:jc w:val="both"/>
        <w:textAlignment w:val="baseline"/>
        <w:rPr>
          <w:rFonts w:ascii="Verdana" w:hAnsi="Verdana"/>
          <w:bCs/>
          <w:sz w:val="20"/>
          <w:szCs w:val="20"/>
          <w:lang w:val="es-CR"/>
        </w:rPr>
      </w:pPr>
    </w:p>
    <w:p w:rsidR="00072E98" w:rsidRPr="008E0075" w:rsidRDefault="00E51037" w:rsidP="00170946">
      <w:pPr>
        <w:widowControl w:val="0"/>
        <w:numPr>
          <w:ilvl w:val="0"/>
          <w:numId w:val="23"/>
        </w:numPr>
        <w:tabs>
          <w:tab w:val="left" w:pos="720"/>
        </w:tabs>
        <w:adjustRightInd w:val="0"/>
        <w:spacing w:after="0" w:line="240" w:lineRule="auto"/>
        <w:ind w:right="-90"/>
        <w:contextualSpacing/>
        <w:jc w:val="both"/>
        <w:textAlignment w:val="baseline"/>
        <w:rPr>
          <w:rFonts w:ascii="Verdana" w:hAnsi="Verdana"/>
          <w:sz w:val="20"/>
          <w:szCs w:val="20"/>
          <w:lang w:val="es-CR"/>
        </w:rPr>
      </w:pPr>
      <w:r>
        <w:rPr>
          <w:rFonts w:ascii="Verdana" w:hAnsi="Verdana"/>
          <w:sz w:val="20"/>
          <w:szCs w:val="20"/>
          <w:lang w:val="es-CR"/>
        </w:rPr>
        <w:t xml:space="preserve">El Estado </w:t>
      </w:r>
      <w:r w:rsidR="00072E98" w:rsidRPr="008E0075">
        <w:rPr>
          <w:rFonts w:ascii="Verdana" w:hAnsi="Verdana"/>
          <w:sz w:val="20"/>
          <w:szCs w:val="20"/>
          <w:lang w:val="es-CR"/>
        </w:rPr>
        <w:t>reintegrar</w:t>
      </w:r>
      <w:r>
        <w:rPr>
          <w:rFonts w:ascii="Verdana" w:hAnsi="Verdana"/>
          <w:sz w:val="20"/>
          <w:szCs w:val="20"/>
          <w:lang w:val="es-CR"/>
        </w:rPr>
        <w:t>á</w:t>
      </w:r>
      <w:r w:rsidR="00072E98" w:rsidRPr="008E0075">
        <w:rPr>
          <w:rFonts w:ascii="Verdana" w:hAnsi="Verdana"/>
          <w:sz w:val="20"/>
          <w:szCs w:val="20"/>
          <w:lang w:val="es-CR"/>
        </w:rPr>
        <w:t xml:space="preserve"> al Fondo de Asistencia Legal de Víctimas de la Corte Interamericana de Derechos Humanos la cantidad erogada durante la tramitación del presente caso,</w:t>
      </w:r>
      <w:r w:rsidR="00CC3F43">
        <w:rPr>
          <w:rFonts w:ascii="Verdana" w:hAnsi="Verdana"/>
          <w:sz w:val="20"/>
          <w:szCs w:val="20"/>
          <w:lang w:val="es-CR"/>
        </w:rPr>
        <w:t xml:space="preserve"> en los términos del párrafo 151</w:t>
      </w:r>
      <w:r w:rsidR="00072E98" w:rsidRPr="008E0075">
        <w:rPr>
          <w:rFonts w:ascii="Verdana" w:hAnsi="Verdana"/>
          <w:sz w:val="20"/>
          <w:szCs w:val="20"/>
          <w:lang w:val="es-CR"/>
        </w:rPr>
        <w:t xml:space="preserve"> de esta Sentencia.</w:t>
      </w:r>
    </w:p>
    <w:p w:rsidR="00072E98" w:rsidRPr="008E0075" w:rsidRDefault="00072E98" w:rsidP="000615D6">
      <w:pPr>
        <w:widowControl w:val="0"/>
        <w:tabs>
          <w:tab w:val="left" w:pos="720"/>
        </w:tabs>
        <w:adjustRightInd w:val="0"/>
        <w:spacing w:after="0" w:line="240" w:lineRule="auto"/>
        <w:ind w:right="-90"/>
        <w:contextualSpacing/>
        <w:jc w:val="both"/>
        <w:textAlignment w:val="baseline"/>
        <w:rPr>
          <w:rFonts w:ascii="Verdana" w:hAnsi="Verdana"/>
          <w:sz w:val="20"/>
          <w:szCs w:val="20"/>
          <w:lang w:val="es-CR"/>
        </w:rPr>
      </w:pPr>
    </w:p>
    <w:p w:rsidR="00072E98" w:rsidRPr="008E0075" w:rsidRDefault="00072E98" w:rsidP="00170946">
      <w:pPr>
        <w:widowControl w:val="0"/>
        <w:numPr>
          <w:ilvl w:val="0"/>
          <w:numId w:val="23"/>
        </w:numPr>
        <w:tabs>
          <w:tab w:val="left" w:pos="720"/>
        </w:tabs>
        <w:adjustRightInd w:val="0"/>
        <w:spacing w:after="0" w:line="240" w:lineRule="auto"/>
        <w:ind w:right="-90"/>
        <w:contextualSpacing/>
        <w:jc w:val="both"/>
        <w:textAlignment w:val="baseline"/>
        <w:rPr>
          <w:rFonts w:ascii="Verdana" w:eastAsia="MS Mincho" w:hAnsi="Verdana"/>
          <w:bCs/>
          <w:sz w:val="20"/>
          <w:szCs w:val="20"/>
          <w:lang w:val="es-CR" w:bidi="en-US"/>
        </w:rPr>
      </w:pPr>
      <w:r w:rsidRPr="008E0075">
        <w:rPr>
          <w:rFonts w:ascii="Verdana" w:hAnsi="Verdana"/>
          <w:bCs/>
          <w:sz w:val="20"/>
          <w:szCs w:val="20"/>
          <w:lang w:val="es-CR"/>
        </w:rPr>
        <w:t>El Estado, dentro del plazo de un año contado a partir de la noti</w:t>
      </w:r>
      <w:r w:rsidR="00E51037">
        <w:rPr>
          <w:rFonts w:ascii="Verdana" w:hAnsi="Verdana"/>
          <w:bCs/>
          <w:sz w:val="20"/>
          <w:szCs w:val="20"/>
          <w:lang w:val="es-CR"/>
        </w:rPr>
        <w:t xml:space="preserve">ficación de esta Sentencia, </w:t>
      </w:r>
      <w:r w:rsidRPr="008E0075">
        <w:rPr>
          <w:rFonts w:ascii="Verdana" w:hAnsi="Verdana"/>
          <w:bCs/>
          <w:sz w:val="20"/>
          <w:szCs w:val="20"/>
          <w:lang w:val="es-CR"/>
        </w:rPr>
        <w:t>rendir</w:t>
      </w:r>
      <w:r w:rsidR="00E51037">
        <w:rPr>
          <w:rFonts w:ascii="Verdana" w:hAnsi="Verdana"/>
          <w:bCs/>
          <w:sz w:val="20"/>
          <w:szCs w:val="20"/>
          <w:lang w:val="es-CR"/>
        </w:rPr>
        <w:t>á</w:t>
      </w:r>
      <w:r w:rsidRPr="008E0075">
        <w:rPr>
          <w:rFonts w:ascii="Verdana" w:hAnsi="Verdana"/>
          <w:bCs/>
          <w:sz w:val="20"/>
          <w:szCs w:val="20"/>
          <w:lang w:val="es-CR"/>
        </w:rPr>
        <w:t xml:space="preserve"> al Tribunal un informe sobre las medidas adoptadas para cumplir con la </w:t>
      </w:r>
      <w:r w:rsidRPr="008E0075">
        <w:rPr>
          <w:rFonts w:ascii="Verdana" w:hAnsi="Verdana"/>
          <w:bCs/>
          <w:sz w:val="20"/>
          <w:szCs w:val="20"/>
          <w:lang w:val="es-CR"/>
        </w:rPr>
        <w:lastRenderedPageBreak/>
        <w:t xml:space="preserve">misma, sin perjuicio de </w:t>
      </w:r>
      <w:r w:rsidR="00CC3F43">
        <w:rPr>
          <w:rFonts w:ascii="Verdana" w:hAnsi="Verdana"/>
          <w:bCs/>
          <w:sz w:val="20"/>
          <w:szCs w:val="20"/>
          <w:lang w:val="es-CR"/>
        </w:rPr>
        <w:t>lo establecido en el párrafo 132</w:t>
      </w:r>
      <w:r w:rsidRPr="008E0075">
        <w:rPr>
          <w:rFonts w:ascii="Verdana" w:hAnsi="Verdana"/>
          <w:bCs/>
          <w:sz w:val="20"/>
          <w:szCs w:val="20"/>
          <w:lang w:val="es-CR"/>
        </w:rPr>
        <w:t xml:space="preserve"> de la presente Sentencia.</w:t>
      </w:r>
    </w:p>
    <w:p w:rsidR="00072E98" w:rsidRPr="008E0075" w:rsidRDefault="00072E98" w:rsidP="000615D6">
      <w:pPr>
        <w:widowControl w:val="0"/>
        <w:tabs>
          <w:tab w:val="left" w:pos="720"/>
        </w:tabs>
        <w:adjustRightInd w:val="0"/>
        <w:spacing w:after="0" w:line="240" w:lineRule="auto"/>
        <w:ind w:right="-90"/>
        <w:contextualSpacing/>
        <w:jc w:val="both"/>
        <w:textAlignment w:val="baseline"/>
        <w:rPr>
          <w:rFonts w:ascii="Verdana" w:eastAsia="MS Mincho" w:hAnsi="Verdana"/>
          <w:bCs/>
          <w:sz w:val="20"/>
          <w:szCs w:val="20"/>
          <w:lang w:val="es-CR" w:bidi="en-US"/>
        </w:rPr>
      </w:pPr>
    </w:p>
    <w:p w:rsidR="00072E98" w:rsidRPr="00683562" w:rsidRDefault="00072E98" w:rsidP="00170946">
      <w:pPr>
        <w:widowControl w:val="0"/>
        <w:numPr>
          <w:ilvl w:val="0"/>
          <w:numId w:val="23"/>
        </w:numPr>
        <w:tabs>
          <w:tab w:val="left" w:pos="720"/>
        </w:tabs>
        <w:adjustRightInd w:val="0"/>
        <w:spacing w:after="0" w:line="240" w:lineRule="auto"/>
        <w:ind w:right="-90"/>
        <w:contextualSpacing/>
        <w:jc w:val="both"/>
        <w:textAlignment w:val="baseline"/>
        <w:rPr>
          <w:rFonts w:ascii="Verdana" w:hAnsi="Verdana"/>
          <w:b/>
          <w:bCs/>
          <w:sz w:val="20"/>
          <w:szCs w:val="20"/>
          <w:lang w:val="es-CR"/>
        </w:rPr>
      </w:pPr>
      <w:r w:rsidRPr="008E0075">
        <w:rPr>
          <w:rFonts w:ascii="Verdana" w:hAnsi="Verdana"/>
          <w:bCs/>
          <w:sz w:val="20"/>
          <w:szCs w:val="20"/>
          <w:lang w:val="es-CR"/>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rsidR="00683562" w:rsidRDefault="00683562" w:rsidP="00683562">
      <w:pPr>
        <w:pStyle w:val="Prrafodelista"/>
        <w:rPr>
          <w:rFonts w:ascii="Verdana" w:hAnsi="Verdana"/>
          <w:b/>
          <w:bCs/>
          <w:sz w:val="20"/>
          <w:szCs w:val="20"/>
          <w:lang w:val="es-CR"/>
        </w:rPr>
      </w:pPr>
    </w:p>
    <w:p w:rsidR="00683562" w:rsidRDefault="00683562">
      <w:pPr>
        <w:rPr>
          <w:rFonts w:ascii="Verdana" w:hAnsi="Verdana"/>
          <w:b/>
          <w:bCs/>
          <w:sz w:val="20"/>
          <w:szCs w:val="20"/>
          <w:lang w:val="es-CR"/>
        </w:rPr>
      </w:pPr>
      <w:r>
        <w:rPr>
          <w:rFonts w:ascii="Verdana" w:hAnsi="Verdana"/>
          <w:b/>
          <w:bCs/>
          <w:sz w:val="20"/>
          <w:szCs w:val="20"/>
          <w:lang w:val="es-CR"/>
        </w:rPr>
        <w:br w:type="page"/>
      </w:r>
    </w:p>
    <w:p w:rsidR="00683562" w:rsidRPr="008E0075" w:rsidRDefault="00683562" w:rsidP="003803AD">
      <w:pPr>
        <w:widowControl w:val="0"/>
        <w:tabs>
          <w:tab w:val="left" w:pos="720"/>
        </w:tabs>
        <w:adjustRightInd w:val="0"/>
        <w:spacing w:after="0" w:line="240" w:lineRule="auto"/>
        <w:contextualSpacing/>
        <w:jc w:val="both"/>
        <w:textAlignment w:val="baseline"/>
        <w:rPr>
          <w:rFonts w:ascii="Verdana" w:hAnsi="Verdana"/>
          <w:b/>
          <w:bCs/>
          <w:sz w:val="20"/>
          <w:szCs w:val="20"/>
          <w:lang w:val="es-CR"/>
        </w:rPr>
      </w:pPr>
    </w:p>
    <w:p w:rsidR="00072E98" w:rsidRPr="008E0075" w:rsidRDefault="00072E98" w:rsidP="003803AD">
      <w:pPr>
        <w:tabs>
          <w:tab w:val="left" w:pos="720"/>
        </w:tabs>
        <w:spacing w:after="0" w:line="240" w:lineRule="auto"/>
        <w:contextualSpacing/>
        <w:jc w:val="both"/>
        <w:rPr>
          <w:rFonts w:ascii="Verdana" w:hAnsi="Verdana" w:cs="Verdana"/>
          <w:sz w:val="20"/>
          <w:szCs w:val="20"/>
          <w:lang w:val="es-CR"/>
        </w:rPr>
      </w:pPr>
    </w:p>
    <w:p w:rsidR="003803AD" w:rsidRDefault="003803AD" w:rsidP="003803AD">
      <w:pPr>
        <w:spacing w:after="0"/>
        <w:jc w:val="both"/>
        <w:rPr>
          <w:rFonts w:ascii="Verdana" w:hAnsi="Verdana"/>
          <w:sz w:val="20"/>
          <w:lang w:val="es-ES"/>
        </w:rPr>
      </w:pPr>
      <w:r>
        <w:rPr>
          <w:rFonts w:ascii="Verdana" w:hAnsi="Verdana"/>
          <w:sz w:val="20"/>
          <w:lang w:val="es-ES"/>
        </w:rPr>
        <w:t xml:space="preserve">Corte IDH. Caso </w:t>
      </w:r>
      <w:r>
        <w:rPr>
          <w:rFonts w:ascii="Verdana" w:hAnsi="Verdana"/>
          <w:i/>
          <w:sz w:val="20"/>
          <w:lang w:val="es-ES"/>
        </w:rPr>
        <w:t>Girón y otro Vs. Guatemala</w:t>
      </w:r>
      <w:r>
        <w:rPr>
          <w:rFonts w:ascii="Verdana" w:hAnsi="Verdana"/>
          <w:sz w:val="20"/>
          <w:lang w:val="es-ES"/>
        </w:rPr>
        <w:t>. Excepción Preliminar, Fondo, Reparaciones y Costas. Sentencia de 15 de octubre de 2019.</w:t>
      </w:r>
    </w:p>
    <w:p w:rsidR="003803AD" w:rsidRDefault="003803AD" w:rsidP="003803AD">
      <w:pPr>
        <w:spacing w:after="0"/>
        <w:jc w:val="center"/>
        <w:rPr>
          <w:rFonts w:ascii="Verdana" w:hAnsi="Verdana"/>
          <w:sz w:val="20"/>
          <w:lang w:val="pt-BR"/>
        </w:rPr>
      </w:pPr>
    </w:p>
    <w:p w:rsidR="003803AD" w:rsidRDefault="003803AD" w:rsidP="003803AD">
      <w:pPr>
        <w:spacing w:after="0"/>
        <w:jc w:val="center"/>
        <w:rPr>
          <w:rFonts w:ascii="Verdana" w:hAnsi="Verdana"/>
          <w:sz w:val="20"/>
          <w:lang w:val="pt-BR"/>
        </w:rPr>
      </w:pPr>
    </w:p>
    <w:p w:rsidR="003803AD" w:rsidRDefault="003803AD" w:rsidP="003803AD">
      <w:pPr>
        <w:spacing w:after="0"/>
        <w:jc w:val="center"/>
        <w:rPr>
          <w:rFonts w:ascii="Verdana" w:hAnsi="Verdana"/>
          <w:sz w:val="20"/>
          <w:lang w:val="pt-BR"/>
        </w:rPr>
      </w:pPr>
    </w:p>
    <w:p w:rsidR="003803AD" w:rsidRDefault="003803AD" w:rsidP="003803AD">
      <w:pPr>
        <w:spacing w:after="0"/>
        <w:jc w:val="center"/>
        <w:rPr>
          <w:rFonts w:ascii="Verdana" w:hAnsi="Verdana"/>
          <w:sz w:val="20"/>
          <w:lang w:val="pt-BR"/>
        </w:rPr>
      </w:pPr>
    </w:p>
    <w:p w:rsidR="003803AD" w:rsidRDefault="003803AD" w:rsidP="003803AD">
      <w:pPr>
        <w:spacing w:after="0"/>
        <w:jc w:val="center"/>
        <w:rPr>
          <w:rFonts w:ascii="Verdana" w:hAnsi="Verdana"/>
          <w:sz w:val="20"/>
          <w:lang w:val="pt-BR"/>
        </w:rPr>
      </w:pPr>
    </w:p>
    <w:p w:rsidR="003803AD" w:rsidRDefault="003803AD" w:rsidP="003803AD">
      <w:pPr>
        <w:spacing w:after="0"/>
        <w:jc w:val="center"/>
        <w:rPr>
          <w:rFonts w:ascii="Verdana" w:hAnsi="Verdana"/>
          <w:sz w:val="20"/>
          <w:lang w:val="pt-BR"/>
        </w:rPr>
      </w:pPr>
    </w:p>
    <w:p w:rsidR="003803AD" w:rsidRPr="0019261A" w:rsidRDefault="003803AD" w:rsidP="003803AD">
      <w:pPr>
        <w:spacing w:after="0"/>
        <w:jc w:val="center"/>
        <w:rPr>
          <w:rFonts w:ascii="Verdana" w:hAnsi="Verdana"/>
          <w:sz w:val="20"/>
          <w:lang w:val="pt-BR"/>
        </w:rPr>
      </w:pPr>
      <w:r w:rsidRPr="0019261A">
        <w:rPr>
          <w:rFonts w:ascii="Verdana" w:hAnsi="Verdana"/>
          <w:sz w:val="20"/>
          <w:lang w:val="pt-BR"/>
        </w:rPr>
        <w:t>Eduardo Ferrer Mac-Gregor Poisot</w:t>
      </w:r>
    </w:p>
    <w:p w:rsidR="003803AD" w:rsidRDefault="003803AD" w:rsidP="003803AD">
      <w:pPr>
        <w:spacing w:after="0"/>
        <w:jc w:val="center"/>
        <w:rPr>
          <w:rFonts w:ascii="Verdana" w:hAnsi="Verdana"/>
          <w:sz w:val="20"/>
          <w:lang w:val="pt-BR"/>
        </w:rPr>
      </w:pPr>
      <w:r w:rsidRPr="0019261A">
        <w:rPr>
          <w:rFonts w:ascii="Verdana" w:hAnsi="Verdana"/>
          <w:sz w:val="20"/>
          <w:lang w:val="pt-BR"/>
        </w:rPr>
        <w:t xml:space="preserve">Presidente </w:t>
      </w:r>
    </w:p>
    <w:p w:rsidR="003803AD" w:rsidRDefault="003803AD" w:rsidP="003803AD">
      <w:pPr>
        <w:spacing w:after="0"/>
        <w:jc w:val="center"/>
        <w:rPr>
          <w:rFonts w:ascii="Verdana" w:hAnsi="Verdana"/>
          <w:sz w:val="20"/>
          <w:lang w:val="pt-BR"/>
        </w:rPr>
      </w:pPr>
    </w:p>
    <w:p w:rsidR="003803AD" w:rsidRPr="0019261A" w:rsidRDefault="003803AD" w:rsidP="003803AD">
      <w:pPr>
        <w:spacing w:after="0"/>
        <w:rPr>
          <w:rFonts w:ascii="Verdana" w:hAnsi="Verdana"/>
          <w:sz w:val="20"/>
          <w:lang w:val="pt-BR"/>
        </w:rPr>
      </w:pPr>
    </w:p>
    <w:p w:rsidR="003803AD" w:rsidRPr="0019261A" w:rsidRDefault="003803AD" w:rsidP="003803AD">
      <w:pPr>
        <w:spacing w:after="0"/>
        <w:rPr>
          <w:rFonts w:ascii="Verdana" w:hAnsi="Verdana"/>
          <w:sz w:val="20"/>
          <w:lang w:val="pt-BR"/>
        </w:rPr>
      </w:pPr>
    </w:p>
    <w:p w:rsidR="003803AD" w:rsidRPr="0019261A" w:rsidRDefault="003803AD" w:rsidP="003803AD">
      <w:pPr>
        <w:spacing w:after="0"/>
        <w:rPr>
          <w:rFonts w:ascii="Verdana" w:hAnsi="Verdana"/>
          <w:sz w:val="20"/>
          <w:lang w:val="pt-BR"/>
        </w:rPr>
      </w:pPr>
    </w:p>
    <w:p w:rsidR="003803AD" w:rsidRDefault="003803AD" w:rsidP="003803AD">
      <w:pPr>
        <w:spacing w:after="0"/>
        <w:rPr>
          <w:rFonts w:ascii="Verdana" w:hAnsi="Verdana"/>
          <w:sz w:val="20"/>
          <w:lang w:val="pt-BR"/>
        </w:rPr>
      </w:pPr>
      <w:r w:rsidRPr="0019261A">
        <w:rPr>
          <w:rFonts w:ascii="Verdana" w:hAnsi="Verdana"/>
          <w:sz w:val="20"/>
          <w:lang w:val="pt-BR"/>
        </w:rPr>
        <w:t xml:space="preserve"> Eduardo Vio Grossi</w:t>
      </w:r>
      <w:r w:rsidRPr="0019261A">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Humberto A. Sierra Porto</w:t>
      </w:r>
      <w:r w:rsidRPr="0019261A">
        <w:rPr>
          <w:rFonts w:ascii="Verdana" w:hAnsi="Verdana"/>
          <w:sz w:val="20"/>
          <w:lang w:val="pt-BR"/>
        </w:rPr>
        <w:tab/>
      </w:r>
    </w:p>
    <w:p w:rsidR="003803AD" w:rsidRDefault="003803AD" w:rsidP="003803AD">
      <w:pPr>
        <w:spacing w:after="0"/>
        <w:rPr>
          <w:rFonts w:ascii="Verdana" w:hAnsi="Verdana"/>
          <w:sz w:val="20"/>
          <w:lang w:val="pt-BR"/>
        </w:rPr>
      </w:pPr>
    </w:p>
    <w:p w:rsidR="003803AD" w:rsidRDefault="003803AD" w:rsidP="003803AD">
      <w:pPr>
        <w:spacing w:after="0"/>
        <w:rPr>
          <w:rFonts w:ascii="Verdana" w:hAnsi="Verdana"/>
          <w:sz w:val="20"/>
          <w:lang w:val="pt-BR"/>
        </w:rPr>
      </w:pPr>
    </w:p>
    <w:p w:rsidR="003803AD" w:rsidRDefault="003803AD" w:rsidP="003803AD">
      <w:pPr>
        <w:spacing w:after="0"/>
        <w:rPr>
          <w:rFonts w:ascii="Verdana" w:hAnsi="Verdana"/>
          <w:sz w:val="20"/>
          <w:lang w:val="pt-BR"/>
        </w:rPr>
      </w:pPr>
    </w:p>
    <w:p w:rsidR="003803AD" w:rsidRDefault="003803AD" w:rsidP="003803AD">
      <w:pPr>
        <w:spacing w:after="0"/>
        <w:rPr>
          <w:rFonts w:ascii="Verdana" w:hAnsi="Verdana"/>
          <w:sz w:val="20"/>
          <w:lang w:val="pt-BR"/>
        </w:rPr>
      </w:pPr>
    </w:p>
    <w:p w:rsidR="003803AD" w:rsidRDefault="003803AD" w:rsidP="003803AD">
      <w:pPr>
        <w:spacing w:after="0"/>
        <w:rPr>
          <w:rFonts w:ascii="Verdana" w:hAnsi="Verdana"/>
          <w:sz w:val="20"/>
          <w:lang w:val="pt-BR"/>
        </w:rPr>
      </w:pPr>
    </w:p>
    <w:p w:rsidR="003803AD" w:rsidRDefault="003803AD" w:rsidP="003803AD">
      <w:pPr>
        <w:spacing w:after="0"/>
        <w:rPr>
          <w:rFonts w:ascii="Verdana" w:hAnsi="Verdana"/>
          <w:sz w:val="20"/>
          <w:lang w:val="pt-BR"/>
        </w:rPr>
      </w:pPr>
      <w:r w:rsidRPr="00DA00D0">
        <w:rPr>
          <w:rFonts w:ascii="Verdana" w:hAnsi="Verdana"/>
          <w:sz w:val="20"/>
          <w:lang w:val="pt-BR"/>
        </w:rPr>
        <w:t>Eli</w:t>
      </w:r>
      <w:r>
        <w:rPr>
          <w:rFonts w:ascii="Verdana" w:hAnsi="Verdana"/>
          <w:sz w:val="20"/>
          <w:lang w:val="pt-BR"/>
        </w:rPr>
        <w:t xml:space="preserve">zabeth Odio Benito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L. Patricio Pazmiño Frei</w:t>
      </w:r>
      <w:r w:rsidRPr="0019261A">
        <w:rPr>
          <w:rFonts w:ascii="Verdana" w:hAnsi="Verdana"/>
          <w:sz w:val="20"/>
          <w:lang w:val="pt-BR"/>
        </w:rPr>
        <w:t>re</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w:t>
      </w:r>
    </w:p>
    <w:p w:rsidR="003803AD" w:rsidRDefault="003803AD" w:rsidP="003803AD">
      <w:pPr>
        <w:spacing w:after="0"/>
        <w:rPr>
          <w:rFonts w:ascii="Verdana" w:hAnsi="Verdana"/>
          <w:sz w:val="20"/>
          <w:lang w:val="pt-BR"/>
        </w:rPr>
      </w:pPr>
    </w:p>
    <w:p w:rsidR="003803AD" w:rsidRDefault="003803AD" w:rsidP="003803AD">
      <w:pPr>
        <w:spacing w:after="0"/>
        <w:rPr>
          <w:rFonts w:ascii="Verdana" w:hAnsi="Verdana"/>
          <w:sz w:val="20"/>
          <w:lang w:val="pt-BR"/>
        </w:rPr>
      </w:pPr>
    </w:p>
    <w:p w:rsidR="003803AD" w:rsidRDefault="003803AD" w:rsidP="003803AD">
      <w:pPr>
        <w:spacing w:after="0"/>
        <w:rPr>
          <w:rFonts w:ascii="Verdana" w:hAnsi="Verdana"/>
          <w:sz w:val="20"/>
          <w:lang w:val="pt-BR"/>
        </w:rPr>
      </w:pPr>
    </w:p>
    <w:p w:rsidR="003803AD" w:rsidRPr="0019261A" w:rsidRDefault="003803AD" w:rsidP="003803AD">
      <w:pPr>
        <w:spacing w:after="0"/>
        <w:jc w:val="center"/>
        <w:rPr>
          <w:rFonts w:ascii="Verdana" w:hAnsi="Verdana"/>
          <w:sz w:val="20"/>
          <w:lang w:val="pt-BR"/>
        </w:rPr>
      </w:pPr>
      <w:r>
        <w:rPr>
          <w:rFonts w:ascii="Verdana" w:hAnsi="Verdana"/>
          <w:sz w:val="20"/>
          <w:lang w:val="pt-BR"/>
        </w:rPr>
        <w:t>Ricardo C. Pérez Manrique</w:t>
      </w:r>
    </w:p>
    <w:p w:rsidR="003803AD" w:rsidRDefault="003803AD" w:rsidP="003803AD">
      <w:pPr>
        <w:spacing w:after="0"/>
        <w:jc w:val="both"/>
        <w:rPr>
          <w:rFonts w:ascii="Verdana" w:hAnsi="Verdana"/>
          <w:sz w:val="20"/>
          <w:lang w:val="pt-BR"/>
        </w:rPr>
      </w:pPr>
    </w:p>
    <w:p w:rsidR="003803AD" w:rsidRDefault="003803AD" w:rsidP="003803AD">
      <w:pPr>
        <w:spacing w:after="0"/>
        <w:jc w:val="both"/>
        <w:rPr>
          <w:rFonts w:ascii="Verdana" w:hAnsi="Verdana"/>
          <w:sz w:val="20"/>
          <w:lang w:val="pt-BR"/>
        </w:rPr>
      </w:pPr>
    </w:p>
    <w:p w:rsidR="003803AD" w:rsidRDefault="003803AD" w:rsidP="003803AD">
      <w:pPr>
        <w:spacing w:after="0"/>
        <w:jc w:val="both"/>
        <w:rPr>
          <w:rFonts w:ascii="Verdana" w:hAnsi="Verdana"/>
          <w:sz w:val="20"/>
          <w:lang w:val="pt-BR"/>
        </w:rPr>
      </w:pPr>
    </w:p>
    <w:p w:rsidR="003803AD" w:rsidRPr="0019261A" w:rsidRDefault="003803AD" w:rsidP="003803AD">
      <w:pPr>
        <w:spacing w:after="0"/>
        <w:jc w:val="both"/>
        <w:rPr>
          <w:rFonts w:ascii="Verdana" w:hAnsi="Verdana"/>
          <w:sz w:val="20"/>
          <w:lang w:val="pt-BR"/>
        </w:rPr>
      </w:pPr>
    </w:p>
    <w:p w:rsidR="003803AD" w:rsidRPr="0019261A" w:rsidRDefault="003803AD" w:rsidP="003803AD">
      <w:pPr>
        <w:spacing w:after="0"/>
        <w:jc w:val="both"/>
        <w:rPr>
          <w:rFonts w:ascii="Verdana" w:hAnsi="Verdana"/>
          <w:sz w:val="20"/>
          <w:lang w:val="pt-BR"/>
        </w:rPr>
      </w:pPr>
    </w:p>
    <w:p w:rsidR="003803AD" w:rsidRPr="00FC4051" w:rsidRDefault="003803AD" w:rsidP="003803AD">
      <w:pPr>
        <w:spacing w:after="0"/>
        <w:jc w:val="center"/>
        <w:rPr>
          <w:rFonts w:ascii="Verdana" w:hAnsi="Verdana"/>
          <w:sz w:val="20"/>
          <w:lang w:val="pt-BR"/>
        </w:rPr>
      </w:pPr>
      <w:r w:rsidRPr="00FC4051">
        <w:rPr>
          <w:rFonts w:ascii="Verdana" w:hAnsi="Verdana"/>
          <w:sz w:val="20"/>
          <w:lang w:val="pt-BR"/>
        </w:rPr>
        <w:t>Pablo Saavedra Alessandri</w:t>
      </w:r>
    </w:p>
    <w:p w:rsidR="003803AD" w:rsidRDefault="003803AD" w:rsidP="003803AD">
      <w:pPr>
        <w:spacing w:after="0"/>
        <w:jc w:val="center"/>
        <w:rPr>
          <w:rFonts w:ascii="Verdana" w:hAnsi="Verdana"/>
          <w:sz w:val="20"/>
          <w:lang w:val="pt-BR"/>
        </w:rPr>
      </w:pPr>
      <w:r w:rsidRPr="00FC4051">
        <w:rPr>
          <w:rFonts w:ascii="Verdana" w:hAnsi="Verdana"/>
          <w:sz w:val="20"/>
          <w:lang w:val="pt-BR"/>
        </w:rPr>
        <w:t>Secret</w:t>
      </w:r>
      <w:r>
        <w:rPr>
          <w:rFonts w:ascii="Verdana" w:hAnsi="Verdana"/>
          <w:sz w:val="20"/>
          <w:lang w:val="pt-BR"/>
        </w:rPr>
        <w:t>a</w:t>
      </w:r>
      <w:r w:rsidRPr="00FC4051">
        <w:rPr>
          <w:rFonts w:ascii="Verdana" w:hAnsi="Verdana"/>
          <w:sz w:val="20"/>
          <w:lang w:val="pt-BR"/>
        </w:rPr>
        <w:t>rio</w:t>
      </w:r>
    </w:p>
    <w:p w:rsidR="003803AD" w:rsidRPr="00FC4051" w:rsidRDefault="003803AD" w:rsidP="003803AD">
      <w:pPr>
        <w:pStyle w:val="Textonotapie"/>
        <w:rPr>
          <w:rFonts w:ascii="Verdana" w:hAnsi="Verdana"/>
          <w:lang w:val="pt-BR"/>
        </w:rPr>
      </w:pPr>
    </w:p>
    <w:p w:rsidR="003803AD" w:rsidRPr="00FC4051" w:rsidRDefault="003803AD" w:rsidP="003803AD">
      <w:pPr>
        <w:pStyle w:val="Textonotapie"/>
        <w:rPr>
          <w:rFonts w:ascii="Verdana" w:hAnsi="Verdana"/>
          <w:lang w:val="pt-BR"/>
        </w:rPr>
      </w:pPr>
    </w:p>
    <w:p w:rsidR="003803AD" w:rsidRPr="00FC4051" w:rsidRDefault="003803AD" w:rsidP="003803AD">
      <w:pPr>
        <w:spacing w:after="0"/>
        <w:jc w:val="both"/>
        <w:rPr>
          <w:rFonts w:ascii="Verdana" w:hAnsi="Verdana"/>
          <w:sz w:val="20"/>
          <w:lang w:val="pt-BR"/>
        </w:rPr>
      </w:pPr>
      <w:r>
        <w:rPr>
          <w:rFonts w:ascii="Verdana" w:hAnsi="Verdana"/>
          <w:sz w:val="20"/>
          <w:lang w:val="pt-BR"/>
        </w:rPr>
        <w:t>Comuníquese y ejecútese</w:t>
      </w:r>
      <w:r w:rsidRPr="00FC4051">
        <w:rPr>
          <w:rFonts w:ascii="Verdana" w:hAnsi="Verdana"/>
          <w:sz w:val="20"/>
          <w:lang w:val="pt-BR"/>
        </w:rPr>
        <w:t>,</w:t>
      </w:r>
    </w:p>
    <w:p w:rsidR="003803AD" w:rsidRPr="00FC4051" w:rsidRDefault="003803AD" w:rsidP="003803AD">
      <w:pPr>
        <w:spacing w:after="0"/>
        <w:rPr>
          <w:rFonts w:ascii="Verdana" w:hAnsi="Verdana"/>
          <w:sz w:val="20"/>
          <w:lang w:val="pt-BR"/>
        </w:rPr>
      </w:pPr>
    </w:p>
    <w:p w:rsidR="003803AD" w:rsidRPr="00FC4051" w:rsidRDefault="003803AD" w:rsidP="003803AD">
      <w:pPr>
        <w:spacing w:after="0"/>
        <w:rPr>
          <w:rFonts w:ascii="Verdana" w:hAnsi="Verdana"/>
          <w:sz w:val="20"/>
          <w:lang w:val="pt-BR"/>
        </w:rPr>
      </w:pPr>
    </w:p>
    <w:p w:rsidR="003803AD" w:rsidRDefault="003803AD" w:rsidP="003803AD">
      <w:pPr>
        <w:spacing w:after="0"/>
        <w:jc w:val="center"/>
        <w:rPr>
          <w:rFonts w:ascii="Verdana" w:hAnsi="Verdana"/>
          <w:sz w:val="20"/>
          <w:lang w:val="pt-BR"/>
        </w:rPr>
      </w:pPr>
    </w:p>
    <w:p w:rsidR="003803AD" w:rsidRPr="00FC4051" w:rsidRDefault="003803AD" w:rsidP="003803AD">
      <w:pPr>
        <w:spacing w:after="0"/>
        <w:jc w:val="right"/>
        <w:rPr>
          <w:rFonts w:ascii="Verdana" w:hAnsi="Verdana"/>
          <w:sz w:val="20"/>
          <w:lang w:val="pt-BR"/>
        </w:rPr>
      </w:pPr>
    </w:p>
    <w:p w:rsidR="003803AD" w:rsidRPr="00FC4051" w:rsidRDefault="003803AD" w:rsidP="003803AD">
      <w:pPr>
        <w:spacing w:after="0"/>
        <w:jc w:val="center"/>
        <w:rPr>
          <w:rFonts w:ascii="Verdana" w:hAnsi="Verdana"/>
          <w:sz w:val="20"/>
          <w:lang w:val="pt-BR"/>
        </w:rPr>
      </w:pPr>
      <w:r>
        <w:rPr>
          <w:rFonts w:ascii="Verdana" w:hAnsi="Verdana"/>
          <w:sz w:val="20"/>
          <w:lang w:val="pt-BR"/>
        </w:rPr>
        <w:t xml:space="preserve">                                                                                    </w:t>
      </w:r>
      <w:r w:rsidRPr="0019261A">
        <w:rPr>
          <w:rFonts w:ascii="Verdana" w:hAnsi="Verdana"/>
          <w:sz w:val="20"/>
          <w:lang w:val="pt-BR"/>
        </w:rPr>
        <w:t>Eduardo Ferrer Mac-Gregor Poisot</w:t>
      </w:r>
    </w:p>
    <w:p w:rsidR="003803AD" w:rsidRPr="00FC4051" w:rsidRDefault="003803AD" w:rsidP="003803AD">
      <w:pPr>
        <w:spacing w:after="0"/>
        <w:rPr>
          <w:rFonts w:ascii="Verdana" w:hAnsi="Verdana"/>
          <w:sz w:val="20"/>
          <w:lang w:val="pt-BR"/>
        </w:rPr>
      </w:pPr>
      <w:r>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sidRPr="0019261A">
        <w:rPr>
          <w:rFonts w:ascii="Verdana" w:hAnsi="Verdana"/>
          <w:sz w:val="20"/>
          <w:lang w:val="pt-BR"/>
        </w:rPr>
        <w:t xml:space="preserve">Presidente </w:t>
      </w:r>
    </w:p>
    <w:p w:rsidR="003803AD" w:rsidRPr="00FC4051" w:rsidRDefault="003803AD" w:rsidP="003803AD">
      <w:pPr>
        <w:spacing w:after="0"/>
        <w:jc w:val="both"/>
        <w:rPr>
          <w:rFonts w:ascii="Verdana" w:hAnsi="Verdana"/>
          <w:sz w:val="20"/>
          <w:lang w:val="pt-BR"/>
        </w:rPr>
      </w:pPr>
    </w:p>
    <w:p w:rsidR="003803AD" w:rsidRPr="00FC4051" w:rsidRDefault="003803AD" w:rsidP="003803AD">
      <w:pPr>
        <w:spacing w:after="0"/>
        <w:jc w:val="both"/>
        <w:rPr>
          <w:rFonts w:ascii="Verdana" w:hAnsi="Verdana"/>
          <w:sz w:val="20"/>
          <w:lang w:val="pt-BR"/>
        </w:rPr>
      </w:pPr>
      <w:r w:rsidRPr="00FC4051">
        <w:rPr>
          <w:rFonts w:ascii="Verdana" w:hAnsi="Verdana"/>
          <w:sz w:val="20"/>
          <w:lang w:val="pt-BR"/>
        </w:rPr>
        <w:t>Pablo Saavedra Alessandri</w:t>
      </w:r>
    </w:p>
    <w:p w:rsidR="00072E98" w:rsidRPr="006A3FC4" w:rsidRDefault="003803AD" w:rsidP="003803AD">
      <w:pPr>
        <w:spacing w:after="0"/>
        <w:rPr>
          <w:rFonts w:ascii="Verdana" w:hAnsi="Verdana" w:cs="Verdana"/>
          <w:sz w:val="20"/>
          <w:szCs w:val="20"/>
          <w:lang w:val="es-CR"/>
        </w:rPr>
      </w:pPr>
      <w:r w:rsidRPr="00FC4051">
        <w:rPr>
          <w:rFonts w:ascii="Verdana" w:hAnsi="Verdana"/>
          <w:sz w:val="20"/>
          <w:lang w:val="pt-BR"/>
        </w:rPr>
        <w:tab/>
      </w:r>
      <w:r w:rsidRPr="0019261A">
        <w:rPr>
          <w:rFonts w:ascii="Verdana" w:hAnsi="Verdana"/>
          <w:sz w:val="20"/>
          <w:lang w:val="es-ES"/>
        </w:rPr>
        <w:t>Secret</w:t>
      </w:r>
      <w:r>
        <w:rPr>
          <w:rFonts w:ascii="Verdana" w:hAnsi="Verdana"/>
          <w:sz w:val="20"/>
          <w:lang w:val="es-ES"/>
        </w:rPr>
        <w:t>ario</w:t>
      </w:r>
    </w:p>
    <w:sectPr w:rsidR="00072E98" w:rsidRPr="006A3FC4" w:rsidSect="00C62653">
      <w:headerReference w:type="default" r:id="rId8"/>
      <w:footerReference w:type="default" r:id="rId9"/>
      <w:headerReference w:type="first" r:id="rId10"/>
      <w:pgSz w:w="12240" w:h="15840"/>
      <w:pgMar w:top="1411" w:right="1411" w:bottom="1411" w:left="141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8C8" w:rsidRDefault="00FD28C8" w:rsidP="00DD718C">
      <w:pPr>
        <w:spacing w:after="0" w:line="240" w:lineRule="auto"/>
      </w:pPr>
      <w:r>
        <w:separator/>
      </w:r>
    </w:p>
  </w:endnote>
  <w:endnote w:type="continuationSeparator" w:id="0">
    <w:p w:rsidR="00FD28C8" w:rsidRDefault="00FD28C8" w:rsidP="00DD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Palatino-Italic">
    <w:altName w:val="Arial Unicode MS"/>
    <w:panose1 w:val="00000000000000000000"/>
    <w:charset w:val="00"/>
    <w:family w:val="auto"/>
    <w:pitch w:val="variable"/>
    <w:sig w:usb0="A00002FF" w:usb1="7800205A" w:usb2="14600000" w:usb3="00000000" w:csb0="00000193"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Italic">
    <w:altName w:val="Verdana"/>
    <w:panose1 w:val="020B0604020202020204"/>
    <w:charset w:val="4D"/>
    <w:family w:val="auto"/>
    <w:notTrueType/>
    <w:pitch w:val="default"/>
    <w:sig w:usb0="03000003" w:usb1="00000000" w:usb2="00000000" w:usb3="00000000" w:csb0="00000001" w:csb1="00000000"/>
  </w:font>
  <w:font w:name="TimesNewRoman">
    <w:panose1 w:val="020B0604020202020204"/>
    <w:charset w:val="00"/>
    <w:family w:val="roman"/>
    <w:notTrueType/>
    <w:pitch w:val="default"/>
    <w:sig w:usb0="00000003" w:usb1="00000000" w:usb2="00000000" w:usb3="00000000" w:csb0="00000001" w:csb1="00000000"/>
  </w:font>
  <w:font w:name="TimesNewRomanPSMT">
    <w:panose1 w:val="02020603050405020304"/>
    <w:charset w:val="00"/>
    <w:family w:val="roman"/>
    <w:pitch w:val="variable"/>
    <w:sig w:usb0="E0002AEF" w:usb1="C0007841" w:usb2="00000009" w:usb3="00000000" w:csb0="000001FF" w:csb1="00000000"/>
  </w:font>
  <w:font w:name="AmnestyTradeGothic">
    <w:panose1 w:val="020B0604020202020204"/>
    <w:charset w:val="00"/>
    <w:family w:val="swiss"/>
    <w:notTrueType/>
    <w:pitch w:val="default"/>
    <w:sig w:usb0="00000003" w:usb1="00000000" w:usb2="00000000" w:usb3="00000000" w:csb0="00000001" w:csb1="00000000"/>
  </w:font>
  <w:font w:name="AmnestyTradeGothic-Light">
    <w:panose1 w:val="020B0604020202020204"/>
    <w:charset w:val="00"/>
    <w:family w:val="swiss"/>
    <w:notTrueType/>
    <w:pitch w:val="default"/>
    <w:sig w:usb0="00000003" w:usb1="00000000" w:usb2="00000000" w:usb3="00000000" w:csb0="00000001" w:csb1="00000000"/>
  </w:font>
  <w:font w:name="AmnestyTradeGothic-LightObl">
    <w:panose1 w:val="020B0604020202020204"/>
    <w:charset w:val="00"/>
    <w:family w:val="swiss"/>
    <w:notTrueType/>
    <w:pitch w:val="default"/>
    <w:sig w:usb0="00000003" w:usb1="00000000" w:usb2="00000000" w:usb3="00000000" w:csb0="00000001" w:csb1="00000000"/>
  </w:font>
  <w:font w:name="Times_New_Roman--Identity-H">
    <w:altName w:val="Times New Roman"/>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8DD" w:rsidRDefault="001C18DD">
    <w:pPr>
      <w:pStyle w:val="Piedepgina"/>
      <w:jc w:val="right"/>
    </w:pPr>
  </w:p>
  <w:p w:rsidR="001C18DD" w:rsidRDefault="001C18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8C8" w:rsidRDefault="00FD28C8" w:rsidP="00DD718C">
      <w:pPr>
        <w:spacing w:after="0" w:line="240" w:lineRule="auto"/>
      </w:pPr>
      <w:r>
        <w:separator/>
      </w:r>
    </w:p>
  </w:footnote>
  <w:footnote w:type="continuationSeparator" w:id="0">
    <w:p w:rsidR="00FD28C8" w:rsidRDefault="00FD28C8" w:rsidP="00DD718C">
      <w:pPr>
        <w:spacing w:after="0" w:line="240" w:lineRule="auto"/>
      </w:pPr>
      <w:r>
        <w:continuationSeparator/>
      </w:r>
    </w:p>
  </w:footnote>
  <w:footnote w:id="1">
    <w:p w:rsidR="001C18DD" w:rsidRPr="003C3EE6" w:rsidRDefault="001C18DD" w:rsidP="00830FDC">
      <w:pPr>
        <w:pStyle w:val="Ttulo"/>
        <w:pBdr>
          <w:bottom w:val="single" w:sz="8" w:space="0" w:color="4F81BD" w:themeColor="accent1"/>
        </w:pBdr>
        <w:jc w:val="both"/>
        <w:rPr>
          <w:rFonts w:ascii="Verdana" w:hAnsi="Verdana"/>
          <w:color w:val="auto"/>
          <w:sz w:val="16"/>
          <w:szCs w:val="16"/>
          <w:lang w:val="es-CR"/>
        </w:rPr>
      </w:pPr>
      <w:r w:rsidRPr="0079755F">
        <w:rPr>
          <w:rFonts w:ascii="Verdana" w:hAnsi="Verdana"/>
          <w:color w:val="auto"/>
          <w:sz w:val="16"/>
          <w:szCs w:val="16"/>
          <w:lang w:val="es-CR"/>
        </w:rPr>
        <w:t xml:space="preserve">*  </w:t>
      </w:r>
      <w:r w:rsidRPr="0079755F">
        <w:rPr>
          <w:rFonts w:ascii="Verdana" w:hAnsi="Verdana"/>
          <w:color w:val="auto"/>
          <w:sz w:val="16"/>
          <w:szCs w:val="16"/>
          <w:lang w:val="es-CR"/>
        </w:rPr>
        <w:tab/>
        <w:t>El Juez Eugenio Raúl Zaffaroni se excusó de participar en el presente caso, conforme a lo dispuesto en el artículo 21 de su Reglamento, lo cual fue aceptado por el Pleno de la Corte</w:t>
      </w:r>
      <w:r w:rsidRPr="0079755F">
        <w:rPr>
          <w:rFonts w:ascii="Verdana" w:eastAsia="Calibri" w:hAnsi="Verdana" w:cs="Verdana"/>
          <w:color w:val="auto"/>
          <w:sz w:val="16"/>
          <w:szCs w:val="16"/>
          <w:lang w:val="es-CR"/>
        </w:rPr>
        <w:t>.</w:t>
      </w:r>
    </w:p>
  </w:footnote>
  <w:footnote w:id="2">
    <w:p w:rsidR="001C18DD" w:rsidRPr="00DA2D5B" w:rsidRDefault="001C18DD" w:rsidP="00D16A8A">
      <w:pPr>
        <w:pStyle w:val="Textonotapie"/>
        <w:jc w:val="both"/>
        <w:rPr>
          <w:lang w:val="es-CR"/>
        </w:rPr>
      </w:pPr>
      <w:r>
        <w:rPr>
          <w:rStyle w:val="Refdenotaalpie"/>
        </w:rPr>
        <w:footnoteRef/>
      </w:r>
      <w:r w:rsidRPr="00DA2D5B">
        <w:rPr>
          <w:lang w:val="es-CR"/>
        </w:rPr>
        <w:t xml:space="preserve"> </w:t>
      </w:r>
      <w:r>
        <w:rPr>
          <w:lang w:val="es-CR"/>
        </w:rPr>
        <w:tab/>
      </w:r>
      <w:r w:rsidRPr="00E67779">
        <w:rPr>
          <w:rFonts w:ascii="Verdana" w:hAnsi="Verdana"/>
          <w:sz w:val="16"/>
          <w:szCs w:val="16"/>
          <w:lang w:val="es-CR"/>
        </w:rPr>
        <w:t>La Comisión concluyó que Guatemala es responsable por la violación de los derechos establecidos en los artículos 4.1, 4.2, 5.1, 5.2, 8.2, 8.2.c), 8.2.e) y 25.1 de la Convención Americana, en relación con las obligaciones establecidas en los artículos 1.1 y 2 del mismo instrumento, en perjuicio de Roberto Girón y Pedro Castillo Mendoza. Asimismo, la Comisión concluyó que el Estado es responsable por la violación de</w:t>
      </w:r>
      <w:r>
        <w:rPr>
          <w:rFonts w:ascii="Verdana" w:hAnsi="Verdana"/>
          <w:sz w:val="16"/>
          <w:szCs w:val="16"/>
          <w:lang w:val="es-CR"/>
        </w:rPr>
        <w:t xml:space="preserve"> los artículos 1 y 6 de la Convención Interamericana para Prevenir y Sancionar la Tortura</w:t>
      </w:r>
      <w:r w:rsidRPr="00E67779">
        <w:rPr>
          <w:rFonts w:ascii="Verdana" w:hAnsi="Verdana"/>
          <w:sz w:val="16"/>
          <w:szCs w:val="16"/>
          <w:lang w:val="es-CR"/>
        </w:rPr>
        <w:t xml:space="preserve">. </w:t>
      </w:r>
    </w:p>
  </w:footnote>
  <w:footnote w:id="3">
    <w:p w:rsidR="001C18DD" w:rsidRPr="008E4C70" w:rsidRDefault="001C18DD" w:rsidP="00D16A8A">
      <w:pPr>
        <w:pStyle w:val="Textonotapie"/>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E4C70">
        <w:rPr>
          <w:rFonts w:ascii="Verdana" w:hAnsi="Verdana"/>
          <w:sz w:val="16"/>
          <w:szCs w:val="16"/>
          <w:lang w:val="es-PE"/>
        </w:rPr>
        <w:tab/>
      </w:r>
      <w:r>
        <w:rPr>
          <w:rFonts w:ascii="Verdana" w:hAnsi="Verdana"/>
          <w:snapToGrid w:val="0"/>
          <w:sz w:val="16"/>
          <w:szCs w:val="16"/>
          <w:lang w:val="es-PE"/>
        </w:rPr>
        <w:t>M</w:t>
      </w:r>
      <w:r w:rsidRPr="008E4C70">
        <w:rPr>
          <w:rFonts w:ascii="Verdana" w:hAnsi="Verdana"/>
          <w:sz w:val="16"/>
          <w:szCs w:val="16"/>
          <w:lang w:val="es-PE"/>
        </w:rPr>
        <w:t xml:space="preserve">ediante comunicación de la Secretaría de </w:t>
      </w:r>
      <w:r w:rsidRPr="008E4C70">
        <w:rPr>
          <w:rFonts w:ascii="Verdana" w:hAnsi="Verdana"/>
          <w:sz w:val="16"/>
          <w:szCs w:val="16"/>
          <w:lang w:val="es-CR"/>
        </w:rPr>
        <w:t>13 de febrero</w:t>
      </w:r>
      <w:r w:rsidRPr="008E4C70">
        <w:rPr>
          <w:rFonts w:ascii="Verdana" w:hAnsi="Verdana"/>
          <w:sz w:val="16"/>
          <w:szCs w:val="16"/>
          <w:lang w:val="es-PE"/>
        </w:rPr>
        <w:t xml:space="preserve"> de 2018 se solicitó al Coordinador General de AIDEF, teniendo en cuenta lo dispuesto en el artículo 2 del Acuerdo de Entendimiento entre la Corte y aquélla y siguiendo instrucciones del Presidente de la Corte, que designara, dentro del plazo de 10 días, al defensor o defensora que asumiría la representación legal en el caso e informara del lugar donde se le deben notificar las comunicaciones pertinentes. </w:t>
      </w:r>
    </w:p>
  </w:footnote>
  <w:footnote w:id="4">
    <w:p w:rsidR="001C18DD" w:rsidRPr="008E4C70" w:rsidRDefault="001C18DD" w:rsidP="00D16A8A">
      <w:pPr>
        <w:pStyle w:val="Textonotapie"/>
        <w:jc w:val="both"/>
        <w:rPr>
          <w:rFonts w:ascii="Verdana" w:hAnsi="Verdana"/>
          <w:b/>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t xml:space="preserve">El 10 de abril de 2018 el Estado designó como Agentes del caso a los </w:t>
      </w:r>
      <w:r w:rsidRPr="008E4C70">
        <w:rPr>
          <w:rFonts w:ascii="Verdana" w:hAnsi="Verdana"/>
          <w:sz w:val="16"/>
          <w:szCs w:val="16"/>
          <w:lang w:val="es-CR"/>
        </w:rPr>
        <w:t xml:space="preserve">señores Jorge Luis Borrayo Reyes, Presidente de COPREDEH y Felipe Sánchez González, Director Ejecutivo de </w:t>
      </w:r>
      <w:r w:rsidRPr="004F41F1">
        <w:rPr>
          <w:rFonts w:ascii="Verdana" w:hAnsi="Verdana"/>
          <w:sz w:val="16"/>
          <w:szCs w:val="16"/>
          <w:lang w:val="es-CR"/>
        </w:rPr>
        <w:t>COPREDEH.</w:t>
      </w:r>
      <w:r w:rsidRPr="008E4C70">
        <w:rPr>
          <w:rFonts w:ascii="Verdana" w:hAnsi="Verdana"/>
          <w:sz w:val="16"/>
          <w:szCs w:val="16"/>
          <w:lang w:val="es-CR"/>
        </w:rPr>
        <w:t xml:space="preserve"> </w:t>
      </w:r>
    </w:p>
  </w:footnote>
  <w:footnote w:id="5">
    <w:p w:rsidR="001C18DD" w:rsidRPr="008E4C70" w:rsidRDefault="001C18DD" w:rsidP="00D16A8A">
      <w:pPr>
        <w:pStyle w:val="Textonotapie"/>
        <w:jc w:val="both"/>
        <w:rPr>
          <w:rFonts w:ascii="Verdana" w:eastAsia="Batang" w:hAnsi="Verdana" w:cs="Times New Roman"/>
          <w:i/>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E4C70">
        <w:rPr>
          <w:rFonts w:ascii="Verdana" w:hAnsi="Verdana"/>
          <w:sz w:val="16"/>
          <w:szCs w:val="16"/>
          <w:lang w:val="es-PE"/>
        </w:rPr>
        <w:tab/>
      </w:r>
      <w:r w:rsidRPr="008E4C70">
        <w:rPr>
          <w:rFonts w:ascii="Verdana" w:hAnsi="Verdana"/>
          <w:i/>
          <w:sz w:val="16"/>
          <w:szCs w:val="16"/>
          <w:lang w:val="es-PE"/>
        </w:rPr>
        <w:t>Cfr.</w:t>
      </w:r>
      <w:r w:rsidRPr="008E4C70">
        <w:rPr>
          <w:rFonts w:ascii="Verdana" w:hAnsi="Verdana"/>
          <w:sz w:val="16"/>
          <w:szCs w:val="16"/>
          <w:lang w:val="es-PE"/>
        </w:rPr>
        <w:t xml:space="preserve"> </w:t>
      </w:r>
      <w:r w:rsidRPr="008E4C70">
        <w:rPr>
          <w:rFonts w:ascii="Verdana" w:hAnsi="Verdana"/>
          <w:i/>
          <w:sz w:val="16"/>
          <w:szCs w:val="16"/>
          <w:lang w:val="es-PE"/>
        </w:rPr>
        <w:t>Caso Girón y otro Vs.Guatemala</w:t>
      </w:r>
      <w:r w:rsidRPr="008E4C70">
        <w:rPr>
          <w:rFonts w:ascii="Verdana" w:hAnsi="Verdana"/>
          <w:sz w:val="16"/>
          <w:szCs w:val="16"/>
          <w:lang w:val="es-PE"/>
        </w:rPr>
        <w:t>. Resolución del Presidente de la Corte de 14 de</w:t>
      </w:r>
      <w:r>
        <w:rPr>
          <w:rFonts w:ascii="Verdana" w:hAnsi="Verdana"/>
          <w:sz w:val="16"/>
          <w:szCs w:val="16"/>
          <w:lang w:val="es-PE"/>
        </w:rPr>
        <w:t xml:space="preserve"> febrero de 2019</w:t>
      </w:r>
      <w:r w:rsidRPr="008E4C70">
        <w:rPr>
          <w:rFonts w:ascii="Verdana" w:hAnsi="Verdana"/>
          <w:sz w:val="16"/>
          <w:szCs w:val="16"/>
          <w:lang w:val="es-PE"/>
        </w:rPr>
        <w:t xml:space="preserve">. Disponible en: </w:t>
      </w:r>
      <w:r>
        <w:fldChar w:fldCharType="begin"/>
      </w:r>
      <w:r w:rsidRPr="00A53665">
        <w:rPr>
          <w:lang w:val="es-CR"/>
        </w:rPr>
        <w:instrText xml:space="preserve"> HYPERLINK "http://www.corteidh.or.cr/docs/asuntos/gironcastillo_14_02_19.pdf" </w:instrText>
      </w:r>
      <w:r>
        <w:fldChar w:fldCharType="separate"/>
      </w:r>
      <w:r w:rsidRPr="00F35062">
        <w:rPr>
          <w:rStyle w:val="Hipervnculo"/>
          <w:rFonts w:ascii="Verdana" w:hAnsi="Verdana" w:cstheme="minorBidi"/>
          <w:sz w:val="16"/>
          <w:szCs w:val="16"/>
          <w:lang w:val="es-PE"/>
        </w:rPr>
        <w:t>http://www.corteidh.or.cr/docs/asuntos/gironcastillo_14_02_19.pdf</w:t>
      </w:r>
      <w:r>
        <w:rPr>
          <w:rStyle w:val="Hipervnculo"/>
          <w:rFonts w:ascii="Verdana" w:hAnsi="Verdana" w:cstheme="minorBidi"/>
          <w:sz w:val="16"/>
          <w:szCs w:val="16"/>
          <w:lang w:val="es-PE"/>
        </w:rPr>
        <w:fldChar w:fldCharType="end"/>
      </w:r>
      <w:r w:rsidRPr="008E4C70">
        <w:rPr>
          <w:rFonts w:ascii="Verdana" w:hAnsi="Verdana"/>
          <w:sz w:val="16"/>
          <w:szCs w:val="16"/>
          <w:lang w:val="es-PE"/>
        </w:rPr>
        <w:t>.</w:t>
      </w:r>
      <w:r>
        <w:rPr>
          <w:rFonts w:ascii="Verdana" w:hAnsi="Verdana"/>
          <w:sz w:val="16"/>
          <w:szCs w:val="16"/>
          <w:lang w:val="es-PE"/>
        </w:rPr>
        <w:t xml:space="preserve"> Mediante comunicación de 21</w:t>
      </w:r>
      <w:r w:rsidRPr="008E4C70">
        <w:rPr>
          <w:rFonts w:ascii="Verdana" w:hAnsi="Verdana"/>
          <w:sz w:val="16"/>
          <w:szCs w:val="16"/>
          <w:lang w:val="es-PE"/>
        </w:rPr>
        <w:t xml:space="preserve"> de febrero de 2019, a solicitud de l</w:t>
      </w:r>
      <w:r>
        <w:rPr>
          <w:rFonts w:ascii="Verdana" w:hAnsi="Verdana"/>
          <w:sz w:val="16"/>
          <w:szCs w:val="16"/>
          <w:lang w:val="es-PE"/>
        </w:rPr>
        <w:t>a</w:t>
      </w:r>
      <w:r w:rsidRPr="008E4C70">
        <w:rPr>
          <w:rFonts w:ascii="Verdana" w:hAnsi="Verdana"/>
          <w:sz w:val="16"/>
          <w:szCs w:val="16"/>
          <w:lang w:val="es-PE"/>
        </w:rPr>
        <w:t xml:space="preserve">s representantes, por una única vez, se prorrogó el plazo para la presentación de los afidávits, a más tardar el 11 de marzo 2019. </w:t>
      </w:r>
    </w:p>
  </w:footnote>
  <w:footnote w:id="6">
    <w:p w:rsidR="001C18DD" w:rsidRPr="008E4C70" w:rsidRDefault="001C18DD" w:rsidP="00C947C5">
      <w:pPr>
        <w:pStyle w:val="Textonotapie"/>
        <w:jc w:val="both"/>
        <w:rPr>
          <w:rFonts w:ascii="Verdana" w:hAnsi="Verdana" w:cs="Verdana"/>
          <w:sz w:val="16"/>
          <w:szCs w:val="16"/>
          <w:lang w:val="es-CR"/>
        </w:rPr>
      </w:pPr>
      <w:r w:rsidRPr="0077126F">
        <w:rPr>
          <w:rFonts w:ascii="Verdana" w:hAnsi="Verdana"/>
          <w:sz w:val="16"/>
          <w:szCs w:val="16"/>
          <w:vertAlign w:val="subscript"/>
          <w:lang w:val="es-PE"/>
        </w:rPr>
        <w:footnoteRef/>
      </w:r>
      <w:r w:rsidRPr="0077126F">
        <w:rPr>
          <w:rFonts w:ascii="Verdana" w:hAnsi="Verdana"/>
          <w:sz w:val="16"/>
          <w:szCs w:val="16"/>
          <w:lang w:val="es-PE"/>
        </w:rPr>
        <w:t xml:space="preserve"> </w:t>
      </w:r>
      <w:r w:rsidRPr="008E4C70">
        <w:rPr>
          <w:rFonts w:ascii="Verdana" w:hAnsi="Verdana"/>
          <w:sz w:val="16"/>
          <w:szCs w:val="16"/>
          <w:lang w:val="es-PE"/>
        </w:rPr>
        <w:tab/>
        <w:t xml:space="preserve"> </w:t>
      </w:r>
      <w:r w:rsidRPr="008E4C70">
        <w:rPr>
          <w:rFonts w:ascii="Verdana" w:hAnsi="Verdana"/>
          <w:sz w:val="16"/>
          <w:szCs w:val="16"/>
          <w:lang w:val="es-PE"/>
        </w:rPr>
        <w:t>El 4 de</w:t>
      </w:r>
      <w:r w:rsidRPr="008E4C70">
        <w:rPr>
          <w:rFonts w:ascii="Verdana" w:hAnsi="Verdana"/>
          <w:sz w:val="16"/>
          <w:szCs w:val="16"/>
          <w:lang w:val="es-CR"/>
        </w:rPr>
        <w:t xml:space="preserve"> marzo de 2019 el Presidente de la Corte emitió una resolución en la cual se autorizó una solicitud de la Comisión sobre el cambio de modalidad del peritaje conjunto de los señores </w:t>
      </w:r>
      <w:r w:rsidRPr="008E4C70">
        <w:rPr>
          <w:rFonts w:ascii="Verdana" w:hAnsi="Verdana" w:cs="Verdana"/>
          <w:sz w:val="16"/>
          <w:szCs w:val="16"/>
          <w:lang w:val="es-CR"/>
        </w:rPr>
        <w:t>Parvais Jabbar y Edward Fitzgerald</w:t>
      </w:r>
      <w:r w:rsidRPr="008E4C70">
        <w:rPr>
          <w:rFonts w:ascii="Verdana" w:hAnsi="Verdana"/>
          <w:sz w:val="16"/>
          <w:szCs w:val="16"/>
          <w:lang w:val="es-CR"/>
        </w:rPr>
        <w:t>. Dicho peritaje fue ofrecido también en los</w:t>
      </w:r>
      <w:r w:rsidRPr="008E4C70">
        <w:rPr>
          <w:rFonts w:ascii="Verdana" w:hAnsi="Verdana"/>
          <w:i/>
          <w:sz w:val="16"/>
          <w:szCs w:val="16"/>
          <w:lang w:val="es-CR"/>
        </w:rPr>
        <w:t xml:space="preserve"> casos Ruiz Fuentes, y Martínez Coronado </w:t>
      </w:r>
      <w:r w:rsidRPr="008E4C70">
        <w:rPr>
          <w:rFonts w:ascii="Verdana" w:hAnsi="Verdana"/>
          <w:sz w:val="16"/>
          <w:szCs w:val="16"/>
          <w:lang w:val="es-CR"/>
        </w:rPr>
        <w:t>ambos contra</w:t>
      </w:r>
      <w:r w:rsidRPr="008E4C70">
        <w:rPr>
          <w:rFonts w:ascii="Verdana" w:hAnsi="Verdana"/>
          <w:i/>
          <w:sz w:val="16"/>
          <w:szCs w:val="16"/>
          <w:lang w:val="es-CR"/>
        </w:rPr>
        <w:t xml:space="preserve"> </w:t>
      </w:r>
      <w:r>
        <w:rPr>
          <w:rFonts w:ascii="Verdana" w:hAnsi="Verdana"/>
          <w:sz w:val="16"/>
          <w:szCs w:val="16"/>
          <w:lang w:val="es-CR"/>
        </w:rPr>
        <w:t>Guatemala. El plazo se amplió</w:t>
      </w:r>
      <w:r w:rsidRPr="008E4C70">
        <w:rPr>
          <w:rFonts w:ascii="Verdana" w:hAnsi="Verdana"/>
          <w:sz w:val="16"/>
          <w:szCs w:val="16"/>
          <w:lang w:val="es-CR"/>
        </w:rPr>
        <w:t xml:space="preserve"> al 18 de marzo de 2019, para su presentación mediante afidávit</w:t>
      </w:r>
      <w:r w:rsidRPr="008E4C70">
        <w:rPr>
          <w:rFonts w:ascii="Verdana" w:hAnsi="Verdana" w:cs="Verdana"/>
          <w:sz w:val="16"/>
          <w:szCs w:val="16"/>
          <w:lang w:val="es-CR"/>
        </w:rPr>
        <w:t xml:space="preserve">. Disponible en: </w:t>
      </w:r>
      <w:r>
        <w:fldChar w:fldCharType="begin"/>
      </w:r>
      <w:r w:rsidRPr="00A53665">
        <w:rPr>
          <w:lang w:val="es-CR"/>
        </w:rPr>
        <w:instrText xml:space="preserve"> HYPERLINK "http://www.corteidh.or.cr/docs/asuntos/ruizfuentes_mart%C3%ADnezcoronado_gir%C3%B3nyotro_valenzuela%C3%A1vila_rodr%C3%ADguezrevolorioyotros_04_03_19.pdf" </w:instrText>
      </w:r>
      <w:r>
        <w:fldChar w:fldCharType="separate"/>
      </w:r>
      <w:r w:rsidRPr="008E4C70">
        <w:rPr>
          <w:rStyle w:val="Hipervnculo"/>
          <w:rFonts w:ascii="Verdana" w:hAnsi="Verdana" w:cs="Verdana"/>
          <w:sz w:val="16"/>
          <w:szCs w:val="16"/>
          <w:lang w:val="es-CR"/>
        </w:rPr>
        <w:t>http://www.corteidh.or.cr/docs/asuntos/ruizfuentes_mart%C3%ADnezcoronado_gir%C3%B3nyotro_valenzuela%C3%A1vila_rodr%C3%ADguezrevolorioyotros_04_03_19.pdf</w:t>
      </w:r>
      <w:r>
        <w:rPr>
          <w:rStyle w:val="Hipervnculo"/>
          <w:rFonts w:ascii="Verdana" w:hAnsi="Verdana" w:cs="Verdana"/>
          <w:sz w:val="16"/>
          <w:szCs w:val="16"/>
          <w:lang w:val="es-CR"/>
        </w:rPr>
        <w:fldChar w:fldCharType="end"/>
      </w:r>
      <w:r w:rsidRPr="008E4C70">
        <w:rPr>
          <w:rFonts w:ascii="Verdana" w:hAnsi="Verdana" w:cs="Verdana"/>
          <w:sz w:val="16"/>
          <w:szCs w:val="16"/>
          <w:lang w:val="es-CR"/>
        </w:rPr>
        <w:t>.</w:t>
      </w:r>
      <w:r>
        <w:rPr>
          <w:rFonts w:ascii="Verdana" w:hAnsi="Verdana" w:cs="Verdana"/>
          <w:b/>
          <w:sz w:val="16"/>
          <w:szCs w:val="16"/>
          <w:lang w:val="es-CR"/>
        </w:rPr>
        <w:t xml:space="preserve"> </w:t>
      </w:r>
    </w:p>
  </w:footnote>
  <w:footnote w:id="7">
    <w:p w:rsidR="001C18DD" w:rsidRPr="00B64229" w:rsidRDefault="001C18DD" w:rsidP="003E32BC">
      <w:pPr>
        <w:pStyle w:val="Textonotapie"/>
        <w:tabs>
          <w:tab w:val="left" w:pos="567"/>
        </w:tabs>
        <w:jc w:val="both"/>
        <w:rPr>
          <w:rFonts w:ascii="Verdana" w:hAnsi="Verdana"/>
          <w:sz w:val="16"/>
          <w:szCs w:val="16"/>
          <w:lang w:val="es-CR"/>
        </w:rPr>
      </w:pPr>
      <w:r w:rsidRPr="000C56AE">
        <w:rPr>
          <w:rStyle w:val="Refdenotaalpie"/>
          <w:sz w:val="16"/>
          <w:szCs w:val="16"/>
        </w:rPr>
        <w:footnoteRef/>
      </w:r>
      <w:r w:rsidRPr="0079755F">
        <w:rPr>
          <w:sz w:val="16"/>
          <w:szCs w:val="16"/>
          <w:lang w:val="es-CR"/>
        </w:rPr>
        <w:t xml:space="preserve"> </w:t>
      </w:r>
      <w:r w:rsidRPr="0079755F">
        <w:rPr>
          <w:sz w:val="16"/>
          <w:szCs w:val="16"/>
          <w:lang w:val="es-CR"/>
        </w:rPr>
        <w:tab/>
      </w:r>
      <w:r w:rsidRPr="00B64229">
        <w:rPr>
          <w:rFonts w:ascii="Verdana" w:hAnsi="Verdana" w:cs="Arial"/>
          <w:i/>
          <w:sz w:val="16"/>
          <w:szCs w:val="16"/>
          <w:lang w:val="es-CR"/>
        </w:rPr>
        <w:t xml:space="preserve">Cfr. Caso Las Palmeras Vs. Colombia. Excepciones Preliminares. </w:t>
      </w:r>
      <w:r w:rsidRPr="00B64229">
        <w:rPr>
          <w:rFonts w:ascii="Verdana" w:hAnsi="Verdana" w:cs="Arial"/>
          <w:sz w:val="16"/>
          <w:szCs w:val="16"/>
          <w:lang w:val="es-CR"/>
        </w:rPr>
        <w:t xml:space="preserve">Sentencia de 4 de febrero de 2000. Serie C No. 67, párr. </w:t>
      </w:r>
      <w:r w:rsidRPr="00B64229">
        <w:rPr>
          <w:rFonts w:ascii="Verdana" w:hAnsi="Verdana" w:cs="Arial"/>
          <w:sz w:val="16"/>
          <w:szCs w:val="16"/>
          <w:lang w:val="es-CR"/>
        </w:rPr>
        <w:t xml:space="preserve">34, y </w:t>
      </w:r>
      <w:r w:rsidRPr="00C62653">
        <w:rPr>
          <w:rFonts w:ascii="Verdana" w:hAnsi="Verdana" w:cs="Arial"/>
          <w:i/>
          <w:sz w:val="16"/>
          <w:szCs w:val="16"/>
          <w:lang w:val="es-CR"/>
        </w:rPr>
        <w:t>Caso Gorigoitía Vs. Argentina. Excepción Preliminar, Fondo, Reparaciones y Costas.</w:t>
      </w:r>
      <w:r w:rsidRPr="00F72A93">
        <w:rPr>
          <w:rFonts w:ascii="Verdana" w:hAnsi="Verdana" w:cs="Arial"/>
          <w:sz w:val="16"/>
          <w:szCs w:val="16"/>
          <w:lang w:val="es-CR"/>
        </w:rPr>
        <w:t xml:space="preserve"> Sentencia de 2 de septiembre de 2019. Serie C No. 382</w:t>
      </w:r>
      <w:r>
        <w:rPr>
          <w:rFonts w:ascii="Verdana" w:hAnsi="Verdana" w:cs="Arial"/>
          <w:sz w:val="16"/>
          <w:szCs w:val="16"/>
          <w:lang w:val="es-CR"/>
        </w:rPr>
        <w:t>,</w:t>
      </w:r>
      <w:r w:rsidRPr="00F72A93" w:rsidDel="00F72A93">
        <w:rPr>
          <w:rFonts w:ascii="Verdana" w:hAnsi="Verdana" w:cs="Arial"/>
          <w:sz w:val="16"/>
          <w:szCs w:val="16"/>
          <w:lang w:val="es-CR"/>
        </w:rPr>
        <w:t xml:space="preserve"> </w:t>
      </w:r>
      <w:r w:rsidRPr="00B64229">
        <w:rPr>
          <w:rFonts w:ascii="Verdana" w:hAnsi="Verdana" w:cs="Arial"/>
          <w:sz w:val="16"/>
          <w:szCs w:val="16"/>
          <w:lang w:val="es-CR"/>
        </w:rPr>
        <w:t xml:space="preserve">párr. </w:t>
      </w:r>
      <w:r>
        <w:rPr>
          <w:rFonts w:ascii="Verdana" w:hAnsi="Verdana" w:cs="Arial"/>
          <w:sz w:val="16"/>
          <w:szCs w:val="16"/>
          <w:lang w:val="es-CR"/>
        </w:rPr>
        <w:t>19</w:t>
      </w:r>
      <w:r w:rsidRPr="00B64229">
        <w:rPr>
          <w:rFonts w:ascii="Verdana" w:hAnsi="Verdana" w:cs="Arial"/>
          <w:sz w:val="16"/>
          <w:szCs w:val="16"/>
          <w:lang w:val="es-CR"/>
        </w:rPr>
        <w:t>.</w:t>
      </w:r>
    </w:p>
  </w:footnote>
  <w:footnote w:id="8">
    <w:p w:rsidR="001C18DD" w:rsidRPr="00B64229" w:rsidRDefault="001C18DD" w:rsidP="003E32BC">
      <w:pPr>
        <w:pStyle w:val="Textonotapie"/>
        <w:tabs>
          <w:tab w:val="left" w:pos="567"/>
        </w:tabs>
        <w:jc w:val="both"/>
        <w:rPr>
          <w:rFonts w:ascii="Verdana" w:hAnsi="Verdana"/>
          <w:sz w:val="16"/>
          <w:szCs w:val="16"/>
          <w:lang w:val="es-CR"/>
        </w:rPr>
      </w:pPr>
      <w:r w:rsidRPr="00B64229">
        <w:rPr>
          <w:rStyle w:val="Refdenotaalpie"/>
          <w:rFonts w:ascii="Verdana" w:hAnsi="Verdana"/>
          <w:sz w:val="16"/>
          <w:szCs w:val="16"/>
        </w:rPr>
        <w:footnoteRef/>
      </w:r>
      <w:r w:rsidRPr="00B64229">
        <w:rPr>
          <w:rFonts w:ascii="Verdana" w:hAnsi="Verdana"/>
          <w:sz w:val="16"/>
          <w:szCs w:val="16"/>
          <w:lang w:val="es-CR"/>
        </w:rPr>
        <w:t xml:space="preserve"> </w:t>
      </w:r>
      <w:r w:rsidRPr="00B64229">
        <w:rPr>
          <w:rFonts w:ascii="Verdana" w:hAnsi="Verdana"/>
          <w:sz w:val="16"/>
          <w:szCs w:val="16"/>
          <w:lang w:val="es-CR"/>
        </w:rPr>
        <w:tab/>
      </w:r>
      <w:r w:rsidRPr="00B64229">
        <w:rPr>
          <w:rFonts w:ascii="Verdana" w:hAnsi="Verdana" w:cs="Arial"/>
          <w:i/>
          <w:sz w:val="16"/>
          <w:szCs w:val="16"/>
          <w:lang w:val="es-CR"/>
        </w:rPr>
        <w:t>Cfr. Caso Castañeda Gutman Vs. México. Excepciones Preliminares, Fondo, Reparaciones y Costas</w:t>
      </w:r>
      <w:r w:rsidRPr="00B64229">
        <w:rPr>
          <w:rFonts w:ascii="Verdana" w:hAnsi="Verdana" w:cs="Arial"/>
          <w:sz w:val="16"/>
          <w:szCs w:val="16"/>
          <w:lang w:val="es-CR"/>
        </w:rPr>
        <w:t xml:space="preserve">. Sentencia de 6 de agosto de 2008. Serie C No. 184, párr. 39, y </w:t>
      </w:r>
      <w:r>
        <w:rPr>
          <w:rFonts w:ascii="Verdana" w:hAnsi="Verdana" w:cs="Arial"/>
          <w:i/>
          <w:sz w:val="16"/>
          <w:szCs w:val="16"/>
          <w:lang w:val="es-CR"/>
        </w:rPr>
        <w:t xml:space="preserve">Caso Gorigoitía Vs. Argentina, supra, </w:t>
      </w:r>
      <w:r w:rsidRPr="00B64229">
        <w:rPr>
          <w:rFonts w:ascii="Verdana" w:hAnsi="Verdana" w:cs="Arial"/>
          <w:sz w:val="16"/>
          <w:szCs w:val="16"/>
          <w:lang w:val="es-CR"/>
        </w:rPr>
        <w:t xml:space="preserve">párr. </w:t>
      </w:r>
      <w:r>
        <w:rPr>
          <w:rFonts w:ascii="Verdana" w:hAnsi="Verdana" w:cs="Arial"/>
          <w:sz w:val="16"/>
          <w:szCs w:val="16"/>
          <w:lang w:val="es-CR"/>
        </w:rPr>
        <w:t>19</w:t>
      </w:r>
      <w:r w:rsidRPr="00B64229">
        <w:rPr>
          <w:rFonts w:ascii="Verdana" w:hAnsi="Verdana" w:cs="Arial"/>
          <w:sz w:val="16"/>
          <w:szCs w:val="16"/>
          <w:lang w:val="es-CR"/>
        </w:rPr>
        <w:t>.</w:t>
      </w:r>
    </w:p>
  </w:footnote>
  <w:footnote w:id="9">
    <w:p w:rsidR="001C18DD" w:rsidRPr="00B64229" w:rsidRDefault="001C18DD" w:rsidP="00D16A8A">
      <w:pPr>
        <w:pStyle w:val="Textonotapie"/>
        <w:jc w:val="both"/>
        <w:rPr>
          <w:rFonts w:ascii="Verdana" w:hAnsi="Verdana" w:cs="Verdana"/>
          <w:sz w:val="16"/>
          <w:szCs w:val="16"/>
          <w:lang w:val="es-ES"/>
        </w:rPr>
      </w:pPr>
      <w:r w:rsidRPr="00B64229">
        <w:rPr>
          <w:rStyle w:val="Refdenotaalpie"/>
          <w:rFonts w:ascii="Verdana" w:hAnsi="Verdana"/>
          <w:sz w:val="16"/>
          <w:szCs w:val="16"/>
        </w:rPr>
        <w:footnoteRef/>
      </w:r>
      <w:r w:rsidRPr="00B64229">
        <w:rPr>
          <w:rFonts w:ascii="Verdana" w:hAnsi="Verdana"/>
          <w:sz w:val="16"/>
          <w:szCs w:val="16"/>
          <w:lang w:val="es-CR"/>
        </w:rPr>
        <w:t xml:space="preserve"> </w:t>
      </w:r>
      <w:r w:rsidRPr="00B64229">
        <w:rPr>
          <w:rFonts w:ascii="Verdana" w:hAnsi="Verdana"/>
          <w:sz w:val="16"/>
          <w:szCs w:val="16"/>
          <w:lang w:val="es-CR"/>
        </w:rPr>
        <w:tab/>
      </w:r>
      <w:r w:rsidRPr="00B64229">
        <w:rPr>
          <w:rFonts w:ascii="Verdana" w:hAnsi="Verdana" w:cs="Verdana-Italic"/>
          <w:i/>
          <w:iCs/>
          <w:sz w:val="16"/>
          <w:szCs w:val="16"/>
          <w:lang w:val="es-ES"/>
        </w:rPr>
        <w:t xml:space="preserve">Cfr. Caso de las Masacres de </w:t>
      </w:r>
      <w:proofErr w:type="spellStart"/>
      <w:r w:rsidRPr="00B64229">
        <w:rPr>
          <w:rFonts w:ascii="Verdana" w:hAnsi="Verdana" w:cs="Verdana-Italic"/>
          <w:i/>
          <w:iCs/>
          <w:sz w:val="16"/>
          <w:szCs w:val="16"/>
          <w:lang w:val="es-ES"/>
        </w:rPr>
        <w:t>Ituango</w:t>
      </w:r>
      <w:proofErr w:type="spellEnd"/>
      <w:r w:rsidRPr="00B64229">
        <w:rPr>
          <w:rFonts w:ascii="Verdana" w:hAnsi="Verdana" w:cs="Verdana-Italic"/>
          <w:i/>
          <w:iCs/>
          <w:sz w:val="16"/>
          <w:szCs w:val="16"/>
          <w:lang w:val="es-ES"/>
        </w:rPr>
        <w:t xml:space="preserve"> Vs. Colombia. Excepción Preliminar, Fondo, Reparaciones y Costas</w:t>
      </w:r>
      <w:r w:rsidRPr="00B64229">
        <w:rPr>
          <w:rFonts w:ascii="Verdana" w:hAnsi="Verdana" w:cs="Verdana"/>
          <w:sz w:val="16"/>
          <w:szCs w:val="16"/>
          <w:lang w:val="es-ES"/>
        </w:rPr>
        <w:t xml:space="preserve">. Sentencia de 1 de julio de 2006. Serie C No. 148, párr. 98, </w:t>
      </w:r>
      <w:r w:rsidRPr="00B64229">
        <w:rPr>
          <w:rFonts w:ascii="Verdana" w:hAnsi="Verdana" w:cs="Arial"/>
          <w:sz w:val="16"/>
          <w:szCs w:val="16"/>
          <w:lang w:val="es-CR"/>
        </w:rPr>
        <w:t xml:space="preserve">y </w:t>
      </w:r>
      <w:r>
        <w:rPr>
          <w:rFonts w:ascii="Verdana" w:hAnsi="Verdana" w:cs="Arial"/>
          <w:i/>
          <w:sz w:val="16"/>
          <w:szCs w:val="16"/>
          <w:lang w:val="es-CR"/>
        </w:rPr>
        <w:t>Caso Gorigoitía Vs. Argentina, supra,</w:t>
      </w:r>
      <w:r w:rsidRPr="00B64229">
        <w:rPr>
          <w:rFonts w:ascii="Verdana" w:hAnsi="Verdana" w:cs="Verdana"/>
          <w:sz w:val="16"/>
          <w:szCs w:val="16"/>
          <w:lang w:val="es-CR"/>
        </w:rPr>
        <w:t xml:space="preserve"> párr. </w:t>
      </w:r>
      <w:r>
        <w:rPr>
          <w:rFonts w:ascii="Verdana" w:hAnsi="Verdana" w:cs="Verdana"/>
          <w:sz w:val="16"/>
          <w:szCs w:val="16"/>
          <w:lang w:val="es-CR"/>
        </w:rPr>
        <w:t>25</w:t>
      </w:r>
      <w:r w:rsidRPr="00B64229">
        <w:rPr>
          <w:rFonts w:ascii="Verdana" w:hAnsi="Verdana" w:cs="Verdana"/>
          <w:sz w:val="16"/>
          <w:szCs w:val="16"/>
          <w:lang w:val="es-ES"/>
        </w:rPr>
        <w:t>.</w:t>
      </w:r>
    </w:p>
  </w:footnote>
  <w:footnote w:id="10">
    <w:p w:rsidR="001C18DD" w:rsidRPr="008E4C70" w:rsidRDefault="001C18DD" w:rsidP="00FA7C64">
      <w:pPr>
        <w:pStyle w:val="Textonotapie"/>
        <w:jc w:val="both"/>
        <w:rPr>
          <w:rFonts w:ascii="Verdana" w:hAnsi="Verdana"/>
          <w:bCs/>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Cfr</w:t>
      </w:r>
      <w:r w:rsidRPr="008E4C70">
        <w:rPr>
          <w:rFonts w:ascii="Verdana" w:hAnsi="Verdana"/>
          <w:sz w:val="16"/>
          <w:szCs w:val="16"/>
          <w:lang w:val="es-CR"/>
        </w:rPr>
        <w:t xml:space="preserve">. </w:t>
      </w:r>
      <w:r w:rsidRPr="008E4C70">
        <w:rPr>
          <w:rFonts w:ascii="Verdana" w:hAnsi="Verdana"/>
          <w:bCs/>
          <w:i/>
          <w:sz w:val="16"/>
          <w:szCs w:val="16"/>
          <w:lang w:val="es-ES"/>
        </w:rPr>
        <w:t>Caso Masacres de Río Negro Vs. Guatemala. Excepción Preliminar, Fondo, Reparaciones y Costas</w:t>
      </w:r>
      <w:r w:rsidRPr="008E4C70">
        <w:rPr>
          <w:rFonts w:ascii="Verdana" w:hAnsi="Verdana"/>
          <w:bCs/>
          <w:sz w:val="16"/>
          <w:szCs w:val="16"/>
          <w:lang w:val="es-ES"/>
        </w:rPr>
        <w:t xml:space="preserve">. Sentencia de 4 de septiembre de 2012. Serie C No. 250, párr. 48, y </w:t>
      </w:r>
      <w:r>
        <w:rPr>
          <w:rFonts w:ascii="Verdana" w:hAnsi="Verdana" w:cs="Arial"/>
          <w:i/>
          <w:sz w:val="16"/>
          <w:szCs w:val="16"/>
          <w:lang w:val="es-CR"/>
        </w:rPr>
        <w:t>Caso Gorigoitía Vs. Argentina, supra,</w:t>
      </w:r>
      <w:r w:rsidRPr="00B64229">
        <w:rPr>
          <w:rFonts w:ascii="Verdana" w:hAnsi="Verdana" w:cs="Verdana"/>
          <w:sz w:val="16"/>
          <w:szCs w:val="16"/>
          <w:lang w:val="es-CR"/>
        </w:rPr>
        <w:t xml:space="preserve"> párr. </w:t>
      </w:r>
      <w:r>
        <w:rPr>
          <w:rFonts w:ascii="Verdana" w:hAnsi="Verdana" w:cs="Verdana"/>
          <w:sz w:val="16"/>
          <w:szCs w:val="16"/>
          <w:lang w:val="es-CR"/>
        </w:rPr>
        <w:t>25</w:t>
      </w:r>
      <w:r w:rsidRPr="00B64229">
        <w:rPr>
          <w:rFonts w:ascii="Verdana" w:hAnsi="Verdana" w:cs="Verdana"/>
          <w:sz w:val="16"/>
          <w:szCs w:val="16"/>
          <w:lang w:val="es-ES"/>
        </w:rPr>
        <w:t>.</w:t>
      </w:r>
    </w:p>
  </w:footnote>
  <w:footnote w:id="11">
    <w:p w:rsidR="001C18DD" w:rsidRPr="008E4C70" w:rsidRDefault="001C18DD" w:rsidP="00C947C5">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Cfr. Caso Velásquez Rodríguez Vs. Honduras. Fondo</w:t>
      </w:r>
      <w:r w:rsidRPr="008E4C70">
        <w:rPr>
          <w:rFonts w:ascii="Verdana" w:hAnsi="Verdana"/>
          <w:sz w:val="16"/>
          <w:szCs w:val="16"/>
          <w:lang w:val="es-CR"/>
        </w:rPr>
        <w:t xml:space="preserve">. Sentencia de 29 de julio de 1988. Serie C No. 4, párr. </w:t>
      </w:r>
      <w:r w:rsidRPr="008E4C70">
        <w:rPr>
          <w:rFonts w:ascii="Verdana" w:hAnsi="Verdana"/>
          <w:sz w:val="16"/>
          <w:szCs w:val="16"/>
          <w:lang w:val="es-CR"/>
        </w:rPr>
        <w:t xml:space="preserve">140, y </w:t>
      </w:r>
      <w:r>
        <w:rPr>
          <w:rFonts w:ascii="Verdana" w:hAnsi="Verdana" w:cs="Arial"/>
          <w:i/>
          <w:sz w:val="16"/>
          <w:szCs w:val="16"/>
          <w:lang w:val="es-CR"/>
        </w:rPr>
        <w:t>Caso Gorigoitía Vs. Argentina, supra,</w:t>
      </w:r>
      <w:r w:rsidRPr="00B64229">
        <w:rPr>
          <w:rFonts w:ascii="Verdana" w:hAnsi="Verdana" w:cs="Verdana"/>
          <w:sz w:val="16"/>
          <w:szCs w:val="16"/>
          <w:lang w:val="es-CR"/>
        </w:rPr>
        <w:t xml:space="preserve"> párr. </w:t>
      </w:r>
      <w:r>
        <w:rPr>
          <w:rFonts w:ascii="Verdana" w:hAnsi="Verdana" w:cs="Verdana"/>
          <w:sz w:val="16"/>
          <w:szCs w:val="16"/>
          <w:lang w:val="es-CR"/>
        </w:rPr>
        <w:t>27</w:t>
      </w:r>
      <w:r w:rsidRPr="00B64229">
        <w:rPr>
          <w:rFonts w:ascii="Verdana" w:hAnsi="Verdana" w:cs="Verdana"/>
          <w:sz w:val="16"/>
          <w:szCs w:val="16"/>
          <w:lang w:val="es-ES"/>
        </w:rPr>
        <w:t>.</w:t>
      </w:r>
    </w:p>
  </w:footnote>
  <w:footnote w:id="12">
    <w:p w:rsidR="001C18DD" w:rsidRPr="00B10243" w:rsidRDefault="001C18DD" w:rsidP="00A50C6D">
      <w:pPr>
        <w:pStyle w:val="Prrafodelista"/>
        <w:spacing w:after="0" w:line="240" w:lineRule="auto"/>
        <w:ind w:left="0"/>
        <w:jc w:val="both"/>
        <w:rPr>
          <w:rFonts w:ascii="Verdana" w:eastAsia="Verdana" w:hAnsi="Verdana" w:cs="Verdana"/>
          <w:sz w:val="20"/>
          <w:szCs w:val="20"/>
          <w:lang w:val="es-CR"/>
        </w:rPr>
      </w:pPr>
      <w:r>
        <w:rPr>
          <w:rStyle w:val="Refdenotaalpie"/>
        </w:rPr>
        <w:footnoteRef/>
      </w:r>
      <w:r w:rsidRPr="00B10243">
        <w:rPr>
          <w:lang w:val="es-CR"/>
        </w:rPr>
        <w:t xml:space="preserve"> </w:t>
      </w:r>
      <w:r>
        <w:rPr>
          <w:lang w:val="es-CR"/>
        </w:rPr>
        <w:tab/>
      </w:r>
      <w:r w:rsidRPr="00B10243">
        <w:rPr>
          <w:rFonts w:ascii="Verdana" w:hAnsi="Verdana"/>
          <w:sz w:val="16"/>
          <w:szCs w:val="16"/>
          <w:lang w:val="es-CR"/>
        </w:rPr>
        <w:t>El 19 de marzo de 2019 se solicitó al Estado y a las representantes la presentación de varios documentos como prueba para mejor resolver. El 26 de marzo</w:t>
      </w:r>
      <w:r>
        <w:rPr>
          <w:rFonts w:ascii="Verdana" w:hAnsi="Verdana"/>
          <w:sz w:val="16"/>
          <w:szCs w:val="16"/>
          <w:lang w:val="es-CR"/>
        </w:rPr>
        <w:t xml:space="preserve"> de 2019 las representantes pre</w:t>
      </w:r>
      <w:r w:rsidRPr="00B10243">
        <w:rPr>
          <w:rFonts w:ascii="Verdana" w:hAnsi="Verdana"/>
          <w:sz w:val="16"/>
          <w:szCs w:val="16"/>
          <w:lang w:val="es-CR"/>
        </w:rPr>
        <w:t>sentaron parte de la documentación solicitada e hicieron varias aclaraciones</w:t>
      </w:r>
      <w:r>
        <w:rPr>
          <w:rFonts w:ascii="Verdana" w:hAnsi="Verdana"/>
          <w:sz w:val="16"/>
          <w:szCs w:val="16"/>
          <w:lang w:val="es-CR"/>
        </w:rPr>
        <w:t>, que fueron recibida</w:t>
      </w:r>
      <w:r w:rsidRPr="00B10243">
        <w:rPr>
          <w:rFonts w:ascii="Verdana" w:hAnsi="Verdana"/>
          <w:sz w:val="16"/>
          <w:szCs w:val="16"/>
          <w:lang w:val="es-CR"/>
        </w:rPr>
        <w:t xml:space="preserve">s el 26 de marzo de 2019. El 9 de abril de 2019 el Estado, luego de una prórroga solicitada por este, presentó varios documentos. </w:t>
      </w:r>
    </w:p>
  </w:footnote>
  <w:footnote w:id="13">
    <w:p w:rsidR="001C18DD" w:rsidRPr="008E4C70" w:rsidRDefault="001C18DD">
      <w:pPr>
        <w:pStyle w:val="Normal1"/>
        <w:widowControl/>
        <w:contextualSpacing/>
        <w:jc w:val="both"/>
        <w:rPr>
          <w:rFonts w:ascii="Verdana" w:hAnsi="Verdana"/>
          <w:sz w:val="16"/>
          <w:szCs w:val="16"/>
        </w:rPr>
      </w:pPr>
      <w:r w:rsidRPr="008E4C70">
        <w:rPr>
          <w:rStyle w:val="Refdenotaalpie"/>
          <w:rFonts w:ascii="Verdana" w:hAnsi="Verdana"/>
          <w:sz w:val="16"/>
          <w:szCs w:val="16"/>
        </w:rPr>
        <w:footnoteRef/>
      </w:r>
      <w:r w:rsidRPr="008E4C70">
        <w:rPr>
          <w:rFonts w:ascii="Verdana" w:hAnsi="Verdana"/>
          <w:sz w:val="16"/>
          <w:szCs w:val="16"/>
        </w:rPr>
        <w:t xml:space="preserve"> </w:t>
      </w:r>
      <w:r w:rsidRPr="008E4C70">
        <w:rPr>
          <w:rFonts w:ascii="Verdana" w:hAnsi="Verdana"/>
          <w:sz w:val="16"/>
          <w:szCs w:val="16"/>
        </w:rPr>
        <w:tab/>
      </w:r>
      <w:r w:rsidRPr="008E4C70">
        <w:rPr>
          <w:rFonts w:ascii="Verdana" w:hAnsi="Verdana"/>
          <w:sz w:val="16"/>
          <w:szCs w:val="16"/>
          <w:lang w:val="es-ES_tradnl"/>
        </w:rPr>
        <w:t xml:space="preserve">El 6 de marzo de 2019 fueron recibidas las declaraciones rendidas ante fedatario público de </w:t>
      </w:r>
      <w:r w:rsidRPr="008E4C70">
        <w:rPr>
          <w:rFonts w:ascii="Verdana" w:hAnsi="Verdana"/>
          <w:sz w:val="16"/>
          <w:szCs w:val="16"/>
          <w:lang w:val="es-ES"/>
        </w:rPr>
        <w:t xml:space="preserve">Dora Alicia Castillo Mendoza de Luna, Berta Lidia Mendoza, </w:t>
      </w:r>
      <w:proofErr w:type="spellStart"/>
      <w:r w:rsidRPr="008E4C70">
        <w:rPr>
          <w:rFonts w:ascii="Verdana" w:hAnsi="Verdana"/>
          <w:sz w:val="16"/>
          <w:szCs w:val="16"/>
          <w:lang w:val="es-ES"/>
        </w:rPr>
        <w:t>Edy</w:t>
      </w:r>
      <w:proofErr w:type="spellEnd"/>
      <w:r w:rsidRPr="008E4C70">
        <w:rPr>
          <w:rFonts w:ascii="Verdana" w:hAnsi="Verdana"/>
          <w:sz w:val="16"/>
          <w:szCs w:val="16"/>
          <w:lang w:val="es-ES"/>
        </w:rPr>
        <w:t xml:space="preserve"> Iván Bocanegra Conde, Alejandro Rodríguez </w:t>
      </w:r>
      <w:proofErr w:type="spellStart"/>
      <w:r w:rsidRPr="008E4C70">
        <w:rPr>
          <w:rFonts w:ascii="Verdana" w:hAnsi="Verdana"/>
          <w:sz w:val="16"/>
          <w:szCs w:val="16"/>
          <w:lang w:val="es-ES"/>
        </w:rPr>
        <w:t>Barillas</w:t>
      </w:r>
      <w:proofErr w:type="spellEnd"/>
      <w:r w:rsidRPr="008E4C70">
        <w:rPr>
          <w:rFonts w:ascii="Verdana" w:hAnsi="Verdana"/>
          <w:sz w:val="16"/>
          <w:szCs w:val="16"/>
          <w:lang w:val="es-ES"/>
        </w:rPr>
        <w:t xml:space="preserve">, y Enrique Oscar </w:t>
      </w:r>
      <w:proofErr w:type="spellStart"/>
      <w:r w:rsidRPr="008E4C70">
        <w:rPr>
          <w:rFonts w:ascii="Verdana" w:hAnsi="Verdana"/>
          <w:sz w:val="16"/>
          <w:szCs w:val="16"/>
          <w:lang w:val="es-ES"/>
        </w:rPr>
        <w:t>Stola</w:t>
      </w:r>
      <w:proofErr w:type="spellEnd"/>
      <w:r w:rsidRPr="008E4C70">
        <w:rPr>
          <w:rFonts w:ascii="Verdana" w:hAnsi="Verdana"/>
          <w:sz w:val="16"/>
          <w:szCs w:val="16"/>
          <w:lang w:val="es-ES"/>
        </w:rPr>
        <w:t xml:space="preserve">. El </w:t>
      </w:r>
      <w:r>
        <w:rPr>
          <w:rFonts w:ascii="Verdana" w:hAnsi="Verdana"/>
          <w:sz w:val="16"/>
          <w:szCs w:val="16"/>
          <w:lang w:val="es-ES" w:eastAsia="es-CR"/>
        </w:rPr>
        <w:t>7</w:t>
      </w:r>
      <w:r w:rsidRPr="008E4C70">
        <w:rPr>
          <w:rFonts w:ascii="Verdana" w:hAnsi="Verdana"/>
          <w:sz w:val="16"/>
          <w:szCs w:val="16"/>
          <w:lang w:val="es-ES" w:eastAsia="es-CR"/>
        </w:rPr>
        <w:t xml:space="preserve"> de marzo de 2019 se recibió el informe pericial rendido ante fedatario público por el señor Luis Arroyo Zapatero y el 11 de marzo de 2019 se recibió la declaración rendida ante fedatario público de </w:t>
      </w:r>
      <w:r w:rsidRPr="008E4C70">
        <w:rPr>
          <w:rFonts w:ascii="Verdana" w:hAnsi="Verdana"/>
          <w:sz w:val="16"/>
          <w:szCs w:val="16"/>
          <w:lang w:val="es-ES"/>
        </w:rPr>
        <w:t xml:space="preserve">María Fernanda López </w:t>
      </w:r>
      <w:r w:rsidRPr="008E4C70">
        <w:rPr>
          <w:rFonts w:ascii="Verdana" w:hAnsi="Verdana"/>
          <w:sz w:val="16"/>
          <w:szCs w:val="16"/>
          <w:lang w:val="es-PE"/>
        </w:rPr>
        <w:t>Puleilo</w:t>
      </w:r>
      <w:r w:rsidRPr="00D962F9">
        <w:rPr>
          <w:rFonts w:ascii="Verdana" w:hAnsi="Verdana"/>
          <w:sz w:val="16"/>
          <w:szCs w:val="16"/>
        </w:rPr>
        <w:t>.</w:t>
      </w:r>
      <w:r w:rsidRPr="00400BCB">
        <w:rPr>
          <w:rFonts w:ascii="Verdana" w:hAnsi="Verdana"/>
          <w:sz w:val="16"/>
          <w:szCs w:val="16"/>
        </w:rPr>
        <w:t xml:space="preserve"> </w:t>
      </w:r>
      <w:r>
        <w:rPr>
          <w:rFonts w:ascii="Verdana" w:hAnsi="Verdana"/>
          <w:sz w:val="16"/>
          <w:szCs w:val="16"/>
        </w:rPr>
        <w:t xml:space="preserve">El </w:t>
      </w:r>
      <w:r w:rsidRPr="008E4C70">
        <w:rPr>
          <w:rFonts w:ascii="Verdana" w:hAnsi="Verdana"/>
          <w:sz w:val="16"/>
          <w:szCs w:val="16"/>
        </w:rPr>
        <w:t xml:space="preserve">18 de marzo de 2019 los señores </w:t>
      </w:r>
      <w:r w:rsidRPr="008E4C70">
        <w:rPr>
          <w:rFonts w:ascii="Verdana" w:hAnsi="Verdana" w:cs="Verdana"/>
          <w:sz w:val="16"/>
          <w:szCs w:val="16"/>
        </w:rPr>
        <w:t>Parvais Jabbar y Edward Fitzgerald</w:t>
      </w:r>
      <w:r>
        <w:rPr>
          <w:rFonts w:ascii="Verdana" w:hAnsi="Verdana" w:cs="Verdana"/>
          <w:sz w:val="16"/>
          <w:szCs w:val="16"/>
        </w:rPr>
        <w:t xml:space="preserve"> </w:t>
      </w:r>
      <w:r>
        <w:rPr>
          <w:rFonts w:ascii="Verdana" w:hAnsi="Verdana"/>
          <w:sz w:val="16"/>
          <w:szCs w:val="16"/>
        </w:rPr>
        <w:t>presentaron</w:t>
      </w:r>
      <w:r w:rsidRPr="008E4C70">
        <w:rPr>
          <w:rFonts w:ascii="Verdana" w:hAnsi="Verdana"/>
          <w:sz w:val="16"/>
          <w:szCs w:val="16"/>
        </w:rPr>
        <w:t xml:space="preserve"> el peritaje conjunto mediante afidávit</w:t>
      </w:r>
      <w:r w:rsidRPr="008E4C70">
        <w:rPr>
          <w:rFonts w:ascii="Verdana" w:hAnsi="Verdana" w:cs="Verdana"/>
          <w:sz w:val="16"/>
          <w:szCs w:val="16"/>
        </w:rPr>
        <w:t xml:space="preserve">. </w:t>
      </w:r>
    </w:p>
  </w:footnote>
  <w:footnote w:id="14">
    <w:p w:rsidR="001C18DD" w:rsidRPr="008E4C70" w:rsidRDefault="001C18DD">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sz w:val="16"/>
          <w:szCs w:val="16"/>
          <w:lang w:val="es-CR"/>
        </w:rPr>
        <w:t>Constitución Política de la República de Guatemala decretada por la Asamblea Constituyente, 31 de mayo de 1985, Reformada por la Consulta Popular Acuerdo Legislativo 18-93</w:t>
      </w:r>
      <w:r>
        <w:rPr>
          <w:rFonts w:ascii="Verdana" w:hAnsi="Verdana"/>
          <w:sz w:val="16"/>
          <w:szCs w:val="16"/>
          <w:lang w:val="es-CR"/>
        </w:rPr>
        <w:t>.</w:t>
      </w:r>
    </w:p>
    <w:p w:rsidR="001C18DD" w:rsidRPr="008E4C70" w:rsidRDefault="001C18DD">
      <w:pPr>
        <w:pStyle w:val="Textonotapie"/>
        <w:ind w:firstLine="360"/>
        <w:jc w:val="both"/>
        <w:rPr>
          <w:rFonts w:ascii="Verdana" w:hAnsi="Verdana"/>
          <w:sz w:val="16"/>
          <w:szCs w:val="16"/>
          <w:lang w:val="es-PE"/>
        </w:rPr>
      </w:pPr>
      <w:r w:rsidRPr="008E4C70">
        <w:rPr>
          <w:rFonts w:ascii="Verdana" w:hAnsi="Verdana"/>
          <w:sz w:val="16"/>
          <w:szCs w:val="16"/>
          <w:lang w:val="es-CR"/>
        </w:rPr>
        <w:t xml:space="preserve">Artículo 18. </w:t>
      </w:r>
      <w:r w:rsidRPr="008E4C70">
        <w:rPr>
          <w:rFonts w:ascii="Verdana" w:hAnsi="Verdana"/>
          <w:sz w:val="16"/>
          <w:szCs w:val="16"/>
          <w:lang w:val="es-PE"/>
        </w:rPr>
        <w:t>Pena de muerte. La pena de muerte no podrá imponerse en los siguientes casos:</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a. Con fundamento en presunciones;</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b. A las mujeres;</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c. A los mayores de sesenta años;</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d. A los reos de delitos políticos y comunes conexos con los políticos; y</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 xml:space="preserve">e. </w:t>
      </w:r>
      <w:r w:rsidRPr="008E4C70">
        <w:rPr>
          <w:rFonts w:ascii="Verdana" w:hAnsi="Verdana"/>
          <w:iCs/>
          <w:sz w:val="16"/>
          <w:szCs w:val="16"/>
          <w:lang w:val="es-PE"/>
        </w:rPr>
        <w:t>A</w:t>
      </w:r>
      <w:r w:rsidRPr="008E4C70">
        <w:rPr>
          <w:rFonts w:ascii="Verdana" w:hAnsi="Verdana"/>
          <w:i/>
          <w:iCs/>
          <w:sz w:val="16"/>
          <w:szCs w:val="16"/>
          <w:lang w:val="es-PE"/>
        </w:rPr>
        <w:t xml:space="preserve"> </w:t>
      </w:r>
      <w:r w:rsidRPr="008E4C70">
        <w:rPr>
          <w:rFonts w:ascii="Verdana" w:hAnsi="Verdana"/>
          <w:sz w:val="16"/>
          <w:szCs w:val="16"/>
          <w:lang w:val="es-PE"/>
        </w:rPr>
        <w:t>reos cuya extradición haya sido concedida bajo esa condición.</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 xml:space="preserve">Contra la sentencia que imponga la pena de muerte, serán admisibles todos los recursos legales pertinentes, inclusive el de casación; éste siempre será admitido para su trámite. La pena se ejecutará después de agotarse todos los recursos. </w:t>
      </w:r>
    </w:p>
    <w:p w:rsidR="001C18DD" w:rsidRPr="008E4C70" w:rsidRDefault="001C18DD">
      <w:pPr>
        <w:pStyle w:val="Textonotapie"/>
        <w:ind w:left="360"/>
        <w:jc w:val="both"/>
        <w:rPr>
          <w:rFonts w:ascii="Verdana" w:hAnsi="Verdana"/>
          <w:sz w:val="16"/>
          <w:szCs w:val="16"/>
          <w:lang w:val="es-ES_tradnl"/>
        </w:rPr>
      </w:pPr>
      <w:r w:rsidRPr="008E4C70">
        <w:rPr>
          <w:rFonts w:ascii="Verdana" w:hAnsi="Verdana"/>
          <w:sz w:val="16"/>
          <w:szCs w:val="16"/>
          <w:lang w:val="es-PE"/>
        </w:rPr>
        <w:t>El Congreso de la República</w:t>
      </w:r>
      <w:r>
        <w:rPr>
          <w:rFonts w:ascii="Verdana" w:hAnsi="Verdana"/>
          <w:sz w:val="16"/>
          <w:szCs w:val="16"/>
          <w:lang w:val="es-PE"/>
        </w:rPr>
        <w:t xml:space="preserve"> podrá abolir la pena de muerte</w:t>
      </w:r>
      <w:r w:rsidRPr="008E4C70">
        <w:rPr>
          <w:rFonts w:ascii="Verdana" w:hAnsi="Verdana"/>
          <w:sz w:val="16"/>
          <w:szCs w:val="16"/>
          <w:lang w:val="es-PE"/>
        </w:rPr>
        <w:t>.</w:t>
      </w:r>
    </w:p>
  </w:footnote>
  <w:footnote w:id="15">
    <w:p w:rsidR="001C18DD" w:rsidRPr="008E4C70" w:rsidRDefault="001C18DD">
      <w:pPr>
        <w:pStyle w:val="Textonotapie"/>
        <w:jc w:val="both"/>
        <w:rPr>
          <w:rFonts w:ascii="Verdana" w:hAnsi="Verdana"/>
          <w:sz w:val="16"/>
          <w:szCs w:val="16"/>
          <w:lang w:val="es-ES_tradnl"/>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sz w:val="16"/>
          <w:szCs w:val="16"/>
          <w:lang w:val="es-ES_tradnl"/>
        </w:rPr>
        <w:t>Código Penal, Decreto No. 17-73 del Congreso de la República de Guatemala, promulgado el 27 de julio de 1973</w:t>
      </w:r>
      <w:r>
        <w:rPr>
          <w:rFonts w:ascii="Verdana" w:hAnsi="Verdana"/>
          <w:sz w:val="16"/>
          <w:szCs w:val="16"/>
          <w:lang w:val="es-ES_tradnl"/>
        </w:rPr>
        <w:t>.</w:t>
      </w:r>
      <w:r w:rsidRPr="008E4C70">
        <w:rPr>
          <w:rFonts w:ascii="Verdana" w:hAnsi="Verdana"/>
          <w:sz w:val="16"/>
          <w:szCs w:val="16"/>
          <w:lang w:val="es-ES_tradnl"/>
        </w:rPr>
        <w:t xml:space="preserve"> </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ES_tradnl"/>
        </w:rPr>
        <w:t xml:space="preserve">Artículo 43. </w:t>
      </w:r>
      <w:r w:rsidRPr="008E4C70">
        <w:rPr>
          <w:rFonts w:ascii="Verdana" w:hAnsi="Verdana"/>
          <w:sz w:val="16"/>
          <w:szCs w:val="16"/>
          <w:lang w:val="es-PE"/>
        </w:rPr>
        <w:t>La pena de muerte, tiene carácter extraordinario y sólo podrá aplicarse en los casos expresamente consignados en la ley y no se ejecutará, sino después de agotarse todos los recursos legales.</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No podrá imponerse la pena de muerte:</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1. Por delitos políticos.</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2. Cuando la condena se fundamente en presunciones.</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 xml:space="preserve">3. </w:t>
      </w:r>
      <w:r w:rsidRPr="008E4C70">
        <w:rPr>
          <w:rFonts w:ascii="Verdana" w:hAnsi="Verdana"/>
          <w:iCs/>
          <w:sz w:val="16"/>
          <w:szCs w:val="16"/>
          <w:lang w:val="es-PE"/>
        </w:rPr>
        <w:t>A</w:t>
      </w:r>
      <w:r w:rsidRPr="008E4C70">
        <w:rPr>
          <w:rFonts w:ascii="Verdana" w:hAnsi="Verdana"/>
          <w:i/>
          <w:iCs/>
          <w:sz w:val="16"/>
          <w:szCs w:val="16"/>
          <w:lang w:val="es-PE"/>
        </w:rPr>
        <w:t xml:space="preserve"> </w:t>
      </w:r>
      <w:r w:rsidRPr="008E4C70">
        <w:rPr>
          <w:rFonts w:ascii="Verdana" w:hAnsi="Verdana"/>
          <w:sz w:val="16"/>
          <w:szCs w:val="16"/>
          <w:lang w:val="es-PE"/>
        </w:rPr>
        <w:t>mujeres.</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 xml:space="preserve">4. </w:t>
      </w:r>
      <w:r w:rsidRPr="008E4C70">
        <w:rPr>
          <w:rFonts w:ascii="Verdana" w:hAnsi="Verdana"/>
          <w:iCs/>
          <w:sz w:val="16"/>
          <w:szCs w:val="16"/>
          <w:lang w:val="es-PE"/>
        </w:rPr>
        <w:t>A</w:t>
      </w:r>
      <w:r w:rsidRPr="008E4C70">
        <w:rPr>
          <w:rFonts w:ascii="Verdana" w:hAnsi="Verdana"/>
          <w:i/>
          <w:iCs/>
          <w:sz w:val="16"/>
          <w:szCs w:val="16"/>
          <w:lang w:val="es-PE"/>
        </w:rPr>
        <w:t xml:space="preserve"> </w:t>
      </w:r>
      <w:r w:rsidRPr="008E4C70">
        <w:rPr>
          <w:rFonts w:ascii="Verdana" w:hAnsi="Verdana"/>
          <w:sz w:val="16"/>
          <w:szCs w:val="16"/>
          <w:lang w:val="es-PE"/>
        </w:rPr>
        <w:t>varones mayores de setenta años.</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 xml:space="preserve">5. </w:t>
      </w:r>
      <w:r w:rsidRPr="008E4C70">
        <w:rPr>
          <w:rFonts w:ascii="Verdana" w:hAnsi="Verdana"/>
          <w:iCs/>
          <w:sz w:val="16"/>
          <w:szCs w:val="16"/>
          <w:lang w:val="es-PE"/>
        </w:rPr>
        <w:t>A</w:t>
      </w:r>
      <w:r w:rsidRPr="008E4C70">
        <w:rPr>
          <w:rFonts w:ascii="Verdana" w:hAnsi="Verdana"/>
          <w:i/>
          <w:iCs/>
          <w:sz w:val="16"/>
          <w:szCs w:val="16"/>
          <w:lang w:val="es-PE"/>
        </w:rPr>
        <w:t xml:space="preserve"> </w:t>
      </w:r>
      <w:r w:rsidRPr="008E4C70">
        <w:rPr>
          <w:rFonts w:ascii="Verdana" w:hAnsi="Verdana"/>
          <w:sz w:val="16"/>
          <w:szCs w:val="16"/>
          <w:lang w:val="es-PE"/>
        </w:rPr>
        <w:t>personas cuya extradición haya sido concedida bajo esa condición.</w:t>
      </w:r>
    </w:p>
    <w:p w:rsidR="001C18DD" w:rsidRPr="008E4C70" w:rsidRDefault="001C18DD">
      <w:pPr>
        <w:pStyle w:val="Textonotapie"/>
        <w:ind w:left="360"/>
        <w:jc w:val="both"/>
        <w:rPr>
          <w:rFonts w:ascii="Verdana" w:hAnsi="Verdana"/>
          <w:sz w:val="16"/>
          <w:szCs w:val="16"/>
          <w:lang w:val="es-PE"/>
        </w:rPr>
      </w:pPr>
      <w:r w:rsidRPr="008E4C70">
        <w:rPr>
          <w:rFonts w:ascii="Verdana" w:hAnsi="Verdana"/>
          <w:sz w:val="16"/>
          <w:szCs w:val="16"/>
          <w:lang w:val="es-PE"/>
        </w:rPr>
        <w:t>En estos casos y siempre que la pena de muerte fuere conmutada por la de privación de libertad, se le aplic</w:t>
      </w:r>
      <w:r>
        <w:rPr>
          <w:rFonts w:ascii="Verdana" w:hAnsi="Verdana"/>
          <w:sz w:val="16"/>
          <w:szCs w:val="16"/>
          <w:lang w:val="es-PE"/>
        </w:rPr>
        <w:t>ará prisión en su límite máximo</w:t>
      </w:r>
      <w:r w:rsidRPr="008E4C70">
        <w:rPr>
          <w:rFonts w:ascii="Verdana" w:hAnsi="Verdana"/>
          <w:sz w:val="16"/>
          <w:szCs w:val="16"/>
          <w:lang w:val="es-PE"/>
        </w:rPr>
        <w:t xml:space="preserve"> (expediente de prueba anexos al ESAP, anexo 10, fs. 1819 a 1937).</w:t>
      </w:r>
    </w:p>
  </w:footnote>
  <w:footnote w:id="16">
    <w:p w:rsidR="001C18DD" w:rsidRPr="008E4C70" w:rsidRDefault="001C18DD" w:rsidP="003E32BC">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sz w:val="16"/>
          <w:szCs w:val="16"/>
          <w:lang w:val="es-ES_tradnl"/>
        </w:rPr>
        <w:t xml:space="preserve">Código Penal, Decreto No. 17-73, artículo 175, </w:t>
      </w:r>
      <w:r w:rsidRPr="008E4C70">
        <w:rPr>
          <w:rFonts w:ascii="Verdana" w:hAnsi="Verdana"/>
          <w:i/>
          <w:sz w:val="16"/>
          <w:szCs w:val="16"/>
          <w:lang w:val="es-ES_tradnl"/>
        </w:rPr>
        <w:t>supra</w:t>
      </w:r>
      <w:r w:rsidRPr="008E4C70">
        <w:rPr>
          <w:rFonts w:ascii="Verdana" w:hAnsi="Verdana"/>
          <w:sz w:val="16"/>
          <w:szCs w:val="16"/>
          <w:lang w:val="es-ES_tradnl"/>
        </w:rPr>
        <w:t>.</w:t>
      </w:r>
    </w:p>
  </w:footnote>
  <w:footnote w:id="17">
    <w:p w:rsidR="001C18DD" w:rsidRPr="008E4C70" w:rsidRDefault="001C18DD" w:rsidP="00D16A8A">
      <w:pPr>
        <w:pStyle w:val="Textonotapie"/>
        <w:jc w:val="both"/>
        <w:rPr>
          <w:rFonts w:ascii="Verdana" w:hAnsi="Verdana"/>
          <w:sz w:val="16"/>
          <w:szCs w:val="16"/>
          <w:lang w:val="es-CR"/>
        </w:rPr>
      </w:pPr>
      <w:r w:rsidRPr="00AB5480">
        <w:rPr>
          <w:rStyle w:val="Refdenotaalpie"/>
          <w:rFonts w:ascii="Verdana" w:hAnsi="Verdana"/>
          <w:sz w:val="16"/>
          <w:szCs w:val="16"/>
        </w:rPr>
        <w:footnoteRef/>
      </w:r>
      <w:r w:rsidRPr="00AB5480">
        <w:rPr>
          <w:rFonts w:ascii="Verdana" w:hAnsi="Verdana"/>
          <w:sz w:val="16"/>
          <w:szCs w:val="16"/>
          <w:lang w:val="es-CR"/>
        </w:rPr>
        <w:t xml:space="preserve"> </w:t>
      </w:r>
      <w:r w:rsidRPr="00AB5480">
        <w:rPr>
          <w:rFonts w:ascii="Verdana" w:hAnsi="Verdana"/>
          <w:sz w:val="16"/>
          <w:szCs w:val="16"/>
          <w:lang w:val="es-CR"/>
        </w:rPr>
        <w:tab/>
      </w:r>
      <w:r w:rsidRPr="00AB5480">
        <w:rPr>
          <w:rFonts w:ascii="Verdana" w:hAnsi="Verdana" w:cs="Times New Roman"/>
          <w:color w:val="1E1E1E"/>
          <w:sz w:val="16"/>
          <w:szCs w:val="16"/>
          <w:lang w:val="es-CR"/>
        </w:rPr>
        <w:t>De</w:t>
      </w:r>
      <w:r w:rsidRPr="00AB5480">
        <w:rPr>
          <w:rFonts w:ascii="Verdana" w:hAnsi="Verdana" w:cs="Times New Roman"/>
          <w:color w:val="3E3E3E"/>
          <w:sz w:val="16"/>
          <w:szCs w:val="16"/>
          <w:lang w:val="es-CR"/>
        </w:rPr>
        <w:t>cre</w:t>
      </w:r>
      <w:r w:rsidRPr="00AB5480">
        <w:rPr>
          <w:rFonts w:ascii="Verdana" w:hAnsi="Verdana" w:cs="Times New Roman"/>
          <w:color w:val="1E1E1E"/>
          <w:sz w:val="16"/>
          <w:szCs w:val="16"/>
          <w:lang w:val="es-CR"/>
        </w:rPr>
        <w:t>t</w:t>
      </w:r>
      <w:r w:rsidRPr="00AB5480">
        <w:rPr>
          <w:rFonts w:ascii="Verdana" w:hAnsi="Verdana" w:cs="Times New Roman"/>
          <w:color w:val="3E3E3E"/>
          <w:sz w:val="16"/>
          <w:szCs w:val="16"/>
          <w:lang w:val="es-CR"/>
        </w:rPr>
        <w:t xml:space="preserve">o No. 20-96 </w:t>
      </w:r>
      <w:r w:rsidRPr="00AB5480">
        <w:rPr>
          <w:rFonts w:ascii="Verdana" w:hAnsi="Verdana" w:cs="Times New Roman"/>
          <w:color w:val="2F2F2F"/>
          <w:sz w:val="16"/>
          <w:szCs w:val="16"/>
          <w:lang w:val="es-CR"/>
        </w:rPr>
        <w:t>de</w:t>
      </w:r>
      <w:r w:rsidRPr="00AB5480">
        <w:rPr>
          <w:rFonts w:ascii="Verdana" w:hAnsi="Verdana" w:cs="Times New Roman"/>
          <w:color w:val="0A0A0A"/>
          <w:sz w:val="16"/>
          <w:szCs w:val="16"/>
          <w:lang w:val="es-CR"/>
        </w:rPr>
        <w:t xml:space="preserve">l </w:t>
      </w:r>
      <w:r w:rsidRPr="00AB5480">
        <w:rPr>
          <w:rFonts w:ascii="Verdana" w:hAnsi="Verdana" w:cs="Times New Roman"/>
          <w:color w:val="3E3E3E"/>
          <w:sz w:val="16"/>
          <w:szCs w:val="16"/>
          <w:lang w:val="es-CR"/>
        </w:rPr>
        <w:t>Co</w:t>
      </w:r>
      <w:r w:rsidRPr="00AB5480">
        <w:rPr>
          <w:rFonts w:ascii="Verdana" w:hAnsi="Verdana" w:cs="Times New Roman"/>
          <w:color w:val="1E1E1E"/>
          <w:sz w:val="16"/>
          <w:szCs w:val="16"/>
          <w:lang w:val="es-CR"/>
        </w:rPr>
        <w:t>n</w:t>
      </w:r>
      <w:r w:rsidRPr="00AB5480">
        <w:rPr>
          <w:rFonts w:ascii="Verdana" w:hAnsi="Verdana" w:cs="Times New Roman"/>
          <w:color w:val="3E3E3E"/>
          <w:sz w:val="16"/>
          <w:szCs w:val="16"/>
          <w:lang w:val="es-CR"/>
        </w:rPr>
        <w:t xml:space="preserve">greso </w:t>
      </w:r>
      <w:r w:rsidRPr="00AB5480">
        <w:rPr>
          <w:rFonts w:ascii="Verdana" w:hAnsi="Verdana" w:cs="Times New Roman"/>
          <w:color w:val="2F2F2F"/>
          <w:sz w:val="16"/>
          <w:szCs w:val="16"/>
          <w:lang w:val="es-CR"/>
        </w:rPr>
        <w:t xml:space="preserve">de </w:t>
      </w:r>
      <w:r w:rsidRPr="00AB5480">
        <w:rPr>
          <w:rFonts w:ascii="Verdana" w:hAnsi="Verdana" w:cs="Times New Roman"/>
          <w:color w:val="1E1E1E"/>
          <w:sz w:val="16"/>
          <w:szCs w:val="16"/>
          <w:lang w:val="es-CR"/>
        </w:rPr>
        <w:t xml:space="preserve">la </w:t>
      </w:r>
      <w:r w:rsidRPr="00AB5480">
        <w:rPr>
          <w:rFonts w:ascii="Verdana" w:hAnsi="Verdana" w:cs="Times New Roman"/>
          <w:color w:val="3E3E3E"/>
          <w:sz w:val="16"/>
          <w:szCs w:val="16"/>
          <w:lang w:val="es-CR"/>
        </w:rPr>
        <w:t>Re</w:t>
      </w:r>
      <w:r w:rsidRPr="00AB5480">
        <w:rPr>
          <w:rFonts w:ascii="Verdana" w:hAnsi="Verdana" w:cs="Times New Roman"/>
          <w:color w:val="1E1E1E"/>
          <w:sz w:val="16"/>
          <w:szCs w:val="16"/>
          <w:lang w:val="es-CR"/>
        </w:rPr>
        <w:t>p</w:t>
      </w:r>
      <w:r w:rsidRPr="00AB5480">
        <w:rPr>
          <w:rFonts w:ascii="Verdana" w:hAnsi="Verdana" w:cs="Times New Roman"/>
          <w:color w:val="3E3E3E"/>
          <w:sz w:val="16"/>
          <w:szCs w:val="16"/>
          <w:lang w:val="es-CR"/>
        </w:rPr>
        <w:t>ú</w:t>
      </w:r>
      <w:r w:rsidRPr="00AB5480">
        <w:rPr>
          <w:rFonts w:ascii="Verdana" w:hAnsi="Verdana" w:cs="Times New Roman"/>
          <w:color w:val="1E1E1E"/>
          <w:sz w:val="16"/>
          <w:szCs w:val="16"/>
          <w:lang w:val="es-CR"/>
        </w:rPr>
        <w:t>bli</w:t>
      </w:r>
      <w:r w:rsidRPr="00AB5480">
        <w:rPr>
          <w:rFonts w:ascii="Verdana" w:hAnsi="Verdana" w:cs="Times New Roman"/>
          <w:color w:val="3E3E3E"/>
          <w:sz w:val="16"/>
          <w:szCs w:val="16"/>
          <w:lang w:val="es-CR"/>
        </w:rPr>
        <w:t xml:space="preserve">ca </w:t>
      </w:r>
      <w:r w:rsidRPr="00AB5480">
        <w:rPr>
          <w:rFonts w:ascii="Verdana" w:hAnsi="Verdana" w:cs="Times New Roman"/>
          <w:color w:val="1E1E1E"/>
          <w:sz w:val="16"/>
          <w:szCs w:val="16"/>
          <w:lang w:val="es-CR"/>
        </w:rPr>
        <w:t>d</w:t>
      </w:r>
      <w:r w:rsidRPr="00AB5480">
        <w:rPr>
          <w:rFonts w:ascii="Verdana" w:hAnsi="Verdana" w:cs="Times New Roman"/>
          <w:color w:val="3E3E3E"/>
          <w:sz w:val="16"/>
          <w:szCs w:val="16"/>
          <w:lang w:val="es-CR"/>
        </w:rPr>
        <w:t xml:space="preserve">e </w:t>
      </w:r>
      <w:r w:rsidRPr="00AB5480">
        <w:rPr>
          <w:rFonts w:ascii="Verdana" w:hAnsi="Verdana" w:cs="Times New Roman"/>
          <w:color w:val="2F2F2F"/>
          <w:sz w:val="16"/>
          <w:szCs w:val="16"/>
          <w:lang w:val="es-CR"/>
        </w:rPr>
        <w:t xml:space="preserve">Guatemala de 9 de mayo de 1996, disponible en: </w:t>
      </w:r>
      <w:r>
        <w:fldChar w:fldCharType="begin"/>
      </w:r>
      <w:r w:rsidRPr="00A53665">
        <w:rPr>
          <w:lang w:val="es-CR"/>
        </w:rPr>
        <w:instrText xml:space="preserve"> HYPERLINK "https://www.congreso.gob.gt/consulta-legislativa/decreto-detalle/?id=823" </w:instrText>
      </w:r>
      <w:r>
        <w:fldChar w:fldCharType="separate"/>
      </w:r>
      <w:r w:rsidRPr="00AD63E0">
        <w:rPr>
          <w:rStyle w:val="Hipervnculo"/>
          <w:rFonts w:ascii="Verdana" w:hAnsi="Verdana"/>
          <w:sz w:val="16"/>
          <w:szCs w:val="16"/>
          <w:lang w:val="es-CR"/>
        </w:rPr>
        <w:t>https://www.congreso.gob.gt/consulta-legislativa/decreto-detalle/?id=823</w:t>
      </w:r>
      <w:r>
        <w:rPr>
          <w:rStyle w:val="Hipervnculo"/>
          <w:rFonts w:ascii="Verdana" w:hAnsi="Verdana"/>
          <w:sz w:val="16"/>
          <w:szCs w:val="16"/>
          <w:lang w:val="es-CR"/>
        </w:rPr>
        <w:fldChar w:fldCharType="end"/>
      </w:r>
      <w:r w:rsidRPr="00AD63E0">
        <w:rPr>
          <w:rFonts w:ascii="Verdana" w:hAnsi="Verdana" w:cs="Times New Roman"/>
          <w:color w:val="2F2F2F"/>
          <w:sz w:val="16"/>
          <w:szCs w:val="16"/>
          <w:lang w:val="es-CR"/>
        </w:rPr>
        <w:t>.</w:t>
      </w:r>
    </w:p>
  </w:footnote>
  <w:footnote w:id="18">
    <w:p w:rsidR="001C18DD" w:rsidRPr="008E4C70" w:rsidRDefault="001C18DD" w:rsidP="00FA7C64">
      <w:pPr>
        <w:pStyle w:val="Textonotapie"/>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E4C70">
        <w:rPr>
          <w:rFonts w:ascii="Verdana" w:hAnsi="Verdana"/>
          <w:sz w:val="16"/>
          <w:szCs w:val="16"/>
          <w:lang w:val="es-PE"/>
        </w:rPr>
        <w:tab/>
      </w:r>
      <w:r w:rsidRPr="008E4C70">
        <w:rPr>
          <w:rFonts w:ascii="Verdana" w:hAnsi="Verdana"/>
          <w:i/>
          <w:sz w:val="16"/>
          <w:szCs w:val="16"/>
          <w:lang w:val="es-PE"/>
        </w:rPr>
        <w:t>Cfr.</w:t>
      </w:r>
      <w:r w:rsidRPr="008E4C70">
        <w:rPr>
          <w:rFonts w:ascii="Verdana" w:hAnsi="Verdana"/>
          <w:sz w:val="16"/>
          <w:szCs w:val="16"/>
          <w:lang w:val="es-PE"/>
        </w:rPr>
        <w:t xml:space="preserve"> Amnistía Internacional, </w:t>
      </w:r>
      <w:r w:rsidRPr="008E4C70">
        <w:rPr>
          <w:rFonts w:ascii="Verdana" w:hAnsi="Verdana"/>
          <w:i/>
          <w:sz w:val="16"/>
          <w:szCs w:val="16"/>
          <w:lang w:val="es-PE"/>
        </w:rPr>
        <w:t>Guatemala, El retorno de la pena de muerte</w:t>
      </w:r>
      <w:r w:rsidRPr="008E4C70">
        <w:rPr>
          <w:rFonts w:ascii="Verdana" w:hAnsi="Verdana"/>
          <w:sz w:val="16"/>
          <w:szCs w:val="16"/>
          <w:lang w:val="es-PE"/>
        </w:rPr>
        <w:t xml:space="preserve">. Marzo de 1997, p. 3 (expediente de prueba, anexos al ESAP, anexo 8, fs. 1627 a 1635). </w:t>
      </w:r>
    </w:p>
  </w:footnote>
  <w:footnote w:id="19">
    <w:p w:rsidR="001C18DD" w:rsidRPr="008E4C70" w:rsidRDefault="001C18DD" w:rsidP="00C947C5">
      <w:pPr>
        <w:pStyle w:val="Textonotapie"/>
        <w:jc w:val="both"/>
        <w:rPr>
          <w:rFonts w:ascii="Verdana" w:hAnsi="Verdana"/>
          <w:i/>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E4C70">
        <w:rPr>
          <w:rFonts w:ascii="Verdana" w:hAnsi="Verdana"/>
          <w:sz w:val="16"/>
          <w:szCs w:val="16"/>
          <w:lang w:val="es-PE"/>
        </w:rPr>
        <w:tab/>
        <w:t>Decreto No. 234 del Congreso de la República de Gu</w:t>
      </w:r>
      <w:r>
        <w:rPr>
          <w:rFonts w:ascii="Verdana" w:hAnsi="Verdana"/>
          <w:sz w:val="16"/>
          <w:szCs w:val="16"/>
          <w:lang w:val="es-PE"/>
        </w:rPr>
        <w:t>atemala de 21 de mayo de 1946.</w:t>
      </w:r>
    </w:p>
  </w:footnote>
  <w:footnote w:id="20">
    <w:p w:rsidR="001C18DD" w:rsidRPr="008E4C70" w:rsidRDefault="001C18DD" w:rsidP="00C947C5">
      <w:pPr>
        <w:pStyle w:val="Textonotapie"/>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sz w:val="16"/>
          <w:szCs w:val="16"/>
          <w:lang w:val="es-ES_tradnl"/>
        </w:rPr>
        <w:t>Ley que establece el procedimiento para la ejecución de la pena de muerte.</w:t>
      </w:r>
      <w:r w:rsidRPr="008E4C70">
        <w:rPr>
          <w:rFonts w:ascii="Verdana" w:hAnsi="Verdana"/>
          <w:sz w:val="16"/>
          <w:szCs w:val="16"/>
          <w:lang w:val="es-CR"/>
        </w:rPr>
        <w:t xml:space="preserve"> Decreto No. 100-96 </w:t>
      </w:r>
      <w:r w:rsidRPr="008E4C70">
        <w:rPr>
          <w:rFonts w:ascii="Verdana" w:hAnsi="Verdana"/>
          <w:sz w:val="16"/>
          <w:szCs w:val="16"/>
          <w:lang w:val="es-PE"/>
        </w:rPr>
        <w:t xml:space="preserve">del Congreso de la República de Guatemala de 28 de noviembre de 1996. El </w:t>
      </w:r>
      <w:r>
        <w:rPr>
          <w:rFonts w:ascii="Verdana" w:hAnsi="Verdana"/>
          <w:sz w:val="16"/>
          <w:szCs w:val="16"/>
          <w:lang w:val="es-ES_tradnl"/>
        </w:rPr>
        <w:t>a</w:t>
      </w:r>
      <w:r w:rsidRPr="008E4C70">
        <w:rPr>
          <w:rFonts w:ascii="Verdana" w:hAnsi="Verdana"/>
          <w:sz w:val="16"/>
          <w:szCs w:val="16"/>
          <w:lang w:val="es-ES_tradnl"/>
        </w:rPr>
        <w:t>rtículo 7 dispone: “Después de la lectura de las resoluciones a que se refiere el artículo anterior, se procederá a ejecutar la pena de muerte mediante el procedimiento de la inyección letal […]”</w:t>
      </w:r>
      <w:r>
        <w:rPr>
          <w:rFonts w:ascii="Verdana" w:hAnsi="Verdana"/>
          <w:sz w:val="16"/>
          <w:szCs w:val="16"/>
          <w:lang w:val="es-ES_tradnl"/>
        </w:rPr>
        <w:t>.</w:t>
      </w:r>
    </w:p>
  </w:footnote>
  <w:footnote w:id="21">
    <w:p w:rsidR="001C18DD" w:rsidRPr="008E4C70" w:rsidRDefault="001C18DD" w:rsidP="00787AB5">
      <w:pPr>
        <w:pStyle w:val="Textonotapie"/>
        <w:jc w:val="both"/>
        <w:rPr>
          <w:rFonts w:ascii="Verdana" w:hAnsi="Verdana"/>
          <w:i/>
          <w:sz w:val="16"/>
          <w:szCs w:val="16"/>
          <w:highlight w:val="yellow"/>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t xml:space="preserve">Decreto No. 32-2000 </w:t>
      </w:r>
      <w:r w:rsidRPr="008E4C70">
        <w:rPr>
          <w:rFonts w:ascii="Verdana" w:hAnsi="Verdana" w:cs="Times New Roman"/>
          <w:color w:val="2F2F2F"/>
          <w:sz w:val="16"/>
          <w:szCs w:val="16"/>
          <w:lang w:val="es-CR"/>
        </w:rPr>
        <w:t>de</w:t>
      </w:r>
      <w:r w:rsidRPr="008E4C70">
        <w:rPr>
          <w:rFonts w:ascii="Verdana" w:hAnsi="Verdana" w:cs="Times New Roman"/>
          <w:color w:val="0A0A0A"/>
          <w:sz w:val="16"/>
          <w:szCs w:val="16"/>
          <w:lang w:val="es-CR"/>
        </w:rPr>
        <w:t xml:space="preserve">l </w:t>
      </w:r>
      <w:r w:rsidRPr="008E4C70">
        <w:rPr>
          <w:rFonts w:ascii="Verdana" w:hAnsi="Verdana" w:cs="Times New Roman"/>
          <w:color w:val="3E3E3E"/>
          <w:sz w:val="16"/>
          <w:szCs w:val="16"/>
          <w:lang w:val="es-CR"/>
        </w:rPr>
        <w:t>Co</w:t>
      </w:r>
      <w:r w:rsidRPr="008E4C70">
        <w:rPr>
          <w:rFonts w:ascii="Verdana" w:hAnsi="Verdana" w:cs="Times New Roman"/>
          <w:color w:val="1E1E1E"/>
          <w:sz w:val="16"/>
          <w:szCs w:val="16"/>
          <w:lang w:val="es-CR"/>
        </w:rPr>
        <w:t>n</w:t>
      </w:r>
      <w:r w:rsidRPr="008E4C70">
        <w:rPr>
          <w:rFonts w:ascii="Verdana" w:hAnsi="Verdana" w:cs="Times New Roman"/>
          <w:color w:val="3E3E3E"/>
          <w:sz w:val="16"/>
          <w:szCs w:val="16"/>
          <w:lang w:val="es-CR"/>
        </w:rPr>
        <w:t xml:space="preserve">greso </w:t>
      </w:r>
      <w:r w:rsidRPr="008E4C70">
        <w:rPr>
          <w:rFonts w:ascii="Verdana" w:hAnsi="Verdana" w:cs="Times New Roman"/>
          <w:color w:val="2F2F2F"/>
          <w:sz w:val="16"/>
          <w:szCs w:val="16"/>
          <w:lang w:val="es-CR"/>
        </w:rPr>
        <w:t xml:space="preserve">de </w:t>
      </w:r>
      <w:r w:rsidRPr="008E4C70">
        <w:rPr>
          <w:rFonts w:ascii="Verdana" w:hAnsi="Verdana" w:cs="Times New Roman"/>
          <w:color w:val="1E1E1E"/>
          <w:sz w:val="16"/>
          <w:szCs w:val="16"/>
          <w:lang w:val="es-CR"/>
        </w:rPr>
        <w:t xml:space="preserve">la </w:t>
      </w:r>
      <w:r w:rsidRPr="008E4C70">
        <w:rPr>
          <w:rFonts w:ascii="Verdana" w:hAnsi="Verdana" w:cs="Times New Roman"/>
          <w:color w:val="3E3E3E"/>
          <w:sz w:val="16"/>
          <w:szCs w:val="16"/>
          <w:lang w:val="es-CR"/>
        </w:rPr>
        <w:t>Re</w:t>
      </w:r>
      <w:r w:rsidRPr="008E4C70">
        <w:rPr>
          <w:rFonts w:ascii="Verdana" w:hAnsi="Verdana" w:cs="Times New Roman"/>
          <w:color w:val="1E1E1E"/>
          <w:sz w:val="16"/>
          <w:szCs w:val="16"/>
          <w:lang w:val="es-CR"/>
        </w:rPr>
        <w:t>p</w:t>
      </w:r>
      <w:r w:rsidRPr="008E4C70">
        <w:rPr>
          <w:rFonts w:ascii="Verdana" w:hAnsi="Verdana" w:cs="Times New Roman"/>
          <w:color w:val="3E3E3E"/>
          <w:sz w:val="16"/>
          <w:szCs w:val="16"/>
          <w:lang w:val="es-CR"/>
        </w:rPr>
        <w:t>ú</w:t>
      </w:r>
      <w:r w:rsidRPr="008E4C70">
        <w:rPr>
          <w:rFonts w:ascii="Verdana" w:hAnsi="Verdana" w:cs="Times New Roman"/>
          <w:color w:val="1E1E1E"/>
          <w:sz w:val="16"/>
          <w:szCs w:val="16"/>
          <w:lang w:val="es-CR"/>
        </w:rPr>
        <w:t>bli</w:t>
      </w:r>
      <w:r w:rsidRPr="008E4C70">
        <w:rPr>
          <w:rFonts w:ascii="Verdana" w:hAnsi="Verdana" w:cs="Times New Roman"/>
          <w:color w:val="3E3E3E"/>
          <w:sz w:val="16"/>
          <w:szCs w:val="16"/>
          <w:lang w:val="es-CR"/>
        </w:rPr>
        <w:t xml:space="preserve">ca </w:t>
      </w:r>
      <w:r w:rsidRPr="008E4C70">
        <w:rPr>
          <w:rFonts w:ascii="Verdana" w:hAnsi="Verdana" w:cs="Times New Roman"/>
          <w:color w:val="1E1E1E"/>
          <w:sz w:val="16"/>
          <w:szCs w:val="16"/>
          <w:lang w:val="es-CR"/>
        </w:rPr>
        <w:t>d</w:t>
      </w:r>
      <w:r w:rsidRPr="008E4C70">
        <w:rPr>
          <w:rFonts w:ascii="Verdana" w:hAnsi="Verdana" w:cs="Times New Roman"/>
          <w:color w:val="3E3E3E"/>
          <w:sz w:val="16"/>
          <w:szCs w:val="16"/>
          <w:lang w:val="es-CR"/>
        </w:rPr>
        <w:t xml:space="preserve">e </w:t>
      </w:r>
      <w:r w:rsidRPr="008E4C70">
        <w:rPr>
          <w:rFonts w:ascii="Verdana" w:hAnsi="Verdana" w:cs="Times New Roman"/>
          <w:color w:val="2F2F2F"/>
          <w:sz w:val="16"/>
          <w:szCs w:val="16"/>
          <w:lang w:val="es-CR"/>
        </w:rPr>
        <w:t xml:space="preserve">Guatemala de 1 de junio de 2000, disponible en: </w:t>
      </w:r>
      <w:r>
        <w:fldChar w:fldCharType="begin"/>
      </w:r>
      <w:r w:rsidRPr="00A53665">
        <w:rPr>
          <w:lang w:val="es-CR"/>
        </w:rPr>
        <w:instrText xml:space="preserve"> HYPERLINK "https://www.congreso.gob.gt/consulta-legislativa/decreto-detalle/?id=620" </w:instrText>
      </w:r>
      <w:r>
        <w:fldChar w:fldCharType="separate"/>
      </w:r>
      <w:r w:rsidRPr="00FF4873">
        <w:rPr>
          <w:rStyle w:val="Hipervnculo"/>
          <w:rFonts w:ascii="Verdana" w:hAnsi="Verdana"/>
          <w:sz w:val="16"/>
          <w:szCs w:val="16"/>
          <w:lang w:val="es-CR"/>
        </w:rPr>
        <w:t>https://www.congreso.gob.gt/consulta-legislativa/decreto-detalle/?id=620</w:t>
      </w:r>
      <w:r>
        <w:rPr>
          <w:rStyle w:val="Hipervnculo"/>
          <w:rFonts w:ascii="Verdana" w:hAnsi="Verdana"/>
          <w:sz w:val="16"/>
          <w:szCs w:val="16"/>
          <w:lang w:val="es-CR"/>
        </w:rPr>
        <w:fldChar w:fldCharType="end"/>
      </w:r>
      <w:r w:rsidRPr="00FF4873">
        <w:rPr>
          <w:rFonts w:ascii="Verdana" w:hAnsi="Verdana" w:cs="Times New Roman"/>
          <w:color w:val="2F2F2F"/>
          <w:sz w:val="16"/>
          <w:szCs w:val="16"/>
          <w:lang w:val="es-CR"/>
        </w:rPr>
        <w:t>.</w:t>
      </w:r>
      <w:r w:rsidRPr="008E4C70">
        <w:rPr>
          <w:rFonts w:ascii="Verdana" w:hAnsi="Verdana" w:cs="Times New Roman"/>
          <w:i/>
          <w:color w:val="2F2F2F"/>
          <w:sz w:val="16"/>
          <w:szCs w:val="16"/>
          <w:lang w:val="es-CR"/>
        </w:rPr>
        <w:t xml:space="preserve"> </w:t>
      </w:r>
    </w:p>
  </w:footnote>
  <w:footnote w:id="22">
    <w:p w:rsidR="001C18DD" w:rsidRPr="008E4C70" w:rsidRDefault="001C18DD">
      <w:pPr>
        <w:spacing w:after="0" w:line="240" w:lineRule="auto"/>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t>Código Procesal Penal de la República de Guatemala de 27 de julio de 1973. Art</w:t>
      </w:r>
      <w:r>
        <w:rPr>
          <w:rFonts w:ascii="Verdana" w:hAnsi="Verdana"/>
          <w:sz w:val="16"/>
          <w:szCs w:val="16"/>
          <w:lang w:val="es-CR"/>
        </w:rPr>
        <w:t>ículo</w:t>
      </w:r>
      <w:r w:rsidRPr="008E4C70">
        <w:rPr>
          <w:rFonts w:ascii="Verdana" w:hAnsi="Verdana"/>
          <w:sz w:val="16"/>
          <w:szCs w:val="16"/>
          <w:lang w:val="es-CR"/>
        </w:rPr>
        <w:t xml:space="preserve"> 144 (expediente de prueba al ESAP, anexo 10, f. 2139).  </w:t>
      </w:r>
    </w:p>
  </w:footnote>
  <w:footnote w:id="23">
    <w:p w:rsidR="001C18DD" w:rsidRPr="008E4C70" w:rsidRDefault="001C18DD">
      <w:pPr>
        <w:spacing w:after="0" w:line="240" w:lineRule="auto"/>
        <w:jc w:val="both"/>
        <w:rPr>
          <w:rFonts w:ascii="Verdana" w:hAnsi="Verdana"/>
          <w:color w:val="1F497D"/>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t>Código Procesal Penal de la República de Guatemala</w:t>
      </w:r>
      <w:r>
        <w:rPr>
          <w:rFonts w:ascii="Verdana" w:hAnsi="Verdana"/>
          <w:sz w:val="16"/>
          <w:szCs w:val="16"/>
          <w:lang w:val="es-CR"/>
        </w:rPr>
        <w:t xml:space="preserve">, artículo 154, </w:t>
      </w:r>
      <w:r w:rsidRPr="0007773B">
        <w:rPr>
          <w:rFonts w:ascii="Verdana" w:hAnsi="Verdana"/>
          <w:i/>
          <w:sz w:val="16"/>
          <w:szCs w:val="16"/>
          <w:lang w:val="es-CR"/>
        </w:rPr>
        <w:t>supra</w:t>
      </w:r>
      <w:r w:rsidRPr="008E4C70">
        <w:rPr>
          <w:rFonts w:ascii="Verdana" w:hAnsi="Verdana"/>
          <w:sz w:val="16"/>
          <w:szCs w:val="16"/>
          <w:lang w:val="es-CR"/>
        </w:rPr>
        <w:t xml:space="preserve">. </w:t>
      </w:r>
    </w:p>
  </w:footnote>
  <w:footnote w:id="24">
    <w:p w:rsidR="001C18DD" w:rsidRPr="00AB5480" w:rsidRDefault="001C18DD">
      <w:pPr>
        <w:pStyle w:val="Textonotapie"/>
        <w:jc w:val="both"/>
        <w:rPr>
          <w:rFonts w:ascii="Verdana" w:hAnsi="Verdana"/>
          <w:sz w:val="16"/>
          <w:szCs w:val="16"/>
          <w:lang w:val="es-ES_tradnl"/>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E4C70">
        <w:rPr>
          <w:rFonts w:ascii="Verdana" w:hAnsi="Verdana"/>
          <w:sz w:val="16"/>
          <w:szCs w:val="16"/>
          <w:lang w:val="es-PE"/>
        </w:rPr>
        <w:tab/>
      </w:r>
      <w:r w:rsidRPr="008E4C70">
        <w:rPr>
          <w:rFonts w:ascii="Verdana" w:hAnsi="Verdana"/>
          <w:sz w:val="16"/>
          <w:szCs w:val="16"/>
          <w:lang w:val="es-ES_tradnl"/>
        </w:rPr>
        <w:t>L</w:t>
      </w:r>
      <w:r>
        <w:rPr>
          <w:rFonts w:ascii="Verdana" w:hAnsi="Verdana"/>
          <w:sz w:val="16"/>
          <w:szCs w:val="16"/>
          <w:lang w:val="es-ES_tradnl"/>
        </w:rPr>
        <w:t>ey Contra la Violencia Sexual, Explotación y Trata de P</w:t>
      </w:r>
      <w:r w:rsidRPr="008E4C70">
        <w:rPr>
          <w:rFonts w:ascii="Verdana" w:hAnsi="Verdana"/>
          <w:sz w:val="16"/>
          <w:szCs w:val="16"/>
          <w:lang w:val="es-ES_tradnl"/>
        </w:rPr>
        <w:t xml:space="preserve">ersonas, Decreto No. 09-2009 del Congreso de la </w:t>
      </w:r>
      <w:r w:rsidRPr="00AB5480">
        <w:rPr>
          <w:rFonts w:ascii="Verdana" w:hAnsi="Verdana"/>
          <w:sz w:val="16"/>
          <w:szCs w:val="16"/>
          <w:lang w:val="es-ES_tradnl"/>
        </w:rPr>
        <w:t xml:space="preserve">República de Guatemala de 20 de marzo de 2009, artículo 69, disponible en: </w:t>
      </w:r>
      <w:r>
        <w:fldChar w:fldCharType="begin"/>
      </w:r>
      <w:r w:rsidRPr="00A53665">
        <w:rPr>
          <w:lang w:val="es-CR"/>
        </w:rPr>
        <w:instrText xml:space="preserve"> HYPERLINK "https://www.congreso.gob.gt/detalle_pdf/decretos/13124" </w:instrText>
      </w:r>
      <w:r>
        <w:fldChar w:fldCharType="separate"/>
      </w:r>
      <w:r w:rsidRPr="00FF4873">
        <w:rPr>
          <w:rStyle w:val="Hipervnculo"/>
          <w:rFonts w:ascii="Verdana" w:hAnsi="Verdana" w:cstheme="minorBidi"/>
          <w:sz w:val="16"/>
          <w:szCs w:val="16"/>
          <w:lang w:val="es-MX"/>
        </w:rPr>
        <w:t>https://www.congreso.gob.gt/detalle_pdf/decretos/13124</w:t>
      </w:r>
      <w:r>
        <w:rPr>
          <w:rStyle w:val="Hipervnculo"/>
          <w:rFonts w:ascii="Verdana" w:hAnsi="Verdana" w:cstheme="minorBidi"/>
          <w:sz w:val="16"/>
          <w:szCs w:val="16"/>
          <w:lang w:val="es-MX"/>
        </w:rPr>
        <w:fldChar w:fldCharType="end"/>
      </w:r>
      <w:r w:rsidRPr="00FF4873">
        <w:rPr>
          <w:rFonts w:ascii="Verdana" w:hAnsi="Verdana"/>
          <w:sz w:val="16"/>
          <w:szCs w:val="16"/>
          <w:lang w:val="es-MX"/>
        </w:rPr>
        <w:t xml:space="preserve"> .</w:t>
      </w:r>
    </w:p>
  </w:footnote>
  <w:footnote w:id="25">
    <w:p w:rsidR="001C18DD" w:rsidRPr="00F3018A" w:rsidRDefault="001C18DD">
      <w:pPr>
        <w:pStyle w:val="Prrafodelista"/>
        <w:tabs>
          <w:tab w:val="left" w:pos="0"/>
        </w:tabs>
        <w:spacing w:after="0" w:line="240" w:lineRule="auto"/>
        <w:ind w:left="0" w:right="4"/>
        <w:jc w:val="both"/>
        <w:rPr>
          <w:rFonts w:ascii="Verdana" w:hAnsi="Verdana"/>
          <w:sz w:val="16"/>
          <w:szCs w:val="16"/>
          <w:lang w:val="es-CR"/>
        </w:rPr>
      </w:pPr>
      <w:r w:rsidRPr="00F3018A">
        <w:rPr>
          <w:rStyle w:val="Refdenotaalpie"/>
          <w:rFonts w:ascii="Verdana" w:hAnsi="Verdana"/>
          <w:sz w:val="16"/>
          <w:szCs w:val="16"/>
          <w:vertAlign w:val="subscript"/>
        </w:rPr>
        <w:footnoteRef/>
      </w:r>
      <w:r w:rsidRPr="00F3018A">
        <w:rPr>
          <w:rFonts w:ascii="Verdana" w:hAnsi="Verdana"/>
          <w:i/>
          <w:sz w:val="16"/>
          <w:szCs w:val="16"/>
          <w:vertAlign w:val="subscript"/>
          <w:lang w:val="es-PE"/>
        </w:rPr>
        <w:t xml:space="preserve"> </w:t>
      </w:r>
      <w:r w:rsidRPr="00F3018A">
        <w:rPr>
          <w:rFonts w:ascii="Verdana" w:hAnsi="Verdana"/>
          <w:i/>
          <w:sz w:val="16"/>
          <w:szCs w:val="16"/>
          <w:lang w:val="es-PE"/>
        </w:rPr>
        <w:tab/>
      </w:r>
      <w:r w:rsidRPr="00F3018A">
        <w:rPr>
          <w:rFonts w:ascii="Verdana" w:hAnsi="Verdana"/>
          <w:bCs/>
          <w:i/>
          <w:sz w:val="16"/>
          <w:szCs w:val="16"/>
          <w:lang w:val="es-CR"/>
        </w:rPr>
        <w:t>Caso Fermín Ramírez Vs. Guatemala. Supervisión de Cumplimiento de Sentencia</w:t>
      </w:r>
      <w:r w:rsidRPr="00F3018A">
        <w:rPr>
          <w:rFonts w:ascii="Verdana" w:hAnsi="Verdana"/>
          <w:bCs/>
          <w:sz w:val="16"/>
          <w:szCs w:val="16"/>
          <w:lang w:val="es-CR"/>
        </w:rPr>
        <w:t>. Resolución de la Corte Interamericana de Derechos Humanos de 6 febrero de 2019,</w:t>
      </w:r>
      <w:r w:rsidRPr="00F3018A">
        <w:rPr>
          <w:rFonts w:ascii="Verdana" w:hAnsi="Verdana"/>
          <w:sz w:val="16"/>
          <w:szCs w:val="16"/>
          <w:lang w:val="es-CR"/>
        </w:rPr>
        <w:t xml:space="preserve"> Considerando 10:</w:t>
      </w:r>
    </w:p>
    <w:p w:rsidR="001C18DD" w:rsidRPr="00F3018A" w:rsidRDefault="001C18DD">
      <w:pPr>
        <w:pStyle w:val="Prrafodelista"/>
        <w:tabs>
          <w:tab w:val="left" w:pos="0"/>
        </w:tabs>
        <w:spacing w:after="0" w:line="240" w:lineRule="auto"/>
        <w:ind w:left="0" w:right="4"/>
        <w:jc w:val="both"/>
        <w:rPr>
          <w:rFonts w:ascii="Verdana" w:hAnsi="Verdana"/>
          <w:sz w:val="16"/>
          <w:szCs w:val="16"/>
          <w:lang w:val="es-CR"/>
        </w:rPr>
      </w:pPr>
    </w:p>
    <w:p w:rsidR="001C18DD" w:rsidRPr="00F3018A" w:rsidRDefault="001C18DD" w:rsidP="008D7D36">
      <w:pPr>
        <w:spacing w:after="0" w:line="240" w:lineRule="auto"/>
        <w:ind w:left="720" w:right="720"/>
        <w:jc w:val="both"/>
        <w:rPr>
          <w:rFonts w:ascii="Verdana" w:hAnsi="Verdana"/>
          <w:sz w:val="16"/>
          <w:szCs w:val="16"/>
          <w:lang w:val="es-CR"/>
        </w:rPr>
      </w:pPr>
      <w:r w:rsidRPr="00F3018A">
        <w:rPr>
          <w:rFonts w:ascii="Verdana" w:hAnsi="Verdana"/>
          <w:sz w:val="16"/>
          <w:szCs w:val="16"/>
          <w:lang w:val="es-CR"/>
        </w:rPr>
        <w:t>[E]sta Corte estima que el término de peligrosidad contenido en la frase impugnada como elemento decisivo para la imposición de una pena, resulta lesivo al principio de legalidad, por cuando solo pueden ser punibles las acciones calificadas como delito o falta y penadas por ley anterior a su perpetración. Debido a que la peligrosidad constituye una característica endógena cuya naturaleza eventual inherente impide determinar con precisión cuál es el bien jurídico tutelado que podría ser lesionado, la sanción que se imponga estaría vinculada a una conducta hipotética […].</w:t>
      </w:r>
    </w:p>
    <w:p w:rsidR="001C18DD" w:rsidRPr="00F3018A" w:rsidRDefault="001C18DD" w:rsidP="008D7D36">
      <w:pPr>
        <w:spacing w:after="0" w:line="240" w:lineRule="auto"/>
        <w:ind w:left="720" w:right="720"/>
        <w:jc w:val="both"/>
        <w:rPr>
          <w:rFonts w:ascii="Verdana" w:hAnsi="Verdana"/>
          <w:sz w:val="16"/>
          <w:szCs w:val="16"/>
          <w:lang w:val="es-CR"/>
        </w:rPr>
      </w:pPr>
      <w:r w:rsidRPr="00F3018A">
        <w:rPr>
          <w:rFonts w:ascii="Verdana" w:hAnsi="Verdana"/>
          <w:sz w:val="16"/>
          <w:szCs w:val="16"/>
          <w:lang w:val="es-CR"/>
        </w:rPr>
        <w:t>Mayor gravedad entraña el que una circunstancia psicobiológica sea relevante para imponer una sanción de la magnitud de la pena de muerte, lo que reflejaría únicamente un serio retroceso en la humanización del sistema represivo de antaño, cuyas rigurosas teorías retributivas veían la pena capital como solución absoluta a la problemática delincuencial […].</w:t>
      </w:r>
    </w:p>
    <w:p w:rsidR="001C18DD" w:rsidRPr="00F3018A" w:rsidRDefault="001C18DD" w:rsidP="008D7D36">
      <w:pPr>
        <w:spacing w:after="0" w:line="240" w:lineRule="auto"/>
        <w:ind w:left="720" w:right="720"/>
        <w:jc w:val="both"/>
        <w:rPr>
          <w:rFonts w:ascii="Verdana" w:hAnsi="Verdana"/>
          <w:sz w:val="16"/>
          <w:szCs w:val="16"/>
          <w:lang w:val="es-CR"/>
        </w:rPr>
      </w:pPr>
      <w:r w:rsidRPr="00F3018A">
        <w:rPr>
          <w:rFonts w:ascii="Verdana" w:hAnsi="Verdana"/>
          <w:sz w:val="16"/>
          <w:szCs w:val="16"/>
          <w:lang w:val="es-CR"/>
        </w:rPr>
        <w:t xml:space="preserve">La Corte de Constitucionalidad […] declara: I. Con Lugar la acción de inconstitucionalidad general parcial […] contra el penúltimo párrafo del </w:t>
      </w:r>
      <w:r w:rsidRPr="00AB468B">
        <w:rPr>
          <w:rFonts w:ascii="Verdana" w:hAnsi="Verdana"/>
          <w:sz w:val="16"/>
          <w:szCs w:val="16"/>
          <w:lang w:val="es-CR"/>
        </w:rPr>
        <w:t>artículo 132 del Código Penal, la frase “sin embargo se le aplicará la pena de muerte en lugar del máximo de prisión, si por las circunstancias del hecho y de la ocasión, la manera de realizarlo y los móviles determinantes, se revelare una mayor particular peligrosidad del agente. A quienes no se les aplique la pena de muerte por este delito, no podrá concedérsele rebaja de pena por ninguna causa</w:t>
      </w:r>
      <w:r w:rsidRPr="00AB468B">
        <w:rPr>
          <w:rFonts w:ascii="Verdana" w:hAnsi="Verdana"/>
          <w:i/>
          <w:sz w:val="16"/>
          <w:szCs w:val="16"/>
          <w:lang w:val="es-CR"/>
        </w:rPr>
        <w:t>”</w:t>
      </w:r>
      <w:r w:rsidRPr="00AB468B">
        <w:rPr>
          <w:rFonts w:ascii="Verdana" w:hAnsi="Verdana"/>
          <w:sz w:val="16"/>
          <w:szCs w:val="16"/>
          <w:lang w:val="es-CR"/>
        </w:rPr>
        <w:t xml:space="preserve"> la que</w:t>
      </w:r>
      <w:r w:rsidRPr="00F3018A">
        <w:rPr>
          <w:rFonts w:ascii="Verdana" w:hAnsi="Verdana"/>
          <w:sz w:val="16"/>
          <w:szCs w:val="16"/>
          <w:lang w:val="es-CR"/>
        </w:rPr>
        <w:t xml:space="preserve"> se declara inconstitucional. II. Como consecuencia, dejará de surtir efectos a partir del día siguiente de la publicación del presente fallo en el Diario de Centro América. </w:t>
      </w:r>
    </w:p>
  </w:footnote>
  <w:footnote w:id="26">
    <w:p w:rsidR="001C18DD" w:rsidRPr="00734AF2" w:rsidRDefault="001C18DD" w:rsidP="003D1430">
      <w:pPr>
        <w:pStyle w:val="Textonotapie"/>
        <w:jc w:val="both"/>
        <w:rPr>
          <w:rFonts w:ascii="Verdana" w:hAnsi="Verdana"/>
          <w:sz w:val="16"/>
          <w:szCs w:val="16"/>
          <w:lang w:val="es-PE"/>
        </w:rPr>
      </w:pPr>
      <w:r w:rsidRPr="00C62653">
        <w:rPr>
          <w:rStyle w:val="Refdenotaalpie"/>
          <w:rFonts w:ascii="Verdana" w:hAnsi="Verdana"/>
          <w:sz w:val="16"/>
          <w:szCs w:val="16"/>
        </w:rPr>
        <w:footnoteRef/>
      </w:r>
      <w:r w:rsidRPr="00C62653">
        <w:rPr>
          <w:rFonts w:ascii="Verdana" w:hAnsi="Verdana"/>
          <w:sz w:val="16"/>
          <w:szCs w:val="16"/>
          <w:lang w:val="es-CR"/>
        </w:rPr>
        <w:t xml:space="preserve"> </w:t>
      </w:r>
      <w:r w:rsidRPr="00C62653">
        <w:rPr>
          <w:rFonts w:ascii="Verdana" w:hAnsi="Verdana"/>
          <w:sz w:val="16"/>
          <w:szCs w:val="16"/>
          <w:lang w:val="es-CR"/>
        </w:rPr>
        <w:tab/>
      </w:r>
      <w:r w:rsidRPr="00F3018A">
        <w:rPr>
          <w:rFonts w:ascii="Verdana" w:hAnsi="Verdana"/>
          <w:i/>
          <w:sz w:val="16"/>
          <w:szCs w:val="16"/>
          <w:lang w:val="es-CR"/>
        </w:rPr>
        <w:t>Caso Fermín Ramírez Vs. Guatemala. Fondo, Reparaciones y Costas</w:t>
      </w:r>
      <w:r w:rsidRPr="00F3018A">
        <w:rPr>
          <w:rFonts w:ascii="Verdana" w:hAnsi="Verdana"/>
          <w:sz w:val="16"/>
          <w:szCs w:val="16"/>
          <w:lang w:val="es-CR"/>
        </w:rPr>
        <w:t xml:space="preserve">. Sentencia de 20 de junio de 2005. Serie C No. 126, </w:t>
      </w:r>
      <w:r w:rsidRPr="00F3018A">
        <w:rPr>
          <w:rFonts w:ascii="Verdana" w:hAnsi="Verdana"/>
          <w:sz w:val="16"/>
          <w:szCs w:val="16"/>
          <w:lang w:val="es-PE"/>
        </w:rPr>
        <w:t>párr</w:t>
      </w:r>
      <w:r>
        <w:rPr>
          <w:rFonts w:ascii="Verdana" w:hAnsi="Verdana"/>
          <w:sz w:val="16"/>
          <w:szCs w:val="16"/>
          <w:lang w:val="es-PE"/>
        </w:rPr>
        <w:t>s</w:t>
      </w:r>
      <w:r w:rsidRPr="00F3018A">
        <w:rPr>
          <w:rFonts w:ascii="Verdana" w:hAnsi="Verdana"/>
          <w:sz w:val="16"/>
          <w:szCs w:val="16"/>
          <w:lang w:val="es-PE"/>
        </w:rPr>
        <w:t>. 96</w:t>
      </w:r>
      <w:r>
        <w:rPr>
          <w:rFonts w:ascii="Verdana" w:hAnsi="Verdana"/>
          <w:sz w:val="16"/>
          <w:szCs w:val="16"/>
          <w:lang w:val="es-PE"/>
        </w:rPr>
        <w:t xml:space="preserve"> y 98, y </w:t>
      </w:r>
      <w:r w:rsidRPr="00F3018A">
        <w:rPr>
          <w:rFonts w:ascii="Verdana" w:hAnsi="Verdana"/>
          <w:i/>
          <w:sz w:val="16"/>
          <w:szCs w:val="16"/>
          <w:lang w:val="es-CR"/>
        </w:rPr>
        <w:t>Caso Martínez Coronado Vs. Guatemala</w:t>
      </w:r>
      <w:r>
        <w:rPr>
          <w:rFonts w:ascii="Verdana" w:hAnsi="Verdana"/>
          <w:sz w:val="16"/>
          <w:szCs w:val="16"/>
          <w:lang w:val="es-CR"/>
        </w:rPr>
        <w:t>.</w:t>
      </w:r>
      <w:r w:rsidRPr="00F3018A">
        <w:rPr>
          <w:rFonts w:ascii="Verdana" w:hAnsi="Verdana"/>
          <w:sz w:val="16"/>
          <w:szCs w:val="16"/>
          <w:lang w:val="es-CR"/>
        </w:rPr>
        <w:t xml:space="preserve"> </w:t>
      </w:r>
      <w:r w:rsidRPr="00F3018A">
        <w:rPr>
          <w:rFonts w:ascii="Verdana" w:hAnsi="Verdana"/>
          <w:i/>
          <w:sz w:val="16"/>
          <w:szCs w:val="16"/>
          <w:lang w:val="es-CR"/>
        </w:rPr>
        <w:t>Fondo, Reparaciones y Costas</w:t>
      </w:r>
      <w:r w:rsidRPr="00F3018A">
        <w:rPr>
          <w:rFonts w:ascii="Verdana" w:hAnsi="Verdana"/>
          <w:sz w:val="16"/>
          <w:szCs w:val="16"/>
          <w:lang w:val="es-CR"/>
        </w:rPr>
        <w:t>. Sentencia de 10 de mayo</w:t>
      </w:r>
      <w:r>
        <w:rPr>
          <w:rFonts w:ascii="Verdana" w:hAnsi="Verdana"/>
          <w:sz w:val="16"/>
          <w:szCs w:val="16"/>
          <w:lang w:val="es-CR"/>
        </w:rPr>
        <w:t xml:space="preserve"> de 2019. Serie C No. 376, párr</w:t>
      </w:r>
      <w:r w:rsidRPr="00F3018A">
        <w:rPr>
          <w:rFonts w:ascii="Verdana" w:hAnsi="Verdana"/>
          <w:sz w:val="16"/>
          <w:szCs w:val="16"/>
          <w:lang w:val="es-CR"/>
        </w:rPr>
        <w:t xml:space="preserve">. </w:t>
      </w:r>
      <w:r>
        <w:rPr>
          <w:rFonts w:ascii="Verdana" w:hAnsi="Verdana"/>
          <w:sz w:val="16"/>
          <w:szCs w:val="16"/>
          <w:lang w:val="es-CR"/>
        </w:rPr>
        <w:t xml:space="preserve">31. </w:t>
      </w:r>
      <w:r w:rsidRPr="00F3018A">
        <w:rPr>
          <w:rFonts w:ascii="Verdana" w:hAnsi="Verdana"/>
          <w:sz w:val="16"/>
          <w:szCs w:val="16"/>
          <w:lang w:val="es-PE"/>
        </w:rPr>
        <w:t xml:space="preserve">Con respecto a la peligrosidad del agente, confrontar también, </w:t>
      </w:r>
      <w:r w:rsidRPr="00F3018A">
        <w:rPr>
          <w:rFonts w:ascii="Verdana" w:hAnsi="Verdana"/>
          <w:i/>
          <w:sz w:val="16"/>
          <w:szCs w:val="16"/>
          <w:lang w:val="es-CR"/>
        </w:rPr>
        <w:t>Caso Raxcacó Reyes Vs. Guatemala. Fondo, Reparaciones y Costas</w:t>
      </w:r>
      <w:r w:rsidRPr="00F3018A">
        <w:rPr>
          <w:rFonts w:ascii="Verdana" w:hAnsi="Verdana"/>
          <w:sz w:val="16"/>
          <w:szCs w:val="16"/>
          <w:lang w:val="es-CR"/>
        </w:rPr>
        <w:t xml:space="preserve">. Sentencia de 15 de septiembre de 2005. Serie C No. 133, </w:t>
      </w:r>
      <w:r w:rsidRPr="00F3018A">
        <w:rPr>
          <w:rFonts w:ascii="Verdana" w:hAnsi="Verdana"/>
          <w:sz w:val="16"/>
          <w:szCs w:val="16"/>
          <w:lang w:val="es-PE"/>
        </w:rPr>
        <w:t xml:space="preserve">párr. 77, y </w:t>
      </w:r>
      <w:r w:rsidRPr="00F3018A">
        <w:rPr>
          <w:rFonts w:ascii="Verdana" w:hAnsi="Verdana"/>
          <w:i/>
          <w:sz w:val="16"/>
          <w:szCs w:val="16"/>
          <w:lang w:val="es-PE"/>
        </w:rPr>
        <w:t>Caso Fermín Ramírez Vs. Guatemala.</w:t>
      </w:r>
      <w:r w:rsidRPr="00F3018A">
        <w:rPr>
          <w:rFonts w:ascii="Verdana" w:hAnsi="Verdana"/>
          <w:sz w:val="16"/>
          <w:szCs w:val="16"/>
          <w:lang w:val="es-PE"/>
        </w:rPr>
        <w:t xml:space="preserve"> </w:t>
      </w:r>
      <w:r w:rsidRPr="00F3018A">
        <w:rPr>
          <w:rFonts w:ascii="Verdana" w:hAnsi="Verdana"/>
          <w:i/>
          <w:sz w:val="16"/>
          <w:szCs w:val="16"/>
          <w:lang w:val="es-PE"/>
        </w:rPr>
        <w:t>Supervisión de Cumplimiento de Sentencia, supra</w:t>
      </w:r>
      <w:r w:rsidRPr="00F3018A">
        <w:rPr>
          <w:rFonts w:ascii="Verdana" w:hAnsi="Verdana"/>
          <w:sz w:val="16"/>
          <w:szCs w:val="16"/>
          <w:lang w:val="es-PE"/>
        </w:rPr>
        <w:t>, Considerando 6.</w:t>
      </w:r>
    </w:p>
  </w:footnote>
  <w:footnote w:id="27">
    <w:p w:rsidR="001C18DD" w:rsidRPr="008E4C70" w:rsidRDefault="001C18DD" w:rsidP="00FA7C64">
      <w:pPr>
        <w:pStyle w:val="Textonotapie"/>
        <w:tabs>
          <w:tab w:val="left" w:pos="270"/>
        </w:tabs>
        <w:ind w:right="180"/>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E4C70">
        <w:rPr>
          <w:rFonts w:ascii="Verdana" w:hAnsi="Verdana"/>
          <w:sz w:val="16"/>
          <w:szCs w:val="16"/>
          <w:lang w:val="es-PE"/>
        </w:rPr>
        <w:tab/>
      </w:r>
      <w:r w:rsidRPr="008E4C70">
        <w:rPr>
          <w:rFonts w:ascii="Verdana" w:hAnsi="Verdana"/>
          <w:sz w:val="16"/>
          <w:szCs w:val="16"/>
          <w:lang w:val="es-PE"/>
        </w:rPr>
        <w:tab/>
      </w:r>
      <w:r w:rsidRPr="008E4C70">
        <w:rPr>
          <w:rFonts w:ascii="Verdana" w:hAnsi="Verdana"/>
          <w:i/>
          <w:sz w:val="16"/>
          <w:szCs w:val="16"/>
          <w:lang w:val="es-PE"/>
        </w:rPr>
        <w:t xml:space="preserve"> </w:t>
      </w:r>
      <w:r w:rsidRPr="008E4C70">
        <w:rPr>
          <w:rFonts w:ascii="Verdana" w:hAnsi="Verdana"/>
          <w:i/>
          <w:sz w:val="16"/>
          <w:szCs w:val="16"/>
          <w:lang w:val="es-PE"/>
        </w:rPr>
        <w:t>Caso Fermín Ramírez Vs. Guatemala.</w:t>
      </w:r>
      <w:r w:rsidRPr="008E4C70">
        <w:rPr>
          <w:rFonts w:ascii="Verdana" w:hAnsi="Verdana"/>
          <w:sz w:val="16"/>
          <w:szCs w:val="16"/>
          <w:lang w:val="es-PE"/>
        </w:rPr>
        <w:t xml:space="preserve"> </w:t>
      </w:r>
      <w:r w:rsidRPr="008E4C70">
        <w:rPr>
          <w:rFonts w:ascii="Verdana" w:hAnsi="Verdana"/>
          <w:i/>
          <w:sz w:val="16"/>
          <w:szCs w:val="16"/>
          <w:lang w:val="es-PE"/>
        </w:rPr>
        <w:t>Supervisión de Cumplimiento de Sentencia, supra</w:t>
      </w:r>
      <w:r>
        <w:rPr>
          <w:rFonts w:ascii="Verdana" w:hAnsi="Verdana"/>
          <w:sz w:val="16"/>
          <w:szCs w:val="16"/>
          <w:lang w:val="es-PE"/>
        </w:rPr>
        <w:t xml:space="preserve">, Considerando 13, y </w:t>
      </w:r>
      <w:r w:rsidRPr="00F3018A">
        <w:rPr>
          <w:rFonts w:ascii="Verdana" w:hAnsi="Verdana"/>
          <w:i/>
          <w:sz w:val="16"/>
          <w:szCs w:val="16"/>
          <w:lang w:val="es-CR"/>
        </w:rPr>
        <w:t>Caso Martínez Coronado Vs. Guatemala</w:t>
      </w:r>
      <w:r>
        <w:rPr>
          <w:rFonts w:ascii="Verdana" w:hAnsi="Verdana"/>
          <w:sz w:val="16"/>
          <w:szCs w:val="16"/>
          <w:lang w:val="es-CR"/>
        </w:rPr>
        <w:t xml:space="preserve">, </w:t>
      </w:r>
      <w:r w:rsidRPr="00734AF2">
        <w:rPr>
          <w:rFonts w:ascii="Verdana" w:hAnsi="Verdana"/>
          <w:i/>
          <w:sz w:val="16"/>
          <w:szCs w:val="16"/>
          <w:lang w:val="es-CR"/>
        </w:rPr>
        <w:t>supra</w:t>
      </w:r>
      <w:r>
        <w:rPr>
          <w:rFonts w:ascii="Verdana" w:hAnsi="Verdana"/>
          <w:sz w:val="16"/>
          <w:szCs w:val="16"/>
          <w:lang w:val="es-CR"/>
        </w:rPr>
        <w:t>, párr</w:t>
      </w:r>
      <w:r w:rsidRPr="00F3018A">
        <w:rPr>
          <w:rFonts w:ascii="Verdana" w:hAnsi="Verdana"/>
          <w:sz w:val="16"/>
          <w:szCs w:val="16"/>
          <w:lang w:val="es-CR"/>
        </w:rPr>
        <w:t>.</w:t>
      </w:r>
      <w:r>
        <w:rPr>
          <w:rFonts w:ascii="Verdana" w:hAnsi="Verdana"/>
          <w:sz w:val="16"/>
          <w:szCs w:val="16"/>
          <w:lang w:val="es-CR"/>
        </w:rPr>
        <w:t xml:space="preserve"> 32</w:t>
      </w:r>
    </w:p>
  </w:footnote>
  <w:footnote w:id="28">
    <w:p w:rsidR="001C18DD" w:rsidRPr="008E4C70" w:rsidRDefault="001C18DD" w:rsidP="00C947C5">
      <w:pPr>
        <w:pStyle w:val="Textonotapie"/>
        <w:tabs>
          <w:tab w:val="left" w:pos="270"/>
        </w:tabs>
        <w:ind w:right="180"/>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E4C70">
        <w:rPr>
          <w:rFonts w:ascii="Verdana" w:hAnsi="Verdana"/>
          <w:sz w:val="16"/>
          <w:szCs w:val="16"/>
          <w:lang w:val="es-PE"/>
        </w:rPr>
        <w:tab/>
      </w:r>
      <w:r w:rsidRPr="008E4C70">
        <w:rPr>
          <w:rFonts w:ascii="Verdana" w:hAnsi="Verdana"/>
          <w:sz w:val="16"/>
          <w:szCs w:val="16"/>
          <w:lang w:val="es-PE"/>
        </w:rPr>
        <w:tab/>
      </w:r>
      <w:r w:rsidRPr="008E4C70">
        <w:rPr>
          <w:rFonts w:ascii="Verdana" w:hAnsi="Verdana"/>
          <w:i/>
          <w:sz w:val="16"/>
          <w:szCs w:val="16"/>
          <w:lang w:val="es-PE"/>
        </w:rPr>
        <w:t xml:space="preserve"> </w:t>
      </w:r>
      <w:r w:rsidRPr="008E4C70">
        <w:rPr>
          <w:rFonts w:ascii="Verdana" w:hAnsi="Verdana"/>
          <w:i/>
          <w:sz w:val="16"/>
          <w:szCs w:val="16"/>
          <w:lang w:val="es-PE"/>
        </w:rPr>
        <w:t>Caso Fermín Ramírez Vs. Guatemala. Supervisión de Cumplimiento de Sentencia, supra,</w:t>
      </w:r>
      <w:r w:rsidRPr="008E4C70">
        <w:rPr>
          <w:rFonts w:ascii="Verdana" w:hAnsi="Verdana"/>
          <w:sz w:val="16"/>
          <w:szCs w:val="16"/>
          <w:lang w:val="es-PE"/>
        </w:rPr>
        <w:t xml:space="preserve"> Considerando 8</w:t>
      </w:r>
      <w:r>
        <w:rPr>
          <w:rFonts w:ascii="Verdana" w:hAnsi="Verdana"/>
          <w:sz w:val="16"/>
          <w:szCs w:val="16"/>
          <w:lang w:val="es-PE"/>
        </w:rPr>
        <w:t xml:space="preserve">, y </w:t>
      </w:r>
      <w:r w:rsidRPr="00F3018A">
        <w:rPr>
          <w:rFonts w:ascii="Verdana" w:hAnsi="Verdana"/>
          <w:i/>
          <w:sz w:val="16"/>
          <w:szCs w:val="16"/>
          <w:lang w:val="es-CR"/>
        </w:rPr>
        <w:t>Caso Martínez Coronado Vs. Guatemala</w:t>
      </w:r>
      <w:r>
        <w:rPr>
          <w:rFonts w:ascii="Verdana" w:hAnsi="Verdana"/>
          <w:sz w:val="16"/>
          <w:szCs w:val="16"/>
          <w:lang w:val="es-CR"/>
        </w:rPr>
        <w:t xml:space="preserve">, </w:t>
      </w:r>
      <w:r w:rsidRPr="00734AF2">
        <w:rPr>
          <w:rFonts w:ascii="Verdana" w:hAnsi="Verdana"/>
          <w:i/>
          <w:sz w:val="16"/>
          <w:szCs w:val="16"/>
          <w:lang w:val="es-CR"/>
        </w:rPr>
        <w:t>supra</w:t>
      </w:r>
      <w:r>
        <w:rPr>
          <w:rFonts w:ascii="Verdana" w:hAnsi="Verdana"/>
          <w:sz w:val="16"/>
          <w:szCs w:val="16"/>
          <w:lang w:val="es-CR"/>
        </w:rPr>
        <w:t>, párr</w:t>
      </w:r>
      <w:r w:rsidRPr="00F3018A">
        <w:rPr>
          <w:rFonts w:ascii="Verdana" w:hAnsi="Verdana"/>
          <w:sz w:val="16"/>
          <w:szCs w:val="16"/>
          <w:lang w:val="es-CR"/>
        </w:rPr>
        <w:t>.</w:t>
      </w:r>
      <w:r>
        <w:rPr>
          <w:rFonts w:ascii="Verdana" w:hAnsi="Verdana"/>
          <w:sz w:val="16"/>
          <w:szCs w:val="16"/>
          <w:lang w:val="es-CR"/>
        </w:rPr>
        <w:t xml:space="preserve"> 33</w:t>
      </w:r>
      <w:r w:rsidRPr="008E4C70">
        <w:rPr>
          <w:rFonts w:ascii="Verdana" w:hAnsi="Verdana"/>
          <w:sz w:val="16"/>
          <w:szCs w:val="16"/>
          <w:lang w:val="es-PE"/>
        </w:rPr>
        <w:t xml:space="preserve">. </w:t>
      </w:r>
    </w:p>
  </w:footnote>
  <w:footnote w:id="29">
    <w:p w:rsidR="001C18DD" w:rsidRPr="008E4C70" w:rsidRDefault="001C18DD" w:rsidP="003E32BC">
      <w:pPr>
        <w:pStyle w:val="Textonotapie"/>
        <w:jc w:val="both"/>
        <w:rPr>
          <w:rFonts w:ascii="Verdana" w:hAnsi="Verdana"/>
          <w:sz w:val="16"/>
          <w:szCs w:val="16"/>
          <w:lang w:val="es-ES_tradnl"/>
        </w:rPr>
      </w:pPr>
      <w:r w:rsidRPr="008E4C70">
        <w:rPr>
          <w:rStyle w:val="Refdenotaalpie"/>
          <w:rFonts w:ascii="Verdana" w:hAnsi="Verdana"/>
          <w:sz w:val="16"/>
          <w:szCs w:val="16"/>
        </w:rPr>
        <w:footnoteRef/>
      </w:r>
      <w:r w:rsidRPr="008E4C70">
        <w:rPr>
          <w:rFonts w:ascii="Verdana" w:hAnsi="Verdana"/>
          <w:sz w:val="16"/>
          <w:szCs w:val="16"/>
          <w:lang w:val="es-ES_tradnl"/>
        </w:rPr>
        <w:t xml:space="preserve"> </w:t>
      </w:r>
      <w:r w:rsidRPr="008E4C70">
        <w:rPr>
          <w:rFonts w:ascii="Verdana" w:hAnsi="Verdana"/>
          <w:sz w:val="16"/>
          <w:szCs w:val="16"/>
          <w:lang w:val="es-ES_tradnl"/>
        </w:rPr>
        <w:tab/>
      </w:r>
      <w:r w:rsidRPr="008E4C70">
        <w:rPr>
          <w:rFonts w:ascii="Verdana" w:hAnsi="Verdana"/>
          <w:i/>
          <w:sz w:val="16"/>
          <w:szCs w:val="16"/>
          <w:lang w:val="es-CR"/>
        </w:rPr>
        <w:t>Cfr</w:t>
      </w:r>
      <w:r w:rsidRPr="008E4C70">
        <w:rPr>
          <w:rFonts w:ascii="Verdana" w:hAnsi="Verdana"/>
          <w:sz w:val="16"/>
          <w:szCs w:val="16"/>
          <w:lang w:val="es-CR"/>
        </w:rPr>
        <w:t xml:space="preserve">. Acta de Declaración indagatoria de 19 de abril de 1993 ante el Juez Primero de Paz de Primera Instancia  </w:t>
      </w:r>
      <w:r w:rsidRPr="008E4C70">
        <w:rPr>
          <w:rFonts w:ascii="Verdana" w:hAnsi="Verdana"/>
          <w:sz w:val="16"/>
          <w:szCs w:val="16"/>
          <w:lang w:val="es-PE"/>
        </w:rPr>
        <w:t>(expediente de prueba, anexos al Informe de Fondo, anexo 1, fs. 3 a 7</w:t>
      </w:r>
      <w:r w:rsidRPr="008E4C70">
        <w:rPr>
          <w:rFonts w:ascii="Verdana" w:hAnsi="Verdana"/>
          <w:sz w:val="16"/>
          <w:szCs w:val="16"/>
          <w:lang w:val="es-CR"/>
        </w:rPr>
        <w:t>).</w:t>
      </w:r>
    </w:p>
  </w:footnote>
  <w:footnote w:id="30">
    <w:p w:rsidR="001C18DD" w:rsidRPr="008E4C70" w:rsidRDefault="001C18DD" w:rsidP="00D16A8A">
      <w:pPr>
        <w:pStyle w:val="Textonotapie"/>
        <w:jc w:val="both"/>
        <w:rPr>
          <w:rFonts w:ascii="Verdana" w:hAnsi="Verdana"/>
          <w:sz w:val="16"/>
          <w:szCs w:val="16"/>
          <w:lang w:val="es-ES_tradnl"/>
        </w:rPr>
      </w:pPr>
      <w:r w:rsidRPr="008E4C70">
        <w:rPr>
          <w:rStyle w:val="Refdenotaalpie"/>
          <w:rFonts w:ascii="Verdana" w:hAnsi="Verdana"/>
          <w:sz w:val="16"/>
          <w:szCs w:val="16"/>
        </w:rPr>
        <w:footnoteRef/>
      </w:r>
      <w:r w:rsidRPr="008E4C70">
        <w:rPr>
          <w:rFonts w:ascii="Verdana" w:hAnsi="Verdana"/>
          <w:sz w:val="16"/>
          <w:szCs w:val="16"/>
          <w:lang w:val="es-ES_tradnl"/>
        </w:rPr>
        <w:t xml:space="preserve"> </w:t>
      </w:r>
      <w:r w:rsidRPr="008E4C70">
        <w:rPr>
          <w:rFonts w:ascii="Verdana" w:hAnsi="Verdana"/>
          <w:sz w:val="16"/>
          <w:szCs w:val="16"/>
          <w:lang w:val="es-ES_tradnl"/>
        </w:rPr>
        <w:tab/>
      </w:r>
      <w:r w:rsidRPr="008E4C70">
        <w:rPr>
          <w:rFonts w:ascii="Verdana" w:hAnsi="Verdana"/>
          <w:i/>
          <w:sz w:val="16"/>
          <w:szCs w:val="16"/>
          <w:lang w:val="es-CR"/>
        </w:rPr>
        <w:t>Cfr</w:t>
      </w:r>
      <w:r w:rsidRPr="008E4C70">
        <w:rPr>
          <w:rFonts w:ascii="Verdana" w:hAnsi="Verdana"/>
          <w:sz w:val="16"/>
          <w:szCs w:val="16"/>
          <w:lang w:val="es-CR"/>
        </w:rPr>
        <w:t xml:space="preserve">. Acta de Declaración indagatoria de 19 de abril de 1993 ante el Juez Primero de Paz de Primera Instancia  </w:t>
      </w:r>
      <w:r w:rsidRPr="008E4C70">
        <w:rPr>
          <w:rFonts w:ascii="Verdana" w:hAnsi="Verdana"/>
          <w:sz w:val="16"/>
          <w:szCs w:val="16"/>
          <w:lang w:val="es-PE"/>
        </w:rPr>
        <w:t>(expediente de prueba, anexos al Informe de Fondo, anexo 2, fs. 9 a 14</w:t>
      </w:r>
      <w:r w:rsidRPr="008E4C70">
        <w:rPr>
          <w:rFonts w:ascii="Verdana" w:hAnsi="Verdana"/>
          <w:sz w:val="16"/>
          <w:szCs w:val="16"/>
          <w:lang w:val="es-CR"/>
        </w:rPr>
        <w:t>).</w:t>
      </w:r>
    </w:p>
  </w:footnote>
  <w:footnote w:id="31">
    <w:p w:rsidR="001C18DD" w:rsidRPr="008E4C70" w:rsidRDefault="001C18DD" w:rsidP="00D16A8A">
      <w:pPr>
        <w:pStyle w:val="Textonotapie"/>
        <w:jc w:val="both"/>
        <w:rPr>
          <w:rFonts w:ascii="Verdana" w:hAnsi="Verdana"/>
          <w:sz w:val="16"/>
          <w:szCs w:val="16"/>
          <w:lang w:val="es-ES_tradnl"/>
        </w:rPr>
      </w:pPr>
      <w:r w:rsidRPr="008E4C70">
        <w:rPr>
          <w:rStyle w:val="Refdenotaalpie"/>
          <w:rFonts w:ascii="Verdana" w:hAnsi="Verdana"/>
          <w:sz w:val="16"/>
          <w:szCs w:val="16"/>
        </w:rPr>
        <w:footnoteRef/>
      </w:r>
      <w:r w:rsidRPr="008E4C70">
        <w:rPr>
          <w:rFonts w:ascii="Verdana" w:hAnsi="Verdana"/>
          <w:sz w:val="16"/>
          <w:szCs w:val="16"/>
          <w:lang w:val="es-ES_tradnl"/>
        </w:rPr>
        <w:t xml:space="preserve"> </w:t>
      </w:r>
      <w:r w:rsidRPr="008E4C70">
        <w:rPr>
          <w:rFonts w:ascii="Verdana" w:hAnsi="Verdana"/>
          <w:sz w:val="16"/>
          <w:szCs w:val="16"/>
          <w:lang w:val="es-ES_tradnl"/>
        </w:rPr>
        <w:tab/>
      </w:r>
      <w:r w:rsidRPr="008E4C70">
        <w:rPr>
          <w:rFonts w:ascii="Verdana" w:hAnsi="Verdana"/>
          <w:i/>
          <w:sz w:val="16"/>
          <w:szCs w:val="16"/>
          <w:lang w:val="es-ES_tradnl"/>
        </w:rPr>
        <w:t>Cfr.</w:t>
      </w:r>
      <w:r w:rsidRPr="008E4C70">
        <w:rPr>
          <w:rFonts w:ascii="Verdana" w:hAnsi="Verdana"/>
          <w:sz w:val="16"/>
          <w:szCs w:val="16"/>
          <w:lang w:val="es-ES_tradnl"/>
        </w:rPr>
        <w:t xml:space="preserve"> Auto de prisión provisional dictado por Juzgado Segundo de Primera Instancia de 22 de abril de 1993 (</w:t>
      </w:r>
      <w:r w:rsidRPr="008E4C70">
        <w:rPr>
          <w:rFonts w:ascii="Verdana" w:hAnsi="Verdana"/>
          <w:sz w:val="16"/>
          <w:szCs w:val="16"/>
          <w:lang w:val="es-PE"/>
        </w:rPr>
        <w:t>expediente de prueba, anexos al Informe de Fondo, anexo 3, fs. 16 a 19).</w:t>
      </w:r>
    </w:p>
  </w:footnote>
  <w:footnote w:id="32">
    <w:p w:rsidR="001C18DD" w:rsidRPr="008E4C70" w:rsidRDefault="001C18DD" w:rsidP="00FA7C64">
      <w:pPr>
        <w:pStyle w:val="Textonotapie"/>
        <w:jc w:val="both"/>
        <w:rPr>
          <w:rFonts w:ascii="Verdana" w:hAnsi="Verdana"/>
          <w:sz w:val="16"/>
          <w:szCs w:val="16"/>
          <w:lang w:val="es-ES_tradnl"/>
        </w:rPr>
      </w:pPr>
      <w:r w:rsidRPr="008E4C70">
        <w:rPr>
          <w:rStyle w:val="Refdenotaalpie"/>
          <w:rFonts w:ascii="Verdana" w:hAnsi="Verdana"/>
          <w:sz w:val="16"/>
          <w:szCs w:val="16"/>
        </w:rPr>
        <w:footnoteRef/>
      </w:r>
      <w:r w:rsidRPr="008E4C70">
        <w:rPr>
          <w:rFonts w:ascii="Verdana" w:hAnsi="Verdana"/>
          <w:sz w:val="16"/>
          <w:szCs w:val="16"/>
          <w:lang w:val="es-ES_tradnl"/>
        </w:rPr>
        <w:t xml:space="preserve"> </w:t>
      </w:r>
      <w:r w:rsidRPr="008E4C70">
        <w:rPr>
          <w:rFonts w:ascii="Verdana" w:hAnsi="Verdana"/>
          <w:sz w:val="16"/>
          <w:szCs w:val="16"/>
          <w:lang w:val="es-ES_tradnl"/>
        </w:rPr>
        <w:tab/>
      </w:r>
      <w:r w:rsidRPr="008E4C70">
        <w:rPr>
          <w:rFonts w:ascii="Verdana" w:hAnsi="Verdana"/>
          <w:i/>
          <w:sz w:val="16"/>
          <w:szCs w:val="16"/>
          <w:lang w:val="es-ES_tradnl"/>
        </w:rPr>
        <w:t>Cfr.</w:t>
      </w:r>
      <w:r w:rsidRPr="008E4C70">
        <w:rPr>
          <w:rFonts w:ascii="Verdana" w:hAnsi="Verdana"/>
          <w:sz w:val="16"/>
          <w:szCs w:val="16"/>
          <w:lang w:val="es-ES_tradnl"/>
        </w:rPr>
        <w:t xml:space="preserve"> Acta de discernimiento de 27 de abril de 1993 (</w:t>
      </w:r>
      <w:r w:rsidRPr="008E4C70">
        <w:rPr>
          <w:rFonts w:ascii="Verdana" w:hAnsi="Verdana"/>
          <w:sz w:val="16"/>
          <w:szCs w:val="16"/>
          <w:lang w:val="es-PE"/>
        </w:rPr>
        <w:t>expediente de anexos al Informe de Fondo, anexo 4, f. 21).</w:t>
      </w:r>
    </w:p>
  </w:footnote>
  <w:footnote w:id="33">
    <w:p w:rsidR="001C18DD" w:rsidRPr="008E4C70" w:rsidRDefault="001C18DD" w:rsidP="00C947C5">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t xml:space="preserve">Es </w:t>
      </w:r>
      <w:r>
        <w:rPr>
          <w:rFonts w:ascii="Verdana" w:hAnsi="Verdana"/>
          <w:sz w:val="16"/>
          <w:szCs w:val="16"/>
          <w:lang w:val="es-CR"/>
        </w:rPr>
        <w:t xml:space="preserve">un hecho </w:t>
      </w:r>
      <w:r>
        <w:rPr>
          <w:rFonts w:ascii="Verdana" w:hAnsi="Verdana"/>
          <w:sz w:val="16"/>
          <w:szCs w:val="16"/>
          <w:lang w:val="es-CR"/>
        </w:rPr>
        <w:t>no controvertido que Edy Iván Bocanegra Conde</w:t>
      </w:r>
      <w:r w:rsidRPr="008E4C70">
        <w:rPr>
          <w:rFonts w:ascii="Verdana" w:hAnsi="Verdana"/>
          <w:sz w:val="16"/>
          <w:szCs w:val="16"/>
          <w:lang w:val="es-CR"/>
        </w:rPr>
        <w:t xml:space="preserve"> actúo como defensor de Pedro Castillo. </w:t>
      </w:r>
      <w:r w:rsidRPr="008E4C70">
        <w:rPr>
          <w:rFonts w:ascii="Verdana" w:hAnsi="Verdana"/>
          <w:i/>
          <w:sz w:val="16"/>
          <w:szCs w:val="16"/>
          <w:lang w:val="es-CR"/>
        </w:rPr>
        <w:t>Cfr</w:t>
      </w:r>
      <w:r w:rsidRPr="008E4C70">
        <w:rPr>
          <w:rFonts w:ascii="Verdana" w:hAnsi="Verdana"/>
          <w:sz w:val="16"/>
          <w:szCs w:val="16"/>
          <w:lang w:val="es-CR"/>
        </w:rPr>
        <w:t xml:space="preserve">. </w:t>
      </w:r>
      <w:r w:rsidRPr="008E4C70">
        <w:rPr>
          <w:rFonts w:ascii="Verdana" w:hAnsi="Verdana" w:cs="Arial"/>
          <w:color w:val="0F0F0F"/>
          <w:sz w:val="16"/>
          <w:szCs w:val="16"/>
          <w:lang w:val="es-CR"/>
        </w:rPr>
        <w:t xml:space="preserve">Sentencia del Juzgado Primero de Primera Instancia </w:t>
      </w:r>
      <w:r w:rsidRPr="008E4C70">
        <w:rPr>
          <w:rFonts w:ascii="Verdana" w:hAnsi="Verdana" w:cs="Arial"/>
          <w:color w:val="000000"/>
          <w:sz w:val="16"/>
          <w:szCs w:val="16"/>
          <w:lang w:val="es-CR"/>
        </w:rPr>
        <w:t xml:space="preserve">Penal </w:t>
      </w:r>
      <w:r w:rsidRPr="008E4C70">
        <w:rPr>
          <w:rFonts w:ascii="Verdana" w:hAnsi="Verdana" w:cs="Arial"/>
          <w:color w:val="0F0F0F"/>
          <w:sz w:val="16"/>
          <w:szCs w:val="16"/>
          <w:lang w:val="es-CR"/>
        </w:rPr>
        <w:t xml:space="preserve">de Sentencia de Escuintla de 4 de octubre de 1993 </w:t>
      </w:r>
      <w:r w:rsidRPr="008E4C70">
        <w:rPr>
          <w:rFonts w:ascii="Verdana" w:hAnsi="Verdana"/>
          <w:sz w:val="16"/>
          <w:szCs w:val="16"/>
          <w:lang w:val="es-PE"/>
        </w:rPr>
        <w:t>(expediente de prueba, anexos al Informe de Fondo, anexo 9, fs. 45 a 57).</w:t>
      </w:r>
      <w:r w:rsidRPr="008E4C70">
        <w:rPr>
          <w:rFonts w:ascii="Verdana" w:hAnsi="Verdana" w:cs="Arial"/>
          <w:color w:val="0F0F0F"/>
          <w:sz w:val="16"/>
          <w:szCs w:val="16"/>
          <w:lang w:val="es-CR"/>
        </w:rPr>
        <w:t xml:space="preserve">  </w:t>
      </w:r>
    </w:p>
  </w:footnote>
  <w:footnote w:id="34">
    <w:p w:rsidR="001C18DD" w:rsidRPr="008E4C70" w:rsidRDefault="001C18DD">
      <w:pPr>
        <w:autoSpaceDE w:val="0"/>
        <w:autoSpaceDN w:val="0"/>
        <w:adjustRightInd w:val="0"/>
        <w:spacing w:after="0" w:line="240" w:lineRule="auto"/>
        <w:jc w:val="both"/>
        <w:rPr>
          <w:rFonts w:ascii="Verdana" w:hAnsi="Verdana" w:cs="Arial"/>
          <w:color w:val="0F0F0F"/>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ES_tradnl"/>
        </w:rPr>
        <w:t xml:space="preserve"> </w:t>
      </w:r>
      <w:r w:rsidRPr="008E4C70">
        <w:rPr>
          <w:rFonts w:ascii="Verdana" w:hAnsi="Verdana"/>
          <w:sz w:val="16"/>
          <w:szCs w:val="16"/>
          <w:lang w:val="es-ES_tradnl"/>
        </w:rPr>
        <w:tab/>
      </w:r>
      <w:r w:rsidRPr="008E4C70">
        <w:rPr>
          <w:rFonts w:ascii="Verdana" w:hAnsi="Verdana" w:cs="Arial"/>
          <w:i/>
          <w:color w:val="0F0F0F"/>
          <w:sz w:val="16"/>
          <w:szCs w:val="16"/>
          <w:lang w:val="es-ES_tradnl"/>
        </w:rPr>
        <w:t xml:space="preserve">Cfr. </w:t>
      </w:r>
      <w:r w:rsidRPr="008E4C70">
        <w:rPr>
          <w:rFonts w:ascii="Verdana" w:hAnsi="Verdana" w:cs="Arial"/>
          <w:color w:val="0F0F0F"/>
          <w:sz w:val="16"/>
          <w:szCs w:val="16"/>
          <w:lang w:val="es-ES_tradnl"/>
        </w:rPr>
        <w:t>A</w:t>
      </w:r>
      <w:r w:rsidRPr="008E4C70">
        <w:rPr>
          <w:rFonts w:ascii="Verdana" w:hAnsi="Verdana" w:cs="Arial"/>
          <w:color w:val="0F0F0F"/>
          <w:sz w:val="16"/>
          <w:szCs w:val="16"/>
          <w:lang w:val="es-CR"/>
        </w:rPr>
        <w:t xml:space="preserve">cta de careo entre los procesados del Juez Segundo de Primera </w:t>
      </w:r>
      <w:r w:rsidRPr="008E4C70">
        <w:rPr>
          <w:rFonts w:ascii="Verdana" w:hAnsi="Verdana" w:cs="Arial"/>
          <w:color w:val="000000"/>
          <w:sz w:val="16"/>
          <w:szCs w:val="16"/>
          <w:lang w:val="es-CR"/>
        </w:rPr>
        <w:t xml:space="preserve">Instancia </w:t>
      </w:r>
      <w:r w:rsidRPr="008E4C70">
        <w:rPr>
          <w:rFonts w:ascii="Verdana" w:hAnsi="Verdana" w:cs="Arial"/>
          <w:color w:val="0F0F0F"/>
          <w:sz w:val="16"/>
          <w:szCs w:val="16"/>
          <w:lang w:val="es-CR"/>
        </w:rPr>
        <w:t>de 5 de mayo de 1993</w:t>
      </w:r>
      <w:r w:rsidRPr="008E4C70">
        <w:rPr>
          <w:rFonts w:ascii="Verdana" w:hAnsi="Verdana" w:cs="Arial"/>
          <w:color w:val="2C2C2C"/>
          <w:sz w:val="16"/>
          <w:szCs w:val="16"/>
          <w:lang w:val="es-CR"/>
        </w:rPr>
        <w:t xml:space="preserve"> </w:t>
      </w:r>
      <w:r w:rsidRPr="008E4C70">
        <w:rPr>
          <w:rFonts w:ascii="Verdana" w:hAnsi="Verdana"/>
          <w:sz w:val="16"/>
          <w:szCs w:val="16"/>
          <w:lang w:val="es-ES_tradnl"/>
        </w:rPr>
        <w:t>(</w:t>
      </w:r>
      <w:r w:rsidRPr="008E4C70">
        <w:rPr>
          <w:rFonts w:ascii="Verdana" w:hAnsi="Verdana"/>
          <w:sz w:val="16"/>
          <w:szCs w:val="16"/>
          <w:lang w:val="es-PE"/>
        </w:rPr>
        <w:t>expediente de anexos al Informe de Fondo, anexo 5, fs. 23 a</w:t>
      </w:r>
      <w:r>
        <w:rPr>
          <w:rFonts w:ascii="Verdana" w:hAnsi="Verdana"/>
          <w:sz w:val="16"/>
          <w:szCs w:val="16"/>
          <w:lang w:val="es-PE"/>
        </w:rPr>
        <w:t xml:space="preserve"> </w:t>
      </w:r>
      <w:r w:rsidRPr="008E4C70">
        <w:rPr>
          <w:rFonts w:ascii="Verdana" w:hAnsi="Verdana"/>
          <w:sz w:val="16"/>
          <w:szCs w:val="16"/>
          <w:lang w:val="es-PE"/>
        </w:rPr>
        <w:t>24).</w:t>
      </w:r>
    </w:p>
  </w:footnote>
  <w:footnote w:id="35">
    <w:p w:rsidR="001C18DD" w:rsidRPr="008E4C70" w:rsidRDefault="001C18DD">
      <w:pPr>
        <w:autoSpaceDE w:val="0"/>
        <w:autoSpaceDN w:val="0"/>
        <w:adjustRightInd w:val="0"/>
        <w:spacing w:after="0" w:line="240" w:lineRule="auto"/>
        <w:jc w:val="both"/>
        <w:rPr>
          <w:rFonts w:ascii="Verdana" w:hAnsi="Verdana" w:cs="Arial"/>
          <w:color w:val="0F0F0F"/>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 xml:space="preserve">Cfr. </w:t>
      </w:r>
      <w:r w:rsidRPr="008E4C70">
        <w:rPr>
          <w:rFonts w:ascii="Verdana" w:hAnsi="Verdana" w:cs="Arial"/>
          <w:color w:val="0F0F0F"/>
          <w:sz w:val="16"/>
          <w:szCs w:val="16"/>
          <w:lang w:val="es-CR"/>
        </w:rPr>
        <w:t xml:space="preserve">Decisión del Juzgado Primero de Primera </w:t>
      </w:r>
      <w:r w:rsidRPr="008E4C70">
        <w:rPr>
          <w:rFonts w:ascii="Verdana" w:hAnsi="Verdana" w:cs="Arial"/>
          <w:color w:val="000000"/>
          <w:sz w:val="16"/>
          <w:szCs w:val="16"/>
          <w:lang w:val="es-CR"/>
        </w:rPr>
        <w:t xml:space="preserve">Instancia </w:t>
      </w:r>
      <w:r w:rsidRPr="008E4C70">
        <w:rPr>
          <w:rFonts w:ascii="Verdana" w:hAnsi="Verdana" w:cs="Arial"/>
          <w:color w:val="0F0F0F"/>
          <w:sz w:val="16"/>
          <w:szCs w:val="16"/>
          <w:lang w:val="es-CR"/>
        </w:rPr>
        <w:t xml:space="preserve">Penal del Departamento de Escuintla de 12 de mayo de 1993 </w:t>
      </w:r>
      <w:r w:rsidRPr="008E4C70">
        <w:rPr>
          <w:rFonts w:ascii="Verdana" w:hAnsi="Verdana"/>
          <w:sz w:val="16"/>
          <w:szCs w:val="16"/>
          <w:lang w:val="es-PE"/>
        </w:rPr>
        <w:t>(expediente de prueba, anexos al Informe de Fondo, anexo 6, fs. 26 a 28</w:t>
      </w:r>
      <w:r w:rsidRPr="008E4C70">
        <w:rPr>
          <w:rFonts w:ascii="Verdana" w:hAnsi="Verdana"/>
          <w:sz w:val="16"/>
          <w:szCs w:val="16"/>
          <w:lang w:val="es-CR"/>
        </w:rPr>
        <w:t>).</w:t>
      </w:r>
    </w:p>
  </w:footnote>
  <w:footnote w:id="36">
    <w:p w:rsidR="001C18DD" w:rsidRPr="008E4C70" w:rsidRDefault="001C18DD">
      <w:pPr>
        <w:autoSpaceDE w:val="0"/>
        <w:autoSpaceDN w:val="0"/>
        <w:adjustRightInd w:val="0"/>
        <w:spacing w:after="0" w:line="240" w:lineRule="auto"/>
        <w:jc w:val="both"/>
        <w:rPr>
          <w:rFonts w:ascii="Verdana" w:hAnsi="Verdana" w:cs="Arial"/>
          <w:color w:val="0F0F0F"/>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Pr>
          <w:rFonts w:ascii="Verdana" w:hAnsi="Verdana" w:cs="Arial"/>
          <w:color w:val="0F0F0F"/>
          <w:sz w:val="16"/>
          <w:szCs w:val="16"/>
          <w:lang w:val="es-CR"/>
        </w:rPr>
        <w:t>Escrito de LC</w:t>
      </w:r>
      <w:r w:rsidRPr="008E4C70">
        <w:rPr>
          <w:rFonts w:ascii="Verdana" w:hAnsi="Verdana" w:cs="Arial"/>
          <w:color w:val="0F0F0F"/>
          <w:sz w:val="16"/>
          <w:szCs w:val="16"/>
          <w:lang w:val="es-CR"/>
        </w:rPr>
        <w:t xml:space="preserve">C presentado ante el Juez Primero de Primera </w:t>
      </w:r>
      <w:r w:rsidRPr="008E4C70">
        <w:rPr>
          <w:rFonts w:ascii="Verdana" w:hAnsi="Verdana" w:cs="Arial"/>
          <w:color w:val="000000"/>
          <w:sz w:val="16"/>
          <w:szCs w:val="16"/>
          <w:lang w:val="es-CR"/>
        </w:rPr>
        <w:t xml:space="preserve">Instancia </w:t>
      </w:r>
      <w:r w:rsidRPr="008E4C70">
        <w:rPr>
          <w:rFonts w:ascii="Verdana" w:hAnsi="Verdana" w:cs="Arial"/>
          <w:color w:val="0F0F0F"/>
          <w:sz w:val="16"/>
          <w:szCs w:val="16"/>
          <w:lang w:val="es-CR"/>
        </w:rPr>
        <w:t xml:space="preserve">Penal del Departamento de Escuintla de 2 de junio de 1993 </w:t>
      </w:r>
      <w:r w:rsidRPr="008E4C70">
        <w:rPr>
          <w:rFonts w:ascii="Verdana" w:hAnsi="Verdana"/>
          <w:sz w:val="16"/>
          <w:szCs w:val="16"/>
          <w:lang w:val="es-PE"/>
        </w:rPr>
        <w:t>(expediente de prueba, anexos al Informe de Fondo, anexo 7, fs. 30 a 38</w:t>
      </w:r>
      <w:r w:rsidRPr="008E4C70">
        <w:rPr>
          <w:rFonts w:ascii="Verdana" w:hAnsi="Verdana"/>
          <w:sz w:val="16"/>
          <w:szCs w:val="16"/>
          <w:lang w:val="es-CR"/>
        </w:rPr>
        <w:t xml:space="preserve">). En dicho escrito manifiesta, respecto a las pruebas aportadas </w:t>
      </w:r>
      <w:r w:rsidRPr="008E4C70">
        <w:rPr>
          <w:rFonts w:ascii="Verdana" w:hAnsi="Verdana"/>
          <w:sz w:val="16"/>
          <w:szCs w:val="16"/>
          <w:lang w:val="es-CR"/>
        </w:rPr>
        <w:t>al proceso, que “seg[ú]n las diligencias practicadas se desprende que entre las declaraciones de los testigos, captores e informe policiaco hay discrepa</w:t>
      </w:r>
      <w:r>
        <w:rPr>
          <w:rFonts w:ascii="Verdana" w:hAnsi="Verdana"/>
          <w:sz w:val="16"/>
          <w:szCs w:val="16"/>
          <w:lang w:val="es-CR"/>
        </w:rPr>
        <w:t>n</w:t>
      </w:r>
      <w:r w:rsidRPr="008E4C70">
        <w:rPr>
          <w:rFonts w:ascii="Verdana" w:hAnsi="Verdana"/>
          <w:sz w:val="16"/>
          <w:szCs w:val="16"/>
          <w:lang w:val="es-CR"/>
        </w:rPr>
        <w:t>cia y además de esto a nadie le consta que [su] defendido haya participado en el hecho delictivo.”</w:t>
      </w:r>
    </w:p>
  </w:footnote>
  <w:footnote w:id="37">
    <w:p w:rsidR="001C18DD" w:rsidRPr="008E4C70" w:rsidRDefault="001C18DD">
      <w:pPr>
        <w:autoSpaceDE w:val="0"/>
        <w:autoSpaceDN w:val="0"/>
        <w:adjustRightInd w:val="0"/>
        <w:spacing w:after="0" w:line="240" w:lineRule="auto"/>
        <w:jc w:val="both"/>
        <w:rPr>
          <w:rFonts w:ascii="Verdana" w:hAnsi="Verdana" w:cs="Arial"/>
          <w:color w:val="0F0F0F"/>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cs="Arial"/>
          <w:color w:val="000000"/>
          <w:sz w:val="16"/>
          <w:szCs w:val="16"/>
          <w:lang w:val="es-CR"/>
        </w:rPr>
        <w:t xml:space="preserve">Escrito </w:t>
      </w:r>
      <w:r w:rsidRPr="008E4C70">
        <w:rPr>
          <w:rFonts w:ascii="Verdana" w:hAnsi="Verdana" w:cs="Arial"/>
          <w:color w:val="0F0F0F"/>
          <w:sz w:val="16"/>
          <w:szCs w:val="16"/>
          <w:lang w:val="es-CR"/>
        </w:rPr>
        <w:t xml:space="preserve">de </w:t>
      </w:r>
      <w:proofErr w:type="spellStart"/>
      <w:r w:rsidRPr="003451D7">
        <w:rPr>
          <w:rFonts w:ascii="Verdana" w:hAnsi="Verdana"/>
          <w:sz w:val="16"/>
          <w:szCs w:val="16"/>
          <w:lang w:val="es-ES"/>
        </w:rPr>
        <w:t>Edy</w:t>
      </w:r>
      <w:proofErr w:type="spellEnd"/>
      <w:r w:rsidRPr="003451D7">
        <w:rPr>
          <w:rFonts w:ascii="Verdana" w:hAnsi="Verdana"/>
          <w:sz w:val="16"/>
          <w:szCs w:val="16"/>
          <w:lang w:val="es-ES"/>
        </w:rPr>
        <w:t xml:space="preserve"> Iván Bocanegra Conde</w:t>
      </w:r>
      <w:r w:rsidRPr="008E4C70">
        <w:rPr>
          <w:rFonts w:ascii="Verdana" w:hAnsi="Verdana" w:cs="Arial"/>
          <w:color w:val="0F0F0F"/>
          <w:sz w:val="16"/>
          <w:szCs w:val="16"/>
          <w:lang w:val="es-CR"/>
        </w:rPr>
        <w:t xml:space="preserve"> presentado ante el Juez </w:t>
      </w:r>
      <w:r w:rsidRPr="008E4C70">
        <w:rPr>
          <w:rFonts w:ascii="Verdana" w:hAnsi="Verdana" w:cs="Arial"/>
          <w:color w:val="000000"/>
          <w:sz w:val="16"/>
          <w:szCs w:val="16"/>
          <w:lang w:val="es-CR"/>
        </w:rPr>
        <w:t xml:space="preserve">Primero </w:t>
      </w:r>
      <w:r w:rsidRPr="008E4C70">
        <w:rPr>
          <w:rFonts w:ascii="Verdana" w:hAnsi="Verdana" w:cs="Arial"/>
          <w:color w:val="0F0F0F"/>
          <w:sz w:val="16"/>
          <w:szCs w:val="16"/>
          <w:lang w:val="es-CR"/>
        </w:rPr>
        <w:t xml:space="preserve">de Primera </w:t>
      </w:r>
      <w:r w:rsidRPr="008E4C70">
        <w:rPr>
          <w:rFonts w:ascii="Verdana" w:hAnsi="Verdana" w:cs="Arial"/>
          <w:color w:val="000000"/>
          <w:sz w:val="16"/>
          <w:szCs w:val="16"/>
          <w:lang w:val="es-CR"/>
        </w:rPr>
        <w:t xml:space="preserve">Instancia </w:t>
      </w:r>
      <w:r w:rsidRPr="008E4C70">
        <w:rPr>
          <w:rFonts w:ascii="Verdana" w:hAnsi="Verdana" w:cs="Arial"/>
          <w:color w:val="0F0F0F"/>
          <w:sz w:val="16"/>
          <w:szCs w:val="16"/>
          <w:lang w:val="es-CR"/>
        </w:rPr>
        <w:t>de Sentencia del Ramo Penal del Departamento de Escuintla de 14 de junio de 1993</w:t>
      </w:r>
      <w:r w:rsidRPr="008E4C70">
        <w:rPr>
          <w:rFonts w:ascii="Verdana" w:hAnsi="Verdana" w:cs="Arial"/>
          <w:color w:val="2C2C2C"/>
          <w:sz w:val="16"/>
          <w:szCs w:val="16"/>
          <w:lang w:val="es-CR"/>
        </w:rPr>
        <w:t xml:space="preserve"> </w:t>
      </w:r>
      <w:r w:rsidRPr="008E4C70">
        <w:rPr>
          <w:rFonts w:ascii="Verdana" w:hAnsi="Verdana"/>
          <w:sz w:val="16"/>
          <w:szCs w:val="16"/>
          <w:lang w:val="es-PE"/>
        </w:rPr>
        <w:t>(expediente de prueba, anexos al Informe de Fondo, anexo 8, fs. 40 a 43</w:t>
      </w:r>
      <w:r w:rsidRPr="008E4C70">
        <w:rPr>
          <w:rFonts w:ascii="Verdana" w:hAnsi="Verdana"/>
          <w:sz w:val="16"/>
          <w:szCs w:val="16"/>
          <w:lang w:val="es-CR"/>
        </w:rPr>
        <w:t>). En dicho escrito manifiesta que “a [su] defendido se le imputa haber realizado [v]iolación [c]alificada, [no obstante] […] exi</w:t>
      </w:r>
      <w:r>
        <w:rPr>
          <w:rFonts w:ascii="Verdana" w:hAnsi="Verdana"/>
          <w:sz w:val="16"/>
          <w:szCs w:val="16"/>
          <w:lang w:val="es-CR"/>
        </w:rPr>
        <w:t>s</w:t>
      </w:r>
      <w:r w:rsidRPr="008E4C70">
        <w:rPr>
          <w:rFonts w:ascii="Verdana" w:hAnsi="Verdana"/>
          <w:sz w:val="16"/>
          <w:szCs w:val="16"/>
          <w:lang w:val="es-CR"/>
        </w:rPr>
        <w:t>ten circunstancias atenuantes que modifican su responsabilidad penal, siendo esta el haber realizado en [s</w:t>
      </w:r>
      <w:r>
        <w:rPr>
          <w:rFonts w:ascii="Verdana" w:hAnsi="Verdana"/>
          <w:sz w:val="16"/>
          <w:szCs w:val="16"/>
          <w:lang w:val="es-CR"/>
        </w:rPr>
        <w:t>]u indagatoria una confesión ca</w:t>
      </w:r>
      <w:r w:rsidRPr="008E4C70">
        <w:rPr>
          <w:rFonts w:ascii="Verdana" w:hAnsi="Verdana"/>
          <w:sz w:val="16"/>
          <w:szCs w:val="16"/>
          <w:lang w:val="es-CR"/>
        </w:rPr>
        <w:t>lificada; ayudando de esta manera al esclarecimiento del hecho que se le imputa</w:t>
      </w:r>
      <w:r>
        <w:rPr>
          <w:rFonts w:ascii="Verdana" w:hAnsi="Verdana"/>
          <w:sz w:val="16"/>
          <w:szCs w:val="16"/>
          <w:lang w:val="es-CR"/>
        </w:rPr>
        <w:t>”</w:t>
      </w:r>
      <w:r w:rsidRPr="008E4C70">
        <w:rPr>
          <w:rFonts w:ascii="Verdana" w:hAnsi="Verdana"/>
          <w:sz w:val="16"/>
          <w:szCs w:val="16"/>
          <w:lang w:val="es-CR"/>
        </w:rPr>
        <w:t xml:space="preserve">. </w:t>
      </w:r>
    </w:p>
  </w:footnote>
  <w:footnote w:id="38">
    <w:p w:rsidR="001C18DD" w:rsidRPr="008E4C70" w:rsidRDefault="001C18DD" w:rsidP="007C1952">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sz w:val="16"/>
          <w:szCs w:val="16"/>
          <w:lang w:val="es-CR"/>
        </w:rPr>
        <w:t>Decisión del Juzgado Primero de Primera Instancia Penal del Departamento del Escuintla de 18 de junio de 1993 (expediente de p</w:t>
      </w:r>
      <w:r>
        <w:rPr>
          <w:rFonts w:ascii="Verdana" w:hAnsi="Verdana"/>
          <w:sz w:val="16"/>
          <w:szCs w:val="16"/>
          <w:lang w:val="es-CR"/>
        </w:rPr>
        <w:t>rueba, anexos a la contestación, fs. 2432 a</w:t>
      </w:r>
      <w:r w:rsidRPr="008E4C70">
        <w:rPr>
          <w:rFonts w:ascii="Verdana" w:hAnsi="Verdana"/>
          <w:sz w:val="16"/>
          <w:szCs w:val="16"/>
          <w:lang w:val="es-CR"/>
        </w:rPr>
        <w:t xml:space="preserve"> 2433). Se hace notar que en el acta de no realización de audiencia de 15 de julio de 1993, el señor JCME no se menciona (expediente de prueba, anexos a la </w:t>
      </w:r>
      <w:r>
        <w:rPr>
          <w:rFonts w:ascii="Verdana" w:hAnsi="Verdana"/>
          <w:sz w:val="16"/>
          <w:szCs w:val="16"/>
          <w:lang w:val="es-CR"/>
        </w:rPr>
        <w:t>contestación, f. 2438)</w:t>
      </w:r>
      <w:r w:rsidRPr="008E4C70">
        <w:rPr>
          <w:rFonts w:ascii="Verdana" w:hAnsi="Verdana"/>
          <w:sz w:val="16"/>
          <w:szCs w:val="16"/>
          <w:lang w:val="es-CR"/>
        </w:rPr>
        <w:t>.</w:t>
      </w:r>
    </w:p>
  </w:footnote>
  <w:footnote w:id="39">
    <w:p w:rsidR="001C18DD" w:rsidRPr="008E4C70" w:rsidRDefault="001C18DD">
      <w:pPr>
        <w:autoSpaceDE w:val="0"/>
        <w:autoSpaceDN w:val="0"/>
        <w:adjustRightInd w:val="0"/>
        <w:spacing w:after="0" w:line="240" w:lineRule="auto"/>
        <w:jc w:val="both"/>
        <w:rPr>
          <w:rFonts w:ascii="Verdana" w:hAnsi="Verdana" w:cs="Arial"/>
          <w:color w:val="0F0F0F"/>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A409FC">
        <w:rPr>
          <w:rFonts w:ascii="Verdana" w:hAnsi="Verdana"/>
          <w:sz w:val="16"/>
          <w:szCs w:val="16"/>
          <w:lang w:val="es-CR"/>
        </w:rPr>
        <w:t>Sentencia del Juzgado de Primera Instancia Penal de Sentencia de Escuintla de 4 de octubre de 1993 (expediente de prueba, anexos al Informe de Fondo, anexo 9, fs. 45 a 57).</w:t>
      </w:r>
    </w:p>
  </w:footnote>
  <w:footnote w:id="40">
    <w:p w:rsidR="001C18DD" w:rsidRPr="008E4C70" w:rsidRDefault="001C18DD">
      <w:pPr>
        <w:autoSpaceDE w:val="0"/>
        <w:autoSpaceDN w:val="0"/>
        <w:adjustRightInd w:val="0"/>
        <w:spacing w:after="0" w:line="240" w:lineRule="auto"/>
        <w:jc w:val="both"/>
        <w:rPr>
          <w:rFonts w:ascii="Verdana" w:hAnsi="Verdana" w:cs="Arial"/>
          <w:color w:val="0F0F0F"/>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cs="Arial"/>
          <w:color w:val="0F0F0F"/>
          <w:sz w:val="16"/>
          <w:szCs w:val="16"/>
          <w:lang w:val="es-CR"/>
        </w:rPr>
        <w:t xml:space="preserve">Sentencia del Juzgado Primero de Primera Instancia </w:t>
      </w:r>
      <w:r w:rsidRPr="008E4C70">
        <w:rPr>
          <w:rFonts w:ascii="Verdana" w:hAnsi="Verdana" w:cs="Arial"/>
          <w:color w:val="000000"/>
          <w:sz w:val="16"/>
          <w:szCs w:val="16"/>
          <w:lang w:val="es-CR"/>
        </w:rPr>
        <w:t xml:space="preserve">Penal </w:t>
      </w:r>
      <w:r w:rsidRPr="008E4C70">
        <w:rPr>
          <w:rFonts w:ascii="Verdana" w:hAnsi="Verdana" w:cs="Arial"/>
          <w:color w:val="0F0F0F"/>
          <w:sz w:val="16"/>
          <w:szCs w:val="16"/>
          <w:lang w:val="es-CR"/>
        </w:rPr>
        <w:t>de Sentencia de Escuintla</w:t>
      </w:r>
      <w:r>
        <w:rPr>
          <w:rFonts w:ascii="Verdana" w:hAnsi="Verdana"/>
          <w:sz w:val="16"/>
          <w:szCs w:val="16"/>
          <w:lang w:val="es-PE"/>
        </w:rPr>
        <w:t xml:space="preserve">, </w:t>
      </w:r>
      <w:r w:rsidRPr="0007773B">
        <w:rPr>
          <w:rFonts w:ascii="Verdana" w:hAnsi="Verdana"/>
          <w:i/>
          <w:sz w:val="16"/>
          <w:szCs w:val="16"/>
          <w:lang w:val="es-PE"/>
        </w:rPr>
        <w:t>supra</w:t>
      </w:r>
      <w:r w:rsidRPr="008E4C70">
        <w:rPr>
          <w:rFonts w:ascii="Verdana" w:hAnsi="Verdana"/>
          <w:sz w:val="16"/>
          <w:szCs w:val="16"/>
          <w:lang w:val="es-PE"/>
        </w:rPr>
        <w:t>.</w:t>
      </w:r>
      <w:r w:rsidRPr="008E4C70">
        <w:rPr>
          <w:rFonts w:ascii="Verdana" w:hAnsi="Verdana" w:cs="Arial"/>
          <w:color w:val="0F0F0F"/>
          <w:sz w:val="16"/>
          <w:szCs w:val="16"/>
          <w:lang w:val="es-CR"/>
        </w:rPr>
        <w:t xml:space="preserve"> </w:t>
      </w:r>
    </w:p>
  </w:footnote>
  <w:footnote w:id="41">
    <w:p w:rsidR="001C18DD" w:rsidRPr="008E4C70" w:rsidRDefault="001C18DD">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 xml:space="preserve">Cfr. </w:t>
      </w:r>
      <w:r w:rsidRPr="008E4C70">
        <w:rPr>
          <w:rFonts w:ascii="Verdana" w:hAnsi="Verdana"/>
          <w:sz w:val="16"/>
          <w:szCs w:val="16"/>
          <w:lang w:val="es-CR"/>
        </w:rPr>
        <w:t xml:space="preserve">Sentencia de la Sala Duodécima de la Corte de </w:t>
      </w:r>
      <w:r>
        <w:rPr>
          <w:rFonts w:ascii="Verdana" w:hAnsi="Verdana"/>
          <w:sz w:val="16"/>
          <w:szCs w:val="16"/>
          <w:lang w:val="es-CR"/>
        </w:rPr>
        <w:t>A</w:t>
      </w:r>
      <w:r w:rsidRPr="008E4C70">
        <w:rPr>
          <w:rFonts w:ascii="Verdana" w:hAnsi="Verdana"/>
          <w:sz w:val="16"/>
          <w:szCs w:val="16"/>
          <w:lang w:val="es-CR"/>
        </w:rPr>
        <w:t>pelaciones de Guatemala que deniega el recurso de apelación de 1 de diciembre de 1993 (expediente de prueba, anexos a la contestación, fs. 2492 al 2500).</w:t>
      </w:r>
    </w:p>
  </w:footnote>
  <w:footnote w:id="42">
    <w:p w:rsidR="001C18DD" w:rsidRPr="008E4C70" w:rsidRDefault="001C18DD">
      <w:pPr>
        <w:autoSpaceDE w:val="0"/>
        <w:autoSpaceDN w:val="0"/>
        <w:adjustRightInd w:val="0"/>
        <w:spacing w:after="0" w:line="240" w:lineRule="auto"/>
        <w:jc w:val="both"/>
        <w:rPr>
          <w:rFonts w:ascii="Verdana" w:hAnsi="Verdana" w:cs="Arial"/>
          <w:color w:val="0F0F0F"/>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 xml:space="preserve">Cfr. </w:t>
      </w:r>
      <w:r>
        <w:rPr>
          <w:rFonts w:ascii="Verdana" w:hAnsi="Verdana" w:cs="Arial"/>
          <w:color w:val="0F0F0F"/>
          <w:sz w:val="16"/>
          <w:szCs w:val="16"/>
          <w:lang w:val="es-CR"/>
        </w:rPr>
        <w:t xml:space="preserve">Escrito de </w:t>
      </w:r>
      <w:r>
        <w:rPr>
          <w:rFonts w:ascii="Verdana" w:hAnsi="Verdana"/>
          <w:sz w:val="16"/>
          <w:szCs w:val="16"/>
          <w:lang w:val="es-CR"/>
        </w:rPr>
        <w:t xml:space="preserve">Edy Iván Bocanegra Conde </w:t>
      </w:r>
      <w:r w:rsidRPr="008E4C70">
        <w:rPr>
          <w:rFonts w:ascii="Verdana" w:hAnsi="Verdana" w:cs="Arial"/>
          <w:color w:val="0F0F0F"/>
          <w:sz w:val="16"/>
          <w:szCs w:val="16"/>
          <w:lang w:val="es-CR"/>
        </w:rPr>
        <w:t>en el que e</w:t>
      </w:r>
      <w:r w:rsidRPr="008E4C70">
        <w:rPr>
          <w:rFonts w:ascii="Verdana" w:hAnsi="Verdana" w:cs="Arial"/>
          <w:color w:val="2C2C2C"/>
          <w:sz w:val="16"/>
          <w:szCs w:val="16"/>
          <w:lang w:val="es-CR"/>
        </w:rPr>
        <w:t>x</w:t>
      </w:r>
      <w:r w:rsidRPr="008E4C70">
        <w:rPr>
          <w:rFonts w:ascii="Verdana" w:hAnsi="Verdana" w:cs="Arial"/>
          <w:color w:val="0F0F0F"/>
          <w:sz w:val="16"/>
          <w:szCs w:val="16"/>
          <w:lang w:val="es-CR"/>
        </w:rPr>
        <w:t>presa los motivos de fondo del recurso de casación planteado de 17 de marzo de 1994</w:t>
      </w:r>
      <w:r w:rsidRPr="008E4C70">
        <w:rPr>
          <w:rFonts w:ascii="Verdana" w:hAnsi="Verdana" w:cs="Arial"/>
          <w:color w:val="3B3B3B"/>
          <w:sz w:val="16"/>
          <w:szCs w:val="16"/>
          <w:lang w:val="es-CR"/>
        </w:rPr>
        <w:t xml:space="preserve"> </w:t>
      </w:r>
      <w:r w:rsidRPr="008E4C70">
        <w:rPr>
          <w:rFonts w:ascii="Verdana" w:hAnsi="Verdana"/>
          <w:sz w:val="16"/>
          <w:szCs w:val="16"/>
          <w:lang w:val="es-PE"/>
        </w:rPr>
        <w:t>(expediente de prue</w:t>
      </w:r>
      <w:r>
        <w:rPr>
          <w:rFonts w:ascii="Verdana" w:hAnsi="Verdana"/>
          <w:sz w:val="16"/>
          <w:szCs w:val="16"/>
          <w:lang w:val="es-PE"/>
        </w:rPr>
        <w:t>b</w:t>
      </w:r>
      <w:r w:rsidRPr="008E4C70">
        <w:rPr>
          <w:rFonts w:ascii="Verdana" w:hAnsi="Verdana"/>
          <w:sz w:val="16"/>
          <w:szCs w:val="16"/>
          <w:lang w:val="es-PE"/>
        </w:rPr>
        <w:t xml:space="preserve">a, anexos al Informe de Fondo, anexo 10, fs. 59 a 63). </w:t>
      </w:r>
    </w:p>
  </w:footnote>
  <w:footnote w:id="43">
    <w:p w:rsidR="001C18DD" w:rsidRPr="008E4C70" w:rsidRDefault="001C18DD">
      <w:pPr>
        <w:autoSpaceDE w:val="0"/>
        <w:autoSpaceDN w:val="0"/>
        <w:adjustRightInd w:val="0"/>
        <w:spacing w:after="0" w:line="240" w:lineRule="auto"/>
        <w:jc w:val="both"/>
        <w:rPr>
          <w:rFonts w:ascii="Verdana" w:hAnsi="Verdana" w:cs="Arial"/>
          <w:color w:val="0F0F0F"/>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 xml:space="preserve">Cfr. </w:t>
      </w:r>
      <w:r>
        <w:rPr>
          <w:rFonts w:ascii="Verdana" w:hAnsi="Verdana" w:cs="Arial"/>
          <w:color w:val="0F0F0F"/>
          <w:sz w:val="16"/>
          <w:szCs w:val="16"/>
          <w:lang w:val="es-CR"/>
        </w:rPr>
        <w:t>Escrito de LC</w:t>
      </w:r>
      <w:r w:rsidRPr="008E4C70">
        <w:rPr>
          <w:rFonts w:ascii="Verdana" w:hAnsi="Verdana" w:cs="Arial"/>
          <w:color w:val="0F0F0F"/>
          <w:sz w:val="16"/>
          <w:szCs w:val="16"/>
          <w:lang w:val="es-CR"/>
        </w:rPr>
        <w:t xml:space="preserve">C en el que expresa los motivos de fondo del recurso de casación de 25 de febrero de 1994 </w:t>
      </w:r>
      <w:r w:rsidRPr="008E4C70">
        <w:rPr>
          <w:rFonts w:ascii="Verdana" w:hAnsi="Verdana"/>
          <w:sz w:val="16"/>
          <w:szCs w:val="16"/>
          <w:lang w:val="es-PE"/>
        </w:rPr>
        <w:t xml:space="preserve">(expediente de prueba, anexos al Informe de Fondo, anexo 11, fs. 65 a 74). </w:t>
      </w:r>
    </w:p>
  </w:footnote>
  <w:footnote w:id="44">
    <w:p w:rsidR="001C18DD" w:rsidRPr="008E4C70" w:rsidRDefault="001C18DD">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 xml:space="preserve">Cfr. </w:t>
      </w:r>
      <w:r w:rsidRPr="008E4C70">
        <w:rPr>
          <w:rFonts w:ascii="Verdana" w:hAnsi="Verdana"/>
          <w:sz w:val="16"/>
          <w:szCs w:val="16"/>
          <w:lang w:val="es-CR"/>
        </w:rPr>
        <w:t>Sentencia de los recursos de casación de la Corte Su</w:t>
      </w:r>
      <w:r>
        <w:rPr>
          <w:rFonts w:ascii="Verdana" w:hAnsi="Verdana"/>
          <w:sz w:val="16"/>
          <w:szCs w:val="16"/>
          <w:lang w:val="es-CR"/>
        </w:rPr>
        <w:t>prema de Justicia</w:t>
      </w:r>
      <w:r w:rsidRPr="008E4C70">
        <w:rPr>
          <w:rFonts w:ascii="Verdana" w:hAnsi="Verdana"/>
          <w:sz w:val="16"/>
          <w:szCs w:val="16"/>
          <w:lang w:val="es-CR"/>
        </w:rPr>
        <w:t xml:space="preserve"> de 27 de septiembre de 1994 (expediente de prueba, prueba para mejor resolver de l</w:t>
      </w:r>
      <w:r>
        <w:rPr>
          <w:rFonts w:ascii="Verdana" w:hAnsi="Verdana"/>
          <w:sz w:val="16"/>
          <w:szCs w:val="16"/>
          <w:lang w:val="es-CR"/>
        </w:rPr>
        <w:t>a</w:t>
      </w:r>
      <w:r w:rsidRPr="008E4C70">
        <w:rPr>
          <w:rFonts w:ascii="Verdana" w:hAnsi="Verdana"/>
          <w:sz w:val="16"/>
          <w:szCs w:val="16"/>
          <w:lang w:val="es-CR"/>
        </w:rPr>
        <w:t>s representantes, anexo A.2, fs. 3123 a 3128)</w:t>
      </w:r>
      <w:r>
        <w:rPr>
          <w:rFonts w:ascii="Verdana" w:hAnsi="Verdana"/>
          <w:sz w:val="16"/>
          <w:szCs w:val="16"/>
          <w:lang w:val="es-CR"/>
        </w:rPr>
        <w:t>.</w:t>
      </w:r>
      <w:r w:rsidRPr="008E4C70">
        <w:rPr>
          <w:rFonts w:ascii="Verdana" w:hAnsi="Verdana"/>
          <w:sz w:val="16"/>
          <w:szCs w:val="16"/>
          <w:lang w:val="es-CR"/>
        </w:rPr>
        <w:t xml:space="preserve"> </w:t>
      </w:r>
    </w:p>
  </w:footnote>
  <w:footnote w:id="45">
    <w:p w:rsidR="001C18DD" w:rsidRPr="008E4C70" w:rsidRDefault="001C18DD">
      <w:pPr>
        <w:autoSpaceDE w:val="0"/>
        <w:autoSpaceDN w:val="0"/>
        <w:adjustRightInd w:val="0"/>
        <w:spacing w:after="0" w:line="240" w:lineRule="auto"/>
        <w:jc w:val="both"/>
        <w:rPr>
          <w:rFonts w:ascii="Verdana" w:hAnsi="Verdana" w:cs="Arial"/>
          <w:color w:val="0F0F0F"/>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 xml:space="preserve">Cfr. </w:t>
      </w:r>
      <w:r w:rsidRPr="008E4C70">
        <w:rPr>
          <w:rFonts w:ascii="Verdana" w:hAnsi="Verdana" w:cs="Arial"/>
          <w:color w:val="0F0F0F"/>
          <w:sz w:val="16"/>
          <w:szCs w:val="16"/>
          <w:lang w:val="es-CR"/>
        </w:rPr>
        <w:t xml:space="preserve">Recurso de gracia interpuesto por Pedro Castillo Mendoza y Roberto Girón ante el Presidente de la República de 12 de julio de 1996 </w:t>
      </w:r>
      <w:r w:rsidRPr="008E4C70">
        <w:rPr>
          <w:rFonts w:ascii="Verdana" w:hAnsi="Verdana"/>
          <w:sz w:val="16"/>
          <w:szCs w:val="16"/>
          <w:lang w:val="es-PE"/>
        </w:rPr>
        <w:t>(expediente de prueba, anexos al Informe de Fondo, anexo 12, fs. 76 a 82).</w:t>
      </w:r>
    </w:p>
  </w:footnote>
  <w:footnote w:id="46">
    <w:p w:rsidR="001C18DD" w:rsidRPr="008E4C70" w:rsidRDefault="001C18DD">
      <w:pPr>
        <w:autoSpaceDE w:val="0"/>
        <w:autoSpaceDN w:val="0"/>
        <w:adjustRightInd w:val="0"/>
        <w:spacing w:after="0" w:line="240" w:lineRule="auto"/>
        <w:jc w:val="both"/>
        <w:rPr>
          <w:rFonts w:ascii="Verdana" w:hAnsi="Verdana" w:cs="Arial"/>
          <w:color w:val="0F0F0F"/>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cs="Arial"/>
          <w:color w:val="0F0F0F"/>
          <w:sz w:val="16"/>
          <w:szCs w:val="16"/>
          <w:lang w:val="es-CR"/>
        </w:rPr>
        <w:t xml:space="preserve">Decisión del Presidente de </w:t>
      </w:r>
      <w:r w:rsidRPr="008E4C70">
        <w:rPr>
          <w:rFonts w:ascii="Verdana" w:hAnsi="Verdana" w:cs="Arial"/>
          <w:color w:val="000000"/>
          <w:sz w:val="16"/>
          <w:szCs w:val="16"/>
          <w:lang w:val="es-CR"/>
        </w:rPr>
        <w:t xml:space="preserve">la </w:t>
      </w:r>
      <w:r w:rsidRPr="008E4C70">
        <w:rPr>
          <w:rFonts w:ascii="Verdana" w:hAnsi="Verdana" w:cs="Arial"/>
          <w:color w:val="0F0F0F"/>
          <w:sz w:val="16"/>
          <w:szCs w:val="16"/>
          <w:lang w:val="es-CR"/>
        </w:rPr>
        <w:t xml:space="preserve">República que deniega el recurso de gracia de 17 de </w:t>
      </w:r>
      <w:r w:rsidRPr="008E4C70">
        <w:rPr>
          <w:rFonts w:ascii="Verdana" w:hAnsi="Verdana" w:cs="Arial"/>
          <w:color w:val="000000"/>
          <w:sz w:val="16"/>
          <w:szCs w:val="16"/>
          <w:lang w:val="es-CR"/>
        </w:rPr>
        <w:t xml:space="preserve">julio </w:t>
      </w:r>
      <w:r w:rsidRPr="008E4C70">
        <w:rPr>
          <w:rFonts w:ascii="Verdana" w:hAnsi="Verdana" w:cs="Arial"/>
          <w:color w:val="0F0F0F"/>
          <w:sz w:val="16"/>
          <w:szCs w:val="16"/>
          <w:lang w:val="es-CR"/>
        </w:rPr>
        <w:t>de 1996</w:t>
      </w:r>
      <w:r w:rsidRPr="008E4C70">
        <w:rPr>
          <w:rFonts w:ascii="Verdana" w:hAnsi="Verdana" w:cs="Arial"/>
          <w:color w:val="2C2C2C"/>
          <w:sz w:val="16"/>
          <w:szCs w:val="16"/>
          <w:lang w:val="es-CR"/>
        </w:rPr>
        <w:t xml:space="preserve"> </w:t>
      </w:r>
      <w:r w:rsidRPr="008E4C70">
        <w:rPr>
          <w:rFonts w:ascii="Verdana" w:hAnsi="Verdana"/>
          <w:sz w:val="16"/>
          <w:szCs w:val="16"/>
          <w:lang w:val="es-PE"/>
        </w:rPr>
        <w:t>(expediente de prueba, anexos al Informe de Fondo, anexo 13, f. 84).</w:t>
      </w:r>
    </w:p>
  </w:footnote>
  <w:footnote w:id="47">
    <w:p w:rsidR="001C18DD" w:rsidRPr="008E4C70" w:rsidRDefault="001C18DD" w:rsidP="003E32BC">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t xml:space="preserve">Informe </w:t>
      </w:r>
      <w:r w:rsidRPr="008B7E32">
        <w:rPr>
          <w:rFonts w:ascii="Verdana" w:hAnsi="Verdana"/>
          <w:sz w:val="16"/>
          <w:szCs w:val="16"/>
          <w:lang w:val="es-CR"/>
        </w:rPr>
        <w:t>del Gobierno</w:t>
      </w:r>
      <w:r w:rsidRPr="008E4C70">
        <w:rPr>
          <w:rFonts w:ascii="Verdana" w:hAnsi="Verdana"/>
          <w:sz w:val="16"/>
          <w:szCs w:val="16"/>
          <w:lang w:val="es-CR"/>
        </w:rPr>
        <w:t xml:space="preserve"> de Guatemala a la Comisión Interamericana de Derechos Humanos para el Caso No. 11.686 Roberto Girón y Pedro Castillo Mendoza de 27 de diciembre de 1996 (expediente de prueba, anexos al ESAP, anexo VI. G., fs. 1322 a 1326).   </w:t>
      </w:r>
    </w:p>
  </w:footnote>
  <w:footnote w:id="48">
    <w:p w:rsidR="001C18DD" w:rsidRPr="008E4C70" w:rsidRDefault="001C18DD" w:rsidP="003E32BC">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t>Es un hecho no controvertido la presentación del recurso de amparo, la admisión de un amparo provisional y la suspensión de la ejecución.</w:t>
      </w:r>
      <w:r>
        <w:rPr>
          <w:rFonts w:ascii="Verdana" w:hAnsi="Verdana"/>
          <w:sz w:val="16"/>
          <w:szCs w:val="16"/>
          <w:lang w:val="es-CR"/>
        </w:rPr>
        <w:t xml:space="preserve"> </w:t>
      </w:r>
      <w:r w:rsidRPr="0007773B">
        <w:rPr>
          <w:rFonts w:ascii="Verdana" w:hAnsi="Verdana"/>
          <w:i/>
          <w:sz w:val="16"/>
          <w:szCs w:val="16"/>
          <w:lang w:val="es-CR"/>
        </w:rPr>
        <w:t>Cfr.</w:t>
      </w:r>
      <w:r>
        <w:rPr>
          <w:rFonts w:ascii="Verdana" w:hAnsi="Verdana"/>
          <w:sz w:val="16"/>
          <w:szCs w:val="16"/>
          <w:lang w:val="es-CR"/>
        </w:rPr>
        <w:t xml:space="preserve"> </w:t>
      </w:r>
      <w:r w:rsidRPr="008E4C70">
        <w:rPr>
          <w:rFonts w:ascii="Verdana" w:hAnsi="Verdana"/>
          <w:sz w:val="16"/>
          <w:szCs w:val="16"/>
          <w:lang w:val="es-CR"/>
        </w:rPr>
        <w:t xml:space="preserve">Informe del </w:t>
      </w:r>
      <w:r w:rsidRPr="008B7E32">
        <w:rPr>
          <w:rFonts w:ascii="Verdana" w:hAnsi="Verdana"/>
          <w:sz w:val="16"/>
          <w:szCs w:val="16"/>
          <w:lang w:val="es-CR"/>
        </w:rPr>
        <w:t>Gobierno</w:t>
      </w:r>
      <w:r w:rsidRPr="008E4C70">
        <w:rPr>
          <w:rFonts w:ascii="Verdana" w:hAnsi="Verdana"/>
          <w:sz w:val="16"/>
          <w:szCs w:val="16"/>
          <w:lang w:val="es-CR"/>
        </w:rPr>
        <w:t xml:space="preserve"> de Guatemala a la Comisión Interamericana de Derechos </w:t>
      </w:r>
      <w:r>
        <w:rPr>
          <w:rFonts w:ascii="Verdana" w:hAnsi="Verdana"/>
          <w:sz w:val="16"/>
          <w:szCs w:val="16"/>
          <w:lang w:val="es-CR"/>
        </w:rPr>
        <w:t xml:space="preserve">Humanos para el Caso No. 11.686, </w:t>
      </w:r>
      <w:r w:rsidRPr="0007773B">
        <w:rPr>
          <w:rFonts w:ascii="Verdana" w:hAnsi="Verdana"/>
          <w:i/>
          <w:sz w:val="16"/>
          <w:szCs w:val="16"/>
          <w:lang w:val="es-CR"/>
        </w:rPr>
        <w:t>supra.</w:t>
      </w:r>
    </w:p>
  </w:footnote>
  <w:footnote w:id="49">
    <w:p w:rsidR="001C18DD" w:rsidRPr="00734AF2" w:rsidRDefault="001C18DD">
      <w:pPr>
        <w:pStyle w:val="Textonotapie"/>
        <w:rPr>
          <w:rFonts w:ascii="Verdana" w:hAnsi="Verdana"/>
          <w:sz w:val="16"/>
          <w:szCs w:val="16"/>
          <w:lang w:val="es-CR"/>
        </w:rPr>
      </w:pPr>
      <w:r w:rsidRPr="00734AF2">
        <w:rPr>
          <w:rStyle w:val="Refdenotaalpie"/>
          <w:rFonts w:ascii="Verdana" w:hAnsi="Verdana"/>
          <w:sz w:val="16"/>
          <w:szCs w:val="16"/>
        </w:rPr>
        <w:footnoteRef/>
      </w:r>
      <w:r w:rsidRPr="00734AF2">
        <w:rPr>
          <w:rFonts w:ascii="Verdana" w:hAnsi="Verdana"/>
          <w:sz w:val="16"/>
          <w:szCs w:val="16"/>
          <w:lang w:val="es-CR"/>
        </w:rPr>
        <w:t xml:space="preserve"> </w:t>
      </w:r>
      <w:r w:rsidRPr="00734AF2">
        <w:rPr>
          <w:rFonts w:ascii="Verdana" w:hAnsi="Verdana"/>
          <w:sz w:val="16"/>
          <w:szCs w:val="16"/>
          <w:lang w:val="es-CR"/>
        </w:rPr>
        <w:tab/>
        <w:t xml:space="preserve">Artículo 1.1 de la Convención Americana. </w:t>
      </w:r>
    </w:p>
  </w:footnote>
  <w:footnote w:id="50">
    <w:p w:rsidR="001C18DD" w:rsidRPr="00A36771" w:rsidRDefault="001C18DD">
      <w:pPr>
        <w:pStyle w:val="Textonotapie"/>
        <w:rPr>
          <w:lang w:val="es-CR"/>
        </w:rPr>
      </w:pPr>
      <w:r w:rsidRPr="00734AF2">
        <w:rPr>
          <w:rStyle w:val="Refdenotaalpie"/>
          <w:rFonts w:ascii="Verdana" w:hAnsi="Verdana"/>
          <w:sz w:val="16"/>
          <w:szCs w:val="16"/>
        </w:rPr>
        <w:footnoteRef/>
      </w:r>
      <w:r w:rsidRPr="00734AF2">
        <w:rPr>
          <w:rFonts w:ascii="Verdana" w:hAnsi="Verdana"/>
          <w:sz w:val="16"/>
          <w:szCs w:val="16"/>
          <w:lang w:val="es-CR"/>
        </w:rPr>
        <w:t xml:space="preserve"> </w:t>
      </w:r>
      <w:r w:rsidRPr="00734AF2">
        <w:rPr>
          <w:rFonts w:ascii="Verdana" w:hAnsi="Verdana"/>
          <w:sz w:val="16"/>
          <w:szCs w:val="16"/>
          <w:lang w:val="es-CR"/>
        </w:rPr>
        <w:tab/>
        <w:t>Artículo 4 de la Convención Americana.</w:t>
      </w:r>
    </w:p>
  </w:footnote>
  <w:footnote w:id="51">
    <w:p w:rsidR="001C18DD" w:rsidRPr="00C62653" w:rsidRDefault="001C18DD">
      <w:pPr>
        <w:pStyle w:val="Textonotapie"/>
        <w:rPr>
          <w:rFonts w:ascii="Verdana" w:hAnsi="Verdana"/>
          <w:sz w:val="16"/>
          <w:szCs w:val="16"/>
          <w:lang w:val="es-CR"/>
        </w:rPr>
      </w:pPr>
      <w:r>
        <w:rPr>
          <w:rStyle w:val="Refdenotaalpie"/>
        </w:rPr>
        <w:footnoteRef/>
      </w:r>
      <w:r w:rsidRPr="00C62653">
        <w:rPr>
          <w:lang w:val="es-CR"/>
        </w:rPr>
        <w:t xml:space="preserve"> </w:t>
      </w:r>
      <w:r>
        <w:rPr>
          <w:lang w:val="es-CR"/>
        </w:rPr>
        <w:t xml:space="preserve"> </w:t>
      </w:r>
      <w:r>
        <w:rPr>
          <w:lang w:val="es-CR"/>
        </w:rPr>
        <w:tab/>
      </w:r>
      <w:r w:rsidRPr="00C62653">
        <w:rPr>
          <w:rFonts w:ascii="Verdana" w:hAnsi="Verdana"/>
          <w:i/>
          <w:sz w:val="16"/>
          <w:szCs w:val="16"/>
          <w:lang w:val="es-CR"/>
        </w:rPr>
        <w:t>Cfr</w:t>
      </w:r>
      <w:r w:rsidRPr="00C62653">
        <w:rPr>
          <w:rFonts w:ascii="Verdana" w:hAnsi="Verdana"/>
          <w:sz w:val="16"/>
          <w:szCs w:val="16"/>
          <w:lang w:val="es-CR"/>
        </w:rPr>
        <w:t xml:space="preserve">. </w:t>
      </w:r>
      <w:r w:rsidRPr="00F3018A">
        <w:rPr>
          <w:rFonts w:ascii="Verdana" w:hAnsi="Verdana"/>
          <w:i/>
          <w:sz w:val="16"/>
          <w:szCs w:val="16"/>
          <w:lang w:val="es-CR"/>
        </w:rPr>
        <w:t>Caso Martínez Coronado Vs. Guatemala</w:t>
      </w:r>
      <w:r>
        <w:rPr>
          <w:rFonts w:ascii="Verdana" w:hAnsi="Verdana"/>
          <w:sz w:val="16"/>
          <w:szCs w:val="16"/>
          <w:lang w:val="es-CR"/>
        </w:rPr>
        <w:t xml:space="preserve">, </w:t>
      </w:r>
      <w:r w:rsidRPr="00734AF2">
        <w:rPr>
          <w:rFonts w:ascii="Verdana" w:hAnsi="Verdana"/>
          <w:i/>
          <w:sz w:val="16"/>
          <w:szCs w:val="16"/>
          <w:lang w:val="es-CR"/>
        </w:rPr>
        <w:t>supra</w:t>
      </w:r>
      <w:r w:rsidRPr="00F3018A">
        <w:rPr>
          <w:rFonts w:ascii="Verdana" w:hAnsi="Verdana"/>
          <w:sz w:val="16"/>
          <w:szCs w:val="16"/>
          <w:lang w:val="es-CR"/>
        </w:rPr>
        <w:t>, párrs. 62 a 67.</w:t>
      </w:r>
    </w:p>
  </w:footnote>
  <w:footnote w:id="52">
    <w:p w:rsidR="001C18DD" w:rsidRPr="008E4C70" w:rsidRDefault="001C18DD" w:rsidP="00FA7C64">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CA2E67">
        <w:rPr>
          <w:rFonts w:ascii="Verdana" w:hAnsi="Verdana"/>
          <w:i/>
          <w:iCs/>
          <w:sz w:val="16"/>
          <w:szCs w:val="16"/>
          <w:lang w:val="es-CR"/>
        </w:rPr>
        <w:t>Mutatis mutantis,</w:t>
      </w:r>
      <w:r>
        <w:rPr>
          <w:rFonts w:ascii="Verdana" w:hAnsi="Verdana"/>
          <w:i/>
          <w:iCs/>
          <w:sz w:val="16"/>
          <w:szCs w:val="16"/>
          <w:lang w:val="es-CR"/>
        </w:rPr>
        <w:t xml:space="preserve"> cfr.</w:t>
      </w:r>
      <w:r w:rsidRPr="008E4C70">
        <w:rPr>
          <w:rFonts w:ascii="Verdana" w:hAnsi="Verdana"/>
          <w:i/>
          <w:iCs/>
          <w:sz w:val="16"/>
          <w:szCs w:val="16"/>
          <w:lang w:val="es-CR"/>
        </w:rPr>
        <w:t xml:space="preserve"> </w:t>
      </w:r>
      <w:r w:rsidRPr="00252698">
        <w:rPr>
          <w:rFonts w:ascii="Verdana" w:hAnsi="Verdana"/>
          <w:i/>
          <w:iCs/>
          <w:sz w:val="16"/>
          <w:szCs w:val="16"/>
          <w:lang w:val="es-CR"/>
        </w:rPr>
        <w:t xml:space="preserve">Caso Castillo Petruzzi y otros Vs. Perú. Fondo, Reparaciones y Costas. </w:t>
      </w:r>
      <w:r w:rsidRPr="00C62653">
        <w:rPr>
          <w:rFonts w:ascii="Verdana" w:hAnsi="Verdana"/>
          <w:iCs/>
          <w:sz w:val="16"/>
          <w:szCs w:val="16"/>
          <w:lang w:val="es-CR"/>
        </w:rPr>
        <w:t xml:space="preserve">Sentencia de 30 </w:t>
      </w:r>
      <w:r>
        <w:rPr>
          <w:rFonts w:ascii="Verdana" w:hAnsi="Verdana"/>
          <w:iCs/>
          <w:sz w:val="16"/>
          <w:szCs w:val="16"/>
          <w:lang w:val="es-CR"/>
        </w:rPr>
        <w:t xml:space="preserve">de mayo de 1999. Serie C No. 52, párrs. 89 y 204 y </w:t>
      </w:r>
      <w:r w:rsidRPr="00C62653">
        <w:rPr>
          <w:rFonts w:ascii="Verdana" w:hAnsi="Verdana"/>
          <w:i/>
          <w:iCs/>
          <w:sz w:val="16"/>
          <w:szCs w:val="16"/>
          <w:lang w:val="es-CR"/>
        </w:rPr>
        <w:t>Caso Alvarado Espinoza y otros Vs. México. Fondo, Reparaciones y Costas.</w:t>
      </w:r>
      <w:r w:rsidRPr="00252698">
        <w:rPr>
          <w:rFonts w:ascii="Verdana" w:hAnsi="Verdana"/>
          <w:iCs/>
          <w:sz w:val="16"/>
          <w:szCs w:val="16"/>
          <w:lang w:val="es-CR"/>
        </w:rPr>
        <w:t xml:space="preserve"> Sentencia de 28 de noviembre de 2018. Serie C No. 370</w:t>
      </w:r>
      <w:r w:rsidRPr="008E4C70">
        <w:rPr>
          <w:rFonts w:ascii="Verdana" w:hAnsi="Verdana"/>
          <w:sz w:val="16"/>
          <w:szCs w:val="16"/>
          <w:lang w:val="es-CR"/>
        </w:rPr>
        <w:t>, párr</w:t>
      </w:r>
      <w:r>
        <w:rPr>
          <w:rFonts w:ascii="Verdana" w:hAnsi="Verdana"/>
          <w:sz w:val="16"/>
          <w:szCs w:val="16"/>
          <w:lang w:val="es-CR"/>
        </w:rPr>
        <w:t>. 178</w:t>
      </w:r>
      <w:r w:rsidRPr="008E4C70">
        <w:rPr>
          <w:rFonts w:ascii="Verdana" w:hAnsi="Verdana"/>
          <w:sz w:val="16"/>
          <w:szCs w:val="16"/>
          <w:lang w:val="es-CR"/>
        </w:rPr>
        <w:t>.</w:t>
      </w:r>
    </w:p>
  </w:footnote>
  <w:footnote w:id="53">
    <w:p w:rsidR="001C18DD" w:rsidRPr="008E4C70" w:rsidRDefault="001C18DD" w:rsidP="00C947C5">
      <w:pPr>
        <w:pStyle w:val="Normal1"/>
        <w:pBdr>
          <w:top w:val="nil"/>
          <w:left w:val="nil"/>
          <w:bottom w:val="nil"/>
          <w:right w:val="nil"/>
          <w:between w:val="nil"/>
        </w:pBdr>
        <w:contextualSpacing/>
        <w:jc w:val="both"/>
        <w:rPr>
          <w:rFonts w:ascii="Verdana" w:hAnsi="Verdana"/>
          <w:color w:val="141414"/>
          <w:sz w:val="16"/>
          <w:szCs w:val="16"/>
        </w:rPr>
      </w:pPr>
      <w:r w:rsidRPr="008E4C70">
        <w:rPr>
          <w:rStyle w:val="Refdenotaalpie"/>
          <w:rFonts w:ascii="Verdana" w:hAnsi="Verdana"/>
          <w:sz w:val="16"/>
          <w:szCs w:val="16"/>
        </w:rPr>
        <w:footnoteRef/>
      </w:r>
      <w:r w:rsidRPr="008E4C70">
        <w:rPr>
          <w:rFonts w:ascii="Verdana" w:hAnsi="Verdana"/>
          <w:sz w:val="16"/>
          <w:szCs w:val="16"/>
        </w:rPr>
        <w:t xml:space="preserve"> </w:t>
      </w:r>
      <w:r w:rsidRPr="008E4C70">
        <w:rPr>
          <w:rFonts w:ascii="Verdana" w:hAnsi="Verdana"/>
          <w:sz w:val="16"/>
          <w:szCs w:val="16"/>
        </w:rPr>
        <w:tab/>
      </w:r>
      <w:r w:rsidRPr="008E4C70">
        <w:rPr>
          <w:rFonts w:ascii="Verdana" w:hAnsi="Verdana"/>
          <w:sz w:val="16"/>
          <w:szCs w:val="16"/>
        </w:rPr>
        <w:t xml:space="preserve">El artículo 65 establecía: </w:t>
      </w:r>
      <w:r w:rsidRPr="008E4C70">
        <w:rPr>
          <w:rFonts w:ascii="Verdana" w:hAnsi="Verdana"/>
          <w:color w:val="141414"/>
          <w:sz w:val="16"/>
          <w:szCs w:val="16"/>
        </w:rPr>
        <w:t>El juez o tribunal determinará, en la sentencia, la pena que corresponda, dentro del máximo y el mínimo señalado por la ley, para cada delito, teniendo en cuenta la mayor o menor peligrosidad del culpable, los antecedentes personales de éste y de la víctima, el móvil del delito, la extensión e intensidad del daño causado y las circunstancias atenuantes y agravantes que concurran en el hecho apreciadas tanto por su número como por su entidad o importancia. El juez o tribunal deberá consignar, expresamente,</w:t>
      </w:r>
      <w:r w:rsidRPr="008E4C70">
        <w:rPr>
          <w:rFonts w:ascii="Verdana" w:hAnsi="Verdana" w:cs="Verdana"/>
          <w:sz w:val="16"/>
          <w:szCs w:val="16"/>
        </w:rPr>
        <w:t xml:space="preserve"> </w:t>
      </w:r>
      <w:r w:rsidRPr="008E4C70">
        <w:rPr>
          <w:rFonts w:ascii="Verdana" w:hAnsi="Verdana"/>
          <w:color w:val="141414"/>
          <w:sz w:val="16"/>
          <w:szCs w:val="16"/>
        </w:rPr>
        <w:t>los extremos a que se refiere el párrafo que antecede y que ha considerado determinantes para regular la pena</w:t>
      </w:r>
      <w:r>
        <w:rPr>
          <w:rFonts w:ascii="Verdana" w:hAnsi="Verdana"/>
          <w:color w:val="141414"/>
          <w:sz w:val="16"/>
          <w:szCs w:val="16"/>
        </w:rPr>
        <w:t>.</w:t>
      </w:r>
      <w:r w:rsidRPr="008E4C70">
        <w:rPr>
          <w:rFonts w:ascii="Verdana" w:hAnsi="Verdana"/>
          <w:color w:val="141414"/>
          <w:sz w:val="16"/>
          <w:szCs w:val="16"/>
        </w:rPr>
        <w:t xml:space="preserve"> </w:t>
      </w:r>
    </w:p>
  </w:footnote>
  <w:footnote w:id="54">
    <w:p w:rsidR="001C18DD" w:rsidRPr="00F3018A" w:rsidRDefault="001C18DD" w:rsidP="00FA7C64">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B7E32">
        <w:rPr>
          <w:rFonts w:ascii="Verdana" w:hAnsi="Verdana"/>
          <w:i/>
          <w:sz w:val="16"/>
          <w:szCs w:val="16"/>
          <w:lang w:val="es-CR"/>
        </w:rPr>
        <w:t>Cfr.</w:t>
      </w:r>
      <w:r>
        <w:rPr>
          <w:rFonts w:ascii="Verdana" w:hAnsi="Verdana"/>
          <w:sz w:val="16"/>
          <w:szCs w:val="16"/>
          <w:lang w:val="es-CR"/>
        </w:rPr>
        <w:t xml:space="preserve"> </w:t>
      </w:r>
      <w:r w:rsidRPr="00F3018A">
        <w:rPr>
          <w:rFonts w:ascii="Verdana" w:hAnsi="Verdana"/>
          <w:i/>
          <w:sz w:val="16"/>
          <w:szCs w:val="16"/>
          <w:lang w:val="es-CR"/>
        </w:rPr>
        <w:t>Caso Raxcacó Reyes Vs. Guatemala</w:t>
      </w:r>
      <w:r w:rsidRPr="001546CD">
        <w:rPr>
          <w:rFonts w:ascii="Verdana" w:hAnsi="Verdana"/>
          <w:i/>
          <w:sz w:val="16"/>
          <w:szCs w:val="16"/>
          <w:lang w:val="es-CR"/>
        </w:rPr>
        <w:t>. Fondo, Reparaciones y Costas</w:t>
      </w:r>
      <w:r w:rsidRPr="00F3018A">
        <w:rPr>
          <w:rFonts w:ascii="Verdana" w:hAnsi="Verdana"/>
          <w:sz w:val="16"/>
          <w:szCs w:val="16"/>
          <w:lang w:val="es-CR"/>
        </w:rPr>
        <w:t xml:space="preserve">, </w:t>
      </w:r>
      <w:r w:rsidRPr="00C62653">
        <w:rPr>
          <w:rFonts w:ascii="Verdana" w:hAnsi="Verdana"/>
          <w:i/>
          <w:sz w:val="16"/>
          <w:szCs w:val="16"/>
          <w:lang w:val="es-CR"/>
        </w:rPr>
        <w:t>supra</w:t>
      </w:r>
      <w:r w:rsidRPr="00F3018A">
        <w:rPr>
          <w:rFonts w:ascii="Verdana" w:hAnsi="Verdana"/>
          <w:sz w:val="16"/>
          <w:szCs w:val="16"/>
          <w:lang w:val="es-CR"/>
        </w:rPr>
        <w:t>, párr. 79.</w:t>
      </w:r>
    </w:p>
  </w:footnote>
  <w:footnote w:id="55">
    <w:p w:rsidR="001C18DD" w:rsidRPr="0077126F" w:rsidRDefault="001C18DD">
      <w:pPr>
        <w:pStyle w:val="Textonotapie"/>
        <w:rPr>
          <w:highlight w:val="cyan"/>
          <w:lang w:val="es-CR"/>
        </w:rPr>
      </w:pPr>
      <w:r w:rsidRPr="00C62653">
        <w:rPr>
          <w:rStyle w:val="Refdenotaalpie"/>
          <w:rFonts w:ascii="Verdana" w:hAnsi="Verdana"/>
          <w:sz w:val="16"/>
          <w:szCs w:val="16"/>
        </w:rPr>
        <w:footnoteRef/>
      </w:r>
      <w:r w:rsidRPr="00C62653">
        <w:rPr>
          <w:rFonts w:ascii="Verdana" w:hAnsi="Verdana"/>
          <w:sz w:val="16"/>
          <w:szCs w:val="16"/>
          <w:lang w:val="es-CR"/>
        </w:rPr>
        <w:t xml:space="preserve"> </w:t>
      </w:r>
      <w:r w:rsidRPr="00C62653">
        <w:rPr>
          <w:rFonts w:ascii="Verdana" w:hAnsi="Verdana"/>
          <w:sz w:val="16"/>
          <w:szCs w:val="16"/>
          <w:lang w:val="es-CR"/>
        </w:rPr>
        <w:tab/>
      </w:r>
      <w:r w:rsidRPr="00C62653">
        <w:rPr>
          <w:rFonts w:ascii="Verdana" w:hAnsi="Verdana"/>
          <w:i/>
          <w:sz w:val="16"/>
          <w:szCs w:val="16"/>
          <w:lang w:val="es-CR"/>
        </w:rPr>
        <w:t>Cfr</w:t>
      </w:r>
      <w:r w:rsidRPr="00C62653">
        <w:rPr>
          <w:rFonts w:ascii="Verdana" w:hAnsi="Verdana"/>
          <w:sz w:val="16"/>
          <w:szCs w:val="16"/>
          <w:lang w:val="es-CR"/>
        </w:rPr>
        <w:t xml:space="preserve">. </w:t>
      </w:r>
      <w:r w:rsidRPr="0077126F">
        <w:rPr>
          <w:rFonts w:ascii="Verdana" w:hAnsi="Verdana"/>
          <w:i/>
          <w:sz w:val="16"/>
          <w:szCs w:val="16"/>
          <w:lang w:val="es-CR"/>
        </w:rPr>
        <w:t xml:space="preserve">Caso Hilaire, Constantine y Benjamin y otros Vs. Trinidad y Tobago. Fondo, Reparaciones y Costas. </w:t>
      </w:r>
      <w:r w:rsidRPr="0077126F">
        <w:rPr>
          <w:rFonts w:ascii="Verdana" w:hAnsi="Verdana"/>
          <w:sz w:val="16"/>
          <w:szCs w:val="16"/>
          <w:lang w:val="es-CR"/>
        </w:rPr>
        <w:t>Sentencia de 21 de junio de 2002. Serie C No. 94, párrs. 103 a 109.</w:t>
      </w:r>
    </w:p>
  </w:footnote>
  <w:footnote w:id="56">
    <w:p w:rsidR="001C18DD" w:rsidRPr="008E4C70" w:rsidRDefault="001C18DD" w:rsidP="00C62653">
      <w:pPr>
        <w:pStyle w:val="Textonotapie"/>
        <w:jc w:val="both"/>
        <w:rPr>
          <w:rFonts w:ascii="Verdana" w:hAnsi="Verdana"/>
          <w:sz w:val="16"/>
          <w:szCs w:val="16"/>
          <w:lang w:val="es-PE"/>
        </w:rPr>
      </w:pPr>
      <w:r w:rsidRPr="00FF4873">
        <w:rPr>
          <w:rStyle w:val="Refdenotaalpie"/>
          <w:rFonts w:ascii="Verdana" w:hAnsi="Verdana"/>
          <w:sz w:val="16"/>
          <w:szCs w:val="16"/>
        </w:rPr>
        <w:footnoteRef/>
      </w:r>
      <w:r w:rsidRPr="00FF4873">
        <w:rPr>
          <w:rFonts w:ascii="Verdana" w:hAnsi="Verdana"/>
          <w:sz w:val="16"/>
          <w:szCs w:val="16"/>
          <w:lang w:val="es-PE"/>
        </w:rPr>
        <w:t xml:space="preserve"> </w:t>
      </w:r>
      <w:r w:rsidRPr="00FF4873">
        <w:rPr>
          <w:rFonts w:ascii="Verdana" w:hAnsi="Verdana"/>
          <w:sz w:val="16"/>
          <w:szCs w:val="16"/>
          <w:lang w:val="es-PE"/>
        </w:rPr>
        <w:tab/>
      </w:r>
      <w:r w:rsidRPr="00FF4873">
        <w:rPr>
          <w:rFonts w:ascii="Verdana" w:hAnsi="Verdana"/>
          <w:sz w:val="16"/>
          <w:szCs w:val="16"/>
          <w:lang w:val="es-PE"/>
        </w:rPr>
        <w:t xml:space="preserve">Constitución Política de la República de Guatemala, </w:t>
      </w:r>
      <w:r w:rsidRPr="00FF4873">
        <w:rPr>
          <w:rFonts w:ascii="Verdana" w:hAnsi="Verdana"/>
          <w:i/>
          <w:sz w:val="16"/>
          <w:szCs w:val="16"/>
          <w:lang w:val="es-PE"/>
        </w:rPr>
        <w:t>supra</w:t>
      </w:r>
      <w:r w:rsidRPr="00FF4873">
        <w:rPr>
          <w:rFonts w:ascii="Verdana" w:hAnsi="Verdana"/>
          <w:sz w:val="16"/>
          <w:szCs w:val="16"/>
          <w:lang w:val="es-PE"/>
        </w:rPr>
        <w:t xml:space="preserve">. </w:t>
      </w:r>
    </w:p>
  </w:footnote>
  <w:footnote w:id="57">
    <w:p w:rsidR="001C18DD" w:rsidRPr="00A36771" w:rsidRDefault="001C18DD">
      <w:pPr>
        <w:pStyle w:val="Textonotapie"/>
        <w:rPr>
          <w:lang w:val="es-CR"/>
        </w:rPr>
      </w:pPr>
      <w:r>
        <w:rPr>
          <w:rStyle w:val="Refdenotaalpie"/>
        </w:rPr>
        <w:footnoteRef/>
      </w:r>
      <w:r w:rsidRPr="00A36771">
        <w:rPr>
          <w:lang w:val="es-CR"/>
        </w:rPr>
        <w:t xml:space="preserve"> </w:t>
      </w:r>
      <w:r>
        <w:rPr>
          <w:lang w:val="es-CR"/>
        </w:rPr>
        <w:tab/>
      </w:r>
      <w:r>
        <w:rPr>
          <w:lang w:val="es-CR"/>
        </w:rPr>
        <w:t>Artículo 5 de la Convención Americana.</w:t>
      </w:r>
    </w:p>
  </w:footnote>
  <w:footnote w:id="58">
    <w:p w:rsidR="001C18DD" w:rsidRPr="00584E70" w:rsidRDefault="001C18DD" w:rsidP="00584E70">
      <w:pPr>
        <w:tabs>
          <w:tab w:val="left" w:pos="426"/>
          <w:tab w:val="left" w:pos="720"/>
        </w:tabs>
        <w:spacing w:after="0" w:line="240" w:lineRule="auto"/>
        <w:contextualSpacing/>
        <w:jc w:val="both"/>
        <w:rPr>
          <w:rFonts w:ascii="Verdana" w:hAnsi="Verdana"/>
          <w:sz w:val="16"/>
          <w:szCs w:val="16"/>
          <w:lang w:val="es-PR"/>
        </w:rPr>
      </w:pPr>
      <w:r w:rsidRPr="00584E70">
        <w:rPr>
          <w:rStyle w:val="Refdenotaalpie"/>
          <w:rFonts w:ascii="Verdana" w:eastAsia="Calibri" w:hAnsi="Verdana"/>
          <w:sz w:val="16"/>
          <w:szCs w:val="16"/>
          <w:lang w:val="es-PR"/>
        </w:rPr>
        <w:footnoteRef/>
      </w:r>
      <w:r w:rsidRPr="00584E70">
        <w:rPr>
          <w:rFonts w:ascii="Verdana" w:hAnsi="Verdana"/>
          <w:sz w:val="16"/>
          <w:szCs w:val="16"/>
          <w:lang w:val="es-PR"/>
        </w:rPr>
        <w:t xml:space="preserve"> </w:t>
      </w:r>
      <w:r w:rsidRPr="00584E70">
        <w:rPr>
          <w:rFonts w:ascii="Verdana" w:hAnsi="Verdana"/>
          <w:sz w:val="16"/>
          <w:szCs w:val="16"/>
          <w:lang w:val="es-PR"/>
        </w:rPr>
        <w:tab/>
      </w:r>
      <w:r w:rsidRPr="00584E70">
        <w:rPr>
          <w:rFonts w:ascii="Verdana" w:hAnsi="Verdana"/>
          <w:i/>
          <w:sz w:val="16"/>
          <w:szCs w:val="16"/>
          <w:lang w:val="es-PR"/>
        </w:rPr>
        <w:t>Cfr</w:t>
      </w:r>
      <w:r w:rsidRPr="00584E70">
        <w:rPr>
          <w:rFonts w:ascii="Verdana" w:hAnsi="Verdana"/>
          <w:bCs/>
          <w:i/>
          <w:sz w:val="16"/>
          <w:szCs w:val="16"/>
          <w:lang w:val="es-PR"/>
        </w:rPr>
        <w:t>.</w:t>
      </w:r>
      <w:r w:rsidRPr="00584E70">
        <w:rPr>
          <w:rFonts w:ascii="Verdana" w:hAnsi="Verdana"/>
          <w:bCs/>
          <w:sz w:val="16"/>
          <w:szCs w:val="16"/>
          <w:lang w:val="es-PR"/>
        </w:rPr>
        <w:t xml:space="preserve"> </w:t>
      </w:r>
      <w:r w:rsidRPr="00584E70">
        <w:rPr>
          <w:rFonts w:ascii="Verdana" w:hAnsi="Verdana"/>
          <w:bCs/>
          <w:i/>
          <w:sz w:val="16"/>
          <w:szCs w:val="16"/>
          <w:lang w:val="es-PR"/>
        </w:rPr>
        <w:t xml:space="preserve">Caso Yvon Neptune </w:t>
      </w:r>
      <w:r w:rsidRPr="00584E70">
        <w:rPr>
          <w:rFonts w:ascii="Verdana" w:hAnsi="Verdana"/>
          <w:i/>
          <w:sz w:val="16"/>
          <w:szCs w:val="16"/>
          <w:lang w:val="es-PR"/>
        </w:rPr>
        <w:t xml:space="preserve">Vs. Haití, Fondo, Reparaciones y Costas. </w:t>
      </w:r>
      <w:r w:rsidRPr="00584E70">
        <w:rPr>
          <w:rFonts w:ascii="Verdana" w:hAnsi="Verdana"/>
          <w:sz w:val="16"/>
          <w:szCs w:val="16"/>
          <w:lang w:val="es-PR"/>
        </w:rPr>
        <w:t>Sentencia de 6 de mayo de 2008. Serie C No. 180</w:t>
      </w:r>
      <w:r w:rsidRPr="00584E70">
        <w:rPr>
          <w:rFonts w:ascii="Verdana" w:hAnsi="Verdana"/>
          <w:i/>
          <w:sz w:val="16"/>
          <w:szCs w:val="16"/>
          <w:lang w:val="es-PR"/>
        </w:rPr>
        <w:t xml:space="preserve">, </w:t>
      </w:r>
      <w:r w:rsidRPr="00584E70">
        <w:rPr>
          <w:rFonts w:ascii="Verdana" w:hAnsi="Verdana"/>
          <w:bCs/>
          <w:sz w:val="16"/>
          <w:szCs w:val="16"/>
          <w:lang w:val="es-PR"/>
        </w:rPr>
        <w:t xml:space="preserve">párr. 129, </w:t>
      </w:r>
      <w:r w:rsidRPr="00957F02">
        <w:rPr>
          <w:rFonts w:ascii="Verdana" w:hAnsi="Verdana"/>
          <w:bCs/>
          <w:sz w:val="16"/>
          <w:szCs w:val="16"/>
          <w:lang w:val="es-PR"/>
        </w:rPr>
        <w:t xml:space="preserve">y </w:t>
      </w:r>
      <w:r w:rsidRPr="007C45D8">
        <w:rPr>
          <w:rFonts w:ascii="Verdana" w:hAnsi="Verdana"/>
          <w:bCs/>
          <w:i/>
          <w:sz w:val="16"/>
          <w:szCs w:val="16"/>
          <w:lang w:val="es-CR"/>
        </w:rPr>
        <w:t>Caso Mujeres Víctimas de Tortura Sexual en Atenco Vs. México. Excepción Preliminar, Fondo, Reparaciones y Costas</w:t>
      </w:r>
      <w:r w:rsidRPr="007C45D8">
        <w:rPr>
          <w:rFonts w:ascii="Verdana" w:hAnsi="Verdana"/>
          <w:bCs/>
          <w:sz w:val="16"/>
          <w:szCs w:val="16"/>
          <w:lang w:val="es-CR"/>
        </w:rPr>
        <w:t xml:space="preserve">. Sentencia de 28 de noviembre de 2018. Serie C No. 371, párr. </w:t>
      </w:r>
      <w:r>
        <w:rPr>
          <w:rFonts w:ascii="Verdana" w:hAnsi="Verdana"/>
          <w:bCs/>
          <w:sz w:val="16"/>
          <w:szCs w:val="16"/>
          <w:lang w:val="es-CR"/>
        </w:rPr>
        <w:t>177</w:t>
      </w:r>
      <w:r w:rsidRPr="007C45D8">
        <w:rPr>
          <w:rFonts w:ascii="Verdana" w:hAnsi="Verdana"/>
          <w:bCs/>
          <w:sz w:val="16"/>
          <w:szCs w:val="16"/>
          <w:lang w:val="es-CR"/>
        </w:rPr>
        <w:t>.</w:t>
      </w:r>
      <w:r w:rsidRPr="00957F02" w:rsidDel="00957F02">
        <w:rPr>
          <w:rFonts w:ascii="Verdana" w:hAnsi="Verdana"/>
          <w:bCs/>
          <w:i/>
          <w:iCs/>
          <w:sz w:val="16"/>
          <w:szCs w:val="16"/>
          <w:lang w:val="es-CR"/>
        </w:rPr>
        <w:t xml:space="preserve"> </w:t>
      </w:r>
    </w:p>
  </w:footnote>
  <w:footnote w:id="59">
    <w:p w:rsidR="001C18DD" w:rsidRPr="00584E70" w:rsidRDefault="001C18DD" w:rsidP="00584E70">
      <w:pPr>
        <w:pStyle w:val="Textonotapie"/>
        <w:tabs>
          <w:tab w:val="left" w:pos="426"/>
        </w:tabs>
        <w:jc w:val="both"/>
        <w:rPr>
          <w:rFonts w:ascii="Verdana" w:hAnsi="Verdana"/>
          <w:b/>
          <w:bCs/>
          <w:i/>
          <w:iCs/>
          <w:sz w:val="16"/>
          <w:szCs w:val="16"/>
          <w:lang w:val="es-CR"/>
        </w:rPr>
      </w:pPr>
      <w:r w:rsidRPr="00584E70">
        <w:rPr>
          <w:rStyle w:val="Refdenotaalpie"/>
          <w:rFonts w:ascii="Verdana" w:hAnsi="Verdana"/>
          <w:sz w:val="16"/>
          <w:szCs w:val="16"/>
        </w:rPr>
        <w:footnoteRef/>
      </w:r>
      <w:r w:rsidRPr="00584E70">
        <w:rPr>
          <w:rFonts w:ascii="Verdana" w:hAnsi="Verdana"/>
          <w:sz w:val="16"/>
          <w:szCs w:val="16"/>
          <w:lang w:val="es-CR"/>
        </w:rPr>
        <w:t xml:space="preserve"> </w:t>
      </w:r>
      <w:r w:rsidRPr="00584E70">
        <w:rPr>
          <w:rFonts w:ascii="Verdana" w:hAnsi="Verdana"/>
          <w:sz w:val="16"/>
          <w:szCs w:val="16"/>
          <w:lang w:val="es-CR"/>
        </w:rPr>
        <w:tab/>
      </w:r>
      <w:r w:rsidRPr="00584E70">
        <w:rPr>
          <w:rFonts w:ascii="Verdana" w:hAnsi="Verdana"/>
          <w:i/>
          <w:sz w:val="16"/>
          <w:szCs w:val="16"/>
          <w:lang w:val="es-CR"/>
        </w:rPr>
        <w:t xml:space="preserve">Cfr. </w:t>
      </w:r>
      <w:r w:rsidRPr="00584E70">
        <w:rPr>
          <w:rFonts w:ascii="Verdana" w:hAnsi="Verdana"/>
          <w:bCs/>
          <w:i/>
          <w:sz w:val="16"/>
          <w:szCs w:val="16"/>
          <w:lang w:val="es-CR"/>
        </w:rPr>
        <w:t>Caso Loayza Tamayo Vs. Perú. Fondo.</w:t>
      </w:r>
      <w:r w:rsidRPr="00584E70">
        <w:rPr>
          <w:rFonts w:ascii="Verdana" w:hAnsi="Verdana"/>
          <w:bCs/>
          <w:sz w:val="16"/>
          <w:szCs w:val="16"/>
          <w:lang w:val="es-CR"/>
        </w:rPr>
        <w:t xml:space="preserve"> Sentencia de 17 de septiembre de 1997. Serie C No. 33, párrs. 57 y 58, y </w:t>
      </w:r>
      <w:r w:rsidRPr="00FC5313">
        <w:rPr>
          <w:rFonts w:ascii="Verdana" w:hAnsi="Verdana"/>
          <w:bCs/>
          <w:i/>
          <w:sz w:val="16"/>
          <w:szCs w:val="16"/>
          <w:lang w:val="es-CR"/>
        </w:rPr>
        <w:t>Caso Mujeres Víctimas de Tort</w:t>
      </w:r>
      <w:r>
        <w:rPr>
          <w:rFonts w:ascii="Verdana" w:hAnsi="Verdana"/>
          <w:bCs/>
          <w:i/>
          <w:sz w:val="16"/>
          <w:szCs w:val="16"/>
          <w:lang w:val="es-CR"/>
        </w:rPr>
        <w:t>ura Sexual en Atenco Vs. México, supra</w:t>
      </w:r>
      <w:r w:rsidRPr="00FC5313">
        <w:rPr>
          <w:rFonts w:ascii="Verdana" w:hAnsi="Verdana"/>
          <w:bCs/>
          <w:sz w:val="16"/>
          <w:szCs w:val="16"/>
          <w:lang w:val="es-CR"/>
        </w:rPr>
        <w:t xml:space="preserve">, párr. </w:t>
      </w:r>
      <w:r>
        <w:rPr>
          <w:rFonts w:ascii="Verdana" w:hAnsi="Verdana"/>
          <w:bCs/>
          <w:sz w:val="16"/>
          <w:szCs w:val="16"/>
          <w:lang w:val="es-CR"/>
        </w:rPr>
        <w:t>177</w:t>
      </w:r>
      <w:r w:rsidRPr="00FC5313">
        <w:rPr>
          <w:rFonts w:ascii="Verdana" w:hAnsi="Verdana"/>
          <w:bCs/>
          <w:sz w:val="16"/>
          <w:szCs w:val="16"/>
          <w:lang w:val="es-CR"/>
        </w:rPr>
        <w:t>.</w:t>
      </w:r>
    </w:p>
  </w:footnote>
  <w:footnote w:id="60">
    <w:p w:rsidR="001C18DD" w:rsidRPr="007C45D8" w:rsidRDefault="001C18DD" w:rsidP="00584E70">
      <w:pPr>
        <w:tabs>
          <w:tab w:val="left" w:pos="567"/>
        </w:tabs>
        <w:spacing w:after="0" w:line="240" w:lineRule="auto"/>
        <w:jc w:val="both"/>
        <w:rPr>
          <w:rFonts w:ascii="Verdana" w:hAnsi="Verdana"/>
          <w:b/>
          <w:sz w:val="16"/>
          <w:szCs w:val="16"/>
          <w:lang w:val="es-CR"/>
        </w:rPr>
      </w:pPr>
      <w:r w:rsidRPr="00584E70">
        <w:rPr>
          <w:rStyle w:val="Refdenotaalpie"/>
          <w:rFonts w:ascii="Verdana" w:hAnsi="Verdana"/>
          <w:sz w:val="16"/>
          <w:szCs w:val="16"/>
        </w:rPr>
        <w:footnoteRef/>
      </w:r>
      <w:r w:rsidRPr="00584E70">
        <w:rPr>
          <w:rFonts w:ascii="Verdana" w:hAnsi="Verdana"/>
          <w:sz w:val="16"/>
          <w:szCs w:val="16"/>
          <w:lang w:val="es-CR"/>
        </w:rPr>
        <w:t xml:space="preserve"> </w:t>
      </w:r>
      <w:r w:rsidRPr="00584E70">
        <w:rPr>
          <w:rFonts w:ascii="Verdana" w:hAnsi="Verdana"/>
          <w:sz w:val="16"/>
          <w:szCs w:val="16"/>
          <w:lang w:val="es-CR"/>
        </w:rPr>
        <w:tab/>
      </w:r>
      <w:r w:rsidRPr="00584E70">
        <w:rPr>
          <w:rFonts w:ascii="Verdana" w:hAnsi="Verdana"/>
          <w:i/>
          <w:sz w:val="16"/>
          <w:szCs w:val="16"/>
          <w:lang w:val="es-CR"/>
        </w:rPr>
        <w:t xml:space="preserve">Cfr. </w:t>
      </w:r>
      <w:r w:rsidRPr="00584E70">
        <w:rPr>
          <w:rFonts w:ascii="Verdana" w:hAnsi="Verdana"/>
          <w:bCs/>
          <w:i/>
          <w:sz w:val="16"/>
          <w:szCs w:val="16"/>
          <w:lang w:val="es-CR"/>
        </w:rPr>
        <w:t xml:space="preserve">Caso Hilaire, Constantine y Benjamin y otros Vs. </w:t>
      </w:r>
      <w:r w:rsidRPr="00915819">
        <w:rPr>
          <w:rFonts w:ascii="Verdana" w:hAnsi="Verdana"/>
          <w:bCs/>
          <w:i/>
          <w:sz w:val="16"/>
          <w:szCs w:val="16"/>
          <w:lang w:val="es-CR"/>
        </w:rPr>
        <w:t>Trinidad y Tobago</w:t>
      </w:r>
      <w:r>
        <w:rPr>
          <w:rFonts w:ascii="Verdana" w:hAnsi="Verdana"/>
          <w:bCs/>
          <w:sz w:val="16"/>
          <w:szCs w:val="16"/>
          <w:lang w:val="es-CR"/>
        </w:rPr>
        <w:t xml:space="preserve">, </w:t>
      </w:r>
      <w:r w:rsidRPr="007C45D8">
        <w:rPr>
          <w:rFonts w:ascii="Verdana" w:hAnsi="Verdana"/>
          <w:bCs/>
          <w:i/>
          <w:sz w:val="16"/>
          <w:szCs w:val="16"/>
          <w:lang w:val="es-CR"/>
        </w:rPr>
        <w:t>supra</w:t>
      </w:r>
      <w:r w:rsidRPr="00584E70">
        <w:rPr>
          <w:rFonts w:ascii="Verdana" w:hAnsi="Verdana"/>
          <w:bCs/>
          <w:sz w:val="16"/>
          <w:szCs w:val="16"/>
          <w:lang w:val="es-CR"/>
        </w:rPr>
        <w:t xml:space="preserve">, párrs. 167 a 172, y </w:t>
      </w:r>
      <w:r w:rsidRPr="00584E70">
        <w:rPr>
          <w:rStyle w:val="Textoennegrita"/>
          <w:rFonts w:ascii="Verdana" w:hAnsi="Verdana"/>
          <w:b w:val="0"/>
          <w:i/>
          <w:sz w:val="16"/>
          <w:szCs w:val="16"/>
          <w:lang w:val="es-CR"/>
        </w:rPr>
        <w:t>Caso Raxcacó Reyes Vs. Guatemala</w:t>
      </w:r>
      <w:r>
        <w:rPr>
          <w:rStyle w:val="Textoennegrita"/>
          <w:rFonts w:ascii="Verdana" w:hAnsi="Verdana"/>
          <w:b w:val="0"/>
          <w:i/>
          <w:sz w:val="16"/>
          <w:szCs w:val="16"/>
          <w:lang w:val="es-CR"/>
        </w:rPr>
        <w:t xml:space="preserve"> supra,</w:t>
      </w:r>
      <w:r w:rsidRPr="00584E70">
        <w:rPr>
          <w:rStyle w:val="Textoennegrita"/>
          <w:rFonts w:ascii="Verdana" w:hAnsi="Verdana"/>
          <w:b w:val="0"/>
          <w:sz w:val="16"/>
          <w:szCs w:val="16"/>
          <w:lang w:val="es-CR"/>
        </w:rPr>
        <w:t xml:space="preserve"> párrs. </w:t>
      </w:r>
      <w:r w:rsidRPr="00BE5129">
        <w:rPr>
          <w:rStyle w:val="Textoennegrita"/>
          <w:rFonts w:ascii="Verdana" w:hAnsi="Verdana"/>
          <w:b w:val="0"/>
          <w:sz w:val="16"/>
          <w:szCs w:val="16"/>
          <w:lang w:val="es-CR"/>
        </w:rPr>
        <w:t>97 a 102.</w:t>
      </w:r>
    </w:p>
  </w:footnote>
  <w:footnote w:id="61">
    <w:p w:rsidR="001C18DD" w:rsidRPr="0097560C" w:rsidRDefault="001C18DD" w:rsidP="004A5455">
      <w:pPr>
        <w:tabs>
          <w:tab w:val="left" w:pos="567"/>
        </w:tabs>
        <w:spacing w:after="0" w:line="240" w:lineRule="auto"/>
        <w:jc w:val="both"/>
        <w:rPr>
          <w:rFonts w:ascii="Verdana" w:hAnsi="Verdana" w:cs="AmnestyTradeGothic-Light"/>
          <w:color w:val="000000"/>
          <w:sz w:val="16"/>
          <w:szCs w:val="16"/>
          <w:lang w:val="es-CR"/>
        </w:rPr>
      </w:pPr>
      <w:r w:rsidRPr="00D658AF">
        <w:rPr>
          <w:rStyle w:val="Refdenotaalpie"/>
          <w:sz w:val="16"/>
          <w:szCs w:val="16"/>
        </w:rPr>
        <w:footnoteRef/>
      </w:r>
      <w:r w:rsidRPr="00C62653">
        <w:rPr>
          <w:sz w:val="16"/>
          <w:szCs w:val="16"/>
          <w:lang w:val="es-CR"/>
        </w:rPr>
        <w:t xml:space="preserve"> </w:t>
      </w:r>
      <w:r w:rsidRPr="00C62653">
        <w:rPr>
          <w:rFonts w:ascii="Verdana" w:hAnsi="Verdana"/>
          <w:sz w:val="16"/>
          <w:szCs w:val="16"/>
          <w:lang w:val="es-CR"/>
        </w:rPr>
        <w:tab/>
      </w:r>
      <w:r w:rsidRPr="007C45D8">
        <w:rPr>
          <w:rFonts w:ascii="Verdana" w:hAnsi="Verdana"/>
          <w:i/>
          <w:sz w:val="16"/>
          <w:szCs w:val="16"/>
          <w:lang w:val="es-CR"/>
        </w:rPr>
        <w:t>Cfr</w:t>
      </w:r>
      <w:r w:rsidRPr="007C45D8">
        <w:rPr>
          <w:rFonts w:ascii="Verdana" w:hAnsi="Verdana"/>
          <w:sz w:val="16"/>
          <w:szCs w:val="16"/>
          <w:lang w:val="es-CR"/>
        </w:rPr>
        <w:t xml:space="preserve">. </w:t>
      </w:r>
      <w:r w:rsidRPr="00C62653">
        <w:rPr>
          <w:rFonts w:ascii="Verdana" w:hAnsi="Verdana"/>
          <w:sz w:val="16"/>
          <w:szCs w:val="16"/>
          <w:lang w:val="es-CR"/>
        </w:rPr>
        <w:t>TEDH</w:t>
      </w:r>
      <w:r w:rsidRPr="007C45D8">
        <w:rPr>
          <w:rFonts w:ascii="Verdana" w:hAnsi="Verdana"/>
          <w:sz w:val="16"/>
          <w:szCs w:val="16"/>
          <w:lang w:val="es-CR"/>
        </w:rPr>
        <w:t>.</w:t>
      </w:r>
      <w:r w:rsidRPr="00C62653">
        <w:rPr>
          <w:rFonts w:ascii="Verdana" w:hAnsi="Verdana"/>
          <w:sz w:val="16"/>
          <w:szCs w:val="16"/>
          <w:lang w:val="es-CR"/>
        </w:rPr>
        <w:t xml:space="preserve"> </w:t>
      </w:r>
      <w:r w:rsidRPr="00C62653">
        <w:rPr>
          <w:rFonts w:ascii="Verdana" w:hAnsi="Verdana" w:cs="AmnestyTradeGothic-LightObl"/>
          <w:i/>
          <w:iCs/>
          <w:sz w:val="16"/>
          <w:szCs w:val="16"/>
          <w:lang w:val="es-CR"/>
        </w:rPr>
        <w:t xml:space="preserve">Öcalan v. Turkey </w:t>
      </w:r>
      <w:r w:rsidRPr="007C45D8">
        <w:rPr>
          <w:rFonts w:ascii="Verdana" w:hAnsi="Verdana" w:cs="AmnestyTradeGothic-LightObl"/>
          <w:iCs/>
          <w:sz w:val="16"/>
          <w:szCs w:val="16"/>
          <w:lang w:val="es-CR"/>
        </w:rPr>
        <w:t>[GS], no.</w:t>
      </w:r>
      <w:r w:rsidRPr="007C45D8">
        <w:rPr>
          <w:rFonts w:ascii="Verdana" w:hAnsi="Verdana" w:cs="AmnestyTradeGothic-Light"/>
          <w:sz w:val="16"/>
          <w:szCs w:val="16"/>
          <w:lang w:val="es-CR"/>
        </w:rPr>
        <w:t xml:space="preserve"> </w:t>
      </w:r>
      <w:r w:rsidRPr="008A0946">
        <w:rPr>
          <w:rFonts w:ascii="Verdana" w:hAnsi="Verdana" w:cs="AmnestyTradeGothic-Light"/>
          <w:sz w:val="16"/>
          <w:szCs w:val="16"/>
          <w:lang w:val="es-CR"/>
        </w:rPr>
        <w:t>46221/99</w:t>
      </w:r>
      <w:r w:rsidRPr="007C45D8">
        <w:rPr>
          <w:rFonts w:ascii="Verdana" w:hAnsi="Verdana" w:cs="AmnestyTradeGothic-Light"/>
          <w:sz w:val="16"/>
          <w:szCs w:val="16"/>
          <w:lang w:val="es-CR"/>
        </w:rPr>
        <w:t xml:space="preserve">, </w:t>
      </w:r>
      <w:r>
        <w:rPr>
          <w:rFonts w:ascii="Verdana" w:hAnsi="Verdana" w:cs="AmnestyTradeGothic-Light"/>
          <w:sz w:val="16"/>
          <w:szCs w:val="16"/>
          <w:lang w:val="es-CR"/>
        </w:rPr>
        <w:t xml:space="preserve">Sentencia de 12 de mayo de 2005, </w:t>
      </w:r>
      <w:r w:rsidRPr="00D91203">
        <w:rPr>
          <w:rFonts w:ascii="Verdana" w:hAnsi="Verdana" w:cs="AmnestyTradeGothic-Light"/>
          <w:sz w:val="16"/>
          <w:szCs w:val="16"/>
          <w:lang w:val="es-CR"/>
        </w:rPr>
        <w:t>p</w:t>
      </w:r>
      <w:r w:rsidRPr="008A0946">
        <w:rPr>
          <w:rFonts w:ascii="Verdana" w:hAnsi="Verdana" w:cs="AmnestyTradeGothic-Light"/>
          <w:sz w:val="16"/>
          <w:szCs w:val="16"/>
          <w:lang w:val="es-CR"/>
        </w:rPr>
        <w:t xml:space="preserve">árrs. </w:t>
      </w:r>
      <w:r w:rsidRPr="007C45D8">
        <w:rPr>
          <w:rFonts w:ascii="Verdana" w:hAnsi="Verdana" w:cs="AmnestyTradeGothic-Light"/>
          <w:sz w:val="16"/>
          <w:szCs w:val="16"/>
          <w:lang w:val="es-CR"/>
        </w:rPr>
        <w:t>166</w:t>
      </w:r>
      <w:r>
        <w:rPr>
          <w:rFonts w:ascii="Verdana" w:hAnsi="Verdana" w:cs="AmnestyTradeGothic-Light"/>
          <w:sz w:val="16"/>
          <w:szCs w:val="16"/>
          <w:lang w:val="es-CR"/>
        </w:rPr>
        <w:t xml:space="preserve"> a 169, y</w:t>
      </w:r>
      <w:r w:rsidRPr="007C45D8">
        <w:rPr>
          <w:rFonts w:ascii="Verdana" w:hAnsi="Verdana" w:cs="AmnestyTradeGothic-Light"/>
          <w:sz w:val="16"/>
          <w:szCs w:val="16"/>
          <w:lang w:val="es-CR"/>
        </w:rPr>
        <w:t xml:space="preserve"> </w:t>
      </w:r>
      <w:r w:rsidRPr="007C45D8">
        <w:rPr>
          <w:rFonts w:ascii="Verdana" w:hAnsi="Verdana" w:cs="AmnestyTradeGothic-LightObl"/>
          <w:i/>
          <w:iCs/>
          <w:sz w:val="16"/>
          <w:szCs w:val="16"/>
          <w:lang w:val="es-CR"/>
        </w:rPr>
        <w:t xml:space="preserve">Bader and Kanbor v. Sweden, </w:t>
      </w:r>
      <w:r w:rsidRPr="007C45D8">
        <w:rPr>
          <w:rFonts w:ascii="Verdana" w:hAnsi="Verdana" w:cs="AmnestyTradeGothic-LightObl"/>
          <w:iCs/>
          <w:sz w:val="16"/>
          <w:szCs w:val="16"/>
          <w:lang w:val="es-CR"/>
        </w:rPr>
        <w:t>no.</w:t>
      </w:r>
      <w:r w:rsidRPr="007C45D8">
        <w:rPr>
          <w:rFonts w:ascii="Verdana" w:hAnsi="Verdana" w:cs="AmnestyTradeGothic-Light"/>
          <w:sz w:val="16"/>
          <w:szCs w:val="16"/>
          <w:lang w:val="es-CR"/>
        </w:rPr>
        <w:t xml:space="preserve"> 13284/04,</w:t>
      </w:r>
      <w:r w:rsidRPr="008A0946">
        <w:rPr>
          <w:rFonts w:ascii="Verdana" w:hAnsi="Verdana" w:cs="AmnestyTradeGothic-Light"/>
          <w:sz w:val="16"/>
          <w:szCs w:val="16"/>
          <w:lang w:val="es-CR"/>
        </w:rPr>
        <w:t xml:space="preserve"> </w:t>
      </w:r>
      <w:r w:rsidRPr="00801B4D">
        <w:rPr>
          <w:rFonts w:ascii="Verdana" w:hAnsi="Verdana" w:cs="AmnestyTradeGothic-Light"/>
          <w:sz w:val="16"/>
          <w:szCs w:val="16"/>
          <w:lang w:val="es-CR"/>
        </w:rPr>
        <w:t>Sentencia de</w:t>
      </w:r>
      <w:r>
        <w:rPr>
          <w:rFonts w:ascii="Verdana" w:hAnsi="Verdana" w:cs="AmnestyTradeGothic-Light"/>
          <w:sz w:val="16"/>
          <w:szCs w:val="16"/>
          <w:lang w:val="es-CR"/>
        </w:rPr>
        <w:t xml:space="preserve"> 8 de noviembre de 2005</w:t>
      </w:r>
      <w:r w:rsidRPr="007C45D8">
        <w:rPr>
          <w:rFonts w:ascii="Verdana" w:hAnsi="Verdana" w:cs="AmnestyTradeGothic-Light"/>
          <w:sz w:val="16"/>
          <w:szCs w:val="16"/>
          <w:lang w:val="es-CR"/>
        </w:rPr>
        <w:t xml:space="preserve">, párrs. </w:t>
      </w:r>
      <w:r w:rsidRPr="0097560C">
        <w:rPr>
          <w:rFonts w:ascii="Verdana" w:hAnsi="Verdana" w:cs="AmnestyTradeGothic-Light"/>
          <w:sz w:val="16"/>
          <w:szCs w:val="16"/>
          <w:lang w:val="es-CR"/>
        </w:rPr>
        <w:t>42</w:t>
      </w:r>
      <w:r w:rsidRPr="007C45D8">
        <w:rPr>
          <w:rFonts w:ascii="Verdana" w:hAnsi="Verdana" w:cs="AmnestyTradeGothic-Light"/>
          <w:sz w:val="16"/>
          <w:szCs w:val="16"/>
          <w:lang w:val="es-CR"/>
        </w:rPr>
        <w:t xml:space="preserve"> a </w:t>
      </w:r>
      <w:r w:rsidRPr="0097560C">
        <w:rPr>
          <w:rFonts w:ascii="Verdana" w:hAnsi="Verdana" w:cs="AmnestyTradeGothic-Light"/>
          <w:sz w:val="16"/>
          <w:szCs w:val="16"/>
          <w:lang w:val="es-CR"/>
        </w:rPr>
        <w:t>48.</w:t>
      </w:r>
    </w:p>
  </w:footnote>
  <w:footnote w:id="62">
    <w:p w:rsidR="001C18DD" w:rsidRPr="004A5455" w:rsidRDefault="001C18DD" w:rsidP="004A5455">
      <w:pPr>
        <w:tabs>
          <w:tab w:val="left" w:pos="567"/>
        </w:tabs>
        <w:spacing w:after="0" w:line="240" w:lineRule="auto"/>
        <w:jc w:val="both"/>
        <w:rPr>
          <w:rFonts w:ascii="Verdana" w:hAnsi="Verdana"/>
          <w:sz w:val="16"/>
          <w:szCs w:val="16"/>
        </w:rPr>
      </w:pPr>
      <w:r w:rsidRPr="004A5455">
        <w:rPr>
          <w:rStyle w:val="Refdenotaalpie"/>
          <w:rFonts w:ascii="Verdana" w:hAnsi="Verdana"/>
          <w:sz w:val="16"/>
          <w:szCs w:val="16"/>
        </w:rPr>
        <w:footnoteRef/>
      </w:r>
      <w:r w:rsidRPr="004A5455">
        <w:rPr>
          <w:rFonts w:ascii="Verdana" w:hAnsi="Verdana"/>
          <w:sz w:val="16"/>
          <w:szCs w:val="16"/>
          <w:lang w:val="es-CR"/>
        </w:rPr>
        <w:t xml:space="preserve"> </w:t>
      </w:r>
      <w:r w:rsidRPr="004A5455">
        <w:rPr>
          <w:rFonts w:ascii="Verdana" w:hAnsi="Verdana"/>
          <w:sz w:val="16"/>
          <w:szCs w:val="16"/>
          <w:lang w:val="es-CR"/>
        </w:rPr>
        <w:tab/>
      </w:r>
      <w:r w:rsidRPr="007C45D8">
        <w:rPr>
          <w:rFonts w:ascii="Verdana" w:hAnsi="Verdana"/>
          <w:i/>
          <w:sz w:val="16"/>
          <w:szCs w:val="16"/>
          <w:lang w:val="es-CR"/>
        </w:rPr>
        <w:t>Cfr</w:t>
      </w:r>
      <w:r>
        <w:rPr>
          <w:rFonts w:ascii="Verdana" w:hAnsi="Verdana"/>
          <w:sz w:val="16"/>
          <w:szCs w:val="16"/>
          <w:lang w:val="es-CR"/>
        </w:rPr>
        <w:t xml:space="preserve">. </w:t>
      </w:r>
      <w:r w:rsidRPr="004A5455">
        <w:rPr>
          <w:rFonts w:ascii="Verdana" w:hAnsi="Verdana"/>
          <w:sz w:val="16"/>
          <w:szCs w:val="16"/>
          <w:lang w:val="es-CR"/>
        </w:rPr>
        <w:t>Naciones Unidas. Informe del Relator Especial sobre la tortura y otros tratos o penas crueles, inhumanos o degradantes</w:t>
      </w:r>
      <w:r>
        <w:rPr>
          <w:rFonts w:ascii="Verdana" w:hAnsi="Verdana"/>
          <w:sz w:val="16"/>
          <w:szCs w:val="16"/>
          <w:lang w:val="es-CR"/>
        </w:rPr>
        <w:t xml:space="preserve">, </w:t>
      </w:r>
      <w:r w:rsidRPr="004A5455">
        <w:rPr>
          <w:rFonts w:ascii="Verdana" w:hAnsi="Verdana"/>
          <w:sz w:val="16"/>
          <w:szCs w:val="16"/>
          <w:lang w:val="es-CR"/>
        </w:rPr>
        <w:t xml:space="preserve"> A/67/279,</w:t>
      </w:r>
      <w:r>
        <w:rPr>
          <w:rFonts w:ascii="Verdana" w:hAnsi="Verdana"/>
          <w:sz w:val="16"/>
          <w:szCs w:val="16"/>
          <w:lang w:val="es-CR"/>
        </w:rPr>
        <w:t xml:space="preserve"> (2012),</w:t>
      </w:r>
      <w:r w:rsidRPr="004A5455">
        <w:rPr>
          <w:rFonts w:ascii="Verdana" w:hAnsi="Verdana"/>
          <w:sz w:val="16"/>
          <w:szCs w:val="16"/>
          <w:lang w:val="es-CR"/>
        </w:rPr>
        <w:t xml:space="preserve"> </w:t>
      </w:r>
      <w:r>
        <w:rPr>
          <w:rFonts w:ascii="Verdana" w:hAnsi="Verdana"/>
          <w:sz w:val="16"/>
          <w:szCs w:val="16"/>
          <w:lang w:val="es-CR"/>
        </w:rPr>
        <w:t>p</w:t>
      </w:r>
      <w:r w:rsidRPr="004A5455">
        <w:rPr>
          <w:rFonts w:ascii="Verdana" w:hAnsi="Verdana"/>
          <w:sz w:val="16"/>
          <w:szCs w:val="16"/>
          <w:lang w:val="es-CR"/>
        </w:rPr>
        <w:t>árr. 42. Se define al fenómeno de</w:t>
      </w:r>
      <w:r>
        <w:rPr>
          <w:rFonts w:ascii="Verdana" w:hAnsi="Verdana"/>
          <w:sz w:val="16"/>
          <w:szCs w:val="16"/>
          <w:lang w:val="es-CR"/>
        </w:rPr>
        <w:t>l corredor de la muerte como: “</w:t>
      </w:r>
      <w:r w:rsidRPr="004A5455">
        <w:rPr>
          <w:rFonts w:ascii="Verdana" w:hAnsi="Verdana"/>
          <w:sz w:val="16"/>
          <w:szCs w:val="16"/>
          <w:lang w:val="es-CR"/>
        </w:rPr>
        <w:t>Consiste en una combinación de circunstancias que producen graves traumas mentales y deterioro físico en los presos sentenciados a muerte. Entre esas circunstancias figuran la prolongada y ansiosa espera de resultados plenos de incertidumbre, el aislamiento, el contacto humano drásticamente reducido e incluso las condiciones físicas en que están alojados algunos reclusos. Con frecuencia, las condiciones del pabellón de los condenados a muerte son peores que las que afectan al resto de la población carcelaria y se deniegan a los presos alojados en ese pabellón muchas cuestiones básic</w:t>
      </w:r>
      <w:r>
        <w:rPr>
          <w:rFonts w:ascii="Verdana" w:hAnsi="Verdana"/>
          <w:sz w:val="16"/>
          <w:szCs w:val="16"/>
          <w:lang w:val="es-CR"/>
        </w:rPr>
        <w:t>as y de primera necesidad […]</w:t>
      </w:r>
      <w:r w:rsidRPr="004A5455">
        <w:rPr>
          <w:rFonts w:ascii="Verdana" w:hAnsi="Verdana"/>
          <w:sz w:val="16"/>
          <w:szCs w:val="16"/>
          <w:lang w:val="es-CR"/>
        </w:rPr>
        <w:t xml:space="preserve">”. Véase también, </w:t>
      </w:r>
      <w:r>
        <w:rPr>
          <w:rFonts w:ascii="Verdana" w:hAnsi="Verdana" w:cs="AmnestyTradeGothic-Light"/>
          <w:sz w:val="16"/>
          <w:szCs w:val="16"/>
          <w:lang w:val="es-CR"/>
        </w:rPr>
        <w:t>Comité de Derechos Humanos</w:t>
      </w:r>
      <w:r w:rsidRPr="004A5455">
        <w:rPr>
          <w:rFonts w:ascii="Verdana" w:hAnsi="Verdana" w:cs="AmnestyTradeGothic-Light"/>
          <w:sz w:val="16"/>
          <w:szCs w:val="16"/>
          <w:lang w:val="es-CR"/>
        </w:rPr>
        <w:t xml:space="preserve">, </w:t>
      </w:r>
      <w:r w:rsidRPr="004A5455">
        <w:rPr>
          <w:rFonts w:ascii="Verdana" w:hAnsi="Verdana" w:cs="AmnestyTradeGothic-LightObl"/>
          <w:i/>
          <w:iCs/>
          <w:sz w:val="16"/>
          <w:szCs w:val="16"/>
          <w:lang w:val="es-CR"/>
        </w:rPr>
        <w:t>Larrañaga vs. Filipinas</w:t>
      </w:r>
      <w:r w:rsidRPr="004A5455">
        <w:rPr>
          <w:rFonts w:ascii="Verdana" w:hAnsi="Verdana" w:cs="AmnestyTradeGothic-Light"/>
          <w:sz w:val="16"/>
          <w:szCs w:val="16"/>
          <w:lang w:val="es-CR"/>
        </w:rPr>
        <w:t xml:space="preserve">, CCPR/C/87/D/1421/2005 (2006), párr. </w:t>
      </w:r>
      <w:r>
        <w:rPr>
          <w:rFonts w:ascii="Verdana" w:hAnsi="Verdana" w:cs="AmnestyTradeGothic-Light"/>
          <w:sz w:val="16"/>
          <w:szCs w:val="16"/>
        </w:rPr>
        <w:t xml:space="preserve">7.11, y </w:t>
      </w:r>
      <w:r w:rsidRPr="0097560C">
        <w:rPr>
          <w:rFonts w:ascii="Verdana" w:hAnsi="Verdana" w:cs="AmnestyTradeGothic-LightObl"/>
          <w:i/>
          <w:iCs/>
          <w:sz w:val="16"/>
          <w:szCs w:val="16"/>
        </w:rPr>
        <w:t>Mwamba vs. Zambia</w:t>
      </w:r>
      <w:r w:rsidRPr="0097560C">
        <w:rPr>
          <w:rFonts w:ascii="Verdana" w:hAnsi="Verdana" w:cs="AmnestyTradeGothic-Light"/>
          <w:sz w:val="16"/>
          <w:szCs w:val="16"/>
        </w:rPr>
        <w:t xml:space="preserve">, </w:t>
      </w:r>
      <w:r w:rsidRPr="0076565C">
        <w:rPr>
          <w:rFonts w:ascii="Verdana" w:hAnsi="Verdana" w:cs="AmnestyTradeGothic-Light"/>
          <w:sz w:val="16"/>
          <w:szCs w:val="16"/>
        </w:rPr>
        <w:t xml:space="preserve">CCPR/C/98/D/1520/2006 (2010), </w:t>
      </w:r>
      <w:proofErr w:type="spellStart"/>
      <w:r w:rsidRPr="0076565C">
        <w:rPr>
          <w:rFonts w:ascii="Verdana" w:hAnsi="Verdana" w:cs="AmnestyTradeGothic-Light"/>
          <w:sz w:val="16"/>
          <w:szCs w:val="16"/>
        </w:rPr>
        <w:t>párr</w:t>
      </w:r>
      <w:proofErr w:type="spellEnd"/>
      <w:r w:rsidRPr="0076565C">
        <w:rPr>
          <w:rFonts w:ascii="Verdana" w:hAnsi="Verdana" w:cs="AmnestyTradeGothic-Light"/>
          <w:sz w:val="16"/>
          <w:szCs w:val="16"/>
        </w:rPr>
        <w:t xml:space="preserve">. </w:t>
      </w:r>
      <w:r w:rsidRPr="004A5455">
        <w:rPr>
          <w:rFonts w:ascii="Verdana" w:hAnsi="Verdana" w:cs="AmnestyTradeGothic-Light"/>
          <w:sz w:val="16"/>
          <w:szCs w:val="16"/>
        </w:rPr>
        <w:t>6.8.</w:t>
      </w:r>
    </w:p>
  </w:footnote>
  <w:footnote w:id="63">
    <w:p w:rsidR="001C18DD" w:rsidRPr="004A5455" w:rsidRDefault="001C18DD" w:rsidP="004A5455">
      <w:pPr>
        <w:tabs>
          <w:tab w:val="left" w:pos="567"/>
        </w:tabs>
        <w:spacing w:after="0" w:line="240" w:lineRule="auto"/>
        <w:jc w:val="both"/>
        <w:rPr>
          <w:rFonts w:ascii="Verdana" w:hAnsi="Verdana"/>
          <w:sz w:val="16"/>
          <w:szCs w:val="16"/>
          <w:lang w:val="es-CR"/>
        </w:rPr>
      </w:pPr>
      <w:r w:rsidRPr="004A5455">
        <w:rPr>
          <w:rStyle w:val="Refdenotaalpie"/>
          <w:rFonts w:ascii="Verdana" w:hAnsi="Verdana"/>
          <w:sz w:val="16"/>
          <w:szCs w:val="16"/>
        </w:rPr>
        <w:footnoteRef/>
      </w:r>
      <w:r w:rsidRPr="004A5455">
        <w:rPr>
          <w:rFonts w:ascii="Verdana" w:hAnsi="Verdana"/>
          <w:sz w:val="16"/>
          <w:szCs w:val="16"/>
        </w:rPr>
        <w:t xml:space="preserve"> </w:t>
      </w:r>
      <w:r w:rsidRPr="004A5455">
        <w:rPr>
          <w:rFonts w:ascii="Verdana" w:hAnsi="Verdana"/>
          <w:sz w:val="16"/>
          <w:szCs w:val="16"/>
        </w:rPr>
        <w:tab/>
      </w:r>
      <w:proofErr w:type="spellStart"/>
      <w:r w:rsidRPr="007C45D8">
        <w:rPr>
          <w:rFonts w:ascii="Verdana" w:hAnsi="Verdana"/>
          <w:i/>
          <w:sz w:val="16"/>
          <w:szCs w:val="16"/>
        </w:rPr>
        <w:t>Cfr</w:t>
      </w:r>
      <w:proofErr w:type="spellEnd"/>
      <w:r>
        <w:rPr>
          <w:rFonts w:ascii="Verdana" w:hAnsi="Verdana"/>
          <w:sz w:val="16"/>
          <w:szCs w:val="16"/>
        </w:rPr>
        <w:t xml:space="preserve">. </w:t>
      </w:r>
      <w:r w:rsidRPr="004A5455">
        <w:rPr>
          <w:rFonts w:ascii="Verdana" w:hAnsi="Verdana"/>
          <w:i/>
          <w:sz w:val="16"/>
          <w:szCs w:val="16"/>
        </w:rPr>
        <w:t xml:space="preserve">Judgment of the Supreme Court of Zimbabwe </w:t>
      </w:r>
      <w:r w:rsidRPr="004A5455">
        <w:rPr>
          <w:rFonts w:ascii="Verdana" w:hAnsi="Verdana"/>
          <w:sz w:val="16"/>
          <w:szCs w:val="16"/>
        </w:rPr>
        <w:t xml:space="preserve">of 24 June 1993 in Catholic Commissioner for Justice and Peace in Zimbabwe v. Attorney General (4) SA 239 (ZS); </w:t>
      </w:r>
      <w:r w:rsidRPr="004A5455">
        <w:rPr>
          <w:rFonts w:ascii="Verdana" w:hAnsi="Verdana"/>
          <w:i/>
          <w:sz w:val="16"/>
          <w:szCs w:val="16"/>
        </w:rPr>
        <w:t xml:space="preserve">Supreme Court of Uganda in Attorney General v. Susan </w:t>
      </w:r>
      <w:proofErr w:type="spellStart"/>
      <w:r w:rsidRPr="004A5455">
        <w:rPr>
          <w:rFonts w:ascii="Verdana" w:hAnsi="Verdana"/>
          <w:i/>
          <w:sz w:val="16"/>
          <w:szCs w:val="16"/>
        </w:rPr>
        <w:t>Kigula</w:t>
      </w:r>
      <w:proofErr w:type="spellEnd"/>
      <w:r w:rsidRPr="004A5455">
        <w:rPr>
          <w:rFonts w:ascii="Verdana" w:hAnsi="Verdana"/>
          <w:sz w:val="16"/>
          <w:szCs w:val="16"/>
        </w:rPr>
        <w:t xml:space="preserve"> and 417 others (Constitutional Appeal No. 3 of 2006), 2009</w:t>
      </w:r>
      <w:r>
        <w:rPr>
          <w:rFonts w:ascii="Verdana" w:hAnsi="Verdana"/>
          <w:sz w:val="16"/>
          <w:szCs w:val="16"/>
        </w:rPr>
        <w:t xml:space="preserve">, y </w:t>
      </w:r>
      <w:r w:rsidRPr="004A5455">
        <w:rPr>
          <w:rFonts w:ascii="Verdana" w:hAnsi="Verdana"/>
          <w:i/>
          <w:sz w:val="16"/>
          <w:szCs w:val="16"/>
        </w:rPr>
        <w:t xml:space="preserve">Godfrey </w:t>
      </w:r>
      <w:proofErr w:type="spellStart"/>
      <w:r w:rsidRPr="004A5455">
        <w:rPr>
          <w:rFonts w:ascii="Verdana" w:hAnsi="Verdana"/>
          <w:i/>
          <w:sz w:val="16"/>
          <w:szCs w:val="16"/>
        </w:rPr>
        <w:t>Mutiso</w:t>
      </w:r>
      <w:proofErr w:type="spellEnd"/>
      <w:r w:rsidRPr="004A5455">
        <w:rPr>
          <w:rFonts w:ascii="Verdana" w:hAnsi="Verdana"/>
          <w:i/>
          <w:sz w:val="16"/>
          <w:szCs w:val="16"/>
        </w:rPr>
        <w:t xml:space="preserve"> v</w:t>
      </w:r>
      <w:r>
        <w:rPr>
          <w:rFonts w:ascii="Verdana" w:hAnsi="Verdana"/>
          <w:i/>
          <w:sz w:val="16"/>
          <w:szCs w:val="16"/>
        </w:rPr>
        <w:t>.</w:t>
      </w:r>
      <w:r w:rsidRPr="004A5455">
        <w:rPr>
          <w:rFonts w:ascii="Verdana" w:hAnsi="Verdana"/>
          <w:i/>
          <w:sz w:val="16"/>
          <w:szCs w:val="16"/>
        </w:rPr>
        <w:t xml:space="preserve"> Republic, Tribunal de </w:t>
      </w:r>
      <w:proofErr w:type="spellStart"/>
      <w:r w:rsidRPr="004A5455">
        <w:rPr>
          <w:rFonts w:ascii="Verdana" w:hAnsi="Verdana"/>
          <w:i/>
          <w:sz w:val="16"/>
          <w:szCs w:val="16"/>
        </w:rPr>
        <w:t>Apelación</w:t>
      </w:r>
      <w:proofErr w:type="spellEnd"/>
      <w:r w:rsidRPr="004A5455">
        <w:rPr>
          <w:rFonts w:ascii="Verdana" w:hAnsi="Verdana"/>
          <w:i/>
          <w:sz w:val="16"/>
          <w:szCs w:val="16"/>
        </w:rPr>
        <w:t xml:space="preserve"> de Kenia</w:t>
      </w:r>
      <w:r w:rsidRPr="004A5455">
        <w:rPr>
          <w:rFonts w:ascii="Verdana" w:hAnsi="Verdana"/>
          <w:sz w:val="16"/>
          <w:szCs w:val="16"/>
        </w:rPr>
        <w:t xml:space="preserve"> (2010). </w:t>
      </w:r>
      <w:r w:rsidRPr="004A5455">
        <w:rPr>
          <w:rFonts w:ascii="Verdana" w:hAnsi="Verdana"/>
          <w:sz w:val="16"/>
          <w:szCs w:val="16"/>
          <w:lang w:val="es-CR"/>
        </w:rPr>
        <w:t xml:space="preserve">Véase también </w:t>
      </w:r>
      <w:r w:rsidRPr="004A5455">
        <w:rPr>
          <w:rFonts w:ascii="Verdana" w:hAnsi="Verdana"/>
          <w:i/>
          <w:sz w:val="16"/>
          <w:szCs w:val="16"/>
          <w:lang w:val="es-CR"/>
        </w:rPr>
        <w:t>US v</w:t>
      </w:r>
      <w:r>
        <w:rPr>
          <w:rFonts w:ascii="Verdana" w:hAnsi="Verdana"/>
          <w:i/>
          <w:sz w:val="16"/>
          <w:szCs w:val="16"/>
          <w:lang w:val="es-CR"/>
        </w:rPr>
        <w:t>.</w:t>
      </w:r>
      <w:r w:rsidRPr="004A5455">
        <w:rPr>
          <w:rFonts w:ascii="Verdana" w:hAnsi="Verdana"/>
          <w:i/>
          <w:sz w:val="16"/>
          <w:szCs w:val="16"/>
          <w:lang w:val="es-CR"/>
        </w:rPr>
        <w:t xml:space="preserve"> Burns, </w:t>
      </w:r>
      <w:r w:rsidRPr="004A5455">
        <w:rPr>
          <w:rFonts w:ascii="Verdana" w:hAnsi="Verdana"/>
          <w:sz w:val="16"/>
          <w:szCs w:val="16"/>
          <w:lang w:val="es-CR"/>
        </w:rPr>
        <w:t>Tribunal Supremo de Canadá, 2001 SCC 7, párrs. 118-123</w:t>
      </w:r>
      <w:r>
        <w:rPr>
          <w:rFonts w:ascii="Verdana" w:hAnsi="Verdana"/>
          <w:sz w:val="16"/>
          <w:szCs w:val="16"/>
          <w:lang w:val="es-CR"/>
        </w:rPr>
        <w:t>.</w:t>
      </w:r>
    </w:p>
  </w:footnote>
  <w:footnote w:id="64">
    <w:p w:rsidR="001C18DD" w:rsidRPr="004A5455" w:rsidRDefault="001C18DD" w:rsidP="004A5455">
      <w:pPr>
        <w:tabs>
          <w:tab w:val="left" w:pos="567"/>
        </w:tabs>
        <w:spacing w:after="0" w:line="240" w:lineRule="auto"/>
        <w:jc w:val="both"/>
        <w:rPr>
          <w:rFonts w:ascii="Verdana" w:hAnsi="Verdana"/>
          <w:sz w:val="16"/>
          <w:szCs w:val="16"/>
          <w:lang w:val="es-CR"/>
        </w:rPr>
      </w:pPr>
      <w:r w:rsidRPr="00FD6B5C">
        <w:rPr>
          <w:rStyle w:val="Refdenotaalpie"/>
          <w:rFonts w:ascii="Verdana" w:hAnsi="Verdana"/>
          <w:sz w:val="16"/>
          <w:szCs w:val="16"/>
        </w:rPr>
        <w:footnoteRef/>
      </w:r>
      <w:r w:rsidRPr="00FD6B5C">
        <w:rPr>
          <w:rFonts w:ascii="Verdana" w:hAnsi="Verdana"/>
          <w:sz w:val="16"/>
          <w:szCs w:val="16"/>
          <w:lang w:val="es-CR"/>
        </w:rPr>
        <w:t xml:space="preserve"> </w:t>
      </w:r>
      <w:r w:rsidRPr="00FD6B5C">
        <w:rPr>
          <w:rFonts w:ascii="Verdana" w:hAnsi="Verdana"/>
          <w:sz w:val="16"/>
          <w:szCs w:val="16"/>
          <w:lang w:val="es-CR"/>
        </w:rPr>
        <w:tab/>
      </w:r>
      <w:r w:rsidRPr="007C45D8">
        <w:rPr>
          <w:rFonts w:ascii="Verdana" w:hAnsi="Verdana"/>
          <w:i/>
          <w:sz w:val="16"/>
          <w:szCs w:val="16"/>
          <w:lang w:val="es-CR"/>
        </w:rPr>
        <w:t>Cfr</w:t>
      </w:r>
      <w:r>
        <w:rPr>
          <w:rFonts w:ascii="Verdana" w:hAnsi="Verdana"/>
          <w:sz w:val="16"/>
          <w:szCs w:val="16"/>
          <w:lang w:val="es-CR"/>
        </w:rPr>
        <w:t>. TEDH.</w:t>
      </w:r>
      <w:r w:rsidRPr="00FD6B5C">
        <w:rPr>
          <w:rFonts w:ascii="Verdana" w:hAnsi="Verdana"/>
          <w:i/>
          <w:sz w:val="16"/>
          <w:szCs w:val="16"/>
          <w:lang w:val="es-CR"/>
        </w:rPr>
        <w:t xml:space="preserve"> </w:t>
      </w:r>
      <w:r w:rsidRPr="00FD6B5C">
        <w:rPr>
          <w:rFonts w:ascii="Verdana" w:hAnsi="Verdana"/>
          <w:i/>
          <w:sz w:val="16"/>
          <w:szCs w:val="16"/>
          <w:lang w:val="es-CR"/>
        </w:rPr>
        <w:t>Soering v</w:t>
      </w:r>
      <w:r>
        <w:rPr>
          <w:rFonts w:ascii="Verdana" w:hAnsi="Verdana"/>
          <w:i/>
          <w:sz w:val="16"/>
          <w:szCs w:val="16"/>
          <w:lang w:val="es-CR"/>
        </w:rPr>
        <w:t>.</w:t>
      </w:r>
      <w:r w:rsidRPr="00BC2D7C">
        <w:rPr>
          <w:rFonts w:ascii="Verdana" w:hAnsi="Verdana"/>
          <w:i/>
          <w:sz w:val="16"/>
          <w:szCs w:val="16"/>
          <w:lang w:val="es-CR"/>
        </w:rPr>
        <w:t xml:space="preserve"> </w:t>
      </w:r>
      <w:r>
        <w:rPr>
          <w:rFonts w:ascii="Verdana" w:hAnsi="Verdana"/>
          <w:i/>
          <w:sz w:val="16"/>
          <w:szCs w:val="16"/>
          <w:lang w:val="es-CR"/>
        </w:rPr>
        <w:t>T</w:t>
      </w:r>
      <w:r w:rsidRPr="00FD6B5C">
        <w:rPr>
          <w:rFonts w:ascii="Verdana" w:hAnsi="Verdana"/>
          <w:i/>
          <w:sz w:val="16"/>
          <w:szCs w:val="16"/>
          <w:lang w:val="es-CR"/>
        </w:rPr>
        <w:t>he U</w:t>
      </w:r>
      <w:r>
        <w:rPr>
          <w:rFonts w:ascii="Verdana" w:hAnsi="Verdana"/>
          <w:i/>
          <w:sz w:val="16"/>
          <w:szCs w:val="16"/>
          <w:lang w:val="es-CR"/>
        </w:rPr>
        <w:t xml:space="preserve">nited </w:t>
      </w:r>
      <w:r w:rsidRPr="00FD6B5C">
        <w:rPr>
          <w:rFonts w:ascii="Verdana" w:hAnsi="Verdana"/>
          <w:i/>
          <w:sz w:val="16"/>
          <w:szCs w:val="16"/>
          <w:lang w:val="es-CR"/>
        </w:rPr>
        <w:t>K</w:t>
      </w:r>
      <w:r>
        <w:rPr>
          <w:rFonts w:ascii="Verdana" w:hAnsi="Verdana"/>
          <w:i/>
          <w:sz w:val="16"/>
          <w:szCs w:val="16"/>
          <w:lang w:val="es-CR"/>
        </w:rPr>
        <w:t>ingdom,</w:t>
      </w:r>
      <w:r w:rsidRPr="00FD6B5C">
        <w:rPr>
          <w:rFonts w:ascii="Verdana" w:hAnsi="Verdana"/>
          <w:sz w:val="16"/>
          <w:szCs w:val="16"/>
          <w:lang w:val="es-CR"/>
        </w:rPr>
        <w:t xml:space="preserve"> </w:t>
      </w:r>
      <w:r>
        <w:rPr>
          <w:rFonts w:ascii="Verdana" w:hAnsi="Verdana"/>
          <w:sz w:val="16"/>
          <w:szCs w:val="16"/>
          <w:lang w:val="es-CR"/>
        </w:rPr>
        <w:t xml:space="preserve">no. </w:t>
      </w:r>
      <w:r w:rsidRPr="00FD6B5C">
        <w:rPr>
          <w:rFonts w:ascii="Verdana" w:hAnsi="Verdana"/>
          <w:sz w:val="16"/>
          <w:szCs w:val="16"/>
          <w:lang w:val="es-CR"/>
        </w:rPr>
        <w:t xml:space="preserve">14038/88, </w:t>
      </w:r>
      <w:r>
        <w:rPr>
          <w:rFonts w:ascii="Verdana" w:hAnsi="Verdana"/>
          <w:sz w:val="16"/>
          <w:szCs w:val="16"/>
          <w:lang w:val="es-CR"/>
        </w:rPr>
        <w:t xml:space="preserve">Sentencia de 7 de julio de </w:t>
      </w:r>
      <w:r w:rsidRPr="00FD6B5C">
        <w:rPr>
          <w:rFonts w:ascii="Verdana" w:hAnsi="Verdana"/>
          <w:sz w:val="16"/>
          <w:szCs w:val="16"/>
          <w:lang w:val="es-CR"/>
        </w:rPr>
        <w:t>1989, párrs. 56, 81 y 111</w:t>
      </w:r>
      <w:r>
        <w:rPr>
          <w:rFonts w:ascii="Verdana" w:hAnsi="Verdana"/>
          <w:sz w:val="16"/>
          <w:szCs w:val="16"/>
          <w:lang w:val="es-CR"/>
        </w:rPr>
        <w:t>.</w:t>
      </w:r>
      <w:r w:rsidRPr="00FD6B5C">
        <w:rPr>
          <w:rFonts w:ascii="Verdana" w:hAnsi="Verdana"/>
          <w:sz w:val="16"/>
          <w:szCs w:val="16"/>
          <w:lang w:val="es-CR"/>
        </w:rPr>
        <w:t xml:space="preserve"> </w:t>
      </w:r>
    </w:p>
  </w:footnote>
  <w:footnote w:id="65">
    <w:p w:rsidR="001C18DD" w:rsidRPr="00A326C2" w:rsidRDefault="001C18DD" w:rsidP="008C3DB8">
      <w:pPr>
        <w:tabs>
          <w:tab w:val="left" w:pos="567"/>
        </w:tabs>
        <w:spacing w:after="0" w:line="240" w:lineRule="auto"/>
        <w:jc w:val="both"/>
        <w:rPr>
          <w:sz w:val="16"/>
          <w:szCs w:val="16"/>
          <w:lang w:val="es-CR"/>
        </w:rPr>
      </w:pPr>
      <w:r w:rsidRPr="00584E70">
        <w:rPr>
          <w:rStyle w:val="Refdenotaalpie"/>
          <w:rFonts w:ascii="Verdana" w:hAnsi="Verdana"/>
          <w:sz w:val="16"/>
          <w:szCs w:val="16"/>
        </w:rPr>
        <w:footnoteRef/>
      </w:r>
      <w:r w:rsidRPr="00584E70">
        <w:rPr>
          <w:rFonts w:ascii="Verdana" w:hAnsi="Verdana"/>
          <w:sz w:val="16"/>
          <w:szCs w:val="16"/>
          <w:lang w:val="es-CR"/>
        </w:rPr>
        <w:t xml:space="preserve"> </w:t>
      </w:r>
      <w:r w:rsidRPr="00584E70">
        <w:rPr>
          <w:rFonts w:ascii="Verdana" w:hAnsi="Verdana"/>
          <w:sz w:val="16"/>
          <w:szCs w:val="16"/>
          <w:lang w:val="es-CR"/>
        </w:rPr>
        <w:tab/>
      </w:r>
      <w:r w:rsidRPr="007C45D8">
        <w:rPr>
          <w:rFonts w:ascii="Verdana" w:hAnsi="Verdana"/>
          <w:i/>
          <w:sz w:val="16"/>
          <w:szCs w:val="16"/>
          <w:lang w:val="es-ES_tradnl"/>
        </w:rPr>
        <w:t xml:space="preserve">Cfr. </w:t>
      </w:r>
      <w:r w:rsidRPr="00836A4A">
        <w:rPr>
          <w:rFonts w:ascii="Verdana" w:hAnsi="Verdana"/>
          <w:sz w:val="16"/>
          <w:szCs w:val="16"/>
          <w:lang w:val="es-ES_tradnl"/>
        </w:rPr>
        <w:t xml:space="preserve">TEDH, </w:t>
      </w:r>
      <w:r w:rsidRPr="00836A4A">
        <w:rPr>
          <w:rFonts w:ascii="Verdana" w:hAnsi="Verdana"/>
          <w:i/>
          <w:sz w:val="16"/>
          <w:szCs w:val="16"/>
          <w:lang w:val="es-ES_tradnl"/>
        </w:rPr>
        <w:t xml:space="preserve">Case of </w:t>
      </w:r>
      <w:proofErr w:type="spellStart"/>
      <w:r w:rsidRPr="00836A4A">
        <w:rPr>
          <w:rFonts w:ascii="Verdana" w:hAnsi="Verdana"/>
          <w:i/>
          <w:sz w:val="16"/>
          <w:szCs w:val="16"/>
          <w:lang w:val="es-ES_tradnl"/>
        </w:rPr>
        <w:t>Ireland</w:t>
      </w:r>
      <w:proofErr w:type="spellEnd"/>
      <w:r w:rsidRPr="00836A4A">
        <w:rPr>
          <w:rFonts w:ascii="Verdana" w:hAnsi="Verdana"/>
          <w:i/>
          <w:sz w:val="16"/>
          <w:szCs w:val="16"/>
          <w:lang w:val="es-ES_tradnl"/>
        </w:rPr>
        <w:t xml:space="preserve"> v. </w:t>
      </w:r>
      <w:proofErr w:type="spellStart"/>
      <w:r w:rsidRPr="00836A4A">
        <w:rPr>
          <w:rFonts w:ascii="Verdana" w:hAnsi="Verdana"/>
          <w:i/>
          <w:sz w:val="16"/>
          <w:szCs w:val="16"/>
          <w:lang w:val="es-ES_tradnl"/>
        </w:rPr>
        <w:t>the</w:t>
      </w:r>
      <w:proofErr w:type="spellEnd"/>
      <w:r w:rsidRPr="00836A4A">
        <w:rPr>
          <w:rFonts w:ascii="Verdana" w:hAnsi="Verdana"/>
          <w:i/>
          <w:sz w:val="16"/>
          <w:szCs w:val="16"/>
          <w:lang w:val="es-ES_tradnl"/>
        </w:rPr>
        <w:t xml:space="preserve"> </w:t>
      </w:r>
      <w:proofErr w:type="spellStart"/>
      <w:r w:rsidRPr="00836A4A">
        <w:rPr>
          <w:rFonts w:ascii="Verdana" w:hAnsi="Verdana"/>
          <w:i/>
          <w:sz w:val="16"/>
          <w:szCs w:val="16"/>
          <w:lang w:val="es-ES_tradnl"/>
        </w:rPr>
        <w:t>United</w:t>
      </w:r>
      <w:proofErr w:type="spellEnd"/>
      <w:r w:rsidRPr="00836A4A">
        <w:rPr>
          <w:rFonts w:ascii="Verdana" w:hAnsi="Verdana"/>
          <w:i/>
          <w:sz w:val="16"/>
          <w:szCs w:val="16"/>
          <w:lang w:val="es-ES_tradnl"/>
        </w:rPr>
        <w:t xml:space="preserve"> </w:t>
      </w:r>
      <w:proofErr w:type="spellStart"/>
      <w:r w:rsidRPr="00836A4A">
        <w:rPr>
          <w:rFonts w:ascii="Verdana" w:hAnsi="Verdana"/>
          <w:i/>
          <w:sz w:val="16"/>
          <w:szCs w:val="16"/>
          <w:lang w:val="es-ES_tradnl"/>
        </w:rPr>
        <w:t>Kingdom</w:t>
      </w:r>
      <w:proofErr w:type="spellEnd"/>
      <w:r w:rsidRPr="00836A4A">
        <w:rPr>
          <w:rFonts w:ascii="Verdana" w:hAnsi="Verdana"/>
          <w:sz w:val="16"/>
          <w:szCs w:val="16"/>
          <w:lang w:val="es-ES_tradnl"/>
        </w:rPr>
        <w:t xml:space="preserve">, no. 5310/71, Sentencia de 18 de enero de 1978, párr. 162; </w:t>
      </w:r>
      <w:r w:rsidRPr="00836A4A">
        <w:rPr>
          <w:rFonts w:ascii="Verdana" w:hAnsi="Verdana"/>
          <w:i/>
          <w:sz w:val="16"/>
          <w:szCs w:val="16"/>
          <w:lang w:val="es-ES_tradnl"/>
        </w:rPr>
        <w:t xml:space="preserve">Case of </w:t>
      </w:r>
      <w:proofErr w:type="spellStart"/>
      <w:r w:rsidRPr="00836A4A">
        <w:rPr>
          <w:rFonts w:ascii="Verdana" w:hAnsi="Verdana"/>
          <w:i/>
          <w:sz w:val="16"/>
          <w:szCs w:val="16"/>
          <w:lang w:val="es-ES_tradnl"/>
        </w:rPr>
        <w:t>Jalloh</w:t>
      </w:r>
      <w:proofErr w:type="spellEnd"/>
      <w:r w:rsidRPr="00836A4A">
        <w:rPr>
          <w:rFonts w:ascii="Verdana" w:hAnsi="Verdana"/>
          <w:i/>
          <w:sz w:val="16"/>
          <w:szCs w:val="16"/>
          <w:lang w:val="es-ES_tradnl"/>
        </w:rPr>
        <w:t xml:space="preserve"> v. </w:t>
      </w:r>
      <w:proofErr w:type="spellStart"/>
      <w:r w:rsidRPr="00836A4A">
        <w:rPr>
          <w:rFonts w:ascii="Verdana" w:hAnsi="Verdana"/>
          <w:i/>
          <w:sz w:val="16"/>
          <w:szCs w:val="16"/>
          <w:lang w:val="es-ES_tradnl"/>
        </w:rPr>
        <w:t>Germany</w:t>
      </w:r>
      <w:proofErr w:type="spellEnd"/>
      <w:r w:rsidRPr="00836A4A">
        <w:rPr>
          <w:rFonts w:ascii="Verdana" w:hAnsi="Verdana"/>
          <w:sz w:val="16"/>
          <w:szCs w:val="16"/>
          <w:lang w:val="es-ES_tradnl"/>
        </w:rPr>
        <w:t xml:space="preserve"> [GS], no. 5</w:t>
      </w:r>
      <w:r w:rsidRPr="00836A4A">
        <w:rPr>
          <w:rFonts w:ascii="Verdana" w:hAnsi="Verdana"/>
          <w:sz w:val="16"/>
          <w:szCs w:val="16"/>
          <w:lang w:val="es-CR"/>
        </w:rPr>
        <w:t>4810/00, Sentencia de 11 de julio de 2006, párr. 67</w:t>
      </w:r>
      <w:r w:rsidRPr="00836A4A">
        <w:rPr>
          <w:rFonts w:ascii="Verdana" w:hAnsi="Verdana"/>
          <w:sz w:val="16"/>
          <w:szCs w:val="16"/>
          <w:lang w:val="es-ES_tradnl"/>
        </w:rPr>
        <w:t xml:space="preserve"> </w:t>
      </w:r>
      <w:r w:rsidRPr="00836A4A">
        <w:rPr>
          <w:rFonts w:ascii="Verdana" w:hAnsi="Verdana"/>
          <w:sz w:val="16"/>
          <w:szCs w:val="16"/>
          <w:lang w:val="es-CR"/>
        </w:rPr>
        <w:t xml:space="preserve">y </w:t>
      </w:r>
      <w:r w:rsidRPr="00836A4A">
        <w:rPr>
          <w:rFonts w:ascii="Verdana" w:hAnsi="Verdana" w:cs="Arial"/>
          <w:i/>
          <w:sz w:val="16"/>
          <w:szCs w:val="16"/>
          <w:lang w:val="es-CR"/>
        </w:rPr>
        <w:t xml:space="preserve">Case of Bouyid v. Belgium </w:t>
      </w:r>
      <w:r w:rsidRPr="00836A4A">
        <w:rPr>
          <w:rFonts w:ascii="Verdana" w:hAnsi="Verdana" w:cs="Arial"/>
          <w:sz w:val="16"/>
          <w:szCs w:val="16"/>
          <w:lang w:val="es-CR"/>
        </w:rPr>
        <w:t>[GS], no. 23380/09/03, Sentencia de 28 de septiembre de 2015, párr. 86.</w:t>
      </w:r>
    </w:p>
  </w:footnote>
  <w:footnote w:id="66">
    <w:p w:rsidR="001C18DD" w:rsidRPr="008E4C70" w:rsidRDefault="001C18DD">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7C45D8">
        <w:rPr>
          <w:rFonts w:ascii="Verdana" w:hAnsi="Verdana"/>
          <w:i/>
          <w:sz w:val="16"/>
          <w:szCs w:val="16"/>
          <w:lang w:val="es-CR"/>
        </w:rPr>
        <w:t>Cfr</w:t>
      </w:r>
      <w:r>
        <w:rPr>
          <w:rFonts w:ascii="Verdana" w:hAnsi="Verdana"/>
          <w:sz w:val="16"/>
          <w:szCs w:val="16"/>
          <w:lang w:val="es-CR"/>
        </w:rPr>
        <w:t xml:space="preserve">. </w:t>
      </w:r>
      <w:r w:rsidRPr="00DC193A">
        <w:rPr>
          <w:rFonts w:ascii="Verdana" w:hAnsi="Verdana"/>
          <w:sz w:val="16"/>
          <w:szCs w:val="16"/>
          <w:lang w:val="es-CR"/>
        </w:rPr>
        <w:t>Comité de Derechos Humanos</w:t>
      </w:r>
      <w:r>
        <w:rPr>
          <w:rFonts w:ascii="Verdana" w:hAnsi="Verdana"/>
          <w:sz w:val="16"/>
          <w:szCs w:val="16"/>
          <w:lang w:val="es-CR"/>
        </w:rPr>
        <w:t>,</w:t>
      </w:r>
      <w:r w:rsidRPr="00DC193A">
        <w:rPr>
          <w:rFonts w:ascii="Verdana" w:hAnsi="Verdana"/>
          <w:sz w:val="16"/>
          <w:szCs w:val="16"/>
          <w:lang w:val="es-CR"/>
        </w:rPr>
        <w:t xml:space="preserve"> </w:t>
      </w:r>
      <w:r w:rsidRPr="008E4C70">
        <w:rPr>
          <w:rFonts w:ascii="Verdana" w:hAnsi="Verdana"/>
          <w:bCs/>
          <w:sz w:val="16"/>
          <w:szCs w:val="16"/>
          <w:lang w:val="es-CR"/>
        </w:rPr>
        <w:t xml:space="preserve">Observación </w:t>
      </w:r>
      <w:r>
        <w:rPr>
          <w:rFonts w:ascii="Verdana" w:hAnsi="Verdana"/>
          <w:bCs/>
          <w:sz w:val="16"/>
          <w:szCs w:val="16"/>
          <w:lang w:val="es-CR"/>
        </w:rPr>
        <w:t>G</w:t>
      </w:r>
      <w:r w:rsidRPr="008E4C70">
        <w:rPr>
          <w:rFonts w:ascii="Verdana" w:hAnsi="Verdana"/>
          <w:bCs/>
          <w:sz w:val="16"/>
          <w:szCs w:val="16"/>
          <w:lang w:val="es-CR"/>
        </w:rPr>
        <w:t xml:space="preserve">eneral </w:t>
      </w:r>
      <w:r>
        <w:rPr>
          <w:rFonts w:ascii="Verdana" w:hAnsi="Verdana"/>
          <w:bCs/>
          <w:sz w:val="16"/>
          <w:szCs w:val="16"/>
          <w:lang w:val="es-CR"/>
        </w:rPr>
        <w:t>No</w:t>
      </w:r>
      <w:r w:rsidRPr="008E4C70">
        <w:rPr>
          <w:rFonts w:ascii="Verdana" w:hAnsi="Verdana"/>
          <w:bCs/>
          <w:sz w:val="16"/>
          <w:szCs w:val="16"/>
          <w:lang w:val="es-CR"/>
        </w:rPr>
        <w:t>. 36 sobre el artículo 6 del Pacto Internacional de Derechos Civiles y Políticos, relativo al derecho a la vida</w:t>
      </w:r>
      <w:r w:rsidRPr="008E4C70">
        <w:rPr>
          <w:rFonts w:ascii="Verdana" w:hAnsi="Verdana"/>
          <w:sz w:val="16"/>
          <w:szCs w:val="16"/>
          <w:lang w:val="es-CR"/>
        </w:rPr>
        <w:t xml:space="preserve">. </w:t>
      </w:r>
      <w:r w:rsidRPr="003051D1">
        <w:rPr>
          <w:rFonts w:ascii="Verdana" w:hAnsi="Verdana"/>
          <w:bCs/>
          <w:sz w:val="16"/>
          <w:szCs w:val="16"/>
          <w:lang w:val="es-CR"/>
        </w:rPr>
        <w:t>Proyecto revisado</w:t>
      </w:r>
      <w:r>
        <w:rPr>
          <w:rFonts w:ascii="Verdana" w:hAnsi="Verdana"/>
          <w:bCs/>
          <w:sz w:val="16"/>
          <w:szCs w:val="16"/>
          <w:lang w:val="es-CR"/>
        </w:rPr>
        <w:t xml:space="preserve"> preparado por el Relator</w:t>
      </w:r>
      <w:r w:rsidRPr="008E4C70">
        <w:rPr>
          <w:rFonts w:ascii="Verdana" w:hAnsi="Verdana"/>
          <w:bCs/>
          <w:sz w:val="16"/>
          <w:szCs w:val="16"/>
          <w:lang w:val="es-CR"/>
        </w:rPr>
        <w:t xml:space="preserve">. </w:t>
      </w:r>
      <w:r w:rsidRPr="008E4C70">
        <w:rPr>
          <w:rFonts w:ascii="Verdana" w:hAnsi="Verdana"/>
          <w:sz w:val="16"/>
          <w:szCs w:val="16"/>
          <w:lang w:val="es-CR"/>
        </w:rPr>
        <w:t>Proyecto aprobado en primera lectura en el 120º período de sesiones (3 a 28 de julio de 2017)</w:t>
      </w:r>
      <w:r>
        <w:rPr>
          <w:rFonts w:ascii="Verdana" w:hAnsi="Verdana"/>
          <w:sz w:val="16"/>
          <w:szCs w:val="16"/>
          <w:lang w:val="es-CR"/>
        </w:rPr>
        <w:t>,</w:t>
      </w:r>
      <w:r w:rsidRPr="008E4C70">
        <w:rPr>
          <w:rFonts w:ascii="Verdana" w:hAnsi="Verdana"/>
          <w:bCs/>
          <w:sz w:val="16"/>
          <w:szCs w:val="16"/>
          <w:lang w:val="es-CR"/>
        </w:rPr>
        <w:t xml:space="preserve"> </w:t>
      </w:r>
      <w:r w:rsidRPr="008E4C70">
        <w:rPr>
          <w:rFonts w:ascii="Verdana" w:hAnsi="Verdana"/>
          <w:sz w:val="16"/>
          <w:szCs w:val="16"/>
          <w:lang w:val="es-CR"/>
        </w:rPr>
        <w:t>párr. 44</w:t>
      </w:r>
      <w:r>
        <w:rPr>
          <w:rFonts w:ascii="Verdana" w:hAnsi="Verdana"/>
          <w:sz w:val="16"/>
          <w:szCs w:val="16"/>
          <w:lang w:val="es-CR"/>
        </w:rPr>
        <w:t>;</w:t>
      </w:r>
      <w:r w:rsidRPr="008E4C70">
        <w:rPr>
          <w:rFonts w:ascii="Verdana" w:hAnsi="Verdana"/>
          <w:sz w:val="16"/>
          <w:szCs w:val="16"/>
          <w:lang w:val="es-CR"/>
        </w:rPr>
        <w:t xml:space="preserve"> Salvaguardias para garantizar la protección de los derechos de los condenados a la pena de muerte</w:t>
      </w:r>
      <w:r>
        <w:rPr>
          <w:rFonts w:ascii="Verdana" w:hAnsi="Verdana"/>
          <w:sz w:val="16"/>
          <w:szCs w:val="16"/>
          <w:lang w:val="es-CR"/>
        </w:rPr>
        <w:t>,</w:t>
      </w:r>
      <w:r w:rsidRPr="008E4C70">
        <w:rPr>
          <w:rFonts w:ascii="Verdana" w:hAnsi="Verdana"/>
          <w:sz w:val="16"/>
          <w:szCs w:val="16"/>
          <w:lang w:val="es-CR"/>
        </w:rPr>
        <w:t xml:space="preserve"> Aprobadas por el Consejo Económico y Social en su resolución 1984/50, de 25 de mayo de 1984,</w:t>
      </w:r>
      <w:r>
        <w:rPr>
          <w:rFonts w:ascii="Verdana" w:hAnsi="Verdana"/>
          <w:sz w:val="16"/>
          <w:szCs w:val="16"/>
          <w:lang w:val="es-CR"/>
        </w:rPr>
        <w:t xml:space="preserve"> y</w:t>
      </w:r>
      <w:r w:rsidRPr="008E4C70">
        <w:rPr>
          <w:rFonts w:ascii="Verdana" w:hAnsi="Verdana"/>
          <w:sz w:val="16"/>
          <w:szCs w:val="16"/>
          <w:lang w:val="es-CR"/>
        </w:rPr>
        <w:t xml:space="preserve"> D</w:t>
      </w:r>
      <w:r>
        <w:rPr>
          <w:rFonts w:ascii="Verdana" w:hAnsi="Verdana"/>
          <w:sz w:val="16"/>
          <w:szCs w:val="16"/>
          <w:lang w:val="es-CR"/>
        </w:rPr>
        <w:t xml:space="preserve">irectrices de la </w:t>
      </w:r>
      <w:r w:rsidRPr="008E4C70">
        <w:rPr>
          <w:rFonts w:ascii="Verdana" w:hAnsi="Verdana"/>
          <w:sz w:val="16"/>
          <w:szCs w:val="16"/>
          <w:lang w:val="es-CR"/>
        </w:rPr>
        <w:t xml:space="preserve">UE </w:t>
      </w:r>
      <w:r>
        <w:rPr>
          <w:rFonts w:ascii="Verdana" w:hAnsi="Verdana"/>
          <w:sz w:val="16"/>
          <w:szCs w:val="16"/>
          <w:lang w:val="es-CR"/>
        </w:rPr>
        <w:t xml:space="preserve">sobre la pena de muerte, no. </w:t>
      </w:r>
      <w:r w:rsidRPr="007C45D8">
        <w:rPr>
          <w:lang w:val="es-CR"/>
        </w:rPr>
        <w:t>8372/13 de 12 de abril de 2013.</w:t>
      </w:r>
    </w:p>
  </w:footnote>
  <w:footnote w:id="67">
    <w:p w:rsidR="001C18DD" w:rsidRPr="007C45D8" w:rsidRDefault="001C18DD" w:rsidP="005777DA">
      <w:pPr>
        <w:spacing w:after="0"/>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445007">
        <w:rPr>
          <w:rFonts w:ascii="Verdana" w:hAnsi="Verdana"/>
          <w:i/>
          <w:sz w:val="16"/>
          <w:szCs w:val="16"/>
          <w:lang w:val="es-CR"/>
        </w:rPr>
        <w:t>Cfr.</w:t>
      </w:r>
      <w:r>
        <w:rPr>
          <w:rFonts w:ascii="Verdana" w:hAnsi="Verdana"/>
          <w:sz w:val="16"/>
          <w:szCs w:val="16"/>
          <w:lang w:val="es-CR"/>
        </w:rPr>
        <w:t xml:space="preserve"> </w:t>
      </w:r>
      <w:r w:rsidRPr="007C45D8">
        <w:rPr>
          <w:rFonts w:ascii="Verdana" w:hAnsi="Verdana"/>
          <w:sz w:val="16"/>
          <w:szCs w:val="16"/>
          <w:lang w:val="es-CR"/>
        </w:rPr>
        <w:t xml:space="preserve">Comité </w:t>
      </w:r>
      <w:r w:rsidRPr="007C45D8">
        <w:rPr>
          <w:rFonts w:ascii="Verdana" w:hAnsi="Verdana"/>
          <w:sz w:val="16"/>
          <w:szCs w:val="16"/>
          <w:lang w:val="es-CR"/>
        </w:rPr>
        <w:t xml:space="preserve">de Derechos Humanos, </w:t>
      </w:r>
      <w:r w:rsidRPr="00302E2B">
        <w:rPr>
          <w:rFonts w:ascii="Verdana" w:hAnsi="Verdana"/>
          <w:i/>
          <w:sz w:val="16"/>
          <w:szCs w:val="16"/>
          <w:lang w:val="es-CR"/>
        </w:rPr>
        <w:t>Ng vs. Canadá</w:t>
      </w:r>
      <w:r w:rsidRPr="007C45D8">
        <w:rPr>
          <w:rFonts w:ascii="Verdana" w:hAnsi="Verdana"/>
          <w:sz w:val="16"/>
          <w:szCs w:val="16"/>
          <w:lang w:val="es-CR"/>
        </w:rPr>
        <w:t xml:space="preserve">, decisión de 5 de noviembre de 1993, comunicación no. 469/1991, párrs. 16.2 y 16.4; Comisión de Derechos Humanos, Cuestión de la pena </w:t>
      </w:r>
      <w:r w:rsidRPr="008E4C70">
        <w:rPr>
          <w:rFonts w:ascii="Verdana" w:hAnsi="Verdana"/>
          <w:sz w:val="16"/>
          <w:szCs w:val="16"/>
          <w:lang w:val="es-CR"/>
        </w:rPr>
        <w:t>capital</w:t>
      </w:r>
      <w:r>
        <w:rPr>
          <w:rFonts w:ascii="Verdana" w:hAnsi="Verdana"/>
          <w:sz w:val="16"/>
          <w:szCs w:val="16"/>
          <w:lang w:val="es-CR"/>
        </w:rPr>
        <w:t xml:space="preserve">, </w:t>
      </w:r>
      <w:r w:rsidRPr="008E4C70">
        <w:rPr>
          <w:rFonts w:ascii="Verdana" w:hAnsi="Verdana"/>
          <w:sz w:val="16"/>
          <w:szCs w:val="16"/>
          <w:lang w:val="es-CR"/>
        </w:rPr>
        <w:t>2005/59</w:t>
      </w:r>
      <w:r>
        <w:rPr>
          <w:rFonts w:ascii="Verdana" w:hAnsi="Verdana"/>
          <w:sz w:val="16"/>
          <w:szCs w:val="16"/>
          <w:lang w:val="es-CR"/>
        </w:rPr>
        <w:t xml:space="preserve"> (2005)</w:t>
      </w:r>
      <w:r w:rsidRPr="007C45D8">
        <w:rPr>
          <w:rFonts w:ascii="Verdana" w:hAnsi="Verdana"/>
          <w:sz w:val="16"/>
          <w:szCs w:val="16"/>
          <w:lang w:val="es-CR"/>
        </w:rPr>
        <w:t xml:space="preserve">; </w:t>
      </w:r>
      <w:r w:rsidRPr="008E4C70">
        <w:rPr>
          <w:rFonts w:ascii="Verdana" w:hAnsi="Verdana"/>
          <w:sz w:val="16"/>
          <w:szCs w:val="16"/>
          <w:lang w:val="es-CR"/>
        </w:rPr>
        <w:t xml:space="preserve">Comité de Derechos Humanos, </w:t>
      </w:r>
      <w:r>
        <w:rPr>
          <w:rFonts w:ascii="Verdana" w:hAnsi="Verdana"/>
          <w:sz w:val="16"/>
          <w:szCs w:val="16"/>
          <w:lang w:val="es-CR"/>
        </w:rPr>
        <w:t>O</w:t>
      </w:r>
      <w:r w:rsidRPr="008E4C70">
        <w:rPr>
          <w:rFonts w:ascii="Verdana" w:hAnsi="Verdana"/>
          <w:sz w:val="16"/>
          <w:szCs w:val="16"/>
          <w:lang w:val="es-CR"/>
        </w:rPr>
        <w:t xml:space="preserve">bservación </w:t>
      </w:r>
      <w:r>
        <w:rPr>
          <w:rFonts w:ascii="Verdana" w:hAnsi="Verdana"/>
          <w:sz w:val="16"/>
          <w:szCs w:val="16"/>
          <w:lang w:val="es-CR"/>
        </w:rPr>
        <w:t>G</w:t>
      </w:r>
      <w:r w:rsidRPr="008E4C70">
        <w:rPr>
          <w:rFonts w:ascii="Verdana" w:hAnsi="Verdana"/>
          <w:sz w:val="16"/>
          <w:szCs w:val="16"/>
          <w:lang w:val="es-CR"/>
        </w:rPr>
        <w:t xml:space="preserve">eneral </w:t>
      </w:r>
      <w:r>
        <w:rPr>
          <w:rFonts w:ascii="Verdana" w:hAnsi="Verdana"/>
          <w:sz w:val="16"/>
          <w:szCs w:val="16"/>
          <w:lang w:val="es-CR"/>
        </w:rPr>
        <w:t>No</w:t>
      </w:r>
      <w:r w:rsidRPr="008E4C70">
        <w:rPr>
          <w:rFonts w:ascii="Verdana" w:hAnsi="Verdana"/>
          <w:sz w:val="16"/>
          <w:szCs w:val="16"/>
          <w:lang w:val="es-CR"/>
        </w:rPr>
        <w:t>. 20 sobre la prohibición de la tortura u otros tratos o penas crueles, inhumanos o degradantes</w:t>
      </w:r>
      <w:r>
        <w:rPr>
          <w:rFonts w:ascii="Verdana" w:hAnsi="Verdana"/>
          <w:sz w:val="16"/>
          <w:szCs w:val="16"/>
          <w:lang w:val="es-CR"/>
        </w:rPr>
        <w:t xml:space="preserve"> </w:t>
      </w:r>
      <w:r w:rsidRPr="008E4C70">
        <w:rPr>
          <w:rFonts w:ascii="Verdana" w:hAnsi="Verdana"/>
          <w:sz w:val="16"/>
          <w:szCs w:val="16"/>
          <w:lang w:val="es-CR"/>
        </w:rPr>
        <w:t xml:space="preserve">(1992), párr. 6; </w:t>
      </w:r>
      <w:r>
        <w:rPr>
          <w:rFonts w:ascii="Verdana" w:hAnsi="Verdana"/>
          <w:sz w:val="16"/>
          <w:szCs w:val="16"/>
          <w:lang w:val="es-CR"/>
        </w:rPr>
        <w:t xml:space="preserve">Consejo de Derechos Humanos, La cuestión de la pena capital, </w:t>
      </w:r>
      <w:r w:rsidRPr="008E4C70">
        <w:rPr>
          <w:rFonts w:ascii="Verdana" w:hAnsi="Verdana"/>
          <w:sz w:val="16"/>
          <w:szCs w:val="16"/>
          <w:lang w:val="es-CR"/>
        </w:rPr>
        <w:t xml:space="preserve">A/HRC/24/18 </w:t>
      </w:r>
      <w:r>
        <w:rPr>
          <w:rFonts w:ascii="Verdana" w:hAnsi="Verdana"/>
          <w:sz w:val="16"/>
          <w:szCs w:val="16"/>
          <w:lang w:val="es-CR"/>
        </w:rPr>
        <w:t>(2013),</w:t>
      </w:r>
      <w:r w:rsidRPr="008E4C70">
        <w:rPr>
          <w:rFonts w:ascii="Verdana" w:hAnsi="Verdana"/>
          <w:sz w:val="16"/>
          <w:szCs w:val="16"/>
          <w:lang w:val="es-CR"/>
        </w:rPr>
        <w:t xml:space="preserve"> párrs. 59 a 61</w:t>
      </w:r>
      <w:r>
        <w:rPr>
          <w:rFonts w:ascii="Verdana" w:hAnsi="Verdana"/>
          <w:sz w:val="16"/>
          <w:szCs w:val="16"/>
          <w:lang w:val="es-CR"/>
        </w:rPr>
        <w:t xml:space="preserve">; Consejo de Derechos Humanos, </w:t>
      </w:r>
      <w:r w:rsidRPr="005777DA">
        <w:rPr>
          <w:rFonts w:ascii="Verdana" w:hAnsi="Verdana"/>
          <w:sz w:val="16"/>
          <w:szCs w:val="16"/>
          <w:lang w:val="es-CR"/>
        </w:rPr>
        <w:t>La pena capital y la aplic</w:t>
      </w:r>
      <w:r>
        <w:rPr>
          <w:rFonts w:ascii="Verdana" w:hAnsi="Verdana"/>
          <w:sz w:val="16"/>
          <w:szCs w:val="16"/>
          <w:lang w:val="es-CR"/>
        </w:rPr>
        <w:t xml:space="preserve">ación de las salvaguardias para </w:t>
      </w:r>
      <w:r w:rsidRPr="005777DA">
        <w:rPr>
          <w:rFonts w:ascii="Verdana" w:hAnsi="Verdana"/>
          <w:sz w:val="16"/>
          <w:szCs w:val="16"/>
          <w:lang w:val="es-CR"/>
        </w:rPr>
        <w:t>garantizar la protección de</w:t>
      </w:r>
      <w:r>
        <w:rPr>
          <w:rFonts w:ascii="Verdana" w:hAnsi="Verdana"/>
          <w:sz w:val="16"/>
          <w:szCs w:val="16"/>
          <w:lang w:val="es-CR"/>
        </w:rPr>
        <w:t xml:space="preserve"> los derechos de los condenados </w:t>
      </w:r>
      <w:r w:rsidRPr="005777DA">
        <w:rPr>
          <w:rFonts w:ascii="Verdana" w:hAnsi="Verdana"/>
          <w:sz w:val="16"/>
          <w:szCs w:val="16"/>
          <w:lang w:val="es-CR"/>
        </w:rPr>
        <w:t>a la pena de muerte</w:t>
      </w:r>
      <w:r>
        <w:rPr>
          <w:rFonts w:ascii="Verdana" w:hAnsi="Verdana"/>
          <w:sz w:val="16"/>
          <w:szCs w:val="16"/>
          <w:lang w:val="es-CR"/>
        </w:rPr>
        <w:t>,</w:t>
      </w:r>
      <w:r w:rsidRPr="008E4C70">
        <w:rPr>
          <w:rFonts w:ascii="Verdana" w:hAnsi="Verdana"/>
          <w:sz w:val="16"/>
          <w:szCs w:val="16"/>
          <w:lang w:val="es-CR"/>
        </w:rPr>
        <w:t xml:space="preserve"> A/HRC/30/18</w:t>
      </w:r>
      <w:r>
        <w:rPr>
          <w:rFonts w:ascii="Verdana" w:hAnsi="Verdana"/>
          <w:sz w:val="16"/>
          <w:szCs w:val="16"/>
          <w:lang w:val="es-CR"/>
        </w:rPr>
        <w:t xml:space="preserve"> (2015)</w:t>
      </w:r>
      <w:r w:rsidRPr="008E4C70">
        <w:rPr>
          <w:rFonts w:ascii="Verdana" w:hAnsi="Verdana"/>
          <w:sz w:val="16"/>
          <w:szCs w:val="16"/>
          <w:lang w:val="es-CR"/>
        </w:rPr>
        <w:t>, p</w:t>
      </w:r>
      <w:r>
        <w:rPr>
          <w:rFonts w:ascii="Verdana" w:hAnsi="Verdana"/>
          <w:sz w:val="16"/>
          <w:szCs w:val="16"/>
          <w:lang w:val="es-CR"/>
        </w:rPr>
        <w:t>á</w:t>
      </w:r>
      <w:r w:rsidRPr="008E4C70">
        <w:rPr>
          <w:rFonts w:ascii="Verdana" w:hAnsi="Verdana"/>
          <w:sz w:val="16"/>
          <w:szCs w:val="16"/>
          <w:lang w:val="es-CR"/>
        </w:rPr>
        <w:t>r</w:t>
      </w:r>
      <w:r>
        <w:rPr>
          <w:rFonts w:ascii="Verdana" w:hAnsi="Verdana"/>
          <w:sz w:val="16"/>
          <w:szCs w:val="16"/>
          <w:lang w:val="es-CR"/>
        </w:rPr>
        <w:t>r</w:t>
      </w:r>
      <w:r w:rsidRPr="008E4C70">
        <w:rPr>
          <w:rFonts w:ascii="Verdana" w:hAnsi="Verdana"/>
          <w:sz w:val="16"/>
          <w:szCs w:val="16"/>
          <w:lang w:val="es-CR"/>
        </w:rPr>
        <w:t>s. 30 a 32</w:t>
      </w:r>
      <w:r>
        <w:rPr>
          <w:rFonts w:ascii="Verdana" w:hAnsi="Verdana"/>
          <w:sz w:val="16"/>
          <w:szCs w:val="16"/>
          <w:lang w:val="es-CR"/>
        </w:rPr>
        <w:t>;</w:t>
      </w:r>
      <w:r w:rsidRPr="008E4C70">
        <w:rPr>
          <w:rFonts w:ascii="Verdana" w:hAnsi="Verdana"/>
          <w:sz w:val="16"/>
          <w:szCs w:val="16"/>
          <w:lang w:val="es-CR"/>
        </w:rPr>
        <w:t xml:space="preserve"> </w:t>
      </w:r>
      <w:r>
        <w:rPr>
          <w:rFonts w:ascii="Verdana" w:hAnsi="Verdana"/>
          <w:sz w:val="16"/>
          <w:szCs w:val="16"/>
          <w:lang w:val="es-CR"/>
        </w:rPr>
        <w:t xml:space="preserve">Consejo de Derechos Humanos, La cuestión de la pena capital, </w:t>
      </w:r>
      <w:r w:rsidRPr="008E4C70">
        <w:rPr>
          <w:rFonts w:ascii="Verdana" w:hAnsi="Verdana"/>
          <w:sz w:val="16"/>
          <w:szCs w:val="16"/>
          <w:lang w:val="es-CR"/>
        </w:rPr>
        <w:t>A/HRC/39/19</w:t>
      </w:r>
      <w:r>
        <w:rPr>
          <w:rFonts w:ascii="Verdana" w:hAnsi="Verdana"/>
          <w:sz w:val="16"/>
          <w:szCs w:val="16"/>
          <w:lang w:val="es-CR"/>
        </w:rPr>
        <w:t xml:space="preserve"> (</w:t>
      </w:r>
      <w:r w:rsidRPr="008E4C70">
        <w:rPr>
          <w:rFonts w:ascii="Verdana" w:hAnsi="Verdana"/>
          <w:sz w:val="16"/>
          <w:szCs w:val="16"/>
          <w:lang w:val="es-CR"/>
        </w:rPr>
        <w:t>2018</w:t>
      </w:r>
      <w:r>
        <w:rPr>
          <w:rFonts w:ascii="Verdana" w:hAnsi="Verdana"/>
          <w:sz w:val="16"/>
          <w:szCs w:val="16"/>
          <w:lang w:val="es-CR"/>
        </w:rPr>
        <w:t xml:space="preserve">), </w:t>
      </w:r>
      <w:r w:rsidRPr="008E4C70">
        <w:rPr>
          <w:rFonts w:ascii="Verdana" w:hAnsi="Verdana"/>
          <w:sz w:val="16"/>
          <w:szCs w:val="16"/>
          <w:lang w:val="es-CR"/>
        </w:rPr>
        <w:t>p</w:t>
      </w:r>
      <w:r>
        <w:rPr>
          <w:rFonts w:ascii="Verdana" w:hAnsi="Verdana"/>
          <w:sz w:val="16"/>
          <w:szCs w:val="16"/>
          <w:lang w:val="es-CR"/>
        </w:rPr>
        <w:t>á</w:t>
      </w:r>
      <w:r w:rsidRPr="008E4C70">
        <w:rPr>
          <w:rFonts w:ascii="Verdana" w:hAnsi="Verdana"/>
          <w:sz w:val="16"/>
          <w:szCs w:val="16"/>
          <w:lang w:val="es-CR"/>
        </w:rPr>
        <w:t>r</w:t>
      </w:r>
      <w:r>
        <w:rPr>
          <w:rFonts w:ascii="Verdana" w:hAnsi="Verdana"/>
          <w:sz w:val="16"/>
          <w:szCs w:val="16"/>
          <w:lang w:val="es-CR"/>
        </w:rPr>
        <w:t>r 38.</w:t>
      </w:r>
    </w:p>
  </w:footnote>
  <w:footnote w:id="68">
    <w:p w:rsidR="001C18DD" w:rsidRPr="00BE233A" w:rsidRDefault="001C18DD">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7C45D8">
        <w:rPr>
          <w:rFonts w:ascii="Verdana" w:hAnsi="Verdana"/>
          <w:sz w:val="16"/>
          <w:szCs w:val="16"/>
          <w:lang w:val="es-CR"/>
        </w:rPr>
        <w:t xml:space="preserve"> </w:t>
      </w:r>
      <w:r w:rsidRPr="007C45D8">
        <w:rPr>
          <w:rFonts w:ascii="Verdana" w:hAnsi="Verdana"/>
          <w:sz w:val="16"/>
          <w:szCs w:val="16"/>
          <w:lang w:val="es-CR"/>
        </w:rPr>
        <w:tab/>
      </w:r>
      <w:r w:rsidRPr="00513622">
        <w:rPr>
          <w:rFonts w:ascii="Verdana" w:hAnsi="Verdana"/>
          <w:i/>
          <w:sz w:val="16"/>
          <w:szCs w:val="16"/>
          <w:lang w:val="es-CR"/>
        </w:rPr>
        <w:t>Cfr</w:t>
      </w:r>
      <w:r>
        <w:rPr>
          <w:rFonts w:ascii="Verdana" w:hAnsi="Verdana"/>
          <w:sz w:val="16"/>
          <w:szCs w:val="16"/>
          <w:lang w:val="es-CR"/>
        </w:rPr>
        <w:t xml:space="preserve">. </w:t>
      </w:r>
      <w:r w:rsidRPr="00BE233A">
        <w:rPr>
          <w:rFonts w:ascii="Verdana" w:hAnsi="Verdana"/>
          <w:sz w:val="16"/>
          <w:szCs w:val="16"/>
          <w:lang w:val="es-CR"/>
        </w:rPr>
        <w:t>TEDH</w:t>
      </w:r>
      <w:r>
        <w:rPr>
          <w:rFonts w:ascii="Verdana" w:hAnsi="Verdana"/>
          <w:sz w:val="16"/>
          <w:szCs w:val="16"/>
          <w:lang w:val="es-CR"/>
        </w:rPr>
        <w:t>.</w:t>
      </w:r>
      <w:r w:rsidRPr="007C45D8">
        <w:rPr>
          <w:rFonts w:ascii="Verdana" w:hAnsi="Verdana"/>
          <w:i/>
          <w:sz w:val="16"/>
          <w:szCs w:val="16"/>
          <w:lang w:val="es-CR"/>
        </w:rPr>
        <w:t xml:space="preserve"> </w:t>
      </w:r>
      <w:r w:rsidRPr="00BC0365">
        <w:rPr>
          <w:rFonts w:ascii="Verdana" w:hAnsi="Verdana"/>
          <w:i/>
          <w:sz w:val="16"/>
          <w:szCs w:val="16"/>
          <w:lang w:val="es-CR"/>
        </w:rPr>
        <w:t xml:space="preserve">Al-Saadon and Mufdhi v. The United Kingdom </w:t>
      </w:r>
      <w:r w:rsidRPr="00BC0365">
        <w:rPr>
          <w:rFonts w:ascii="Verdana" w:hAnsi="Verdana"/>
          <w:sz w:val="16"/>
          <w:szCs w:val="16"/>
          <w:lang w:val="es-CR"/>
        </w:rPr>
        <w:t xml:space="preserve">no. </w:t>
      </w:r>
      <w:r w:rsidRPr="007C45D8">
        <w:rPr>
          <w:rFonts w:ascii="Verdana" w:hAnsi="Verdana"/>
          <w:sz w:val="16"/>
          <w:szCs w:val="16"/>
          <w:lang w:val="es-CR"/>
        </w:rPr>
        <w:t>61498/08,</w:t>
      </w:r>
      <w:r w:rsidRPr="00BE233A">
        <w:rPr>
          <w:rFonts w:ascii="Verdana" w:hAnsi="Verdana"/>
          <w:sz w:val="16"/>
          <w:szCs w:val="16"/>
          <w:lang w:val="es-CR"/>
        </w:rPr>
        <w:t xml:space="preserve"> Sentencia de </w:t>
      </w:r>
      <w:r w:rsidRPr="007C45D8">
        <w:rPr>
          <w:rFonts w:ascii="Verdana" w:hAnsi="Verdana"/>
          <w:sz w:val="16"/>
          <w:szCs w:val="16"/>
          <w:lang w:val="es-CR"/>
        </w:rPr>
        <w:t>2 de marzo</w:t>
      </w:r>
      <w:r>
        <w:rPr>
          <w:rFonts w:ascii="Verdana" w:hAnsi="Verdana"/>
          <w:sz w:val="16"/>
          <w:szCs w:val="16"/>
          <w:lang w:val="es-CR"/>
        </w:rPr>
        <w:t xml:space="preserve"> </w:t>
      </w:r>
      <w:r w:rsidRPr="007C45D8">
        <w:rPr>
          <w:rFonts w:ascii="Verdana" w:hAnsi="Verdana"/>
          <w:sz w:val="16"/>
          <w:szCs w:val="16"/>
          <w:lang w:val="es-CR"/>
        </w:rPr>
        <w:t>de 2010, párr. 115;</w:t>
      </w:r>
      <w:r w:rsidRPr="00BE233A">
        <w:rPr>
          <w:rFonts w:ascii="Verdana" w:hAnsi="Verdana"/>
          <w:i/>
          <w:sz w:val="16"/>
          <w:szCs w:val="16"/>
          <w:lang w:val="es-CR"/>
        </w:rPr>
        <w:t xml:space="preserve"> Bader y Knabor v. S</w:t>
      </w:r>
      <w:r>
        <w:rPr>
          <w:rFonts w:ascii="Verdana" w:hAnsi="Verdana"/>
          <w:i/>
          <w:sz w:val="16"/>
          <w:szCs w:val="16"/>
          <w:lang w:val="es-CR"/>
        </w:rPr>
        <w:t>weden</w:t>
      </w:r>
      <w:r w:rsidRPr="00BE233A">
        <w:rPr>
          <w:rFonts w:ascii="Verdana" w:hAnsi="Verdana"/>
          <w:sz w:val="16"/>
          <w:szCs w:val="16"/>
          <w:lang w:val="es-CR"/>
        </w:rPr>
        <w:t>,</w:t>
      </w:r>
      <w:r>
        <w:rPr>
          <w:rFonts w:ascii="Verdana" w:hAnsi="Verdana"/>
          <w:sz w:val="16"/>
          <w:szCs w:val="16"/>
          <w:lang w:val="es-CR"/>
        </w:rPr>
        <w:t xml:space="preserve"> no. 13284/04, </w:t>
      </w:r>
      <w:r w:rsidRPr="002F0B07">
        <w:rPr>
          <w:rFonts w:ascii="Verdana" w:hAnsi="Verdana"/>
          <w:sz w:val="16"/>
          <w:szCs w:val="16"/>
          <w:lang w:val="es-CR"/>
        </w:rPr>
        <w:t>Sentencia de</w:t>
      </w:r>
      <w:r>
        <w:rPr>
          <w:rFonts w:ascii="Verdana" w:hAnsi="Verdana"/>
          <w:sz w:val="16"/>
          <w:szCs w:val="16"/>
          <w:lang w:val="es-CR"/>
        </w:rPr>
        <w:t xml:space="preserve"> 8 de noviembre de 2005, párr. 42.</w:t>
      </w:r>
      <w:r w:rsidRPr="00BE233A">
        <w:rPr>
          <w:rFonts w:ascii="Verdana" w:hAnsi="Verdana"/>
          <w:sz w:val="16"/>
          <w:szCs w:val="16"/>
          <w:lang w:val="es-CR"/>
        </w:rPr>
        <w:t xml:space="preserve"> </w:t>
      </w:r>
    </w:p>
  </w:footnote>
  <w:footnote w:id="69">
    <w:p w:rsidR="001C18DD" w:rsidRPr="00BE233A" w:rsidRDefault="001C18DD">
      <w:pPr>
        <w:pStyle w:val="Textonotapie"/>
        <w:jc w:val="both"/>
        <w:rPr>
          <w:rFonts w:ascii="Verdana" w:hAnsi="Verdana"/>
          <w:sz w:val="16"/>
          <w:szCs w:val="16"/>
          <w:lang w:val="es-CR"/>
        </w:rPr>
      </w:pPr>
      <w:r w:rsidRPr="00BE233A">
        <w:rPr>
          <w:rStyle w:val="Refdenotaalpie"/>
          <w:rFonts w:ascii="Verdana" w:hAnsi="Verdana"/>
          <w:sz w:val="16"/>
          <w:szCs w:val="16"/>
        </w:rPr>
        <w:footnoteRef/>
      </w:r>
      <w:r w:rsidRPr="00BE233A">
        <w:rPr>
          <w:rFonts w:ascii="Verdana" w:hAnsi="Verdana"/>
          <w:sz w:val="16"/>
          <w:szCs w:val="16"/>
          <w:lang w:val="es-CR"/>
        </w:rPr>
        <w:t xml:space="preserve"> </w:t>
      </w:r>
      <w:r w:rsidRPr="00BE233A">
        <w:rPr>
          <w:rFonts w:ascii="Verdana" w:hAnsi="Verdana"/>
          <w:sz w:val="16"/>
          <w:szCs w:val="16"/>
          <w:lang w:val="es-CR"/>
        </w:rPr>
        <w:tab/>
      </w:r>
      <w:r>
        <w:rPr>
          <w:rFonts w:ascii="Verdana" w:hAnsi="Verdana"/>
          <w:sz w:val="16"/>
          <w:szCs w:val="16"/>
          <w:lang w:val="es-CR"/>
        </w:rPr>
        <w:t xml:space="preserve">Consejo de Derechos Humanos, </w:t>
      </w:r>
      <w:r w:rsidRPr="00BE233A">
        <w:rPr>
          <w:rFonts w:ascii="Verdana" w:hAnsi="Verdana"/>
          <w:sz w:val="16"/>
          <w:szCs w:val="16"/>
          <w:lang w:val="es-CR"/>
        </w:rPr>
        <w:t>A/HRC/30/18</w:t>
      </w:r>
      <w:r>
        <w:rPr>
          <w:rFonts w:ascii="Verdana" w:hAnsi="Verdana"/>
          <w:sz w:val="16"/>
          <w:szCs w:val="16"/>
          <w:lang w:val="es-CR"/>
        </w:rPr>
        <w:t xml:space="preserve"> (2015)</w:t>
      </w:r>
      <w:r w:rsidRPr="00BE233A">
        <w:rPr>
          <w:rFonts w:ascii="Verdana" w:hAnsi="Verdana"/>
          <w:sz w:val="16"/>
          <w:szCs w:val="16"/>
          <w:lang w:val="es-CR"/>
        </w:rPr>
        <w:t>,</w:t>
      </w:r>
      <w:r>
        <w:rPr>
          <w:rFonts w:ascii="Verdana" w:hAnsi="Verdana"/>
          <w:sz w:val="16"/>
          <w:szCs w:val="16"/>
          <w:lang w:val="es-CR"/>
        </w:rPr>
        <w:t xml:space="preserve"> </w:t>
      </w:r>
      <w:r w:rsidRPr="00302E2B">
        <w:rPr>
          <w:rFonts w:ascii="Verdana" w:hAnsi="Verdana"/>
          <w:i/>
          <w:sz w:val="16"/>
          <w:szCs w:val="16"/>
          <w:lang w:val="es-CR"/>
        </w:rPr>
        <w:t>supra</w:t>
      </w:r>
      <w:r>
        <w:rPr>
          <w:rFonts w:ascii="Verdana" w:hAnsi="Verdana"/>
          <w:sz w:val="16"/>
          <w:szCs w:val="16"/>
          <w:lang w:val="es-CR"/>
        </w:rPr>
        <w:t>,</w:t>
      </w:r>
      <w:r w:rsidRPr="00BE233A">
        <w:rPr>
          <w:rFonts w:ascii="Verdana" w:hAnsi="Verdana"/>
          <w:sz w:val="16"/>
          <w:szCs w:val="16"/>
          <w:lang w:val="es-CR"/>
        </w:rPr>
        <w:t xml:space="preserve"> párr.</w:t>
      </w:r>
      <w:r>
        <w:rPr>
          <w:rFonts w:ascii="Verdana" w:hAnsi="Verdana"/>
          <w:sz w:val="16"/>
          <w:szCs w:val="16"/>
          <w:lang w:val="es-CR"/>
        </w:rPr>
        <w:t xml:space="preserve"> </w:t>
      </w:r>
      <w:r w:rsidRPr="00BE233A">
        <w:rPr>
          <w:rFonts w:ascii="Verdana" w:hAnsi="Verdana"/>
          <w:sz w:val="16"/>
          <w:szCs w:val="16"/>
          <w:lang w:val="es-CR"/>
        </w:rPr>
        <w:t>32</w:t>
      </w:r>
      <w:r>
        <w:rPr>
          <w:rFonts w:ascii="Verdana" w:hAnsi="Verdana"/>
          <w:sz w:val="16"/>
          <w:szCs w:val="16"/>
          <w:lang w:val="es-CR"/>
        </w:rPr>
        <w:t xml:space="preserve">. </w:t>
      </w:r>
    </w:p>
  </w:footnote>
  <w:footnote w:id="70">
    <w:p w:rsidR="001C18DD" w:rsidRPr="00E37D77" w:rsidRDefault="001C18DD" w:rsidP="00BD3FF4">
      <w:pPr>
        <w:pStyle w:val="Textonotapie"/>
        <w:jc w:val="both"/>
        <w:rPr>
          <w:rFonts w:ascii="Verdana" w:hAnsi="Verdana"/>
          <w:sz w:val="16"/>
          <w:szCs w:val="16"/>
        </w:rPr>
      </w:pPr>
      <w:r w:rsidRPr="00BE233A">
        <w:rPr>
          <w:rStyle w:val="Refdenotaalpie"/>
          <w:rFonts w:ascii="Verdana" w:hAnsi="Verdana"/>
          <w:sz w:val="16"/>
          <w:szCs w:val="16"/>
        </w:rPr>
        <w:footnoteRef/>
      </w:r>
      <w:r w:rsidRPr="00BE233A">
        <w:rPr>
          <w:rFonts w:ascii="Verdana" w:hAnsi="Verdana"/>
          <w:sz w:val="16"/>
          <w:szCs w:val="16"/>
          <w:lang w:val="es-CR"/>
        </w:rPr>
        <w:t xml:space="preserve"> </w:t>
      </w:r>
      <w:r w:rsidRPr="00BE233A">
        <w:rPr>
          <w:rFonts w:ascii="Verdana" w:hAnsi="Verdana"/>
          <w:sz w:val="16"/>
          <w:szCs w:val="16"/>
          <w:lang w:val="es-CR"/>
        </w:rPr>
        <w:tab/>
      </w:r>
      <w:r w:rsidRPr="00513622">
        <w:rPr>
          <w:rFonts w:ascii="Verdana" w:hAnsi="Verdana"/>
          <w:i/>
          <w:sz w:val="16"/>
          <w:szCs w:val="16"/>
          <w:lang w:val="es-CR"/>
        </w:rPr>
        <w:t>Cfr</w:t>
      </w:r>
      <w:r>
        <w:rPr>
          <w:rFonts w:ascii="Verdana" w:hAnsi="Verdana"/>
          <w:sz w:val="16"/>
          <w:szCs w:val="16"/>
          <w:lang w:val="es-CR"/>
        </w:rPr>
        <w:t xml:space="preserve">. Consejo Económico y Social, </w:t>
      </w:r>
      <w:r w:rsidRPr="00BD3FF4">
        <w:rPr>
          <w:rFonts w:ascii="Verdana" w:hAnsi="Verdana"/>
          <w:sz w:val="16"/>
          <w:szCs w:val="16"/>
          <w:lang w:val="es-CR"/>
        </w:rPr>
        <w:t>Salvaguardas que garanticen la protecc</w:t>
      </w:r>
      <w:r>
        <w:rPr>
          <w:rFonts w:ascii="Verdana" w:hAnsi="Verdana"/>
          <w:sz w:val="16"/>
          <w:szCs w:val="16"/>
          <w:lang w:val="es-CR"/>
        </w:rPr>
        <w:t xml:space="preserve">ión de los derechos de aquellos que </w:t>
      </w:r>
      <w:r w:rsidRPr="00BD3FF4">
        <w:rPr>
          <w:rFonts w:ascii="Verdana" w:hAnsi="Verdana"/>
          <w:sz w:val="16"/>
          <w:szCs w:val="16"/>
          <w:lang w:val="es-CR"/>
        </w:rPr>
        <w:t>enfre</w:t>
      </w:r>
      <w:r>
        <w:rPr>
          <w:rFonts w:ascii="Verdana" w:hAnsi="Verdana"/>
          <w:sz w:val="16"/>
          <w:szCs w:val="16"/>
          <w:lang w:val="es-CR"/>
        </w:rPr>
        <w:t>ntan</w:t>
      </w:r>
      <w:r w:rsidRPr="00BD3FF4">
        <w:rPr>
          <w:rFonts w:ascii="Verdana" w:hAnsi="Verdana"/>
          <w:sz w:val="16"/>
          <w:szCs w:val="16"/>
          <w:lang w:val="es-CR"/>
        </w:rPr>
        <w:t xml:space="preserve"> la pena de muerte</w:t>
      </w:r>
      <w:r>
        <w:rPr>
          <w:rFonts w:ascii="Verdana" w:hAnsi="Verdana"/>
          <w:sz w:val="16"/>
          <w:szCs w:val="16"/>
          <w:lang w:val="es-CR"/>
        </w:rPr>
        <w:t>,</w:t>
      </w:r>
      <w:r w:rsidRPr="00BD3FF4">
        <w:rPr>
          <w:rFonts w:ascii="Verdana" w:hAnsi="Verdana"/>
          <w:sz w:val="16"/>
          <w:szCs w:val="16"/>
          <w:lang w:val="es-CR"/>
        </w:rPr>
        <w:t xml:space="preserve"> </w:t>
      </w:r>
      <w:r w:rsidRPr="00BE233A">
        <w:rPr>
          <w:rFonts w:ascii="Verdana" w:hAnsi="Verdana"/>
          <w:sz w:val="16"/>
          <w:szCs w:val="16"/>
          <w:lang w:val="es-CR"/>
        </w:rPr>
        <w:t>1984/50</w:t>
      </w:r>
      <w:r>
        <w:rPr>
          <w:rFonts w:ascii="Verdana" w:hAnsi="Verdana"/>
          <w:sz w:val="16"/>
          <w:szCs w:val="16"/>
          <w:lang w:val="es-CR"/>
        </w:rPr>
        <w:t xml:space="preserve">, </w:t>
      </w:r>
      <w:r w:rsidRPr="007C45D8">
        <w:rPr>
          <w:rFonts w:ascii="Verdana" w:hAnsi="Verdana"/>
          <w:sz w:val="16"/>
          <w:szCs w:val="16"/>
          <w:lang w:val="es-CR"/>
        </w:rPr>
        <w:t>(1984)</w:t>
      </w:r>
      <w:r>
        <w:rPr>
          <w:rFonts w:ascii="Verdana" w:hAnsi="Verdana"/>
          <w:sz w:val="16"/>
          <w:szCs w:val="16"/>
          <w:lang w:val="es-CR"/>
        </w:rPr>
        <w:t xml:space="preserve">, </w:t>
      </w:r>
      <w:r w:rsidRPr="00BE233A">
        <w:rPr>
          <w:rFonts w:ascii="Verdana" w:hAnsi="Verdana"/>
          <w:sz w:val="16"/>
          <w:szCs w:val="16"/>
          <w:lang w:val="es-CR"/>
        </w:rPr>
        <w:t>párr. </w:t>
      </w:r>
      <w:r w:rsidRPr="00E37D77">
        <w:rPr>
          <w:rFonts w:ascii="Verdana" w:hAnsi="Verdana"/>
          <w:sz w:val="16"/>
          <w:szCs w:val="16"/>
        </w:rPr>
        <w:t xml:space="preserve">9. </w:t>
      </w:r>
    </w:p>
  </w:footnote>
  <w:footnote w:id="71">
    <w:p w:rsidR="001C18DD" w:rsidRPr="00E37D77" w:rsidRDefault="001C18DD">
      <w:pPr>
        <w:pStyle w:val="Textonotapie"/>
        <w:jc w:val="both"/>
        <w:rPr>
          <w:rFonts w:ascii="Verdana" w:hAnsi="Verdana"/>
          <w:strike/>
          <w:sz w:val="16"/>
          <w:szCs w:val="16"/>
        </w:rPr>
      </w:pPr>
      <w:r w:rsidRPr="00BE233A">
        <w:rPr>
          <w:rStyle w:val="Refdenotaalpie"/>
          <w:rFonts w:ascii="Verdana" w:hAnsi="Verdana"/>
          <w:sz w:val="16"/>
          <w:szCs w:val="16"/>
        </w:rPr>
        <w:footnoteRef/>
      </w:r>
      <w:r w:rsidRPr="00E37D77">
        <w:rPr>
          <w:rFonts w:ascii="Verdana" w:hAnsi="Verdana"/>
          <w:sz w:val="16"/>
          <w:szCs w:val="16"/>
        </w:rPr>
        <w:t xml:space="preserve"> </w:t>
      </w:r>
      <w:r w:rsidRPr="00E37D77">
        <w:rPr>
          <w:rFonts w:ascii="Verdana" w:hAnsi="Verdana"/>
          <w:sz w:val="16"/>
          <w:szCs w:val="16"/>
        </w:rPr>
        <w:tab/>
      </w:r>
      <w:proofErr w:type="spellStart"/>
      <w:r w:rsidRPr="00E37D77">
        <w:rPr>
          <w:rFonts w:ascii="Verdana" w:hAnsi="Verdana"/>
          <w:i/>
          <w:sz w:val="16"/>
          <w:szCs w:val="16"/>
        </w:rPr>
        <w:t>Cfr</w:t>
      </w:r>
      <w:proofErr w:type="spellEnd"/>
      <w:r w:rsidRPr="00E37D77">
        <w:rPr>
          <w:rFonts w:ascii="Verdana" w:hAnsi="Verdana"/>
          <w:sz w:val="16"/>
          <w:szCs w:val="16"/>
        </w:rPr>
        <w:t>. TEDH.</w:t>
      </w:r>
      <w:r w:rsidRPr="00E37D77">
        <w:rPr>
          <w:rFonts w:ascii="Verdana" w:hAnsi="Verdana"/>
          <w:i/>
          <w:sz w:val="16"/>
          <w:szCs w:val="16"/>
        </w:rPr>
        <w:t xml:space="preserve"> Al-</w:t>
      </w:r>
      <w:proofErr w:type="spellStart"/>
      <w:r w:rsidRPr="00E37D77">
        <w:rPr>
          <w:rFonts w:ascii="Verdana" w:hAnsi="Verdana"/>
          <w:i/>
          <w:sz w:val="16"/>
          <w:szCs w:val="16"/>
        </w:rPr>
        <w:t>Saadon</w:t>
      </w:r>
      <w:proofErr w:type="spellEnd"/>
      <w:r w:rsidRPr="00E37D77">
        <w:rPr>
          <w:rFonts w:ascii="Verdana" w:hAnsi="Verdana"/>
          <w:i/>
          <w:sz w:val="16"/>
          <w:szCs w:val="16"/>
        </w:rPr>
        <w:t xml:space="preserve"> and </w:t>
      </w:r>
      <w:proofErr w:type="spellStart"/>
      <w:r w:rsidRPr="00E37D77">
        <w:rPr>
          <w:rFonts w:ascii="Verdana" w:hAnsi="Verdana"/>
          <w:i/>
          <w:sz w:val="16"/>
          <w:szCs w:val="16"/>
        </w:rPr>
        <w:t>Mufdhi</w:t>
      </w:r>
      <w:proofErr w:type="spellEnd"/>
      <w:r w:rsidRPr="00E37D77">
        <w:rPr>
          <w:rFonts w:ascii="Verdana" w:hAnsi="Verdana"/>
          <w:i/>
          <w:sz w:val="16"/>
          <w:szCs w:val="16"/>
        </w:rPr>
        <w:t xml:space="preserve"> v. The United Kingdom,</w:t>
      </w:r>
      <w:r w:rsidRPr="00E37D77">
        <w:rPr>
          <w:rFonts w:ascii="Verdana" w:hAnsi="Verdana"/>
          <w:sz w:val="16"/>
          <w:szCs w:val="16"/>
        </w:rPr>
        <w:t xml:space="preserve"> no. 61498/08, </w:t>
      </w:r>
      <w:r w:rsidRPr="00E37D77">
        <w:rPr>
          <w:rFonts w:ascii="Verdana" w:hAnsi="Verdana"/>
          <w:i/>
          <w:sz w:val="16"/>
          <w:szCs w:val="16"/>
        </w:rPr>
        <w:t>supra</w:t>
      </w:r>
      <w:r w:rsidRPr="00E37D77">
        <w:rPr>
          <w:rFonts w:ascii="Verdana" w:hAnsi="Verdana"/>
          <w:sz w:val="16"/>
          <w:szCs w:val="16"/>
        </w:rPr>
        <w:t xml:space="preserve">. </w:t>
      </w:r>
    </w:p>
  </w:footnote>
  <w:footnote w:id="72">
    <w:p w:rsidR="001C18DD" w:rsidRPr="007C45D8" w:rsidRDefault="001C18DD" w:rsidP="00EE1356">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513622">
        <w:rPr>
          <w:rFonts w:ascii="Verdana" w:hAnsi="Verdana"/>
          <w:i/>
          <w:sz w:val="16"/>
          <w:szCs w:val="16"/>
          <w:lang w:val="es-CR"/>
        </w:rPr>
        <w:t>Cfr</w:t>
      </w:r>
      <w:r>
        <w:rPr>
          <w:rFonts w:ascii="Verdana" w:hAnsi="Verdana"/>
          <w:sz w:val="16"/>
          <w:szCs w:val="16"/>
          <w:lang w:val="es-CR"/>
        </w:rPr>
        <w:t xml:space="preserve">. </w:t>
      </w:r>
      <w:r w:rsidRPr="00372E4C">
        <w:rPr>
          <w:rFonts w:ascii="Verdana" w:hAnsi="Verdana"/>
          <w:iCs/>
          <w:noProof/>
          <w:sz w:val="16"/>
          <w:szCs w:val="16"/>
          <w:lang w:val="es-ES_tradnl"/>
        </w:rPr>
        <w:t>Comisión de Derechos Humanos</w:t>
      </w:r>
      <w:r>
        <w:rPr>
          <w:rFonts w:ascii="Verdana" w:hAnsi="Verdana"/>
          <w:iCs/>
          <w:noProof/>
          <w:sz w:val="16"/>
          <w:szCs w:val="16"/>
          <w:lang w:val="es-ES_tradnl"/>
        </w:rPr>
        <w:t>,</w:t>
      </w:r>
      <w:r w:rsidRPr="008E4C70">
        <w:rPr>
          <w:rFonts w:ascii="Verdana" w:hAnsi="Verdana"/>
          <w:noProof/>
          <w:sz w:val="16"/>
          <w:szCs w:val="16"/>
          <w:lang w:val="es-ES_tradnl"/>
        </w:rPr>
        <w:t xml:space="preserve"> Cuestión de la pena </w:t>
      </w:r>
      <w:r w:rsidRPr="008E4C70">
        <w:rPr>
          <w:rFonts w:ascii="Verdana" w:hAnsi="Verdana"/>
          <w:noProof/>
          <w:sz w:val="16"/>
          <w:szCs w:val="16"/>
          <w:lang w:val="es-CR"/>
        </w:rPr>
        <w:t>capital</w:t>
      </w:r>
      <w:r>
        <w:rPr>
          <w:rFonts w:ascii="Verdana" w:hAnsi="Verdana"/>
          <w:noProof/>
          <w:sz w:val="16"/>
          <w:szCs w:val="16"/>
          <w:lang w:val="es-CR"/>
        </w:rPr>
        <w:t xml:space="preserve">, </w:t>
      </w:r>
      <w:r w:rsidRPr="008E4C70">
        <w:rPr>
          <w:rFonts w:ascii="Verdana" w:hAnsi="Verdana"/>
          <w:noProof/>
          <w:sz w:val="16"/>
          <w:szCs w:val="16"/>
          <w:lang w:val="es-CR"/>
        </w:rPr>
        <w:t>2005/59</w:t>
      </w:r>
      <w:r>
        <w:rPr>
          <w:rFonts w:ascii="Verdana" w:hAnsi="Verdana"/>
          <w:noProof/>
          <w:sz w:val="16"/>
          <w:szCs w:val="16"/>
          <w:lang w:val="es-CR"/>
        </w:rPr>
        <w:t>,</w:t>
      </w:r>
      <w:r w:rsidRPr="008E4C70" w:rsidDel="009D1EAC">
        <w:rPr>
          <w:rFonts w:ascii="Verdana" w:hAnsi="Verdana"/>
          <w:sz w:val="16"/>
          <w:szCs w:val="16"/>
          <w:lang w:val="es-CR"/>
        </w:rPr>
        <w:t xml:space="preserve"> </w:t>
      </w:r>
      <w:r>
        <w:rPr>
          <w:rFonts w:ascii="Verdana" w:hAnsi="Verdana"/>
          <w:sz w:val="16"/>
          <w:szCs w:val="16"/>
          <w:lang w:val="es-CR"/>
        </w:rPr>
        <w:t>(</w:t>
      </w:r>
      <w:r w:rsidRPr="008E4C70">
        <w:rPr>
          <w:rFonts w:ascii="Verdana" w:hAnsi="Verdana"/>
          <w:sz w:val="16"/>
          <w:szCs w:val="16"/>
          <w:lang w:val="es-CR"/>
        </w:rPr>
        <w:t>2005)</w:t>
      </w:r>
      <w:r>
        <w:rPr>
          <w:rFonts w:ascii="Verdana" w:hAnsi="Verdana"/>
          <w:sz w:val="16"/>
          <w:szCs w:val="16"/>
          <w:lang w:val="es-CR"/>
        </w:rPr>
        <w:t xml:space="preserve">, </w:t>
      </w:r>
      <w:r w:rsidRPr="008E4C70">
        <w:rPr>
          <w:rFonts w:ascii="Verdana" w:hAnsi="Verdana"/>
          <w:sz w:val="16"/>
          <w:szCs w:val="16"/>
          <w:lang w:val="es-CR"/>
        </w:rPr>
        <w:t>párr. 7.i</w:t>
      </w:r>
      <w:r>
        <w:rPr>
          <w:rFonts w:ascii="Verdana" w:hAnsi="Verdana"/>
          <w:sz w:val="16"/>
          <w:szCs w:val="16"/>
          <w:lang w:val="es-CR"/>
        </w:rPr>
        <w:t xml:space="preserve">; </w:t>
      </w:r>
      <w:r w:rsidRPr="008E4C70">
        <w:rPr>
          <w:rFonts w:ascii="Verdana" w:hAnsi="Verdana"/>
          <w:sz w:val="16"/>
          <w:szCs w:val="16"/>
          <w:lang w:val="es-VE"/>
        </w:rPr>
        <w:t>Comité de Derechos Humanos,</w:t>
      </w:r>
      <w:r>
        <w:rPr>
          <w:rFonts w:ascii="Verdana" w:hAnsi="Verdana"/>
          <w:sz w:val="16"/>
          <w:szCs w:val="16"/>
          <w:lang w:val="es-VE"/>
        </w:rPr>
        <w:t xml:space="preserve"> Examen de los Informes presentados por los Estados Partes en virtud del artículo 40 del Pacto: </w:t>
      </w:r>
      <w:r w:rsidRPr="008E4C70">
        <w:rPr>
          <w:rFonts w:ascii="Verdana" w:hAnsi="Verdana"/>
          <w:sz w:val="16"/>
          <w:szCs w:val="16"/>
          <w:lang w:val="es-CR"/>
        </w:rPr>
        <w:t xml:space="preserve"> Sudán, </w:t>
      </w:r>
      <w:r w:rsidRPr="007C45D8">
        <w:rPr>
          <w:rFonts w:ascii="Verdana" w:hAnsi="Verdana"/>
          <w:sz w:val="16"/>
          <w:szCs w:val="16"/>
          <w:lang w:val="es-CR"/>
        </w:rPr>
        <w:t xml:space="preserve">CCPR/C/79/Add.85 (1997), párr. 9; </w:t>
      </w:r>
      <w:r w:rsidRPr="008E4C70">
        <w:rPr>
          <w:rFonts w:ascii="Verdana" w:hAnsi="Verdana"/>
          <w:sz w:val="16"/>
          <w:szCs w:val="16"/>
          <w:lang w:val="es-VE"/>
        </w:rPr>
        <w:t>Comité de Derechos Humanos,</w:t>
      </w:r>
      <w:r>
        <w:rPr>
          <w:rFonts w:ascii="Verdana" w:hAnsi="Verdana"/>
          <w:sz w:val="16"/>
          <w:szCs w:val="16"/>
          <w:lang w:val="es-VE"/>
        </w:rPr>
        <w:t xml:space="preserve"> Examen de los Informes presentados por los Estados Partes en virtud del artículo 40 del Pacto: </w:t>
      </w:r>
      <w:r w:rsidRPr="007C45D8">
        <w:rPr>
          <w:rFonts w:ascii="Verdana" w:hAnsi="Verdana"/>
          <w:sz w:val="16"/>
          <w:szCs w:val="16"/>
          <w:lang w:val="es-CR"/>
        </w:rPr>
        <w:t>Yemen, CCPR/CO/84/YEM (2005), párr. </w:t>
      </w:r>
      <w:r w:rsidRPr="008E4C70">
        <w:rPr>
          <w:rFonts w:ascii="Verdana" w:hAnsi="Verdana"/>
          <w:sz w:val="16"/>
          <w:szCs w:val="16"/>
          <w:lang w:val="es-CR"/>
        </w:rPr>
        <w:t>15</w:t>
      </w:r>
      <w:r>
        <w:rPr>
          <w:rFonts w:ascii="Verdana" w:hAnsi="Verdana"/>
          <w:sz w:val="16"/>
          <w:szCs w:val="16"/>
          <w:lang w:val="es-CR"/>
        </w:rPr>
        <w:t xml:space="preserve">; Consejo de Derechos Humanos, </w:t>
      </w:r>
      <w:r w:rsidRPr="00EE1356">
        <w:rPr>
          <w:rFonts w:ascii="Verdana" w:hAnsi="Verdana"/>
          <w:sz w:val="16"/>
          <w:szCs w:val="16"/>
          <w:lang w:val="es-CR"/>
        </w:rPr>
        <w:t>Informe del Relator Especial sobre la tort</w:t>
      </w:r>
      <w:r>
        <w:rPr>
          <w:rFonts w:ascii="Verdana" w:hAnsi="Verdana"/>
          <w:sz w:val="16"/>
          <w:szCs w:val="16"/>
          <w:lang w:val="es-CR"/>
        </w:rPr>
        <w:t xml:space="preserve">ura y otros tratos y castigos crueles, </w:t>
      </w:r>
      <w:r>
        <w:rPr>
          <w:rFonts w:ascii="Verdana" w:hAnsi="Verdana"/>
          <w:sz w:val="16"/>
          <w:szCs w:val="16"/>
          <w:lang w:val="es-CR"/>
        </w:rPr>
        <w:t xml:space="preserve">inhumanos </w:t>
      </w:r>
      <w:r w:rsidRPr="00EE1356">
        <w:rPr>
          <w:rFonts w:ascii="Verdana" w:hAnsi="Verdana"/>
          <w:sz w:val="16"/>
          <w:szCs w:val="16"/>
          <w:lang w:val="es-CR"/>
        </w:rPr>
        <w:t>o degradante, Manfred Nowak</w:t>
      </w:r>
      <w:r>
        <w:rPr>
          <w:rFonts w:ascii="Verdana" w:hAnsi="Verdana"/>
          <w:sz w:val="16"/>
          <w:szCs w:val="16"/>
          <w:lang w:val="es-CR"/>
        </w:rPr>
        <w:t xml:space="preserve">, Misión de Nigeria </w:t>
      </w:r>
      <w:r w:rsidRPr="008E4C70">
        <w:rPr>
          <w:rFonts w:ascii="Verdana" w:hAnsi="Verdana"/>
          <w:sz w:val="16"/>
          <w:szCs w:val="16"/>
          <w:lang w:val="es-CR"/>
        </w:rPr>
        <w:t>A/HRC/7/3/Add.4 (2007), resumen, p</w:t>
      </w:r>
      <w:r>
        <w:rPr>
          <w:rFonts w:ascii="Verdana" w:hAnsi="Verdana"/>
          <w:sz w:val="16"/>
          <w:szCs w:val="16"/>
          <w:lang w:val="es-CR"/>
        </w:rPr>
        <w:t>ág</w:t>
      </w:r>
      <w:r w:rsidRPr="008E4C70">
        <w:rPr>
          <w:rFonts w:ascii="Verdana" w:hAnsi="Verdana"/>
          <w:sz w:val="16"/>
          <w:szCs w:val="16"/>
          <w:lang w:val="es-CR"/>
        </w:rPr>
        <w:t>. 2,</w:t>
      </w:r>
      <w:r>
        <w:rPr>
          <w:rFonts w:ascii="Verdana" w:hAnsi="Verdana"/>
          <w:sz w:val="16"/>
          <w:szCs w:val="16"/>
          <w:lang w:val="es-CR"/>
        </w:rPr>
        <w:t xml:space="preserve"> y</w:t>
      </w:r>
      <w:r w:rsidRPr="008E4C70">
        <w:rPr>
          <w:rFonts w:ascii="Verdana" w:hAnsi="Verdana"/>
          <w:sz w:val="16"/>
          <w:szCs w:val="16"/>
          <w:lang w:val="es-CR"/>
        </w:rPr>
        <w:t xml:space="preserve"> párr. 56; </w:t>
      </w:r>
      <w:r>
        <w:rPr>
          <w:rFonts w:ascii="Verdana" w:hAnsi="Verdana"/>
          <w:sz w:val="16"/>
          <w:szCs w:val="16"/>
          <w:lang w:val="es-CR"/>
        </w:rPr>
        <w:t xml:space="preserve">Consejo de Derechos Humanos, </w:t>
      </w:r>
      <w:r w:rsidRPr="00EE1356">
        <w:rPr>
          <w:rFonts w:ascii="Verdana" w:hAnsi="Verdana"/>
          <w:sz w:val="16"/>
          <w:szCs w:val="16"/>
          <w:lang w:val="es-CR"/>
        </w:rPr>
        <w:t>Informe del Relator Especial sobre la tort</w:t>
      </w:r>
      <w:r>
        <w:rPr>
          <w:rFonts w:ascii="Verdana" w:hAnsi="Verdana"/>
          <w:sz w:val="16"/>
          <w:szCs w:val="16"/>
          <w:lang w:val="es-CR"/>
        </w:rPr>
        <w:t xml:space="preserve">ura y otros tratos y castigos crueles, inhumanos </w:t>
      </w:r>
      <w:r w:rsidRPr="00EE1356">
        <w:rPr>
          <w:rFonts w:ascii="Verdana" w:hAnsi="Verdana"/>
          <w:sz w:val="16"/>
          <w:szCs w:val="16"/>
          <w:lang w:val="es-CR"/>
        </w:rPr>
        <w:t>o degradante, Manfred Nowak</w:t>
      </w:r>
      <w:r>
        <w:rPr>
          <w:rFonts w:ascii="Verdana" w:hAnsi="Verdana"/>
          <w:sz w:val="16"/>
          <w:szCs w:val="16"/>
          <w:lang w:val="es-CR"/>
        </w:rPr>
        <w:t xml:space="preserve">, </w:t>
      </w:r>
      <w:r w:rsidRPr="008E4C70">
        <w:rPr>
          <w:rFonts w:ascii="Verdana" w:hAnsi="Verdana"/>
          <w:sz w:val="16"/>
          <w:szCs w:val="16"/>
          <w:lang w:val="es-CR"/>
        </w:rPr>
        <w:t xml:space="preserve">A/HRC/7/3 (2008), párr. 40; </w:t>
      </w:r>
      <w:r>
        <w:rPr>
          <w:rFonts w:ascii="Verdana" w:hAnsi="Verdana"/>
          <w:sz w:val="16"/>
          <w:szCs w:val="16"/>
          <w:lang w:val="es-CR"/>
        </w:rPr>
        <w:t xml:space="preserve">TEDH. </w:t>
      </w:r>
      <w:r w:rsidRPr="00E37D77">
        <w:rPr>
          <w:rFonts w:ascii="Verdana" w:hAnsi="Verdana"/>
          <w:i/>
          <w:sz w:val="16"/>
          <w:szCs w:val="16"/>
          <w:lang w:val="es-CR"/>
        </w:rPr>
        <w:t>Jabari v. Turkey</w:t>
      </w:r>
      <w:r w:rsidRPr="008E4C70">
        <w:rPr>
          <w:rFonts w:ascii="Verdana" w:hAnsi="Verdana"/>
          <w:sz w:val="16"/>
          <w:szCs w:val="16"/>
          <w:lang w:val="es-CR"/>
        </w:rPr>
        <w:t xml:space="preserve"> </w:t>
      </w:r>
      <w:r>
        <w:rPr>
          <w:rFonts w:ascii="Verdana" w:hAnsi="Verdana"/>
          <w:sz w:val="16"/>
          <w:szCs w:val="16"/>
          <w:lang w:val="es-CR"/>
        </w:rPr>
        <w:t xml:space="preserve">no. </w:t>
      </w:r>
      <w:r w:rsidRPr="008E4C70">
        <w:rPr>
          <w:rFonts w:ascii="Verdana" w:hAnsi="Verdana"/>
          <w:sz w:val="16"/>
          <w:szCs w:val="16"/>
          <w:lang w:val="es-CR"/>
        </w:rPr>
        <w:t>40035/98,</w:t>
      </w:r>
      <w:r>
        <w:rPr>
          <w:rFonts w:ascii="Verdana" w:hAnsi="Verdana"/>
          <w:sz w:val="16"/>
          <w:szCs w:val="16"/>
          <w:lang w:val="es-CR"/>
        </w:rPr>
        <w:t xml:space="preserve"> </w:t>
      </w:r>
      <w:r w:rsidRPr="002F0B07">
        <w:rPr>
          <w:rFonts w:ascii="Verdana" w:hAnsi="Verdana"/>
          <w:sz w:val="16"/>
          <w:szCs w:val="16"/>
          <w:lang w:val="es-CR"/>
        </w:rPr>
        <w:t xml:space="preserve">Sentencia de </w:t>
      </w:r>
      <w:r>
        <w:rPr>
          <w:rFonts w:ascii="Verdana" w:hAnsi="Verdana"/>
          <w:sz w:val="16"/>
          <w:szCs w:val="16"/>
          <w:lang w:val="es-CR"/>
        </w:rPr>
        <w:t>11</w:t>
      </w:r>
      <w:r w:rsidRPr="002F0B07">
        <w:rPr>
          <w:rFonts w:ascii="Verdana" w:hAnsi="Verdana"/>
          <w:sz w:val="16"/>
          <w:szCs w:val="16"/>
          <w:lang w:val="es-CR"/>
        </w:rPr>
        <w:t xml:space="preserve"> de </w:t>
      </w:r>
      <w:r>
        <w:rPr>
          <w:rFonts w:ascii="Verdana" w:hAnsi="Verdana"/>
          <w:sz w:val="16"/>
          <w:szCs w:val="16"/>
          <w:lang w:val="es-CR"/>
        </w:rPr>
        <w:t>juli</w:t>
      </w:r>
      <w:r w:rsidRPr="002F0B07">
        <w:rPr>
          <w:rFonts w:ascii="Verdana" w:hAnsi="Verdana"/>
          <w:sz w:val="16"/>
          <w:szCs w:val="16"/>
          <w:lang w:val="es-CR"/>
        </w:rPr>
        <w:t>o</w:t>
      </w:r>
      <w:r>
        <w:rPr>
          <w:rFonts w:ascii="Verdana" w:hAnsi="Verdana"/>
          <w:sz w:val="16"/>
          <w:szCs w:val="16"/>
          <w:lang w:val="es-CR"/>
        </w:rPr>
        <w:t xml:space="preserve"> </w:t>
      </w:r>
      <w:r w:rsidRPr="002F0B07">
        <w:rPr>
          <w:rFonts w:ascii="Verdana" w:hAnsi="Verdana"/>
          <w:sz w:val="16"/>
          <w:szCs w:val="16"/>
          <w:lang w:val="es-CR"/>
        </w:rPr>
        <w:t>de</w:t>
      </w:r>
      <w:r>
        <w:rPr>
          <w:rFonts w:ascii="Verdana" w:hAnsi="Verdana"/>
          <w:sz w:val="16"/>
          <w:szCs w:val="16"/>
          <w:lang w:val="es-CR"/>
        </w:rPr>
        <w:t xml:space="preserve"> </w:t>
      </w:r>
      <w:r w:rsidRPr="008E4C70">
        <w:rPr>
          <w:rFonts w:ascii="Verdana" w:hAnsi="Verdana"/>
          <w:sz w:val="16"/>
          <w:szCs w:val="16"/>
          <w:lang w:val="es-CR"/>
        </w:rPr>
        <w:t>2000, párrs. </w:t>
      </w:r>
      <w:r w:rsidRPr="007C45D8">
        <w:rPr>
          <w:rFonts w:ascii="Verdana" w:hAnsi="Verdana"/>
          <w:sz w:val="16"/>
          <w:szCs w:val="16"/>
          <w:lang w:val="es-CR"/>
        </w:rPr>
        <w:t>41</w:t>
      </w:r>
      <w:r>
        <w:rPr>
          <w:rFonts w:ascii="Verdana" w:hAnsi="Verdana"/>
          <w:sz w:val="16"/>
          <w:szCs w:val="16"/>
          <w:lang w:val="es-CR"/>
        </w:rPr>
        <w:t xml:space="preserve"> a 4</w:t>
      </w:r>
      <w:r w:rsidRPr="007C45D8">
        <w:rPr>
          <w:rFonts w:ascii="Verdana" w:hAnsi="Verdana"/>
          <w:sz w:val="16"/>
          <w:szCs w:val="16"/>
          <w:lang w:val="es-CR"/>
        </w:rPr>
        <w:t>2.</w:t>
      </w:r>
    </w:p>
  </w:footnote>
  <w:footnote w:id="73">
    <w:p w:rsidR="001C18DD" w:rsidRPr="008E4C70" w:rsidRDefault="001C18DD">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7C45D8">
        <w:rPr>
          <w:rFonts w:ascii="Verdana" w:hAnsi="Verdana"/>
          <w:sz w:val="16"/>
          <w:szCs w:val="16"/>
          <w:lang w:val="es-CR"/>
        </w:rPr>
        <w:t xml:space="preserve"> </w:t>
      </w:r>
      <w:r w:rsidRPr="007C45D8">
        <w:rPr>
          <w:rFonts w:ascii="Verdana" w:hAnsi="Verdana"/>
          <w:sz w:val="16"/>
          <w:szCs w:val="16"/>
          <w:lang w:val="es-CR"/>
        </w:rPr>
        <w:tab/>
      </w:r>
      <w:r w:rsidRPr="00513622">
        <w:rPr>
          <w:rFonts w:ascii="Verdana" w:hAnsi="Verdana"/>
          <w:i/>
          <w:sz w:val="16"/>
          <w:szCs w:val="16"/>
          <w:lang w:val="es-CR"/>
        </w:rPr>
        <w:t>Cfr</w:t>
      </w:r>
      <w:r>
        <w:rPr>
          <w:rFonts w:ascii="Verdana" w:hAnsi="Verdana"/>
          <w:sz w:val="16"/>
          <w:szCs w:val="16"/>
          <w:lang w:val="es-CR"/>
        </w:rPr>
        <w:t xml:space="preserve">. Comité </w:t>
      </w:r>
      <w:r>
        <w:rPr>
          <w:rFonts w:ascii="Verdana" w:hAnsi="Verdana"/>
          <w:sz w:val="16"/>
          <w:szCs w:val="16"/>
          <w:lang w:val="es-CR"/>
        </w:rPr>
        <w:t xml:space="preserve">de Derechos Humanos, </w:t>
      </w:r>
      <w:r w:rsidRPr="007C45D8">
        <w:rPr>
          <w:rFonts w:ascii="Verdana" w:hAnsi="Verdana"/>
          <w:i/>
          <w:sz w:val="16"/>
          <w:szCs w:val="16"/>
          <w:lang w:val="es-CR"/>
        </w:rPr>
        <w:t>Chitat Ng vs. Canadá</w:t>
      </w:r>
      <w:r w:rsidRPr="007C45D8">
        <w:rPr>
          <w:rFonts w:ascii="Verdana" w:hAnsi="Verdana"/>
          <w:sz w:val="16"/>
          <w:szCs w:val="16"/>
          <w:lang w:val="es-CR"/>
        </w:rPr>
        <w:t>, CCPR/C/49/D/469/1991 (1994), párr. </w:t>
      </w:r>
      <w:r w:rsidRPr="008E4C70">
        <w:rPr>
          <w:rFonts w:ascii="Verdana" w:hAnsi="Verdana"/>
          <w:sz w:val="16"/>
          <w:szCs w:val="16"/>
          <w:lang w:val="es-CR"/>
        </w:rPr>
        <w:t>16.3.</w:t>
      </w:r>
    </w:p>
  </w:footnote>
  <w:footnote w:id="74">
    <w:p w:rsidR="001C18DD" w:rsidRPr="008E4C70" w:rsidRDefault="001C18DD">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Pr>
          <w:rFonts w:ascii="Verdana" w:hAnsi="Verdana"/>
          <w:sz w:val="16"/>
          <w:szCs w:val="16"/>
          <w:lang w:val="es-CR"/>
        </w:rPr>
        <w:tab/>
      </w:r>
      <w:r w:rsidRPr="00DC193A">
        <w:rPr>
          <w:rFonts w:ascii="Verdana" w:hAnsi="Verdana"/>
          <w:sz w:val="16"/>
          <w:szCs w:val="16"/>
          <w:lang w:val="es-CR"/>
        </w:rPr>
        <w:t>Comité de Derechos Humanos</w:t>
      </w:r>
      <w:r>
        <w:rPr>
          <w:rFonts w:ascii="Verdana" w:hAnsi="Verdana"/>
          <w:sz w:val="16"/>
          <w:szCs w:val="16"/>
          <w:lang w:val="es-CR"/>
        </w:rPr>
        <w:t>,</w:t>
      </w:r>
      <w:r w:rsidRPr="00DC193A">
        <w:rPr>
          <w:rFonts w:ascii="Verdana" w:hAnsi="Verdana"/>
          <w:sz w:val="16"/>
          <w:szCs w:val="16"/>
          <w:lang w:val="es-CR"/>
        </w:rPr>
        <w:t xml:space="preserve"> </w:t>
      </w:r>
      <w:r w:rsidRPr="008E4C70">
        <w:rPr>
          <w:rFonts w:ascii="Verdana" w:hAnsi="Verdana"/>
          <w:bCs/>
          <w:sz w:val="16"/>
          <w:szCs w:val="16"/>
          <w:lang w:val="es-CR"/>
        </w:rPr>
        <w:t xml:space="preserve">Observación </w:t>
      </w:r>
      <w:r>
        <w:rPr>
          <w:rFonts w:ascii="Verdana" w:hAnsi="Verdana"/>
          <w:bCs/>
          <w:sz w:val="16"/>
          <w:szCs w:val="16"/>
          <w:lang w:val="es-CR"/>
        </w:rPr>
        <w:t>G</w:t>
      </w:r>
      <w:r w:rsidRPr="008E4C70">
        <w:rPr>
          <w:rFonts w:ascii="Verdana" w:hAnsi="Verdana"/>
          <w:bCs/>
          <w:sz w:val="16"/>
          <w:szCs w:val="16"/>
          <w:lang w:val="es-CR"/>
        </w:rPr>
        <w:t xml:space="preserve">eneral </w:t>
      </w:r>
      <w:r>
        <w:rPr>
          <w:rFonts w:ascii="Verdana" w:hAnsi="Verdana"/>
          <w:bCs/>
          <w:sz w:val="16"/>
          <w:szCs w:val="16"/>
          <w:lang w:val="es-CR"/>
        </w:rPr>
        <w:t>No</w:t>
      </w:r>
      <w:r w:rsidRPr="008E4C70">
        <w:rPr>
          <w:rFonts w:ascii="Verdana" w:hAnsi="Verdana"/>
          <w:bCs/>
          <w:sz w:val="16"/>
          <w:szCs w:val="16"/>
          <w:lang w:val="es-CR"/>
        </w:rPr>
        <w:t>. 36 sobre el artículo 6 del Pacto Internacional d</w:t>
      </w:r>
      <w:r>
        <w:rPr>
          <w:rFonts w:ascii="Verdana" w:hAnsi="Verdana"/>
          <w:bCs/>
          <w:sz w:val="16"/>
          <w:szCs w:val="16"/>
          <w:lang w:val="es-CR"/>
        </w:rPr>
        <w:t xml:space="preserve">e Derechos Civiles y Políticos, </w:t>
      </w:r>
      <w:r w:rsidRPr="00E37D77">
        <w:rPr>
          <w:rFonts w:ascii="Verdana" w:hAnsi="Verdana"/>
          <w:bCs/>
          <w:i/>
          <w:sz w:val="16"/>
          <w:szCs w:val="16"/>
          <w:lang w:val="es-CR"/>
        </w:rPr>
        <w:t>supra</w:t>
      </w:r>
      <w:r>
        <w:rPr>
          <w:rFonts w:ascii="Verdana" w:hAnsi="Verdana"/>
          <w:sz w:val="16"/>
          <w:szCs w:val="16"/>
          <w:lang w:val="es-CR"/>
        </w:rPr>
        <w:t xml:space="preserve">, </w:t>
      </w:r>
      <w:r w:rsidRPr="008E4C70">
        <w:rPr>
          <w:rFonts w:ascii="Verdana" w:hAnsi="Verdana"/>
          <w:sz w:val="16"/>
          <w:szCs w:val="16"/>
          <w:lang w:val="es-CR"/>
        </w:rPr>
        <w:t>párr. 44.</w:t>
      </w:r>
    </w:p>
  </w:footnote>
  <w:footnote w:id="75">
    <w:p w:rsidR="001C18DD" w:rsidRPr="008E4C70" w:rsidRDefault="001C18DD">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513622">
        <w:rPr>
          <w:rFonts w:ascii="Verdana" w:hAnsi="Verdana"/>
          <w:i/>
          <w:sz w:val="16"/>
          <w:szCs w:val="16"/>
          <w:lang w:val="es-CR"/>
        </w:rPr>
        <w:t>Cfr</w:t>
      </w:r>
      <w:r>
        <w:rPr>
          <w:rFonts w:ascii="Verdana" w:hAnsi="Verdana"/>
          <w:sz w:val="16"/>
          <w:szCs w:val="16"/>
          <w:lang w:val="es-CR"/>
        </w:rPr>
        <w:t xml:space="preserve">. </w:t>
      </w:r>
      <w:r w:rsidRPr="00372E4C">
        <w:rPr>
          <w:rFonts w:ascii="Verdana" w:hAnsi="Verdana"/>
          <w:iCs/>
          <w:noProof/>
          <w:sz w:val="16"/>
          <w:szCs w:val="16"/>
          <w:lang w:val="es-ES_tradnl"/>
        </w:rPr>
        <w:t>Comisión de Derechos Humanos</w:t>
      </w:r>
      <w:r>
        <w:rPr>
          <w:rFonts w:ascii="Verdana" w:hAnsi="Verdana"/>
          <w:iCs/>
          <w:noProof/>
          <w:sz w:val="16"/>
          <w:szCs w:val="16"/>
          <w:lang w:val="es-ES_tradnl"/>
        </w:rPr>
        <w:t xml:space="preserve">, Informe del </w:t>
      </w:r>
      <w:r>
        <w:rPr>
          <w:rFonts w:ascii="Verdana" w:hAnsi="Verdana"/>
          <w:sz w:val="16"/>
          <w:szCs w:val="16"/>
          <w:lang w:val="es-CR"/>
        </w:rPr>
        <w:t>R</w:t>
      </w:r>
      <w:r w:rsidRPr="008E4C70">
        <w:rPr>
          <w:rFonts w:ascii="Verdana" w:hAnsi="Verdana"/>
          <w:sz w:val="16"/>
          <w:szCs w:val="16"/>
          <w:lang w:val="es-CR"/>
        </w:rPr>
        <w:t xml:space="preserve">elator </w:t>
      </w:r>
      <w:r>
        <w:rPr>
          <w:rFonts w:ascii="Verdana" w:hAnsi="Verdana"/>
          <w:sz w:val="16"/>
          <w:szCs w:val="16"/>
          <w:lang w:val="es-CR"/>
        </w:rPr>
        <w:t>E</w:t>
      </w:r>
      <w:r w:rsidRPr="008E4C70">
        <w:rPr>
          <w:rFonts w:ascii="Verdana" w:hAnsi="Verdana"/>
          <w:sz w:val="16"/>
          <w:szCs w:val="16"/>
          <w:lang w:val="es-CR"/>
        </w:rPr>
        <w:t>special</w:t>
      </w:r>
      <w:r>
        <w:rPr>
          <w:rFonts w:ascii="Verdana" w:hAnsi="Verdana"/>
          <w:sz w:val="16"/>
          <w:szCs w:val="16"/>
          <w:lang w:val="es-CR"/>
        </w:rPr>
        <w:t>, Philip Alston</w:t>
      </w:r>
      <w:r w:rsidRPr="008E4C70">
        <w:rPr>
          <w:rFonts w:ascii="Verdana" w:hAnsi="Verdana"/>
          <w:sz w:val="16"/>
          <w:szCs w:val="16"/>
          <w:lang w:val="es-CR"/>
        </w:rPr>
        <w:t xml:space="preserve"> sobre </w:t>
      </w:r>
      <w:r>
        <w:rPr>
          <w:rFonts w:ascii="Verdana" w:hAnsi="Verdana"/>
          <w:sz w:val="16"/>
          <w:szCs w:val="16"/>
          <w:lang w:val="es-CR"/>
        </w:rPr>
        <w:t xml:space="preserve">las </w:t>
      </w:r>
      <w:r w:rsidRPr="008E4C70">
        <w:rPr>
          <w:rFonts w:ascii="Verdana" w:hAnsi="Verdana"/>
          <w:sz w:val="16"/>
          <w:szCs w:val="16"/>
          <w:lang w:val="es-CR"/>
        </w:rPr>
        <w:t xml:space="preserve">ejecuciones extrajudiciales, </w:t>
      </w:r>
      <w:r>
        <w:rPr>
          <w:rFonts w:ascii="Verdana" w:hAnsi="Verdana"/>
          <w:sz w:val="16"/>
          <w:szCs w:val="16"/>
          <w:lang w:val="es-CR"/>
        </w:rPr>
        <w:t xml:space="preserve">sumarias o arbitrarias, </w:t>
      </w:r>
      <w:r w:rsidRPr="008E4C70">
        <w:rPr>
          <w:rFonts w:ascii="Verdana" w:hAnsi="Verdana"/>
          <w:sz w:val="16"/>
          <w:szCs w:val="16"/>
          <w:lang w:val="es-CR"/>
        </w:rPr>
        <w:t>E/CN.4/2006/53/Add.3 (2006), párr. 43</w:t>
      </w:r>
      <w:r>
        <w:rPr>
          <w:rFonts w:ascii="Verdana" w:hAnsi="Verdana"/>
          <w:sz w:val="16"/>
          <w:szCs w:val="16"/>
          <w:lang w:val="es-CR"/>
        </w:rPr>
        <w:t>.</w:t>
      </w:r>
    </w:p>
  </w:footnote>
  <w:footnote w:id="76">
    <w:p w:rsidR="001C18DD" w:rsidRPr="008E4C70" w:rsidRDefault="001C18DD">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513622">
        <w:rPr>
          <w:rFonts w:ascii="Verdana" w:hAnsi="Verdana"/>
          <w:i/>
          <w:sz w:val="16"/>
          <w:szCs w:val="16"/>
          <w:lang w:val="es-CR"/>
        </w:rPr>
        <w:t>Cfr</w:t>
      </w:r>
      <w:r>
        <w:rPr>
          <w:rFonts w:ascii="Verdana" w:hAnsi="Verdana"/>
          <w:sz w:val="16"/>
          <w:szCs w:val="16"/>
          <w:lang w:val="es-CR"/>
        </w:rPr>
        <w:t xml:space="preserve">. </w:t>
      </w:r>
      <w:r w:rsidRPr="00372E4C">
        <w:rPr>
          <w:rFonts w:ascii="Verdana" w:hAnsi="Verdana"/>
          <w:iCs/>
          <w:noProof/>
          <w:sz w:val="16"/>
          <w:szCs w:val="16"/>
          <w:lang w:val="es-ES_tradnl"/>
        </w:rPr>
        <w:t>Comisión de Derechos Humanos</w:t>
      </w:r>
      <w:r>
        <w:rPr>
          <w:rFonts w:ascii="Verdana" w:hAnsi="Verdana"/>
          <w:iCs/>
          <w:noProof/>
          <w:sz w:val="16"/>
          <w:szCs w:val="16"/>
          <w:lang w:val="es-ES_tradnl"/>
        </w:rPr>
        <w:t>,</w:t>
      </w:r>
      <w:r w:rsidRPr="008E4C70">
        <w:rPr>
          <w:rFonts w:ascii="Verdana" w:hAnsi="Verdana"/>
          <w:noProof/>
          <w:sz w:val="16"/>
          <w:szCs w:val="16"/>
          <w:lang w:val="es-ES_tradnl"/>
        </w:rPr>
        <w:t xml:space="preserve"> Cuestión de la pena </w:t>
      </w:r>
      <w:r w:rsidRPr="008E4C70">
        <w:rPr>
          <w:rFonts w:ascii="Verdana" w:hAnsi="Verdana"/>
          <w:noProof/>
          <w:sz w:val="16"/>
          <w:szCs w:val="16"/>
          <w:lang w:val="es-CR"/>
        </w:rPr>
        <w:t>capital</w:t>
      </w:r>
      <w:r>
        <w:rPr>
          <w:rFonts w:ascii="Verdana" w:hAnsi="Verdana"/>
          <w:noProof/>
          <w:sz w:val="16"/>
          <w:szCs w:val="16"/>
          <w:lang w:val="es-CR"/>
        </w:rPr>
        <w:t xml:space="preserve">, </w:t>
      </w:r>
      <w:r w:rsidRPr="008E4C70">
        <w:rPr>
          <w:rFonts w:ascii="Verdana" w:hAnsi="Verdana"/>
          <w:noProof/>
          <w:sz w:val="16"/>
          <w:szCs w:val="16"/>
          <w:lang w:val="es-CR"/>
        </w:rPr>
        <w:t>2005/59</w:t>
      </w:r>
      <w:r>
        <w:rPr>
          <w:rFonts w:ascii="Verdana" w:hAnsi="Verdana"/>
          <w:noProof/>
          <w:sz w:val="16"/>
          <w:szCs w:val="16"/>
          <w:lang w:val="es-CR"/>
        </w:rPr>
        <w:t>,</w:t>
      </w:r>
      <w:r w:rsidRPr="008E4C70" w:rsidDel="009D1EAC">
        <w:rPr>
          <w:rFonts w:ascii="Verdana" w:hAnsi="Verdana"/>
          <w:sz w:val="16"/>
          <w:szCs w:val="16"/>
          <w:lang w:val="es-CR"/>
        </w:rPr>
        <w:t xml:space="preserve"> </w:t>
      </w:r>
      <w:r>
        <w:rPr>
          <w:rFonts w:ascii="Verdana" w:hAnsi="Verdana"/>
          <w:sz w:val="16"/>
          <w:szCs w:val="16"/>
          <w:lang w:val="es-CR"/>
        </w:rPr>
        <w:t>(</w:t>
      </w:r>
      <w:r w:rsidRPr="008E4C70">
        <w:rPr>
          <w:rFonts w:ascii="Verdana" w:hAnsi="Verdana"/>
          <w:sz w:val="16"/>
          <w:szCs w:val="16"/>
          <w:lang w:val="es-CR"/>
        </w:rPr>
        <w:t>2005)</w:t>
      </w:r>
      <w:r>
        <w:rPr>
          <w:rFonts w:ascii="Verdana" w:hAnsi="Verdana"/>
          <w:sz w:val="16"/>
          <w:szCs w:val="16"/>
          <w:lang w:val="es-CR"/>
        </w:rPr>
        <w:t xml:space="preserve">, </w:t>
      </w:r>
      <w:r w:rsidRPr="008E4C70">
        <w:rPr>
          <w:rFonts w:ascii="Verdana" w:hAnsi="Verdana"/>
          <w:sz w:val="16"/>
          <w:szCs w:val="16"/>
          <w:lang w:val="es-CR"/>
        </w:rPr>
        <w:t>párr. 7.i</w:t>
      </w:r>
      <w:r>
        <w:rPr>
          <w:rFonts w:ascii="Verdana" w:hAnsi="Verdana"/>
          <w:sz w:val="16"/>
          <w:szCs w:val="16"/>
          <w:lang w:val="es-CR"/>
        </w:rPr>
        <w:t>.</w:t>
      </w:r>
    </w:p>
  </w:footnote>
  <w:footnote w:id="77">
    <w:p w:rsidR="001C18DD" w:rsidRPr="008E4C70" w:rsidRDefault="001C18DD">
      <w:pPr>
        <w:spacing w:after="0" w:line="240" w:lineRule="auto"/>
        <w:jc w:val="both"/>
        <w:rPr>
          <w:rFonts w:ascii="Verdana" w:hAnsi="Verdana"/>
          <w:b/>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Pr>
          <w:rFonts w:ascii="Verdana" w:hAnsi="Verdana"/>
          <w:sz w:val="16"/>
          <w:szCs w:val="16"/>
          <w:lang w:val="es-CR"/>
        </w:rPr>
        <w:t xml:space="preserve">Consejo de Derechos Humanos, La cuestión de la pena capital, </w:t>
      </w:r>
      <w:r w:rsidRPr="008E4C70">
        <w:rPr>
          <w:rFonts w:ascii="Verdana" w:hAnsi="Verdana"/>
          <w:sz w:val="16"/>
          <w:szCs w:val="16"/>
          <w:lang w:val="es-CR"/>
        </w:rPr>
        <w:t>A/HRC/39/19</w:t>
      </w:r>
      <w:r>
        <w:rPr>
          <w:rFonts w:ascii="Verdana" w:hAnsi="Verdana"/>
          <w:sz w:val="16"/>
          <w:szCs w:val="16"/>
          <w:lang w:val="es-CR"/>
        </w:rPr>
        <w:t xml:space="preserve"> (</w:t>
      </w:r>
      <w:r w:rsidRPr="008E4C70">
        <w:rPr>
          <w:rFonts w:ascii="Verdana" w:hAnsi="Verdana"/>
          <w:sz w:val="16"/>
          <w:szCs w:val="16"/>
          <w:lang w:val="es-CR"/>
        </w:rPr>
        <w:t>2018</w:t>
      </w:r>
      <w:r>
        <w:rPr>
          <w:rFonts w:ascii="Verdana" w:hAnsi="Verdana"/>
          <w:sz w:val="16"/>
          <w:szCs w:val="16"/>
          <w:lang w:val="es-CR"/>
        </w:rPr>
        <w:t xml:space="preserve">), </w:t>
      </w:r>
      <w:r w:rsidRPr="008E4C70">
        <w:rPr>
          <w:rFonts w:ascii="Verdana" w:hAnsi="Verdana"/>
          <w:sz w:val="16"/>
          <w:szCs w:val="16"/>
          <w:lang w:val="es-CR"/>
        </w:rPr>
        <w:t>p</w:t>
      </w:r>
      <w:r>
        <w:rPr>
          <w:rFonts w:ascii="Verdana" w:hAnsi="Verdana"/>
          <w:sz w:val="16"/>
          <w:szCs w:val="16"/>
          <w:lang w:val="es-CR"/>
        </w:rPr>
        <w:t>á</w:t>
      </w:r>
      <w:r w:rsidRPr="008E4C70">
        <w:rPr>
          <w:rFonts w:ascii="Verdana" w:hAnsi="Verdana"/>
          <w:sz w:val="16"/>
          <w:szCs w:val="16"/>
          <w:lang w:val="es-CR"/>
        </w:rPr>
        <w:t>r</w:t>
      </w:r>
      <w:r>
        <w:rPr>
          <w:rFonts w:ascii="Verdana" w:hAnsi="Verdana"/>
          <w:sz w:val="16"/>
          <w:szCs w:val="16"/>
          <w:lang w:val="es-CR"/>
        </w:rPr>
        <w:t xml:space="preserve">r. 38. Ver también, </w:t>
      </w:r>
      <w:r w:rsidRPr="00DC193A">
        <w:rPr>
          <w:rFonts w:ascii="Verdana" w:hAnsi="Verdana"/>
          <w:sz w:val="16"/>
          <w:szCs w:val="16"/>
          <w:lang w:val="es-CR"/>
        </w:rPr>
        <w:t>Comité de Derechos Humanos</w:t>
      </w:r>
      <w:r>
        <w:rPr>
          <w:rFonts w:ascii="Verdana" w:hAnsi="Verdana"/>
          <w:sz w:val="16"/>
          <w:szCs w:val="16"/>
          <w:lang w:val="es-CR"/>
        </w:rPr>
        <w:t xml:space="preserve">, </w:t>
      </w:r>
      <w:r>
        <w:rPr>
          <w:rFonts w:ascii="Verdana" w:hAnsi="Verdana"/>
          <w:sz w:val="16"/>
          <w:szCs w:val="16"/>
          <w:lang w:val="es-VE"/>
        </w:rPr>
        <w:t>Examen de los Informes presentados por los Estados Partes en virtud del artículo 40 del Pacto</w:t>
      </w:r>
      <w:r w:rsidRPr="008E4C70">
        <w:rPr>
          <w:rFonts w:ascii="Verdana" w:hAnsi="Verdana"/>
          <w:sz w:val="16"/>
          <w:szCs w:val="16"/>
          <w:lang w:val="es-CR"/>
        </w:rPr>
        <w:t xml:space="preserve">: Nigeria, CCPR/C/79/Add.65 (1996), párr. 16; </w:t>
      </w:r>
      <w:r w:rsidRPr="00DC193A">
        <w:rPr>
          <w:rFonts w:ascii="Verdana" w:hAnsi="Verdana"/>
          <w:sz w:val="16"/>
          <w:szCs w:val="16"/>
          <w:lang w:val="es-CR"/>
        </w:rPr>
        <w:t>Comité de Derechos Humanos</w:t>
      </w:r>
      <w:r>
        <w:rPr>
          <w:rFonts w:ascii="Verdana" w:hAnsi="Verdana"/>
          <w:sz w:val="16"/>
          <w:szCs w:val="16"/>
          <w:lang w:val="es-CR"/>
        </w:rPr>
        <w:t>,</w:t>
      </w:r>
      <w:r w:rsidRPr="00DC193A">
        <w:rPr>
          <w:rFonts w:ascii="Verdana" w:hAnsi="Verdana"/>
          <w:sz w:val="16"/>
          <w:szCs w:val="16"/>
          <w:lang w:val="es-CR"/>
        </w:rPr>
        <w:t xml:space="preserve"> </w:t>
      </w:r>
      <w:r w:rsidRPr="008E4C70">
        <w:rPr>
          <w:rFonts w:ascii="Verdana" w:hAnsi="Verdana"/>
          <w:bCs/>
          <w:sz w:val="16"/>
          <w:szCs w:val="16"/>
          <w:lang w:val="es-CR"/>
        </w:rPr>
        <w:t xml:space="preserve">Observación </w:t>
      </w:r>
      <w:r>
        <w:rPr>
          <w:rFonts w:ascii="Verdana" w:hAnsi="Verdana"/>
          <w:bCs/>
          <w:sz w:val="16"/>
          <w:szCs w:val="16"/>
          <w:lang w:val="es-CR"/>
        </w:rPr>
        <w:t>G</w:t>
      </w:r>
      <w:r w:rsidRPr="008E4C70">
        <w:rPr>
          <w:rFonts w:ascii="Verdana" w:hAnsi="Verdana"/>
          <w:bCs/>
          <w:sz w:val="16"/>
          <w:szCs w:val="16"/>
          <w:lang w:val="es-CR"/>
        </w:rPr>
        <w:t xml:space="preserve">eneral </w:t>
      </w:r>
      <w:r>
        <w:rPr>
          <w:rFonts w:ascii="Verdana" w:hAnsi="Verdana"/>
          <w:bCs/>
          <w:sz w:val="16"/>
          <w:szCs w:val="16"/>
          <w:lang w:val="es-CR"/>
        </w:rPr>
        <w:t>No</w:t>
      </w:r>
      <w:r w:rsidRPr="008E4C70">
        <w:rPr>
          <w:rFonts w:ascii="Verdana" w:hAnsi="Verdana"/>
          <w:bCs/>
          <w:sz w:val="16"/>
          <w:szCs w:val="16"/>
          <w:lang w:val="es-CR"/>
        </w:rPr>
        <w:t xml:space="preserve">. 36 sobre el artículo 6 del Pacto Internacional de Derechos, </w:t>
      </w:r>
      <w:r w:rsidRPr="00E37D77">
        <w:rPr>
          <w:rFonts w:ascii="Verdana" w:hAnsi="Verdana"/>
          <w:bCs/>
          <w:i/>
          <w:sz w:val="16"/>
          <w:szCs w:val="16"/>
          <w:lang w:val="es-CR"/>
        </w:rPr>
        <w:t>supra</w:t>
      </w:r>
      <w:r>
        <w:rPr>
          <w:rFonts w:ascii="Verdana" w:hAnsi="Verdana"/>
          <w:bCs/>
          <w:sz w:val="16"/>
          <w:szCs w:val="16"/>
          <w:lang w:val="es-CR"/>
        </w:rPr>
        <w:t xml:space="preserve">, </w:t>
      </w:r>
      <w:r w:rsidRPr="008E4C70">
        <w:rPr>
          <w:rFonts w:ascii="Verdana" w:hAnsi="Verdana"/>
          <w:sz w:val="16"/>
          <w:szCs w:val="16"/>
          <w:lang w:val="es-CR"/>
        </w:rPr>
        <w:t>párr. 44</w:t>
      </w:r>
      <w:r>
        <w:rPr>
          <w:rFonts w:ascii="Verdana" w:hAnsi="Verdana"/>
          <w:sz w:val="16"/>
          <w:szCs w:val="16"/>
          <w:lang w:val="es-CR"/>
        </w:rPr>
        <w:t xml:space="preserve">; </w:t>
      </w:r>
      <w:r w:rsidRPr="008E4C70">
        <w:rPr>
          <w:rFonts w:ascii="Verdana" w:hAnsi="Verdana"/>
          <w:sz w:val="16"/>
          <w:szCs w:val="16"/>
          <w:lang w:val="es-CR"/>
        </w:rPr>
        <w:t xml:space="preserve">Comité de Derechos Humanos, </w:t>
      </w:r>
      <w:r>
        <w:rPr>
          <w:rFonts w:ascii="Verdana" w:hAnsi="Verdana"/>
          <w:sz w:val="16"/>
          <w:szCs w:val="16"/>
          <w:lang w:val="es-CR"/>
        </w:rPr>
        <w:t>O</w:t>
      </w:r>
      <w:r w:rsidRPr="008E4C70">
        <w:rPr>
          <w:rFonts w:ascii="Verdana" w:hAnsi="Verdana"/>
          <w:sz w:val="16"/>
          <w:szCs w:val="16"/>
          <w:lang w:val="es-CR"/>
        </w:rPr>
        <w:t xml:space="preserve">bservación </w:t>
      </w:r>
      <w:r>
        <w:rPr>
          <w:rFonts w:ascii="Verdana" w:hAnsi="Verdana"/>
          <w:sz w:val="16"/>
          <w:szCs w:val="16"/>
          <w:lang w:val="es-CR"/>
        </w:rPr>
        <w:t>G</w:t>
      </w:r>
      <w:r w:rsidRPr="008E4C70">
        <w:rPr>
          <w:rFonts w:ascii="Verdana" w:hAnsi="Verdana"/>
          <w:sz w:val="16"/>
          <w:szCs w:val="16"/>
          <w:lang w:val="es-CR"/>
        </w:rPr>
        <w:t xml:space="preserve">eneral </w:t>
      </w:r>
      <w:r>
        <w:rPr>
          <w:rFonts w:ascii="Verdana" w:hAnsi="Verdana"/>
          <w:sz w:val="16"/>
          <w:szCs w:val="16"/>
          <w:lang w:val="es-CR"/>
        </w:rPr>
        <w:t>No</w:t>
      </w:r>
      <w:r w:rsidRPr="008E4C70">
        <w:rPr>
          <w:rFonts w:ascii="Verdana" w:hAnsi="Verdana"/>
          <w:sz w:val="16"/>
          <w:szCs w:val="16"/>
          <w:lang w:val="es-CR"/>
        </w:rPr>
        <w:t xml:space="preserve">. 20 (1992), </w:t>
      </w:r>
      <w:r w:rsidRPr="00445007">
        <w:rPr>
          <w:rFonts w:ascii="Verdana" w:hAnsi="Verdana"/>
          <w:i/>
          <w:sz w:val="16"/>
          <w:szCs w:val="16"/>
          <w:lang w:val="es-CR"/>
        </w:rPr>
        <w:t>supra</w:t>
      </w:r>
      <w:r>
        <w:rPr>
          <w:rFonts w:ascii="Verdana" w:hAnsi="Verdana"/>
          <w:sz w:val="16"/>
          <w:szCs w:val="16"/>
          <w:lang w:val="es-CR"/>
        </w:rPr>
        <w:t xml:space="preserve">, </w:t>
      </w:r>
      <w:r w:rsidRPr="008E4C70">
        <w:rPr>
          <w:rFonts w:ascii="Verdana" w:hAnsi="Verdana"/>
          <w:sz w:val="16"/>
          <w:szCs w:val="16"/>
          <w:lang w:val="es-CR"/>
        </w:rPr>
        <w:t xml:space="preserve">párr. 6; </w:t>
      </w:r>
      <w:r>
        <w:rPr>
          <w:rFonts w:ascii="Verdana" w:hAnsi="Verdana"/>
          <w:sz w:val="16"/>
          <w:szCs w:val="16"/>
          <w:lang w:val="es-CR"/>
        </w:rPr>
        <w:t xml:space="preserve">Consejo de Derechos Humanos, La cuestión de la pena capital, </w:t>
      </w:r>
      <w:r w:rsidRPr="008E4C70">
        <w:rPr>
          <w:rFonts w:ascii="Verdana" w:hAnsi="Verdana"/>
          <w:sz w:val="16"/>
          <w:szCs w:val="16"/>
          <w:lang w:val="es-CR"/>
        </w:rPr>
        <w:t xml:space="preserve">A/HRC/24/18 </w:t>
      </w:r>
      <w:r>
        <w:rPr>
          <w:rFonts w:ascii="Verdana" w:hAnsi="Verdana"/>
          <w:sz w:val="16"/>
          <w:szCs w:val="16"/>
          <w:lang w:val="es-CR"/>
        </w:rPr>
        <w:t>(2013), párrs. 59 a 61, y</w:t>
      </w:r>
      <w:r w:rsidRPr="008E4C70">
        <w:rPr>
          <w:rFonts w:ascii="Verdana" w:hAnsi="Verdana"/>
          <w:sz w:val="16"/>
          <w:szCs w:val="16"/>
          <w:lang w:val="es-CR"/>
        </w:rPr>
        <w:t xml:space="preserve"> </w:t>
      </w:r>
      <w:r>
        <w:rPr>
          <w:rFonts w:ascii="Verdana" w:hAnsi="Verdana"/>
          <w:sz w:val="16"/>
          <w:szCs w:val="16"/>
          <w:lang w:val="es-CR"/>
        </w:rPr>
        <w:t xml:space="preserve">Consejo de Derechos Humanos, </w:t>
      </w:r>
      <w:r w:rsidRPr="005777DA">
        <w:rPr>
          <w:rFonts w:ascii="Verdana" w:hAnsi="Verdana"/>
          <w:sz w:val="16"/>
          <w:szCs w:val="16"/>
          <w:lang w:val="es-CR"/>
        </w:rPr>
        <w:t>La pena capital y la aplic</w:t>
      </w:r>
      <w:r>
        <w:rPr>
          <w:rFonts w:ascii="Verdana" w:hAnsi="Verdana"/>
          <w:sz w:val="16"/>
          <w:szCs w:val="16"/>
          <w:lang w:val="es-CR"/>
        </w:rPr>
        <w:t xml:space="preserve">ación de las salvaguardias para </w:t>
      </w:r>
      <w:r w:rsidRPr="005777DA">
        <w:rPr>
          <w:rFonts w:ascii="Verdana" w:hAnsi="Verdana"/>
          <w:sz w:val="16"/>
          <w:szCs w:val="16"/>
          <w:lang w:val="es-CR"/>
        </w:rPr>
        <w:t>garantizar la protección de</w:t>
      </w:r>
      <w:r>
        <w:rPr>
          <w:rFonts w:ascii="Verdana" w:hAnsi="Verdana"/>
          <w:sz w:val="16"/>
          <w:szCs w:val="16"/>
          <w:lang w:val="es-CR"/>
        </w:rPr>
        <w:t xml:space="preserve"> los derechos de los condenados </w:t>
      </w:r>
      <w:r w:rsidRPr="005777DA">
        <w:rPr>
          <w:rFonts w:ascii="Verdana" w:hAnsi="Verdana"/>
          <w:sz w:val="16"/>
          <w:szCs w:val="16"/>
          <w:lang w:val="es-CR"/>
        </w:rPr>
        <w:t>a la pena de muerte</w:t>
      </w:r>
      <w:r>
        <w:rPr>
          <w:rFonts w:ascii="Verdana" w:hAnsi="Verdana"/>
          <w:sz w:val="16"/>
          <w:szCs w:val="16"/>
          <w:lang w:val="es-CR"/>
        </w:rPr>
        <w:t>,</w:t>
      </w:r>
      <w:r w:rsidRPr="008E4C70">
        <w:rPr>
          <w:rFonts w:ascii="Verdana" w:hAnsi="Verdana"/>
          <w:sz w:val="16"/>
          <w:szCs w:val="16"/>
          <w:lang w:val="es-CR"/>
        </w:rPr>
        <w:t xml:space="preserve"> A/HRC/30/18</w:t>
      </w:r>
      <w:r>
        <w:rPr>
          <w:rFonts w:ascii="Verdana" w:hAnsi="Verdana"/>
          <w:sz w:val="16"/>
          <w:szCs w:val="16"/>
          <w:lang w:val="es-CR"/>
        </w:rPr>
        <w:t xml:space="preserve"> (2015)</w:t>
      </w:r>
      <w:r w:rsidRPr="008E4C70">
        <w:rPr>
          <w:rFonts w:ascii="Verdana" w:hAnsi="Verdana"/>
          <w:sz w:val="16"/>
          <w:szCs w:val="16"/>
          <w:lang w:val="es-CR"/>
        </w:rPr>
        <w:t>, p</w:t>
      </w:r>
      <w:r>
        <w:rPr>
          <w:rFonts w:ascii="Verdana" w:hAnsi="Verdana"/>
          <w:sz w:val="16"/>
          <w:szCs w:val="16"/>
          <w:lang w:val="es-CR"/>
        </w:rPr>
        <w:t>á</w:t>
      </w:r>
      <w:r w:rsidRPr="008E4C70">
        <w:rPr>
          <w:rFonts w:ascii="Verdana" w:hAnsi="Verdana"/>
          <w:sz w:val="16"/>
          <w:szCs w:val="16"/>
          <w:lang w:val="es-CR"/>
        </w:rPr>
        <w:t>r</w:t>
      </w:r>
      <w:r>
        <w:rPr>
          <w:rFonts w:ascii="Verdana" w:hAnsi="Verdana"/>
          <w:sz w:val="16"/>
          <w:szCs w:val="16"/>
          <w:lang w:val="es-CR"/>
        </w:rPr>
        <w:t>r</w:t>
      </w:r>
      <w:r w:rsidRPr="008E4C70">
        <w:rPr>
          <w:rFonts w:ascii="Verdana" w:hAnsi="Verdana"/>
          <w:sz w:val="16"/>
          <w:szCs w:val="16"/>
          <w:lang w:val="es-CR"/>
        </w:rPr>
        <w:t>s. 30 a 32</w:t>
      </w:r>
      <w:r>
        <w:rPr>
          <w:rFonts w:ascii="Verdana" w:hAnsi="Verdana"/>
          <w:sz w:val="16"/>
          <w:szCs w:val="16"/>
          <w:lang w:val="es-CR"/>
        </w:rPr>
        <w:t>.</w:t>
      </w:r>
    </w:p>
  </w:footnote>
  <w:footnote w:id="78">
    <w:p w:rsidR="001C18DD" w:rsidRPr="008E4C70" w:rsidRDefault="001C18DD">
      <w:pPr>
        <w:pStyle w:val="Textonotapie"/>
        <w:jc w:val="both"/>
        <w:rPr>
          <w:rFonts w:ascii="Verdana" w:hAnsi="Verdana"/>
          <w:sz w:val="16"/>
          <w:szCs w:val="16"/>
          <w:lang w:val="es-CR"/>
        </w:rPr>
      </w:pPr>
      <w:r w:rsidRPr="003A4E99">
        <w:rPr>
          <w:rStyle w:val="Refdenotaalpie"/>
          <w:rFonts w:ascii="Verdana" w:hAnsi="Verdana"/>
          <w:sz w:val="16"/>
          <w:szCs w:val="16"/>
        </w:rPr>
        <w:footnoteRef/>
      </w:r>
      <w:r w:rsidRPr="003A4E99">
        <w:rPr>
          <w:rFonts w:ascii="Verdana" w:hAnsi="Verdana"/>
          <w:sz w:val="16"/>
          <w:szCs w:val="16"/>
          <w:lang w:val="es-CR"/>
        </w:rPr>
        <w:t xml:space="preserve"> </w:t>
      </w:r>
      <w:r w:rsidRPr="003A4E99">
        <w:rPr>
          <w:rFonts w:ascii="Verdana" w:hAnsi="Verdana"/>
          <w:sz w:val="16"/>
          <w:szCs w:val="16"/>
          <w:lang w:val="es-CR"/>
        </w:rPr>
        <w:tab/>
        <w:t>En el Decreto No. 234 en el artículo 7 se establecía que</w:t>
      </w:r>
      <w:r>
        <w:rPr>
          <w:rFonts w:ascii="Verdana" w:hAnsi="Verdana"/>
          <w:sz w:val="16"/>
          <w:szCs w:val="16"/>
          <w:lang w:val="es-CR"/>
        </w:rPr>
        <w:t>:</w:t>
      </w:r>
      <w:r w:rsidRPr="003A4E99">
        <w:rPr>
          <w:rFonts w:ascii="Verdana" w:hAnsi="Verdana"/>
          <w:sz w:val="16"/>
          <w:szCs w:val="16"/>
          <w:lang w:val="es-CR"/>
        </w:rPr>
        <w:t xml:space="preserve"> “Después de la lectura de la resolución, se procederá a vendar los ojos al reo; el jefe </w:t>
      </w:r>
      <w:r w:rsidRPr="003A4E99">
        <w:rPr>
          <w:rFonts w:ascii="Verdana" w:hAnsi="Verdana"/>
          <w:sz w:val="16"/>
          <w:szCs w:val="16"/>
          <w:lang w:val="es-CR"/>
        </w:rPr>
        <w:t>de la guardia colocorá enseguida frente al reo, a una distancia de seis metros, la sección encargada de la ejecución, en dos filas separadas, y dará la orden de fuego, que se cu</w:t>
      </w:r>
      <w:r>
        <w:rPr>
          <w:rFonts w:ascii="Verdana" w:hAnsi="Verdana"/>
          <w:sz w:val="16"/>
          <w:szCs w:val="16"/>
          <w:lang w:val="es-CR"/>
        </w:rPr>
        <w:t>mplirá con la primera fila. Si f</w:t>
      </w:r>
      <w:r w:rsidRPr="003A4E99">
        <w:rPr>
          <w:rFonts w:ascii="Verdana" w:hAnsi="Verdana"/>
          <w:sz w:val="16"/>
          <w:szCs w:val="16"/>
          <w:lang w:val="es-CR"/>
        </w:rPr>
        <w:t>uere necesario, la otra fila repetirá la desc</w:t>
      </w:r>
      <w:r>
        <w:rPr>
          <w:rFonts w:ascii="Verdana" w:hAnsi="Verdana"/>
          <w:sz w:val="16"/>
          <w:szCs w:val="16"/>
          <w:lang w:val="es-CR"/>
        </w:rPr>
        <w:t>a</w:t>
      </w:r>
      <w:r w:rsidRPr="003A4E99">
        <w:rPr>
          <w:rFonts w:ascii="Verdana" w:hAnsi="Verdana"/>
          <w:sz w:val="16"/>
          <w:szCs w:val="16"/>
          <w:lang w:val="es-CR"/>
        </w:rPr>
        <w:t>rga. El médico forense o de la Unidad Sanitaria que por mandato del juez habrá de hacer acto de presencia en las ejecuciones, examinará al ajusticiado, dictaminando sobre si es necesario o no el tiro de gracias.Terminada la ejecución se ordenará dar sepultura al cadáver o se entregará sus parientes que lo hubi</w:t>
      </w:r>
      <w:r>
        <w:rPr>
          <w:rFonts w:ascii="Verdana" w:hAnsi="Verdana"/>
          <w:sz w:val="16"/>
          <w:szCs w:val="16"/>
          <w:lang w:val="es-CR"/>
        </w:rPr>
        <w:t>eren solicitado</w:t>
      </w:r>
      <w:r w:rsidRPr="003A4E99">
        <w:rPr>
          <w:rFonts w:ascii="Verdana" w:hAnsi="Verdana"/>
          <w:sz w:val="16"/>
          <w:szCs w:val="16"/>
          <w:lang w:val="es-CR"/>
        </w:rPr>
        <w:t>]”</w:t>
      </w:r>
      <w:r>
        <w:rPr>
          <w:rFonts w:ascii="Verdana" w:hAnsi="Verdana"/>
          <w:sz w:val="16"/>
          <w:szCs w:val="16"/>
          <w:lang w:val="es-CR"/>
        </w:rPr>
        <w:t>.</w:t>
      </w:r>
      <w:r w:rsidRPr="003A4E99">
        <w:rPr>
          <w:rFonts w:ascii="Verdana" w:hAnsi="Verdana"/>
          <w:sz w:val="16"/>
          <w:szCs w:val="16"/>
          <w:lang w:val="es-CR"/>
        </w:rPr>
        <w:t xml:space="preserve"> Diario de Centro América, Tomo XLVI, Decreto Número 234.</w:t>
      </w:r>
    </w:p>
  </w:footnote>
  <w:footnote w:id="79">
    <w:p w:rsidR="001C18DD" w:rsidRPr="007C45D8" w:rsidRDefault="001C18DD" w:rsidP="007C45D8">
      <w:pPr>
        <w:pStyle w:val="Textonotapie"/>
        <w:jc w:val="both"/>
        <w:rPr>
          <w:lang w:val="es-CR"/>
        </w:rPr>
      </w:pPr>
      <w:r w:rsidRPr="001C6D04">
        <w:rPr>
          <w:rStyle w:val="Refdenotaalpie"/>
        </w:rPr>
        <w:footnoteRef/>
      </w:r>
      <w:r w:rsidRPr="007C45D8">
        <w:rPr>
          <w:lang w:val="es-CR"/>
        </w:rPr>
        <w:t xml:space="preserve"> </w:t>
      </w:r>
      <w:r w:rsidRPr="001C6D04">
        <w:rPr>
          <w:lang w:val="es-CR"/>
        </w:rPr>
        <w:t xml:space="preserve"> </w:t>
      </w:r>
      <w:r w:rsidRPr="001C6D04">
        <w:rPr>
          <w:lang w:val="es-CR"/>
        </w:rPr>
        <w:tab/>
      </w:r>
      <w:r w:rsidRPr="007C45D8">
        <w:rPr>
          <w:rFonts w:ascii="Verdana" w:hAnsi="Verdana" w:cs="Arial"/>
          <w:sz w:val="16"/>
          <w:szCs w:val="16"/>
          <w:shd w:val="clear" w:color="auto" w:fill="FFFFFF"/>
          <w:lang w:val="es-CR"/>
        </w:rPr>
        <w:t>L</w:t>
      </w:r>
      <w:r w:rsidRPr="007C45D8">
        <w:rPr>
          <w:rFonts w:ascii="Verdana" w:hAnsi="Verdana" w:cs="Arial"/>
          <w:sz w:val="16"/>
          <w:szCs w:val="16"/>
          <w:shd w:val="clear" w:color="auto" w:fill="FFFFFF"/>
          <w:lang w:val="es-MX"/>
        </w:rPr>
        <w:t>a primera suspensión se otorgó mediante auto del Juzgado Primer</w:t>
      </w:r>
      <w:r>
        <w:rPr>
          <w:rFonts w:ascii="Verdana" w:hAnsi="Verdana" w:cs="Arial"/>
          <w:sz w:val="16"/>
          <w:szCs w:val="16"/>
          <w:shd w:val="clear" w:color="auto" w:fill="FFFFFF"/>
          <w:lang w:val="es-MX"/>
        </w:rPr>
        <w:t>o</w:t>
      </w:r>
      <w:r w:rsidRPr="007C45D8">
        <w:rPr>
          <w:rFonts w:ascii="Verdana" w:hAnsi="Verdana" w:cs="Arial"/>
          <w:sz w:val="16"/>
          <w:szCs w:val="16"/>
          <w:shd w:val="clear" w:color="auto" w:fill="FFFFFF"/>
          <w:lang w:val="es-MX"/>
        </w:rPr>
        <w:t xml:space="preserve"> de Ejecución Penal de Guatemala el 15 de julio de 1996 debido a la presentación del recurso de graci</w:t>
      </w:r>
      <w:r>
        <w:rPr>
          <w:rFonts w:ascii="Verdana" w:hAnsi="Verdana" w:cs="Arial"/>
          <w:sz w:val="16"/>
          <w:szCs w:val="16"/>
          <w:shd w:val="clear" w:color="auto" w:fill="FFFFFF"/>
          <w:lang w:val="es-MX"/>
        </w:rPr>
        <w:t>a al Presidente de la República</w:t>
      </w:r>
      <w:r w:rsidRPr="007C45D8">
        <w:rPr>
          <w:rFonts w:ascii="Verdana" w:hAnsi="Verdana" w:cs="Arial"/>
          <w:sz w:val="16"/>
          <w:szCs w:val="16"/>
          <w:shd w:val="clear" w:color="auto" w:fill="FFFFFF"/>
          <w:lang w:val="es-MX"/>
        </w:rPr>
        <w:t>. La segunda de las suspensiones se otorgó mediante amparo provisional, debido a un amparo que se presentó en el que impugnaba la resolución presidencial que neg</w:t>
      </w:r>
      <w:r>
        <w:rPr>
          <w:rFonts w:ascii="Verdana" w:hAnsi="Verdana" w:cs="Arial"/>
          <w:sz w:val="16"/>
          <w:szCs w:val="16"/>
          <w:shd w:val="clear" w:color="auto" w:fill="FFFFFF"/>
          <w:lang w:val="es-MX"/>
        </w:rPr>
        <w:t>aba el recurso de gracia</w:t>
      </w:r>
      <w:r w:rsidRPr="007C45D8">
        <w:rPr>
          <w:rFonts w:ascii="Verdana" w:hAnsi="Verdana" w:cs="Arial"/>
          <w:sz w:val="16"/>
          <w:szCs w:val="16"/>
          <w:shd w:val="clear" w:color="auto" w:fill="FFFFFF"/>
          <w:lang w:val="es-MX"/>
        </w:rPr>
        <w:t>.</w:t>
      </w:r>
    </w:p>
  </w:footnote>
  <w:footnote w:id="80">
    <w:p w:rsidR="001C18DD" w:rsidRPr="00612EEC" w:rsidRDefault="001C18DD" w:rsidP="00991839">
      <w:pPr>
        <w:pStyle w:val="Textonotapie"/>
        <w:jc w:val="both"/>
        <w:rPr>
          <w:lang w:val="es-CR"/>
        </w:rPr>
      </w:pPr>
      <w:r>
        <w:rPr>
          <w:rStyle w:val="Refdenotaalpie"/>
        </w:rPr>
        <w:footnoteRef/>
      </w:r>
      <w:r w:rsidRPr="00612EEC">
        <w:rPr>
          <w:lang w:val="es-CR"/>
        </w:rPr>
        <w:t xml:space="preserve"> </w:t>
      </w:r>
      <w:r w:rsidRPr="00612EEC">
        <w:rPr>
          <w:lang w:val="es-CR"/>
        </w:rPr>
        <w:tab/>
      </w:r>
      <w:r w:rsidRPr="0076565C">
        <w:rPr>
          <w:rFonts w:ascii="Verdana" w:hAnsi="Verdana"/>
          <w:sz w:val="16"/>
          <w:szCs w:val="16"/>
          <w:lang w:val="es-CR"/>
        </w:rPr>
        <w:t xml:space="preserve">Peritaje </w:t>
      </w:r>
      <w:r w:rsidRPr="0076565C">
        <w:rPr>
          <w:rFonts w:ascii="Verdana" w:hAnsi="Verdana" w:cs="Arial"/>
          <w:bCs/>
          <w:color w:val="000000"/>
          <w:sz w:val="16"/>
          <w:szCs w:val="16"/>
          <w:lang w:val="es-CR"/>
        </w:rPr>
        <w:t>Edward Fitzgerald y Parvais Jabbar rendido mediante afidávit ante la Corte</w:t>
      </w:r>
      <w:r w:rsidRPr="0076565C">
        <w:rPr>
          <w:rFonts w:ascii="Verdana" w:hAnsi="Verdana" w:cs="Arial"/>
          <w:b/>
          <w:bCs/>
          <w:color w:val="000000"/>
          <w:sz w:val="16"/>
          <w:szCs w:val="16"/>
          <w:lang w:val="es-CR"/>
        </w:rPr>
        <w:t xml:space="preserve"> </w:t>
      </w:r>
      <w:r w:rsidRPr="0076565C">
        <w:rPr>
          <w:rFonts w:ascii="Verdana" w:hAnsi="Verdana" w:cs="Arial"/>
          <w:bCs/>
          <w:color w:val="000000"/>
          <w:sz w:val="16"/>
          <w:szCs w:val="16"/>
          <w:lang w:val="es-CR"/>
        </w:rPr>
        <w:t>(expediente de prueba</w:t>
      </w:r>
      <w:r w:rsidRPr="007C45D8">
        <w:rPr>
          <w:rFonts w:ascii="Verdana" w:hAnsi="Verdana" w:cs="Arial"/>
          <w:bCs/>
          <w:color w:val="000000"/>
          <w:sz w:val="16"/>
          <w:szCs w:val="16"/>
          <w:lang w:val="es-CR"/>
        </w:rPr>
        <w:t>, afidávits y peritajes</w:t>
      </w:r>
      <w:r w:rsidRPr="0076565C">
        <w:rPr>
          <w:rFonts w:ascii="Verdana" w:hAnsi="Verdana" w:cs="Arial"/>
          <w:bCs/>
          <w:color w:val="000000"/>
          <w:sz w:val="16"/>
          <w:szCs w:val="16"/>
          <w:lang w:val="es-CR"/>
        </w:rPr>
        <w:t xml:space="preserve"> fs. 3061 a 3087). </w:t>
      </w:r>
    </w:p>
  </w:footnote>
  <w:footnote w:id="81">
    <w:p w:rsidR="001C18DD" w:rsidRPr="004F41F1" w:rsidRDefault="001C18DD" w:rsidP="007C45D8">
      <w:pPr>
        <w:tabs>
          <w:tab w:val="left" w:pos="567"/>
        </w:tabs>
        <w:spacing w:after="0" w:line="240" w:lineRule="auto"/>
        <w:jc w:val="both"/>
        <w:rPr>
          <w:rFonts w:ascii="Verdana" w:hAnsi="Verdana" w:cs="Arial"/>
          <w:sz w:val="16"/>
          <w:szCs w:val="16"/>
        </w:rPr>
      </w:pPr>
      <w:r w:rsidRPr="007C45D8">
        <w:rPr>
          <w:rStyle w:val="Refdenotaalpie"/>
          <w:rFonts w:ascii="Verdana" w:hAnsi="Verdana" w:cs="Arial"/>
          <w:sz w:val="16"/>
          <w:szCs w:val="16"/>
        </w:rPr>
        <w:footnoteRef/>
      </w:r>
      <w:r w:rsidRPr="007C45D8">
        <w:rPr>
          <w:rFonts w:ascii="Verdana" w:hAnsi="Verdana" w:cs="Arial"/>
          <w:sz w:val="16"/>
          <w:szCs w:val="16"/>
          <w:lang w:val="es-CR"/>
        </w:rPr>
        <w:t xml:space="preserve"> </w:t>
      </w:r>
      <w:r w:rsidRPr="007C45D8">
        <w:rPr>
          <w:rFonts w:ascii="Verdana" w:hAnsi="Verdana" w:cs="Arial"/>
          <w:sz w:val="16"/>
          <w:szCs w:val="16"/>
          <w:lang w:val="es-CR"/>
        </w:rPr>
        <w:tab/>
      </w:r>
      <w:r w:rsidRPr="007C45D8">
        <w:rPr>
          <w:rFonts w:ascii="Verdana" w:hAnsi="Verdana" w:cs="Arial"/>
          <w:i/>
          <w:sz w:val="16"/>
          <w:szCs w:val="16"/>
          <w:lang w:val="es-CR"/>
        </w:rPr>
        <w:t>Cfr</w:t>
      </w:r>
      <w:r w:rsidRPr="007C45D8">
        <w:rPr>
          <w:rFonts w:ascii="Verdana" w:hAnsi="Verdana" w:cs="Arial"/>
          <w:sz w:val="16"/>
          <w:szCs w:val="16"/>
          <w:lang w:val="es-CR"/>
        </w:rPr>
        <w:t xml:space="preserve">. </w:t>
      </w:r>
      <w:r w:rsidRPr="0097560C">
        <w:rPr>
          <w:rFonts w:ascii="Verdana" w:hAnsi="Verdana" w:cs="Arial"/>
          <w:i/>
          <w:sz w:val="16"/>
          <w:szCs w:val="16"/>
          <w:lang w:val="es-CR"/>
        </w:rPr>
        <w:t>Caso Hilaire, Constantine y Benjamin y otros Vs</w:t>
      </w:r>
      <w:r>
        <w:rPr>
          <w:rFonts w:ascii="Verdana" w:hAnsi="Verdana" w:cs="Arial"/>
          <w:i/>
          <w:sz w:val="16"/>
          <w:szCs w:val="16"/>
          <w:lang w:val="es-CR"/>
        </w:rPr>
        <w:t xml:space="preserve">. </w:t>
      </w:r>
      <w:r w:rsidRPr="0097560C">
        <w:rPr>
          <w:rFonts w:ascii="Verdana" w:hAnsi="Verdana" w:cs="Arial"/>
          <w:i/>
          <w:sz w:val="16"/>
          <w:szCs w:val="16"/>
          <w:lang w:val="es-CR"/>
        </w:rPr>
        <w:t xml:space="preserve">Trinidad y Tobago, supra, </w:t>
      </w:r>
      <w:r>
        <w:rPr>
          <w:rFonts w:ascii="Verdana" w:hAnsi="Verdana" w:cs="Arial"/>
          <w:sz w:val="16"/>
          <w:szCs w:val="16"/>
          <w:lang w:val="es-CR"/>
        </w:rPr>
        <w:t xml:space="preserve">párr. </w:t>
      </w:r>
      <w:r w:rsidRPr="004F41F1">
        <w:rPr>
          <w:rFonts w:ascii="Verdana" w:hAnsi="Verdana" w:cs="Arial"/>
          <w:sz w:val="16"/>
          <w:szCs w:val="16"/>
        </w:rPr>
        <w:t>167.</w:t>
      </w:r>
    </w:p>
  </w:footnote>
  <w:footnote w:id="82">
    <w:p w:rsidR="001C18DD" w:rsidRPr="007C45D8" w:rsidRDefault="001C18DD" w:rsidP="00584E70">
      <w:pPr>
        <w:tabs>
          <w:tab w:val="left" w:pos="567"/>
        </w:tabs>
        <w:spacing w:after="0" w:line="240" w:lineRule="auto"/>
        <w:jc w:val="both"/>
        <w:rPr>
          <w:rFonts w:ascii="Verdana" w:hAnsi="Verdana"/>
          <w:sz w:val="16"/>
          <w:szCs w:val="16"/>
          <w:lang w:val="es-ES"/>
        </w:rPr>
      </w:pPr>
      <w:r w:rsidRPr="004A5455">
        <w:rPr>
          <w:rStyle w:val="Refdenotaalpie"/>
          <w:rFonts w:ascii="Verdana" w:hAnsi="Verdana"/>
          <w:sz w:val="16"/>
          <w:szCs w:val="16"/>
        </w:rPr>
        <w:footnoteRef/>
      </w:r>
      <w:r w:rsidRPr="00E37D77">
        <w:rPr>
          <w:rFonts w:ascii="Verdana" w:hAnsi="Verdana"/>
          <w:sz w:val="16"/>
          <w:szCs w:val="16"/>
        </w:rPr>
        <w:t xml:space="preserve"> </w:t>
      </w:r>
      <w:r w:rsidRPr="00E37D77">
        <w:rPr>
          <w:rFonts w:ascii="Verdana" w:hAnsi="Verdana"/>
          <w:sz w:val="16"/>
          <w:szCs w:val="16"/>
        </w:rPr>
        <w:tab/>
      </w:r>
      <w:proofErr w:type="spellStart"/>
      <w:r w:rsidRPr="00E37D77">
        <w:rPr>
          <w:rFonts w:ascii="Verdana" w:hAnsi="Verdana"/>
          <w:i/>
          <w:iCs/>
          <w:sz w:val="16"/>
          <w:szCs w:val="16"/>
        </w:rPr>
        <w:t>Cfr</w:t>
      </w:r>
      <w:proofErr w:type="spellEnd"/>
      <w:r w:rsidRPr="00E37D77">
        <w:rPr>
          <w:rFonts w:ascii="Verdana" w:hAnsi="Verdana"/>
          <w:sz w:val="16"/>
          <w:szCs w:val="16"/>
        </w:rPr>
        <w:t xml:space="preserve">. TEDH, </w:t>
      </w:r>
      <w:proofErr w:type="spellStart"/>
      <w:r w:rsidRPr="00E37D77">
        <w:rPr>
          <w:rFonts w:ascii="Verdana" w:hAnsi="Verdana"/>
          <w:i/>
          <w:iCs/>
          <w:sz w:val="16"/>
          <w:szCs w:val="16"/>
        </w:rPr>
        <w:t>Soering</w:t>
      </w:r>
      <w:proofErr w:type="spellEnd"/>
      <w:r w:rsidRPr="00E37D77">
        <w:rPr>
          <w:rFonts w:ascii="Verdana" w:hAnsi="Verdana"/>
          <w:i/>
          <w:iCs/>
          <w:sz w:val="16"/>
          <w:szCs w:val="16"/>
        </w:rPr>
        <w:t xml:space="preserve"> v. </w:t>
      </w:r>
      <w:r w:rsidRPr="00E37D77">
        <w:rPr>
          <w:rFonts w:ascii="Verdana" w:hAnsi="Verdana"/>
          <w:i/>
          <w:sz w:val="16"/>
          <w:szCs w:val="16"/>
        </w:rPr>
        <w:t>The United Kingdom</w:t>
      </w:r>
      <w:r w:rsidRPr="00E37D77">
        <w:rPr>
          <w:rFonts w:ascii="Verdana" w:hAnsi="Verdana"/>
          <w:sz w:val="16"/>
          <w:szCs w:val="16"/>
        </w:rPr>
        <w:t xml:space="preserve">, no. 14038/88, </w:t>
      </w:r>
      <w:r w:rsidRPr="00E37D77">
        <w:rPr>
          <w:rFonts w:ascii="Verdana" w:hAnsi="Verdana"/>
          <w:i/>
          <w:sz w:val="16"/>
          <w:szCs w:val="16"/>
        </w:rPr>
        <w:t>supra</w:t>
      </w:r>
      <w:r w:rsidRPr="00E37D77">
        <w:rPr>
          <w:rFonts w:ascii="Verdana" w:hAnsi="Verdana"/>
          <w:sz w:val="16"/>
          <w:szCs w:val="16"/>
        </w:rPr>
        <w:t xml:space="preserve">, </w:t>
      </w:r>
      <w:proofErr w:type="spellStart"/>
      <w:r w:rsidRPr="00E37D77">
        <w:rPr>
          <w:rFonts w:ascii="Verdana" w:hAnsi="Verdana"/>
          <w:sz w:val="16"/>
          <w:szCs w:val="16"/>
        </w:rPr>
        <w:t>párr</w:t>
      </w:r>
      <w:proofErr w:type="spellEnd"/>
      <w:r w:rsidRPr="00E37D77">
        <w:rPr>
          <w:rFonts w:ascii="Verdana" w:hAnsi="Verdana"/>
          <w:sz w:val="16"/>
          <w:szCs w:val="16"/>
        </w:rPr>
        <w:t xml:space="preserve">. </w:t>
      </w:r>
      <w:r w:rsidRPr="007C45D8">
        <w:rPr>
          <w:rFonts w:ascii="Verdana" w:hAnsi="Verdana"/>
          <w:sz w:val="16"/>
          <w:szCs w:val="16"/>
          <w:lang w:val="es-ES"/>
        </w:rPr>
        <w:t xml:space="preserve">106, y </w:t>
      </w:r>
      <w:proofErr w:type="spellStart"/>
      <w:r w:rsidRPr="007C45D8">
        <w:rPr>
          <w:rFonts w:ascii="Verdana" w:hAnsi="Verdana"/>
          <w:i/>
          <w:iCs/>
          <w:sz w:val="16"/>
          <w:szCs w:val="16"/>
          <w:lang w:val="es-ES"/>
        </w:rPr>
        <w:t>Shamayev</w:t>
      </w:r>
      <w:proofErr w:type="spellEnd"/>
      <w:r w:rsidRPr="007C45D8">
        <w:rPr>
          <w:rFonts w:ascii="Verdana" w:hAnsi="Verdana"/>
          <w:i/>
          <w:iCs/>
          <w:sz w:val="16"/>
          <w:szCs w:val="16"/>
          <w:lang w:val="es-ES"/>
        </w:rPr>
        <w:t xml:space="preserve"> and </w:t>
      </w:r>
      <w:proofErr w:type="spellStart"/>
      <w:r w:rsidRPr="007C45D8">
        <w:rPr>
          <w:rFonts w:ascii="Verdana" w:hAnsi="Verdana"/>
          <w:i/>
          <w:iCs/>
          <w:sz w:val="16"/>
          <w:szCs w:val="16"/>
          <w:lang w:val="es-ES"/>
        </w:rPr>
        <w:t>others</w:t>
      </w:r>
      <w:proofErr w:type="spellEnd"/>
      <w:r w:rsidRPr="007C45D8">
        <w:rPr>
          <w:rFonts w:ascii="Verdana" w:hAnsi="Verdana"/>
          <w:i/>
          <w:iCs/>
          <w:sz w:val="16"/>
          <w:szCs w:val="16"/>
          <w:lang w:val="es-ES"/>
        </w:rPr>
        <w:t xml:space="preserve"> v. Georgia and </w:t>
      </w:r>
      <w:proofErr w:type="spellStart"/>
      <w:r w:rsidRPr="007C45D8">
        <w:rPr>
          <w:rFonts w:ascii="Verdana" w:hAnsi="Verdana"/>
          <w:i/>
          <w:iCs/>
          <w:sz w:val="16"/>
          <w:szCs w:val="16"/>
          <w:lang w:val="es-ES"/>
        </w:rPr>
        <w:t>Russia</w:t>
      </w:r>
      <w:proofErr w:type="spellEnd"/>
      <w:r w:rsidRPr="007C45D8">
        <w:rPr>
          <w:rFonts w:ascii="Verdana" w:hAnsi="Verdana"/>
          <w:sz w:val="16"/>
          <w:szCs w:val="16"/>
          <w:lang w:val="es-ES"/>
        </w:rPr>
        <w:t xml:space="preserve">, no. 36378/02, </w:t>
      </w:r>
      <w:r w:rsidRPr="007C45D8">
        <w:rPr>
          <w:rFonts w:ascii="Verdana" w:hAnsi="Verdana"/>
          <w:sz w:val="16"/>
          <w:szCs w:val="16"/>
          <w:lang w:val="es-CR"/>
        </w:rPr>
        <w:t xml:space="preserve">Sentencia de 12 de abril de 2005, </w:t>
      </w:r>
      <w:r w:rsidRPr="007C45D8">
        <w:rPr>
          <w:rFonts w:ascii="Verdana" w:hAnsi="Verdana"/>
          <w:sz w:val="16"/>
          <w:szCs w:val="16"/>
          <w:lang w:val="es-ES"/>
        </w:rPr>
        <w:t>párr. 333.</w:t>
      </w:r>
    </w:p>
  </w:footnote>
  <w:footnote w:id="83">
    <w:p w:rsidR="001C18DD" w:rsidRPr="008E4C70" w:rsidRDefault="001C18DD" w:rsidP="00FA7C64">
      <w:pPr>
        <w:pStyle w:val="Textonotapie"/>
        <w:jc w:val="both"/>
        <w:rPr>
          <w:rFonts w:ascii="Verdana" w:hAnsi="Verdana"/>
          <w:sz w:val="16"/>
          <w:szCs w:val="16"/>
          <w:lang w:val="es-CR"/>
        </w:rPr>
      </w:pPr>
      <w:r w:rsidRPr="007C45D8">
        <w:rPr>
          <w:rStyle w:val="Refdenotaalpie"/>
          <w:rFonts w:ascii="Verdana" w:hAnsi="Verdana"/>
          <w:sz w:val="16"/>
          <w:szCs w:val="16"/>
        </w:rPr>
        <w:footnoteRef/>
      </w:r>
      <w:r w:rsidRPr="007C45D8">
        <w:rPr>
          <w:rFonts w:ascii="Verdana" w:hAnsi="Verdana"/>
          <w:sz w:val="16"/>
          <w:szCs w:val="16"/>
          <w:lang w:val="es-CR"/>
        </w:rPr>
        <w:t xml:space="preserve"> </w:t>
      </w:r>
      <w:r w:rsidRPr="007C45D8">
        <w:rPr>
          <w:rFonts w:ascii="Verdana" w:hAnsi="Verdana"/>
          <w:sz w:val="16"/>
          <w:szCs w:val="16"/>
          <w:lang w:val="es-CR"/>
        </w:rPr>
        <w:tab/>
        <w:t>Ley que establece el procedimiento para la ejecución de la pena de muerte, Decreto No. 100-1996 de 28 de noviembre de 1996, estableció en su tercer considerando que:</w:t>
      </w:r>
      <w:r w:rsidRPr="008E4C70">
        <w:rPr>
          <w:rFonts w:ascii="Verdana" w:hAnsi="Verdana"/>
          <w:sz w:val="16"/>
          <w:szCs w:val="16"/>
          <w:lang w:val="es-CR"/>
        </w:rPr>
        <w:t xml:space="preserve"> </w:t>
      </w:r>
    </w:p>
    <w:p w:rsidR="001C18DD" w:rsidRPr="008E4C70" w:rsidRDefault="001C18DD" w:rsidP="00C947C5">
      <w:pPr>
        <w:pStyle w:val="Textonotapie"/>
        <w:jc w:val="both"/>
        <w:rPr>
          <w:rFonts w:ascii="Verdana" w:hAnsi="Verdana"/>
          <w:sz w:val="16"/>
          <w:szCs w:val="16"/>
          <w:lang w:val="es-CR"/>
        </w:rPr>
      </w:pPr>
    </w:p>
    <w:p w:rsidR="001C18DD" w:rsidRPr="006B2BCC" w:rsidRDefault="001C18DD">
      <w:pPr>
        <w:pStyle w:val="Textonotapie"/>
        <w:ind w:left="720" w:right="720"/>
        <w:jc w:val="both"/>
        <w:rPr>
          <w:rFonts w:ascii="Verdana" w:hAnsi="Verdana"/>
          <w:sz w:val="16"/>
          <w:szCs w:val="16"/>
          <w:lang w:val="es-CR"/>
        </w:rPr>
      </w:pPr>
      <w:r w:rsidRPr="008E4C70">
        <w:rPr>
          <w:rFonts w:ascii="Verdana" w:hAnsi="Verdana"/>
          <w:sz w:val="16"/>
          <w:szCs w:val="16"/>
          <w:lang w:val="es-CR"/>
        </w:rPr>
        <w:t xml:space="preserve">[…] las corrientes modernas de la Medicina forense recomiendan para la ejecución de la pena capital el uso del procedimiento de inyección letal, que aúna en su haber la garantía de su efectividad en un lapso muy corto, con el mínimo de sufrimiento de parte de la persona a quien se destina, </w:t>
      </w:r>
      <w:r w:rsidRPr="006B2BCC">
        <w:rPr>
          <w:rFonts w:ascii="Verdana" w:hAnsi="Verdana"/>
          <w:sz w:val="16"/>
          <w:szCs w:val="16"/>
          <w:lang w:val="es-CR"/>
        </w:rPr>
        <w:t>motivo por el cual es aconsejable su adopción en el sistema de ejecución procesal penal guatemalteco</w:t>
      </w:r>
      <w:r w:rsidRPr="008E4C70">
        <w:rPr>
          <w:rFonts w:ascii="Verdana" w:hAnsi="Verdana"/>
          <w:sz w:val="16"/>
          <w:szCs w:val="16"/>
          <w:lang w:val="es-CR"/>
        </w:rPr>
        <w:t>, para lo cual se deben emitir las normas corre</w:t>
      </w:r>
      <w:r>
        <w:rPr>
          <w:rFonts w:ascii="Verdana" w:hAnsi="Verdana"/>
          <w:sz w:val="16"/>
          <w:szCs w:val="16"/>
          <w:lang w:val="es-CR"/>
        </w:rPr>
        <w:t>spondientes para su regulación.</w:t>
      </w:r>
    </w:p>
  </w:footnote>
  <w:footnote w:id="84">
    <w:p w:rsidR="001C18DD" w:rsidRPr="00A36771" w:rsidRDefault="001C18DD">
      <w:pPr>
        <w:pStyle w:val="Textonotapie"/>
        <w:rPr>
          <w:lang w:val="es-CR"/>
        </w:rPr>
      </w:pPr>
      <w:r>
        <w:rPr>
          <w:rStyle w:val="Refdenotaalpie"/>
        </w:rPr>
        <w:footnoteRef/>
      </w:r>
      <w:r w:rsidRPr="00A36771">
        <w:rPr>
          <w:lang w:val="es-CR"/>
        </w:rPr>
        <w:t xml:space="preserve"> </w:t>
      </w:r>
      <w:r>
        <w:rPr>
          <w:lang w:val="es-CR"/>
        </w:rPr>
        <w:tab/>
        <w:t>Artículo 8 de la Convención Americana.</w:t>
      </w:r>
    </w:p>
  </w:footnote>
  <w:footnote w:id="85">
    <w:p w:rsidR="001C18DD" w:rsidRPr="008E4C70" w:rsidRDefault="001C18DD" w:rsidP="00A326C2">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t xml:space="preserve">En efecto, indicó que el tribunal decidió recibir las declaraciones de tres testigos, sin embargo, la diligencia no se pudo llevar a cabo porque el defensor de Roberto Girón no siguió las formalidades legales para presentar al juez el pliego de preguntas que formularía a los testigos. </w:t>
      </w:r>
    </w:p>
  </w:footnote>
  <w:footnote w:id="86">
    <w:p w:rsidR="001C18DD" w:rsidRPr="007C45D8" w:rsidRDefault="001C18DD" w:rsidP="00A326C2">
      <w:pPr>
        <w:pStyle w:val="Footnotes"/>
        <w:tabs>
          <w:tab w:val="left" w:pos="426"/>
        </w:tabs>
        <w:spacing w:before="0" w:after="0"/>
        <w:rPr>
          <w:rFonts w:eastAsiaTheme="minorHAnsi" w:cstheme="minorBidi"/>
          <w:iCs w:val="0"/>
          <w:lang w:val="es-CR"/>
        </w:rPr>
      </w:pPr>
      <w:r w:rsidRPr="008E4C70">
        <w:rPr>
          <w:rStyle w:val="Refdenotaalpie"/>
          <w:spacing w:val="-12"/>
          <w:lang w:val="es-CR"/>
        </w:rPr>
        <w:footnoteRef/>
      </w:r>
      <w:r w:rsidRPr="008E4C70">
        <w:rPr>
          <w:spacing w:val="-12"/>
        </w:rPr>
        <w:t xml:space="preserve"> </w:t>
      </w:r>
      <w:r>
        <w:rPr>
          <w:spacing w:val="-12"/>
        </w:rPr>
        <w:tab/>
        <w:t xml:space="preserve">       </w:t>
      </w:r>
      <w:r w:rsidRPr="007C45D8">
        <w:rPr>
          <w:rFonts w:eastAsiaTheme="minorHAnsi" w:cstheme="minorBidi"/>
          <w:i/>
          <w:iCs w:val="0"/>
          <w:lang w:val="es-CR"/>
        </w:rPr>
        <w:t xml:space="preserve">Cfr. Caso Cinco Pensionistas Vs. Perú, Fondo, Reparaciones y Costas. </w:t>
      </w:r>
      <w:r w:rsidRPr="007C45D8">
        <w:rPr>
          <w:rFonts w:eastAsiaTheme="minorHAnsi" w:cstheme="minorBidi"/>
          <w:iCs w:val="0"/>
          <w:lang w:val="es-CR"/>
        </w:rPr>
        <w:t xml:space="preserve">Sentencia de 28 de febrero de 2003. Serie C No. 98, párr. </w:t>
      </w:r>
      <w:r w:rsidRPr="007C45D8">
        <w:rPr>
          <w:rFonts w:eastAsiaTheme="minorHAnsi" w:cstheme="minorBidi"/>
          <w:iCs w:val="0"/>
          <w:lang w:val="es-CR"/>
        </w:rPr>
        <w:t xml:space="preserve">155, y </w:t>
      </w:r>
      <w:r w:rsidRPr="007C45D8">
        <w:rPr>
          <w:rFonts w:eastAsiaTheme="minorHAnsi" w:cstheme="minorBidi"/>
          <w:i/>
          <w:iCs w:val="0"/>
          <w:lang w:val="es-CR"/>
        </w:rPr>
        <w:t>Caso Coc Max y otros (Masacre de Xamán) Vs. Guatemala. Fondo, Reparaciones y Costas.</w:t>
      </w:r>
      <w:r w:rsidRPr="007C45D8">
        <w:rPr>
          <w:rFonts w:eastAsiaTheme="minorHAnsi" w:cstheme="minorBidi"/>
          <w:iCs w:val="0"/>
          <w:lang w:val="es-CR"/>
        </w:rPr>
        <w:t xml:space="preserve"> Sentencia de 22 de agosto de 2018. Serie C No. 356, párr. 133. </w:t>
      </w:r>
    </w:p>
  </w:footnote>
  <w:footnote w:id="87">
    <w:p w:rsidR="001C18DD" w:rsidRPr="008E4C70" w:rsidRDefault="001C18DD" w:rsidP="00A326C2">
      <w:pPr>
        <w:spacing w:after="0"/>
        <w:jc w:val="both"/>
        <w:rPr>
          <w:rFonts w:ascii="Verdana" w:hAnsi="Verdana"/>
          <w:sz w:val="16"/>
          <w:szCs w:val="16"/>
          <w:lang w:val="es-CO"/>
        </w:rPr>
      </w:pPr>
      <w:r w:rsidRPr="007C45D8">
        <w:rPr>
          <w:rStyle w:val="Refdenotaalpie"/>
        </w:rPr>
        <w:footnoteRef/>
      </w:r>
      <w:r w:rsidRPr="007C45D8">
        <w:rPr>
          <w:rStyle w:val="Refdenotaalpie"/>
          <w:lang w:val="es-CR"/>
        </w:rPr>
        <w:t xml:space="preserve"> </w:t>
      </w:r>
      <w:r w:rsidRPr="005E10DA">
        <w:rPr>
          <w:rFonts w:ascii="Verdana" w:hAnsi="Verdana"/>
          <w:sz w:val="16"/>
          <w:szCs w:val="16"/>
          <w:lang w:val="es-CR"/>
        </w:rPr>
        <w:tab/>
      </w:r>
      <w:r w:rsidRPr="007C45D8">
        <w:rPr>
          <w:rFonts w:ascii="Verdana" w:hAnsi="Verdana"/>
          <w:i/>
          <w:sz w:val="16"/>
          <w:szCs w:val="16"/>
          <w:lang w:val="es-CR"/>
        </w:rPr>
        <w:t>Cfr. Caso del Tribunal Constitucional Vs. Perú. Fondo, Reparaciones y Costas.</w:t>
      </w:r>
      <w:r w:rsidRPr="007C45D8">
        <w:rPr>
          <w:rFonts w:ascii="Verdana" w:hAnsi="Verdana"/>
          <w:sz w:val="16"/>
          <w:szCs w:val="16"/>
          <w:lang w:val="es-CR"/>
        </w:rPr>
        <w:t xml:space="preserve"> Sentencia de 31 de enero de 2001. Serie C No. 71, párr. 71, y </w:t>
      </w:r>
      <w:r w:rsidRPr="007C45D8">
        <w:rPr>
          <w:rFonts w:ascii="Verdana" w:hAnsi="Verdana"/>
          <w:i/>
          <w:sz w:val="16"/>
          <w:szCs w:val="16"/>
          <w:lang w:val="es-CR"/>
        </w:rPr>
        <w:t>Caso V.R.P., V.P.C. y otros Vs. Nicaragua. Excepciones Preliminares, Fondo, Reparaciones y Costas.</w:t>
      </w:r>
      <w:r w:rsidRPr="007C45D8">
        <w:rPr>
          <w:rFonts w:ascii="Verdana" w:hAnsi="Verdana"/>
          <w:sz w:val="16"/>
          <w:szCs w:val="16"/>
          <w:lang w:val="es-CR"/>
        </w:rPr>
        <w:t xml:space="preserve"> Sentencia de 8 de marzo de 2018. Serie C No. 350, párr. 217.</w:t>
      </w:r>
    </w:p>
  </w:footnote>
  <w:footnote w:id="88">
    <w:p w:rsidR="001C18DD" w:rsidRPr="008E4C70" w:rsidRDefault="001C18DD" w:rsidP="00A326C2">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 xml:space="preserve">Cfr. Excepciones al Agotamiento de los Recursos Internos (arts. 46.1, 46.2.a y 46.2.b, Convención Americana sobre Derechos Humanos). </w:t>
      </w:r>
      <w:r w:rsidRPr="008E4C70">
        <w:rPr>
          <w:rFonts w:ascii="Verdana" w:hAnsi="Verdana"/>
          <w:sz w:val="16"/>
          <w:szCs w:val="16"/>
          <w:lang w:val="es-CR"/>
        </w:rPr>
        <w:t xml:space="preserve">Opinión Consultiva OC-11/90 del 10 de agosto de 1990. Serie A No. 11, párr. 28, y </w:t>
      </w:r>
      <w:r w:rsidRPr="00C30CB5">
        <w:rPr>
          <w:rFonts w:ascii="Verdana" w:hAnsi="Verdana"/>
          <w:i/>
          <w:sz w:val="16"/>
          <w:szCs w:val="16"/>
          <w:lang w:val="es-CR"/>
        </w:rPr>
        <w:t xml:space="preserve">Caso Colindres Schonenberg Vs. El Salvador. Fondo, Reparaciones y Costas. </w:t>
      </w:r>
      <w:r w:rsidRPr="007C45D8">
        <w:rPr>
          <w:rFonts w:ascii="Verdana" w:hAnsi="Verdana"/>
          <w:sz w:val="16"/>
          <w:szCs w:val="16"/>
          <w:lang w:val="es-CR"/>
        </w:rPr>
        <w:t>Sentencia de 4 de febrero de 2019. Serie C No. 373</w:t>
      </w:r>
      <w:r w:rsidRPr="008E4C70">
        <w:rPr>
          <w:rFonts w:ascii="Verdana" w:hAnsi="Verdana"/>
          <w:sz w:val="16"/>
          <w:szCs w:val="16"/>
          <w:lang w:val="es-CR"/>
        </w:rPr>
        <w:t xml:space="preserve">, párr. </w:t>
      </w:r>
      <w:r>
        <w:rPr>
          <w:rFonts w:ascii="Verdana" w:hAnsi="Verdana"/>
          <w:sz w:val="16"/>
          <w:szCs w:val="16"/>
          <w:lang w:val="es-CR"/>
        </w:rPr>
        <w:t>64</w:t>
      </w:r>
      <w:r w:rsidRPr="008E4C70">
        <w:rPr>
          <w:rFonts w:ascii="Verdana" w:hAnsi="Verdana"/>
          <w:sz w:val="16"/>
          <w:szCs w:val="16"/>
          <w:lang w:val="es-CR"/>
        </w:rPr>
        <w:t>.</w:t>
      </w:r>
    </w:p>
  </w:footnote>
  <w:footnote w:id="89">
    <w:p w:rsidR="001C18DD" w:rsidRPr="008E4C70" w:rsidRDefault="001C18DD" w:rsidP="00A326C2">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 xml:space="preserve">Cfr. </w:t>
      </w:r>
      <w:r w:rsidRPr="008E4C70">
        <w:rPr>
          <w:rFonts w:ascii="Verdana" w:hAnsi="Verdana"/>
          <w:i/>
          <w:sz w:val="16"/>
          <w:szCs w:val="16"/>
          <w:lang w:val="es-ES_tradnl"/>
        </w:rPr>
        <w:t xml:space="preserve">Caso </w:t>
      </w:r>
      <w:proofErr w:type="spellStart"/>
      <w:r w:rsidRPr="008E4C70">
        <w:rPr>
          <w:rFonts w:ascii="Verdana" w:hAnsi="Verdana"/>
          <w:i/>
          <w:sz w:val="16"/>
          <w:szCs w:val="16"/>
          <w:lang w:val="es-ES_tradnl"/>
        </w:rPr>
        <w:t>Palamara</w:t>
      </w:r>
      <w:proofErr w:type="spellEnd"/>
      <w:r w:rsidRPr="008E4C70">
        <w:rPr>
          <w:rFonts w:ascii="Verdana" w:hAnsi="Verdana"/>
          <w:i/>
          <w:sz w:val="16"/>
          <w:szCs w:val="16"/>
          <w:lang w:val="es-ES_tradnl"/>
        </w:rPr>
        <w:t xml:space="preserve"> Iribarne Vs. Chile. Fondo, Reparaciones y Costas</w:t>
      </w:r>
      <w:r w:rsidRPr="008E4C70">
        <w:rPr>
          <w:rFonts w:ascii="Verdana" w:hAnsi="Verdana"/>
          <w:sz w:val="16"/>
          <w:szCs w:val="16"/>
          <w:lang w:val="es-ES_tradnl"/>
        </w:rPr>
        <w:t>. Sentencia de 22 de noviembre de 2005. Serie C No. 135</w:t>
      </w:r>
      <w:r w:rsidRPr="008E4C70">
        <w:rPr>
          <w:rFonts w:ascii="Verdana" w:hAnsi="Verdana"/>
          <w:sz w:val="16"/>
          <w:szCs w:val="16"/>
          <w:lang w:val="es-CR"/>
        </w:rPr>
        <w:t>, párrs. 174 y 175</w:t>
      </w:r>
      <w:r>
        <w:rPr>
          <w:rFonts w:ascii="Verdana" w:hAnsi="Verdana"/>
          <w:sz w:val="16"/>
          <w:szCs w:val="16"/>
          <w:lang w:val="es-CR"/>
        </w:rPr>
        <w:t xml:space="preserve">, y </w:t>
      </w:r>
      <w:r w:rsidRPr="007C45D8">
        <w:rPr>
          <w:rFonts w:ascii="Verdana" w:hAnsi="Verdana"/>
          <w:i/>
          <w:sz w:val="16"/>
          <w:szCs w:val="16"/>
          <w:lang w:val="es-CR"/>
        </w:rPr>
        <w:t>Caso Herrera Espinoza y otros Vs. Ecuador. Excepciones Preliminares, Fondo, Reparaciones y Costas.</w:t>
      </w:r>
      <w:r w:rsidRPr="00565196">
        <w:rPr>
          <w:rFonts w:ascii="Verdana" w:hAnsi="Verdana"/>
          <w:sz w:val="16"/>
          <w:szCs w:val="16"/>
          <w:lang w:val="es-CR"/>
        </w:rPr>
        <w:t xml:space="preserve"> Sentencia de 1 de sept</w:t>
      </w:r>
      <w:r>
        <w:rPr>
          <w:rFonts w:ascii="Verdana" w:hAnsi="Verdana"/>
          <w:sz w:val="16"/>
          <w:szCs w:val="16"/>
          <w:lang w:val="es-CR"/>
        </w:rPr>
        <w:t xml:space="preserve">iembre de 2016. Serie C No. 316, párr. 174. </w:t>
      </w:r>
    </w:p>
  </w:footnote>
  <w:footnote w:id="90">
    <w:p w:rsidR="001C18DD" w:rsidRPr="008E4C70" w:rsidRDefault="001C18DD" w:rsidP="00A326C2">
      <w:pPr>
        <w:pStyle w:val="Textonotapie"/>
        <w:jc w:val="both"/>
        <w:rPr>
          <w:rFonts w:ascii="Verdana" w:hAnsi="Verdana" w:cs="Times_New_Roman--Identity-H"/>
          <w:sz w:val="16"/>
          <w:szCs w:val="16"/>
          <w:lang w:val="es-CR"/>
        </w:rPr>
      </w:pPr>
      <w:r w:rsidRPr="008E4C70">
        <w:rPr>
          <w:rStyle w:val="Refdenotaalpie"/>
          <w:rFonts w:ascii="Verdana" w:hAnsi="Verdana"/>
          <w:sz w:val="16"/>
          <w:szCs w:val="16"/>
        </w:rPr>
        <w:footnoteRef/>
      </w:r>
      <w:r w:rsidRPr="008E4C70">
        <w:rPr>
          <w:rFonts w:ascii="Verdana" w:hAnsi="Verdana"/>
          <w:i/>
          <w:sz w:val="16"/>
          <w:szCs w:val="16"/>
          <w:lang w:val="es-CR"/>
        </w:rPr>
        <w:tab/>
        <w:t>Cfr. Condición Jurídica y Derechos Humanos del Niño.</w:t>
      </w:r>
      <w:r w:rsidRPr="008E4C70">
        <w:rPr>
          <w:rFonts w:ascii="Verdana" w:hAnsi="Verdana"/>
          <w:sz w:val="16"/>
          <w:szCs w:val="16"/>
          <w:lang w:val="es-CR"/>
        </w:rPr>
        <w:t xml:space="preserve"> Opinión Consultiva OC-17/02 de 28 de agosto de 2002. Serie A No. 17,</w:t>
      </w:r>
      <w:r w:rsidRPr="008E4C70">
        <w:rPr>
          <w:rFonts w:ascii="Verdana" w:hAnsi="Verdana"/>
          <w:i/>
          <w:sz w:val="16"/>
          <w:szCs w:val="16"/>
          <w:lang w:val="es-CR"/>
        </w:rPr>
        <w:t xml:space="preserve"> </w:t>
      </w:r>
      <w:r w:rsidRPr="008E4C70">
        <w:rPr>
          <w:rFonts w:ascii="Verdana" w:hAnsi="Verdana"/>
          <w:sz w:val="16"/>
          <w:szCs w:val="16"/>
          <w:lang w:val="es-CR"/>
        </w:rPr>
        <w:t xml:space="preserve">párr. 132, y </w:t>
      </w:r>
      <w:r w:rsidRPr="009663A7">
        <w:rPr>
          <w:rFonts w:ascii="Verdana" w:hAnsi="Verdana"/>
          <w:i/>
          <w:sz w:val="16"/>
          <w:szCs w:val="16"/>
          <w:lang w:val="es-ES_tradnl"/>
        </w:rPr>
        <w:t xml:space="preserve">Caso Ruano Torres y otros Vs. El Salvador. Fondo, Reparaciones y Costas. </w:t>
      </w:r>
      <w:r w:rsidRPr="007C45D8">
        <w:rPr>
          <w:rFonts w:ascii="Verdana" w:hAnsi="Verdana"/>
          <w:sz w:val="16"/>
          <w:szCs w:val="16"/>
          <w:lang w:val="es-ES_tradnl"/>
        </w:rPr>
        <w:t>Sentencia de 5 de o</w:t>
      </w:r>
      <w:r>
        <w:rPr>
          <w:rFonts w:ascii="Verdana" w:hAnsi="Verdana"/>
          <w:sz w:val="16"/>
          <w:szCs w:val="16"/>
          <w:lang w:val="es-ES_tradnl"/>
        </w:rPr>
        <w:t>ctubre de 2015. Serie C No. 303,</w:t>
      </w:r>
      <w:r w:rsidRPr="007C45D8" w:rsidDel="009663A7">
        <w:rPr>
          <w:rFonts w:ascii="Verdana" w:hAnsi="Verdana"/>
          <w:sz w:val="16"/>
          <w:szCs w:val="16"/>
          <w:lang w:val="es-ES_tradnl"/>
        </w:rPr>
        <w:t xml:space="preserve"> </w:t>
      </w:r>
      <w:r w:rsidRPr="008E4C70">
        <w:rPr>
          <w:rFonts w:ascii="Verdana" w:hAnsi="Verdana"/>
          <w:sz w:val="16"/>
          <w:szCs w:val="16"/>
          <w:lang w:val="es-CR"/>
        </w:rPr>
        <w:t>párr. 1</w:t>
      </w:r>
      <w:r>
        <w:rPr>
          <w:rFonts w:ascii="Verdana" w:hAnsi="Verdana"/>
          <w:sz w:val="16"/>
          <w:szCs w:val="16"/>
          <w:lang w:val="es-CR"/>
        </w:rPr>
        <w:t>52</w:t>
      </w:r>
      <w:r w:rsidRPr="008E4C70">
        <w:rPr>
          <w:rFonts w:ascii="Verdana" w:hAnsi="Verdana"/>
          <w:sz w:val="16"/>
          <w:szCs w:val="16"/>
          <w:lang w:val="es-CR"/>
        </w:rPr>
        <w:t>.</w:t>
      </w:r>
    </w:p>
  </w:footnote>
  <w:footnote w:id="91">
    <w:p w:rsidR="001C18DD" w:rsidRPr="008E4C70" w:rsidRDefault="001C18DD" w:rsidP="00A326C2">
      <w:pPr>
        <w:pStyle w:val="Textonotapie"/>
        <w:jc w:val="both"/>
        <w:rPr>
          <w:rFonts w:ascii="Verdana" w:hAnsi="Verdana"/>
          <w:b/>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 xml:space="preserve">Cfr. Caso Barreto Leiva Vs. Venezuela, </w:t>
      </w:r>
      <w:r w:rsidRPr="00292DD8">
        <w:rPr>
          <w:rFonts w:ascii="Verdana" w:hAnsi="Verdana" w:cs="Tahoma"/>
          <w:i/>
          <w:sz w:val="16"/>
          <w:szCs w:val="16"/>
          <w:shd w:val="clear" w:color="auto" w:fill="FFFFFF"/>
          <w:lang w:val="es-CR"/>
        </w:rPr>
        <w:t xml:space="preserve">Fondo, Reparaciones y Costas. </w:t>
      </w:r>
      <w:r w:rsidRPr="003E32BC">
        <w:rPr>
          <w:rFonts w:ascii="Verdana" w:hAnsi="Verdana" w:cs="Tahoma"/>
          <w:sz w:val="16"/>
          <w:szCs w:val="16"/>
          <w:shd w:val="clear" w:color="auto" w:fill="FFFFFF"/>
          <w:lang w:val="es-CR"/>
        </w:rPr>
        <w:t>Sentencia de 17 de noviembre de 2009</w:t>
      </w:r>
      <w:r w:rsidRPr="0053042E">
        <w:rPr>
          <w:rFonts w:ascii="Verdana" w:hAnsi="Verdana"/>
          <w:sz w:val="16"/>
          <w:szCs w:val="16"/>
          <w:lang w:val="pt-PT"/>
        </w:rPr>
        <w:t>.</w:t>
      </w:r>
      <w:r w:rsidRPr="00292DD8">
        <w:rPr>
          <w:rFonts w:ascii="Verdana" w:hAnsi="Verdana"/>
          <w:sz w:val="16"/>
          <w:szCs w:val="16"/>
          <w:lang w:val="pt-PT"/>
        </w:rPr>
        <w:t xml:space="preserve"> Serie C No</w:t>
      </w:r>
      <w:r>
        <w:rPr>
          <w:rFonts w:ascii="Verdana" w:hAnsi="Verdana"/>
          <w:sz w:val="16"/>
          <w:szCs w:val="16"/>
          <w:lang w:val="pt-PT"/>
        </w:rPr>
        <w:t>.</w:t>
      </w:r>
      <w:r w:rsidRPr="00292DD8">
        <w:rPr>
          <w:rFonts w:ascii="Verdana" w:hAnsi="Verdana"/>
          <w:sz w:val="16"/>
          <w:szCs w:val="16"/>
          <w:lang w:val="pt-PT"/>
        </w:rPr>
        <w:t xml:space="preserve"> 206</w:t>
      </w:r>
      <w:r w:rsidRPr="008E4C70">
        <w:rPr>
          <w:rFonts w:ascii="Verdana" w:hAnsi="Verdana"/>
          <w:sz w:val="16"/>
          <w:szCs w:val="16"/>
          <w:lang w:val="es-CR"/>
        </w:rPr>
        <w:t xml:space="preserve">, párr. 61, y </w:t>
      </w:r>
      <w:r w:rsidRPr="008E4C70">
        <w:rPr>
          <w:rStyle w:val="Textoennegrita"/>
          <w:rFonts w:ascii="Verdana" w:hAnsi="Verdana"/>
          <w:b w:val="0"/>
          <w:i/>
          <w:sz w:val="16"/>
          <w:szCs w:val="16"/>
          <w:lang w:val="es-CR"/>
        </w:rPr>
        <w:t xml:space="preserve">Caso Argüelles y otros Vs. Argentina, </w:t>
      </w:r>
      <w:r w:rsidRPr="00292DD8">
        <w:rPr>
          <w:rStyle w:val="Textoennegrita"/>
          <w:rFonts w:ascii="Verdana" w:hAnsi="Verdana"/>
          <w:b w:val="0"/>
          <w:i/>
          <w:sz w:val="16"/>
          <w:szCs w:val="16"/>
          <w:lang w:val="es-CR"/>
        </w:rPr>
        <w:t>Exc</w:t>
      </w:r>
      <w:r>
        <w:rPr>
          <w:rStyle w:val="Textoennegrita"/>
          <w:rFonts w:ascii="Verdana" w:hAnsi="Verdana"/>
          <w:b w:val="0"/>
          <w:i/>
          <w:sz w:val="16"/>
          <w:szCs w:val="16"/>
          <w:lang w:val="es-CR"/>
        </w:rPr>
        <w:t>e</w:t>
      </w:r>
      <w:r w:rsidRPr="00292DD8">
        <w:rPr>
          <w:rStyle w:val="Textoennegrita"/>
          <w:rFonts w:ascii="Verdana" w:hAnsi="Verdana"/>
          <w:b w:val="0"/>
          <w:i/>
          <w:sz w:val="16"/>
          <w:szCs w:val="16"/>
          <w:lang w:val="es-CR"/>
        </w:rPr>
        <w:t>pciones Preliminares, Fondo, Reparaciones y Costas</w:t>
      </w:r>
      <w:r>
        <w:rPr>
          <w:rStyle w:val="Textoennegrita"/>
          <w:rFonts w:ascii="Verdana" w:hAnsi="Verdana"/>
          <w:b w:val="0"/>
          <w:i/>
          <w:sz w:val="16"/>
          <w:szCs w:val="16"/>
          <w:lang w:val="es-CR"/>
        </w:rPr>
        <w:t>.</w:t>
      </w:r>
      <w:r w:rsidRPr="00292DD8">
        <w:rPr>
          <w:rStyle w:val="Textoennegrita"/>
          <w:rFonts w:ascii="Verdana" w:hAnsi="Verdana"/>
          <w:b w:val="0"/>
          <w:i/>
          <w:sz w:val="16"/>
          <w:szCs w:val="16"/>
          <w:lang w:val="es-CR"/>
        </w:rPr>
        <w:t xml:space="preserve"> </w:t>
      </w:r>
      <w:r w:rsidRPr="003E32BC">
        <w:rPr>
          <w:rStyle w:val="Textoennegrita"/>
          <w:rFonts w:ascii="Verdana" w:hAnsi="Verdana"/>
          <w:b w:val="0"/>
          <w:sz w:val="16"/>
          <w:szCs w:val="16"/>
          <w:lang w:val="es-CR"/>
        </w:rPr>
        <w:t>Sentencia de 20 de noviembre de 2014. Serie C No. 288</w:t>
      </w:r>
      <w:r w:rsidRPr="008E4C70">
        <w:rPr>
          <w:rStyle w:val="Textoennegrita"/>
          <w:rFonts w:ascii="Verdana" w:hAnsi="Verdana"/>
          <w:b w:val="0"/>
          <w:sz w:val="16"/>
          <w:szCs w:val="16"/>
          <w:lang w:val="es-CR"/>
        </w:rPr>
        <w:t>, párr. 177</w:t>
      </w:r>
      <w:r w:rsidRPr="008E4C70">
        <w:rPr>
          <w:rFonts w:ascii="Verdana" w:hAnsi="Verdana"/>
          <w:sz w:val="16"/>
          <w:szCs w:val="16"/>
          <w:lang w:val="es-CR"/>
        </w:rPr>
        <w:t>.</w:t>
      </w:r>
    </w:p>
  </w:footnote>
  <w:footnote w:id="92">
    <w:p w:rsidR="001C18DD" w:rsidRPr="008E4C70" w:rsidRDefault="001C18DD" w:rsidP="00A326C2">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i/>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Cfr. Caso Ruano Torr</w:t>
      </w:r>
      <w:r>
        <w:rPr>
          <w:rFonts w:ascii="Verdana" w:hAnsi="Verdana"/>
          <w:i/>
          <w:sz w:val="16"/>
          <w:szCs w:val="16"/>
          <w:lang w:val="es-CR"/>
        </w:rPr>
        <w:t>es y otros Vs. El Salvador</w:t>
      </w:r>
      <w:r w:rsidRPr="008E4C70">
        <w:rPr>
          <w:rFonts w:ascii="Verdana" w:hAnsi="Verdana"/>
          <w:i/>
          <w:sz w:val="16"/>
          <w:szCs w:val="16"/>
          <w:lang w:val="es-CR"/>
        </w:rPr>
        <w:t xml:space="preserve">, </w:t>
      </w:r>
      <w:r w:rsidRPr="00292DD8">
        <w:rPr>
          <w:rFonts w:ascii="Verdana" w:hAnsi="Verdana"/>
          <w:i/>
          <w:sz w:val="16"/>
          <w:szCs w:val="16"/>
          <w:lang w:val="es-CR"/>
        </w:rPr>
        <w:t xml:space="preserve">Fondo, Reparaciones y Costas. </w:t>
      </w:r>
      <w:r w:rsidRPr="003E32BC">
        <w:rPr>
          <w:rFonts w:ascii="Verdana" w:hAnsi="Verdana"/>
          <w:sz w:val="16"/>
          <w:szCs w:val="16"/>
          <w:lang w:val="es-CR"/>
        </w:rPr>
        <w:t>Sentencia de 5 de octubre de 2015. Serie C No</w:t>
      </w:r>
      <w:r>
        <w:rPr>
          <w:rFonts w:ascii="Verdana" w:hAnsi="Verdana"/>
          <w:sz w:val="16"/>
          <w:szCs w:val="16"/>
          <w:lang w:val="es-CR"/>
        </w:rPr>
        <w:t>.</w:t>
      </w:r>
      <w:r w:rsidRPr="003E32BC">
        <w:rPr>
          <w:rFonts w:ascii="Verdana" w:hAnsi="Verdana"/>
          <w:sz w:val="16"/>
          <w:szCs w:val="16"/>
          <w:lang w:val="es-CR"/>
        </w:rPr>
        <w:t xml:space="preserve"> 303</w:t>
      </w:r>
      <w:r>
        <w:rPr>
          <w:rFonts w:ascii="Verdana" w:hAnsi="Verdana"/>
          <w:sz w:val="16"/>
          <w:szCs w:val="16"/>
          <w:lang w:val="es-CR"/>
        </w:rPr>
        <w:t xml:space="preserve">, </w:t>
      </w:r>
      <w:r w:rsidRPr="008E4C70">
        <w:rPr>
          <w:rFonts w:ascii="Verdana" w:hAnsi="Verdana"/>
          <w:sz w:val="16"/>
          <w:szCs w:val="16"/>
          <w:lang w:val="es-CR"/>
        </w:rPr>
        <w:t>párr. 158</w:t>
      </w:r>
      <w:r>
        <w:rPr>
          <w:rFonts w:ascii="Verdana" w:hAnsi="Verdana" w:cs="Arial"/>
          <w:sz w:val="16"/>
          <w:szCs w:val="16"/>
          <w:lang w:val="es-CR"/>
        </w:rPr>
        <w:t xml:space="preserve">, y </w:t>
      </w:r>
      <w:r w:rsidRPr="00A418FF">
        <w:rPr>
          <w:rFonts w:ascii="Verdana" w:hAnsi="Verdana" w:cs="Arial"/>
          <w:i/>
          <w:sz w:val="16"/>
          <w:szCs w:val="16"/>
          <w:lang w:val="es-CR"/>
        </w:rPr>
        <w:t>Caso Martínez Coronado Vs. Guatemala</w:t>
      </w:r>
      <w:r>
        <w:rPr>
          <w:rFonts w:ascii="Verdana" w:hAnsi="Verdana" w:cs="Arial"/>
          <w:i/>
          <w:sz w:val="16"/>
          <w:szCs w:val="16"/>
          <w:lang w:val="es-CR"/>
        </w:rPr>
        <w:t xml:space="preserve">, supra, </w:t>
      </w:r>
      <w:r>
        <w:rPr>
          <w:rFonts w:ascii="Verdana" w:hAnsi="Verdana" w:cs="Arial"/>
          <w:sz w:val="16"/>
          <w:szCs w:val="16"/>
          <w:lang w:val="es-CR"/>
        </w:rPr>
        <w:t>párr</w:t>
      </w:r>
      <w:r w:rsidRPr="00A418FF">
        <w:rPr>
          <w:rFonts w:ascii="Verdana" w:hAnsi="Verdana" w:cs="Arial"/>
          <w:i/>
          <w:sz w:val="16"/>
          <w:szCs w:val="16"/>
          <w:lang w:val="es-CR"/>
        </w:rPr>
        <w:t>.</w:t>
      </w:r>
      <w:r>
        <w:rPr>
          <w:rFonts w:ascii="Verdana" w:hAnsi="Verdana" w:cs="Arial"/>
          <w:i/>
          <w:sz w:val="16"/>
          <w:szCs w:val="16"/>
          <w:lang w:val="es-CR"/>
        </w:rPr>
        <w:t xml:space="preserve"> </w:t>
      </w:r>
      <w:r w:rsidRPr="00A418FF">
        <w:rPr>
          <w:rFonts w:ascii="Verdana" w:hAnsi="Verdana" w:cs="Arial"/>
          <w:sz w:val="16"/>
          <w:szCs w:val="16"/>
          <w:lang w:val="es-CR"/>
        </w:rPr>
        <w:t>84</w:t>
      </w:r>
      <w:r>
        <w:rPr>
          <w:rFonts w:ascii="Verdana" w:hAnsi="Verdana" w:cs="Arial"/>
          <w:sz w:val="16"/>
          <w:szCs w:val="16"/>
          <w:lang w:val="es-CR"/>
        </w:rPr>
        <w:t>.</w:t>
      </w:r>
    </w:p>
  </w:footnote>
  <w:footnote w:id="93">
    <w:p w:rsidR="001C18DD" w:rsidRPr="00921EF1" w:rsidRDefault="001C18DD" w:rsidP="00A326C2">
      <w:pPr>
        <w:pStyle w:val="Textonotapie"/>
        <w:jc w:val="both"/>
        <w:rPr>
          <w:lang w:val="es-CR"/>
        </w:rPr>
      </w:pPr>
      <w:r>
        <w:rPr>
          <w:rStyle w:val="Refdenotaalpie"/>
        </w:rPr>
        <w:footnoteRef/>
      </w:r>
      <w:r w:rsidRPr="00921EF1">
        <w:rPr>
          <w:lang w:val="es-CR"/>
        </w:rPr>
        <w:t xml:space="preserve"> </w:t>
      </w:r>
      <w:r>
        <w:rPr>
          <w:lang w:val="es-CR"/>
        </w:rPr>
        <w:tab/>
      </w:r>
      <w:r w:rsidRPr="008E4C70">
        <w:rPr>
          <w:rFonts w:ascii="Verdana" w:hAnsi="Verdana"/>
          <w:i/>
          <w:sz w:val="16"/>
          <w:szCs w:val="16"/>
          <w:lang w:val="es-CR"/>
        </w:rPr>
        <w:t xml:space="preserve">Cfr. Caso Ruano </w:t>
      </w:r>
      <w:r>
        <w:rPr>
          <w:rFonts w:ascii="Verdana" w:hAnsi="Verdana"/>
          <w:i/>
          <w:sz w:val="16"/>
          <w:szCs w:val="16"/>
          <w:lang w:val="es-CR"/>
        </w:rPr>
        <w:t>Torres y otros Vs. El Salvador</w:t>
      </w:r>
      <w:r w:rsidRPr="008E4C70">
        <w:rPr>
          <w:rFonts w:ascii="Verdana" w:hAnsi="Verdana"/>
          <w:i/>
          <w:sz w:val="16"/>
          <w:szCs w:val="16"/>
          <w:lang w:val="es-CR"/>
        </w:rPr>
        <w:t xml:space="preserve">, </w:t>
      </w:r>
      <w:r>
        <w:rPr>
          <w:rFonts w:ascii="Verdana" w:hAnsi="Verdana"/>
          <w:i/>
          <w:sz w:val="16"/>
          <w:szCs w:val="16"/>
          <w:lang w:val="es-CR"/>
        </w:rPr>
        <w:t>supra</w:t>
      </w:r>
      <w:r>
        <w:rPr>
          <w:rFonts w:ascii="Verdana" w:hAnsi="Verdana"/>
          <w:sz w:val="16"/>
          <w:szCs w:val="16"/>
          <w:lang w:val="es-CR"/>
        </w:rPr>
        <w:t xml:space="preserve">, </w:t>
      </w:r>
      <w:r w:rsidRPr="008E4C70">
        <w:rPr>
          <w:rFonts w:ascii="Verdana" w:hAnsi="Verdana"/>
          <w:sz w:val="16"/>
          <w:szCs w:val="16"/>
          <w:lang w:val="es-CR"/>
        </w:rPr>
        <w:t>párr</w:t>
      </w:r>
      <w:r w:rsidRPr="00204757">
        <w:rPr>
          <w:rFonts w:ascii="Verdana" w:hAnsi="Verdana"/>
          <w:sz w:val="16"/>
          <w:szCs w:val="16"/>
          <w:lang w:val="es-CR"/>
        </w:rPr>
        <w:t>.</w:t>
      </w:r>
      <w:r w:rsidRPr="00204757">
        <w:rPr>
          <w:rFonts w:ascii="Verdana" w:hAnsi="Verdana" w:cs="Arial"/>
          <w:sz w:val="16"/>
          <w:szCs w:val="16"/>
          <w:lang w:val="es-CR"/>
        </w:rPr>
        <w:t xml:space="preserve"> </w:t>
      </w:r>
      <w:r>
        <w:rPr>
          <w:rFonts w:ascii="Verdana" w:hAnsi="Verdana" w:cs="Arial"/>
          <w:sz w:val="16"/>
          <w:szCs w:val="16"/>
          <w:lang w:val="es-CR"/>
        </w:rPr>
        <w:t xml:space="preserve">163. </w:t>
      </w:r>
    </w:p>
  </w:footnote>
  <w:footnote w:id="94">
    <w:p w:rsidR="001C18DD" w:rsidRPr="008E4C70" w:rsidRDefault="001C18DD" w:rsidP="00A326C2">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 xml:space="preserve">Cfr. Caso Cabrera García y Montiel Flores Vs. México, </w:t>
      </w:r>
      <w:r w:rsidRPr="00292DD8">
        <w:rPr>
          <w:rFonts w:ascii="Verdana" w:hAnsi="Verdana"/>
          <w:i/>
          <w:sz w:val="16"/>
          <w:szCs w:val="16"/>
          <w:lang w:val="es-CR"/>
        </w:rPr>
        <w:t xml:space="preserve">Excepción Preliminar, Fondo, Reparaciones y Costas. </w:t>
      </w:r>
      <w:r w:rsidRPr="003E32BC">
        <w:rPr>
          <w:rFonts w:ascii="Verdana" w:hAnsi="Verdana"/>
          <w:sz w:val="16"/>
          <w:szCs w:val="16"/>
          <w:lang w:val="es-CR"/>
        </w:rPr>
        <w:t>Sentencia de 26 de noviembre de 2010. Serie C No</w:t>
      </w:r>
      <w:r>
        <w:rPr>
          <w:rFonts w:ascii="Verdana" w:hAnsi="Verdana"/>
          <w:sz w:val="16"/>
          <w:szCs w:val="16"/>
          <w:lang w:val="es-CR"/>
        </w:rPr>
        <w:t>.</w:t>
      </w:r>
      <w:r w:rsidRPr="003E32BC">
        <w:rPr>
          <w:rFonts w:ascii="Verdana" w:hAnsi="Verdana"/>
          <w:sz w:val="16"/>
          <w:szCs w:val="16"/>
          <w:lang w:val="es-CR"/>
        </w:rPr>
        <w:t xml:space="preserve"> 220</w:t>
      </w:r>
      <w:r w:rsidRPr="008E4C70">
        <w:rPr>
          <w:rFonts w:ascii="Verdana" w:hAnsi="Verdana"/>
          <w:sz w:val="16"/>
          <w:szCs w:val="16"/>
          <w:lang w:val="es-CR"/>
        </w:rPr>
        <w:t>, párr. 155</w:t>
      </w:r>
      <w:r>
        <w:rPr>
          <w:rFonts w:ascii="Verdana" w:hAnsi="Verdana"/>
          <w:sz w:val="16"/>
          <w:szCs w:val="16"/>
          <w:lang w:val="es-CR"/>
        </w:rPr>
        <w:t xml:space="preserve">, y </w:t>
      </w:r>
      <w:r w:rsidRPr="00A418FF">
        <w:rPr>
          <w:rFonts w:ascii="Verdana" w:hAnsi="Verdana" w:cs="Arial"/>
          <w:i/>
          <w:sz w:val="16"/>
          <w:szCs w:val="16"/>
          <w:lang w:val="es-CR"/>
        </w:rPr>
        <w:t>Caso Martínez Coronado Vs. Guatemala</w:t>
      </w:r>
      <w:r>
        <w:rPr>
          <w:rFonts w:ascii="Verdana" w:hAnsi="Verdana" w:cs="Arial"/>
          <w:i/>
          <w:sz w:val="16"/>
          <w:szCs w:val="16"/>
          <w:lang w:val="es-CR"/>
        </w:rPr>
        <w:t xml:space="preserve">, supra, </w:t>
      </w:r>
      <w:r>
        <w:rPr>
          <w:rFonts w:ascii="Verdana" w:hAnsi="Verdana" w:cs="Arial"/>
          <w:sz w:val="16"/>
          <w:szCs w:val="16"/>
          <w:lang w:val="es-CR"/>
        </w:rPr>
        <w:t>párr</w:t>
      </w:r>
      <w:r w:rsidRPr="00A418FF">
        <w:rPr>
          <w:rFonts w:ascii="Verdana" w:hAnsi="Verdana" w:cs="Arial"/>
          <w:i/>
          <w:sz w:val="16"/>
          <w:szCs w:val="16"/>
          <w:lang w:val="es-CR"/>
        </w:rPr>
        <w:t>.</w:t>
      </w:r>
      <w:r>
        <w:rPr>
          <w:rFonts w:ascii="Verdana" w:hAnsi="Verdana" w:cs="Arial"/>
          <w:i/>
          <w:sz w:val="16"/>
          <w:szCs w:val="16"/>
          <w:lang w:val="es-CR"/>
        </w:rPr>
        <w:t xml:space="preserve"> </w:t>
      </w:r>
      <w:r>
        <w:rPr>
          <w:rFonts w:ascii="Verdana" w:hAnsi="Verdana" w:cs="Arial"/>
          <w:sz w:val="16"/>
          <w:szCs w:val="16"/>
          <w:lang w:val="es-CR"/>
        </w:rPr>
        <w:t>83.</w:t>
      </w:r>
    </w:p>
  </w:footnote>
  <w:footnote w:id="95">
    <w:p w:rsidR="001C18DD" w:rsidRPr="008E4C70" w:rsidRDefault="001C18DD" w:rsidP="00A326C2">
      <w:pPr>
        <w:pStyle w:val="Textonotapie"/>
        <w:jc w:val="both"/>
        <w:rPr>
          <w:rFonts w:ascii="Verdana" w:hAnsi="Verdana"/>
          <w:i/>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 xml:space="preserve">Cfr. Caso Chaparro Álvarez y Lapo Íñiguez Vs. </w:t>
      </w:r>
      <w:r w:rsidRPr="008E4C70">
        <w:rPr>
          <w:rFonts w:ascii="Verdana" w:hAnsi="Verdana"/>
          <w:i/>
          <w:sz w:val="16"/>
          <w:szCs w:val="16"/>
          <w:lang w:val="es-CR"/>
        </w:rPr>
        <w:t xml:space="preserve">Ecuador, </w:t>
      </w:r>
      <w:r w:rsidRPr="00292DD8">
        <w:rPr>
          <w:rFonts w:ascii="Verdana" w:hAnsi="Verdana"/>
          <w:i/>
          <w:sz w:val="16"/>
          <w:szCs w:val="16"/>
          <w:lang w:val="es-CR"/>
        </w:rPr>
        <w:t xml:space="preserve">Excpeciones Preliminares, Fondo, Reparaciones y Costas. </w:t>
      </w:r>
      <w:r w:rsidRPr="003E32BC">
        <w:rPr>
          <w:rFonts w:ascii="Verdana" w:hAnsi="Verdana"/>
          <w:sz w:val="16"/>
          <w:szCs w:val="16"/>
          <w:lang w:val="es-CR"/>
        </w:rPr>
        <w:t xml:space="preserve">Sentencia de 21 de noviembre de 2007. Serie C </w:t>
      </w:r>
      <w:r>
        <w:rPr>
          <w:rFonts w:ascii="Verdana" w:hAnsi="Verdana"/>
          <w:sz w:val="16"/>
          <w:szCs w:val="16"/>
          <w:lang w:val="es-CR"/>
        </w:rPr>
        <w:t xml:space="preserve">No. </w:t>
      </w:r>
      <w:r w:rsidRPr="003E32BC">
        <w:rPr>
          <w:rFonts w:ascii="Verdana" w:hAnsi="Verdana"/>
          <w:sz w:val="16"/>
          <w:szCs w:val="16"/>
          <w:lang w:val="es-CR"/>
        </w:rPr>
        <w:t>170</w:t>
      </w:r>
      <w:r w:rsidRPr="00292DD8">
        <w:rPr>
          <w:rFonts w:ascii="Verdana" w:hAnsi="Verdana"/>
          <w:i/>
          <w:sz w:val="16"/>
          <w:szCs w:val="16"/>
          <w:lang w:val="es-CR"/>
        </w:rPr>
        <w:t>,</w:t>
      </w:r>
      <w:r w:rsidRPr="008E4C70">
        <w:rPr>
          <w:rFonts w:ascii="Verdana" w:hAnsi="Verdana"/>
          <w:sz w:val="16"/>
          <w:szCs w:val="16"/>
          <w:lang w:val="es-CR"/>
        </w:rPr>
        <w:t xml:space="preserve"> párr. 159</w:t>
      </w:r>
      <w:r>
        <w:rPr>
          <w:rFonts w:ascii="Verdana" w:hAnsi="Verdana"/>
          <w:sz w:val="16"/>
          <w:szCs w:val="16"/>
          <w:lang w:val="es-CR"/>
        </w:rPr>
        <w:t xml:space="preserve">, y </w:t>
      </w:r>
      <w:r w:rsidRPr="00A418FF">
        <w:rPr>
          <w:rFonts w:ascii="Verdana" w:hAnsi="Verdana" w:cs="Arial"/>
          <w:i/>
          <w:sz w:val="16"/>
          <w:szCs w:val="16"/>
          <w:lang w:val="es-CR"/>
        </w:rPr>
        <w:t>Caso Martínez Coronado Vs. Guatemala</w:t>
      </w:r>
      <w:r>
        <w:rPr>
          <w:rFonts w:ascii="Verdana" w:hAnsi="Verdana" w:cs="Arial"/>
          <w:i/>
          <w:sz w:val="16"/>
          <w:szCs w:val="16"/>
          <w:lang w:val="es-CR"/>
        </w:rPr>
        <w:t xml:space="preserve">, supra, </w:t>
      </w:r>
      <w:r>
        <w:rPr>
          <w:rFonts w:ascii="Verdana" w:hAnsi="Verdana" w:cs="Arial"/>
          <w:sz w:val="16"/>
          <w:szCs w:val="16"/>
          <w:lang w:val="es-CR"/>
        </w:rPr>
        <w:t>párr</w:t>
      </w:r>
      <w:r w:rsidRPr="00A418FF">
        <w:rPr>
          <w:rFonts w:ascii="Verdana" w:hAnsi="Verdana" w:cs="Arial"/>
          <w:i/>
          <w:sz w:val="16"/>
          <w:szCs w:val="16"/>
          <w:lang w:val="es-CR"/>
        </w:rPr>
        <w:t>.</w:t>
      </w:r>
      <w:r>
        <w:rPr>
          <w:rFonts w:ascii="Verdana" w:hAnsi="Verdana" w:cs="Arial"/>
          <w:i/>
          <w:sz w:val="16"/>
          <w:szCs w:val="16"/>
          <w:lang w:val="es-CR"/>
        </w:rPr>
        <w:t xml:space="preserve"> </w:t>
      </w:r>
      <w:r>
        <w:rPr>
          <w:rFonts w:ascii="Verdana" w:hAnsi="Verdana" w:cs="Arial"/>
          <w:sz w:val="16"/>
          <w:szCs w:val="16"/>
          <w:lang w:val="es-CR"/>
        </w:rPr>
        <w:t>83.</w:t>
      </w:r>
    </w:p>
  </w:footnote>
  <w:footnote w:id="96">
    <w:p w:rsidR="001C18DD" w:rsidRPr="008E4C70" w:rsidRDefault="001C18DD" w:rsidP="00A326C2">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3E32BC">
        <w:rPr>
          <w:rFonts w:ascii="Verdana" w:hAnsi="Verdana"/>
          <w:i/>
          <w:sz w:val="16"/>
          <w:szCs w:val="16"/>
          <w:lang w:val="es-CR"/>
        </w:rPr>
        <w:t>Caso Vélez Loor Vs. Panamá. Excepciones Preliminares, Fondo, Reparaciones y Costas</w:t>
      </w:r>
      <w:r w:rsidRPr="00292DD8">
        <w:rPr>
          <w:rFonts w:ascii="Verdana" w:hAnsi="Verdana"/>
          <w:sz w:val="16"/>
          <w:szCs w:val="16"/>
          <w:lang w:val="es-CR"/>
        </w:rPr>
        <w:t xml:space="preserve">. Sentencia de 23 de noviembre de 2010. Serie C No. 218, párr. 132, y </w:t>
      </w:r>
      <w:r w:rsidRPr="003E32BC">
        <w:rPr>
          <w:rFonts w:ascii="Verdana" w:hAnsi="Verdana"/>
          <w:i/>
          <w:sz w:val="16"/>
          <w:szCs w:val="16"/>
          <w:lang w:val="es-CR"/>
        </w:rPr>
        <w:t>Caso Arg</w:t>
      </w:r>
      <w:r w:rsidRPr="003E32BC">
        <w:rPr>
          <w:rFonts w:ascii="Verdana" w:hAnsi="Verdana"/>
          <w:i/>
          <w:sz w:val="16"/>
          <w:szCs w:val="16"/>
          <w:lang w:val="es-MX"/>
        </w:rPr>
        <w:t xml:space="preserve">üelles y </w:t>
      </w:r>
      <w:r>
        <w:rPr>
          <w:rFonts w:ascii="Verdana" w:hAnsi="Verdana"/>
          <w:i/>
          <w:sz w:val="16"/>
          <w:szCs w:val="16"/>
          <w:lang w:val="es-MX"/>
        </w:rPr>
        <w:t>o</w:t>
      </w:r>
      <w:r w:rsidRPr="003E32BC">
        <w:rPr>
          <w:rFonts w:ascii="Verdana" w:hAnsi="Verdana"/>
          <w:i/>
          <w:sz w:val="16"/>
          <w:szCs w:val="16"/>
          <w:lang w:val="es-MX"/>
        </w:rPr>
        <w:t>tros Vs. Argentina</w:t>
      </w:r>
      <w:r>
        <w:rPr>
          <w:rFonts w:ascii="Verdana" w:hAnsi="Verdana"/>
          <w:i/>
          <w:sz w:val="16"/>
          <w:szCs w:val="16"/>
          <w:lang w:val="es-MX"/>
        </w:rPr>
        <w:t>, supra</w:t>
      </w:r>
      <w:r w:rsidRPr="00292DD8">
        <w:rPr>
          <w:rFonts w:ascii="Verdana" w:hAnsi="Verdana"/>
          <w:sz w:val="16"/>
          <w:szCs w:val="16"/>
          <w:lang w:val="es-MX"/>
        </w:rPr>
        <w:t>, párr. 17</w:t>
      </w:r>
      <w:r>
        <w:rPr>
          <w:rFonts w:ascii="Verdana" w:hAnsi="Verdana"/>
          <w:sz w:val="16"/>
          <w:szCs w:val="16"/>
          <w:lang w:val="es-MX"/>
        </w:rPr>
        <w:t>6</w:t>
      </w:r>
      <w:r w:rsidRPr="00292DD8">
        <w:rPr>
          <w:rFonts w:ascii="Verdana" w:hAnsi="Verdana"/>
          <w:sz w:val="16"/>
          <w:szCs w:val="16"/>
          <w:lang w:val="es-CR"/>
        </w:rPr>
        <w:t>.</w:t>
      </w:r>
    </w:p>
  </w:footnote>
  <w:footnote w:id="97">
    <w:p w:rsidR="001C18DD" w:rsidRPr="008E4C70" w:rsidRDefault="001C18DD" w:rsidP="00A326C2">
      <w:pPr>
        <w:pStyle w:val="Textonotapie"/>
        <w:jc w:val="both"/>
        <w:rPr>
          <w:rFonts w:ascii="Verdana" w:hAnsi="Verdana"/>
          <w:sz w:val="16"/>
          <w:szCs w:val="16"/>
          <w:lang w:val="pt-PT"/>
        </w:rPr>
      </w:pPr>
      <w:r w:rsidRPr="008E4C70">
        <w:rPr>
          <w:rStyle w:val="Refdenotaalpie"/>
          <w:rFonts w:ascii="Verdana" w:hAnsi="Verdana"/>
          <w:sz w:val="16"/>
          <w:szCs w:val="16"/>
        </w:rPr>
        <w:footnoteRef/>
      </w:r>
      <w:r w:rsidRPr="008E4C70">
        <w:rPr>
          <w:rFonts w:ascii="Verdana" w:hAnsi="Verdana"/>
          <w:sz w:val="16"/>
          <w:szCs w:val="16"/>
          <w:lang w:val="pt-PT"/>
        </w:rPr>
        <w:t xml:space="preserve"> </w:t>
      </w:r>
      <w:r w:rsidRPr="008E4C70">
        <w:rPr>
          <w:rFonts w:ascii="Verdana" w:hAnsi="Verdana"/>
          <w:sz w:val="16"/>
          <w:szCs w:val="16"/>
          <w:lang w:val="pt-PT"/>
        </w:rPr>
        <w:tab/>
      </w:r>
      <w:r w:rsidRPr="008E4C70">
        <w:rPr>
          <w:rFonts w:ascii="Verdana" w:hAnsi="Verdana"/>
          <w:i/>
          <w:sz w:val="16"/>
          <w:szCs w:val="16"/>
          <w:lang w:val="pt-PT"/>
        </w:rPr>
        <w:t xml:space="preserve">Cfr. </w:t>
      </w:r>
      <w:r w:rsidRPr="00AB468B">
        <w:rPr>
          <w:rFonts w:ascii="Verdana" w:hAnsi="Verdana" w:cs="Tahoma"/>
          <w:i/>
          <w:sz w:val="16"/>
          <w:szCs w:val="16"/>
          <w:shd w:val="clear" w:color="auto" w:fill="FFFFFF"/>
          <w:lang w:val="pt-PT"/>
        </w:rPr>
        <w:t xml:space="preserve">Caso Barreto Leiva Vs. </w:t>
      </w:r>
      <w:r w:rsidRPr="00AB468B">
        <w:rPr>
          <w:rFonts w:ascii="Verdana" w:hAnsi="Verdana" w:cs="Tahoma"/>
          <w:i/>
          <w:sz w:val="16"/>
          <w:szCs w:val="16"/>
          <w:shd w:val="clear" w:color="auto" w:fill="FFFFFF"/>
          <w:lang w:val="es-CR"/>
        </w:rPr>
        <w:t>Venezuela, supra</w:t>
      </w:r>
      <w:r w:rsidRPr="00AB468B">
        <w:rPr>
          <w:rFonts w:ascii="Verdana" w:hAnsi="Verdana"/>
          <w:sz w:val="16"/>
          <w:szCs w:val="16"/>
          <w:lang w:val="pt-PT"/>
        </w:rPr>
        <w:t>, párr. 61.</w:t>
      </w:r>
    </w:p>
  </w:footnote>
  <w:footnote w:id="98">
    <w:p w:rsidR="001C18DD" w:rsidRPr="008E4C70" w:rsidRDefault="001C18DD" w:rsidP="00A326C2">
      <w:pPr>
        <w:pStyle w:val="Textonotapie"/>
        <w:jc w:val="both"/>
        <w:rPr>
          <w:rFonts w:ascii="Verdana" w:hAnsi="Verdana"/>
          <w:i/>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t>Actas con la</w:t>
      </w:r>
      <w:r>
        <w:rPr>
          <w:rFonts w:ascii="Verdana" w:hAnsi="Verdana"/>
          <w:sz w:val="16"/>
          <w:szCs w:val="16"/>
          <w:lang w:val="es-CR"/>
        </w:rPr>
        <w:t>s</w:t>
      </w:r>
      <w:r w:rsidRPr="008E4C70">
        <w:rPr>
          <w:rFonts w:ascii="Verdana" w:hAnsi="Verdana"/>
          <w:sz w:val="16"/>
          <w:szCs w:val="16"/>
          <w:lang w:val="es-CR"/>
        </w:rPr>
        <w:t xml:space="preserve"> declaraciones indagatorias de 19 de abril de 1993, ante el Juzgado Primero de Paz de la “que se desprende que al momento en que son presentados, se les informa que pueden </w:t>
      </w:r>
      <w:r>
        <w:rPr>
          <w:rFonts w:ascii="Verdana" w:hAnsi="Verdana"/>
          <w:sz w:val="16"/>
          <w:szCs w:val="16"/>
          <w:lang w:val="es-CR"/>
        </w:rPr>
        <w:t>“</w:t>
      </w:r>
      <w:r w:rsidRPr="008E4C70">
        <w:rPr>
          <w:rFonts w:ascii="Verdana" w:hAnsi="Verdana"/>
          <w:sz w:val="16"/>
          <w:szCs w:val="16"/>
          <w:lang w:val="es-CR"/>
        </w:rPr>
        <w:t xml:space="preserve">proponer a su abogado defensor quién puede estar presente en esta diligencia, y que tiene el término de cinco días para designar su abogado defensor, en caso contrario se le designara de oficio por parte del Juzgado, indicando que lo designará posteriormente. Seguidamente se le hace el </w:t>
      </w:r>
      <w:r>
        <w:rPr>
          <w:rFonts w:ascii="Verdana" w:hAnsi="Verdana"/>
          <w:sz w:val="16"/>
          <w:szCs w:val="16"/>
          <w:lang w:val="es-CR"/>
        </w:rPr>
        <w:t>[…]</w:t>
      </w:r>
      <w:r w:rsidRPr="008E4C70">
        <w:rPr>
          <w:rFonts w:ascii="Verdana" w:hAnsi="Verdana"/>
          <w:sz w:val="16"/>
          <w:szCs w:val="16"/>
          <w:lang w:val="es-CR"/>
        </w:rPr>
        <w:t xml:space="preserve"> interrogatorio”. </w:t>
      </w:r>
      <w:r w:rsidRPr="008E4C70">
        <w:rPr>
          <w:rFonts w:ascii="Verdana" w:hAnsi="Verdana"/>
          <w:i/>
          <w:sz w:val="16"/>
          <w:szCs w:val="16"/>
          <w:lang w:val="es-CR"/>
        </w:rPr>
        <w:t xml:space="preserve"> </w:t>
      </w:r>
    </w:p>
  </w:footnote>
  <w:footnote w:id="99">
    <w:p w:rsidR="001C18DD" w:rsidRPr="008E4C70" w:rsidRDefault="001C18DD" w:rsidP="00A326C2">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i/>
          <w:sz w:val="16"/>
          <w:szCs w:val="16"/>
          <w:lang w:val="es-CR"/>
        </w:rPr>
        <w:tab/>
      </w:r>
      <w:r w:rsidRPr="008E4C70">
        <w:rPr>
          <w:rFonts w:ascii="Verdana" w:hAnsi="Verdana"/>
          <w:sz w:val="16"/>
          <w:szCs w:val="16"/>
          <w:lang w:val="es-CR"/>
        </w:rPr>
        <w:t xml:space="preserve">Auto del Juzgado Primero de Paz de 22 de abril de 1993 decretó la prisión preventiva, por lo que los señores Girón y Castillo continuaron detenidos. Asimismo, </w:t>
      </w:r>
      <w:r>
        <w:rPr>
          <w:rFonts w:ascii="Verdana" w:hAnsi="Verdana"/>
          <w:sz w:val="16"/>
          <w:szCs w:val="16"/>
          <w:lang w:val="es-CR"/>
        </w:rPr>
        <w:t xml:space="preserve">en </w:t>
      </w:r>
      <w:r w:rsidRPr="008E4C70">
        <w:rPr>
          <w:rFonts w:ascii="Verdana" w:hAnsi="Verdana"/>
          <w:sz w:val="16"/>
          <w:szCs w:val="16"/>
          <w:lang w:val="es-CR"/>
        </w:rPr>
        <w:t xml:space="preserve">el auto, el Juzgado hace referencia dentro del apartado </w:t>
      </w:r>
      <w:r>
        <w:rPr>
          <w:rFonts w:ascii="Verdana" w:hAnsi="Verdana"/>
          <w:sz w:val="16"/>
          <w:szCs w:val="16"/>
          <w:lang w:val="es-CR"/>
        </w:rPr>
        <w:t xml:space="preserve">X, inciso </w:t>
      </w:r>
      <w:r w:rsidRPr="008E4C70">
        <w:rPr>
          <w:rFonts w:ascii="Verdana" w:hAnsi="Verdana"/>
          <w:sz w:val="16"/>
          <w:szCs w:val="16"/>
          <w:lang w:val="es-CR"/>
        </w:rPr>
        <w:t xml:space="preserve">b) “[d]entro del mismo término el Representante común que nombre o llegara a nombrar el Tribunal de oficio, deberá de señalar lugar”. Y siendo que hasta el 27 de abril de 1993, se realizó el discernimiento del estudiante de derecho </w:t>
      </w:r>
      <w:r w:rsidRPr="008E4C70">
        <w:rPr>
          <w:rFonts w:ascii="Verdana" w:hAnsi="Verdana"/>
          <w:strike/>
          <w:sz w:val="16"/>
          <w:szCs w:val="16"/>
          <w:lang w:val="es-CR"/>
        </w:rPr>
        <w:t>-</w:t>
      </w:r>
      <w:r w:rsidRPr="008E4C70">
        <w:rPr>
          <w:rFonts w:ascii="Verdana" w:hAnsi="Verdana"/>
          <w:sz w:val="16"/>
          <w:szCs w:val="16"/>
          <w:lang w:val="es-CR"/>
        </w:rPr>
        <w:t xml:space="preserve"> LCC, quien fungió como defensor del señor Girón. </w:t>
      </w:r>
      <w:r w:rsidRPr="008E4C70">
        <w:rPr>
          <w:rFonts w:ascii="Verdana" w:hAnsi="Verdana"/>
          <w:sz w:val="16"/>
          <w:szCs w:val="16"/>
          <w:lang w:val="es-CR"/>
        </w:rPr>
        <w:t>Y el discernimiento del est</w:t>
      </w:r>
      <w:r>
        <w:rPr>
          <w:rFonts w:ascii="Verdana" w:hAnsi="Verdana"/>
          <w:sz w:val="16"/>
          <w:szCs w:val="16"/>
          <w:lang w:val="es-CR"/>
        </w:rPr>
        <w:t xml:space="preserve">udiante de derecho, </w:t>
      </w:r>
      <w:proofErr w:type="spellStart"/>
      <w:r w:rsidRPr="003451D7">
        <w:rPr>
          <w:rFonts w:ascii="Verdana" w:hAnsi="Verdana"/>
          <w:sz w:val="16"/>
          <w:szCs w:val="16"/>
          <w:lang w:val="es-ES"/>
        </w:rPr>
        <w:t>Edy</w:t>
      </w:r>
      <w:proofErr w:type="spellEnd"/>
      <w:r w:rsidRPr="003451D7">
        <w:rPr>
          <w:rFonts w:ascii="Verdana" w:hAnsi="Verdana"/>
          <w:sz w:val="16"/>
          <w:szCs w:val="16"/>
          <w:lang w:val="es-ES"/>
        </w:rPr>
        <w:t xml:space="preserve"> Iván Bocanegra Conde</w:t>
      </w:r>
      <w:r w:rsidRPr="008E4C70">
        <w:rPr>
          <w:rFonts w:ascii="Verdana" w:hAnsi="Verdana"/>
          <w:sz w:val="16"/>
          <w:szCs w:val="16"/>
          <w:lang w:val="es-CR"/>
        </w:rPr>
        <w:t>, como defensor del señor Castillo.</w:t>
      </w:r>
    </w:p>
  </w:footnote>
  <w:footnote w:id="100">
    <w:p w:rsidR="001C18DD" w:rsidRPr="00624F7A" w:rsidRDefault="001C18DD" w:rsidP="00A326C2">
      <w:pPr>
        <w:pStyle w:val="Textonotapie"/>
        <w:jc w:val="both"/>
        <w:rPr>
          <w:rFonts w:ascii="Verdana" w:hAnsi="Verdana"/>
          <w:sz w:val="16"/>
          <w:szCs w:val="16"/>
          <w:lang w:val="es-CR"/>
        </w:rPr>
      </w:pPr>
      <w:r w:rsidRPr="00624F7A">
        <w:rPr>
          <w:rStyle w:val="Refdenotaalpie"/>
          <w:rFonts w:ascii="Verdana" w:hAnsi="Verdana"/>
          <w:sz w:val="16"/>
          <w:szCs w:val="16"/>
        </w:rPr>
        <w:footnoteRef/>
      </w:r>
      <w:r w:rsidRPr="00624F7A">
        <w:rPr>
          <w:rFonts w:ascii="Verdana" w:hAnsi="Verdana"/>
          <w:sz w:val="16"/>
          <w:szCs w:val="16"/>
          <w:lang w:val="es-CR"/>
        </w:rPr>
        <w:t xml:space="preserve"> </w:t>
      </w:r>
      <w:r w:rsidRPr="00624F7A">
        <w:rPr>
          <w:rFonts w:ascii="Verdana" w:hAnsi="Verdana"/>
          <w:sz w:val="16"/>
          <w:szCs w:val="16"/>
          <w:lang w:val="es-CR"/>
        </w:rPr>
        <w:tab/>
      </w:r>
      <w:r w:rsidRPr="00624F7A">
        <w:rPr>
          <w:rFonts w:ascii="Verdana" w:hAnsi="Verdana"/>
          <w:i/>
          <w:sz w:val="16"/>
          <w:szCs w:val="16"/>
          <w:lang w:val="es-CR"/>
        </w:rPr>
        <w:t>Cfr</w:t>
      </w:r>
      <w:r w:rsidRPr="00624F7A">
        <w:rPr>
          <w:rFonts w:ascii="Verdana" w:hAnsi="Verdana"/>
          <w:sz w:val="16"/>
          <w:szCs w:val="16"/>
          <w:lang w:val="es-CR"/>
        </w:rPr>
        <w:t xml:space="preserve">. </w:t>
      </w:r>
      <w:r w:rsidRPr="00624F7A">
        <w:rPr>
          <w:rFonts w:ascii="Verdana" w:hAnsi="Verdana"/>
          <w:sz w:val="16"/>
          <w:szCs w:val="16"/>
          <w:lang w:val="es-CR"/>
        </w:rPr>
        <w:t>Declaración rendida mediante afid</w:t>
      </w:r>
      <w:r>
        <w:rPr>
          <w:rFonts w:ascii="Verdana" w:hAnsi="Verdana"/>
          <w:sz w:val="16"/>
          <w:szCs w:val="16"/>
          <w:lang w:val="es-CR"/>
        </w:rPr>
        <w:t>á</w:t>
      </w:r>
      <w:r w:rsidRPr="00624F7A">
        <w:rPr>
          <w:rFonts w:ascii="Verdana" w:hAnsi="Verdana"/>
          <w:sz w:val="16"/>
          <w:szCs w:val="16"/>
          <w:lang w:val="es-CR"/>
        </w:rPr>
        <w:t xml:space="preserve">vit por </w:t>
      </w:r>
      <w:proofErr w:type="spellStart"/>
      <w:r w:rsidRPr="003451D7">
        <w:rPr>
          <w:rFonts w:ascii="Verdana" w:hAnsi="Verdana"/>
          <w:sz w:val="16"/>
          <w:szCs w:val="16"/>
          <w:lang w:val="es-ES"/>
        </w:rPr>
        <w:t>Edy</w:t>
      </w:r>
      <w:proofErr w:type="spellEnd"/>
      <w:r w:rsidRPr="003451D7">
        <w:rPr>
          <w:rFonts w:ascii="Verdana" w:hAnsi="Verdana"/>
          <w:sz w:val="16"/>
          <w:szCs w:val="16"/>
          <w:lang w:val="es-ES"/>
        </w:rPr>
        <w:t xml:space="preserve"> Iván Bocanegra Conde</w:t>
      </w:r>
      <w:r w:rsidRPr="00624F7A">
        <w:rPr>
          <w:rFonts w:ascii="Verdana" w:hAnsi="Verdana"/>
          <w:sz w:val="16"/>
          <w:szCs w:val="16"/>
          <w:lang w:val="es-CR"/>
        </w:rPr>
        <w:t xml:space="preserve"> ante la Corte, el </w:t>
      </w:r>
      <w:r>
        <w:rPr>
          <w:rFonts w:ascii="Verdana" w:hAnsi="Verdana"/>
          <w:sz w:val="16"/>
          <w:szCs w:val="16"/>
          <w:lang w:val="es-CR"/>
        </w:rPr>
        <w:t xml:space="preserve">26 de febrero de 2019 (expediente de afidávits y peritajes, </w:t>
      </w:r>
      <w:r w:rsidRPr="0083163B">
        <w:rPr>
          <w:rFonts w:ascii="Verdana" w:hAnsi="Verdana"/>
          <w:sz w:val="16"/>
          <w:szCs w:val="16"/>
          <w:lang w:val="es-CR"/>
        </w:rPr>
        <w:t>fs. 2925 a 2935).</w:t>
      </w:r>
    </w:p>
  </w:footnote>
  <w:footnote w:id="101">
    <w:p w:rsidR="001C18DD" w:rsidRPr="0077126F" w:rsidRDefault="001C18DD" w:rsidP="0077126F">
      <w:pPr>
        <w:spacing w:after="0" w:line="240" w:lineRule="auto"/>
        <w:jc w:val="both"/>
        <w:rPr>
          <w:rFonts w:ascii="Verdana" w:hAnsi="Verdana"/>
          <w:color w:val="1F497D"/>
          <w:sz w:val="16"/>
          <w:szCs w:val="16"/>
          <w:lang w:val="es-CR"/>
        </w:rPr>
      </w:pPr>
      <w:r w:rsidRPr="00624F7A">
        <w:rPr>
          <w:rStyle w:val="Refdenotaalpie"/>
          <w:rFonts w:ascii="Verdana" w:hAnsi="Verdana"/>
          <w:sz w:val="16"/>
          <w:szCs w:val="16"/>
        </w:rPr>
        <w:footnoteRef/>
      </w:r>
      <w:r w:rsidRPr="00624F7A">
        <w:rPr>
          <w:rFonts w:ascii="Verdana" w:hAnsi="Verdana"/>
          <w:sz w:val="16"/>
          <w:szCs w:val="16"/>
          <w:lang w:val="es-MX"/>
        </w:rPr>
        <w:t xml:space="preserve"> </w:t>
      </w:r>
      <w:r w:rsidRPr="00624F7A">
        <w:rPr>
          <w:rFonts w:ascii="Verdana" w:hAnsi="Verdana"/>
          <w:sz w:val="16"/>
          <w:szCs w:val="16"/>
          <w:lang w:val="es-MX"/>
        </w:rPr>
        <w:tab/>
      </w:r>
      <w:r w:rsidRPr="008E4C70">
        <w:rPr>
          <w:rFonts w:ascii="Verdana" w:hAnsi="Verdana"/>
          <w:sz w:val="16"/>
          <w:szCs w:val="16"/>
          <w:lang w:val="es-CR"/>
        </w:rPr>
        <w:t>Código Procesal Penal de la República de Guatemala</w:t>
      </w:r>
      <w:r>
        <w:rPr>
          <w:rFonts w:ascii="Verdana" w:hAnsi="Verdana"/>
          <w:sz w:val="16"/>
          <w:szCs w:val="16"/>
          <w:lang w:val="es-CR"/>
        </w:rPr>
        <w:t xml:space="preserve">, artículo 154, </w:t>
      </w:r>
      <w:r w:rsidRPr="0007773B">
        <w:rPr>
          <w:rFonts w:ascii="Verdana" w:hAnsi="Verdana"/>
          <w:i/>
          <w:sz w:val="16"/>
          <w:szCs w:val="16"/>
          <w:lang w:val="es-CR"/>
        </w:rPr>
        <w:t>supra</w:t>
      </w:r>
      <w:r>
        <w:rPr>
          <w:rFonts w:ascii="Verdana" w:hAnsi="Verdana"/>
          <w:sz w:val="16"/>
          <w:szCs w:val="16"/>
          <w:lang w:val="es-CR"/>
        </w:rPr>
        <w:t>.</w:t>
      </w:r>
      <w:r w:rsidRPr="008E4C70">
        <w:rPr>
          <w:rFonts w:ascii="Verdana" w:hAnsi="Verdana"/>
          <w:sz w:val="16"/>
          <w:szCs w:val="16"/>
          <w:lang w:val="es-CR"/>
        </w:rPr>
        <w:t xml:space="preserve"> </w:t>
      </w:r>
      <w:r w:rsidRPr="00624F7A">
        <w:rPr>
          <w:rFonts w:ascii="Verdana" w:hAnsi="Verdana"/>
          <w:sz w:val="16"/>
          <w:szCs w:val="16"/>
          <w:lang w:val="es-MX"/>
        </w:rPr>
        <w:t xml:space="preserve">Cabe destacar que el Estado modificó tal norma en el </w:t>
      </w:r>
      <w:r>
        <w:rPr>
          <w:rFonts w:ascii="Verdana" w:hAnsi="Verdana"/>
          <w:sz w:val="16"/>
          <w:szCs w:val="16"/>
          <w:lang w:val="es-MX"/>
        </w:rPr>
        <w:t>Código Procesal Penal v</w:t>
      </w:r>
      <w:r w:rsidRPr="00624F7A">
        <w:rPr>
          <w:rFonts w:ascii="Verdana" w:hAnsi="Verdana"/>
          <w:sz w:val="16"/>
          <w:szCs w:val="16"/>
          <w:lang w:val="es-MX"/>
        </w:rPr>
        <w:t>igente pr</w:t>
      </w:r>
      <w:r>
        <w:rPr>
          <w:rFonts w:ascii="Verdana" w:hAnsi="Verdana"/>
          <w:sz w:val="16"/>
          <w:szCs w:val="16"/>
          <w:lang w:val="es-MX"/>
        </w:rPr>
        <w:t>omulgado mediante D</w:t>
      </w:r>
      <w:r w:rsidRPr="00624F7A">
        <w:rPr>
          <w:rFonts w:ascii="Verdana" w:hAnsi="Verdana"/>
          <w:sz w:val="16"/>
          <w:szCs w:val="16"/>
          <w:lang w:val="es-MX"/>
        </w:rPr>
        <w:t xml:space="preserve">ecreto </w:t>
      </w:r>
      <w:r>
        <w:rPr>
          <w:rFonts w:ascii="Verdana" w:hAnsi="Verdana"/>
          <w:sz w:val="16"/>
          <w:szCs w:val="16"/>
          <w:lang w:val="es-MX"/>
        </w:rPr>
        <w:t xml:space="preserve">No. </w:t>
      </w:r>
      <w:r w:rsidRPr="00624F7A">
        <w:rPr>
          <w:rFonts w:ascii="Verdana" w:hAnsi="Verdana"/>
          <w:sz w:val="16"/>
          <w:szCs w:val="16"/>
          <w:lang w:val="es-MX"/>
        </w:rPr>
        <w:t>51-92</w:t>
      </w:r>
      <w:r w:rsidRPr="00624F7A">
        <w:rPr>
          <w:rFonts w:ascii="Verdana" w:hAnsi="Verdana" w:cs="Times New Roman"/>
          <w:sz w:val="16"/>
          <w:szCs w:val="16"/>
          <w:lang w:val="es-CR"/>
        </w:rPr>
        <w:t xml:space="preserve">, </w:t>
      </w:r>
      <w:r w:rsidRPr="00624F7A">
        <w:rPr>
          <w:rFonts w:ascii="Verdana" w:hAnsi="Verdana"/>
          <w:sz w:val="16"/>
          <w:szCs w:val="16"/>
          <w:lang w:val="es-CR"/>
        </w:rPr>
        <w:t>publicado el 1</w:t>
      </w:r>
      <w:r>
        <w:rPr>
          <w:rFonts w:ascii="Verdana" w:hAnsi="Verdana"/>
          <w:sz w:val="16"/>
          <w:szCs w:val="16"/>
          <w:lang w:val="es-CR"/>
        </w:rPr>
        <w:t xml:space="preserve">4 de diciembre de 1992, y </w:t>
      </w:r>
      <w:r w:rsidRPr="00624F7A">
        <w:rPr>
          <w:rFonts w:ascii="Verdana" w:hAnsi="Verdana"/>
          <w:sz w:val="16"/>
          <w:szCs w:val="16"/>
          <w:lang w:val="es-CR"/>
        </w:rPr>
        <w:t xml:space="preserve">entró en vigencia hasta un año posterior a su publicación en el Diario Oficial, de conformidad </w:t>
      </w:r>
      <w:r>
        <w:rPr>
          <w:rFonts w:ascii="Verdana" w:hAnsi="Verdana"/>
          <w:sz w:val="16"/>
          <w:szCs w:val="16"/>
          <w:lang w:val="es-CR"/>
        </w:rPr>
        <w:t xml:space="preserve">como </w:t>
      </w:r>
      <w:r w:rsidRPr="00624F7A">
        <w:rPr>
          <w:rFonts w:ascii="Verdana" w:hAnsi="Verdana"/>
          <w:sz w:val="16"/>
          <w:szCs w:val="16"/>
          <w:lang w:val="es-CR"/>
        </w:rPr>
        <w:t>se aprecia en su artículo 555, contenido en el Título IV, sobre Disposiciones Derogatorias y Finales</w:t>
      </w:r>
      <w:r w:rsidRPr="00624F7A">
        <w:rPr>
          <w:rFonts w:ascii="Verdana" w:hAnsi="Verdana" w:cs="Times New Roman"/>
          <w:sz w:val="16"/>
          <w:szCs w:val="16"/>
          <w:lang w:val="es-CR"/>
        </w:rPr>
        <w:t xml:space="preserve">. </w:t>
      </w:r>
      <w:r w:rsidRPr="00624F7A">
        <w:rPr>
          <w:rFonts w:ascii="Verdana" w:hAnsi="Verdana" w:cs="Times New Roman"/>
          <w:sz w:val="16"/>
          <w:szCs w:val="16"/>
          <w:lang w:val="es-CR"/>
        </w:rPr>
        <w:t xml:space="preserve">Asi en el </w:t>
      </w:r>
      <w:r w:rsidRPr="00624F7A">
        <w:rPr>
          <w:rFonts w:ascii="Verdana" w:hAnsi="Verdana"/>
          <w:sz w:val="16"/>
          <w:szCs w:val="16"/>
          <w:lang w:val="es-MX"/>
        </w:rPr>
        <w:t>artículo 93 establece que “[s]olamente los abogados colegiados activos podrán ser defensores. Los jueces no permitirán que a través del mandato se contravenga esta disposición” y en el artículo 533 de la citada legislación como requisito para acceder a dichos cargos “[u]n año de ejercicio profesional, o en funciones judiciales o de la carrera fiscal, que requieren el título de abogado”, y “[a]creditar experiencia en asuntos penales”. Mientras que, por otra parte, en lo relativo a los bufetes populares a cargo de las Facultades de Derecho como parte del Servicio Público de Defensa Penal, se prevé en el artículo 544 que “[l]os estudiantes no podrán asumir en forma autónoma la tarea del defensor y sólo cumplirán las accesorias de colaboración, y no podrán sustituir a los abogados a quienes asisten en los actos propios de su función. Se permitirá que los acompañen en los actos y debates, sin intervenir en ellos</w:t>
      </w:r>
      <w:r>
        <w:rPr>
          <w:rFonts w:ascii="Verdana" w:hAnsi="Verdana"/>
          <w:sz w:val="16"/>
          <w:szCs w:val="16"/>
          <w:lang w:val="es-MX"/>
        </w:rPr>
        <w:t xml:space="preserve">”. </w:t>
      </w:r>
      <w:r w:rsidRPr="0077126F">
        <w:rPr>
          <w:rFonts w:ascii="Verdana" w:hAnsi="Verdana" w:cs="Times New Roman"/>
          <w:sz w:val="16"/>
          <w:szCs w:val="16"/>
          <w:lang w:val="es-CR"/>
        </w:rPr>
        <w:t xml:space="preserve">Disponible en: </w:t>
      </w:r>
      <w:r>
        <w:fldChar w:fldCharType="begin"/>
      </w:r>
      <w:r w:rsidRPr="00A53665">
        <w:rPr>
          <w:lang w:val="es-CR"/>
        </w:rPr>
        <w:instrText xml:space="preserve"> HYPERLINK "https://www.congreso.gob.gt/detalle_pdf/decretos/1220" </w:instrText>
      </w:r>
      <w:r>
        <w:fldChar w:fldCharType="separate"/>
      </w:r>
      <w:r w:rsidRPr="0077126F">
        <w:rPr>
          <w:rStyle w:val="Hipervnculo"/>
          <w:rFonts w:ascii="Verdana" w:hAnsi="Verdana"/>
          <w:color w:val="auto"/>
          <w:sz w:val="16"/>
          <w:szCs w:val="16"/>
          <w:lang w:val="es-MX"/>
        </w:rPr>
        <w:t>https://www.congreso.gob.gt/detalle_pdf/decretos/1220</w:t>
      </w:r>
      <w:r>
        <w:rPr>
          <w:rStyle w:val="Hipervnculo"/>
          <w:rFonts w:ascii="Verdana" w:hAnsi="Verdana"/>
          <w:color w:val="auto"/>
          <w:sz w:val="16"/>
          <w:szCs w:val="16"/>
          <w:lang w:val="es-MX"/>
        </w:rPr>
        <w:fldChar w:fldCharType="end"/>
      </w:r>
      <w:r w:rsidRPr="0077126F">
        <w:rPr>
          <w:rFonts w:ascii="Verdana" w:hAnsi="Verdana" w:cs="Times New Roman"/>
          <w:sz w:val="16"/>
          <w:szCs w:val="16"/>
          <w:lang w:val="es-CR"/>
        </w:rPr>
        <w:t>).</w:t>
      </w:r>
      <w:r>
        <w:rPr>
          <w:rFonts w:ascii="Verdana" w:hAnsi="Verdana" w:cs="Times New Roman"/>
          <w:sz w:val="16"/>
          <w:szCs w:val="16"/>
          <w:lang w:val="es-CR"/>
        </w:rPr>
        <w:t xml:space="preserve"> </w:t>
      </w:r>
    </w:p>
  </w:footnote>
  <w:footnote w:id="102">
    <w:p w:rsidR="001C18DD" w:rsidRPr="005E0E0F" w:rsidRDefault="001C18DD" w:rsidP="00A326C2">
      <w:pPr>
        <w:pStyle w:val="Textonotapie"/>
        <w:jc w:val="both"/>
        <w:rPr>
          <w:rFonts w:ascii="Verdana" w:hAnsi="Verdana"/>
          <w:sz w:val="16"/>
          <w:szCs w:val="16"/>
          <w:lang w:val="es-MX"/>
        </w:rPr>
      </w:pPr>
      <w:r w:rsidRPr="003A687A">
        <w:rPr>
          <w:rStyle w:val="Refdenotaalpie"/>
          <w:rFonts w:ascii="Verdana" w:hAnsi="Verdana"/>
          <w:sz w:val="16"/>
          <w:szCs w:val="16"/>
        </w:rPr>
        <w:footnoteRef/>
      </w:r>
      <w:r w:rsidRPr="003A687A">
        <w:rPr>
          <w:rFonts w:ascii="Verdana" w:hAnsi="Verdana"/>
          <w:sz w:val="16"/>
          <w:szCs w:val="16"/>
          <w:lang w:val="es-MX"/>
        </w:rPr>
        <w:t xml:space="preserve"> </w:t>
      </w:r>
      <w:r w:rsidRPr="003A687A">
        <w:rPr>
          <w:rFonts w:ascii="Verdana" w:hAnsi="Verdana"/>
          <w:sz w:val="16"/>
          <w:szCs w:val="16"/>
          <w:lang w:val="es-MX"/>
        </w:rPr>
        <w:tab/>
      </w:r>
      <w:r w:rsidRPr="005E0E0F">
        <w:rPr>
          <w:rFonts w:ascii="Verdana" w:hAnsi="Verdana"/>
          <w:i/>
          <w:sz w:val="16"/>
          <w:szCs w:val="16"/>
          <w:lang w:val="es-MX"/>
        </w:rPr>
        <w:t>Caso Dacosta Cadogan Vs. Barbados. Excepciones Preliminares, Fondo, Reparaciones y Costas</w:t>
      </w:r>
      <w:r w:rsidRPr="005E0E0F">
        <w:rPr>
          <w:rFonts w:ascii="Verdana" w:hAnsi="Verdana"/>
          <w:sz w:val="16"/>
          <w:szCs w:val="16"/>
          <w:lang w:val="es-MX"/>
        </w:rPr>
        <w:t xml:space="preserve">. Sentencia de 24 de septiembre de 2009. Serie C No. 204, párr. 85. </w:t>
      </w:r>
    </w:p>
  </w:footnote>
  <w:footnote w:id="103">
    <w:p w:rsidR="001C18DD" w:rsidRPr="008E4C70" w:rsidRDefault="001C18DD" w:rsidP="00A326C2">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sz w:val="16"/>
          <w:szCs w:val="16"/>
          <w:lang w:val="es-CR"/>
        </w:rPr>
        <w:t xml:space="preserve">De acuerdo al peritaje del </w:t>
      </w:r>
      <w:r w:rsidRPr="00BD5B4C">
        <w:rPr>
          <w:rFonts w:ascii="Verdana" w:hAnsi="Verdana"/>
          <w:sz w:val="16"/>
          <w:szCs w:val="16"/>
          <w:lang w:val="es-CR"/>
        </w:rPr>
        <w:t>abogado Luis Arroyo Zapatero, se</w:t>
      </w:r>
      <w:r w:rsidRPr="008E4C70">
        <w:rPr>
          <w:rFonts w:ascii="Verdana" w:hAnsi="Verdana"/>
          <w:sz w:val="16"/>
          <w:szCs w:val="16"/>
          <w:lang w:val="es-CR"/>
        </w:rPr>
        <w:t xml:space="preserve"> constata que en la actualidad se han podido identificar los “elementos constitutivos de una defensa legal eficaz en caso de pena de muerte y lo que resulta a todas luces evidente que no puede considerarse como defensa legal eficaz a un acusado de pena de muerte la de un defensor legal que ni siquiera es un abogado y experimentado como para intervenir con eficacia en un proceso penal en el que está en juego la vida del acusado, sino que ni siquiera es abogado, pues se trata de estudiantes en prácticas”</w:t>
      </w:r>
      <w:r>
        <w:rPr>
          <w:rFonts w:ascii="Verdana" w:hAnsi="Verdana"/>
          <w:sz w:val="16"/>
          <w:szCs w:val="16"/>
          <w:lang w:val="es-CR"/>
        </w:rPr>
        <w:t xml:space="preserve"> (expediente prueba, afidávits y peritajes, fs. 2979 a 2999)</w:t>
      </w:r>
      <w:r w:rsidRPr="008E4C70">
        <w:rPr>
          <w:rFonts w:ascii="Verdana" w:hAnsi="Verdana"/>
          <w:sz w:val="16"/>
          <w:szCs w:val="16"/>
          <w:lang w:val="es-CR"/>
        </w:rPr>
        <w:t>.</w:t>
      </w:r>
    </w:p>
  </w:footnote>
  <w:footnote w:id="104">
    <w:p w:rsidR="001C18DD" w:rsidRPr="0025269E" w:rsidRDefault="001C18DD" w:rsidP="00A326C2">
      <w:pPr>
        <w:pStyle w:val="Textonotapie"/>
        <w:jc w:val="both"/>
        <w:rPr>
          <w:rFonts w:ascii="Verdana" w:hAnsi="Verdana"/>
          <w:b/>
          <w:sz w:val="16"/>
          <w:szCs w:val="16"/>
          <w:lang w:val="es-CR"/>
        </w:rPr>
      </w:pPr>
      <w:r w:rsidRPr="003C3EE6">
        <w:rPr>
          <w:rStyle w:val="Refdenotaalpie"/>
          <w:rFonts w:ascii="Verdana" w:eastAsiaTheme="majorEastAsia" w:hAnsi="Verdana"/>
          <w:sz w:val="16"/>
          <w:szCs w:val="16"/>
        </w:rPr>
        <w:footnoteRef/>
      </w:r>
      <w:r w:rsidRPr="003C3EE6">
        <w:rPr>
          <w:rFonts w:ascii="Verdana" w:hAnsi="Verdana"/>
          <w:sz w:val="16"/>
          <w:szCs w:val="16"/>
          <w:lang w:val="es-CR"/>
        </w:rPr>
        <w:t xml:space="preserve"> </w:t>
      </w:r>
      <w:r w:rsidRPr="003C3EE6">
        <w:rPr>
          <w:rFonts w:ascii="Verdana" w:hAnsi="Verdana"/>
          <w:sz w:val="16"/>
          <w:szCs w:val="16"/>
          <w:lang w:val="es-CR"/>
        </w:rPr>
        <w:tab/>
      </w:r>
      <w:r w:rsidRPr="0025269E">
        <w:rPr>
          <w:rFonts w:ascii="Verdana" w:hAnsi="Verdana"/>
          <w:b/>
          <w:sz w:val="16"/>
          <w:szCs w:val="16"/>
          <w:lang w:val="es-CR"/>
        </w:rPr>
        <w:t xml:space="preserve"> </w:t>
      </w:r>
      <w:r w:rsidRPr="0025269E">
        <w:rPr>
          <w:rStyle w:val="Textoennegrita"/>
          <w:rFonts w:ascii="Verdana" w:hAnsi="Verdana"/>
          <w:b w:val="0"/>
          <w:i/>
          <w:color w:val="000000"/>
          <w:sz w:val="16"/>
          <w:szCs w:val="16"/>
          <w:shd w:val="clear" w:color="auto" w:fill="FFFFFF"/>
          <w:lang w:val="es-CR"/>
        </w:rPr>
        <w:t>Caso Herrera Ulloa Vs. Costa Rica. Excepciones Preliminares, Fondo, Reparaciones y Costas.</w:t>
      </w:r>
      <w:r w:rsidRPr="0025269E">
        <w:rPr>
          <w:rStyle w:val="Textoennegrita"/>
          <w:rFonts w:ascii="Verdana" w:hAnsi="Verdana"/>
          <w:b w:val="0"/>
          <w:color w:val="000000"/>
          <w:sz w:val="16"/>
          <w:szCs w:val="16"/>
          <w:shd w:val="clear" w:color="auto" w:fill="FFFFFF"/>
          <w:lang w:val="es-CR"/>
        </w:rPr>
        <w:t xml:space="preserve"> Sentencia de 2 de julio de 2004. Serie C No. 107</w:t>
      </w:r>
      <w:r w:rsidRPr="0025269E">
        <w:rPr>
          <w:rFonts w:ascii="Verdana" w:hAnsi="Verdana"/>
          <w:i/>
          <w:sz w:val="16"/>
          <w:szCs w:val="16"/>
          <w:lang w:val="es-CR"/>
        </w:rPr>
        <w:t>,</w:t>
      </w:r>
      <w:r w:rsidRPr="0025269E">
        <w:rPr>
          <w:rFonts w:ascii="Verdana" w:hAnsi="Verdana"/>
          <w:sz w:val="16"/>
          <w:szCs w:val="16"/>
          <w:lang w:val="es-CR"/>
        </w:rPr>
        <w:t xml:space="preserve"> párr. </w:t>
      </w:r>
      <w:r w:rsidRPr="0025269E">
        <w:rPr>
          <w:rFonts w:ascii="Verdana" w:hAnsi="Verdana"/>
          <w:sz w:val="16"/>
          <w:szCs w:val="16"/>
          <w:lang w:val="es-CR"/>
        </w:rPr>
        <w:t>158, y</w:t>
      </w:r>
      <w:r w:rsidRPr="0025269E">
        <w:rPr>
          <w:rFonts w:ascii="Verdana" w:hAnsi="Verdana"/>
          <w:b/>
          <w:i/>
          <w:sz w:val="16"/>
          <w:szCs w:val="16"/>
          <w:lang w:val="es-CR"/>
        </w:rPr>
        <w:t xml:space="preserve">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xml:space="preserve">, párr. </w:t>
      </w:r>
      <w:r>
        <w:rPr>
          <w:rStyle w:val="Textoennegrita"/>
          <w:rFonts w:ascii="Verdana" w:hAnsi="Verdana"/>
          <w:b w:val="0"/>
          <w:color w:val="000000"/>
          <w:sz w:val="16"/>
          <w:szCs w:val="16"/>
          <w:shd w:val="clear" w:color="auto" w:fill="FFFFFF"/>
          <w:lang w:val="es-CR"/>
        </w:rPr>
        <w:t>47</w:t>
      </w:r>
      <w:r w:rsidRPr="0025269E">
        <w:rPr>
          <w:rStyle w:val="Textoennegrita"/>
          <w:rFonts w:ascii="Verdana" w:hAnsi="Verdana"/>
          <w:b w:val="0"/>
          <w:color w:val="000000"/>
          <w:sz w:val="16"/>
          <w:szCs w:val="16"/>
          <w:shd w:val="clear" w:color="auto" w:fill="FFFFFF"/>
          <w:lang w:val="es-CR"/>
        </w:rPr>
        <w:t>.</w:t>
      </w:r>
    </w:p>
  </w:footnote>
  <w:footnote w:id="105">
    <w:p w:rsidR="001C18DD" w:rsidRPr="0025269E" w:rsidRDefault="001C18DD" w:rsidP="00A326C2">
      <w:pPr>
        <w:pStyle w:val="Textonotapie"/>
        <w:jc w:val="both"/>
        <w:rPr>
          <w:rFonts w:ascii="Verdana" w:hAnsi="Verdana"/>
          <w:b/>
          <w:sz w:val="16"/>
          <w:szCs w:val="16"/>
          <w:lang w:val="es-CR"/>
        </w:rPr>
      </w:pPr>
      <w:r w:rsidRPr="0025269E">
        <w:rPr>
          <w:rStyle w:val="Refdenotaalpie"/>
          <w:rFonts w:ascii="Verdana" w:eastAsiaTheme="majorEastAsia" w:hAnsi="Verdana"/>
          <w:sz w:val="16"/>
          <w:szCs w:val="16"/>
        </w:rPr>
        <w:footnoteRef/>
      </w:r>
      <w:r w:rsidRPr="0025269E">
        <w:rPr>
          <w:rFonts w:ascii="Verdana" w:hAnsi="Verdana"/>
          <w:sz w:val="16"/>
          <w:szCs w:val="16"/>
          <w:lang w:val="es-CR"/>
        </w:rPr>
        <w:t xml:space="preserve"> </w:t>
      </w:r>
      <w:r w:rsidRPr="0025269E">
        <w:rPr>
          <w:rFonts w:ascii="Verdana" w:hAnsi="Verdana"/>
          <w:sz w:val="16"/>
          <w:szCs w:val="16"/>
          <w:lang w:val="es-CR"/>
        </w:rPr>
        <w:tab/>
      </w:r>
      <w:r w:rsidRPr="0025269E">
        <w:rPr>
          <w:rFonts w:ascii="Verdana" w:hAnsi="Verdana"/>
          <w:i/>
          <w:sz w:val="16"/>
          <w:szCs w:val="16"/>
          <w:lang w:val="es-CR"/>
        </w:rPr>
        <w:t>Cfr.</w:t>
      </w:r>
      <w:r w:rsidRPr="0025269E">
        <w:rPr>
          <w:rFonts w:ascii="Verdana" w:hAnsi="Verdana"/>
          <w:sz w:val="16"/>
          <w:szCs w:val="16"/>
          <w:lang w:val="es-CR"/>
        </w:rPr>
        <w:t xml:space="preserve"> </w:t>
      </w:r>
      <w:r w:rsidRPr="0025269E">
        <w:rPr>
          <w:rFonts w:ascii="Verdana" w:hAnsi="Verdana"/>
          <w:i/>
          <w:sz w:val="16"/>
          <w:szCs w:val="16"/>
          <w:lang w:val="es-CR"/>
        </w:rPr>
        <w:t>Caso Mohamed Vs. Argentina. Excepción Preliminar, Fondo, Reparaciones y Costas</w:t>
      </w:r>
      <w:r w:rsidRPr="0025269E">
        <w:rPr>
          <w:rFonts w:ascii="Verdana" w:hAnsi="Verdana"/>
          <w:sz w:val="16"/>
          <w:szCs w:val="16"/>
          <w:lang w:val="es-CR"/>
        </w:rPr>
        <w:t>. Sentencia de 23 noviembre de 2012. Serie C No. 255, párrs. 92 y 93, y</w:t>
      </w:r>
      <w:r w:rsidRPr="0025269E">
        <w:rPr>
          <w:rFonts w:ascii="Verdana" w:hAnsi="Verdana"/>
          <w:b/>
          <w:sz w:val="16"/>
          <w:szCs w:val="16"/>
          <w:lang w:val="es-CR"/>
        </w:rPr>
        <w:t xml:space="preserve">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xml:space="preserve">, párr. </w:t>
      </w:r>
      <w:r>
        <w:rPr>
          <w:rStyle w:val="Textoennegrita"/>
          <w:rFonts w:ascii="Verdana" w:hAnsi="Verdana"/>
          <w:b w:val="0"/>
          <w:color w:val="000000"/>
          <w:sz w:val="16"/>
          <w:szCs w:val="16"/>
          <w:shd w:val="clear" w:color="auto" w:fill="FFFFFF"/>
          <w:lang w:val="es-CR"/>
        </w:rPr>
        <w:t>47</w:t>
      </w:r>
      <w:r w:rsidRPr="0025269E">
        <w:rPr>
          <w:rStyle w:val="Textoennegrita"/>
          <w:rFonts w:ascii="Verdana" w:hAnsi="Verdana"/>
          <w:b w:val="0"/>
          <w:color w:val="000000"/>
          <w:sz w:val="16"/>
          <w:szCs w:val="16"/>
          <w:shd w:val="clear" w:color="auto" w:fill="FFFFFF"/>
          <w:lang w:val="es-CR"/>
        </w:rPr>
        <w:t>.</w:t>
      </w:r>
    </w:p>
  </w:footnote>
  <w:footnote w:id="106">
    <w:p w:rsidR="001C18DD" w:rsidRPr="0025269E" w:rsidRDefault="001C18DD" w:rsidP="00A326C2">
      <w:pPr>
        <w:pStyle w:val="Textonotapie"/>
        <w:jc w:val="both"/>
        <w:rPr>
          <w:rFonts w:ascii="Verdana" w:hAnsi="Verdana"/>
          <w:b/>
          <w:sz w:val="16"/>
          <w:szCs w:val="16"/>
          <w:lang w:val="es-CR"/>
        </w:rPr>
      </w:pPr>
      <w:r w:rsidRPr="0025269E">
        <w:rPr>
          <w:rStyle w:val="Refdenotaalpie"/>
          <w:rFonts w:ascii="Verdana" w:eastAsiaTheme="majorEastAsia" w:hAnsi="Verdana"/>
          <w:sz w:val="16"/>
          <w:szCs w:val="16"/>
        </w:rPr>
        <w:footnoteRef/>
      </w:r>
      <w:r w:rsidRPr="0025269E">
        <w:rPr>
          <w:rFonts w:ascii="Verdana" w:hAnsi="Verdana"/>
          <w:sz w:val="16"/>
          <w:szCs w:val="16"/>
          <w:lang w:val="es-CR"/>
        </w:rPr>
        <w:t xml:space="preserve"> </w:t>
      </w:r>
      <w:r w:rsidRPr="0025269E">
        <w:rPr>
          <w:rFonts w:ascii="Verdana" w:hAnsi="Verdana"/>
          <w:sz w:val="16"/>
          <w:szCs w:val="16"/>
          <w:lang w:val="es-CR"/>
        </w:rPr>
        <w:tab/>
      </w:r>
      <w:r w:rsidRPr="0025269E">
        <w:rPr>
          <w:rFonts w:ascii="Verdana" w:hAnsi="Verdana"/>
          <w:i/>
          <w:sz w:val="16"/>
          <w:szCs w:val="16"/>
          <w:lang w:val="es-CR"/>
        </w:rPr>
        <w:t>Cfr.</w:t>
      </w:r>
      <w:r w:rsidRPr="0025269E">
        <w:rPr>
          <w:rFonts w:ascii="Verdana" w:hAnsi="Verdana"/>
          <w:sz w:val="16"/>
          <w:szCs w:val="16"/>
          <w:lang w:val="es-CR"/>
        </w:rPr>
        <w:t xml:space="preserve"> </w:t>
      </w:r>
      <w:r w:rsidRPr="0025269E">
        <w:rPr>
          <w:rFonts w:ascii="Verdana" w:hAnsi="Verdana"/>
          <w:i/>
          <w:sz w:val="16"/>
          <w:szCs w:val="16"/>
          <w:lang w:val="es-CR"/>
        </w:rPr>
        <w:t xml:space="preserve">Caso Baena Ricardo y otros Vs. Panamá. Fondo, Reparaciones y Costas. </w:t>
      </w:r>
      <w:r w:rsidRPr="0025269E">
        <w:rPr>
          <w:rFonts w:ascii="Verdana" w:hAnsi="Verdana"/>
          <w:sz w:val="16"/>
          <w:szCs w:val="16"/>
          <w:lang w:val="es-CR"/>
        </w:rPr>
        <w:t>Sentencia de 2 de febrero de 2001. Serie C No. 72, párr. 107, y</w:t>
      </w:r>
      <w:r w:rsidRPr="0025269E">
        <w:rPr>
          <w:rFonts w:ascii="Verdana" w:hAnsi="Verdana"/>
          <w:b/>
          <w:sz w:val="16"/>
          <w:szCs w:val="16"/>
          <w:lang w:val="es-CR"/>
        </w:rPr>
        <w:t xml:space="preserve">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xml:space="preserve">, párr. </w:t>
      </w:r>
      <w:r>
        <w:rPr>
          <w:rStyle w:val="Textoennegrita"/>
          <w:rFonts w:ascii="Verdana" w:hAnsi="Verdana"/>
          <w:b w:val="0"/>
          <w:color w:val="000000"/>
          <w:sz w:val="16"/>
          <w:szCs w:val="16"/>
          <w:shd w:val="clear" w:color="auto" w:fill="FFFFFF"/>
          <w:lang w:val="es-CR"/>
        </w:rPr>
        <w:t>47</w:t>
      </w:r>
      <w:r w:rsidRPr="0025269E">
        <w:rPr>
          <w:rStyle w:val="Textoennegrita"/>
          <w:rFonts w:ascii="Verdana" w:hAnsi="Verdana"/>
          <w:b w:val="0"/>
          <w:color w:val="000000"/>
          <w:sz w:val="16"/>
          <w:szCs w:val="16"/>
          <w:shd w:val="clear" w:color="auto" w:fill="FFFFFF"/>
          <w:lang w:val="es-CR"/>
        </w:rPr>
        <w:t>.</w:t>
      </w:r>
    </w:p>
  </w:footnote>
  <w:footnote w:id="107">
    <w:p w:rsidR="001C18DD" w:rsidRPr="0025269E" w:rsidRDefault="001C18DD" w:rsidP="00A326C2">
      <w:pPr>
        <w:pStyle w:val="Textonotapie"/>
        <w:jc w:val="both"/>
        <w:rPr>
          <w:rFonts w:ascii="Verdana" w:hAnsi="Verdana"/>
          <w:b/>
          <w:sz w:val="16"/>
          <w:szCs w:val="16"/>
          <w:lang w:val="es-CR"/>
        </w:rPr>
      </w:pPr>
      <w:r w:rsidRPr="0025269E">
        <w:rPr>
          <w:rStyle w:val="Refdenotaalpie"/>
          <w:rFonts w:ascii="Verdana" w:eastAsiaTheme="majorEastAsia" w:hAnsi="Verdana"/>
          <w:b/>
          <w:sz w:val="16"/>
          <w:szCs w:val="16"/>
        </w:rPr>
        <w:footnoteRef/>
      </w:r>
      <w:r w:rsidRPr="00C62653">
        <w:rPr>
          <w:rFonts w:ascii="Verdana" w:hAnsi="Verdana"/>
          <w:b/>
          <w:sz w:val="16"/>
          <w:szCs w:val="16"/>
          <w:lang w:val="es-CR"/>
        </w:rPr>
        <w:t xml:space="preserve"> </w:t>
      </w:r>
      <w:r w:rsidRPr="00C62653">
        <w:rPr>
          <w:rFonts w:ascii="Verdana" w:hAnsi="Verdana"/>
          <w:b/>
          <w:sz w:val="16"/>
          <w:szCs w:val="16"/>
          <w:lang w:val="es-CR"/>
        </w:rPr>
        <w:tab/>
      </w:r>
      <w:r w:rsidRPr="00C62653">
        <w:rPr>
          <w:rFonts w:ascii="Verdana" w:hAnsi="Verdana"/>
          <w:i/>
          <w:sz w:val="16"/>
          <w:szCs w:val="16"/>
          <w:lang w:val="es-CR"/>
        </w:rPr>
        <w:t>Cfr.</w:t>
      </w:r>
      <w:r w:rsidRPr="00C62653">
        <w:rPr>
          <w:rFonts w:ascii="Verdana" w:hAnsi="Verdana"/>
          <w:b/>
          <w:i/>
          <w:sz w:val="16"/>
          <w:szCs w:val="16"/>
          <w:lang w:val="es-CR"/>
        </w:rPr>
        <w:t xml:space="preserve"> </w:t>
      </w:r>
      <w:r w:rsidRPr="00C62653">
        <w:rPr>
          <w:rStyle w:val="Textoennegrita"/>
          <w:rFonts w:ascii="Verdana" w:hAnsi="Verdana"/>
          <w:b w:val="0"/>
          <w:i/>
          <w:color w:val="000000"/>
          <w:sz w:val="16"/>
          <w:szCs w:val="16"/>
          <w:shd w:val="clear" w:color="auto" w:fill="FFFFFF"/>
          <w:lang w:val="es-CR"/>
        </w:rPr>
        <w:t xml:space="preserve">Liakat Ali Alibux Vs. </w:t>
      </w:r>
      <w:r w:rsidRPr="00186D08">
        <w:rPr>
          <w:rStyle w:val="Textoennegrita"/>
          <w:rFonts w:ascii="Verdana" w:hAnsi="Verdana"/>
          <w:b w:val="0"/>
          <w:i/>
          <w:color w:val="000000"/>
          <w:sz w:val="16"/>
          <w:szCs w:val="16"/>
          <w:shd w:val="clear" w:color="auto" w:fill="FFFFFF"/>
          <w:lang w:val="es-CR"/>
        </w:rPr>
        <w:t xml:space="preserve">Surinam. Excepciones Preliminares, Fondo, Reparaciones y Costas. </w:t>
      </w:r>
      <w:r w:rsidRPr="003A687A">
        <w:rPr>
          <w:rStyle w:val="Textoennegrita"/>
          <w:rFonts w:ascii="Verdana" w:hAnsi="Verdana"/>
          <w:b w:val="0"/>
          <w:color w:val="000000"/>
          <w:sz w:val="16"/>
          <w:szCs w:val="16"/>
          <w:shd w:val="clear" w:color="auto" w:fill="FFFFFF"/>
          <w:lang w:val="es-CR"/>
        </w:rPr>
        <w:t>Sentencia de 30 de</w:t>
      </w:r>
      <w:r>
        <w:rPr>
          <w:rStyle w:val="Textoennegrita"/>
          <w:rFonts w:ascii="Verdana" w:hAnsi="Verdana"/>
          <w:b w:val="0"/>
          <w:color w:val="000000"/>
          <w:sz w:val="16"/>
          <w:szCs w:val="16"/>
          <w:shd w:val="clear" w:color="auto" w:fill="FFFFFF"/>
          <w:lang w:val="es-CR"/>
        </w:rPr>
        <w:t xml:space="preserve"> enero de 2014. Serie C No. 276</w:t>
      </w:r>
      <w:r w:rsidRPr="0025269E">
        <w:rPr>
          <w:rFonts w:ascii="Verdana" w:hAnsi="Verdana"/>
          <w:i/>
          <w:sz w:val="16"/>
          <w:szCs w:val="16"/>
          <w:lang w:val="es-CR"/>
        </w:rPr>
        <w:t>,</w:t>
      </w:r>
      <w:r w:rsidRPr="0025269E">
        <w:rPr>
          <w:rFonts w:ascii="Verdana" w:hAnsi="Verdana"/>
          <w:sz w:val="16"/>
          <w:szCs w:val="16"/>
          <w:lang w:val="es-CR"/>
        </w:rPr>
        <w:t xml:space="preserve"> párr. </w:t>
      </w:r>
      <w:r>
        <w:rPr>
          <w:rFonts w:ascii="Verdana" w:hAnsi="Verdana"/>
          <w:sz w:val="16"/>
          <w:szCs w:val="16"/>
          <w:lang w:val="es-CR"/>
        </w:rPr>
        <w:t>85</w:t>
      </w:r>
      <w:r w:rsidRPr="0025269E">
        <w:rPr>
          <w:rFonts w:ascii="Verdana" w:hAnsi="Verdana"/>
          <w:sz w:val="16"/>
          <w:szCs w:val="16"/>
          <w:lang w:val="es-CR"/>
        </w:rPr>
        <w:t>, y</w:t>
      </w:r>
      <w:r w:rsidRPr="0025269E">
        <w:rPr>
          <w:rFonts w:ascii="Verdana" w:hAnsi="Verdana"/>
          <w:b/>
          <w:sz w:val="16"/>
          <w:szCs w:val="16"/>
          <w:lang w:val="es-CR"/>
        </w:rPr>
        <w:t xml:space="preserve">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xml:space="preserve">, párr. </w:t>
      </w:r>
      <w:r>
        <w:rPr>
          <w:rStyle w:val="Textoennegrita"/>
          <w:rFonts w:ascii="Verdana" w:hAnsi="Verdana"/>
          <w:b w:val="0"/>
          <w:color w:val="000000"/>
          <w:sz w:val="16"/>
          <w:szCs w:val="16"/>
          <w:shd w:val="clear" w:color="auto" w:fill="FFFFFF"/>
          <w:lang w:val="es-CR"/>
        </w:rPr>
        <w:t>47</w:t>
      </w:r>
      <w:r w:rsidRPr="0025269E">
        <w:rPr>
          <w:rStyle w:val="Textoennegrita"/>
          <w:rFonts w:ascii="Verdana" w:hAnsi="Verdana"/>
          <w:b w:val="0"/>
          <w:color w:val="000000"/>
          <w:sz w:val="16"/>
          <w:szCs w:val="16"/>
          <w:shd w:val="clear" w:color="auto" w:fill="FFFFFF"/>
          <w:lang w:val="es-CR"/>
        </w:rPr>
        <w:t>.</w:t>
      </w:r>
    </w:p>
  </w:footnote>
  <w:footnote w:id="108">
    <w:p w:rsidR="001C18DD" w:rsidRPr="003C3EE6" w:rsidRDefault="001C18DD" w:rsidP="00A326C2">
      <w:pPr>
        <w:pStyle w:val="Textonotapie"/>
        <w:jc w:val="both"/>
        <w:rPr>
          <w:rFonts w:ascii="Verdana" w:hAnsi="Verdana"/>
          <w:sz w:val="16"/>
          <w:szCs w:val="16"/>
          <w:lang w:val="pt-PT"/>
        </w:rPr>
      </w:pPr>
      <w:r w:rsidRPr="0025269E">
        <w:rPr>
          <w:rStyle w:val="Refdenotaalpie"/>
          <w:rFonts w:ascii="Verdana" w:eastAsiaTheme="majorEastAsia" w:hAnsi="Verdana"/>
          <w:spacing w:val="-4"/>
          <w:sz w:val="16"/>
          <w:szCs w:val="16"/>
        </w:rPr>
        <w:footnoteRef/>
      </w:r>
      <w:r w:rsidRPr="0025269E">
        <w:rPr>
          <w:rFonts w:ascii="Verdana" w:hAnsi="Verdana"/>
          <w:sz w:val="16"/>
          <w:szCs w:val="16"/>
          <w:lang w:val="es-CR"/>
        </w:rPr>
        <w:t xml:space="preserve"> </w:t>
      </w:r>
      <w:r w:rsidRPr="0025269E">
        <w:rPr>
          <w:rFonts w:ascii="Verdana" w:hAnsi="Verdana"/>
          <w:sz w:val="16"/>
          <w:szCs w:val="16"/>
          <w:lang w:val="es-CR"/>
        </w:rPr>
        <w:tab/>
      </w:r>
      <w:r w:rsidRPr="0025269E">
        <w:rPr>
          <w:rFonts w:ascii="Verdana" w:hAnsi="Verdana"/>
          <w:i/>
          <w:sz w:val="16"/>
          <w:szCs w:val="16"/>
          <w:lang w:val="es-CR"/>
        </w:rPr>
        <w:t>Cfr</w:t>
      </w:r>
      <w:r w:rsidRPr="00F800B9">
        <w:rPr>
          <w:rFonts w:ascii="Verdana" w:hAnsi="Verdana"/>
          <w:i/>
          <w:sz w:val="16"/>
          <w:szCs w:val="16"/>
          <w:lang w:val="es-CR"/>
        </w:rPr>
        <w:t>.</w:t>
      </w:r>
      <w:r w:rsidRPr="0025269E">
        <w:rPr>
          <w:rFonts w:ascii="Verdana" w:hAnsi="Verdana"/>
          <w:b/>
          <w:sz w:val="16"/>
          <w:szCs w:val="16"/>
          <w:lang w:val="es-CR"/>
        </w:rPr>
        <w:t xml:space="preserve"> </w:t>
      </w:r>
      <w:r w:rsidRPr="0025269E">
        <w:rPr>
          <w:rStyle w:val="Textoennegrita"/>
          <w:rFonts w:ascii="Verdana" w:hAnsi="Verdana"/>
          <w:b w:val="0"/>
          <w:i/>
          <w:color w:val="000000"/>
          <w:sz w:val="16"/>
          <w:szCs w:val="16"/>
          <w:shd w:val="clear" w:color="auto" w:fill="FFFFFF"/>
          <w:lang w:val="es-CR"/>
        </w:rPr>
        <w:t>Caso Herrera Ulloa Vs. Costa Rica</w:t>
      </w:r>
      <w:r>
        <w:rPr>
          <w:rStyle w:val="Textoennegrita"/>
          <w:rFonts w:ascii="Verdana" w:hAnsi="Verdana"/>
          <w:b w:val="0"/>
          <w:i/>
          <w:color w:val="000000"/>
          <w:sz w:val="16"/>
          <w:szCs w:val="16"/>
          <w:shd w:val="clear" w:color="auto" w:fill="FFFFFF"/>
          <w:lang w:val="es-CR"/>
        </w:rPr>
        <w:t>, supra</w:t>
      </w:r>
      <w:r w:rsidRPr="00A173BD">
        <w:rPr>
          <w:rFonts w:ascii="Verdana" w:hAnsi="Verdana"/>
          <w:i/>
          <w:sz w:val="16"/>
          <w:szCs w:val="16"/>
          <w:lang w:val="es-CR"/>
        </w:rPr>
        <w:t>,</w:t>
      </w:r>
      <w:r w:rsidRPr="00A173BD">
        <w:rPr>
          <w:rFonts w:ascii="Verdana" w:hAnsi="Verdana"/>
          <w:sz w:val="16"/>
          <w:szCs w:val="16"/>
          <w:lang w:val="es-CR"/>
        </w:rPr>
        <w:t xml:space="preserve"> </w:t>
      </w:r>
      <w:r w:rsidRPr="003C3EE6">
        <w:rPr>
          <w:rFonts w:ascii="Verdana" w:hAnsi="Verdana"/>
          <w:sz w:val="16"/>
          <w:szCs w:val="16"/>
          <w:lang w:val="es-CR"/>
        </w:rPr>
        <w:t>párrs.</w:t>
      </w:r>
      <w:r w:rsidRPr="003C3EE6">
        <w:rPr>
          <w:rFonts w:ascii="Verdana" w:eastAsia="Times New Roman" w:hAnsi="Verdana"/>
          <w:sz w:val="16"/>
          <w:szCs w:val="16"/>
          <w:lang w:val="es-CR"/>
        </w:rPr>
        <w:t xml:space="preserve"> </w:t>
      </w:r>
      <w:r w:rsidRPr="003C3EE6">
        <w:rPr>
          <w:rFonts w:ascii="Verdana" w:hAnsi="Verdana"/>
          <w:sz w:val="16"/>
          <w:szCs w:val="16"/>
          <w:lang w:val="es-CR"/>
        </w:rPr>
        <w:t xml:space="preserve">161, 164 y 165 y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xml:space="preserve">, párr. </w:t>
      </w:r>
      <w:r>
        <w:rPr>
          <w:rStyle w:val="Textoennegrita"/>
          <w:rFonts w:ascii="Verdana" w:hAnsi="Verdana"/>
          <w:b w:val="0"/>
          <w:color w:val="000000"/>
          <w:sz w:val="16"/>
          <w:szCs w:val="16"/>
          <w:shd w:val="clear" w:color="auto" w:fill="FFFFFF"/>
          <w:lang w:val="es-CR"/>
        </w:rPr>
        <w:t>48</w:t>
      </w:r>
      <w:r w:rsidRPr="0025269E">
        <w:rPr>
          <w:rStyle w:val="Textoennegrita"/>
          <w:rFonts w:ascii="Verdana" w:hAnsi="Verdana"/>
          <w:b w:val="0"/>
          <w:color w:val="000000"/>
          <w:sz w:val="16"/>
          <w:szCs w:val="16"/>
          <w:shd w:val="clear" w:color="auto" w:fill="FFFFFF"/>
          <w:lang w:val="es-CR"/>
        </w:rPr>
        <w:t>.</w:t>
      </w:r>
    </w:p>
  </w:footnote>
  <w:footnote w:id="109">
    <w:p w:rsidR="001C18DD" w:rsidRPr="00EF28AC" w:rsidRDefault="001C18DD" w:rsidP="00A326C2">
      <w:pPr>
        <w:pStyle w:val="Textonotapie"/>
        <w:jc w:val="both"/>
        <w:rPr>
          <w:rFonts w:ascii="Verdana" w:hAnsi="Verdana"/>
          <w:sz w:val="16"/>
          <w:szCs w:val="16"/>
          <w:lang w:val="es-MX"/>
        </w:rPr>
      </w:pPr>
      <w:r w:rsidRPr="00EF28AC">
        <w:rPr>
          <w:rStyle w:val="Refdenotaalpie"/>
          <w:rFonts w:ascii="Verdana" w:hAnsi="Verdana"/>
          <w:sz w:val="16"/>
          <w:szCs w:val="16"/>
        </w:rPr>
        <w:footnoteRef/>
      </w:r>
      <w:r w:rsidRPr="00EF28AC">
        <w:rPr>
          <w:rFonts w:ascii="Verdana" w:hAnsi="Verdana"/>
          <w:sz w:val="16"/>
          <w:szCs w:val="16"/>
          <w:lang w:val="es-MX"/>
        </w:rPr>
        <w:t xml:space="preserve"> </w:t>
      </w:r>
      <w:r w:rsidRPr="00EF28AC">
        <w:rPr>
          <w:rFonts w:ascii="Verdana" w:hAnsi="Verdana"/>
          <w:sz w:val="16"/>
          <w:szCs w:val="16"/>
          <w:lang w:val="es-MX"/>
        </w:rPr>
        <w:tab/>
      </w:r>
      <w:r w:rsidRPr="00EF28AC">
        <w:rPr>
          <w:rFonts w:ascii="Verdana" w:hAnsi="Verdana"/>
          <w:sz w:val="16"/>
          <w:szCs w:val="16"/>
          <w:lang w:val="es-MX"/>
        </w:rPr>
        <w:t xml:space="preserve">En efecto, se aprecia </w:t>
      </w:r>
      <w:r>
        <w:rPr>
          <w:rFonts w:ascii="Verdana" w:hAnsi="Verdana"/>
          <w:sz w:val="16"/>
          <w:szCs w:val="16"/>
          <w:lang w:val="es-MX"/>
        </w:rPr>
        <w:t>de las</w:t>
      </w:r>
      <w:r w:rsidRPr="00EF28AC">
        <w:rPr>
          <w:rFonts w:ascii="Verdana" w:hAnsi="Verdana"/>
          <w:sz w:val="16"/>
          <w:szCs w:val="16"/>
          <w:lang w:val="es-MX"/>
        </w:rPr>
        <w:t xml:space="preserve"> acta</w:t>
      </w:r>
      <w:r>
        <w:rPr>
          <w:rFonts w:ascii="Verdana" w:hAnsi="Verdana"/>
          <w:sz w:val="16"/>
          <w:szCs w:val="16"/>
          <w:lang w:val="es-MX"/>
        </w:rPr>
        <w:t>s</w:t>
      </w:r>
      <w:r w:rsidRPr="00EF28AC">
        <w:rPr>
          <w:rFonts w:ascii="Verdana" w:hAnsi="Verdana"/>
          <w:sz w:val="16"/>
          <w:szCs w:val="16"/>
          <w:lang w:val="es-MX"/>
        </w:rPr>
        <w:t xml:space="preserve"> de notificación de la sentencia de 4 de octubre de 1993, que tanto los condenados Roberto Girón y Pedro Castillo Mendoza, </w:t>
      </w:r>
      <w:r>
        <w:rPr>
          <w:rFonts w:ascii="Verdana" w:hAnsi="Verdana"/>
          <w:sz w:val="16"/>
          <w:szCs w:val="16"/>
          <w:lang w:val="es-MX"/>
        </w:rPr>
        <w:t>como sus representantes LCC y</w:t>
      </w:r>
      <w:r w:rsidRPr="0077126F">
        <w:rPr>
          <w:rFonts w:ascii="Verdana" w:hAnsi="Verdana"/>
          <w:sz w:val="16"/>
          <w:szCs w:val="16"/>
          <w:lang w:val="es-CR"/>
        </w:rPr>
        <w:t xml:space="preserve"> </w:t>
      </w:r>
      <w:r>
        <w:rPr>
          <w:rFonts w:ascii="Verdana" w:hAnsi="Verdana"/>
          <w:sz w:val="16"/>
          <w:szCs w:val="16"/>
          <w:lang w:val="es-CR"/>
        </w:rPr>
        <w:t>Edy Iván Bocanegra Conde</w:t>
      </w:r>
      <w:r w:rsidRPr="00EF28AC">
        <w:rPr>
          <w:rFonts w:ascii="Verdana" w:hAnsi="Verdana"/>
          <w:sz w:val="16"/>
          <w:szCs w:val="16"/>
          <w:lang w:val="es-MX"/>
        </w:rPr>
        <w:t>, hicieron constar junto a su firma la leyenda “Apelo” (expediente de</w:t>
      </w:r>
      <w:r>
        <w:rPr>
          <w:rFonts w:ascii="Verdana" w:hAnsi="Verdana"/>
          <w:sz w:val="16"/>
          <w:szCs w:val="16"/>
          <w:lang w:val="es-MX"/>
        </w:rPr>
        <w:t xml:space="preserve"> trámite ante la Comisión, f</w:t>
      </w:r>
      <w:r w:rsidRPr="00EF28AC">
        <w:rPr>
          <w:rFonts w:ascii="Verdana" w:hAnsi="Verdana"/>
          <w:sz w:val="16"/>
          <w:szCs w:val="16"/>
          <w:lang w:val="es-MX"/>
        </w:rPr>
        <w:t>s</w:t>
      </w:r>
      <w:r>
        <w:rPr>
          <w:rFonts w:ascii="Verdana" w:hAnsi="Verdana"/>
          <w:sz w:val="16"/>
          <w:szCs w:val="16"/>
          <w:lang w:val="es-MX"/>
        </w:rPr>
        <w:t>.</w:t>
      </w:r>
      <w:r w:rsidRPr="00EF28AC">
        <w:rPr>
          <w:rFonts w:ascii="Verdana" w:hAnsi="Verdana"/>
          <w:sz w:val="16"/>
          <w:szCs w:val="16"/>
          <w:lang w:val="es-MX"/>
        </w:rPr>
        <w:t xml:space="preserve"> 663 a 665). Lo que se corrobora con el acuerdo del Juzgado Primero de Primera Instancia Penal de Sentencia de Escuint</w:t>
      </w:r>
      <w:r>
        <w:rPr>
          <w:rFonts w:ascii="Verdana" w:hAnsi="Verdana"/>
          <w:sz w:val="16"/>
          <w:szCs w:val="16"/>
          <w:lang w:val="es-MX"/>
        </w:rPr>
        <w:t>la</w:t>
      </w:r>
      <w:r w:rsidRPr="00EF28AC">
        <w:rPr>
          <w:rFonts w:ascii="Verdana" w:hAnsi="Verdana"/>
          <w:sz w:val="16"/>
          <w:szCs w:val="16"/>
          <w:lang w:val="es-MX"/>
        </w:rPr>
        <w:t xml:space="preserve">, de 12 de octubre de 1993, en </w:t>
      </w:r>
      <w:r>
        <w:rPr>
          <w:rFonts w:ascii="Verdana" w:hAnsi="Verdana"/>
          <w:sz w:val="16"/>
          <w:szCs w:val="16"/>
          <w:lang w:val="es-MX"/>
        </w:rPr>
        <w:t>el que</w:t>
      </w:r>
      <w:r w:rsidRPr="00EF28AC">
        <w:rPr>
          <w:rFonts w:ascii="Verdana" w:hAnsi="Verdana"/>
          <w:sz w:val="16"/>
          <w:szCs w:val="16"/>
          <w:lang w:val="es-MX"/>
        </w:rPr>
        <w:t xml:space="preserve"> se da trámite al “Recurso de Apelación interpuesto en las Notificaciones de la sentencia de fecha cuatro de octubre del año en curso, por los procesados ROBERTO GIRÓN, único apellido y PEDRO CASTILLO MENDOZA, y por los defensores [LCC] Y </w:t>
      </w:r>
      <w:r>
        <w:rPr>
          <w:rFonts w:ascii="Verdana" w:hAnsi="Verdana"/>
          <w:sz w:val="16"/>
          <w:szCs w:val="16"/>
          <w:lang w:val="es-CR"/>
        </w:rPr>
        <w:t>Edy Iván Bocanegra Conde</w:t>
      </w:r>
      <w:r w:rsidRPr="00EF28AC">
        <w:rPr>
          <w:rFonts w:ascii="Verdana" w:hAnsi="Verdana"/>
          <w:sz w:val="16"/>
          <w:szCs w:val="16"/>
          <w:lang w:val="es-MX"/>
        </w:rPr>
        <w:t>, […]” (expediente de prueba para mejor resolver presentada por l</w:t>
      </w:r>
      <w:r>
        <w:rPr>
          <w:rFonts w:ascii="Verdana" w:hAnsi="Verdana"/>
          <w:sz w:val="16"/>
          <w:szCs w:val="16"/>
          <w:lang w:val="es-MX"/>
        </w:rPr>
        <w:t>a</w:t>
      </w:r>
      <w:r w:rsidRPr="00EF28AC">
        <w:rPr>
          <w:rFonts w:ascii="Verdana" w:hAnsi="Verdana"/>
          <w:sz w:val="16"/>
          <w:szCs w:val="16"/>
          <w:lang w:val="es-MX"/>
        </w:rPr>
        <w:t>s representantes</w:t>
      </w:r>
      <w:r w:rsidRPr="0083163B">
        <w:rPr>
          <w:rFonts w:ascii="Verdana" w:hAnsi="Verdana"/>
          <w:sz w:val="16"/>
          <w:szCs w:val="16"/>
          <w:lang w:val="es-MX"/>
        </w:rPr>
        <w:t>, f. 3121).</w:t>
      </w:r>
    </w:p>
  </w:footnote>
  <w:footnote w:id="110">
    <w:p w:rsidR="001C18DD" w:rsidRPr="00D34F4A" w:rsidRDefault="001C18DD" w:rsidP="00A326C2">
      <w:pPr>
        <w:pStyle w:val="Textonotapie"/>
        <w:jc w:val="both"/>
        <w:rPr>
          <w:lang w:val="es-MX"/>
        </w:rPr>
      </w:pPr>
      <w:r w:rsidRPr="00EF28AC">
        <w:rPr>
          <w:rStyle w:val="Refdenotaalpie"/>
          <w:rFonts w:ascii="Verdana" w:hAnsi="Verdana"/>
          <w:sz w:val="16"/>
          <w:szCs w:val="16"/>
        </w:rPr>
        <w:footnoteRef/>
      </w:r>
      <w:r w:rsidRPr="00EF28AC">
        <w:rPr>
          <w:rFonts w:ascii="Verdana" w:hAnsi="Verdana"/>
          <w:sz w:val="16"/>
          <w:szCs w:val="16"/>
          <w:lang w:val="es-MX"/>
        </w:rPr>
        <w:t xml:space="preserve"> </w:t>
      </w:r>
      <w:r w:rsidRPr="00EF28AC">
        <w:rPr>
          <w:rFonts w:ascii="Verdana" w:hAnsi="Verdana"/>
          <w:sz w:val="16"/>
          <w:szCs w:val="16"/>
          <w:lang w:val="es-MX"/>
        </w:rPr>
        <w:tab/>
      </w:r>
      <w:r w:rsidRPr="00EF28AC">
        <w:rPr>
          <w:rFonts w:ascii="Verdana" w:hAnsi="Verdana"/>
          <w:sz w:val="16"/>
          <w:szCs w:val="16"/>
          <w:lang w:val="es-MX"/>
        </w:rPr>
        <w:t xml:space="preserve">“Artículo 730.- Por virtud de apelación o de consulta, el tribunal de segunda instancia analizará integralmente el fallo de primer grado, así favorezca o perjudique a quien haya interpuesto el recurso o a los otros sujetos </w:t>
      </w:r>
      <w:r w:rsidRPr="00FF4873">
        <w:rPr>
          <w:rFonts w:ascii="Verdana" w:hAnsi="Verdana"/>
          <w:sz w:val="16"/>
          <w:szCs w:val="16"/>
          <w:lang w:val="es-MX"/>
        </w:rPr>
        <w:t xml:space="preserve">procesales”. Código Procesal Penal, agosto de 1973, </w:t>
      </w:r>
      <w:r w:rsidRPr="00FF4873">
        <w:rPr>
          <w:rFonts w:ascii="Verdana" w:hAnsi="Verdana"/>
          <w:i/>
          <w:sz w:val="16"/>
          <w:szCs w:val="16"/>
          <w:lang w:val="es-MX"/>
        </w:rPr>
        <w:t>supra</w:t>
      </w:r>
      <w:r w:rsidRPr="00FF4873">
        <w:rPr>
          <w:rFonts w:ascii="Verdana" w:hAnsi="Verdana"/>
          <w:sz w:val="16"/>
          <w:szCs w:val="16"/>
          <w:lang w:val="es-MX"/>
        </w:rPr>
        <w:t>.</w:t>
      </w:r>
    </w:p>
  </w:footnote>
  <w:footnote w:id="111">
    <w:p w:rsidR="001C18DD" w:rsidRPr="005E3804" w:rsidRDefault="001C18DD" w:rsidP="00A326C2">
      <w:pPr>
        <w:pStyle w:val="Textonotapie"/>
        <w:jc w:val="both"/>
        <w:rPr>
          <w:lang w:val="es-CR"/>
        </w:rPr>
      </w:pPr>
      <w:r>
        <w:rPr>
          <w:rStyle w:val="Refdenotaalpie"/>
        </w:rPr>
        <w:footnoteRef/>
      </w:r>
      <w:r w:rsidRPr="005E3804">
        <w:rPr>
          <w:lang w:val="es-CR"/>
        </w:rPr>
        <w:t xml:space="preserve"> </w:t>
      </w:r>
      <w:r>
        <w:rPr>
          <w:lang w:val="es-CR"/>
        </w:rPr>
        <w:tab/>
      </w:r>
      <w:r w:rsidRPr="008E4C70">
        <w:rPr>
          <w:rFonts w:ascii="Verdana" w:hAnsi="Verdana"/>
          <w:sz w:val="16"/>
          <w:szCs w:val="16"/>
          <w:lang w:val="es-CR"/>
        </w:rPr>
        <w:t>El citado artículo 621 establece:</w:t>
      </w:r>
      <w:r>
        <w:rPr>
          <w:rFonts w:ascii="Verdana" w:hAnsi="Verdana"/>
          <w:sz w:val="16"/>
          <w:szCs w:val="16"/>
          <w:lang w:val="es-CR"/>
        </w:rPr>
        <w:t xml:space="preserve"> “</w:t>
      </w:r>
      <w:r w:rsidRPr="008E4C70">
        <w:rPr>
          <w:rFonts w:ascii="Verdana" w:hAnsi="Verdana"/>
          <w:sz w:val="16"/>
          <w:szCs w:val="16"/>
          <w:lang w:val="es-CR"/>
        </w:rPr>
        <w:t xml:space="preserve">En el mismo auto de apertura de juicio, mandará el juez que se pongan los autos a la vista de los sujetos procesales por cinco días comunes, para que se impongan de lo actuado y puedan alegar en definitiva o pedir apertura a prueba. Si alegaren en definitiva y no pidieren expresamente el señalamiento de día y hora para </w:t>
      </w:r>
      <w:r w:rsidRPr="00FF4873">
        <w:rPr>
          <w:rFonts w:ascii="Verdana" w:hAnsi="Verdana"/>
          <w:sz w:val="16"/>
          <w:szCs w:val="16"/>
          <w:lang w:val="es-CR"/>
        </w:rPr>
        <w:t xml:space="preserve">la vista, o pasare el término de cinco días sin que lo hicieren, el juez pondrá el proceso a la vista y dictará sentencia. </w:t>
      </w:r>
      <w:r w:rsidRPr="00FF4873">
        <w:rPr>
          <w:rFonts w:ascii="Verdana" w:hAnsi="Verdana"/>
          <w:i/>
          <w:sz w:val="16"/>
          <w:szCs w:val="16"/>
          <w:lang w:val="es-CR"/>
        </w:rPr>
        <w:t>Cfr.</w:t>
      </w:r>
      <w:r w:rsidRPr="00FF4873">
        <w:rPr>
          <w:rFonts w:ascii="Verdana" w:hAnsi="Verdana"/>
          <w:sz w:val="16"/>
          <w:szCs w:val="16"/>
          <w:lang w:val="es-CR"/>
        </w:rPr>
        <w:t xml:space="preserve"> Código Procesal Penal”, </w:t>
      </w:r>
      <w:r w:rsidRPr="00FF4873">
        <w:rPr>
          <w:rFonts w:ascii="Verdana" w:hAnsi="Verdana"/>
          <w:i/>
          <w:sz w:val="16"/>
          <w:szCs w:val="16"/>
          <w:lang w:val="es-CR"/>
        </w:rPr>
        <w:t>supra</w:t>
      </w:r>
      <w:r w:rsidRPr="00FF4873">
        <w:rPr>
          <w:rFonts w:ascii="Verdana" w:hAnsi="Verdana"/>
          <w:sz w:val="16"/>
          <w:szCs w:val="16"/>
          <w:lang w:val="es-CR"/>
        </w:rPr>
        <w:t xml:space="preserve">. </w:t>
      </w:r>
    </w:p>
  </w:footnote>
  <w:footnote w:id="112">
    <w:p w:rsidR="001C18DD" w:rsidRPr="005E3804" w:rsidRDefault="001C18DD" w:rsidP="00A326C2">
      <w:pPr>
        <w:pStyle w:val="Normal1"/>
        <w:widowControl/>
        <w:tabs>
          <w:tab w:val="left" w:pos="0"/>
        </w:tabs>
        <w:contextualSpacing/>
        <w:jc w:val="both"/>
        <w:rPr>
          <w:rFonts w:ascii="Verdana" w:eastAsia="Verdana" w:hAnsi="Verdana" w:cs="Verdana"/>
        </w:rPr>
      </w:pPr>
      <w:r w:rsidRPr="005E3804">
        <w:rPr>
          <w:rStyle w:val="Refdenotaalpie"/>
          <w:rFonts w:ascii="Verdana" w:hAnsi="Verdana"/>
          <w:sz w:val="16"/>
          <w:szCs w:val="16"/>
        </w:rPr>
        <w:footnoteRef/>
      </w:r>
      <w:r w:rsidRPr="005E3804">
        <w:rPr>
          <w:rFonts w:ascii="Verdana" w:hAnsi="Verdana"/>
          <w:sz w:val="16"/>
          <w:szCs w:val="16"/>
        </w:rPr>
        <w:t xml:space="preserve"> </w:t>
      </w:r>
      <w:r>
        <w:rPr>
          <w:rFonts w:ascii="Verdana" w:hAnsi="Verdana"/>
          <w:sz w:val="16"/>
          <w:szCs w:val="16"/>
        </w:rPr>
        <w:tab/>
      </w:r>
      <w:r w:rsidRPr="005E3804">
        <w:rPr>
          <w:rFonts w:ascii="Verdana" w:eastAsia="Verdana" w:hAnsi="Verdana" w:cs="Verdana"/>
          <w:sz w:val="16"/>
          <w:szCs w:val="16"/>
        </w:rPr>
        <w:t xml:space="preserve">Durante la etapa de instrucción o sumario el juez debería ser quien dirigiera la investigación, mientras </w:t>
      </w:r>
      <w:r>
        <w:rPr>
          <w:rFonts w:ascii="Verdana" w:eastAsia="Verdana" w:hAnsi="Verdana" w:cs="Verdana"/>
          <w:sz w:val="16"/>
          <w:szCs w:val="16"/>
        </w:rPr>
        <w:t>q</w:t>
      </w:r>
      <w:r w:rsidRPr="005E3804">
        <w:rPr>
          <w:rFonts w:ascii="Verdana" w:eastAsia="Verdana" w:hAnsi="Verdana" w:cs="Verdana"/>
          <w:sz w:val="16"/>
          <w:szCs w:val="16"/>
        </w:rPr>
        <w:t>ue las partes sólo podrían promover las pruebas que el juez debía practicar, si las considerara pertinentes y útiles</w:t>
      </w:r>
      <w:r>
        <w:rPr>
          <w:rFonts w:ascii="Verdana" w:eastAsia="Verdana" w:hAnsi="Verdana" w:cs="Verdana"/>
          <w:sz w:val="16"/>
          <w:szCs w:val="16"/>
        </w:rPr>
        <w:t xml:space="preserve">. </w:t>
      </w:r>
    </w:p>
  </w:footnote>
  <w:footnote w:id="113">
    <w:p w:rsidR="001C18DD" w:rsidRPr="00EB146B" w:rsidRDefault="001C18DD" w:rsidP="00A326C2">
      <w:pPr>
        <w:pStyle w:val="Normal1"/>
        <w:widowControl/>
        <w:tabs>
          <w:tab w:val="left" w:pos="0"/>
        </w:tabs>
        <w:contextualSpacing/>
        <w:jc w:val="both"/>
        <w:rPr>
          <w:rFonts w:ascii="Verdana" w:eastAsia="Verdana" w:hAnsi="Verdana" w:cs="Verdana"/>
          <w:sz w:val="20"/>
          <w:szCs w:val="20"/>
        </w:rPr>
      </w:pPr>
      <w:r w:rsidRPr="00E23997">
        <w:rPr>
          <w:rStyle w:val="Refdenotaalpie"/>
          <w:rFonts w:ascii="Verdana" w:hAnsi="Verdana"/>
          <w:sz w:val="16"/>
          <w:szCs w:val="16"/>
        </w:rPr>
        <w:footnoteRef/>
      </w:r>
      <w:r w:rsidRPr="00E23997">
        <w:rPr>
          <w:rFonts w:ascii="Verdana" w:hAnsi="Verdana"/>
          <w:sz w:val="16"/>
          <w:szCs w:val="16"/>
        </w:rPr>
        <w:t xml:space="preserve"> </w:t>
      </w:r>
      <w:r>
        <w:rPr>
          <w:rFonts w:ascii="Verdana" w:hAnsi="Verdana"/>
          <w:sz w:val="16"/>
          <w:szCs w:val="16"/>
        </w:rPr>
        <w:tab/>
      </w:r>
      <w:r w:rsidRPr="00E23997">
        <w:rPr>
          <w:rFonts w:ascii="Verdana" w:eastAsia="Verdana" w:hAnsi="Verdana" w:cs="Verdana"/>
          <w:sz w:val="16"/>
          <w:szCs w:val="16"/>
        </w:rPr>
        <w:t>Durante la etapa de juicio o plenario, el Código contemplaba un debate público, continuo y contradictorio a través de la inmediación procesal.</w:t>
      </w:r>
      <w:r>
        <w:rPr>
          <w:rFonts w:ascii="Verdana" w:eastAsia="Verdana" w:hAnsi="Verdana" w:cs="Verdana"/>
          <w:sz w:val="16"/>
          <w:szCs w:val="16"/>
        </w:rPr>
        <w:t xml:space="preserve"> </w:t>
      </w:r>
      <w:r w:rsidRPr="001B42BF">
        <w:rPr>
          <w:rFonts w:ascii="Verdana" w:eastAsia="Verdana" w:hAnsi="Verdana" w:cs="Verdana"/>
          <w:b/>
          <w:sz w:val="20"/>
          <w:szCs w:val="20"/>
        </w:rPr>
        <w:t xml:space="preserve"> </w:t>
      </w:r>
    </w:p>
  </w:footnote>
  <w:footnote w:id="114">
    <w:p w:rsidR="001C18DD" w:rsidRPr="008E4C70" w:rsidRDefault="001C18DD" w:rsidP="00A326C2">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 xml:space="preserve">Cfr. </w:t>
      </w:r>
      <w:r w:rsidRPr="008E4C70">
        <w:rPr>
          <w:rFonts w:ascii="Verdana" w:hAnsi="Verdana"/>
          <w:i/>
          <w:sz w:val="16"/>
          <w:szCs w:val="16"/>
          <w:lang w:val="es-CR"/>
        </w:rPr>
        <w:t>Caso Palamara Iribarne Vs. Chile</w:t>
      </w:r>
      <w:r>
        <w:rPr>
          <w:rFonts w:ascii="Verdana" w:hAnsi="Verdana"/>
          <w:i/>
          <w:sz w:val="16"/>
          <w:szCs w:val="16"/>
          <w:lang w:val="es-CR"/>
        </w:rPr>
        <w:t>, supra</w:t>
      </w:r>
      <w:r w:rsidRPr="008E4C70">
        <w:rPr>
          <w:rFonts w:ascii="Verdana" w:hAnsi="Verdana"/>
          <w:sz w:val="16"/>
          <w:szCs w:val="16"/>
          <w:lang w:val="es-CR"/>
        </w:rPr>
        <w:t xml:space="preserve">, párr. 166. </w:t>
      </w:r>
    </w:p>
  </w:footnote>
  <w:footnote w:id="115">
    <w:p w:rsidR="001C18DD" w:rsidRPr="008E4C70" w:rsidRDefault="001C18DD" w:rsidP="00A326C2">
      <w:pPr>
        <w:pStyle w:val="Textonotapie"/>
        <w:jc w:val="both"/>
        <w:rPr>
          <w:rFonts w:ascii="Verdana" w:hAnsi="Verdana"/>
          <w:sz w:val="16"/>
          <w:szCs w:val="16"/>
          <w:lang w:val="es-CR"/>
        </w:rPr>
      </w:pPr>
      <w:r w:rsidRPr="008E4C70">
        <w:rPr>
          <w:rStyle w:val="Refdenotaalpie"/>
          <w:rFonts w:ascii="Verdana" w:hAnsi="Verdana"/>
          <w:sz w:val="16"/>
          <w:szCs w:val="16"/>
        </w:rPr>
        <w:footnoteRef/>
      </w:r>
      <w:r w:rsidRPr="008E4C70">
        <w:rPr>
          <w:rFonts w:ascii="Verdana" w:hAnsi="Verdana"/>
          <w:sz w:val="16"/>
          <w:szCs w:val="16"/>
          <w:lang w:val="es-CR"/>
        </w:rPr>
        <w:t xml:space="preserve"> </w:t>
      </w:r>
      <w:r w:rsidRPr="008E4C70">
        <w:rPr>
          <w:rFonts w:ascii="Verdana" w:hAnsi="Verdana"/>
          <w:sz w:val="16"/>
          <w:szCs w:val="16"/>
          <w:lang w:val="es-CR"/>
        </w:rPr>
        <w:tab/>
      </w:r>
      <w:r w:rsidRPr="008E4C70">
        <w:rPr>
          <w:rFonts w:ascii="Verdana" w:hAnsi="Verdana"/>
          <w:i/>
          <w:sz w:val="16"/>
          <w:szCs w:val="16"/>
          <w:lang w:val="es-CR"/>
        </w:rPr>
        <w:t>Cfr. Caso Palamara Iribarne Vs. Chile</w:t>
      </w:r>
      <w:r>
        <w:rPr>
          <w:rFonts w:ascii="Verdana" w:hAnsi="Verdana"/>
          <w:i/>
          <w:sz w:val="16"/>
          <w:szCs w:val="16"/>
          <w:lang w:val="es-CR"/>
        </w:rPr>
        <w:t>, supra</w:t>
      </w:r>
      <w:r w:rsidRPr="008E4C70">
        <w:rPr>
          <w:rFonts w:ascii="Verdana" w:hAnsi="Verdana"/>
          <w:sz w:val="16"/>
          <w:szCs w:val="16"/>
          <w:lang w:val="es-CR"/>
        </w:rPr>
        <w:t>, párr. 168</w:t>
      </w:r>
      <w:r>
        <w:rPr>
          <w:rFonts w:ascii="Verdana" w:hAnsi="Verdana"/>
          <w:sz w:val="16"/>
          <w:szCs w:val="16"/>
          <w:lang w:val="es-CR"/>
        </w:rPr>
        <w:t xml:space="preserve">, y </w:t>
      </w:r>
      <w:r w:rsidRPr="003A687A">
        <w:rPr>
          <w:rFonts w:ascii="Verdana" w:hAnsi="Verdana"/>
          <w:i/>
          <w:sz w:val="16"/>
          <w:szCs w:val="16"/>
          <w:lang w:val="es-CR"/>
        </w:rPr>
        <w:t>Caso J. Vs. Perú. Excepción Preliminar, Fondo, Reparaciones y Costas.</w:t>
      </w:r>
      <w:r w:rsidRPr="00B85D85">
        <w:rPr>
          <w:rFonts w:ascii="Verdana" w:hAnsi="Verdana"/>
          <w:sz w:val="16"/>
          <w:szCs w:val="16"/>
          <w:lang w:val="es-CR"/>
        </w:rPr>
        <w:t xml:space="preserve"> Sentencia de 27 de noviembre de 2013. Serie C No. 275</w:t>
      </w:r>
      <w:r>
        <w:rPr>
          <w:rFonts w:ascii="Verdana" w:hAnsi="Verdana"/>
          <w:sz w:val="16"/>
          <w:szCs w:val="16"/>
          <w:lang w:val="es-CR"/>
        </w:rPr>
        <w:t>, párr. 217.</w:t>
      </w:r>
    </w:p>
  </w:footnote>
  <w:footnote w:id="116">
    <w:p w:rsidR="001C18DD" w:rsidRPr="008E4C70" w:rsidRDefault="001C18DD" w:rsidP="00A326C2">
      <w:pPr>
        <w:pStyle w:val="Normal1"/>
        <w:widowControl/>
        <w:contextualSpacing/>
        <w:jc w:val="both"/>
        <w:rPr>
          <w:rFonts w:ascii="Verdana" w:hAnsi="Verdana"/>
          <w:sz w:val="16"/>
          <w:szCs w:val="16"/>
        </w:rPr>
      </w:pPr>
      <w:r w:rsidRPr="008E4C70">
        <w:rPr>
          <w:rStyle w:val="Refdenotaalpie"/>
          <w:rFonts w:ascii="Verdana" w:hAnsi="Verdana"/>
          <w:sz w:val="16"/>
          <w:szCs w:val="16"/>
        </w:rPr>
        <w:footnoteRef/>
      </w:r>
      <w:r w:rsidRPr="008E4C70">
        <w:rPr>
          <w:rFonts w:ascii="Verdana" w:hAnsi="Verdana"/>
          <w:sz w:val="16"/>
          <w:szCs w:val="16"/>
        </w:rPr>
        <w:t xml:space="preserve"> </w:t>
      </w:r>
      <w:r w:rsidRPr="008E4C70">
        <w:rPr>
          <w:rFonts w:ascii="Verdana" w:hAnsi="Verdana"/>
          <w:sz w:val="16"/>
          <w:szCs w:val="16"/>
        </w:rPr>
        <w:tab/>
      </w:r>
      <w:r w:rsidRPr="008E4C70">
        <w:rPr>
          <w:rFonts w:ascii="Verdana" w:hAnsi="Verdana"/>
          <w:sz w:val="16"/>
          <w:szCs w:val="16"/>
        </w:rPr>
        <w:t xml:space="preserve">El citado artículo 14 establece: </w:t>
      </w:r>
    </w:p>
    <w:p w:rsidR="001C18DD" w:rsidRPr="00CC3F43" w:rsidRDefault="001C18DD" w:rsidP="00A326C2">
      <w:pPr>
        <w:pStyle w:val="Normal1"/>
        <w:widowControl/>
        <w:contextualSpacing/>
        <w:jc w:val="both"/>
        <w:rPr>
          <w:rFonts w:ascii="Verdana" w:eastAsia="Verdana" w:hAnsi="Verdana" w:cs="Verdana"/>
          <w:color w:val="000000"/>
          <w:sz w:val="16"/>
          <w:szCs w:val="16"/>
        </w:rPr>
      </w:pPr>
      <w:r w:rsidRPr="008E4C70">
        <w:rPr>
          <w:rFonts w:ascii="Verdana" w:eastAsia="Verdana" w:hAnsi="Verdana" w:cs="Verdana"/>
          <w:color w:val="000000"/>
          <w:sz w:val="16"/>
          <w:szCs w:val="16"/>
        </w:rPr>
        <w:t>El período de investigación o de instrucción, hasta el auto de apertura del juicio, exclusive, es reservado y secreto en la</w:t>
      </w:r>
      <w:r>
        <w:rPr>
          <w:rFonts w:ascii="Verdana" w:eastAsia="Verdana" w:hAnsi="Verdana" w:cs="Verdana"/>
          <w:color w:val="000000"/>
          <w:sz w:val="16"/>
          <w:szCs w:val="16"/>
        </w:rPr>
        <w:t xml:space="preserve"> forma que señala este Código. </w:t>
      </w:r>
      <w:r w:rsidRPr="008E4C70">
        <w:rPr>
          <w:rFonts w:ascii="Verdana" w:eastAsia="Verdana" w:hAnsi="Verdana" w:cs="Verdana"/>
          <w:color w:val="000000"/>
          <w:sz w:val="16"/>
          <w:szCs w:val="16"/>
        </w:rPr>
        <w:t xml:space="preserve">Las actuaciones de la cuerda pública, son públicas, pudiendo los interesados en obtener los informes, constancias, copias o certificaciones que solicitaren, excepto que se trate de asuntos diplomáticos o militares, de datos suministrados por particulares bajo garantía de confidencia o de diligencias que por su propia y especial naturaleza exijan reserva. El juez se pronunciará, sobre estos extremos, bajo su responsabilidad. </w:t>
      </w:r>
      <w:r w:rsidRPr="00FF4873">
        <w:rPr>
          <w:rFonts w:ascii="Verdana" w:hAnsi="Verdana"/>
          <w:i/>
          <w:sz w:val="16"/>
          <w:szCs w:val="16"/>
        </w:rPr>
        <w:t>Cfr.</w:t>
      </w:r>
      <w:r w:rsidRPr="00FF4873">
        <w:rPr>
          <w:rFonts w:ascii="Verdana" w:hAnsi="Verdana"/>
          <w:sz w:val="16"/>
          <w:szCs w:val="16"/>
        </w:rPr>
        <w:t xml:space="preserve"> Código Procesal Penal, </w:t>
      </w:r>
      <w:r w:rsidRPr="00FF4873">
        <w:rPr>
          <w:rFonts w:ascii="Verdana" w:hAnsi="Verdana"/>
          <w:i/>
          <w:sz w:val="16"/>
          <w:szCs w:val="16"/>
        </w:rPr>
        <w:t>supra</w:t>
      </w:r>
      <w:r w:rsidRPr="00FF4873">
        <w:rPr>
          <w:rFonts w:ascii="Verdana" w:hAnsi="Verdana"/>
          <w:sz w:val="16"/>
          <w:szCs w:val="16"/>
        </w:rPr>
        <w:t>.</w:t>
      </w:r>
    </w:p>
  </w:footnote>
  <w:footnote w:id="117">
    <w:p w:rsidR="001C18DD" w:rsidRPr="008E4C70" w:rsidRDefault="001C18DD">
      <w:pPr>
        <w:pStyle w:val="Textonotapie"/>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03C99">
        <w:rPr>
          <w:rFonts w:ascii="Verdana" w:hAnsi="Verdana"/>
          <w:i/>
          <w:sz w:val="16"/>
          <w:szCs w:val="16"/>
          <w:lang w:val="es-PE"/>
        </w:rPr>
        <w:t>Cfr. Caso Velásquez Rodríguez Vs. Honduras. Reparaciones y Costas</w:t>
      </w:r>
      <w:r w:rsidRPr="008E4C70">
        <w:rPr>
          <w:rFonts w:ascii="Verdana" w:hAnsi="Verdana"/>
          <w:sz w:val="16"/>
          <w:szCs w:val="16"/>
          <w:lang w:val="es-PE"/>
        </w:rPr>
        <w:t xml:space="preserve">. Sentencia de 21 de julio de 1989. Serie C No. 7, párr. 25, y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párr.</w:t>
      </w:r>
      <w:r>
        <w:rPr>
          <w:rStyle w:val="Textoennegrita"/>
          <w:rFonts w:ascii="Verdana" w:hAnsi="Verdana"/>
          <w:b w:val="0"/>
          <w:color w:val="000000"/>
          <w:sz w:val="16"/>
          <w:szCs w:val="16"/>
          <w:shd w:val="clear" w:color="auto" w:fill="FFFFFF"/>
          <w:lang w:val="es-CR"/>
        </w:rPr>
        <w:t xml:space="preserve"> 59</w:t>
      </w:r>
      <w:r w:rsidRPr="008E4C70">
        <w:rPr>
          <w:rFonts w:ascii="Verdana" w:hAnsi="Verdana"/>
          <w:sz w:val="16"/>
          <w:szCs w:val="16"/>
          <w:lang w:val="es-PE"/>
        </w:rPr>
        <w:t>.</w:t>
      </w:r>
    </w:p>
  </w:footnote>
  <w:footnote w:id="118">
    <w:p w:rsidR="001C18DD" w:rsidRPr="008E4C70" w:rsidRDefault="001C18DD">
      <w:pPr>
        <w:pStyle w:val="Textonotapie"/>
        <w:jc w:val="both"/>
        <w:rPr>
          <w:rFonts w:ascii="Verdana" w:hAnsi="Verdana"/>
          <w:sz w:val="16"/>
          <w:szCs w:val="16"/>
          <w:lang w:val="es-PE"/>
        </w:rPr>
      </w:pPr>
      <w:r w:rsidRPr="00CC3F43">
        <w:rPr>
          <w:rStyle w:val="Refdenotaalpie"/>
          <w:rFonts w:ascii="Verdana" w:hAnsi="Verdana"/>
          <w:sz w:val="16"/>
          <w:szCs w:val="16"/>
        </w:rPr>
        <w:footnoteRef/>
      </w:r>
      <w:r w:rsidRPr="00CC3F43">
        <w:rPr>
          <w:rFonts w:ascii="Verdana" w:hAnsi="Verdana"/>
          <w:sz w:val="16"/>
          <w:szCs w:val="16"/>
          <w:lang w:val="es-PE"/>
        </w:rPr>
        <w:t xml:space="preserve"> </w:t>
      </w:r>
      <w:r w:rsidRPr="008E4C70">
        <w:rPr>
          <w:rFonts w:ascii="Verdana" w:hAnsi="Verdana"/>
          <w:i/>
          <w:sz w:val="16"/>
          <w:szCs w:val="16"/>
          <w:lang w:val="es-PE"/>
        </w:rPr>
        <w:t xml:space="preserve">       </w:t>
      </w:r>
      <w:r w:rsidRPr="008E4C70">
        <w:rPr>
          <w:rFonts w:ascii="Verdana" w:hAnsi="Verdana"/>
          <w:i/>
          <w:sz w:val="16"/>
          <w:szCs w:val="16"/>
          <w:lang w:val="es-PE"/>
        </w:rPr>
        <w:t>Cfr. Caso Velásquez Rodríguez Vs. Honduras. Reparaciones y Costas</w:t>
      </w:r>
      <w:r w:rsidRPr="008E4C70">
        <w:rPr>
          <w:rFonts w:ascii="Verdana" w:hAnsi="Verdana"/>
          <w:sz w:val="16"/>
          <w:szCs w:val="16"/>
          <w:lang w:val="es-PE"/>
        </w:rPr>
        <w:t xml:space="preserve">, </w:t>
      </w:r>
      <w:r w:rsidRPr="003A687A">
        <w:rPr>
          <w:rFonts w:ascii="Verdana" w:hAnsi="Verdana"/>
          <w:i/>
          <w:sz w:val="16"/>
          <w:szCs w:val="16"/>
          <w:lang w:val="es-PE"/>
        </w:rPr>
        <w:t>supra</w:t>
      </w:r>
      <w:r>
        <w:rPr>
          <w:rFonts w:ascii="Verdana" w:hAnsi="Verdana"/>
          <w:sz w:val="16"/>
          <w:szCs w:val="16"/>
          <w:lang w:val="es-PE"/>
        </w:rPr>
        <w:t>,</w:t>
      </w:r>
      <w:r w:rsidRPr="008E4C70">
        <w:rPr>
          <w:rFonts w:ascii="Verdana" w:hAnsi="Verdana"/>
          <w:sz w:val="16"/>
          <w:szCs w:val="16"/>
          <w:lang w:val="es-PE"/>
        </w:rPr>
        <w:t xml:space="preserve"> párr. 26, y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párr.</w:t>
      </w:r>
      <w:r>
        <w:rPr>
          <w:rStyle w:val="Textoennegrita"/>
          <w:rFonts w:ascii="Verdana" w:hAnsi="Verdana"/>
          <w:b w:val="0"/>
          <w:color w:val="000000"/>
          <w:sz w:val="16"/>
          <w:szCs w:val="16"/>
          <w:shd w:val="clear" w:color="auto" w:fill="FFFFFF"/>
          <w:lang w:val="es-CR"/>
        </w:rPr>
        <w:t xml:space="preserve"> 60</w:t>
      </w:r>
      <w:r w:rsidRPr="008E4C70">
        <w:rPr>
          <w:rFonts w:ascii="Verdana" w:hAnsi="Verdana"/>
          <w:sz w:val="16"/>
          <w:szCs w:val="16"/>
          <w:lang w:val="es-PE"/>
        </w:rPr>
        <w:t>.</w:t>
      </w:r>
    </w:p>
  </w:footnote>
  <w:footnote w:id="119">
    <w:p w:rsidR="001C18DD" w:rsidRPr="008E4C70" w:rsidRDefault="001C18DD">
      <w:pPr>
        <w:pStyle w:val="Textonotapie"/>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E4C70">
        <w:rPr>
          <w:rFonts w:ascii="Verdana" w:hAnsi="Verdana"/>
          <w:i/>
          <w:sz w:val="16"/>
          <w:szCs w:val="16"/>
          <w:lang w:val="es-PE"/>
        </w:rPr>
        <w:t>Cfr. Caso Velásquez Rodríguez Vs. Honduras. Reparaciones y Costas</w:t>
      </w:r>
      <w:r w:rsidRPr="008E4C70">
        <w:rPr>
          <w:rFonts w:ascii="Verdana" w:hAnsi="Verdana"/>
          <w:sz w:val="16"/>
          <w:szCs w:val="16"/>
          <w:lang w:val="es-PE"/>
        </w:rPr>
        <w:t xml:space="preserve">, </w:t>
      </w:r>
      <w:r w:rsidRPr="003A687A">
        <w:rPr>
          <w:rFonts w:ascii="Verdana" w:hAnsi="Verdana"/>
          <w:i/>
          <w:sz w:val="16"/>
          <w:szCs w:val="16"/>
          <w:lang w:val="es-PE"/>
        </w:rPr>
        <w:t>supra</w:t>
      </w:r>
      <w:r>
        <w:rPr>
          <w:rFonts w:ascii="Verdana" w:hAnsi="Verdana"/>
          <w:sz w:val="16"/>
          <w:szCs w:val="16"/>
          <w:lang w:val="es-PE"/>
        </w:rPr>
        <w:t>,</w:t>
      </w:r>
      <w:r w:rsidRPr="008E4C70">
        <w:rPr>
          <w:rFonts w:ascii="Verdana" w:hAnsi="Verdana"/>
          <w:sz w:val="16"/>
          <w:szCs w:val="16"/>
          <w:lang w:val="es-PE"/>
        </w:rPr>
        <w:t xml:space="preserve"> párr. 26, </w:t>
      </w:r>
      <w:r>
        <w:rPr>
          <w:rFonts w:ascii="Verdana" w:hAnsi="Verdana"/>
          <w:sz w:val="16"/>
          <w:szCs w:val="16"/>
          <w:lang w:val="es-PE"/>
        </w:rPr>
        <w:t xml:space="preserve">y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párr.</w:t>
      </w:r>
      <w:r>
        <w:rPr>
          <w:rStyle w:val="Textoennegrita"/>
          <w:rFonts w:ascii="Verdana" w:hAnsi="Verdana"/>
          <w:b w:val="0"/>
          <w:color w:val="000000"/>
          <w:sz w:val="16"/>
          <w:szCs w:val="16"/>
          <w:shd w:val="clear" w:color="auto" w:fill="FFFFFF"/>
          <w:lang w:val="es-CR"/>
        </w:rPr>
        <w:t xml:space="preserve"> 60.</w:t>
      </w:r>
    </w:p>
  </w:footnote>
  <w:footnote w:id="120">
    <w:p w:rsidR="001C18DD" w:rsidRPr="00DD35C2" w:rsidRDefault="001C18DD" w:rsidP="00DD35C2">
      <w:pPr>
        <w:pStyle w:val="Textonotapie"/>
        <w:jc w:val="both"/>
        <w:rPr>
          <w:rFonts w:ascii="Verdana" w:hAnsi="Verdana"/>
          <w:i/>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E4C70">
        <w:rPr>
          <w:rFonts w:ascii="Verdana" w:hAnsi="Verdana"/>
          <w:i/>
          <w:sz w:val="16"/>
          <w:szCs w:val="16"/>
          <w:lang w:val="es-PE"/>
        </w:rPr>
        <w:t>Cfr</w:t>
      </w:r>
      <w:r>
        <w:rPr>
          <w:rFonts w:ascii="Verdana" w:hAnsi="Verdana"/>
          <w:i/>
          <w:sz w:val="16"/>
          <w:szCs w:val="16"/>
          <w:lang w:val="es-PE"/>
        </w:rPr>
        <w:t xml:space="preserve">. </w:t>
      </w:r>
      <w:r w:rsidRPr="00DD35C2">
        <w:rPr>
          <w:rFonts w:ascii="Verdana" w:hAnsi="Verdana"/>
          <w:i/>
          <w:sz w:val="16"/>
          <w:szCs w:val="16"/>
          <w:lang w:val="es-PE"/>
        </w:rPr>
        <w:t>Caso de la Masacre de Las Dos Erres Vs. Guatemala, Excepción Preliminar, Fondo, Reparaciones y Costas.</w:t>
      </w:r>
    </w:p>
    <w:p w:rsidR="001C18DD" w:rsidRPr="008E4C70" w:rsidRDefault="001C18DD" w:rsidP="00DD35C2">
      <w:pPr>
        <w:pStyle w:val="Textonotapie"/>
        <w:jc w:val="both"/>
        <w:rPr>
          <w:rFonts w:ascii="Verdana" w:hAnsi="Verdana"/>
          <w:sz w:val="16"/>
          <w:szCs w:val="16"/>
          <w:lang w:val="es-PE"/>
        </w:rPr>
      </w:pPr>
      <w:r w:rsidRPr="003A687A">
        <w:rPr>
          <w:rFonts w:ascii="Verdana" w:hAnsi="Verdana"/>
          <w:sz w:val="16"/>
          <w:szCs w:val="16"/>
          <w:lang w:val="es-PE"/>
        </w:rPr>
        <w:t>Sentencia de 24 de noviembre de 2009. Serie C No. 211, párr</w:t>
      </w:r>
      <w:r w:rsidRPr="00DD35C2">
        <w:rPr>
          <w:rFonts w:ascii="Verdana" w:hAnsi="Verdana"/>
          <w:i/>
          <w:sz w:val="16"/>
          <w:szCs w:val="16"/>
          <w:lang w:val="es-PE"/>
        </w:rPr>
        <w:t xml:space="preserve">. </w:t>
      </w:r>
      <w:r w:rsidRPr="003A687A">
        <w:rPr>
          <w:rFonts w:ascii="Verdana" w:hAnsi="Verdana"/>
          <w:sz w:val="16"/>
          <w:szCs w:val="16"/>
          <w:lang w:val="es-PE"/>
        </w:rPr>
        <w:t>226</w:t>
      </w:r>
      <w:r w:rsidRPr="008E4C70">
        <w:rPr>
          <w:rFonts w:ascii="Verdana" w:hAnsi="Verdana"/>
          <w:sz w:val="16"/>
          <w:szCs w:val="16"/>
          <w:lang w:val="es-PE"/>
        </w:rPr>
        <w:t xml:space="preserve">, </w:t>
      </w:r>
      <w:r>
        <w:rPr>
          <w:rFonts w:ascii="Verdana" w:hAnsi="Verdana"/>
          <w:sz w:val="16"/>
          <w:szCs w:val="16"/>
          <w:lang w:val="es-PE"/>
        </w:rPr>
        <w:t xml:space="preserve">y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párr.</w:t>
      </w:r>
      <w:r>
        <w:rPr>
          <w:rStyle w:val="Textoennegrita"/>
          <w:rFonts w:ascii="Verdana" w:hAnsi="Verdana"/>
          <w:b w:val="0"/>
          <w:color w:val="000000"/>
          <w:sz w:val="16"/>
          <w:szCs w:val="16"/>
          <w:shd w:val="clear" w:color="auto" w:fill="FFFFFF"/>
          <w:lang w:val="es-CR"/>
        </w:rPr>
        <w:t xml:space="preserve"> 60.</w:t>
      </w:r>
    </w:p>
  </w:footnote>
  <w:footnote w:id="121">
    <w:p w:rsidR="001C18DD" w:rsidRPr="008E4C70" w:rsidRDefault="001C18DD">
      <w:pPr>
        <w:pStyle w:val="Textonotapie"/>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E4C70">
        <w:rPr>
          <w:rFonts w:ascii="Verdana" w:hAnsi="Verdana"/>
          <w:i/>
          <w:sz w:val="16"/>
          <w:szCs w:val="16"/>
          <w:lang w:val="es-PE"/>
        </w:rPr>
        <w:t>Cfr. Caso Ticona Estrada y otros Vs. Bolivia. Fondo, Reparaciones y Costas</w:t>
      </w:r>
      <w:r w:rsidRPr="008E4C70">
        <w:rPr>
          <w:rFonts w:ascii="Verdana" w:hAnsi="Verdana"/>
          <w:sz w:val="16"/>
          <w:szCs w:val="16"/>
          <w:lang w:val="es-PE"/>
        </w:rPr>
        <w:t>. Sentencia de 27 de noviembre de 2008. Serie C No. 191, párr. 110,</w:t>
      </w:r>
      <w:r>
        <w:rPr>
          <w:rFonts w:ascii="Verdana" w:hAnsi="Verdana"/>
          <w:sz w:val="16"/>
          <w:szCs w:val="16"/>
          <w:lang w:val="es-PE"/>
        </w:rPr>
        <w:t xml:space="preserve"> y</w:t>
      </w:r>
      <w:r w:rsidRPr="008E4C70">
        <w:rPr>
          <w:rFonts w:ascii="Verdana" w:hAnsi="Verdana"/>
          <w:sz w:val="16"/>
          <w:szCs w:val="16"/>
          <w:lang w:val="es-PE"/>
        </w:rPr>
        <w:t xml:space="preserve">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párr.</w:t>
      </w:r>
      <w:r>
        <w:rPr>
          <w:rStyle w:val="Textoennegrita"/>
          <w:rFonts w:ascii="Verdana" w:hAnsi="Verdana"/>
          <w:b w:val="0"/>
          <w:color w:val="000000"/>
          <w:sz w:val="16"/>
          <w:szCs w:val="16"/>
          <w:shd w:val="clear" w:color="auto" w:fill="FFFFFF"/>
          <w:lang w:val="es-CR"/>
        </w:rPr>
        <w:t xml:space="preserve"> 61.</w:t>
      </w:r>
    </w:p>
  </w:footnote>
  <w:footnote w:id="122">
    <w:p w:rsidR="001C18DD" w:rsidRPr="008E4C70" w:rsidRDefault="001C18DD">
      <w:pPr>
        <w:pStyle w:val="Textonotapie"/>
        <w:jc w:val="both"/>
        <w:rPr>
          <w:rFonts w:ascii="Verdana" w:hAnsi="Verdana"/>
          <w:sz w:val="16"/>
          <w:szCs w:val="16"/>
          <w:lang w:val="es-PE"/>
        </w:rPr>
      </w:pPr>
      <w:r w:rsidRPr="003A687A">
        <w:rPr>
          <w:rStyle w:val="Refdenotaalpie"/>
          <w:rFonts w:ascii="Verdana" w:hAnsi="Verdana"/>
          <w:sz w:val="16"/>
          <w:szCs w:val="16"/>
        </w:rPr>
        <w:footnoteRef/>
      </w:r>
      <w:r w:rsidRPr="003A687A">
        <w:rPr>
          <w:rFonts w:ascii="Verdana" w:hAnsi="Verdana"/>
          <w:sz w:val="16"/>
          <w:szCs w:val="16"/>
          <w:lang w:val="es-PE"/>
        </w:rPr>
        <w:t xml:space="preserve"> </w:t>
      </w:r>
      <w:r w:rsidRPr="008E4C70">
        <w:rPr>
          <w:rFonts w:ascii="Verdana" w:hAnsi="Verdana"/>
          <w:i/>
          <w:sz w:val="16"/>
          <w:szCs w:val="16"/>
          <w:lang w:val="es-PE"/>
        </w:rPr>
        <w:t xml:space="preserve">      Cfr. Caso Andrade Salmón Vs. Bolivia. Fondo, Reparaciones y Costas</w:t>
      </w:r>
      <w:r w:rsidRPr="008E4C70">
        <w:rPr>
          <w:rFonts w:ascii="Verdana" w:hAnsi="Verdana"/>
          <w:sz w:val="16"/>
          <w:szCs w:val="16"/>
          <w:lang w:val="es-PE"/>
        </w:rPr>
        <w:t xml:space="preserve">. Sentencia de 1 de diciembre de 2016. Serie C No. 330, párr. 189, y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párr.</w:t>
      </w:r>
      <w:r>
        <w:rPr>
          <w:rStyle w:val="Textoennegrita"/>
          <w:rFonts w:ascii="Verdana" w:hAnsi="Verdana"/>
          <w:b w:val="0"/>
          <w:color w:val="000000"/>
          <w:sz w:val="16"/>
          <w:szCs w:val="16"/>
          <w:shd w:val="clear" w:color="auto" w:fill="FFFFFF"/>
          <w:lang w:val="es-CR"/>
        </w:rPr>
        <w:t xml:space="preserve"> 62.</w:t>
      </w:r>
    </w:p>
  </w:footnote>
  <w:footnote w:id="123">
    <w:p w:rsidR="001C18DD" w:rsidRPr="008E4C70" w:rsidRDefault="001C18DD">
      <w:pPr>
        <w:pStyle w:val="Textonotapie"/>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E4C70">
        <w:rPr>
          <w:rFonts w:ascii="Verdana" w:hAnsi="Verdana"/>
          <w:i/>
          <w:sz w:val="16"/>
          <w:szCs w:val="16"/>
          <w:lang w:val="es-PE"/>
        </w:rPr>
        <w:t>Cfr. Caso Neira Alegría y otros Vs. Perú. Reparaciones y Costas</w:t>
      </w:r>
      <w:r w:rsidRPr="008E4C70">
        <w:rPr>
          <w:rFonts w:ascii="Verdana" w:hAnsi="Verdana"/>
          <w:sz w:val="16"/>
          <w:szCs w:val="16"/>
          <w:lang w:val="es-PE"/>
        </w:rPr>
        <w:t xml:space="preserve">. Sentencia de 19 de septiembre de 1996. Serie C No. 29, párr. 56. y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párr.</w:t>
      </w:r>
      <w:r>
        <w:rPr>
          <w:rStyle w:val="Textoennegrita"/>
          <w:rFonts w:ascii="Verdana" w:hAnsi="Verdana"/>
          <w:b w:val="0"/>
          <w:color w:val="000000"/>
          <w:sz w:val="16"/>
          <w:szCs w:val="16"/>
          <w:shd w:val="clear" w:color="auto" w:fill="FFFFFF"/>
          <w:lang w:val="es-CR"/>
        </w:rPr>
        <w:t xml:space="preserve"> 63.</w:t>
      </w:r>
    </w:p>
  </w:footnote>
  <w:footnote w:id="124">
    <w:p w:rsidR="001C18DD" w:rsidRPr="00067C1B" w:rsidRDefault="001C18DD">
      <w:pPr>
        <w:pStyle w:val="Prrafodelista"/>
        <w:widowControl w:val="0"/>
        <w:autoSpaceDE w:val="0"/>
        <w:autoSpaceDN w:val="0"/>
        <w:adjustRightInd w:val="0"/>
        <w:spacing w:after="0" w:line="240" w:lineRule="auto"/>
        <w:ind w:left="0"/>
        <w:jc w:val="both"/>
        <w:textAlignment w:val="baseline"/>
        <w:rPr>
          <w:rFonts w:ascii="Verdana" w:hAnsi="Verdana"/>
          <w:sz w:val="16"/>
          <w:szCs w:val="16"/>
          <w:lang w:val="es-PE"/>
        </w:rPr>
      </w:pPr>
      <w:r w:rsidRPr="00067C1B">
        <w:rPr>
          <w:rStyle w:val="Refdenotaalpie"/>
          <w:rFonts w:ascii="Verdana" w:hAnsi="Verdana"/>
          <w:sz w:val="16"/>
          <w:szCs w:val="16"/>
        </w:rPr>
        <w:footnoteRef/>
      </w:r>
      <w:r w:rsidRPr="00067C1B">
        <w:rPr>
          <w:rFonts w:ascii="Verdana" w:hAnsi="Verdana"/>
          <w:sz w:val="16"/>
          <w:szCs w:val="16"/>
          <w:lang w:val="es-CR"/>
        </w:rPr>
        <w:t xml:space="preserve"> </w:t>
      </w:r>
      <w:r w:rsidRPr="00067C1B">
        <w:rPr>
          <w:rFonts w:ascii="Verdana" w:hAnsi="Verdana"/>
          <w:sz w:val="16"/>
          <w:szCs w:val="16"/>
          <w:lang w:val="es-CR"/>
        </w:rPr>
        <w:tab/>
      </w:r>
      <w:r w:rsidRPr="00067C1B">
        <w:rPr>
          <w:rFonts w:ascii="Verdana" w:hAnsi="Verdana"/>
          <w:sz w:val="16"/>
          <w:szCs w:val="16"/>
          <w:lang w:val="es-CR"/>
        </w:rPr>
        <w:t>Dado lo anterior, quedan fuera de examen y pronunciamiento todas las pretensio</w:t>
      </w:r>
      <w:r>
        <w:rPr>
          <w:rFonts w:ascii="Verdana" w:hAnsi="Verdana"/>
          <w:sz w:val="16"/>
          <w:szCs w:val="16"/>
          <w:lang w:val="es-CR"/>
        </w:rPr>
        <w:t xml:space="preserve">nes de reparación de las representantes y la Comisión </w:t>
      </w:r>
      <w:r w:rsidRPr="00067C1B">
        <w:rPr>
          <w:rFonts w:ascii="Verdana" w:hAnsi="Verdana"/>
          <w:sz w:val="16"/>
          <w:szCs w:val="16"/>
          <w:lang w:val="es-CR"/>
        </w:rPr>
        <w:t>que se refieran a otras personas que no constituyen parte lesionada.</w:t>
      </w:r>
    </w:p>
  </w:footnote>
  <w:footnote w:id="125">
    <w:p w:rsidR="001C18DD" w:rsidRPr="008E4C70" w:rsidRDefault="001C18DD" w:rsidP="00991839">
      <w:pPr>
        <w:pStyle w:val="Textonotapie"/>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sidRPr="008E4C70">
        <w:rPr>
          <w:rFonts w:ascii="Verdana" w:hAnsi="Verdana"/>
          <w:i/>
          <w:sz w:val="16"/>
          <w:szCs w:val="16"/>
          <w:lang w:val="es-PE"/>
        </w:rPr>
        <w:t>Cfr. Caso Cantoral Benavides Vs. Perú</w:t>
      </w:r>
      <w:r>
        <w:rPr>
          <w:rFonts w:ascii="Verdana" w:hAnsi="Verdana"/>
          <w:i/>
          <w:sz w:val="16"/>
          <w:szCs w:val="16"/>
          <w:lang w:val="es-PE"/>
        </w:rPr>
        <w:t>.</w:t>
      </w:r>
      <w:r w:rsidRPr="008E4C70">
        <w:rPr>
          <w:rFonts w:ascii="Verdana" w:hAnsi="Verdana"/>
          <w:i/>
          <w:sz w:val="16"/>
          <w:szCs w:val="16"/>
          <w:lang w:val="es-PE"/>
        </w:rPr>
        <w:t xml:space="preserve"> </w:t>
      </w:r>
      <w:r w:rsidRPr="00292DD8">
        <w:rPr>
          <w:rFonts w:ascii="Verdana" w:hAnsi="Verdana"/>
          <w:i/>
          <w:sz w:val="16"/>
          <w:szCs w:val="16"/>
          <w:lang w:val="es-PE"/>
        </w:rPr>
        <w:t>Reparaciones y Costas</w:t>
      </w:r>
      <w:r>
        <w:rPr>
          <w:rFonts w:ascii="Verdana" w:hAnsi="Verdana"/>
          <w:sz w:val="16"/>
          <w:szCs w:val="16"/>
          <w:lang w:val="es-PE"/>
        </w:rPr>
        <w:t xml:space="preserve">, </w:t>
      </w:r>
      <w:r w:rsidRPr="003A687A">
        <w:rPr>
          <w:rFonts w:ascii="Verdana" w:hAnsi="Verdana"/>
          <w:i/>
          <w:sz w:val="16"/>
          <w:szCs w:val="16"/>
          <w:lang w:val="es-PE"/>
        </w:rPr>
        <w:t>supra</w:t>
      </w:r>
      <w:r w:rsidRPr="008E4C70">
        <w:rPr>
          <w:rFonts w:ascii="Verdana" w:hAnsi="Verdana"/>
          <w:sz w:val="16"/>
          <w:szCs w:val="16"/>
          <w:lang w:val="es-PE"/>
        </w:rPr>
        <w:t xml:space="preserve">, párr. 79, y </w:t>
      </w:r>
      <w:r>
        <w:rPr>
          <w:rStyle w:val="Textoennegrita"/>
          <w:rFonts w:ascii="Verdana" w:hAnsi="Verdana"/>
          <w:b w:val="0"/>
          <w:i/>
          <w:color w:val="000000"/>
          <w:sz w:val="16"/>
          <w:szCs w:val="16"/>
          <w:shd w:val="clear" w:color="auto" w:fill="FFFFFF"/>
          <w:lang w:val="es-CR"/>
        </w:rPr>
        <w:t>Caso Gorigoitía Vs. Argentina, supra</w:t>
      </w:r>
      <w:r w:rsidRPr="0025269E">
        <w:rPr>
          <w:rStyle w:val="Textoennegrita"/>
          <w:rFonts w:ascii="Verdana" w:hAnsi="Verdana"/>
          <w:b w:val="0"/>
          <w:color w:val="000000"/>
          <w:sz w:val="16"/>
          <w:szCs w:val="16"/>
          <w:shd w:val="clear" w:color="auto" w:fill="FFFFFF"/>
          <w:lang w:val="es-CR"/>
        </w:rPr>
        <w:t>, párr.</w:t>
      </w:r>
      <w:r>
        <w:rPr>
          <w:rStyle w:val="Textoennegrita"/>
          <w:rFonts w:ascii="Verdana" w:hAnsi="Verdana"/>
          <w:b w:val="0"/>
          <w:color w:val="000000"/>
          <w:sz w:val="16"/>
          <w:szCs w:val="16"/>
          <w:shd w:val="clear" w:color="auto" w:fill="FFFFFF"/>
          <w:lang w:val="es-CR"/>
        </w:rPr>
        <w:t xml:space="preserve"> 68</w:t>
      </w:r>
      <w:r w:rsidRPr="008E4C70">
        <w:rPr>
          <w:rFonts w:ascii="Verdana" w:hAnsi="Verdana"/>
          <w:sz w:val="16"/>
          <w:szCs w:val="16"/>
          <w:lang w:val="es-PE"/>
        </w:rPr>
        <w:t>.</w:t>
      </w:r>
    </w:p>
  </w:footnote>
  <w:footnote w:id="126">
    <w:p w:rsidR="001C18DD" w:rsidRPr="008E4C70" w:rsidRDefault="001C18DD" w:rsidP="00D16A8A">
      <w:pPr>
        <w:pStyle w:val="Textonotapie"/>
        <w:jc w:val="both"/>
        <w:rPr>
          <w:rFonts w:ascii="Verdana" w:hAnsi="Verdana"/>
          <w:b/>
          <w:sz w:val="16"/>
          <w:szCs w:val="16"/>
          <w:lang w:val="es-PE"/>
        </w:rPr>
      </w:pPr>
      <w:r w:rsidRPr="008E4C70">
        <w:rPr>
          <w:rStyle w:val="Refdenotaalpie"/>
          <w:rFonts w:ascii="Verdana" w:hAnsi="Verdana"/>
          <w:sz w:val="16"/>
          <w:szCs w:val="16"/>
        </w:rPr>
        <w:footnoteRef/>
      </w:r>
      <w:r>
        <w:rPr>
          <w:rFonts w:ascii="Verdana" w:hAnsi="Verdana"/>
          <w:sz w:val="16"/>
          <w:szCs w:val="16"/>
          <w:lang w:val="es-PE"/>
        </w:rPr>
        <w:t xml:space="preserve">       La</w:t>
      </w:r>
      <w:r w:rsidRPr="008E4C70">
        <w:rPr>
          <w:rFonts w:ascii="Verdana" w:hAnsi="Verdana"/>
          <w:sz w:val="16"/>
          <w:szCs w:val="16"/>
          <w:lang w:val="es-PE"/>
        </w:rPr>
        <w:t xml:space="preserve">s representantes solicitaron a la Corte Interamericana la adecuación de la normativa Constitucional, del Código Penal y Código Militar con las jurisprudencias de la Corte de Constitucionalidad, referente a la inconstitucionalidad del elemento de peligrosidad para justificar la imposición de la pena de muerte, en dicha legislación como garantía de no repetición. </w:t>
      </w:r>
    </w:p>
  </w:footnote>
  <w:footnote w:id="127">
    <w:p w:rsidR="001C18DD" w:rsidRPr="008E4C70" w:rsidRDefault="001C18DD" w:rsidP="00D16A8A">
      <w:pPr>
        <w:pStyle w:val="Textonotapie"/>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Pr>
          <w:rFonts w:ascii="Verdana" w:hAnsi="Verdana"/>
          <w:sz w:val="16"/>
          <w:szCs w:val="16"/>
          <w:lang w:val="es-PE"/>
        </w:rPr>
        <w:tab/>
      </w:r>
      <w:r w:rsidRPr="008E4C70">
        <w:rPr>
          <w:rFonts w:ascii="Verdana" w:hAnsi="Verdana"/>
          <w:i/>
          <w:sz w:val="16"/>
          <w:szCs w:val="16"/>
          <w:lang w:val="es-PE"/>
        </w:rPr>
        <w:t>Cfr. Caso Fermín Ramírez Vs. Guatemala. Supervisión de Cumplimiento de Sentencia</w:t>
      </w:r>
      <w:r w:rsidRPr="008E4C70">
        <w:rPr>
          <w:rFonts w:ascii="Verdana" w:hAnsi="Verdana"/>
          <w:sz w:val="16"/>
          <w:szCs w:val="16"/>
          <w:lang w:val="es-PE"/>
        </w:rPr>
        <w:t xml:space="preserve">, </w:t>
      </w:r>
      <w:r w:rsidRPr="00AB468B">
        <w:rPr>
          <w:rFonts w:ascii="Verdana" w:hAnsi="Verdana"/>
          <w:i/>
          <w:sz w:val="16"/>
          <w:szCs w:val="16"/>
          <w:lang w:val="es-PE"/>
        </w:rPr>
        <w:t>supra</w:t>
      </w:r>
      <w:r>
        <w:rPr>
          <w:rFonts w:ascii="Verdana" w:hAnsi="Verdana"/>
          <w:sz w:val="16"/>
          <w:szCs w:val="16"/>
          <w:lang w:val="es-PE"/>
        </w:rPr>
        <w:t>, Considerando 14, y</w:t>
      </w:r>
      <w:r w:rsidRPr="008E4C70">
        <w:rPr>
          <w:rFonts w:ascii="Verdana" w:hAnsi="Verdana"/>
          <w:sz w:val="16"/>
          <w:szCs w:val="16"/>
          <w:lang w:val="es-PE"/>
        </w:rPr>
        <w:t xml:space="preserve"> </w:t>
      </w:r>
      <w:r w:rsidRPr="008E4C70">
        <w:rPr>
          <w:rFonts w:ascii="Verdana" w:hAnsi="Verdana"/>
          <w:i/>
          <w:sz w:val="16"/>
          <w:szCs w:val="16"/>
          <w:lang w:val="es-PE"/>
        </w:rPr>
        <w:t>Caso Fermín Ramírez Vs. Guatemala. Fondo, Reparaciones y Costas, supra</w:t>
      </w:r>
      <w:r w:rsidRPr="008E4C70">
        <w:rPr>
          <w:rFonts w:ascii="Verdana" w:hAnsi="Verdana"/>
          <w:sz w:val="16"/>
          <w:szCs w:val="16"/>
          <w:lang w:val="es-PE"/>
        </w:rPr>
        <w:t>, Punto resolutivo 8.</w:t>
      </w:r>
    </w:p>
  </w:footnote>
  <w:footnote w:id="128">
    <w:p w:rsidR="001C18DD" w:rsidRPr="008E4C70" w:rsidRDefault="001C18DD" w:rsidP="00FA7C64">
      <w:pPr>
        <w:pStyle w:val="Textonotapie"/>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Pr>
          <w:rFonts w:ascii="Verdana" w:hAnsi="Verdana"/>
          <w:sz w:val="16"/>
          <w:szCs w:val="16"/>
          <w:lang w:val="es-PE"/>
        </w:rPr>
        <w:tab/>
      </w:r>
      <w:r w:rsidRPr="00AB468B">
        <w:rPr>
          <w:rFonts w:ascii="Verdana" w:hAnsi="Verdana"/>
          <w:i/>
          <w:sz w:val="16"/>
          <w:szCs w:val="16"/>
          <w:lang w:val="es-PE"/>
        </w:rPr>
        <w:t>Cfr.</w:t>
      </w:r>
      <w:r>
        <w:rPr>
          <w:rFonts w:ascii="Verdana" w:hAnsi="Verdana"/>
          <w:sz w:val="16"/>
          <w:szCs w:val="16"/>
          <w:lang w:val="es-PE"/>
        </w:rPr>
        <w:t xml:space="preserve"> </w:t>
      </w:r>
      <w:r w:rsidRPr="008E4C70">
        <w:rPr>
          <w:rFonts w:ascii="Verdana" w:hAnsi="Verdana"/>
          <w:sz w:val="16"/>
          <w:szCs w:val="16"/>
          <w:lang w:val="es-PE"/>
        </w:rPr>
        <w:t xml:space="preserve"> </w:t>
      </w:r>
      <w:r w:rsidRPr="008E4C70">
        <w:rPr>
          <w:rFonts w:ascii="Verdana" w:hAnsi="Verdana"/>
          <w:i/>
          <w:sz w:val="16"/>
          <w:szCs w:val="16"/>
          <w:lang w:val="es-PE"/>
        </w:rPr>
        <w:t>Caso Fermín Ramírez Vs. Guatemala. Supervisión de Cumplimiento de Sentencia, supra</w:t>
      </w:r>
      <w:r w:rsidRPr="008E4C70">
        <w:rPr>
          <w:rFonts w:ascii="Verdana" w:hAnsi="Verdana"/>
          <w:sz w:val="16"/>
          <w:szCs w:val="16"/>
          <w:lang w:val="es-PE"/>
        </w:rPr>
        <w:t>, Considerando 8.</w:t>
      </w:r>
    </w:p>
  </w:footnote>
  <w:footnote w:id="129">
    <w:p w:rsidR="001C18DD" w:rsidRPr="008E4C70" w:rsidRDefault="001C18DD" w:rsidP="00C947C5">
      <w:pPr>
        <w:pStyle w:val="Textonotapie"/>
        <w:jc w:val="both"/>
        <w:rPr>
          <w:rFonts w:ascii="Verdana" w:hAnsi="Verdana"/>
          <w:sz w:val="16"/>
          <w:szCs w:val="16"/>
          <w:lang w:val="es-PE"/>
        </w:rPr>
      </w:pPr>
      <w:r w:rsidRPr="00991839">
        <w:rPr>
          <w:rStyle w:val="Refdenotaalpie"/>
          <w:rFonts w:ascii="Verdana" w:hAnsi="Verdana"/>
          <w:sz w:val="16"/>
          <w:szCs w:val="16"/>
        </w:rPr>
        <w:footnoteRef/>
      </w:r>
      <w:r w:rsidRPr="00991839">
        <w:rPr>
          <w:rFonts w:ascii="Verdana" w:hAnsi="Verdana"/>
          <w:sz w:val="16"/>
          <w:szCs w:val="16"/>
          <w:lang w:val="es-PE"/>
        </w:rPr>
        <w:t xml:space="preserve"> </w:t>
      </w:r>
      <w:r>
        <w:rPr>
          <w:rFonts w:ascii="Verdana" w:hAnsi="Verdana"/>
          <w:i/>
          <w:sz w:val="16"/>
          <w:szCs w:val="16"/>
          <w:lang w:val="es-PE"/>
        </w:rPr>
        <w:tab/>
      </w:r>
      <w:r w:rsidRPr="008E4C70">
        <w:rPr>
          <w:rFonts w:ascii="Verdana" w:hAnsi="Verdana"/>
          <w:i/>
          <w:sz w:val="16"/>
          <w:szCs w:val="16"/>
          <w:lang w:val="es-PE"/>
        </w:rPr>
        <w:t>Cfr. Caso de los “Niños de la Calle” (Villagrán Morales y otros) Vs. Guatemala. Reparaciones y Costas</w:t>
      </w:r>
      <w:r w:rsidRPr="008E4C70">
        <w:rPr>
          <w:rFonts w:ascii="Verdana" w:hAnsi="Verdana"/>
          <w:sz w:val="16"/>
          <w:szCs w:val="16"/>
          <w:lang w:val="es-PE"/>
        </w:rPr>
        <w:t xml:space="preserve">. Sentencia de 26 de mayo de 2001. Serie C No. 77, párr. 84, y </w:t>
      </w:r>
      <w:r w:rsidRPr="00DC51D6">
        <w:rPr>
          <w:rFonts w:ascii="Verdana" w:hAnsi="Verdana"/>
          <w:i/>
          <w:sz w:val="16"/>
          <w:szCs w:val="16"/>
          <w:lang w:val="es-PE"/>
        </w:rPr>
        <w:t xml:space="preserve">Caso </w:t>
      </w:r>
      <w:r>
        <w:rPr>
          <w:rFonts w:ascii="Verdana" w:hAnsi="Verdana"/>
          <w:i/>
          <w:sz w:val="16"/>
          <w:szCs w:val="16"/>
          <w:lang w:val="es-PE"/>
        </w:rPr>
        <w:t>Martínez Coronado Vs. Guatemala</w:t>
      </w:r>
      <w:r w:rsidRPr="00D6157E">
        <w:rPr>
          <w:rFonts w:ascii="Verdana" w:hAnsi="Verdana"/>
          <w:sz w:val="16"/>
          <w:szCs w:val="16"/>
          <w:lang w:val="es-PE"/>
        </w:rPr>
        <w:t>,</w:t>
      </w:r>
      <w:r w:rsidRPr="008E4C70">
        <w:rPr>
          <w:rFonts w:ascii="Verdana" w:hAnsi="Verdana"/>
          <w:sz w:val="16"/>
          <w:szCs w:val="16"/>
          <w:lang w:val="es-PE"/>
        </w:rPr>
        <w:t xml:space="preserve"> párr. </w:t>
      </w:r>
      <w:r>
        <w:rPr>
          <w:rFonts w:ascii="Verdana" w:hAnsi="Verdana"/>
          <w:sz w:val="16"/>
          <w:szCs w:val="16"/>
          <w:lang w:val="es-PE"/>
        </w:rPr>
        <w:t>113</w:t>
      </w:r>
      <w:r w:rsidRPr="008E4C70">
        <w:rPr>
          <w:rFonts w:ascii="Verdana" w:hAnsi="Verdana"/>
          <w:sz w:val="16"/>
          <w:szCs w:val="16"/>
          <w:lang w:val="es-PE"/>
        </w:rPr>
        <w:t>.</w:t>
      </w:r>
    </w:p>
  </w:footnote>
  <w:footnote w:id="130">
    <w:p w:rsidR="001C18DD" w:rsidRPr="008E4C70" w:rsidRDefault="001C18DD" w:rsidP="009206D6">
      <w:pPr>
        <w:pStyle w:val="Textonotapie"/>
        <w:jc w:val="both"/>
        <w:rPr>
          <w:rFonts w:ascii="Verdana" w:hAnsi="Verdana"/>
          <w:sz w:val="16"/>
          <w:szCs w:val="16"/>
          <w:lang w:val="es-PE"/>
        </w:rPr>
      </w:pPr>
      <w:r w:rsidRPr="008E4C70">
        <w:rPr>
          <w:rStyle w:val="Refdenotaalpie"/>
          <w:rFonts w:ascii="Verdana" w:hAnsi="Verdana"/>
          <w:sz w:val="16"/>
          <w:szCs w:val="16"/>
        </w:rPr>
        <w:footnoteRef/>
      </w:r>
      <w:r w:rsidRPr="008E4C70">
        <w:rPr>
          <w:rFonts w:ascii="Verdana" w:hAnsi="Verdana"/>
          <w:sz w:val="16"/>
          <w:szCs w:val="16"/>
          <w:lang w:val="es-PE"/>
        </w:rPr>
        <w:t xml:space="preserve"> </w:t>
      </w:r>
      <w:r>
        <w:rPr>
          <w:rFonts w:ascii="Verdana" w:hAnsi="Verdana"/>
          <w:sz w:val="16"/>
          <w:szCs w:val="16"/>
          <w:lang w:val="es-PE"/>
        </w:rPr>
        <w:tab/>
      </w:r>
      <w:r w:rsidRPr="008E4C70">
        <w:rPr>
          <w:rFonts w:ascii="Verdana" w:hAnsi="Verdana"/>
          <w:i/>
          <w:sz w:val="16"/>
          <w:szCs w:val="16"/>
          <w:lang w:val="es-PE"/>
        </w:rPr>
        <w:t xml:space="preserve">Caso Fermín Ramírez Vs. Guatemala. Fondo, Reparaciones y </w:t>
      </w:r>
      <w:r w:rsidRPr="008E4C70">
        <w:rPr>
          <w:rFonts w:ascii="Verdana" w:hAnsi="Verdana"/>
          <w:i/>
          <w:sz w:val="16"/>
          <w:szCs w:val="16"/>
          <w:lang w:val="es-PE"/>
        </w:rPr>
        <w:t xml:space="preserve">Costas, </w:t>
      </w:r>
      <w:r w:rsidRPr="003A687A">
        <w:rPr>
          <w:rFonts w:ascii="Verdana" w:hAnsi="Verdana"/>
          <w:i/>
          <w:sz w:val="16"/>
          <w:szCs w:val="16"/>
          <w:lang w:val="es-PE"/>
        </w:rPr>
        <w:t>supra</w:t>
      </w:r>
      <w:r w:rsidRPr="008E4C70">
        <w:rPr>
          <w:rFonts w:ascii="Verdana" w:hAnsi="Verdana"/>
          <w:sz w:val="16"/>
          <w:szCs w:val="16"/>
          <w:lang w:val="es-PE"/>
        </w:rPr>
        <w:t xml:space="preserve">; </w:t>
      </w:r>
      <w:r w:rsidRPr="008E4C70">
        <w:rPr>
          <w:rFonts w:ascii="Verdana" w:hAnsi="Verdana"/>
          <w:i/>
          <w:sz w:val="16"/>
          <w:szCs w:val="16"/>
          <w:lang w:val="es-PE"/>
        </w:rPr>
        <w:t>Caso Raxcacó Reyes Vs. Guatemala</w:t>
      </w:r>
      <w:r>
        <w:rPr>
          <w:rFonts w:ascii="Verdana" w:hAnsi="Verdana"/>
          <w:i/>
          <w:sz w:val="16"/>
          <w:szCs w:val="16"/>
          <w:lang w:val="es-PE"/>
        </w:rPr>
        <w:t>.</w:t>
      </w:r>
      <w:r w:rsidRPr="008E4C70">
        <w:rPr>
          <w:rFonts w:ascii="Verdana" w:hAnsi="Verdana"/>
          <w:i/>
          <w:sz w:val="16"/>
          <w:szCs w:val="16"/>
          <w:lang w:val="es-PE"/>
        </w:rPr>
        <w:t xml:space="preserve"> </w:t>
      </w:r>
      <w:r>
        <w:rPr>
          <w:rFonts w:ascii="Verdana" w:hAnsi="Verdana"/>
          <w:i/>
          <w:sz w:val="16"/>
          <w:szCs w:val="16"/>
          <w:lang w:val="es-PE"/>
        </w:rPr>
        <w:t>Fondo, Reparaciones y Costas, supra</w:t>
      </w:r>
      <w:r w:rsidRPr="008E4C70">
        <w:rPr>
          <w:rFonts w:ascii="Verdana" w:hAnsi="Verdana"/>
          <w:i/>
          <w:sz w:val="16"/>
          <w:szCs w:val="16"/>
          <w:lang w:val="es-PE"/>
        </w:rPr>
        <w:t>; Caso Boyce y otros Vs. Barbados. Excepción Preliminar, Fondo, Reparaciones y Costas</w:t>
      </w:r>
      <w:r w:rsidRPr="008E4C70">
        <w:rPr>
          <w:rFonts w:ascii="Verdana" w:hAnsi="Verdana"/>
          <w:sz w:val="16"/>
          <w:szCs w:val="16"/>
          <w:lang w:val="es-PE"/>
        </w:rPr>
        <w:t>. Sentencia de 20 de noviembre de 2007. Seri</w:t>
      </w:r>
      <w:r>
        <w:rPr>
          <w:rFonts w:ascii="Verdana" w:hAnsi="Verdana"/>
          <w:sz w:val="16"/>
          <w:szCs w:val="16"/>
          <w:lang w:val="es-PE"/>
        </w:rPr>
        <w:t>e C No. 169, y</w:t>
      </w:r>
      <w:r w:rsidRPr="008E4C70">
        <w:rPr>
          <w:rFonts w:ascii="Verdana" w:hAnsi="Verdana"/>
          <w:sz w:val="16"/>
          <w:szCs w:val="16"/>
          <w:lang w:val="es-PE"/>
        </w:rPr>
        <w:t xml:space="preserve"> </w:t>
      </w:r>
      <w:r w:rsidRPr="008E4C70">
        <w:rPr>
          <w:rFonts w:ascii="Verdana" w:hAnsi="Verdana"/>
          <w:i/>
          <w:sz w:val="16"/>
          <w:szCs w:val="16"/>
          <w:lang w:val="es-PE"/>
        </w:rPr>
        <w:t>Caso Dacosta Cadogan Vs. Barbados</w:t>
      </w:r>
      <w:r>
        <w:rPr>
          <w:rFonts w:ascii="Verdana" w:hAnsi="Verdana"/>
          <w:i/>
          <w:sz w:val="16"/>
          <w:szCs w:val="16"/>
          <w:lang w:val="es-PE"/>
        </w:rPr>
        <w:t>, supra</w:t>
      </w:r>
      <w:r w:rsidRPr="008E4C70">
        <w:rPr>
          <w:rFonts w:ascii="Verdana" w:hAnsi="Verdana"/>
          <w:sz w:val="16"/>
          <w:szCs w:val="16"/>
          <w:lang w:val="es-PE"/>
        </w:rPr>
        <w:t>.</w:t>
      </w:r>
    </w:p>
  </w:footnote>
  <w:footnote w:id="131">
    <w:p w:rsidR="001C18DD" w:rsidRPr="00F02941" w:rsidRDefault="001C18DD" w:rsidP="0004730B">
      <w:pPr>
        <w:pStyle w:val="Textonotapie"/>
        <w:jc w:val="both"/>
        <w:rPr>
          <w:lang w:val="es-CR"/>
        </w:rPr>
      </w:pPr>
      <w:r>
        <w:rPr>
          <w:rStyle w:val="Refdenotaalpie"/>
        </w:rPr>
        <w:footnoteRef/>
      </w:r>
      <w:r w:rsidRPr="00E520A9">
        <w:rPr>
          <w:lang w:val="es-CR"/>
        </w:rPr>
        <w:t xml:space="preserve"> </w:t>
      </w:r>
      <w:r>
        <w:rPr>
          <w:lang w:val="es-CR"/>
        </w:rPr>
        <w:t xml:space="preserve"> </w:t>
      </w:r>
      <w:r>
        <w:rPr>
          <w:lang w:val="es-CR"/>
        </w:rPr>
        <w:tab/>
      </w:r>
      <w:r w:rsidRPr="00F02941">
        <w:rPr>
          <w:rFonts w:ascii="Verdana" w:hAnsi="Verdana"/>
          <w:sz w:val="16"/>
          <w:lang w:val="es-CR"/>
        </w:rPr>
        <w:t>L</w:t>
      </w:r>
      <w:r w:rsidRPr="00F02941">
        <w:rPr>
          <w:rFonts w:ascii="Verdana" w:hAnsi="Verdana"/>
          <w:sz w:val="16"/>
          <w:lang w:val="es-MX"/>
        </w:rPr>
        <w:t>as representantes indicaron que los referidos familiares del señor Pedro Castillo Mendoza, las hermanas Dora Alicia y Berta Lidia y el hermano Oscar Castillo Mendoza, son quienes le sobreviven, pudieron ser localizados y acompañaron de manera cercana a la víctima durante su enjuiciamiento y ejecución. A la fecha su padre Emilio Castillo Gómez y su hermana Blanca Delia Castillo Mendoza, han fallecido.</w:t>
      </w:r>
    </w:p>
  </w:footnote>
  <w:footnote w:id="132">
    <w:p w:rsidR="001C18DD" w:rsidRPr="00F02941" w:rsidRDefault="001C18DD" w:rsidP="00164FBA">
      <w:pPr>
        <w:pStyle w:val="Textonotapie"/>
        <w:jc w:val="both"/>
        <w:rPr>
          <w:rFonts w:ascii="Verdana" w:hAnsi="Verdana"/>
          <w:sz w:val="16"/>
          <w:szCs w:val="16"/>
          <w:lang w:val="es-CR"/>
        </w:rPr>
      </w:pPr>
      <w:r w:rsidRPr="00F02941">
        <w:rPr>
          <w:rStyle w:val="Refdenotaalpie"/>
          <w:rFonts w:ascii="Verdana" w:hAnsi="Verdana"/>
          <w:sz w:val="16"/>
          <w:szCs w:val="16"/>
        </w:rPr>
        <w:footnoteRef/>
      </w:r>
      <w:r w:rsidRPr="00F02941">
        <w:rPr>
          <w:rFonts w:ascii="Verdana" w:hAnsi="Verdana"/>
          <w:sz w:val="16"/>
          <w:szCs w:val="16"/>
          <w:lang w:val="es-CR"/>
        </w:rPr>
        <w:t xml:space="preserve"> </w:t>
      </w:r>
      <w:r w:rsidRPr="00F02941">
        <w:rPr>
          <w:rFonts w:ascii="Verdana" w:hAnsi="Verdana"/>
          <w:sz w:val="16"/>
          <w:szCs w:val="16"/>
          <w:lang w:val="es-CR"/>
        </w:rPr>
        <w:tab/>
      </w:r>
      <w:r>
        <w:rPr>
          <w:rFonts w:ascii="Verdana" w:hAnsi="Verdana"/>
          <w:sz w:val="16"/>
          <w:szCs w:val="16"/>
          <w:lang w:val="es-PE"/>
        </w:rPr>
        <w:t xml:space="preserve">Las representantes señalaron que en el </w:t>
      </w:r>
      <w:r w:rsidRPr="00F02941">
        <w:rPr>
          <w:rFonts w:ascii="Verdana" w:hAnsi="Verdana"/>
          <w:sz w:val="16"/>
          <w:szCs w:val="16"/>
          <w:lang w:val="es-PE"/>
        </w:rPr>
        <w:t xml:space="preserve">caso </w:t>
      </w:r>
      <w:r>
        <w:rPr>
          <w:rFonts w:ascii="Verdana" w:hAnsi="Verdana"/>
          <w:sz w:val="16"/>
          <w:szCs w:val="16"/>
          <w:lang w:val="es-PE"/>
        </w:rPr>
        <w:t>del señor Roberto Girón</w:t>
      </w:r>
      <w:r w:rsidRPr="00F02941">
        <w:rPr>
          <w:rFonts w:ascii="Verdana" w:hAnsi="Verdana"/>
          <w:sz w:val="16"/>
          <w:szCs w:val="16"/>
          <w:lang w:val="es-PE"/>
        </w:rPr>
        <w:t xml:space="preserve"> no se pudo localizar a ningún familiar a la fecha d</w:t>
      </w:r>
      <w:r>
        <w:rPr>
          <w:rFonts w:ascii="Verdana" w:hAnsi="Verdana"/>
          <w:sz w:val="16"/>
          <w:szCs w:val="16"/>
          <w:lang w:val="es-PE"/>
        </w:rPr>
        <w:t>el depósito del escrito de solicitudes y argumentos</w:t>
      </w:r>
      <w:r w:rsidRPr="00F02941">
        <w:rPr>
          <w:rFonts w:ascii="Verdana" w:hAnsi="Verdana"/>
          <w:sz w:val="16"/>
          <w:szCs w:val="16"/>
          <w:lang w:val="es-PE"/>
        </w:rPr>
        <w:t xml:space="preserve">. </w:t>
      </w:r>
      <w:r>
        <w:rPr>
          <w:rFonts w:ascii="Verdana" w:hAnsi="Verdana"/>
          <w:sz w:val="16"/>
          <w:szCs w:val="16"/>
          <w:lang w:val="es-PE"/>
        </w:rPr>
        <w:t xml:space="preserve">Sin embargo, </w:t>
      </w:r>
      <w:r>
        <w:rPr>
          <w:rFonts w:ascii="Verdana" w:hAnsi="Verdana"/>
          <w:sz w:val="16"/>
          <w:lang w:val="es-MX"/>
        </w:rPr>
        <w:t xml:space="preserve">las representantes manifestaron que en un informe realizado por una </w:t>
      </w:r>
      <w:r w:rsidRPr="00F02941">
        <w:rPr>
          <w:rFonts w:ascii="Verdana" w:hAnsi="Verdana"/>
          <w:sz w:val="16"/>
          <w:lang w:val="es-MX"/>
        </w:rPr>
        <w:t xml:space="preserve">trabajadora social, se indica que el señor Roberto Girón tenía dos hijos </w:t>
      </w:r>
      <w:r>
        <w:rPr>
          <w:rFonts w:ascii="Verdana" w:hAnsi="Verdana"/>
          <w:sz w:val="16"/>
          <w:lang w:val="es-MX"/>
        </w:rPr>
        <w:t xml:space="preserve">de nombre </w:t>
      </w:r>
      <w:r w:rsidRPr="00F02941">
        <w:rPr>
          <w:rFonts w:ascii="Verdana" w:hAnsi="Verdana"/>
          <w:sz w:val="16"/>
          <w:lang w:val="es-MX"/>
        </w:rPr>
        <w:t>Roberto Estuardo y Nolvia Concepción</w:t>
      </w:r>
      <w:r>
        <w:rPr>
          <w:rFonts w:ascii="Verdana" w:hAnsi="Verdana"/>
          <w:sz w:val="16"/>
          <w:lang w:val="es-MX"/>
        </w:rPr>
        <w:t>, sin más datos</w:t>
      </w:r>
      <w:r w:rsidRPr="00F02941">
        <w:rPr>
          <w:rFonts w:ascii="Verdana" w:hAnsi="Verdana"/>
          <w:sz w:val="16"/>
          <w:lang w:val="es-MX"/>
        </w:rPr>
        <w:t>. Además, las representantes solicitaron que a ellos se les otorgara la reparación en su condición de causahabientes de la víctima directa.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3962135"/>
      <w:docPartObj>
        <w:docPartGallery w:val="Page Numbers (Top of Page)"/>
        <w:docPartUnique/>
      </w:docPartObj>
    </w:sdtPr>
    <w:sdtEndPr>
      <w:rPr>
        <w:noProof/>
      </w:rPr>
    </w:sdtEndPr>
    <w:sdtContent>
      <w:p w:rsidR="001C18DD" w:rsidRDefault="001C18DD">
        <w:pPr>
          <w:pStyle w:val="Encabezado"/>
          <w:jc w:val="center"/>
        </w:pPr>
        <w:r>
          <w:fldChar w:fldCharType="begin"/>
        </w:r>
        <w:r>
          <w:instrText xml:space="preserve"> PAGE   \* MERGEFORMAT </w:instrText>
        </w:r>
        <w:r>
          <w:fldChar w:fldCharType="separate"/>
        </w:r>
        <w:r>
          <w:rPr>
            <w:noProof/>
          </w:rPr>
          <w:t>21</w:t>
        </w:r>
        <w:r>
          <w:rPr>
            <w:noProof/>
          </w:rPr>
          <w:fldChar w:fldCharType="end"/>
        </w:r>
      </w:p>
    </w:sdtContent>
  </w:sdt>
  <w:p w:rsidR="001C18DD" w:rsidRDefault="001C18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7554834"/>
      <w:docPartObj>
        <w:docPartGallery w:val="Page Numbers (Top of Page)"/>
        <w:docPartUnique/>
      </w:docPartObj>
    </w:sdtPr>
    <w:sdtContent>
      <w:p w:rsidR="001C18DD" w:rsidRDefault="001C18DD" w:rsidP="0000517A">
        <w:pPr>
          <w:pStyle w:val="Encabezado"/>
        </w:pPr>
        <w:r>
          <w:rPr>
            <w:i/>
            <w:sz w:val="16"/>
            <w:szCs w:val="16"/>
            <w:lang w:val="es-CR"/>
          </w:rPr>
          <w:tab/>
          <w:t xml:space="preserve">                                                                                                     </w:t>
        </w:r>
      </w:p>
      <w:p w:rsidR="001C18DD" w:rsidRPr="000F4132" w:rsidRDefault="001C18DD" w:rsidP="000F4132">
        <w:pPr>
          <w:pStyle w:val="Encabezado"/>
          <w:rPr>
            <w:i/>
            <w:sz w:val="16"/>
            <w:szCs w:val="16"/>
            <w:lang w:val="es-CR"/>
          </w:rPr>
        </w:pPr>
      </w:p>
    </w:sdtContent>
  </w:sdt>
  <w:p w:rsidR="001C18DD" w:rsidRDefault="001C18D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9B1"/>
    <w:multiLevelType w:val="hybridMultilevel"/>
    <w:tmpl w:val="9F9825B4"/>
    <w:lvl w:ilvl="0" w:tplc="CB82DC06">
      <w:start w:val="87"/>
      <w:numFmt w:val="decimal"/>
      <w:lvlText w:val="%1."/>
      <w:lvlJc w:val="left"/>
      <w:pPr>
        <w:ind w:left="810" w:hanging="360"/>
      </w:pPr>
      <w:rPr>
        <w:rFonts w:ascii="Verdana" w:hAnsi="Verdana" w:hint="default"/>
        <w:b w:val="0"/>
        <w:i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753D"/>
    <w:multiLevelType w:val="hybridMultilevel"/>
    <w:tmpl w:val="2C9E252C"/>
    <w:lvl w:ilvl="0" w:tplc="A4D873B4">
      <w:start w:val="1"/>
      <w:numFmt w:val="upp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4F138BD"/>
    <w:multiLevelType w:val="hybridMultilevel"/>
    <w:tmpl w:val="F71A2ECA"/>
    <w:lvl w:ilvl="0" w:tplc="73ECA4F6">
      <w:start w:val="1"/>
      <w:numFmt w:val="decimal"/>
      <w:pStyle w:val="PrrafodeSentencia"/>
      <w:lvlText w:val="%1."/>
      <w:lvlJc w:val="left"/>
      <w:pPr>
        <w:ind w:left="360" w:hanging="360"/>
      </w:pPr>
      <w:rPr>
        <w:b w:val="0"/>
        <w:bCs w:val="0"/>
        <w:i w:val="0"/>
        <w:iCs w:val="0"/>
        <w:caps w:val="0"/>
        <w:smallCaps w:val="0"/>
        <w:strike w:val="0"/>
        <w:dstrike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608042D"/>
    <w:multiLevelType w:val="hybridMultilevel"/>
    <w:tmpl w:val="DF682160"/>
    <w:lvl w:ilvl="0" w:tplc="799CD85E">
      <w:start w:val="121"/>
      <w:numFmt w:val="decimal"/>
      <w:lvlText w:val="%1."/>
      <w:lvlJc w:val="left"/>
      <w:pPr>
        <w:ind w:left="630" w:hanging="360"/>
      </w:pPr>
      <w:rPr>
        <w:rFonts w:hint="default"/>
        <w:b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658D0"/>
    <w:multiLevelType w:val="hybridMultilevel"/>
    <w:tmpl w:val="1E308EAA"/>
    <w:lvl w:ilvl="0" w:tplc="A8D8FBA0">
      <w:start w:val="1"/>
      <w:numFmt w:val="upperLetter"/>
      <w:lvlText w:val="%1."/>
      <w:lvlJc w:val="left"/>
      <w:pPr>
        <w:ind w:left="1080" w:hanging="360"/>
      </w:pPr>
      <w:rPr>
        <w:rFonts w:hint="default"/>
        <w:b/>
        <w:i/>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0E0E5F5D"/>
    <w:multiLevelType w:val="hybridMultilevel"/>
    <w:tmpl w:val="2A80DA10"/>
    <w:lvl w:ilvl="0" w:tplc="A4D873B4">
      <w:start w:val="1"/>
      <w:numFmt w:val="upp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0FC4AE8"/>
    <w:multiLevelType w:val="hybridMultilevel"/>
    <w:tmpl w:val="16EE0F1E"/>
    <w:lvl w:ilvl="0" w:tplc="7AA0DE0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50E0FD2">
      <w:start w:val="1"/>
      <w:numFmt w:val="decimal"/>
      <w:lvlText w:val="%4."/>
      <w:lvlJc w:val="left"/>
      <w:pPr>
        <w:ind w:left="540" w:hanging="360"/>
      </w:pPr>
      <w:rPr>
        <w:i w:val="0"/>
        <w:sz w:val="20"/>
        <w:szCs w:val="20"/>
      </w:rPr>
    </w:lvl>
    <w:lvl w:ilvl="4" w:tplc="04090019">
      <w:start w:val="1"/>
      <w:numFmt w:val="lowerLetter"/>
      <w:lvlText w:val="%5."/>
      <w:lvlJc w:val="left"/>
      <w:pPr>
        <w:ind w:left="644" w:hanging="360"/>
      </w:pPr>
      <w:rPr>
        <w:rFonts w:hint="default"/>
      </w:rPr>
    </w:lvl>
    <w:lvl w:ilvl="5" w:tplc="B0DC9D8C">
      <w:start w:val="5"/>
      <w:numFmt w:val="lowerLetter"/>
      <w:lvlText w:val="%6-"/>
      <w:lvlJc w:val="left"/>
      <w:pPr>
        <w:ind w:left="4500" w:hanging="360"/>
      </w:pPr>
      <w:rPr>
        <w:rFonts w:hint="default"/>
        <w:b/>
      </w:rPr>
    </w:lvl>
    <w:lvl w:ilvl="6" w:tplc="4B4E7C54">
      <w:start w:val="1"/>
      <w:numFmt w:val="lowerLetter"/>
      <w:lvlText w:val="%7)"/>
      <w:lvlJc w:val="left"/>
      <w:pPr>
        <w:ind w:left="5040" w:hanging="360"/>
      </w:pPr>
      <w:rPr>
        <w:rFonts w:hint="default"/>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10339"/>
    <w:multiLevelType w:val="hybridMultilevel"/>
    <w:tmpl w:val="316C7B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9B0444"/>
    <w:multiLevelType w:val="hybridMultilevel"/>
    <w:tmpl w:val="9E3011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52E2A"/>
    <w:multiLevelType w:val="hybridMultilevel"/>
    <w:tmpl w:val="FCA61D02"/>
    <w:lvl w:ilvl="0" w:tplc="06C06D8C">
      <w:start w:val="1"/>
      <w:numFmt w:val="lowerLetter"/>
      <w:lvlText w:val="%1)"/>
      <w:lvlJc w:val="left"/>
      <w:pPr>
        <w:ind w:left="1080" w:hanging="360"/>
      </w:pPr>
      <w:rPr>
        <w:rFonts w:eastAsia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D80505"/>
    <w:multiLevelType w:val="hybridMultilevel"/>
    <w:tmpl w:val="29948EC8"/>
    <w:lvl w:ilvl="0" w:tplc="F3941656">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A7AE1"/>
    <w:multiLevelType w:val="multilevel"/>
    <w:tmpl w:val="64A4587A"/>
    <w:lvl w:ilvl="0">
      <w:start w:val="1"/>
      <w:numFmt w:val="decimal"/>
      <w:lvlText w:val="%1."/>
      <w:lvlJc w:val="left"/>
      <w:pPr>
        <w:ind w:left="810" w:hanging="360"/>
      </w:pPr>
      <w:rPr>
        <w:rFonts w:ascii="Verdana" w:hAnsi="Verdana" w:hint="default"/>
        <w:b w:val="0"/>
        <w:i w:val="0"/>
        <w:sz w:val="20"/>
        <w:szCs w:val="20"/>
        <w:lang w:val="es-CR"/>
      </w:rPr>
    </w:lvl>
    <w:lvl w:ilvl="1">
      <w:start w:val="1"/>
      <w:numFmt w:val="lowerLetter"/>
      <w:lvlText w:val="%2."/>
      <w:lvlJc w:val="left"/>
      <w:pPr>
        <w:ind w:left="1440" w:hanging="360"/>
      </w:pPr>
      <w:rPr>
        <w:b w:val="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3366414"/>
    <w:multiLevelType w:val="hybridMultilevel"/>
    <w:tmpl w:val="82B83708"/>
    <w:lvl w:ilvl="0" w:tplc="EFEAA542">
      <w:start w:val="60"/>
      <w:numFmt w:val="decimal"/>
      <w:lvlText w:val="%1."/>
      <w:lvlJc w:val="left"/>
      <w:pPr>
        <w:ind w:left="630" w:hanging="360"/>
      </w:pPr>
      <w:rPr>
        <w:rFonts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45BDF"/>
    <w:multiLevelType w:val="hybridMultilevel"/>
    <w:tmpl w:val="8886ECA2"/>
    <w:lvl w:ilvl="0" w:tplc="C41C0E5C">
      <w:start w:val="1"/>
      <w:numFmt w:val="decimal"/>
      <w:lvlText w:val="%1."/>
      <w:lvlJc w:val="left"/>
      <w:pPr>
        <w:ind w:left="0" w:firstLine="0"/>
      </w:pPr>
      <w:rPr>
        <w:rFonts w:ascii="Verdana" w:hAnsi="Verdana" w:hint="default"/>
        <w:b w:val="0"/>
        <w:i w:val="0"/>
        <w:strike w:val="0"/>
        <w:color w:val="auto"/>
        <w:sz w:val="20"/>
        <w:szCs w:val="20"/>
        <w:lang w:val="es-AR"/>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6A7656C"/>
    <w:multiLevelType w:val="hybridMultilevel"/>
    <w:tmpl w:val="3F2272B8"/>
    <w:lvl w:ilvl="0" w:tplc="3BD24E3A">
      <w:start w:val="1"/>
      <w:numFmt w:val="decimal"/>
      <w:lvlText w:val="A.%1."/>
      <w:lvlJc w:val="left"/>
      <w:pPr>
        <w:ind w:left="1353" w:hanging="360"/>
      </w:pPr>
      <w:rPr>
        <w:rFonts w:hint="default"/>
        <w:b/>
        <w:i w:val="0"/>
      </w:rPr>
    </w:lvl>
    <w:lvl w:ilvl="1" w:tplc="B1BE33EE">
      <w:start w:val="1"/>
      <w:numFmt w:val="lowerRoman"/>
      <w:lvlText w:val="%2."/>
      <w:lvlJc w:val="left"/>
      <w:pPr>
        <w:ind w:left="786" w:hanging="360"/>
      </w:pPr>
      <w:rPr>
        <w:rFonts w:ascii="Verdana" w:eastAsia="Batang" w:hAnsi="Verdana" w:cstheme="minorBidi"/>
      </w:rPr>
    </w:lvl>
    <w:lvl w:ilvl="2" w:tplc="0409001B">
      <w:start w:val="1"/>
      <w:numFmt w:val="lowerRoman"/>
      <w:lvlText w:val="%3."/>
      <w:lvlJc w:val="right"/>
      <w:pPr>
        <w:ind w:left="1876" w:hanging="180"/>
      </w:pPr>
    </w:lvl>
    <w:lvl w:ilvl="3" w:tplc="B50ACB34">
      <w:start w:val="1"/>
      <w:numFmt w:val="decimal"/>
      <w:lvlText w:val="%4."/>
      <w:lvlJc w:val="left"/>
      <w:pPr>
        <w:ind w:left="2596" w:hanging="360"/>
      </w:pPr>
      <w:rPr>
        <w:rFonts w:ascii="Verdana" w:hAnsi="Verdana" w:hint="default"/>
        <w:i w:val="0"/>
        <w:sz w:val="20"/>
        <w:szCs w:val="20"/>
      </w:r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5" w15:restartNumberingAfterBreak="0">
    <w:nsid w:val="38792EA1"/>
    <w:multiLevelType w:val="hybridMultilevel"/>
    <w:tmpl w:val="70CE1AC4"/>
    <w:lvl w:ilvl="0" w:tplc="EF16D824">
      <w:start w:val="1"/>
      <w:numFmt w:val="decimal"/>
      <w:lvlText w:val="%1."/>
      <w:lvlJc w:val="left"/>
      <w:pPr>
        <w:ind w:left="630" w:hanging="360"/>
      </w:pPr>
      <w:rPr>
        <w:rFonts w:hint="default"/>
        <w:b w:val="0"/>
        <w:i w:val="0"/>
        <w:color w:val="auto"/>
        <w:sz w:val="20"/>
        <w:szCs w:val="20"/>
      </w:rPr>
    </w:lvl>
    <w:lvl w:ilvl="1" w:tplc="97F4133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3E64D6"/>
    <w:multiLevelType w:val="hybridMultilevel"/>
    <w:tmpl w:val="2C9E252C"/>
    <w:lvl w:ilvl="0" w:tplc="A4D873B4">
      <w:start w:val="1"/>
      <w:numFmt w:val="upp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4775851"/>
    <w:multiLevelType w:val="hybridMultilevel"/>
    <w:tmpl w:val="C48A54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E06E32"/>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9" w15:restartNumberingAfterBreak="0">
    <w:nsid w:val="570D61F5"/>
    <w:multiLevelType w:val="multilevel"/>
    <w:tmpl w:val="CBFC2916"/>
    <w:lvl w:ilvl="0">
      <w:start w:val="1"/>
      <w:numFmt w:val="upperLetter"/>
      <w:lvlText w:val="%1."/>
      <w:lvlJc w:val="left"/>
      <w:pPr>
        <w:ind w:left="360" w:hanging="360"/>
      </w:pPr>
      <w:rPr>
        <w:rFonts w:hint="default"/>
      </w:rPr>
    </w:lvl>
    <w:lvl w:ilvl="1">
      <w:start w:val="1"/>
      <w:numFmt w:val="none"/>
      <w:lvlText w:val="A.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48091B"/>
    <w:multiLevelType w:val="hybridMultilevel"/>
    <w:tmpl w:val="1E2A8932"/>
    <w:lvl w:ilvl="0" w:tplc="292CF418">
      <w:start w:val="114"/>
      <w:numFmt w:val="decimal"/>
      <w:lvlText w:val="%1."/>
      <w:lvlJc w:val="left"/>
      <w:pPr>
        <w:tabs>
          <w:tab w:val="num" w:pos="0"/>
        </w:tabs>
        <w:ind w:left="0" w:firstLine="0"/>
      </w:pPr>
      <w:rPr>
        <w:rFonts w:hint="default"/>
        <w:b w:val="0"/>
        <w:color w:val="auto"/>
        <w:sz w:val="20"/>
        <w:szCs w:val="20"/>
      </w:rPr>
    </w:lvl>
    <w:lvl w:ilvl="1" w:tplc="6890EB70">
      <w:start w:val="1"/>
      <w:numFmt w:val="decimal"/>
      <w:lvlText w:val="%2."/>
      <w:lvlJc w:val="left"/>
      <w:pPr>
        <w:tabs>
          <w:tab w:val="num" w:pos="1800"/>
        </w:tabs>
        <w:ind w:left="1080" w:firstLine="0"/>
      </w:pPr>
      <w:rPr>
        <w:rFonts w:ascii="Verdana" w:hAnsi="Verdana" w:hint="default"/>
        <w:b w:val="0"/>
        <w:i w:val="0"/>
        <w:color w:val="auto"/>
        <w:sz w:val="20"/>
        <w:szCs w:val="20"/>
        <w:lang w:val="es-CR"/>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0F11A0"/>
    <w:multiLevelType w:val="hybridMultilevel"/>
    <w:tmpl w:val="D22C999A"/>
    <w:lvl w:ilvl="0" w:tplc="4CFE1B38">
      <w:start w:val="144"/>
      <w:numFmt w:val="decimal"/>
      <w:lvlText w:val="%1."/>
      <w:lvlJc w:val="left"/>
      <w:pPr>
        <w:ind w:left="630" w:hanging="360"/>
      </w:pPr>
      <w:rPr>
        <w:rFonts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BD4015"/>
    <w:multiLevelType w:val="hybridMultilevel"/>
    <w:tmpl w:val="2A80DA10"/>
    <w:lvl w:ilvl="0" w:tplc="A4D873B4">
      <w:start w:val="1"/>
      <w:numFmt w:val="upperLetter"/>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FC857F0"/>
    <w:multiLevelType w:val="hybridMultilevel"/>
    <w:tmpl w:val="591016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453F0"/>
    <w:multiLevelType w:val="hybridMultilevel"/>
    <w:tmpl w:val="559CBA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AC7F8B"/>
    <w:multiLevelType w:val="hybridMultilevel"/>
    <w:tmpl w:val="92147DEE"/>
    <w:lvl w:ilvl="0" w:tplc="8CD667A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DF58CC"/>
    <w:multiLevelType w:val="hybridMultilevel"/>
    <w:tmpl w:val="A6408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39608A5"/>
    <w:multiLevelType w:val="hybridMultilevel"/>
    <w:tmpl w:val="FABE0216"/>
    <w:lvl w:ilvl="0" w:tplc="6F323408">
      <w:start w:val="1"/>
      <w:numFmt w:val="decimal"/>
      <w:lvlText w:val="%1."/>
      <w:lvlJc w:val="left"/>
      <w:pPr>
        <w:tabs>
          <w:tab w:val="num" w:pos="5057"/>
        </w:tabs>
      </w:pPr>
      <w:rPr>
        <w:rFonts w:ascii="Verdana" w:eastAsia="Times New Roman" w:hAnsi="Verdana" w:cs="Times New Roman" w:hint="default"/>
        <w:b w:val="0"/>
        <w:i w:val="0"/>
        <w:strike w:val="0"/>
        <w:color w:val="auto"/>
        <w:sz w:val="20"/>
        <w:lang w:val="es-ES"/>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29" w15:restartNumberingAfterBreak="0">
    <w:nsid w:val="79354707"/>
    <w:multiLevelType w:val="hybridMultilevel"/>
    <w:tmpl w:val="15ACBC9A"/>
    <w:lvl w:ilvl="0" w:tplc="98A461BC">
      <w:start w:val="1"/>
      <w:numFmt w:val="decimal"/>
      <w:lvlText w:val="%1."/>
      <w:lvlJc w:val="left"/>
      <w:pPr>
        <w:ind w:left="4653" w:hanging="825"/>
      </w:pPr>
      <w:rPr>
        <w:rFonts w:ascii="Verdana" w:eastAsia="Verdana" w:hAnsi="Verdana" w:cs="Verdana" w:hint="default"/>
        <w:b w:val="0"/>
        <w:i w:val="0"/>
        <w:strike w:val="0"/>
        <w:color w:val="auto"/>
        <w:sz w:val="20"/>
        <w:szCs w:val="20"/>
        <w:lang w:val="es-MX"/>
      </w:rPr>
    </w:lvl>
    <w:lvl w:ilvl="1" w:tplc="140A001B">
      <w:start w:val="1"/>
      <w:numFmt w:val="lowerRoman"/>
      <w:lvlText w:val="%2."/>
      <w:lvlJc w:val="right"/>
      <w:pPr>
        <w:ind w:left="1440" w:hanging="360"/>
      </w:pPr>
    </w:lvl>
    <w:lvl w:ilvl="2" w:tplc="07C0A1FA">
      <w:start w:val="1"/>
      <w:numFmt w:val="lowerRoman"/>
      <w:lvlText w:val="%3."/>
      <w:lvlJc w:val="right"/>
      <w:pPr>
        <w:ind w:left="1031" w:hanging="180"/>
      </w:pPr>
      <w:rPr>
        <w:rFonts w:ascii="Verdana" w:eastAsia="Batang" w:hAnsi="Verdana" w:cstheme="minorBidi"/>
        <w:i w:val="0"/>
        <w:strike w:val="0"/>
      </w:rPr>
    </w:lvl>
    <w:lvl w:ilvl="3" w:tplc="664CD6A6">
      <w:start w:val="1"/>
      <w:numFmt w:val="decimal"/>
      <w:lvlText w:val="D.7.%4."/>
      <w:lvlJc w:val="left"/>
      <w:pPr>
        <w:ind w:left="2880" w:hanging="360"/>
      </w:pPr>
      <w:rPr>
        <w:rFonts w:hint="default"/>
        <w:lang w:val="es-AR"/>
      </w:r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5B9ABF92">
      <w:start w:val="1"/>
      <w:numFmt w:val="decimal"/>
      <w:lvlText w:val="A.%7."/>
      <w:lvlJc w:val="left"/>
      <w:pPr>
        <w:ind w:left="1778" w:hanging="360"/>
      </w:pPr>
      <w:rPr>
        <w:rFonts w:hint="default"/>
        <w:b w:val="0"/>
        <w:i/>
      </w:r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7EA012FB"/>
    <w:multiLevelType w:val="hybridMultilevel"/>
    <w:tmpl w:val="B832DD1A"/>
    <w:lvl w:ilvl="0" w:tplc="DBBC5F56">
      <w:start w:val="1"/>
      <w:numFmt w:val="decimal"/>
      <w:lvlText w:val="%1."/>
      <w:lvlJc w:val="left"/>
      <w:pPr>
        <w:ind w:left="720" w:hanging="360"/>
      </w:pPr>
      <w:rPr>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B4397"/>
    <w:multiLevelType w:val="hybridMultilevel"/>
    <w:tmpl w:val="62CA62A4"/>
    <w:lvl w:ilvl="0" w:tplc="F036024A">
      <w:start w:val="83"/>
      <w:numFmt w:val="decimal"/>
      <w:lvlText w:val="%1."/>
      <w:lvlJc w:val="left"/>
      <w:pPr>
        <w:ind w:left="540" w:hanging="360"/>
      </w:pPr>
      <w:rPr>
        <w:rFonts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5"/>
  </w:num>
  <w:num w:numId="4">
    <w:abstractNumId w:val="19"/>
  </w:num>
  <w:num w:numId="5">
    <w:abstractNumId w:val="22"/>
  </w:num>
  <w:num w:numId="6">
    <w:abstractNumId w:val="1"/>
  </w:num>
  <w:num w:numId="7">
    <w:abstractNumId w:val="16"/>
  </w:num>
  <w:num w:numId="8">
    <w:abstractNumId w:val="10"/>
  </w:num>
  <w:num w:numId="9">
    <w:abstractNumId w:val="23"/>
  </w:num>
  <w:num w:numId="10">
    <w:abstractNumId w:val="9"/>
  </w:num>
  <w:num w:numId="11">
    <w:abstractNumId w:val="24"/>
  </w:num>
  <w:num w:numId="12">
    <w:abstractNumId w:val="7"/>
  </w:num>
  <w:num w:numId="13">
    <w:abstractNumId w:val="17"/>
  </w:num>
  <w:num w:numId="14">
    <w:abstractNumId w:val="8"/>
  </w:num>
  <w:num w:numId="15">
    <w:abstractNumId w:val="26"/>
  </w:num>
  <w:num w:numId="16">
    <w:abstractNumId w:val="29"/>
  </w:num>
  <w:num w:numId="17">
    <w:abstractNumId w:val="4"/>
  </w:num>
  <w:num w:numId="18">
    <w:abstractNumId w:val="2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0"/>
  </w:num>
  <w:num w:numId="22">
    <w:abstractNumId w:val="11"/>
  </w:num>
  <w:num w:numId="23">
    <w:abstractNumId w:val="18"/>
  </w:num>
  <w:num w:numId="24">
    <w:abstractNumId w:val="30"/>
  </w:num>
  <w:num w:numId="25">
    <w:abstractNumId w:val="5"/>
  </w:num>
  <w:num w:numId="26">
    <w:abstractNumId w:val="6"/>
  </w:num>
  <w:num w:numId="27">
    <w:abstractNumId w:val="31"/>
  </w:num>
  <w:num w:numId="28">
    <w:abstractNumId w:val="14"/>
  </w:num>
  <w:num w:numId="29">
    <w:abstractNumId w:val="28"/>
  </w:num>
  <w:num w:numId="30">
    <w:abstractNumId w:val="0"/>
  </w:num>
  <w:num w:numId="31">
    <w:abstractNumId w:val="3"/>
  </w:num>
  <w:num w:numId="32">
    <w:abstractNumId w:val="21"/>
  </w:num>
  <w:num w:numId="33">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8C"/>
    <w:rsid w:val="000009B3"/>
    <w:rsid w:val="00002B7A"/>
    <w:rsid w:val="00003BA4"/>
    <w:rsid w:val="0000517A"/>
    <w:rsid w:val="00006237"/>
    <w:rsid w:val="00006711"/>
    <w:rsid w:val="000067A9"/>
    <w:rsid w:val="000068DB"/>
    <w:rsid w:val="00006FF7"/>
    <w:rsid w:val="0001156D"/>
    <w:rsid w:val="00011C2E"/>
    <w:rsid w:val="00012242"/>
    <w:rsid w:val="00013536"/>
    <w:rsid w:val="00013968"/>
    <w:rsid w:val="000156DE"/>
    <w:rsid w:val="000163A4"/>
    <w:rsid w:val="00016F09"/>
    <w:rsid w:val="00020A86"/>
    <w:rsid w:val="0002390F"/>
    <w:rsid w:val="00023997"/>
    <w:rsid w:val="00023C42"/>
    <w:rsid w:val="00023EA4"/>
    <w:rsid w:val="0002513A"/>
    <w:rsid w:val="00025864"/>
    <w:rsid w:val="00025F36"/>
    <w:rsid w:val="00026758"/>
    <w:rsid w:val="0003130C"/>
    <w:rsid w:val="00031728"/>
    <w:rsid w:val="00031987"/>
    <w:rsid w:val="00031DF1"/>
    <w:rsid w:val="000324AD"/>
    <w:rsid w:val="00033463"/>
    <w:rsid w:val="00034AB3"/>
    <w:rsid w:val="0003594F"/>
    <w:rsid w:val="000409DC"/>
    <w:rsid w:val="00041CE3"/>
    <w:rsid w:val="000427AF"/>
    <w:rsid w:val="000434B5"/>
    <w:rsid w:val="0004380C"/>
    <w:rsid w:val="00044C56"/>
    <w:rsid w:val="00045062"/>
    <w:rsid w:val="0004594D"/>
    <w:rsid w:val="0004730B"/>
    <w:rsid w:val="000508DC"/>
    <w:rsid w:val="00050A6B"/>
    <w:rsid w:val="00052E61"/>
    <w:rsid w:val="000539EE"/>
    <w:rsid w:val="0005453C"/>
    <w:rsid w:val="00056C79"/>
    <w:rsid w:val="000578AA"/>
    <w:rsid w:val="0006095B"/>
    <w:rsid w:val="000615D6"/>
    <w:rsid w:val="00061F86"/>
    <w:rsid w:val="00064E7E"/>
    <w:rsid w:val="00065DA4"/>
    <w:rsid w:val="00067BE9"/>
    <w:rsid w:val="00067C1B"/>
    <w:rsid w:val="00067E5E"/>
    <w:rsid w:val="00070711"/>
    <w:rsid w:val="00072D4C"/>
    <w:rsid w:val="00072E98"/>
    <w:rsid w:val="00075021"/>
    <w:rsid w:val="00076A06"/>
    <w:rsid w:val="0007773B"/>
    <w:rsid w:val="0008139C"/>
    <w:rsid w:val="00081D86"/>
    <w:rsid w:val="0008274A"/>
    <w:rsid w:val="00083F4E"/>
    <w:rsid w:val="000849D0"/>
    <w:rsid w:val="00085071"/>
    <w:rsid w:val="00085F5F"/>
    <w:rsid w:val="00087FF6"/>
    <w:rsid w:val="0009103A"/>
    <w:rsid w:val="000915A7"/>
    <w:rsid w:val="00092103"/>
    <w:rsid w:val="00095CE8"/>
    <w:rsid w:val="00097DF2"/>
    <w:rsid w:val="00097E28"/>
    <w:rsid w:val="000A0C91"/>
    <w:rsid w:val="000A40A6"/>
    <w:rsid w:val="000A5058"/>
    <w:rsid w:val="000A64D4"/>
    <w:rsid w:val="000A7E49"/>
    <w:rsid w:val="000B0B64"/>
    <w:rsid w:val="000B1FE7"/>
    <w:rsid w:val="000B3A08"/>
    <w:rsid w:val="000B4332"/>
    <w:rsid w:val="000B47C3"/>
    <w:rsid w:val="000C00D5"/>
    <w:rsid w:val="000C13AD"/>
    <w:rsid w:val="000C1593"/>
    <w:rsid w:val="000C21B4"/>
    <w:rsid w:val="000C2B2F"/>
    <w:rsid w:val="000C36B0"/>
    <w:rsid w:val="000C487B"/>
    <w:rsid w:val="000C4CFC"/>
    <w:rsid w:val="000C4D5F"/>
    <w:rsid w:val="000C50BE"/>
    <w:rsid w:val="000C695A"/>
    <w:rsid w:val="000C76D9"/>
    <w:rsid w:val="000D227B"/>
    <w:rsid w:val="000D417F"/>
    <w:rsid w:val="000D4AAB"/>
    <w:rsid w:val="000D6E58"/>
    <w:rsid w:val="000D7A38"/>
    <w:rsid w:val="000D7BF7"/>
    <w:rsid w:val="000E02FC"/>
    <w:rsid w:val="000E0EE8"/>
    <w:rsid w:val="000E49B3"/>
    <w:rsid w:val="000E6749"/>
    <w:rsid w:val="000F0431"/>
    <w:rsid w:val="000F0A6E"/>
    <w:rsid w:val="000F0EA2"/>
    <w:rsid w:val="000F0EF8"/>
    <w:rsid w:val="000F1041"/>
    <w:rsid w:val="000F1463"/>
    <w:rsid w:val="000F21EF"/>
    <w:rsid w:val="000F3EF1"/>
    <w:rsid w:val="000F4132"/>
    <w:rsid w:val="000F49B1"/>
    <w:rsid w:val="000F4CE2"/>
    <w:rsid w:val="0010033B"/>
    <w:rsid w:val="00101458"/>
    <w:rsid w:val="0010159A"/>
    <w:rsid w:val="00101EB7"/>
    <w:rsid w:val="00103EDB"/>
    <w:rsid w:val="001043FB"/>
    <w:rsid w:val="001047BB"/>
    <w:rsid w:val="0010489C"/>
    <w:rsid w:val="0010679B"/>
    <w:rsid w:val="00110786"/>
    <w:rsid w:val="0011393D"/>
    <w:rsid w:val="00113F09"/>
    <w:rsid w:val="00114A44"/>
    <w:rsid w:val="00115B6D"/>
    <w:rsid w:val="00115ED5"/>
    <w:rsid w:val="00116672"/>
    <w:rsid w:val="00116750"/>
    <w:rsid w:val="001171A7"/>
    <w:rsid w:val="00117227"/>
    <w:rsid w:val="0011748E"/>
    <w:rsid w:val="00120018"/>
    <w:rsid w:val="001217E6"/>
    <w:rsid w:val="00122843"/>
    <w:rsid w:val="0012353A"/>
    <w:rsid w:val="00125B1D"/>
    <w:rsid w:val="0012629D"/>
    <w:rsid w:val="00127A14"/>
    <w:rsid w:val="001328CF"/>
    <w:rsid w:val="0013597F"/>
    <w:rsid w:val="00135A2E"/>
    <w:rsid w:val="00135B9C"/>
    <w:rsid w:val="00135C3F"/>
    <w:rsid w:val="00136124"/>
    <w:rsid w:val="001370B6"/>
    <w:rsid w:val="00137860"/>
    <w:rsid w:val="00137EBB"/>
    <w:rsid w:val="00143E72"/>
    <w:rsid w:val="00144368"/>
    <w:rsid w:val="00146152"/>
    <w:rsid w:val="001546CD"/>
    <w:rsid w:val="001551B3"/>
    <w:rsid w:val="00155C48"/>
    <w:rsid w:val="001637DD"/>
    <w:rsid w:val="00164D2F"/>
    <w:rsid w:val="00164D74"/>
    <w:rsid w:val="00164FBA"/>
    <w:rsid w:val="0016575D"/>
    <w:rsid w:val="00167713"/>
    <w:rsid w:val="0017031C"/>
    <w:rsid w:val="00170946"/>
    <w:rsid w:val="001713FE"/>
    <w:rsid w:val="00171B03"/>
    <w:rsid w:val="00172A4D"/>
    <w:rsid w:val="001744F8"/>
    <w:rsid w:val="001764DF"/>
    <w:rsid w:val="00180143"/>
    <w:rsid w:val="00180DF6"/>
    <w:rsid w:val="00181076"/>
    <w:rsid w:val="001823AE"/>
    <w:rsid w:val="0018240B"/>
    <w:rsid w:val="00183086"/>
    <w:rsid w:val="00183AC2"/>
    <w:rsid w:val="00184E58"/>
    <w:rsid w:val="00185CF0"/>
    <w:rsid w:val="00186245"/>
    <w:rsid w:val="00186D08"/>
    <w:rsid w:val="00186F8C"/>
    <w:rsid w:val="001870D6"/>
    <w:rsid w:val="001878B5"/>
    <w:rsid w:val="00190515"/>
    <w:rsid w:val="00190DDB"/>
    <w:rsid w:val="001917B6"/>
    <w:rsid w:val="00192029"/>
    <w:rsid w:val="00192D5B"/>
    <w:rsid w:val="00192E47"/>
    <w:rsid w:val="0019595A"/>
    <w:rsid w:val="00197AA2"/>
    <w:rsid w:val="00197E86"/>
    <w:rsid w:val="001A0CD8"/>
    <w:rsid w:val="001A3F77"/>
    <w:rsid w:val="001A60A1"/>
    <w:rsid w:val="001A6A6F"/>
    <w:rsid w:val="001B0809"/>
    <w:rsid w:val="001B1641"/>
    <w:rsid w:val="001B221E"/>
    <w:rsid w:val="001B22FF"/>
    <w:rsid w:val="001B2B94"/>
    <w:rsid w:val="001B42BF"/>
    <w:rsid w:val="001B5D9B"/>
    <w:rsid w:val="001B6CE8"/>
    <w:rsid w:val="001B70E8"/>
    <w:rsid w:val="001B726A"/>
    <w:rsid w:val="001C086F"/>
    <w:rsid w:val="001C0927"/>
    <w:rsid w:val="001C1223"/>
    <w:rsid w:val="001C18DD"/>
    <w:rsid w:val="001C1AB8"/>
    <w:rsid w:val="001C228E"/>
    <w:rsid w:val="001C29DD"/>
    <w:rsid w:val="001C2A40"/>
    <w:rsid w:val="001C3918"/>
    <w:rsid w:val="001C4CEA"/>
    <w:rsid w:val="001C5AFC"/>
    <w:rsid w:val="001C66BE"/>
    <w:rsid w:val="001C6D04"/>
    <w:rsid w:val="001D0492"/>
    <w:rsid w:val="001D1111"/>
    <w:rsid w:val="001D1742"/>
    <w:rsid w:val="001D4224"/>
    <w:rsid w:val="001D4262"/>
    <w:rsid w:val="001D4EB9"/>
    <w:rsid w:val="001D5C18"/>
    <w:rsid w:val="001D7EE2"/>
    <w:rsid w:val="001E0244"/>
    <w:rsid w:val="001E1B81"/>
    <w:rsid w:val="001E50A6"/>
    <w:rsid w:val="001E5A6C"/>
    <w:rsid w:val="001E6409"/>
    <w:rsid w:val="001E7666"/>
    <w:rsid w:val="001F0513"/>
    <w:rsid w:val="001F3B8E"/>
    <w:rsid w:val="001F3CA3"/>
    <w:rsid w:val="001F43E2"/>
    <w:rsid w:val="001F4EF3"/>
    <w:rsid w:val="001F51FA"/>
    <w:rsid w:val="001F62F2"/>
    <w:rsid w:val="001F67A3"/>
    <w:rsid w:val="001F7EDB"/>
    <w:rsid w:val="002008D5"/>
    <w:rsid w:val="00201A1F"/>
    <w:rsid w:val="00202640"/>
    <w:rsid w:val="0020308A"/>
    <w:rsid w:val="00204757"/>
    <w:rsid w:val="00204DE2"/>
    <w:rsid w:val="00205B6B"/>
    <w:rsid w:val="00206FFA"/>
    <w:rsid w:val="002077F5"/>
    <w:rsid w:val="00212AF2"/>
    <w:rsid w:val="0021375B"/>
    <w:rsid w:val="0021411F"/>
    <w:rsid w:val="00214603"/>
    <w:rsid w:val="00214BD5"/>
    <w:rsid w:val="00216EF0"/>
    <w:rsid w:val="0021715A"/>
    <w:rsid w:val="00222203"/>
    <w:rsid w:val="00222B56"/>
    <w:rsid w:val="002233FC"/>
    <w:rsid w:val="002244B9"/>
    <w:rsid w:val="00233981"/>
    <w:rsid w:val="00233B0E"/>
    <w:rsid w:val="00234022"/>
    <w:rsid w:val="00234427"/>
    <w:rsid w:val="00236AA7"/>
    <w:rsid w:val="00237421"/>
    <w:rsid w:val="002412A4"/>
    <w:rsid w:val="002431D0"/>
    <w:rsid w:val="00243CA3"/>
    <w:rsid w:val="00244797"/>
    <w:rsid w:val="00246F20"/>
    <w:rsid w:val="00250760"/>
    <w:rsid w:val="0025078D"/>
    <w:rsid w:val="00252673"/>
    <w:rsid w:val="00252698"/>
    <w:rsid w:val="0025269E"/>
    <w:rsid w:val="00252AA7"/>
    <w:rsid w:val="00253FFB"/>
    <w:rsid w:val="00254165"/>
    <w:rsid w:val="002554CF"/>
    <w:rsid w:val="002610D7"/>
    <w:rsid w:val="00262604"/>
    <w:rsid w:val="00266E92"/>
    <w:rsid w:val="00267801"/>
    <w:rsid w:val="0027192E"/>
    <w:rsid w:val="00277424"/>
    <w:rsid w:val="00277E10"/>
    <w:rsid w:val="00280C8C"/>
    <w:rsid w:val="002832F2"/>
    <w:rsid w:val="00284E3E"/>
    <w:rsid w:val="002855B8"/>
    <w:rsid w:val="002875F4"/>
    <w:rsid w:val="00291025"/>
    <w:rsid w:val="00292622"/>
    <w:rsid w:val="00295CAC"/>
    <w:rsid w:val="00295EA0"/>
    <w:rsid w:val="00296004"/>
    <w:rsid w:val="002967C2"/>
    <w:rsid w:val="002A13C8"/>
    <w:rsid w:val="002A2203"/>
    <w:rsid w:val="002A2546"/>
    <w:rsid w:val="002A3107"/>
    <w:rsid w:val="002A52CA"/>
    <w:rsid w:val="002A665A"/>
    <w:rsid w:val="002B01E9"/>
    <w:rsid w:val="002B32E5"/>
    <w:rsid w:val="002B4540"/>
    <w:rsid w:val="002C1F3A"/>
    <w:rsid w:val="002C2AF5"/>
    <w:rsid w:val="002C34A4"/>
    <w:rsid w:val="002C4EF1"/>
    <w:rsid w:val="002C5F82"/>
    <w:rsid w:val="002C626F"/>
    <w:rsid w:val="002D1DB4"/>
    <w:rsid w:val="002D2C7D"/>
    <w:rsid w:val="002D30D6"/>
    <w:rsid w:val="002D3FD4"/>
    <w:rsid w:val="002D6DA2"/>
    <w:rsid w:val="002E02F5"/>
    <w:rsid w:val="002E1E40"/>
    <w:rsid w:val="002E2503"/>
    <w:rsid w:val="002E2A26"/>
    <w:rsid w:val="002E5376"/>
    <w:rsid w:val="002E574D"/>
    <w:rsid w:val="002E6C08"/>
    <w:rsid w:val="002E775D"/>
    <w:rsid w:val="002F1935"/>
    <w:rsid w:val="002F1DA0"/>
    <w:rsid w:val="002F249F"/>
    <w:rsid w:val="002F2AAF"/>
    <w:rsid w:val="002F38BE"/>
    <w:rsid w:val="002F787F"/>
    <w:rsid w:val="00300BB2"/>
    <w:rsid w:val="00302453"/>
    <w:rsid w:val="00302E2B"/>
    <w:rsid w:val="0030324F"/>
    <w:rsid w:val="003051D1"/>
    <w:rsid w:val="0030560F"/>
    <w:rsid w:val="00305E40"/>
    <w:rsid w:val="00306333"/>
    <w:rsid w:val="0031014D"/>
    <w:rsid w:val="0031135B"/>
    <w:rsid w:val="003119F2"/>
    <w:rsid w:val="00311BBF"/>
    <w:rsid w:val="00311D71"/>
    <w:rsid w:val="0031210F"/>
    <w:rsid w:val="00312A0B"/>
    <w:rsid w:val="00313DDE"/>
    <w:rsid w:val="00313E97"/>
    <w:rsid w:val="00314A76"/>
    <w:rsid w:val="00316287"/>
    <w:rsid w:val="00316DCA"/>
    <w:rsid w:val="0031702B"/>
    <w:rsid w:val="0031784C"/>
    <w:rsid w:val="00317E43"/>
    <w:rsid w:val="00322EC3"/>
    <w:rsid w:val="00323102"/>
    <w:rsid w:val="00325B9F"/>
    <w:rsid w:val="003265D0"/>
    <w:rsid w:val="00326FA4"/>
    <w:rsid w:val="00327051"/>
    <w:rsid w:val="0033029A"/>
    <w:rsid w:val="003315A9"/>
    <w:rsid w:val="00331D70"/>
    <w:rsid w:val="00333733"/>
    <w:rsid w:val="0033586C"/>
    <w:rsid w:val="003367EB"/>
    <w:rsid w:val="00337D96"/>
    <w:rsid w:val="003406D3"/>
    <w:rsid w:val="00340A9B"/>
    <w:rsid w:val="00341108"/>
    <w:rsid w:val="00341CD1"/>
    <w:rsid w:val="0034255E"/>
    <w:rsid w:val="00343198"/>
    <w:rsid w:val="00344321"/>
    <w:rsid w:val="0034467E"/>
    <w:rsid w:val="00344AE1"/>
    <w:rsid w:val="003451D7"/>
    <w:rsid w:val="00347AFD"/>
    <w:rsid w:val="00350AEB"/>
    <w:rsid w:val="0035294B"/>
    <w:rsid w:val="003551F1"/>
    <w:rsid w:val="00355295"/>
    <w:rsid w:val="0035687C"/>
    <w:rsid w:val="00362199"/>
    <w:rsid w:val="003632B0"/>
    <w:rsid w:val="00364DE3"/>
    <w:rsid w:val="00365213"/>
    <w:rsid w:val="00365284"/>
    <w:rsid w:val="00365D2C"/>
    <w:rsid w:val="00366DE5"/>
    <w:rsid w:val="00370035"/>
    <w:rsid w:val="00371625"/>
    <w:rsid w:val="00372E73"/>
    <w:rsid w:val="00373066"/>
    <w:rsid w:val="0037361A"/>
    <w:rsid w:val="003740C1"/>
    <w:rsid w:val="00374CFB"/>
    <w:rsid w:val="00374E56"/>
    <w:rsid w:val="00375380"/>
    <w:rsid w:val="00375CA2"/>
    <w:rsid w:val="00377145"/>
    <w:rsid w:val="003803AD"/>
    <w:rsid w:val="003826E5"/>
    <w:rsid w:val="00385AA1"/>
    <w:rsid w:val="00386B6B"/>
    <w:rsid w:val="003870FB"/>
    <w:rsid w:val="003916D9"/>
    <w:rsid w:val="003957B4"/>
    <w:rsid w:val="00396004"/>
    <w:rsid w:val="003A1084"/>
    <w:rsid w:val="003A1CEF"/>
    <w:rsid w:val="003A367C"/>
    <w:rsid w:val="003A44DD"/>
    <w:rsid w:val="003A4715"/>
    <w:rsid w:val="003A4D32"/>
    <w:rsid w:val="003A4E99"/>
    <w:rsid w:val="003A6641"/>
    <w:rsid w:val="003A687A"/>
    <w:rsid w:val="003A7AC8"/>
    <w:rsid w:val="003A7FE3"/>
    <w:rsid w:val="003B1CBC"/>
    <w:rsid w:val="003B5F6F"/>
    <w:rsid w:val="003B6278"/>
    <w:rsid w:val="003C0F5B"/>
    <w:rsid w:val="003C2A11"/>
    <w:rsid w:val="003C3B95"/>
    <w:rsid w:val="003C5E14"/>
    <w:rsid w:val="003D1430"/>
    <w:rsid w:val="003D247C"/>
    <w:rsid w:val="003D25F6"/>
    <w:rsid w:val="003D2ED2"/>
    <w:rsid w:val="003D491E"/>
    <w:rsid w:val="003D4BF9"/>
    <w:rsid w:val="003D56FF"/>
    <w:rsid w:val="003D5F80"/>
    <w:rsid w:val="003D6326"/>
    <w:rsid w:val="003D6885"/>
    <w:rsid w:val="003D77E0"/>
    <w:rsid w:val="003E01BC"/>
    <w:rsid w:val="003E0E30"/>
    <w:rsid w:val="003E32BC"/>
    <w:rsid w:val="003E4D62"/>
    <w:rsid w:val="003E5183"/>
    <w:rsid w:val="003E714B"/>
    <w:rsid w:val="003E778B"/>
    <w:rsid w:val="003F02CC"/>
    <w:rsid w:val="003F23B6"/>
    <w:rsid w:val="003F3C78"/>
    <w:rsid w:val="003F49FA"/>
    <w:rsid w:val="003F5207"/>
    <w:rsid w:val="003F7E9D"/>
    <w:rsid w:val="00400BCB"/>
    <w:rsid w:val="0040345C"/>
    <w:rsid w:val="00404948"/>
    <w:rsid w:val="004057FD"/>
    <w:rsid w:val="00407539"/>
    <w:rsid w:val="004079A7"/>
    <w:rsid w:val="00410018"/>
    <w:rsid w:val="00410A27"/>
    <w:rsid w:val="004118EE"/>
    <w:rsid w:val="004119B0"/>
    <w:rsid w:val="00412A41"/>
    <w:rsid w:val="004132F5"/>
    <w:rsid w:val="00414265"/>
    <w:rsid w:val="0041591A"/>
    <w:rsid w:val="00417658"/>
    <w:rsid w:val="004204C9"/>
    <w:rsid w:val="00422C33"/>
    <w:rsid w:val="00422D28"/>
    <w:rsid w:val="0042501D"/>
    <w:rsid w:val="00426482"/>
    <w:rsid w:val="00430438"/>
    <w:rsid w:val="00430DDD"/>
    <w:rsid w:val="00434146"/>
    <w:rsid w:val="0043588A"/>
    <w:rsid w:val="00440116"/>
    <w:rsid w:val="00440B27"/>
    <w:rsid w:val="00441C59"/>
    <w:rsid w:val="00441FE3"/>
    <w:rsid w:val="00443956"/>
    <w:rsid w:val="00445007"/>
    <w:rsid w:val="004452C6"/>
    <w:rsid w:val="00445AA9"/>
    <w:rsid w:val="00447733"/>
    <w:rsid w:val="00450453"/>
    <w:rsid w:val="00451DB9"/>
    <w:rsid w:val="004528A0"/>
    <w:rsid w:val="00453136"/>
    <w:rsid w:val="004544B7"/>
    <w:rsid w:val="00455166"/>
    <w:rsid w:val="00456B5F"/>
    <w:rsid w:val="004579CE"/>
    <w:rsid w:val="004604A9"/>
    <w:rsid w:val="0046081F"/>
    <w:rsid w:val="004620D1"/>
    <w:rsid w:val="00462C90"/>
    <w:rsid w:val="004643E8"/>
    <w:rsid w:val="0046480D"/>
    <w:rsid w:val="00465A33"/>
    <w:rsid w:val="00467F55"/>
    <w:rsid w:val="004706F3"/>
    <w:rsid w:val="00470BBA"/>
    <w:rsid w:val="00472DFB"/>
    <w:rsid w:val="004730E2"/>
    <w:rsid w:val="00473418"/>
    <w:rsid w:val="004747B1"/>
    <w:rsid w:val="00475D81"/>
    <w:rsid w:val="00477DD9"/>
    <w:rsid w:val="004818E5"/>
    <w:rsid w:val="00481D8E"/>
    <w:rsid w:val="00482945"/>
    <w:rsid w:val="00484359"/>
    <w:rsid w:val="0048450F"/>
    <w:rsid w:val="00487F42"/>
    <w:rsid w:val="00492159"/>
    <w:rsid w:val="0049261A"/>
    <w:rsid w:val="00493DC4"/>
    <w:rsid w:val="004953C7"/>
    <w:rsid w:val="0049574B"/>
    <w:rsid w:val="004967C8"/>
    <w:rsid w:val="00496830"/>
    <w:rsid w:val="004974AE"/>
    <w:rsid w:val="004A1345"/>
    <w:rsid w:val="004A20BE"/>
    <w:rsid w:val="004A41C6"/>
    <w:rsid w:val="004A4993"/>
    <w:rsid w:val="004A5455"/>
    <w:rsid w:val="004A5C57"/>
    <w:rsid w:val="004A5D46"/>
    <w:rsid w:val="004B1FA0"/>
    <w:rsid w:val="004B2F99"/>
    <w:rsid w:val="004B3572"/>
    <w:rsid w:val="004B4063"/>
    <w:rsid w:val="004B51B2"/>
    <w:rsid w:val="004B5943"/>
    <w:rsid w:val="004B6F4C"/>
    <w:rsid w:val="004C0D8A"/>
    <w:rsid w:val="004C0F9C"/>
    <w:rsid w:val="004C4405"/>
    <w:rsid w:val="004C4CF3"/>
    <w:rsid w:val="004D018F"/>
    <w:rsid w:val="004D04D6"/>
    <w:rsid w:val="004D103F"/>
    <w:rsid w:val="004D1D2F"/>
    <w:rsid w:val="004D40BD"/>
    <w:rsid w:val="004E00E3"/>
    <w:rsid w:val="004E06AA"/>
    <w:rsid w:val="004E0B06"/>
    <w:rsid w:val="004E0F05"/>
    <w:rsid w:val="004E2ADB"/>
    <w:rsid w:val="004E5116"/>
    <w:rsid w:val="004E5D14"/>
    <w:rsid w:val="004E5ED4"/>
    <w:rsid w:val="004F0468"/>
    <w:rsid w:val="004F1B79"/>
    <w:rsid w:val="004F23F2"/>
    <w:rsid w:val="004F41F1"/>
    <w:rsid w:val="004F71D7"/>
    <w:rsid w:val="004F7638"/>
    <w:rsid w:val="004F7A3E"/>
    <w:rsid w:val="0050113C"/>
    <w:rsid w:val="005033C0"/>
    <w:rsid w:val="0050370F"/>
    <w:rsid w:val="00503743"/>
    <w:rsid w:val="00504799"/>
    <w:rsid w:val="00504C3D"/>
    <w:rsid w:val="00510BE1"/>
    <w:rsid w:val="005126AB"/>
    <w:rsid w:val="00513228"/>
    <w:rsid w:val="00513614"/>
    <w:rsid w:val="0051399E"/>
    <w:rsid w:val="00514FAA"/>
    <w:rsid w:val="00515A1B"/>
    <w:rsid w:val="00516E62"/>
    <w:rsid w:val="005205B7"/>
    <w:rsid w:val="00522CFD"/>
    <w:rsid w:val="00523664"/>
    <w:rsid w:val="00523EFC"/>
    <w:rsid w:val="00524D2F"/>
    <w:rsid w:val="0053042E"/>
    <w:rsid w:val="0053238F"/>
    <w:rsid w:val="005350D5"/>
    <w:rsid w:val="00535643"/>
    <w:rsid w:val="0053598D"/>
    <w:rsid w:val="00536110"/>
    <w:rsid w:val="005362DC"/>
    <w:rsid w:val="00536C85"/>
    <w:rsid w:val="005373D9"/>
    <w:rsid w:val="005409BD"/>
    <w:rsid w:val="00542471"/>
    <w:rsid w:val="00543D37"/>
    <w:rsid w:val="005443C6"/>
    <w:rsid w:val="00544994"/>
    <w:rsid w:val="00545642"/>
    <w:rsid w:val="00547431"/>
    <w:rsid w:val="0055369B"/>
    <w:rsid w:val="00553C39"/>
    <w:rsid w:val="00553C5B"/>
    <w:rsid w:val="00555140"/>
    <w:rsid w:val="0055589F"/>
    <w:rsid w:val="00556B5D"/>
    <w:rsid w:val="00560696"/>
    <w:rsid w:val="00561CCD"/>
    <w:rsid w:val="00562C07"/>
    <w:rsid w:val="00562D6A"/>
    <w:rsid w:val="005647D1"/>
    <w:rsid w:val="00565189"/>
    <w:rsid w:val="00565196"/>
    <w:rsid w:val="005670A4"/>
    <w:rsid w:val="00570876"/>
    <w:rsid w:val="00571CF5"/>
    <w:rsid w:val="00572EC1"/>
    <w:rsid w:val="005770FB"/>
    <w:rsid w:val="005777DA"/>
    <w:rsid w:val="005830CB"/>
    <w:rsid w:val="00584E70"/>
    <w:rsid w:val="00585E02"/>
    <w:rsid w:val="0059006A"/>
    <w:rsid w:val="0059226D"/>
    <w:rsid w:val="00592EF6"/>
    <w:rsid w:val="0059342B"/>
    <w:rsid w:val="005938A4"/>
    <w:rsid w:val="00595B2F"/>
    <w:rsid w:val="00595C09"/>
    <w:rsid w:val="005A04B8"/>
    <w:rsid w:val="005A0516"/>
    <w:rsid w:val="005A063E"/>
    <w:rsid w:val="005A1488"/>
    <w:rsid w:val="005A2EC3"/>
    <w:rsid w:val="005A5A9E"/>
    <w:rsid w:val="005A6DAE"/>
    <w:rsid w:val="005A7483"/>
    <w:rsid w:val="005B0B40"/>
    <w:rsid w:val="005B0BD1"/>
    <w:rsid w:val="005B1D69"/>
    <w:rsid w:val="005B28C2"/>
    <w:rsid w:val="005B34EB"/>
    <w:rsid w:val="005B48E3"/>
    <w:rsid w:val="005B493A"/>
    <w:rsid w:val="005B6652"/>
    <w:rsid w:val="005B66FA"/>
    <w:rsid w:val="005C1949"/>
    <w:rsid w:val="005C211E"/>
    <w:rsid w:val="005C38CA"/>
    <w:rsid w:val="005C593C"/>
    <w:rsid w:val="005C63CC"/>
    <w:rsid w:val="005C64F1"/>
    <w:rsid w:val="005C65B7"/>
    <w:rsid w:val="005C6DE0"/>
    <w:rsid w:val="005D2B4F"/>
    <w:rsid w:val="005D726D"/>
    <w:rsid w:val="005D76D3"/>
    <w:rsid w:val="005D795C"/>
    <w:rsid w:val="005E0E0F"/>
    <w:rsid w:val="005E10DA"/>
    <w:rsid w:val="005E10FE"/>
    <w:rsid w:val="005E1284"/>
    <w:rsid w:val="005E187D"/>
    <w:rsid w:val="005E2142"/>
    <w:rsid w:val="005E3804"/>
    <w:rsid w:val="005E42C6"/>
    <w:rsid w:val="005E492F"/>
    <w:rsid w:val="005E65AB"/>
    <w:rsid w:val="005F0767"/>
    <w:rsid w:val="005F0A8A"/>
    <w:rsid w:val="005F121F"/>
    <w:rsid w:val="005F2A76"/>
    <w:rsid w:val="005F49A2"/>
    <w:rsid w:val="005F5292"/>
    <w:rsid w:val="005F5914"/>
    <w:rsid w:val="00601C52"/>
    <w:rsid w:val="00605AFC"/>
    <w:rsid w:val="0060634E"/>
    <w:rsid w:val="00606E83"/>
    <w:rsid w:val="006073F4"/>
    <w:rsid w:val="00611590"/>
    <w:rsid w:val="00612E9A"/>
    <w:rsid w:val="00612EEC"/>
    <w:rsid w:val="00612F47"/>
    <w:rsid w:val="00613DDE"/>
    <w:rsid w:val="00615188"/>
    <w:rsid w:val="0061535F"/>
    <w:rsid w:val="00615684"/>
    <w:rsid w:val="0061656E"/>
    <w:rsid w:val="00616768"/>
    <w:rsid w:val="006201EB"/>
    <w:rsid w:val="00620778"/>
    <w:rsid w:val="006208A4"/>
    <w:rsid w:val="00620EEB"/>
    <w:rsid w:val="00621ED7"/>
    <w:rsid w:val="00622E2A"/>
    <w:rsid w:val="0062379B"/>
    <w:rsid w:val="00624F7A"/>
    <w:rsid w:val="00625338"/>
    <w:rsid w:val="00627B89"/>
    <w:rsid w:val="00627BB3"/>
    <w:rsid w:val="0063042C"/>
    <w:rsid w:val="0063057C"/>
    <w:rsid w:val="00630C2F"/>
    <w:rsid w:val="00632DBA"/>
    <w:rsid w:val="00633A5F"/>
    <w:rsid w:val="00633D86"/>
    <w:rsid w:val="00633E99"/>
    <w:rsid w:val="006361DF"/>
    <w:rsid w:val="006369A9"/>
    <w:rsid w:val="0063781D"/>
    <w:rsid w:val="00637F20"/>
    <w:rsid w:val="006424A2"/>
    <w:rsid w:val="00642B93"/>
    <w:rsid w:val="00644D78"/>
    <w:rsid w:val="00646189"/>
    <w:rsid w:val="00647301"/>
    <w:rsid w:val="00650685"/>
    <w:rsid w:val="00652A97"/>
    <w:rsid w:val="00652FD6"/>
    <w:rsid w:val="006549CB"/>
    <w:rsid w:val="00655DAA"/>
    <w:rsid w:val="00661B2E"/>
    <w:rsid w:val="00662762"/>
    <w:rsid w:val="00662A09"/>
    <w:rsid w:val="00663765"/>
    <w:rsid w:val="00665C49"/>
    <w:rsid w:val="0066622C"/>
    <w:rsid w:val="00670478"/>
    <w:rsid w:val="00671F23"/>
    <w:rsid w:val="006725DB"/>
    <w:rsid w:val="00674D80"/>
    <w:rsid w:val="00677E83"/>
    <w:rsid w:val="00681978"/>
    <w:rsid w:val="00683562"/>
    <w:rsid w:val="00683B29"/>
    <w:rsid w:val="00684A8E"/>
    <w:rsid w:val="00684D62"/>
    <w:rsid w:val="0068518D"/>
    <w:rsid w:val="00685247"/>
    <w:rsid w:val="0068576E"/>
    <w:rsid w:val="006938DD"/>
    <w:rsid w:val="00697615"/>
    <w:rsid w:val="006A19B1"/>
    <w:rsid w:val="006A1D19"/>
    <w:rsid w:val="006A37EC"/>
    <w:rsid w:val="006A3FC4"/>
    <w:rsid w:val="006A471D"/>
    <w:rsid w:val="006A6ACB"/>
    <w:rsid w:val="006A7D47"/>
    <w:rsid w:val="006B05C6"/>
    <w:rsid w:val="006B1C31"/>
    <w:rsid w:val="006B2BAD"/>
    <w:rsid w:val="006B2BCC"/>
    <w:rsid w:val="006B3514"/>
    <w:rsid w:val="006B585D"/>
    <w:rsid w:val="006B729B"/>
    <w:rsid w:val="006C10FE"/>
    <w:rsid w:val="006C33FC"/>
    <w:rsid w:val="006C4F7E"/>
    <w:rsid w:val="006C64FB"/>
    <w:rsid w:val="006C73A8"/>
    <w:rsid w:val="006D006A"/>
    <w:rsid w:val="006D0C79"/>
    <w:rsid w:val="006D2540"/>
    <w:rsid w:val="006D30FF"/>
    <w:rsid w:val="006D4A4C"/>
    <w:rsid w:val="006D50C0"/>
    <w:rsid w:val="006D5A04"/>
    <w:rsid w:val="006D680C"/>
    <w:rsid w:val="006D6BFA"/>
    <w:rsid w:val="006D6FBC"/>
    <w:rsid w:val="006D78D2"/>
    <w:rsid w:val="006E0589"/>
    <w:rsid w:val="006E1D1F"/>
    <w:rsid w:val="006E66EF"/>
    <w:rsid w:val="006E6888"/>
    <w:rsid w:val="006F102D"/>
    <w:rsid w:val="006F2907"/>
    <w:rsid w:val="006F3B54"/>
    <w:rsid w:val="006F3C74"/>
    <w:rsid w:val="006F4688"/>
    <w:rsid w:val="006F5C24"/>
    <w:rsid w:val="006F5C55"/>
    <w:rsid w:val="006F62C1"/>
    <w:rsid w:val="006F6D1E"/>
    <w:rsid w:val="006F70D5"/>
    <w:rsid w:val="006F7373"/>
    <w:rsid w:val="00702267"/>
    <w:rsid w:val="00703C4E"/>
    <w:rsid w:val="00705F40"/>
    <w:rsid w:val="00706767"/>
    <w:rsid w:val="00706FC2"/>
    <w:rsid w:val="007079F0"/>
    <w:rsid w:val="00710A14"/>
    <w:rsid w:val="007117C2"/>
    <w:rsid w:val="007117E6"/>
    <w:rsid w:val="00716B37"/>
    <w:rsid w:val="00720099"/>
    <w:rsid w:val="007200C6"/>
    <w:rsid w:val="007216D8"/>
    <w:rsid w:val="007224A2"/>
    <w:rsid w:val="00722603"/>
    <w:rsid w:val="00723E71"/>
    <w:rsid w:val="00724AE2"/>
    <w:rsid w:val="007266B2"/>
    <w:rsid w:val="00731587"/>
    <w:rsid w:val="0073250F"/>
    <w:rsid w:val="0073479A"/>
    <w:rsid w:val="00734AF2"/>
    <w:rsid w:val="0073668E"/>
    <w:rsid w:val="0074034B"/>
    <w:rsid w:val="00740579"/>
    <w:rsid w:val="00742623"/>
    <w:rsid w:val="007438AC"/>
    <w:rsid w:val="0074448E"/>
    <w:rsid w:val="00745A84"/>
    <w:rsid w:val="00745D75"/>
    <w:rsid w:val="00750363"/>
    <w:rsid w:val="007503C7"/>
    <w:rsid w:val="00750940"/>
    <w:rsid w:val="007513CE"/>
    <w:rsid w:val="007523A2"/>
    <w:rsid w:val="00754417"/>
    <w:rsid w:val="00754494"/>
    <w:rsid w:val="00754C75"/>
    <w:rsid w:val="00755476"/>
    <w:rsid w:val="00755BFC"/>
    <w:rsid w:val="00756E64"/>
    <w:rsid w:val="00757F5D"/>
    <w:rsid w:val="00761654"/>
    <w:rsid w:val="0076411F"/>
    <w:rsid w:val="0076565C"/>
    <w:rsid w:val="00765D20"/>
    <w:rsid w:val="007670AE"/>
    <w:rsid w:val="00767CD1"/>
    <w:rsid w:val="0077126F"/>
    <w:rsid w:val="0077300B"/>
    <w:rsid w:val="00773CCB"/>
    <w:rsid w:val="00775142"/>
    <w:rsid w:val="007808A2"/>
    <w:rsid w:val="007839BB"/>
    <w:rsid w:val="00784A53"/>
    <w:rsid w:val="0078680A"/>
    <w:rsid w:val="00787211"/>
    <w:rsid w:val="00787281"/>
    <w:rsid w:val="00787AB5"/>
    <w:rsid w:val="00790B88"/>
    <w:rsid w:val="00794603"/>
    <w:rsid w:val="0079528D"/>
    <w:rsid w:val="0079580E"/>
    <w:rsid w:val="00796215"/>
    <w:rsid w:val="0079755F"/>
    <w:rsid w:val="007A22E9"/>
    <w:rsid w:val="007A3D40"/>
    <w:rsid w:val="007A4080"/>
    <w:rsid w:val="007A4C72"/>
    <w:rsid w:val="007A4D4E"/>
    <w:rsid w:val="007A5225"/>
    <w:rsid w:val="007A558C"/>
    <w:rsid w:val="007A5860"/>
    <w:rsid w:val="007A6C1B"/>
    <w:rsid w:val="007A7595"/>
    <w:rsid w:val="007B0104"/>
    <w:rsid w:val="007B0678"/>
    <w:rsid w:val="007B096F"/>
    <w:rsid w:val="007B204C"/>
    <w:rsid w:val="007B2762"/>
    <w:rsid w:val="007B7062"/>
    <w:rsid w:val="007B76DA"/>
    <w:rsid w:val="007B79F8"/>
    <w:rsid w:val="007B7A9A"/>
    <w:rsid w:val="007C0781"/>
    <w:rsid w:val="007C1952"/>
    <w:rsid w:val="007C2E0C"/>
    <w:rsid w:val="007C45D8"/>
    <w:rsid w:val="007C4FA9"/>
    <w:rsid w:val="007C73F2"/>
    <w:rsid w:val="007C7CDA"/>
    <w:rsid w:val="007C7E8E"/>
    <w:rsid w:val="007D067A"/>
    <w:rsid w:val="007D1637"/>
    <w:rsid w:val="007D4060"/>
    <w:rsid w:val="007D6290"/>
    <w:rsid w:val="007D6A9E"/>
    <w:rsid w:val="007E0ECD"/>
    <w:rsid w:val="007E23CE"/>
    <w:rsid w:val="007E32D9"/>
    <w:rsid w:val="007E425B"/>
    <w:rsid w:val="007E53A3"/>
    <w:rsid w:val="007E6175"/>
    <w:rsid w:val="007E619D"/>
    <w:rsid w:val="007F1FB6"/>
    <w:rsid w:val="007F50B5"/>
    <w:rsid w:val="007F6FF9"/>
    <w:rsid w:val="007F7D06"/>
    <w:rsid w:val="0080253B"/>
    <w:rsid w:val="00802CC5"/>
    <w:rsid w:val="00803C99"/>
    <w:rsid w:val="00804215"/>
    <w:rsid w:val="008042F7"/>
    <w:rsid w:val="00805D3A"/>
    <w:rsid w:val="0080749A"/>
    <w:rsid w:val="008103B3"/>
    <w:rsid w:val="00811365"/>
    <w:rsid w:val="008171B0"/>
    <w:rsid w:val="00817ACA"/>
    <w:rsid w:val="00820CEE"/>
    <w:rsid w:val="008215EF"/>
    <w:rsid w:val="00822BA1"/>
    <w:rsid w:val="008276E0"/>
    <w:rsid w:val="00830FDC"/>
    <w:rsid w:val="008314F8"/>
    <w:rsid w:val="0083163B"/>
    <w:rsid w:val="00833231"/>
    <w:rsid w:val="0083447C"/>
    <w:rsid w:val="008346D2"/>
    <w:rsid w:val="00835DC7"/>
    <w:rsid w:val="008367EF"/>
    <w:rsid w:val="0083680F"/>
    <w:rsid w:val="00836A4A"/>
    <w:rsid w:val="008446A9"/>
    <w:rsid w:val="00844815"/>
    <w:rsid w:val="00844842"/>
    <w:rsid w:val="008507BC"/>
    <w:rsid w:val="00851511"/>
    <w:rsid w:val="0085213B"/>
    <w:rsid w:val="00854C2E"/>
    <w:rsid w:val="00854EAF"/>
    <w:rsid w:val="0085620F"/>
    <w:rsid w:val="00857B83"/>
    <w:rsid w:val="008607BC"/>
    <w:rsid w:val="0086129D"/>
    <w:rsid w:val="0086362A"/>
    <w:rsid w:val="008637D1"/>
    <w:rsid w:val="00864596"/>
    <w:rsid w:val="0086697F"/>
    <w:rsid w:val="00870D02"/>
    <w:rsid w:val="00872C43"/>
    <w:rsid w:val="00873082"/>
    <w:rsid w:val="00875FC9"/>
    <w:rsid w:val="008768C8"/>
    <w:rsid w:val="00883713"/>
    <w:rsid w:val="00884007"/>
    <w:rsid w:val="008859AA"/>
    <w:rsid w:val="00885B10"/>
    <w:rsid w:val="008860C2"/>
    <w:rsid w:val="00886354"/>
    <w:rsid w:val="00886807"/>
    <w:rsid w:val="00890541"/>
    <w:rsid w:val="00890F24"/>
    <w:rsid w:val="00892747"/>
    <w:rsid w:val="008933ED"/>
    <w:rsid w:val="008941A0"/>
    <w:rsid w:val="008942E7"/>
    <w:rsid w:val="008A0587"/>
    <w:rsid w:val="008A068D"/>
    <w:rsid w:val="008A0946"/>
    <w:rsid w:val="008A269C"/>
    <w:rsid w:val="008A2730"/>
    <w:rsid w:val="008A4F61"/>
    <w:rsid w:val="008A57C2"/>
    <w:rsid w:val="008A6E6F"/>
    <w:rsid w:val="008B1037"/>
    <w:rsid w:val="008B20A0"/>
    <w:rsid w:val="008B4177"/>
    <w:rsid w:val="008B41A0"/>
    <w:rsid w:val="008B44A5"/>
    <w:rsid w:val="008B7E0D"/>
    <w:rsid w:val="008B7E32"/>
    <w:rsid w:val="008C1638"/>
    <w:rsid w:val="008C2D17"/>
    <w:rsid w:val="008C33C9"/>
    <w:rsid w:val="008C3DB8"/>
    <w:rsid w:val="008C4819"/>
    <w:rsid w:val="008C4C18"/>
    <w:rsid w:val="008C5595"/>
    <w:rsid w:val="008C7DCE"/>
    <w:rsid w:val="008D1662"/>
    <w:rsid w:val="008D2164"/>
    <w:rsid w:val="008D260B"/>
    <w:rsid w:val="008D29E6"/>
    <w:rsid w:val="008D32DC"/>
    <w:rsid w:val="008D3D63"/>
    <w:rsid w:val="008D5C90"/>
    <w:rsid w:val="008D7D36"/>
    <w:rsid w:val="008E0075"/>
    <w:rsid w:val="008E1549"/>
    <w:rsid w:val="008E438D"/>
    <w:rsid w:val="008E4536"/>
    <w:rsid w:val="008E4AA7"/>
    <w:rsid w:val="008E4C70"/>
    <w:rsid w:val="008E789E"/>
    <w:rsid w:val="008F0C90"/>
    <w:rsid w:val="008F202F"/>
    <w:rsid w:val="008F20B5"/>
    <w:rsid w:val="008F2381"/>
    <w:rsid w:val="008F2A75"/>
    <w:rsid w:val="008F2DFC"/>
    <w:rsid w:val="008F5446"/>
    <w:rsid w:val="008F5F02"/>
    <w:rsid w:val="008F7CF4"/>
    <w:rsid w:val="0090122F"/>
    <w:rsid w:val="00901CAC"/>
    <w:rsid w:val="0090224B"/>
    <w:rsid w:val="009028E0"/>
    <w:rsid w:val="00903DAF"/>
    <w:rsid w:val="00903FCD"/>
    <w:rsid w:val="00904154"/>
    <w:rsid w:val="00904907"/>
    <w:rsid w:val="009052F1"/>
    <w:rsid w:val="00905BC0"/>
    <w:rsid w:val="009065CC"/>
    <w:rsid w:val="00907D3C"/>
    <w:rsid w:val="00910045"/>
    <w:rsid w:val="00910616"/>
    <w:rsid w:val="00910A88"/>
    <w:rsid w:val="009121FB"/>
    <w:rsid w:val="009124C2"/>
    <w:rsid w:val="009133B1"/>
    <w:rsid w:val="00914C89"/>
    <w:rsid w:val="00914EAC"/>
    <w:rsid w:val="00915819"/>
    <w:rsid w:val="009206D6"/>
    <w:rsid w:val="00921EF1"/>
    <w:rsid w:val="00922512"/>
    <w:rsid w:val="009227BE"/>
    <w:rsid w:val="00922DD1"/>
    <w:rsid w:val="00923198"/>
    <w:rsid w:val="00923AF0"/>
    <w:rsid w:val="00924E61"/>
    <w:rsid w:val="0093058D"/>
    <w:rsid w:val="00932C14"/>
    <w:rsid w:val="00932D8B"/>
    <w:rsid w:val="0093390D"/>
    <w:rsid w:val="0093561A"/>
    <w:rsid w:val="00935D67"/>
    <w:rsid w:val="009364D2"/>
    <w:rsid w:val="00937812"/>
    <w:rsid w:val="00940CF4"/>
    <w:rsid w:val="00941DE0"/>
    <w:rsid w:val="009446B6"/>
    <w:rsid w:val="00945715"/>
    <w:rsid w:val="009459A8"/>
    <w:rsid w:val="009468B2"/>
    <w:rsid w:val="00947261"/>
    <w:rsid w:val="00947722"/>
    <w:rsid w:val="00947930"/>
    <w:rsid w:val="00950549"/>
    <w:rsid w:val="009508D7"/>
    <w:rsid w:val="00952F19"/>
    <w:rsid w:val="00954533"/>
    <w:rsid w:val="0095542A"/>
    <w:rsid w:val="00956596"/>
    <w:rsid w:val="009565B9"/>
    <w:rsid w:val="0095782B"/>
    <w:rsid w:val="0096305B"/>
    <w:rsid w:val="00964227"/>
    <w:rsid w:val="0096521E"/>
    <w:rsid w:val="009663A7"/>
    <w:rsid w:val="00971B86"/>
    <w:rsid w:val="0097434D"/>
    <w:rsid w:val="00974C67"/>
    <w:rsid w:val="0097560C"/>
    <w:rsid w:val="00975C8D"/>
    <w:rsid w:val="0097669F"/>
    <w:rsid w:val="009808FE"/>
    <w:rsid w:val="00981901"/>
    <w:rsid w:val="00982A8C"/>
    <w:rsid w:val="00984D02"/>
    <w:rsid w:val="00986F8C"/>
    <w:rsid w:val="00991839"/>
    <w:rsid w:val="00992031"/>
    <w:rsid w:val="00992D43"/>
    <w:rsid w:val="00994591"/>
    <w:rsid w:val="009951C2"/>
    <w:rsid w:val="009A42AA"/>
    <w:rsid w:val="009A6809"/>
    <w:rsid w:val="009A7027"/>
    <w:rsid w:val="009B13B4"/>
    <w:rsid w:val="009B230E"/>
    <w:rsid w:val="009B2468"/>
    <w:rsid w:val="009B463A"/>
    <w:rsid w:val="009B540B"/>
    <w:rsid w:val="009B54DF"/>
    <w:rsid w:val="009B5D0D"/>
    <w:rsid w:val="009B5DCF"/>
    <w:rsid w:val="009B603F"/>
    <w:rsid w:val="009B6BD7"/>
    <w:rsid w:val="009B7ADB"/>
    <w:rsid w:val="009C10FE"/>
    <w:rsid w:val="009C48B9"/>
    <w:rsid w:val="009C6047"/>
    <w:rsid w:val="009C7333"/>
    <w:rsid w:val="009D1611"/>
    <w:rsid w:val="009D1EAC"/>
    <w:rsid w:val="009E22E3"/>
    <w:rsid w:val="009E35EE"/>
    <w:rsid w:val="009E5264"/>
    <w:rsid w:val="009E57FA"/>
    <w:rsid w:val="009F1998"/>
    <w:rsid w:val="009F1A1E"/>
    <w:rsid w:val="009F2A2C"/>
    <w:rsid w:val="009F33AF"/>
    <w:rsid w:val="009F37F0"/>
    <w:rsid w:val="009F6620"/>
    <w:rsid w:val="00A01BDF"/>
    <w:rsid w:val="00A02F2C"/>
    <w:rsid w:val="00A03233"/>
    <w:rsid w:val="00A04452"/>
    <w:rsid w:val="00A0507C"/>
    <w:rsid w:val="00A052F9"/>
    <w:rsid w:val="00A13719"/>
    <w:rsid w:val="00A1573A"/>
    <w:rsid w:val="00A163D4"/>
    <w:rsid w:val="00A173BD"/>
    <w:rsid w:val="00A1769F"/>
    <w:rsid w:val="00A17F55"/>
    <w:rsid w:val="00A2042A"/>
    <w:rsid w:val="00A2135B"/>
    <w:rsid w:val="00A22EF0"/>
    <w:rsid w:val="00A234FB"/>
    <w:rsid w:val="00A2552E"/>
    <w:rsid w:val="00A25AC9"/>
    <w:rsid w:val="00A2651F"/>
    <w:rsid w:val="00A27417"/>
    <w:rsid w:val="00A27D4C"/>
    <w:rsid w:val="00A27E32"/>
    <w:rsid w:val="00A326C2"/>
    <w:rsid w:val="00A330D1"/>
    <w:rsid w:val="00A33281"/>
    <w:rsid w:val="00A359B0"/>
    <w:rsid w:val="00A36685"/>
    <w:rsid w:val="00A36771"/>
    <w:rsid w:val="00A409FC"/>
    <w:rsid w:val="00A40A88"/>
    <w:rsid w:val="00A4277F"/>
    <w:rsid w:val="00A44390"/>
    <w:rsid w:val="00A44C7D"/>
    <w:rsid w:val="00A50C6D"/>
    <w:rsid w:val="00A53665"/>
    <w:rsid w:val="00A54244"/>
    <w:rsid w:val="00A555AB"/>
    <w:rsid w:val="00A55831"/>
    <w:rsid w:val="00A568FC"/>
    <w:rsid w:val="00A5769C"/>
    <w:rsid w:val="00A6031C"/>
    <w:rsid w:val="00A61525"/>
    <w:rsid w:val="00A641D0"/>
    <w:rsid w:val="00A644AB"/>
    <w:rsid w:val="00A65455"/>
    <w:rsid w:val="00A66721"/>
    <w:rsid w:val="00A66EA9"/>
    <w:rsid w:val="00A67159"/>
    <w:rsid w:val="00A67FE1"/>
    <w:rsid w:val="00A7203D"/>
    <w:rsid w:val="00A73894"/>
    <w:rsid w:val="00A75B0F"/>
    <w:rsid w:val="00A8064A"/>
    <w:rsid w:val="00A84717"/>
    <w:rsid w:val="00A8624E"/>
    <w:rsid w:val="00A87230"/>
    <w:rsid w:val="00A909D2"/>
    <w:rsid w:val="00A91147"/>
    <w:rsid w:val="00A92059"/>
    <w:rsid w:val="00A94530"/>
    <w:rsid w:val="00A95AFA"/>
    <w:rsid w:val="00A976FB"/>
    <w:rsid w:val="00AA17A9"/>
    <w:rsid w:val="00AA1F4E"/>
    <w:rsid w:val="00AA335B"/>
    <w:rsid w:val="00AA4C90"/>
    <w:rsid w:val="00AA5110"/>
    <w:rsid w:val="00AA6CFB"/>
    <w:rsid w:val="00AB04EA"/>
    <w:rsid w:val="00AB1023"/>
    <w:rsid w:val="00AB29C2"/>
    <w:rsid w:val="00AB468B"/>
    <w:rsid w:val="00AB4A21"/>
    <w:rsid w:val="00AB5480"/>
    <w:rsid w:val="00AB62E3"/>
    <w:rsid w:val="00AB71F7"/>
    <w:rsid w:val="00AC0572"/>
    <w:rsid w:val="00AC0E01"/>
    <w:rsid w:val="00AC16E8"/>
    <w:rsid w:val="00AC3356"/>
    <w:rsid w:val="00AC340B"/>
    <w:rsid w:val="00AC47B9"/>
    <w:rsid w:val="00AC5264"/>
    <w:rsid w:val="00AD0B87"/>
    <w:rsid w:val="00AD4A8B"/>
    <w:rsid w:val="00AD4ACB"/>
    <w:rsid w:val="00AD6303"/>
    <w:rsid w:val="00AD63E0"/>
    <w:rsid w:val="00AD6B0C"/>
    <w:rsid w:val="00AD7A98"/>
    <w:rsid w:val="00AE0907"/>
    <w:rsid w:val="00AE1022"/>
    <w:rsid w:val="00AE1B09"/>
    <w:rsid w:val="00AE423D"/>
    <w:rsid w:val="00AE4487"/>
    <w:rsid w:val="00AE5037"/>
    <w:rsid w:val="00AE5742"/>
    <w:rsid w:val="00AE5975"/>
    <w:rsid w:val="00AF21EB"/>
    <w:rsid w:val="00AF33A1"/>
    <w:rsid w:val="00AF35AD"/>
    <w:rsid w:val="00AF42A9"/>
    <w:rsid w:val="00AF4BF0"/>
    <w:rsid w:val="00AF6E95"/>
    <w:rsid w:val="00AF7BD5"/>
    <w:rsid w:val="00B00AE4"/>
    <w:rsid w:val="00B010AB"/>
    <w:rsid w:val="00B032DE"/>
    <w:rsid w:val="00B03502"/>
    <w:rsid w:val="00B06930"/>
    <w:rsid w:val="00B10243"/>
    <w:rsid w:val="00B11164"/>
    <w:rsid w:val="00B12042"/>
    <w:rsid w:val="00B13317"/>
    <w:rsid w:val="00B155BD"/>
    <w:rsid w:val="00B16716"/>
    <w:rsid w:val="00B16749"/>
    <w:rsid w:val="00B22D43"/>
    <w:rsid w:val="00B23AF5"/>
    <w:rsid w:val="00B24032"/>
    <w:rsid w:val="00B25C58"/>
    <w:rsid w:val="00B269A7"/>
    <w:rsid w:val="00B26D42"/>
    <w:rsid w:val="00B33E9D"/>
    <w:rsid w:val="00B349D0"/>
    <w:rsid w:val="00B34D4D"/>
    <w:rsid w:val="00B35305"/>
    <w:rsid w:val="00B37074"/>
    <w:rsid w:val="00B371C8"/>
    <w:rsid w:val="00B376C7"/>
    <w:rsid w:val="00B401C5"/>
    <w:rsid w:val="00B41433"/>
    <w:rsid w:val="00B41945"/>
    <w:rsid w:val="00B47008"/>
    <w:rsid w:val="00B5046C"/>
    <w:rsid w:val="00B50625"/>
    <w:rsid w:val="00B52713"/>
    <w:rsid w:val="00B53C8F"/>
    <w:rsid w:val="00B54279"/>
    <w:rsid w:val="00B55188"/>
    <w:rsid w:val="00B57FE4"/>
    <w:rsid w:val="00B600AA"/>
    <w:rsid w:val="00B61141"/>
    <w:rsid w:val="00B62AB0"/>
    <w:rsid w:val="00B64229"/>
    <w:rsid w:val="00B64BC8"/>
    <w:rsid w:val="00B65757"/>
    <w:rsid w:val="00B67017"/>
    <w:rsid w:val="00B67A0A"/>
    <w:rsid w:val="00B70545"/>
    <w:rsid w:val="00B72461"/>
    <w:rsid w:val="00B74787"/>
    <w:rsid w:val="00B755ED"/>
    <w:rsid w:val="00B7567B"/>
    <w:rsid w:val="00B76C14"/>
    <w:rsid w:val="00B77501"/>
    <w:rsid w:val="00B80F42"/>
    <w:rsid w:val="00B8197C"/>
    <w:rsid w:val="00B84224"/>
    <w:rsid w:val="00B848DA"/>
    <w:rsid w:val="00B84999"/>
    <w:rsid w:val="00B85D85"/>
    <w:rsid w:val="00B87054"/>
    <w:rsid w:val="00B90A01"/>
    <w:rsid w:val="00B911D8"/>
    <w:rsid w:val="00B9149E"/>
    <w:rsid w:val="00B91AD1"/>
    <w:rsid w:val="00B953D0"/>
    <w:rsid w:val="00B95740"/>
    <w:rsid w:val="00BA30F4"/>
    <w:rsid w:val="00BA4A4D"/>
    <w:rsid w:val="00BA5D3E"/>
    <w:rsid w:val="00BA75C4"/>
    <w:rsid w:val="00BA7D08"/>
    <w:rsid w:val="00BB06C2"/>
    <w:rsid w:val="00BB1490"/>
    <w:rsid w:val="00BB2C19"/>
    <w:rsid w:val="00BB376B"/>
    <w:rsid w:val="00BB4203"/>
    <w:rsid w:val="00BC002B"/>
    <w:rsid w:val="00BC0365"/>
    <w:rsid w:val="00BC060F"/>
    <w:rsid w:val="00BC09BD"/>
    <w:rsid w:val="00BC0B86"/>
    <w:rsid w:val="00BC187C"/>
    <w:rsid w:val="00BC2465"/>
    <w:rsid w:val="00BC2D7C"/>
    <w:rsid w:val="00BC3009"/>
    <w:rsid w:val="00BC30FD"/>
    <w:rsid w:val="00BC3C8C"/>
    <w:rsid w:val="00BC580D"/>
    <w:rsid w:val="00BD01FF"/>
    <w:rsid w:val="00BD0811"/>
    <w:rsid w:val="00BD28D7"/>
    <w:rsid w:val="00BD2D4E"/>
    <w:rsid w:val="00BD34D0"/>
    <w:rsid w:val="00BD3FF4"/>
    <w:rsid w:val="00BD5B4C"/>
    <w:rsid w:val="00BD5FF4"/>
    <w:rsid w:val="00BD773E"/>
    <w:rsid w:val="00BD7FB8"/>
    <w:rsid w:val="00BE053E"/>
    <w:rsid w:val="00BE0A90"/>
    <w:rsid w:val="00BE1AD1"/>
    <w:rsid w:val="00BE20BF"/>
    <w:rsid w:val="00BE233A"/>
    <w:rsid w:val="00BE2AE3"/>
    <w:rsid w:val="00BE2EF5"/>
    <w:rsid w:val="00BE42B5"/>
    <w:rsid w:val="00BE4739"/>
    <w:rsid w:val="00BE4CBE"/>
    <w:rsid w:val="00BE5129"/>
    <w:rsid w:val="00BE6C20"/>
    <w:rsid w:val="00BF13F5"/>
    <w:rsid w:val="00BF2553"/>
    <w:rsid w:val="00BF3805"/>
    <w:rsid w:val="00BF3DCE"/>
    <w:rsid w:val="00BF77AA"/>
    <w:rsid w:val="00BF79E7"/>
    <w:rsid w:val="00C009DF"/>
    <w:rsid w:val="00C01997"/>
    <w:rsid w:val="00C024C0"/>
    <w:rsid w:val="00C036D7"/>
    <w:rsid w:val="00C04480"/>
    <w:rsid w:val="00C044B3"/>
    <w:rsid w:val="00C04CB7"/>
    <w:rsid w:val="00C061DB"/>
    <w:rsid w:val="00C07692"/>
    <w:rsid w:val="00C11549"/>
    <w:rsid w:val="00C12BC4"/>
    <w:rsid w:val="00C15795"/>
    <w:rsid w:val="00C15F58"/>
    <w:rsid w:val="00C16C94"/>
    <w:rsid w:val="00C174CC"/>
    <w:rsid w:val="00C17870"/>
    <w:rsid w:val="00C17BE7"/>
    <w:rsid w:val="00C21508"/>
    <w:rsid w:val="00C30CB5"/>
    <w:rsid w:val="00C30FD7"/>
    <w:rsid w:val="00C31CED"/>
    <w:rsid w:val="00C336A5"/>
    <w:rsid w:val="00C34A84"/>
    <w:rsid w:val="00C35C49"/>
    <w:rsid w:val="00C36545"/>
    <w:rsid w:val="00C3696A"/>
    <w:rsid w:val="00C372BF"/>
    <w:rsid w:val="00C37F1E"/>
    <w:rsid w:val="00C40D6C"/>
    <w:rsid w:val="00C41866"/>
    <w:rsid w:val="00C419EB"/>
    <w:rsid w:val="00C45976"/>
    <w:rsid w:val="00C47CCB"/>
    <w:rsid w:val="00C50E86"/>
    <w:rsid w:val="00C52121"/>
    <w:rsid w:val="00C53F36"/>
    <w:rsid w:val="00C564DA"/>
    <w:rsid w:val="00C60B6D"/>
    <w:rsid w:val="00C62653"/>
    <w:rsid w:val="00C63085"/>
    <w:rsid w:val="00C641D8"/>
    <w:rsid w:val="00C64E1D"/>
    <w:rsid w:val="00C651C1"/>
    <w:rsid w:val="00C665BF"/>
    <w:rsid w:val="00C701D2"/>
    <w:rsid w:val="00C702AA"/>
    <w:rsid w:val="00C71142"/>
    <w:rsid w:val="00C72BB1"/>
    <w:rsid w:val="00C734D3"/>
    <w:rsid w:val="00C7403D"/>
    <w:rsid w:val="00C74A03"/>
    <w:rsid w:val="00C77690"/>
    <w:rsid w:val="00C84587"/>
    <w:rsid w:val="00C864A6"/>
    <w:rsid w:val="00C915AD"/>
    <w:rsid w:val="00C91640"/>
    <w:rsid w:val="00C92B7F"/>
    <w:rsid w:val="00C93520"/>
    <w:rsid w:val="00C93A8B"/>
    <w:rsid w:val="00C947C5"/>
    <w:rsid w:val="00C95AC5"/>
    <w:rsid w:val="00CA1016"/>
    <w:rsid w:val="00CA22A7"/>
    <w:rsid w:val="00CA2634"/>
    <w:rsid w:val="00CA2E67"/>
    <w:rsid w:val="00CA51C4"/>
    <w:rsid w:val="00CA5371"/>
    <w:rsid w:val="00CA5936"/>
    <w:rsid w:val="00CB1963"/>
    <w:rsid w:val="00CB28B0"/>
    <w:rsid w:val="00CB2A2E"/>
    <w:rsid w:val="00CB5477"/>
    <w:rsid w:val="00CB7868"/>
    <w:rsid w:val="00CC0D0A"/>
    <w:rsid w:val="00CC1531"/>
    <w:rsid w:val="00CC1D8F"/>
    <w:rsid w:val="00CC25E5"/>
    <w:rsid w:val="00CC3F43"/>
    <w:rsid w:val="00CC4196"/>
    <w:rsid w:val="00CC4AB1"/>
    <w:rsid w:val="00CC5D15"/>
    <w:rsid w:val="00CC5D9A"/>
    <w:rsid w:val="00CC6293"/>
    <w:rsid w:val="00CC7E41"/>
    <w:rsid w:val="00CD10A4"/>
    <w:rsid w:val="00CD25EA"/>
    <w:rsid w:val="00CD4C9C"/>
    <w:rsid w:val="00CD4DF0"/>
    <w:rsid w:val="00CD5CE8"/>
    <w:rsid w:val="00CD5CEB"/>
    <w:rsid w:val="00CD727F"/>
    <w:rsid w:val="00CE0923"/>
    <w:rsid w:val="00CE1B53"/>
    <w:rsid w:val="00CE1E57"/>
    <w:rsid w:val="00CE21E4"/>
    <w:rsid w:val="00CE45B0"/>
    <w:rsid w:val="00CE46F9"/>
    <w:rsid w:val="00CE4ED2"/>
    <w:rsid w:val="00CE53A9"/>
    <w:rsid w:val="00CE6B98"/>
    <w:rsid w:val="00CE72DC"/>
    <w:rsid w:val="00CF0B73"/>
    <w:rsid w:val="00CF3FC6"/>
    <w:rsid w:val="00D0233F"/>
    <w:rsid w:val="00D0271F"/>
    <w:rsid w:val="00D03205"/>
    <w:rsid w:val="00D032E0"/>
    <w:rsid w:val="00D041A7"/>
    <w:rsid w:val="00D1605C"/>
    <w:rsid w:val="00D16A8A"/>
    <w:rsid w:val="00D16EAF"/>
    <w:rsid w:val="00D17C33"/>
    <w:rsid w:val="00D20951"/>
    <w:rsid w:val="00D22DB4"/>
    <w:rsid w:val="00D232BF"/>
    <w:rsid w:val="00D25BDA"/>
    <w:rsid w:val="00D26B75"/>
    <w:rsid w:val="00D26CDC"/>
    <w:rsid w:val="00D2785C"/>
    <w:rsid w:val="00D30290"/>
    <w:rsid w:val="00D30ECF"/>
    <w:rsid w:val="00D311AF"/>
    <w:rsid w:val="00D3251E"/>
    <w:rsid w:val="00D325D2"/>
    <w:rsid w:val="00D33049"/>
    <w:rsid w:val="00D33333"/>
    <w:rsid w:val="00D34F4A"/>
    <w:rsid w:val="00D35571"/>
    <w:rsid w:val="00D3796E"/>
    <w:rsid w:val="00D37EA7"/>
    <w:rsid w:val="00D408C9"/>
    <w:rsid w:val="00D40C8F"/>
    <w:rsid w:val="00D4132E"/>
    <w:rsid w:val="00D421DC"/>
    <w:rsid w:val="00D42D4C"/>
    <w:rsid w:val="00D47629"/>
    <w:rsid w:val="00D4771D"/>
    <w:rsid w:val="00D50B8A"/>
    <w:rsid w:val="00D55C1A"/>
    <w:rsid w:val="00D55DE9"/>
    <w:rsid w:val="00D56F80"/>
    <w:rsid w:val="00D5731C"/>
    <w:rsid w:val="00D609BA"/>
    <w:rsid w:val="00D61366"/>
    <w:rsid w:val="00D6157E"/>
    <w:rsid w:val="00D63313"/>
    <w:rsid w:val="00D63ADA"/>
    <w:rsid w:val="00D6480E"/>
    <w:rsid w:val="00D658AF"/>
    <w:rsid w:val="00D65A9B"/>
    <w:rsid w:val="00D671FC"/>
    <w:rsid w:val="00D6758D"/>
    <w:rsid w:val="00D67668"/>
    <w:rsid w:val="00D72742"/>
    <w:rsid w:val="00D72CE4"/>
    <w:rsid w:val="00D72D15"/>
    <w:rsid w:val="00D73860"/>
    <w:rsid w:val="00D73872"/>
    <w:rsid w:val="00D73A06"/>
    <w:rsid w:val="00D74376"/>
    <w:rsid w:val="00D74B2C"/>
    <w:rsid w:val="00D76DB4"/>
    <w:rsid w:val="00D77224"/>
    <w:rsid w:val="00D810B7"/>
    <w:rsid w:val="00D81B02"/>
    <w:rsid w:val="00D822D4"/>
    <w:rsid w:val="00D84A54"/>
    <w:rsid w:val="00D84A8F"/>
    <w:rsid w:val="00D853D1"/>
    <w:rsid w:val="00D860C7"/>
    <w:rsid w:val="00D86817"/>
    <w:rsid w:val="00D90DC2"/>
    <w:rsid w:val="00D91203"/>
    <w:rsid w:val="00D9156B"/>
    <w:rsid w:val="00D91821"/>
    <w:rsid w:val="00D9291C"/>
    <w:rsid w:val="00D93761"/>
    <w:rsid w:val="00D940DF"/>
    <w:rsid w:val="00D9418D"/>
    <w:rsid w:val="00D94CE6"/>
    <w:rsid w:val="00D94DED"/>
    <w:rsid w:val="00D962F9"/>
    <w:rsid w:val="00D96C65"/>
    <w:rsid w:val="00DA2D5B"/>
    <w:rsid w:val="00DA3A7E"/>
    <w:rsid w:val="00DA516E"/>
    <w:rsid w:val="00DA749F"/>
    <w:rsid w:val="00DB126C"/>
    <w:rsid w:val="00DB3803"/>
    <w:rsid w:val="00DB3BB0"/>
    <w:rsid w:val="00DB451C"/>
    <w:rsid w:val="00DB4B7E"/>
    <w:rsid w:val="00DB5C32"/>
    <w:rsid w:val="00DB6193"/>
    <w:rsid w:val="00DB6461"/>
    <w:rsid w:val="00DB6740"/>
    <w:rsid w:val="00DC193A"/>
    <w:rsid w:val="00DC212D"/>
    <w:rsid w:val="00DC2360"/>
    <w:rsid w:val="00DC417D"/>
    <w:rsid w:val="00DC4236"/>
    <w:rsid w:val="00DC51D6"/>
    <w:rsid w:val="00DD0F4E"/>
    <w:rsid w:val="00DD2AE4"/>
    <w:rsid w:val="00DD35C2"/>
    <w:rsid w:val="00DD444A"/>
    <w:rsid w:val="00DD4C57"/>
    <w:rsid w:val="00DD718C"/>
    <w:rsid w:val="00DE0266"/>
    <w:rsid w:val="00DE260A"/>
    <w:rsid w:val="00DE5BA9"/>
    <w:rsid w:val="00DE5ECB"/>
    <w:rsid w:val="00DE67E3"/>
    <w:rsid w:val="00DF09FA"/>
    <w:rsid w:val="00DF2ADD"/>
    <w:rsid w:val="00DF5346"/>
    <w:rsid w:val="00DF540D"/>
    <w:rsid w:val="00DF591E"/>
    <w:rsid w:val="00DF66DE"/>
    <w:rsid w:val="00DF6C49"/>
    <w:rsid w:val="00DF7DE7"/>
    <w:rsid w:val="00E0113B"/>
    <w:rsid w:val="00E02E21"/>
    <w:rsid w:val="00E05C4F"/>
    <w:rsid w:val="00E06889"/>
    <w:rsid w:val="00E071BC"/>
    <w:rsid w:val="00E10115"/>
    <w:rsid w:val="00E10AC6"/>
    <w:rsid w:val="00E10DD2"/>
    <w:rsid w:val="00E113CD"/>
    <w:rsid w:val="00E125AE"/>
    <w:rsid w:val="00E12714"/>
    <w:rsid w:val="00E12810"/>
    <w:rsid w:val="00E13396"/>
    <w:rsid w:val="00E13C78"/>
    <w:rsid w:val="00E154EA"/>
    <w:rsid w:val="00E17D52"/>
    <w:rsid w:val="00E21CCF"/>
    <w:rsid w:val="00E25D4D"/>
    <w:rsid w:val="00E26735"/>
    <w:rsid w:val="00E26A62"/>
    <w:rsid w:val="00E27711"/>
    <w:rsid w:val="00E308C8"/>
    <w:rsid w:val="00E3473B"/>
    <w:rsid w:val="00E34E09"/>
    <w:rsid w:val="00E3621D"/>
    <w:rsid w:val="00E36301"/>
    <w:rsid w:val="00E374AD"/>
    <w:rsid w:val="00E37D77"/>
    <w:rsid w:val="00E40764"/>
    <w:rsid w:val="00E41C65"/>
    <w:rsid w:val="00E42655"/>
    <w:rsid w:val="00E428FA"/>
    <w:rsid w:val="00E46753"/>
    <w:rsid w:val="00E51037"/>
    <w:rsid w:val="00E51C40"/>
    <w:rsid w:val="00E520A9"/>
    <w:rsid w:val="00E529B5"/>
    <w:rsid w:val="00E54359"/>
    <w:rsid w:val="00E55185"/>
    <w:rsid w:val="00E56CFF"/>
    <w:rsid w:val="00E5731F"/>
    <w:rsid w:val="00E57588"/>
    <w:rsid w:val="00E60029"/>
    <w:rsid w:val="00E6194D"/>
    <w:rsid w:val="00E61BEC"/>
    <w:rsid w:val="00E62999"/>
    <w:rsid w:val="00E62D9C"/>
    <w:rsid w:val="00E65081"/>
    <w:rsid w:val="00E67779"/>
    <w:rsid w:val="00E67E48"/>
    <w:rsid w:val="00E708CD"/>
    <w:rsid w:val="00E70E36"/>
    <w:rsid w:val="00E71B67"/>
    <w:rsid w:val="00E745B9"/>
    <w:rsid w:val="00E745EC"/>
    <w:rsid w:val="00E74674"/>
    <w:rsid w:val="00E7538E"/>
    <w:rsid w:val="00E76100"/>
    <w:rsid w:val="00E803F0"/>
    <w:rsid w:val="00E8138F"/>
    <w:rsid w:val="00E822FB"/>
    <w:rsid w:val="00E8252E"/>
    <w:rsid w:val="00E826A5"/>
    <w:rsid w:val="00E831AC"/>
    <w:rsid w:val="00E909D0"/>
    <w:rsid w:val="00E94694"/>
    <w:rsid w:val="00E965DD"/>
    <w:rsid w:val="00E96DC1"/>
    <w:rsid w:val="00EA19AE"/>
    <w:rsid w:val="00EA1F7A"/>
    <w:rsid w:val="00EA2041"/>
    <w:rsid w:val="00EA27A7"/>
    <w:rsid w:val="00EA595C"/>
    <w:rsid w:val="00EA629D"/>
    <w:rsid w:val="00EA6C99"/>
    <w:rsid w:val="00EA7405"/>
    <w:rsid w:val="00EB01A8"/>
    <w:rsid w:val="00EB0A96"/>
    <w:rsid w:val="00EB11F1"/>
    <w:rsid w:val="00EB146B"/>
    <w:rsid w:val="00EB3633"/>
    <w:rsid w:val="00EB76A7"/>
    <w:rsid w:val="00EB773B"/>
    <w:rsid w:val="00EC4205"/>
    <w:rsid w:val="00EC471A"/>
    <w:rsid w:val="00EC5FEB"/>
    <w:rsid w:val="00EC7916"/>
    <w:rsid w:val="00ED0018"/>
    <w:rsid w:val="00ED2726"/>
    <w:rsid w:val="00ED3AD2"/>
    <w:rsid w:val="00ED6010"/>
    <w:rsid w:val="00ED60A6"/>
    <w:rsid w:val="00ED7C61"/>
    <w:rsid w:val="00EE1356"/>
    <w:rsid w:val="00EE49E5"/>
    <w:rsid w:val="00EE4E6A"/>
    <w:rsid w:val="00EE6885"/>
    <w:rsid w:val="00EF28AC"/>
    <w:rsid w:val="00EF5240"/>
    <w:rsid w:val="00F00B74"/>
    <w:rsid w:val="00F02941"/>
    <w:rsid w:val="00F0367A"/>
    <w:rsid w:val="00F037BA"/>
    <w:rsid w:val="00F10091"/>
    <w:rsid w:val="00F111D9"/>
    <w:rsid w:val="00F11386"/>
    <w:rsid w:val="00F13812"/>
    <w:rsid w:val="00F14060"/>
    <w:rsid w:val="00F14B98"/>
    <w:rsid w:val="00F154E8"/>
    <w:rsid w:val="00F15576"/>
    <w:rsid w:val="00F15852"/>
    <w:rsid w:val="00F16B56"/>
    <w:rsid w:val="00F17319"/>
    <w:rsid w:val="00F212CB"/>
    <w:rsid w:val="00F246EE"/>
    <w:rsid w:val="00F2585A"/>
    <w:rsid w:val="00F279EF"/>
    <w:rsid w:val="00F27C59"/>
    <w:rsid w:val="00F27F70"/>
    <w:rsid w:val="00F3018A"/>
    <w:rsid w:val="00F309DF"/>
    <w:rsid w:val="00F31071"/>
    <w:rsid w:val="00F3110D"/>
    <w:rsid w:val="00F31509"/>
    <w:rsid w:val="00F31592"/>
    <w:rsid w:val="00F31818"/>
    <w:rsid w:val="00F31AEB"/>
    <w:rsid w:val="00F322EA"/>
    <w:rsid w:val="00F32FF0"/>
    <w:rsid w:val="00F34071"/>
    <w:rsid w:val="00F343A7"/>
    <w:rsid w:val="00F3489C"/>
    <w:rsid w:val="00F34DE2"/>
    <w:rsid w:val="00F36801"/>
    <w:rsid w:val="00F36F58"/>
    <w:rsid w:val="00F4016B"/>
    <w:rsid w:val="00F419BD"/>
    <w:rsid w:val="00F44042"/>
    <w:rsid w:val="00F44C6B"/>
    <w:rsid w:val="00F456A0"/>
    <w:rsid w:val="00F47EB1"/>
    <w:rsid w:val="00F50686"/>
    <w:rsid w:val="00F506D2"/>
    <w:rsid w:val="00F508FC"/>
    <w:rsid w:val="00F5254E"/>
    <w:rsid w:val="00F5301C"/>
    <w:rsid w:val="00F538FD"/>
    <w:rsid w:val="00F53BAF"/>
    <w:rsid w:val="00F54500"/>
    <w:rsid w:val="00F55229"/>
    <w:rsid w:val="00F55C6E"/>
    <w:rsid w:val="00F5627F"/>
    <w:rsid w:val="00F57D79"/>
    <w:rsid w:val="00F608B0"/>
    <w:rsid w:val="00F61A90"/>
    <w:rsid w:val="00F61BEB"/>
    <w:rsid w:val="00F62F69"/>
    <w:rsid w:val="00F6619E"/>
    <w:rsid w:val="00F706D2"/>
    <w:rsid w:val="00F71D11"/>
    <w:rsid w:val="00F72439"/>
    <w:rsid w:val="00F72476"/>
    <w:rsid w:val="00F72741"/>
    <w:rsid w:val="00F72A93"/>
    <w:rsid w:val="00F733AE"/>
    <w:rsid w:val="00F73530"/>
    <w:rsid w:val="00F749FE"/>
    <w:rsid w:val="00F75A71"/>
    <w:rsid w:val="00F800B9"/>
    <w:rsid w:val="00F80770"/>
    <w:rsid w:val="00F81777"/>
    <w:rsid w:val="00F8178E"/>
    <w:rsid w:val="00F825F7"/>
    <w:rsid w:val="00F83C97"/>
    <w:rsid w:val="00F84863"/>
    <w:rsid w:val="00F85254"/>
    <w:rsid w:val="00F85E06"/>
    <w:rsid w:val="00F86130"/>
    <w:rsid w:val="00F86487"/>
    <w:rsid w:val="00F879A9"/>
    <w:rsid w:val="00F87D5A"/>
    <w:rsid w:val="00F9268F"/>
    <w:rsid w:val="00F947F0"/>
    <w:rsid w:val="00F947FE"/>
    <w:rsid w:val="00F9497D"/>
    <w:rsid w:val="00F94C48"/>
    <w:rsid w:val="00F94CE8"/>
    <w:rsid w:val="00F9532E"/>
    <w:rsid w:val="00F9608F"/>
    <w:rsid w:val="00F96369"/>
    <w:rsid w:val="00F96373"/>
    <w:rsid w:val="00FA18F8"/>
    <w:rsid w:val="00FA2A57"/>
    <w:rsid w:val="00FA3C3F"/>
    <w:rsid w:val="00FA3F0B"/>
    <w:rsid w:val="00FA405D"/>
    <w:rsid w:val="00FA5458"/>
    <w:rsid w:val="00FA5D2D"/>
    <w:rsid w:val="00FA5D99"/>
    <w:rsid w:val="00FA5F5C"/>
    <w:rsid w:val="00FA7A11"/>
    <w:rsid w:val="00FA7C64"/>
    <w:rsid w:val="00FA7E1A"/>
    <w:rsid w:val="00FB1FCF"/>
    <w:rsid w:val="00FB35EF"/>
    <w:rsid w:val="00FB477E"/>
    <w:rsid w:val="00FB6203"/>
    <w:rsid w:val="00FB6A79"/>
    <w:rsid w:val="00FB7230"/>
    <w:rsid w:val="00FC1FB5"/>
    <w:rsid w:val="00FC25CD"/>
    <w:rsid w:val="00FC2D9A"/>
    <w:rsid w:val="00FC504B"/>
    <w:rsid w:val="00FC7D6A"/>
    <w:rsid w:val="00FD28C8"/>
    <w:rsid w:val="00FD2DC3"/>
    <w:rsid w:val="00FD48CC"/>
    <w:rsid w:val="00FD6B5C"/>
    <w:rsid w:val="00FD7201"/>
    <w:rsid w:val="00FE0342"/>
    <w:rsid w:val="00FE2602"/>
    <w:rsid w:val="00FE27C4"/>
    <w:rsid w:val="00FE291D"/>
    <w:rsid w:val="00FE33B5"/>
    <w:rsid w:val="00FE5638"/>
    <w:rsid w:val="00FE567C"/>
    <w:rsid w:val="00FE5931"/>
    <w:rsid w:val="00FF09B4"/>
    <w:rsid w:val="00FF3514"/>
    <w:rsid w:val="00FF37E3"/>
    <w:rsid w:val="00FF4394"/>
    <w:rsid w:val="00FF47F8"/>
    <w:rsid w:val="00FF4873"/>
    <w:rsid w:val="00FF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591A"/>
  <w15:docId w15:val="{FCBFE098-DA79-433B-8127-0F748077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718C"/>
  </w:style>
  <w:style w:type="paragraph" w:styleId="Ttulo1">
    <w:name w:val="heading 1"/>
    <w:basedOn w:val="Normal"/>
    <w:next w:val="Normal"/>
    <w:link w:val="Ttulo1Car"/>
    <w:uiPriority w:val="9"/>
    <w:qFormat/>
    <w:rsid w:val="002774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A274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A7AC8"/>
    <w:pPr>
      <w:spacing w:after="0" w:line="240" w:lineRule="auto"/>
      <w:ind w:left="709"/>
      <w:jc w:val="both"/>
      <w:outlineLvl w:val="2"/>
    </w:pPr>
    <w:rPr>
      <w:rFonts w:ascii="Verdana" w:eastAsia="Batang" w:hAnsi="Verdana" w:cs="Times"/>
      <w:b/>
      <w:i/>
      <w:sz w:val="20"/>
      <w:szCs w:val="24"/>
      <w:lang w:val="es-MX"/>
    </w:rPr>
  </w:style>
  <w:style w:type="paragraph" w:styleId="Ttulo4">
    <w:name w:val="heading 4"/>
    <w:basedOn w:val="Normal"/>
    <w:next w:val="Normal"/>
    <w:link w:val="Ttulo4Car"/>
    <w:uiPriority w:val="9"/>
    <w:unhideWhenUsed/>
    <w:qFormat/>
    <w:rsid w:val="00185C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DB5C3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D718C"/>
    <w:pPr>
      <w:widowControl w:val="0"/>
      <w:spacing w:after="0" w:line="240" w:lineRule="auto"/>
    </w:pPr>
    <w:rPr>
      <w:rFonts w:ascii="Times New Roman" w:eastAsia="Times New Roman" w:hAnsi="Times New Roman" w:cs="Times New Roman"/>
      <w:sz w:val="24"/>
      <w:szCs w:val="24"/>
      <w:lang w:val="es-CR"/>
    </w:rPr>
  </w:style>
  <w:style w:type="paragraph" w:styleId="Prrafodelista">
    <w:name w:val="List Paragraph"/>
    <w:aliases w:val="Párrafo de lista1,List Paragraph1,Colorful List - Accent 11,List Paragraph2,Lista vistosa - Énfasis 11,Subtle Emphasis1,Footnote1,Footnote,Parrafos,List Paragraph11"/>
    <w:basedOn w:val="Normal"/>
    <w:link w:val="PrrafodelistaCar"/>
    <w:uiPriority w:val="34"/>
    <w:qFormat/>
    <w:rsid w:val="00DD718C"/>
    <w:pPr>
      <w:ind w:left="720"/>
      <w:contextualSpacing/>
    </w:pPr>
  </w:style>
  <w:style w:type="paragraph" w:styleId="Textonotapie">
    <w:name w:val="footnote text"/>
    <w:aliases w:val="2. Footnote Text,Footnote Tesina,Footnote Text Char Char Char Char Char,Footnote Text Char Char Char Char,Footnote reference,FA Fu,Footnote Text Char Char Char,Footnote Text Cha,FA Fußnotentext,FA Fuﬂnotentext,Footnote Text Char Char,Ca,C"/>
    <w:basedOn w:val="Normal"/>
    <w:link w:val="TextonotapieCar"/>
    <w:unhideWhenUsed/>
    <w:qFormat/>
    <w:rsid w:val="00DD718C"/>
    <w:pPr>
      <w:spacing w:after="0" w:line="240" w:lineRule="auto"/>
    </w:pPr>
    <w:rPr>
      <w:sz w:val="20"/>
      <w:szCs w:val="20"/>
    </w:rPr>
  </w:style>
  <w:style w:type="character" w:customStyle="1" w:styleId="TextonotapieCar">
    <w:name w:val="Texto nota pie Car"/>
    <w:aliases w:val="2. Footnote Text Car,Footnote Tesina Car,Footnote Text Char Char Char Char Char Car,Footnote Text Char Char Char Char Car,Footnote reference Car,FA Fu Car,Footnote Text Char Char Char Car,Footnote Text Cha Car,FA Fußnotentext Car"/>
    <w:basedOn w:val="Fuentedeprrafopredeter"/>
    <w:link w:val="Textonotapie"/>
    <w:qFormat/>
    <w:rsid w:val="00DD718C"/>
    <w:rPr>
      <w:sz w:val="20"/>
      <w:szCs w:val="20"/>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iPriority w:val="99"/>
    <w:unhideWhenUsed/>
    <w:qFormat/>
    <w:rsid w:val="00DD718C"/>
    <w:rPr>
      <w:vertAlign w:val="superscript"/>
    </w:rPr>
  </w:style>
  <w:style w:type="character" w:styleId="Hipervnculo">
    <w:name w:val="Hyperlink"/>
    <w:aliases w:val="Heading 3 caso"/>
    <w:uiPriority w:val="99"/>
    <w:unhideWhenUsed/>
    <w:rsid w:val="00DD718C"/>
    <w:rPr>
      <w:rFonts w:ascii="Times New Roman" w:hAnsi="Times New Roman" w:cs="Times New Roman" w:hint="default"/>
      <w:color w:val="0000FF"/>
      <w:u w:val="single"/>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D718C"/>
    <w:pPr>
      <w:widowControl w:val="0"/>
      <w:adjustRightInd w:val="0"/>
      <w:spacing w:after="0" w:line="240" w:lineRule="auto"/>
      <w:jc w:val="both"/>
    </w:pPr>
    <w:rPr>
      <w:vertAlign w:val="superscript"/>
    </w:rPr>
  </w:style>
  <w:style w:type="character" w:customStyle="1" w:styleId="PrrafodelistaCar">
    <w:name w:val="Párrafo de lista Car"/>
    <w:aliases w:val="Párrafo de lista1 Car,List Paragraph1 Car,Colorful List - Accent 11 Car,List Paragraph2 Car,Lista vistosa - Énfasis 11 Car,Subtle Emphasis1 Car,Footnote1 Car,Footnote Car,Parrafos Car,List Paragraph11 Car"/>
    <w:link w:val="Prrafodelista"/>
    <w:uiPriority w:val="34"/>
    <w:locked/>
    <w:rsid w:val="00DD718C"/>
  </w:style>
  <w:style w:type="character" w:styleId="Refdecomentario">
    <w:name w:val="annotation reference"/>
    <w:basedOn w:val="Fuentedeprrafopredeter"/>
    <w:uiPriority w:val="99"/>
    <w:semiHidden/>
    <w:unhideWhenUsed/>
    <w:rsid w:val="00DD718C"/>
    <w:rPr>
      <w:sz w:val="18"/>
      <w:szCs w:val="18"/>
    </w:rPr>
  </w:style>
  <w:style w:type="paragraph" w:styleId="Textocomentario">
    <w:name w:val="annotation text"/>
    <w:basedOn w:val="Normal"/>
    <w:link w:val="TextocomentarioCar"/>
    <w:uiPriority w:val="99"/>
    <w:semiHidden/>
    <w:unhideWhenUsed/>
    <w:rsid w:val="00DD718C"/>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D718C"/>
    <w:rPr>
      <w:sz w:val="24"/>
      <w:szCs w:val="24"/>
    </w:rPr>
  </w:style>
  <w:style w:type="paragraph" w:styleId="Textodeglobo">
    <w:name w:val="Balloon Text"/>
    <w:basedOn w:val="Normal"/>
    <w:link w:val="TextodegloboCar"/>
    <w:uiPriority w:val="99"/>
    <w:semiHidden/>
    <w:unhideWhenUsed/>
    <w:rsid w:val="00DD71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718C"/>
    <w:rPr>
      <w:rFonts w:ascii="Tahoma" w:hAnsi="Tahoma" w:cs="Tahoma"/>
      <w:sz w:val="16"/>
      <w:szCs w:val="16"/>
    </w:rPr>
  </w:style>
  <w:style w:type="paragraph" w:styleId="Encabezado">
    <w:name w:val="header"/>
    <w:basedOn w:val="Normal"/>
    <w:link w:val="EncabezadoCar"/>
    <w:uiPriority w:val="99"/>
    <w:unhideWhenUsed/>
    <w:rsid w:val="0061568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15684"/>
  </w:style>
  <w:style w:type="paragraph" w:styleId="Piedepgina">
    <w:name w:val="footer"/>
    <w:basedOn w:val="Normal"/>
    <w:link w:val="PiedepginaCar"/>
    <w:uiPriority w:val="99"/>
    <w:unhideWhenUsed/>
    <w:rsid w:val="0061568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15684"/>
  </w:style>
  <w:style w:type="paragraph" w:styleId="Textonotaalfinal">
    <w:name w:val="endnote text"/>
    <w:basedOn w:val="Normal"/>
    <w:link w:val="TextonotaalfinalCar"/>
    <w:uiPriority w:val="99"/>
    <w:semiHidden/>
    <w:unhideWhenUsed/>
    <w:rsid w:val="006156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15684"/>
    <w:rPr>
      <w:sz w:val="20"/>
      <w:szCs w:val="20"/>
    </w:rPr>
  </w:style>
  <w:style w:type="character" w:styleId="Refdenotaalfinal">
    <w:name w:val="endnote reference"/>
    <w:basedOn w:val="Fuentedeprrafopredeter"/>
    <w:uiPriority w:val="99"/>
    <w:semiHidden/>
    <w:unhideWhenUsed/>
    <w:rsid w:val="00615684"/>
    <w:rPr>
      <w:vertAlign w:val="superscript"/>
    </w:rPr>
  </w:style>
  <w:style w:type="paragraph" w:styleId="Asuntodelcomentario">
    <w:name w:val="annotation subject"/>
    <w:basedOn w:val="Textocomentario"/>
    <w:next w:val="Textocomentario"/>
    <w:link w:val="AsuntodelcomentarioCar"/>
    <w:uiPriority w:val="99"/>
    <w:semiHidden/>
    <w:unhideWhenUsed/>
    <w:rsid w:val="0059006A"/>
    <w:rPr>
      <w:b/>
      <w:bCs/>
      <w:sz w:val="20"/>
      <w:szCs w:val="20"/>
    </w:rPr>
  </w:style>
  <w:style w:type="character" w:customStyle="1" w:styleId="AsuntodelcomentarioCar">
    <w:name w:val="Asunto del comentario Car"/>
    <w:basedOn w:val="TextocomentarioCar"/>
    <w:link w:val="Asuntodelcomentario"/>
    <w:uiPriority w:val="99"/>
    <w:semiHidden/>
    <w:rsid w:val="0059006A"/>
    <w:rPr>
      <w:b/>
      <w:bCs/>
      <w:sz w:val="20"/>
      <w:szCs w:val="20"/>
    </w:rPr>
  </w:style>
  <w:style w:type="character" w:customStyle="1" w:styleId="Ttulo3Car">
    <w:name w:val="Título 3 Car"/>
    <w:basedOn w:val="Fuentedeprrafopredeter"/>
    <w:link w:val="Ttulo3"/>
    <w:uiPriority w:val="9"/>
    <w:rsid w:val="003A7AC8"/>
    <w:rPr>
      <w:rFonts w:ascii="Verdana" w:eastAsia="Batang" w:hAnsi="Verdana" w:cs="Times"/>
      <w:b/>
      <w:i/>
      <w:sz w:val="20"/>
      <w:szCs w:val="24"/>
      <w:lang w:val="es-MX"/>
    </w:rPr>
  </w:style>
  <w:style w:type="paragraph" w:styleId="Textoindependiente">
    <w:name w:val="Body Text"/>
    <w:basedOn w:val="Normal"/>
    <w:link w:val="TextoindependienteCar"/>
    <w:rsid w:val="00441C59"/>
    <w:pPr>
      <w:spacing w:after="0" w:line="240" w:lineRule="auto"/>
      <w:jc w:val="both"/>
    </w:pPr>
    <w:rPr>
      <w:rFonts w:ascii="Garamond" w:eastAsia="Times New Roman" w:hAnsi="Garamond" w:cs="Times New Roman"/>
      <w:sz w:val="24"/>
      <w:szCs w:val="20"/>
      <w:lang w:val="en-GB"/>
    </w:rPr>
  </w:style>
  <w:style w:type="character" w:customStyle="1" w:styleId="TextoindependienteCar">
    <w:name w:val="Texto independiente Car"/>
    <w:basedOn w:val="Fuentedeprrafopredeter"/>
    <w:link w:val="Textoindependiente"/>
    <w:rsid w:val="00441C59"/>
    <w:rPr>
      <w:rFonts w:ascii="Garamond" w:eastAsia="Times New Roman" w:hAnsi="Garamond" w:cs="Times New Roman"/>
      <w:sz w:val="24"/>
      <w:szCs w:val="20"/>
      <w:lang w:val="en-GB"/>
    </w:rPr>
  </w:style>
  <w:style w:type="paragraph" w:styleId="Revisin">
    <w:name w:val="Revision"/>
    <w:hidden/>
    <w:uiPriority w:val="99"/>
    <w:semiHidden/>
    <w:rsid w:val="00910616"/>
    <w:pPr>
      <w:spacing w:after="0" w:line="240" w:lineRule="auto"/>
    </w:pPr>
  </w:style>
  <w:style w:type="paragraph" w:styleId="NormalWeb">
    <w:name w:val="Normal (Web)"/>
    <w:basedOn w:val="Normal"/>
    <w:uiPriority w:val="99"/>
    <w:semiHidden/>
    <w:unhideWhenUsed/>
    <w:rsid w:val="00C024C0"/>
    <w:rPr>
      <w:rFonts w:ascii="Times New Roman" w:hAnsi="Times New Roman" w:cs="Times New Roman"/>
      <w:sz w:val="24"/>
      <w:szCs w:val="24"/>
    </w:rPr>
  </w:style>
  <w:style w:type="character" w:styleId="Textoennegrita">
    <w:name w:val="Strong"/>
    <w:aliases w:val="Heading 2.1"/>
    <w:basedOn w:val="Fuentedeprrafopredeter"/>
    <w:uiPriority w:val="22"/>
    <w:qFormat/>
    <w:rsid w:val="001637DD"/>
    <w:rPr>
      <w:b/>
      <w:bCs/>
    </w:rPr>
  </w:style>
  <w:style w:type="paragraph" w:customStyle="1" w:styleId="PrrafodeSentencia">
    <w:name w:val="*. Párrafo de Sentencia"/>
    <w:basedOn w:val="Normal"/>
    <w:next w:val="Normal"/>
    <w:link w:val="PrrafodeSentenciaChar"/>
    <w:uiPriority w:val="99"/>
    <w:qFormat/>
    <w:rsid w:val="00612E9A"/>
    <w:pPr>
      <w:numPr>
        <w:numId w:val="2"/>
      </w:numPr>
      <w:tabs>
        <w:tab w:val="left" w:pos="0"/>
        <w:tab w:val="left" w:pos="567"/>
      </w:tabs>
      <w:spacing w:after="0" w:line="240" w:lineRule="auto"/>
      <w:jc w:val="both"/>
    </w:pPr>
    <w:rPr>
      <w:rFonts w:ascii="Verdana" w:eastAsia="Batang" w:hAnsi="Verdana" w:cs="Times New Roman"/>
      <w:spacing w:val="-4"/>
      <w:sz w:val="20"/>
      <w:lang w:val="es-CR" w:eastAsia="es-MX"/>
      <w14:scene3d>
        <w14:camera w14:prst="orthographicFront"/>
        <w14:lightRig w14:rig="threePt" w14:dir="t">
          <w14:rot w14:lat="0" w14:lon="0" w14:rev="0"/>
        </w14:lightRig>
      </w14:scene3d>
    </w:rPr>
  </w:style>
  <w:style w:type="character" w:customStyle="1" w:styleId="PrrafodeSentenciaChar">
    <w:name w:val="*. Párrafo de Sentencia Char"/>
    <w:basedOn w:val="Fuentedeprrafopredeter"/>
    <w:link w:val="PrrafodeSentencia"/>
    <w:uiPriority w:val="99"/>
    <w:rsid w:val="00612E9A"/>
    <w:rPr>
      <w:rFonts w:ascii="Verdana" w:eastAsia="Batang" w:hAnsi="Verdana" w:cs="Times New Roman"/>
      <w:spacing w:val="-4"/>
      <w:sz w:val="20"/>
      <w:lang w:val="es-CR" w:eastAsia="es-MX"/>
      <w14:scene3d>
        <w14:camera w14:prst="orthographicFront"/>
        <w14:lightRig w14:rig="threePt" w14:dir="t">
          <w14:rot w14:lat="0" w14:lon="0" w14:rev="0"/>
        </w14:lightRig>
      </w14:scene3d>
    </w:rPr>
  </w:style>
  <w:style w:type="paragraph" w:customStyle="1" w:styleId="Numberedparagraphs">
    <w:name w:val="Numbered paragraphs"/>
    <w:basedOn w:val="Normal"/>
    <w:qFormat/>
    <w:rsid w:val="00612E9A"/>
    <w:pPr>
      <w:numPr>
        <w:numId w:val="1"/>
      </w:numPr>
      <w:spacing w:after="0" w:line="240" w:lineRule="auto"/>
      <w:jc w:val="both"/>
    </w:pPr>
    <w:rPr>
      <w:rFonts w:ascii="Verdana" w:eastAsia="MS Mincho" w:hAnsi="Verdana" w:cs="Times New Roman"/>
      <w:color w:val="000000"/>
      <w:sz w:val="20"/>
      <w:szCs w:val="20"/>
      <w:lang w:val="es-ES_tradnl"/>
    </w:rPr>
  </w:style>
  <w:style w:type="character" w:customStyle="1" w:styleId="Ttulo1Car">
    <w:name w:val="Título 1 Car"/>
    <w:basedOn w:val="Fuentedeprrafopredeter"/>
    <w:link w:val="Ttulo1"/>
    <w:uiPriority w:val="9"/>
    <w:rsid w:val="00277424"/>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1C1A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C1AB8"/>
    <w:rPr>
      <w:rFonts w:asciiTheme="majorHAnsi" w:eastAsiaTheme="majorEastAsia" w:hAnsiTheme="majorHAnsi" w:cstheme="majorBidi"/>
      <w:color w:val="17365D" w:themeColor="text2" w:themeShade="BF"/>
      <w:spacing w:val="5"/>
      <w:kern w:val="28"/>
      <w:sz w:val="52"/>
      <w:szCs w:val="52"/>
    </w:rPr>
  </w:style>
  <w:style w:type="character" w:styleId="Nmerodelnea">
    <w:name w:val="line number"/>
    <w:basedOn w:val="Fuentedeprrafopredeter"/>
    <w:uiPriority w:val="99"/>
    <w:semiHidden/>
    <w:unhideWhenUsed/>
    <w:rsid w:val="00115ED5"/>
  </w:style>
  <w:style w:type="character" w:customStyle="1" w:styleId="Ttulo2Car">
    <w:name w:val="Título 2 Car"/>
    <w:basedOn w:val="Fuentedeprrafopredeter"/>
    <w:link w:val="Ttulo2"/>
    <w:uiPriority w:val="9"/>
    <w:rsid w:val="00A27417"/>
    <w:rPr>
      <w:rFonts w:asciiTheme="majorHAnsi" w:eastAsiaTheme="majorEastAsia" w:hAnsiTheme="majorHAnsi" w:cstheme="majorBidi"/>
      <w:color w:val="365F91" w:themeColor="accent1" w:themeShade="BF"/>
      <w:sz w:val="26"/>
      <w:szCs w:val="26"/>
    </w:rPr>
  </w:style>
  <w:style w:type="character" w:customStyle="1" w:styleId="sb8d990e2">
    <w:name w:val="sb8d990e2"/>
    <w:basedOn w:val="Fuentedeprrafopredeter"/>
    <w:rsid w:val="004D103F"/>
  </w:style>
  <w:style w:type="paragraph" w:styleId="TtuloTDC">
    <w:name w:val="TOC Heading"/>
    <w:basedOn w:val="Ttulo1"/>
    <w:next w:val="Normal"/>
    <w:uiPriority w:val="39"/>
    <w:unhideWhenUsed/>
    <w:qFormat/>
    <w:rsid w:val="00EA6C99"/>
    <w:pPr>
      <w:spacing w:before="240" w:line="259" w:lineRule="auto"/>
      <w:outlineLvl w:val="9"/>
    </w:pPr>
    <w:rPr>
      <w:b w:val="0"/>
      <w:bCs w:val="0"/>
      <w:sz w:val="32"/>
      <w:szCs w:val="32"/>
    </w:rPr>
  </w:style>
  <w:style w:type="paragraph" w:styleId="TDC1">
    <w:name w:val="toc 1"/>
    <w:basedOn w:val="Normal"/>
    <w:next w:val="Normal"/>
    <w:autoRedefine/>
    <w:uiPriority w:val="39"/>
    <w:unhideWhenUsed/>
    <w:rsid w:val="00E0113B"/>
    <w:pPr>
      <w:tabs>
        <w:tab w:val="right" w:leader="dot" w:pos="9350"/>
      </w:tabs>
      <w:spacing w:after="0"/>
      <w:jc w:val="both"/>
    </w:pPr>
    <w:rPr>
      <w:rFonts w:cstheme="minorHAnsi"/>
      <w:b/>
      <w:bCs/>
      <w:caps/>
      <w:sz w:val="20"/>
      <w:szCs w:val="20"/>
    </w:rPr>
  </w:style>
  <w:style w:type="paragraph" w:styleId="TDC2">
    <w:name w:val="toc 2"/>
    <w:basedOn w:val="Normal"/>
    <w:next w:val="Normal"/>
    <w:autoRedefine/>
    <w:uiPriority w:val="39"/>
    <w:unhideWhenUsed/>
    <w:rsid w:val="00EA6C99"/>
    <w:pPr>
      <w:spacing w:after="0"/>
      <w:ind w:left="220"/>
    </w:pPr>
    <w:rPr>
      <w:rFonts w:cstheme="minorHAnsi"/>
      <w:smallCaps/>
      <w:sz w:val="20"/>
      <w:szCs w:val="20"/>
    </w:rPr>
  </w:style>
  <w:style w:type="paragraph" w:styleId="TDC3">
    <w:name w:val="toc 3"/>
    <w:basedOn w:val="Normal"/>
    <w:next w:val="Normal"/>
    <w:autoRedefine/>
    <w:uiPriority w:val="39"/>
    <w:unhideWhenUsed/>
    <w:rsid w:val="00D25BDA"/>
    <w:pPr>
      <w:tabs>
        <w:tab w:val="right" w:leader="dot" w:pos="9408"/>
      </w:tabs>
      <w:spacing w:after="0"/>
      <w:ind w:left="440"/>
    </w:pPr>
    <w:rPr>
      <w:rFonts w:ascii="Verdana" w:eastAsia="Verdana" w:hAnsi="Verdana" w:cs="Verdana"/>
      <w:i/>
      <w:iCs/>
      <w:noProof/>
      <w:sz w:val="20"/>
      <w:szCs w:val="20"/>
      <w:lang w:val="es-CR"/>
    </w:rPr>
  </w:style>
  <w:style w:type="character" w:customStyle="1" w:styleId="Ttulo4Car">
    <w:name w:val="Título 4 Car"/>
    <w:basedOn w:val="Fuentedeprrafopredeter"/>
    <w:link w:val="Ttulo4"/>
    <w:uiPriority w:val="9"/>
    <w:rsid w:val="00185CF0"/>
    <w:rPr>
      <w:rFonts w:asciiTheme="majorHAnsi" w:eastAsiaTheme="majorEastAsia" w:hAnsiTheme="majorHAnsi" w:cstheme="majorBidi"/>
      <w:i/>
      <w:iCs/>
      <w:color w:val="365F91" w:themeColor="accent1" w:themeShade="BF"/>
    </w:rPr>
  </w:style>
  <w:style w:type="paragraph" w:styleId="TDC4">
    <w:name w:val="toc 4"/>
    <w:basedOn w:val="Normal"/>
    <w:next w:val="Normal"/>
    <w:autoRedefine/>
    <w:uiPriority w:val="39"/>
    <w:unhideWhenUsed/>
    <w:rsid w:val="004204C9"/>
    <w:pPr>
      <w:tabs>
        <w:tab w:val="right" w:leader="dot" w:pos="9350"/>
      </w:tabs>
      <w:spacing w:after="0"/>
      <w:ind w:left="660"/>
    </w:pPr>
    <w:rPr>
      <w:rFonts w:ascii="Verdana" w:hAnsi="Verdana" w:cstheme="minorHAnsi"/>
      <w:i/>
      <w:noProof/>
      <w:sz w:val="20"/>
      <w:szCs w:val="20"/>
      <w:lang w:val="es-CR"/>
    </w:rPr>
  </w:style>
  <w:style w:type="paragraph" w:styleId="TDC5">
    <w:name w:val="toc 5"/>
    <w:basedOn w:val="Normal"/>
    <w:next w:val="Normal"/>
    <w:autoRedefine/>
    <w:uiPriority w:val="39"/>
    <w:unhideWhenUsed/>
    <w:rsid w:val="00940CF4"/>
    <w:pPr>
      <w:spacing w:after="0"/>
      <w:ind w:left="880"/>
    </w:pPr>
    <w:rPr>
      <w:rFonts w:cstheme="minorHAnsi"/>
      <w:sz w:val="18"/>
      <w:szCs w:val="18"/>
    </w:rPr>
  </w:style>
  <w:style w:type="paragraph" w:styleId="TDC6">
    <w:name w:val="toc 6"/>
    <w:basedOn w:val="Normal"/>
    <w:next w:val="Normal"/>
    <w:autoRedefine/>
    <w:uiPriority w:val="39"/>
    <w:unhideWhenUsed/>
    <w:rsid w:val="00940CF4"/>
    <w:pPr>
      <w:spacing w:after="0"/>
      <w:ind w:left="1100"/>
    </w:pPr>
    <w:rPr>
      <w:rFonts w:cstheme="minorHAnsi"/>
      <w:sz w:val="18"/>
      <w:szCs w:val="18"/>
    </w:rPr>
  </w:style>
  <w:style w:type="paragraph" w:styleId="TDC7">
    <w:name w:val="toc 7"/>
    <w:basedOn w:val="Normal"/>
    <w:next w:val="Normal"/>
    <w:autoRedefine/>
    <w:uiPriority w:val="39"/>
    <w:unhideWhenUsed/>
    <w:rsid w:val="00940CF4"/>
    <w:pPr>
      <w:spacing w:after="0"/>
      <w:ind w:left="1320"/>
    </w:pPr>
    <w:rPr>
      <w:rFonts w:cstheme="minorHAnsi"/>
      <w:sz w:val="18"/>
      <w:szCs w:val="18"/>
    </w:rPr>
  </w:style>
  <w:style w:type="paragraph" w:styleId="TDC8">
    <w:name w:val="toc 8"/>
    <w:basedOn w:val="Normal"/>
    <w:next w:val="Normal"/>
    <w:autoRedefine/>
    <w:uiPriority w:val="39"/>
    <w:unhideWhenUsed/>
    <w:rsid w:val="00940CF4"/>
    <w:pPr>
      <w:spacing w:after="0"/>
      <w:ind w:left="1540"/>
    </w:pPr>
    <w:rPr>
      <w:rFonts w:cstheme="minorHAnsi"/>
      <w:sz w:val="18"/>
      <w:szCs w:val="18"/>
    </w:rPr>
  </w:style>
  <w:style w:type="paragraph" w:styleId="TDC9">
    <w:name w:val="toc 9"/>
    <w:basedOn w:val="Normal"/>
    <w:next w:val="Normal"/>
    <w:autoRedefine/>
    <w:uiPriority w:val="39"/>
    <w:unhideWhenUsed/>
    <w:rsid w:val="00940CF4"/>
    <w:pPr>
      <w:spacing w:after="0"/>
      <w:ind w:left="1760"/>
    </w:pPr>
    <w:rPr>
      <w:rFonts w:cstheme="minorHAnsi"/>
      <w:sz w:val="18"/>
      <w:szCs w:val="18"/>
    </w:rPr>
  </w:style>
  <w:style w:type="character" w:customStyle="1" w:styleId="Ttulo5Car">
    <w:name w:val="Título 5 Car"/>
    <w:basedOn w:val="Fuentedeprrafopredeter"/>
    <w:link w:val="Ttulo5"/>
    <w:uiPriority w:val="9"/>
    <w:rsid w:val="00DB5C32"/>
    <w:rPr>
      <w:rFonts w:asciiTheme="majorHAnsi" w:eastAsiaTheme="majorEastAsia" w:hAnsiTheme="majorHAnsi" w:cstheme="majorBidi"/>
      <w:color w:val="365F91" w:themeColor="accent1" w:themeShade="BF"/>
    </w:rPr>
  </w:style>
  <w:style w:type="paragraph" w:customStyle="1" w:styleId="Footnotes">
    <w:name w:val="**. Footnotes"/>
    <w:basedOn w:val="Textonotapie"/>
    <w:link w:val="FootnotesChar"/>
    <w:autoRedefine/>
    <w:qFormat/>
    <w:rsid w:val="00754C75"/>
    <w:pPr>
      <w:tabs>
        <w:tab w:val="left" w:pos="0"/>
      </w:tabs>
      <w:spacing w:before="120" w:after="60"/>
      <w:jc w:val="both"/>
    </w:pPr>
    <w:rPr>
      <w:rFonts w:ascii="Verdana" w:eastAsia="Batang" w:hAnsi="Verdana" w:cs="Palatino-Italic"/>
      <w:iCs/>
      <w:sz w:val="16"/>
      <w:szCs w:val="16"/>
      <w:lang w:val="es-ES"/>
    </w:rPr>
  </w:style>
  <w:style w:type="character" w:customStyle="1" w:styleId="FootnotesChar">
    <w:name w:val="**. Footnotes Char"/>
    <w:basedOn w:val="Fuentedeprrafopredeter"/>
    <w:link w:val="Footnotes"/>
    <w:rsid w:val="00754C75"/>
    <w:rPr>
      <w:rFonts w:ascii="Verdana" w:eastAsia="Batang" w:hAnsi="Verdana" w:cs="Palatino-Italic"/>
      <w:iCs/>
      <w:sz w:val="16"/>
      <w:szCs w:val="16"/>
      <w:lang w:val="es-ES"/>
    </w:rPr>
  </w:style>
  <w:style w:type="character" w:customStyle="1" w:styleId="apple-style-span">
    <w:name w:val="apple-style-span"/>
    <w:basedOn w:val="Fuentedeprrafopredeter"/>
    <w:rsid w:val="00923AF0"/>
  </w:style>
  <w:style w:type="character" w:styleId="Hipervnculovisitado">
    <w:name w:val="FollowedHyperlink"/>
    <w:basedOn w:val="Fuentedeprrafopredeter"/>
    <w:uiPriority w:val="99"/>
    <w:semiHidden/>
    <w:unhideWhenUsed/>
    <w:rsid w:val="00277E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15608">
      <w:bodyDiv w:val="1"/>
      <w:marLeft w:val="0"/>
      <w:marRight w:val="0"/>
      <w:marTop w:val="0"/>
      <w:marBottom w:val="0"/>
      <w:divBdr>
        <w:top w:val="none" w:sz="0" w:space="0" w:color="auto"/>
        <w:left w:val="none" w:sz="0" w:space="0" w:color="auto"/>
        <w:bottom w:val="none" w:sz="0" w:space="0" w:color="auto"/>
        <w:right w:val="none" w:sz="0" w:space="0" w:color="auto"/>
      </w:divBdr>
    </w:div>
    <w:div w:id="260187750">
      <w:bodyDiv w:val="1"/>
      <w:marLeft w:val="0"/>
      <w:marRight w:val="0"/>
      <w:marTop w:val="0"/>
      <w:marBottom w:val="0"/>
      <w:divBdr>
        <w:top w:val="none" w:sz="0" w:space="0" w:color="auto"/>
        <w:left w:val="none" w:sz="0" w:space="0" w:color="auto"/>
        <w:bottom w:val="none" w:sz="0" w:space="0" w:color="auto"/>
        <w:right w:val="none" w:sz="0" w:space="0" w:color="auto"/>
      </w:divBdr>
    </w:div>
    <w:div w:id="384716608">
      <w:bodyDiv w:val="1"/>
      <w:marLeft w:val="0"/>
      <w:marRight w:val="0"/>
      <w:marTop w:val="0"/>
      <w:marBottom w:val="0"/>
      <w:divBdr>
        <w:top w:val="none" w:sz="0" w:space="0" w:color="auto"/>
        <w:left w:val="none" w:sz="0" w:space="0" w:color="auto"/>
        <w:bottom w:val="none" w:sz="0" w:space="0" w:color="auto"/>
        <w:right w:val="none" w:sz="0" w:space="0" w:color="auto"/>
      </w:divBdr>
    </w:div>
    <w:div w:id="401414201">
      <w:bodyDiv w:val="1"/>
      <w:marLeft w:val="0"/>
      <w:marRight w:val="0"/>
      <w:marTop w:val="0"/>
      <w:marBottom w:val="0"/>
      <w:divBdr>
        <w:top w:val="none" w:sz="0" w:space="0" w:color="auto"/>
        <w:left w:val="none" w:sz="0" w:space="0" w:color="auto"/>
        <w:bottom w:val="none" w:sz="0" w:space="0" w:color="auto"/>
        <w:right w:val="none" w:sz="0" w:space="0" w:color="auto"/>
      </w:divBdr>
    </w:div>
    <w:div w:id="419643781">
      <w:bodyDiv w:val="1"/>
      <w:marLeft w:val="0"/>
      <w:marRight w:val="0"/>
      <w:marTop w:val="0"/>
      <w:marBottom w:val="0"/>
      <w:divBdr>
        <w:top w:val="none" w:sz="0" w:space="0" w:color="auto"/>
        <w:left w:val="none" w:sz="0" w:space="0" w:color="auto"/>
        <w:bottom w:val="none" w:sz="0" w:space="0" w:color="auto"/>
        <w:right w:val="none" w:sz="0" w:space="0" w:color="auto"/>
      </w:divBdr>
    </w:div>
    <w:div w:id="484321832">
      <w:bodyDiv w:val="1"/>
      <w:marLeft w:val="0"/>
      <w:marRight w:val="0"/>
      <w:marTop w:val="0"/>
      <w:marBottom w:val="0"/>
      <w:divBdr>
        <w:top w:val="none" w:sz="0" w:space="0" w:color="auto"/>
        <w:left w:val="none" w:sz="0" w:space="0" w:color="auto"/>
        <w:bottom w:val="none" w:sz="0" w:space="0" w:color="auto"/>
        <w:right w:val="none" w:sz="0" w:space="0" w:color="auto"/>
      </w:divBdr>
    </w:div>
    <w:div w:id="644238421">
      <w:bodyDiv w:val="1"/>
      <w:marLeft w:val="0"/>
      <w:marRight w:val="0"/>
      <w:marTop w:val="0"/>
      <w:marBottom w:val="0"/>
      <w:divBdr>
        <w:top w:val="none" w:sz="0" w:space="0" w:color="auto"/>
        <w:left w:val="none" w:sz="0" w:space="0" w:color="auto"/>
        <w:bottom w:val="none" w:sz="0" w:space="0" w:color="auto"/>
        <w:right w:val="none" w:sz="0" w:space="0" w:color="auto"/>
      </w:divBdr>
    </w:div>
    <w:div w:id="745954899">
      <w:bodyDiv w:val="1"/>
      <w:marLeft w:val="0"/>
      <w:marRight w:val="0"/>
      <w:marTop w:val="0"/>
      <w:marBottom w:val="0"/>
      <w:divBdr>
        <w:top w:val="none" w:sz="0" w:space="0" w:color="auto"/>
        <w:left w:val="none" w:sz="0" w:space="0" w:color="auto"/>
        <w:bottom w:val="none" w:sz="0" w:space="0" w:color="auto"/>
        <w:right w:val="none" w:sz="0" w:space="0" w:color="auto"/>
      </w:divBdr>
    </w:div>
    <w:div w:id="746075554">
      <w:bodyDiv w:val="1"/>
      <w:marLeft w:val="0"/>
      <w:marRight w:val="0"/>
      <w:marTop w:val="0"/>
      <w:marBottom w:val="0"/>
      <w:divBdr>
        <w:top w:val="none" w:sz="0" w:space="0" w:color="auto"/>
        <w:left w:val="none" w:sz="0" w:space="0" w:color="auto"/>
        <w:bottom w:val="none" w:sz="0" w:space="0" w:color="auto"/>
        <w:right w:val="none" w:sz="0" w:space="0" w:color="auto"/>
      </w:divBdr>
    </w:div>
    <w:div w:id="874775015">
      <w:bodyDiv w:val="1"/>
      <w:marLeft w:val="0"/>
      <w:marRight w:val="0"/>
      <w:marTop w:val="0"/>
      <w:marBottom w:val="0"/>
      <w:divBdr>
        <w:top w:val="none" w:sz="0" w:space="0" w:color="auto"/>
        <w:left w:val="none" w:sz="0" w:space="0" w:color="auto"/>
        <w:bottom w:val="none" w:sz="0" w:space="0" w:color="auto"/>
        <w:right w:val="none" w:sz="0" w:space="0" w:color="auto"/>
      </w:divBdr>
    </w:div>
    <w:div w:id="1002393147">
      <w:bodyDiv w:val="1"/>
      <w:marLeft w:val="0"/>
      <w:marRight w:val="0"/>
      <w:marTop w:val="0"/>
      <w:marBottom w:val="0"/>
      <w:divBdr>
        <w:top w:val="none" w:sz="0" w:space="0" w:color="auto"/>
        <w:left w:val="none" w:sz="0" w:space="0" w:color="auto"/>
        <w:bottom w:val="none" w:sz="0" w:space="0" w:color="auto"/>
        <w:right w:val="none" w:sz="0" w:space="0" w:color="auto"/>
      </w:divBdr>
    </w:div>
    <w:div w:id="1076827469">
      <w:bodyDiv w:val="1"/>
      <w:marLeft w:val="0"/>
      <w:marRight w:val="0"/>
      <w:marTop w:val="0"/>
      <w:marBottom w:val="0"/>
      <w:divBdr>
        <w:top w:val="none" w:sz="0" w:space="0" w:color="auto"/>
        <w:left w:val="none" w:sz="0" w:space="0" w:color="auto"/>
        <w:bottom w:val="none" w:sz="0" w:space="0" w:color="auto"/>
        <w:right w:val="none" w:sz="0" w:space="0" w:color="auto"/>
      </w:divBdr>
    </w:div>
    <w:div w:id="1404520757">
      <w:bodyDiv w:val="1"/>
      <w:marLeft w:val="0"/>
      <w:marRight w:val="0"/>
      <w:marTop w:val="0"/>
      <w:marBottom w:val="0"/>
      <w:divBdr>
        <w:top w:val="none" w:sz="0" w:space="0" w:color="auto"/>
        <w:left w:val="none" w:sz="0" w:space="0" w:color="auto"/>
        <w:bottom w:val="none" w:sz="0" w:space="0" w:color="auto"/>
        <w:right w:val="none" w:sz="0" w:space="0" w:color="auto"/>
      </w:divBdr>
    </w:div>
    <w:div w:id="1744839277">
      <w:bodyDiv w:val="1"/>
      <w:marLeft w:val="0"/>
      <w:marRight w:val="0"/>
      <w:marTop w:val="0"/>
      <w:marBottom w:val="0"/>
      <w:divBdr>
        <w:top w:val="none" w:sz="0" w:space="0" w:color="auto"/>
        <w:left w:val="none" w:sz="0" w:space="0" w:color="auto"/>
        <w:bottom w:val="none" w:sz="0" w:space="0" w:color="auto"/>
        <w:right w:val="none" w:sz="0" w:space="0" w:color="auto"/>
      </w:divBdr>
    </w:div>
    <w:div w:id="199899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6FB6E-101A-B040-9F62-D8556CC1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19815</Words>
  <Characters>101059</Characters>
  <Application>Microsoft Office Word</Application>
  <DocSecurity>6</DocSecurity>
  <Lines>1837</Lines>
  <Paragraphs>375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120499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Microsoft Office User</cp:lastModifiedBy>
  <cp:revision>3</cp:revision>
  <cp:lastPrinted>2019-11-15T20:41:00Z</cp:lastPrinted>
  <dcterms:created xsi:type="dcterms:W3CDTF">2019-11-18T23:57:00Z</dcterms:created>
  <dcterms:modified xsi:type="dcterms:W3CDTF">2019-11-19T00:21:00Z</dcterms:modified>
  <cp:category/>
</cp:coreProperties>
</file>